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 w:val="left" w:pos="6660"/>
        </w:tabs>
        <w:spacing w:line="1400" w:lineRule="atLeast"/>
        <w:jc w:val="center"/>
        <w:rPr>
          <w:rFonts w:hint="eastAsia" w:ascii="宋体" w:hAnsi="宋体"/>
          <w:b/>
          <w:sz w:val="10"/>
          <w:szCs w:val="10"/>
        </w:rPr>
      </w:pPr>
      <w:bookmarkStart w:id="129" w:name="_GoBack"/>
      <w:bookmarkEnd w:id="129"/>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政府采购</w:t>
      </w:r>
    </w:p>
    <w:p>
      <w:pPr>
        <w:tabs>
          <w:tab w:val="left" w:pos="420"/>
          <w:tab w:val="left" w:pos="6660"/>
        </w:tabs>
        <w:spacing w:line="1400" w:lineRule="atLeast"/>
        <w:jc w:val="center"/>
        <w:rPr>
          <w:rFonts w:hint="eastAsia" w:ascii="宋体" w:hAnsi="宋体"/>
          <w:b/>
          <w:sz w:val="72"/>
          <w:szCs w:val="72"/>
        </w:rPr>
      </w:pPr>
      <w:r>
        <w:rPr>
          <w:rFonts w:hint="eastAsia" w:ascii="宋体" w:hAnsi="宋体"/>
          <w:b/>
          <w:sz w:val="72"/>
          <w:szCs w:val="72"/>
        </w:rPr>
        <w:t>招标文件</w:t>
      </w:r>
    </w:p>
    <w:p>
      <w:pPr>
        <w:rPr>
          <w:rFonts w:hint="eastAsia"/>
        </w:rPr>
      </w:pPr>
    </w:p>
    <w:p>
      <w:pPr>
        <w:rPr>
          <w:rFonts w:hint="eastAsia"/>
        </w:rPr>
      </w:pPr>
    </w:p>
    <w:p>
      <w:pPr>
        <w:rPr>
          <w:rFonts w:hint="eastAsia"/>
        </w:rPr>
      </w:pPr>
    </w:p>
    <w:p>
      <w:pPr>
        <w:rPr>
          <w:rFonts w:hint="eastAsia"/>
        </w:rPr>
      </w:pPr>
    </w:p>
    <w:p>
      <w:pPr>
        <w:rPr>
          <w:rFonts w:hint="eastAsia"/>
        </w:rPr>
      </w:pPr>
    </w:p>
    <w:p>
      <w:pPr>
        <w:spacing w:line="500" w:lineRule="exact"/>
        <w:jc w:val="center"/>
        <w:rPr>
          <w:rFonts w:hint="eastAsia"/>
        </w:rPr>
      </w:pPr>
    </w:p>
    <w:p>
      <w:pPr>
        <w:spacing w:line="500" w:lineRule="exact"/>
        <w:rPr>
          <w:rFonts w:hint="eastAsia" w:ascii="宋体" w:hAnsi="宋体"/>
          <w:b/>
          <w:bCs/>
          <w:sz w:val="36"/>
          <w:szCs w:val="36"/>
        </w:rPr>
      </w:pPr>
    </w:p>
    <w:p>
      <w:pPr>
        <w:spacing w:line="500" w:lineRule="exact"/>
        <w:ind w:firstLine="1428" w:firstLineChars="395"/>
        <w:rPr>
          <w:rFonts w:hint="eastAsia" w:ascii="宋体" w:hAnsi="宋体"/>
          <w:b/>
          <w:bCs/>
          <w:sz w:val="36"/>
          <w:szCs w:val="36"/>
          <w:u w:val="single"/>
        </w:rPr>
      </w:pPr>
      <w:r>
        <w:rPr>
          <w:rFonts w:hint="eastAsia" w:ascii="宋体" w:hAnsi="宋体"/>
          <w:b/>
          <w:bCs/>
          <w:sz w:val="36"/>
          <w:szCs w:val="36"/>
        </w:rPr>
        <w:t>采购编号：</w:t>
      </w:r>
      <w:r>
        <w:rPr>
          <w:rFonts w:ascii="宋体" w:hAnsi="宋体"/>
          <w:b/>
          <w:bCs/>
          <w:sz w:val="36"/>
          <w:szCs w:val="36"/>
          <w:u w:val="single"/>
        </w:rPr>
        <w:t xml:space="preserve"> </w:t>
      </w:r>
      <w:r>
        <w:rPr>
          <w:rFonts w:hint="eastAsia" w:ascii="宋体" w:hAnsi="宋体"/>
          <w:b/>
          <w:bCs/>
          <w:sz w:val="36"/>
          <w:szCs w:val="36"/>
          <w:u w:val="single"/>
        </w:rPr>
        <w:t>TC【201</w:t>
      </w:r>
      <w:r>
        <w:rPr>
          <w:rFonts w:ascii="宋体" w:hAnsi="宋体"/>
          <w:b/>
          <w:bCs/>
          <w:sz w:val="36"/>
          <w:szCs w:val="36"/>
          <w:u w:val="single"/>
        </w:rPr>
        <w:t>9</w:t>
      </w:r>
      <w:r>
        <w:rPr>
          <w:rFonts w:hint="eastAsia" w:ascii="宋体" w:hAnsi="宋体"/>
          <w:b/>
          <w:bCs/>
          <w:sz w:val="36"/>
          <w:szCs w:val="36"/>
          <w:u w:val="single"/>
        </w:rPr>
        <w:t>】CG10</w:t>
      </w:r>
      <w:r>
        <w:rPr>
          <w:rFonts w:ascii="宋体" w:hAnsi="宋体"/>
          <w:b/>
          <w:bCs/>
          <w:sz w:val="36"/>
          <w:szCs w:val="36"/>
          <w:u w:val="single"/>
        </w:rPr>
        <w:t>48</w:t>
      </w:r>
      <w:r>
        <w:rPr>
          <w:rFonts w:hint="eastAsia" w:ascii="宋体" w:hAnsi="宋体"/>
          <w:b/>
          <w:bCs/>
          <w:sz w:val="36"/>
          <w:szCs w:val="36"/>
          <w:u w:val="single"/>
        </w:rPr>
        <w:t xml:space="preserve">号 </w:t>
      </w:r>
      <w:r>
        <w:rPr>
          <w:rFonts w:hint="eastAsia" w:ascii="宋体" w:hAnsi="宋体"/>
          <w:b/>
          <w:bCs/>
          <w:sz w:val="30"/>
          <w:szCs w:val="30"/>
          <w:u w:val="single"/>
        </w:rPr>
        <w:t xml:space="preserve">   </w:t>
      </w:r>
    </w:p>
    <w:p>
      <w:pPr>
        <w:spacing w:line="500" w:lineRule="exact"/>
        <w:rPr>
          <w:rFonts w:hint="eastAsia" w:ascii="宋体" w:hAnsi="宋体"/>
          <w:b/>
          <w:bCs/>
          <w:sz w:val="36"/>
          <w:szCs w:val="36"/>
        </w:rPr>
      </w:pPr>
    </w:p>
    <w:p>
      <w:pPr>
        <w:spacing w:line="500" w:lineRule="exact"/>
        <w:ind w:firstLine="1428" w:firstLineChars="395"/>
        <w:rPr>
          <w:rFonts w:hint="eastAsia" w:ascii="宋体" w:hAnsi="宋体" w:cs="宋体"/>
          <w:b/>
          <w:bCs/>
          <w:sz w:val="36"/>
          <w:szCs w:val="36"/>
        </w:rPr>
      </w:pPr>
      <w:r>
        <w:rPr>
          <w:rFonts w:hint="eastAsia" w:ascii="宋体" w:hAnsi="宋体"/>
          <w:b/>
          <w:bCs/>
          <w:sz w:val="36"/>
          <w:szCs w:val="36"/>
        </w:rPr>
        <w:t>项目名称：</w:t>
      </w:r>
      <w:r>
        <w:rPr>
          <w:rFonts w:hint="eastAsia" w:ascii="宋体" w:hAnsi="宋体"/>
          <w:b/>
          <w:bCs/>
          <w:sz w:val="36"/>
          <w:szCs w:val="36"/>
          <w:u w:val="single"/>
        </w:rPr>
        <w:t>镇海区炼化医院优质护理服务采购项目</w:t>
      </w:r>
    </w:p>
    <w:p>
      <w:pPr>
        <w:spacing w:line="500" w:lineRule="exact"/>
        <w:rPr>
          <w:rFonts w:hint="eastAsia" w:ascii="宋体" w:hAnsi="宋体"/>
          <w:b/>
          <w:bCs/>
          <w:sz w:val="36"/>
          <w:szCs w:val="36"/>
        </w:rPr>
      </w:pPr>
      <w:r>
        <w:rPr>
          <w:rFonts w:hint="eastAsia" w:ascii="宋体" w:hAnsi="宋体"/>
          <w:b/>
          <w:bCs/>
          <w:sz w:val="36"/>
          <w:szCs w:val="36"/>
        </w:rPr>
        <w:t xml:space="preserve"> </w:t>
      </w:r>
    </w:p>
    <w:p>
      <w:pPr>
        <w:rPr>
          <w:rFonts w:hint="eastAsia"/>
          <w:sz w:val="36"/>
          <w:szCs w:val="36"/>
        </w:rPr>
      </w:pPr>
    </w:p>
    <w:p>
      <w:pPr>
        <w:rPr>
          <w:rFonts w:hint="eastAsia"/>
        </w:rPr>
      </w:pPr>
    </w:p>
    <w:p>
      <w:pPr>
        <w:rPr>
          <w:rFonts w:hint="eastAsia"/>
        </w:rPr>
      </w:pPr>
    </w:p>
    <w:p>
      <w:pPr>
        <w:rPr>
          <w:rFonts w:hint="eastAsia"/>
        </w:rPr>
      </w:pPr>
    </w:p>
    <w:p>
      <w:pPr>
        <w:spacing w:line="360" w:lineRule="auto"/>
        <w:jc w:val="center"/>
        <w:rPr>
          <w:rFonts w:hint="eastAsia" w:ascii="宋体" w:hAnsi="宋体"/>
          <w:b/>
          <w:bCs/>
          <w:sz w:val="32"/>
          <w:szCs w:val="32"/>
        </w:rPr>
      </w:pPr>
    </w:p>
    <w:p>
      <w:pPr>
        <w:spacing w:line="360" w:lineRule="auto"/>
        <w:rPr>
          <w:rFonts w:hint="eastAsia" w:ascii="宋体" w:hAnsi="宋体"/>
          <w:b/>
          <w:bCs/>
          <w:sz w:val="32"/>
          <w:szCs w:val="32"/>
        </w:rPr>
      </w:pPr>
    </w:p>
    <w:p>
      <w:pPr>
        <w:spacing w:line="360" w:lineRule="auto"/>
        <w:jc w:val="center"/>
        <w:rPr>
          <w:rFonts w:hint="eastAsia" w:ascii="宋体" w:hAnsi="宋体"/>
          <w:b/>
          <w:bCs/>
          <w:sz w:val="36"/>
          <w:szCs w:val="36"/>
        </w:rPr>
      </w:pPr>
      <w:r>
        <w:rPr>
          <w:rFonts w:hint="eastAsia" w:ascii="宋体" w:hAnsi="宋体"/>
          <w:b/>
          <w:bCs/>
          <w:sz w:val="36"/>
          <w:szCs w:val="36"/>
        </w:rPr>
        <w:t>浙江天诚工程咨询有限公司</w:t>
      </w:r>
    </w:p>
    <w:p>
      <w:pPr>
        <w:spacing w:line="360" w:lineRule="auto"/>
        <w:jc w:val="center"/>
        <w:rPr>
          <w:rFonts w:hint="eastAsia"/>
          <w:sz w:val="36"/>
          <w:szCs w:val="36"/>
        </w:rPr>
      </w:pPr>
    </w:p>
    <w:p>
      <w:pPr>
        <w:spacing w:line="360" w:lineRule="auto"/>
        <w:jc w:val="center"/>
        <w:rPr>
          <w:rFonts w:hint="eastAsia" w:ascii="宋体" w:hAnsi="宋体"/>
          <w:b/>
          <w:bCs/>
          <w:sz w:val="36"/>
          <w:szCs w:val="36"/>
        </w:rPr>
      </w:pPr>
      <w:r>
        <w:rPr>
          <w:rFonts w:hint="eastAsia" w:ascii="宋体" w:hAnsi="宋体"/>
          <w:b/>
          <w:bCs/>
          <w:sz w:val="36"/>
          <w:szCs w:val="36"/>
        </w:rPr>
        <w:t>二〇一九年八月</w:t>
      </w:r>
    </w:p>
    <w:p>
      <w:pPr>
        <w:spacing w:line="360" w:lineRule="auto"/>
        <w:jc w:val="center"/>
        <w:rPr>
          <w:rFonts w:ascii="宋体" w:hAnsi="宋体"/>
          <w:b/>
          <w:bCs/>
          <w:sz w:val="36"/>
          <w:szCs w:val="36"/>
        </w:rPr>
        <w:sectPr>
          <w:headerReference r:id="rId4" w:type="first"/>
          <w:footerReference r:id="rId7" w:type="first"/>
          <w:headerReference r:id="rId3" w:type="default"/>
          <w:footerReference r:id="rId5" w:type="default"/>
          <w:footerReference r:id="rId6" w:type="even"/>
          <w:pgSz w:w="11907" w:h="16840"/>
          <w:pgMar w:top="1417" w:right="1107" w:bottom="1417" w:left="1080" w:header="720" w:footer="720" w:gutter="0"/>
          <w:pgNumType w:start="1"/>
          <w:cols w:space="720" w:num="1"/>
          <w:titlePg/>
          <w:docGrid w:type="lines" w:linePitch="285" w:charSpace="0"/>
        </w:sectPr>
      </w:pPr>
    </w:p>
    <w:p>
      <w:pPr>
        <w:spacing w:line="360" w:lineRule="auto"/>
        <w:jc w:val="center"/>
        <w:rPr>
          <w:rFonts w:hint="eastAsia"/>
          <w:sz w:val="28"/>
          <w:szCs w:val="28"/>
        </w:rPr>
      </w:pPr>
    </w:p>
    <w:p>
      <w:pPr>
        <w:jc w:val="center"/>
        <w:rPr>
          <w:rFonts w:hint="eastAsia" w:ascii="宋体" w:hAnsi="宋体"/>
          <w:b/>
          <w:bCs/>
          <w:sz w:val="44"/>
          <w:szCs w:val="44"/>
        </w:rPr>
      </w:pPr>
    </w:p>
    <w:p>
      <w:pPr>
        <w:jc w:val="center"/>
        <w:rPr>
          <w:rFonts w:hint="eastAsia" w:ascii="宋体" w:hAnsi="宋体"/>
          <w:b/>
          <w:bCs/>
          <w:sz w:val="44"/>
          <w:szCs w:val="44"/>
        </w:rPr>
      </w:pPr>
      <w:r>
        <w:rPr>
          <w:rFonts w:hint="eastAsia" w:ascii="宋体" w:hAnsi="宋体"/>
          <w:b/>
          <w:bCs/>
          <w:sz w:val="44"/>
          <w:szCs w:val="44"/>
        </w:rPr>
        <w:t>目      录</w:t>
      </w:r>
    </w:p>
    <w:p>
      <w:pPr>
        <w:pStyle w:val="30"/>
        <w:rPr>
          <w:rFonts w:hint="eastAsia"/>
        </w:rPr>
      </w:pPr>
      <w:bookmarkStart w:id="0" w:name="_Toc347134769"/>
      <w:bookmarkStart w:id="1" w:name="_Toc101843108"/>
      <w:bookmarkStart w:id="2" w:name="_Toc46308679"/>
      <w:bookmarkStart w:id="3" w:name="_Toc98579049"/>
      <w:bookmarkStart w:id="4" w:name="_Toc98035084"/>
      <w:bookmarkStart w:id="5" w:name="_Toc98578991"/>
      <w:bookmarkStart w:id="6" w:name="_Toc46308523"/>
      <w:bookmarkStart w:id="7" w:name="_Toc41723912"/>
      <w:bookmarkStart w:id="8" w:name="_Toc42394652"/>
      <w:bookmarkStart w:id="9" w:name="_Toc101775108"/>
      <w:bookmarkStart w:id="10" w:name="_Toc42394495"/>
      <w:bookmarkStart w:id="11" w:name="_Toc272497408"/>
      <w:bookmarkStart w:id="12" w:name="_Toc175644385"/>
      <w:bookmarkStart w:id="13" w:name="_Toc101771355"/>
      <w:bookmarkStart w:id="14" w:name="_Toc42313150"/>
      <w:bookmarkStart w:id="15" w:name="_Toc98580273"/>
      <w:bookmarkStart w:id="16" w:name="_Toc41884682"/>
      <w:bookmarkStart w:id="17" w:name="_Toc98579590"/>
      <w:bookmarkStart w:id="18" w:name="_Toc273520766"/>
      <w:bookmarkStart w:id="19" w:name="_Toc101951241"/>
    </w:p>
    <w:p>
      <w:pPr>
        <w:pStyle w:val="30"/>
        <w:rPr>
          <w:rFonts w:ascii="Calibri" w:hAnsi="Calibri"/>
          <w:b w:val="0"/>
          <w:bCs w:val="0"/>
          <w:caps w:val="0"/>
          <w:kern w:val="2"/>
          <w:sz w:val="24"/>
          <w:szCs w:val="24"/>
          <w:lang/>
        </w:rPr>
      </w:pPr>
      <w:r>
        <w:rPr>
          <w:sz w:val="24"/>
          <w:szCs w:val="24"/>
          <w:lang w:val="zh-CN"/>
        </w:rPr>
        <w:fldChar w:fldCharType="begin"/>
      </w:r>
      <w:r>
        <w:rPr>
          <w:sz w:val="24"/>
          <w:szCs w:val="24"/>
          <w:lang w:val="zh-CN"/>
        </w:rPr>
        <w:instrText xml:space="preserve"> TOC \o "1-3" \h \z \u </w:instrText>
      </w:r>
      <w:r>
        <w:rPr>
          <w:sz w:val="24"/>
          <w:szCs w:val="24"/>
          <w:lang w:val="zh-CN"/>
        </w:rPr>
        <w:fldChar w:fldCharType="separate"/>
      </w:r>
      <w:r>
        <w:rPr>
          <w:rStyle w:val="52"/>
          <w:sz w:val="24"/>
          <w:szCs w:val="24"/>
          <w:lang/>
        </w:rPr>
        <w:fldChar w:fldCharType="begin"/>
      </w:r>
      <w:r>
        <w:rPr>
          <w:rStyle w:val="52"/>
          <w:sz w:val="24"/>
          <w:szCs w:val="24"/>
          <w:lang/>
        </w:rPr>
        <w:instrText xml:space="preserve"> </w:instrText>
      </w:r>
      <w:r>
        <w:rPr>
          <w:sz w:val="24"/>
          <w:szCs w:val="24"/>
          <w:lang/>
        </w:rPr>
        <w:instrText xml:space="preserve">HYPERLINK \l "_Toc13227278"</w:instrText>
      </w:r>
      <w:r>
        <w:rPr>
          <w:rStyle w:val="52"/>
          <w:sz w:val="24"/>
          <w:szCs w:val="24"/>
          <w:lang/>
        </w:rPr>
        <w:instrText xml:space="preserve"> </w:instrText>
      </w:r>
      <w:r>
        <w:rPr>
          <w:rStyle w:val="52"/>
          <w:sz w:val="24"/>
          <w:szCs w:val="24"/>
          <w:lang/>
        </w:rPr>
        <w:fldChar w:fldCharType="separate"/>
      </w:r>
      <w:r>
        <w:rPr>
          <w:rStyle w:val="52"/>
          <w:rFonts w:hint="eastAsia" w:ascii="宋体" w:hAnsi="宋体"/>
          <w:sz w:val="24"/>
          <w:szCs w:val="24"/>
          <w:lang/>
        </w:rPr>
        <w:t>第一部分</w:t>
      </w:r>
      <w:r>
        <w:rPr>
          <w:rStyle w:val="52"/>
          <w:rFonts w:ascii="宋体" w:hAnsi="宋体"/>
          <w:sz w:val="24"/>
          <w:szCs w:val="24"/>
          <w:lang/>
        </w:rPr>
        <w:t xml:space="preserve">  </w:t>
      </w:r>
      <w:r>
        <w:rPr>
          <w:rStyle w:val="52"/>
          <w:rFonts w:hint="eastAsia" w:ascii="宋体" w:hAnsi="宋体"/>
          <w:sz w:val="24"/>
          <w:szCs w:val="24"/>
          <w:lang/>
        </w:rPr>
        <w:t>招标公告</w:t>
      </w:r>
      <w:r>
        <w:rPr>
          <w:sz w:val="24"/>
          <w:szCs w:val="24"/>
          <w:lang/>
        </w:rPr>
        <w:tab/>
      </w:r>
      <w:r>
        <w:rPr>
          <w:sz w:val="24"/>
          <w:szCs w:val="24"/>
          <w:lang/>
        </w:rPr>
        <w:fldChar w:fldCharType="begin"/>
      </w:r>
      <w:r>
        <w:rPr>
          <w:sz w:val="24"/>
          <w:szCs w:val="24"/>
          <w:lang/>
        </w:rPr>
        <w:instrText xml:space="preserve"> PAGEREF _Toc13227278 \h </w:instrText>
      </w:r>
      <w:r>
        <w:rPr>
          <w:sz w:val="24"/>
          <w:szCs w:val="24"/>
          <w:lang/>
        </w:rPr>
        <w:fldChar w:fldCharType="separate"/>
      </w:r>
      <w:r>
        <w:rPr>
          <w:sz w:val="24"/>
          <w:szCs w:val="24"/>
          <w:lang/>
        </w:rPr>
        <w:t>3</w:t>
      </w:r>
      <w:r>
        <w:rPr>
          <w:sz w:val="24"/>
          <w:szCs w:val="24"/>
          <w:lang/>
        </w:rPr>
        <w:fldChar w:fldCharType="end"/>
      </w:r>
      <w:r>
        <w:rPr>
          <w:rStyle w:val="52"/>
          <w:sz w:val="24"/>
          <w:szCs w:val="24"/>
          <w:lang/>
        </w:rPr>
        <w:fldChar w:fldCharType="end"/>
      </w:r>
    </w:p>
    <w:p>
      <w:pPr>
        <w:pStyle w:val="30"/>
        <w:rPr>
          <w:rFonts w:ascii="Calibri" w:hAnsi="Calibri"/>
          <w:b w:val="0"/>
          <w:bCs w:val="0"/>
          <w:caps w:val="0"/>
          <w:kern w:val="2"/>
          <w:sz w:val="24"/>
          <w:szCs w:val="24"/>
          <w:lang/>
        </w:rPr>
      </w:pPr>
      <w:r>
        <w:rPr>
          <w:rStyle w:val="52"/>
          <w:sz w:val="24"/>
          <w:szCs w:val="24"/>
          <w:lang/>
        </w:rPr>
        <w:fldChar w:fldCharType="begin"/>
      </w:r>
      <w:r>
        <w:rPr>
          <w:rStyle w:val="52"/>
          <w:sz w:val="24"/>
          <w:szCs w:val="24"/>
          <w:lang/>
        </w:rPr>
        <w:instrText xml:space="preserve"> </w:instrText>
      </w:r>
      <w:r>
        <w:rPr>
          <w:sz w:val="24"/>
          <w:szCs w:val="24"/>
          <w:lang/>
        </w:rPr>
        <w:instrText xml:space="preserve">HYPERLINK \l "_Toc13227279"</w:instrText>
      </w:r>
      <w:r>
        <w:rPr>
          <w:rStyle w:val="52"/>
          <w:sz w:val="24"/>
          <w:szCs w:val="24"/>
          <w:lang/>
        </w:rPr>
        <w:instrText xml:space="preserve"> </w:instrText>
      </w:r>
      <w:r>
        <w:rPr>
          <w:rStyle w:val="52"/>
          <w:sz w:val="24"/>
          <w:szCs w:val="24"/>
          <w:lang/>
        </w:rPr>
        <w:fldChar w:fldCharType="separate"/>
      </w:r>
      <w:r>
        <w:rPr>
          <w:rStyle w:val="52"/>
          <w:rFonts w:hint="eastAsia" w:ascii="宋体" w:hAnsi="宋体"/>
          <w:sz w:val="24"/>
          <w:szCs w:val="24"/>
          <w:lang/>
        </w:rPr>
        <w:t>第二部分</w:t>
      </w:r>
      <w:r>
        <w:rPr>
          <w:rStyle w:val="52"/>
          <w:rFonts w:ascii="宋体" w:hAnsi="宋体"/>
          <w:sz w:val="24"/>
          <w:szCs w:val="24"/>
          <w:lang/>
        </w:rPr>
        <w:t xml:space="preserve"> </w:t>
      </w:r>
      <w:r>
        <w:rPr>
          <w:rStyle w:val="52"/>
          <w:rFonts w:hint="eastAsia" w:ascii="宋体" w:hAnsi="宋体"/>
          <w:sz w:val="24"/>
          <w:szCs w:val="24"/>
          <w:lang/>
        </w:rPr>
        <w:t>投标人须知</w:t>
      </w:r>
      <w:r>
        <w:rPr>
          <w:sz w:val="24"/>
          <w:szCs w:val="24"/>
          <w:lang/>
        </w:rPr>
        <w:tab/>
      </w:r>
      <w:r>
        <w:rPr>
          <w:sz w:val="24"/>
          <w:szCs w:val="24"/>
          <w:lang/>
        </w:rPr>
        <w:fldChar w:fldCharType="begin"/>
      </w:r>
      <w:r>
        <w:rPr>
          <w:sz w:val="24"/>
          <w:szCs w:val="24"/>
          <w:lang/>
        </w:rPr>
        <w:instrText xml:space="preserve"> PAGEREF _Toc13227279 \h </w:instrText>
      </w:r>
      <w:r>
        <w:rPr>
          <w:sz w:val="24"/>
          <w:szCs w:val="24"/>
          <w:lang/>
        </w:rPr>
        <w:fldChar w:fldCharType="separate"/>
      </w:r>
      <w:r>
        <w:rPr>
          <w:sz w:val="24"/>
          <w:szCs w:val="24"/>
          <w:lang/>
        </w:rPr>
        <w:t>5</w:t>
      </w:r>
      <w:r>
        <w:rPr>
          <w:sz w:val="24"/>
          <w:szCs w:val="24"/>
          <w:lang/>
        </w:rPr>
        <w:fldChar w:fldCharType="end"/>
      </w:r>
      <w:r>
        <w:rPr>
          <w:rStyle w:val="52"/>
          <w:sz w:val="24"/>
          <w:szCs w:val="24"/>
          <w:lang/>
        </w:rPr>
        <w:fldChar w:fldCharType="end"/>
      </w:r>
    </w:p>
    <w:p>
      <w:pPr>
        <w:pStyle w:val="30"/>
        <w:rPr>
          <w:rFonts w:ascii="Calibri" w:hAnsi="Calibri"/>
          <w:b w:val="0"/>
          <w:bCs w:val="0"/>
          <w:caps w:val="0"/>
          <w:kern w:val="2"/>
          <w:sz w:val="24"/>
          <w:szCs w:val="24"/>
          <w:lang/>
        </w:rPr>
      </w:pPr>
      <w:r>
        <w:rPr>
          <w:rStyle w:val="52"/>
          <w:sz w:val="24"/>
          <w:szCs w:val="24"/>
          <w:lang/>
        </w:rPr>
        <w:fldChar w:fldCharType="begin"/>
      </w:r>
      <w:r>
        <w:rPr>
          <w:rStyle w:val="52"/>
          <w:sz w:val="24"/>
          <w:szCs w:val="24"/>
          <w:lang/>
        </w:rPr>
        <w:instrText xml:space="preserve"> </w:instrText>
      </w:r>
      <w:r>
        <w:rPr>
          <w:sz w:val="24"/>
          <w:szCs w:val="24"/>
          <w:lang/>
        </w:rPr>
        <w:instrText xml:space="preserve">HYPERLINK \l "_Toc13227282"</w:instrText>
      </w:r>
      <w:r>
        <w:rPr>
          <w:rStyle w:val="52"/>
          <w:sz w:val="24"/>
          <w:szCs w:val="24"/>
          <w:lang/>
        </w:rPr>
        <w:instrText xml:space="preserve"> </w:instrText>
      </w:r>
      <w:r>
        <w:rPr>
          <w:rStyle w:val="52"/>
          <w:sz w:val="24"/>
          <w:szCs w:val="24"/>
          <w:lang/>
        </w:rPr>
        <w:fldChar w:fldCharType="separate"/>
      </w:r>
      <w:r>
        <w:rPr>
          <w:rStyle w:val="52"/>
          <w:rFonts w:hint="eastAsia" w:ascii="宋体" w:hAnsi="宋体"/>
          <w:sz w:val="24"/>
          <w:szCs w:val="24"/>
          <w:lang/>
        </w:rPr>
        <w:t>第三部分</w:t>
      </w:r>
      <w:r>
        <w:rPr>
          <w:rStyle w:val="52"/>
          <w:rFonts w:ascii="宋体" w:hAnsi="宋体"/>
          <w:sz w:val="24"/>
          <w:szCs w:val="24"/>
          <w:lang/>
        </w:rPr>
        <w:t xml:space="preserve">  </w:t>
      </w:r>
      <w:r>
        <w:rPr>
          <w:rStyle w:val="52"/>
          <w:rFonts w:hint="eastAsia" w:ascii="宋体" w:hAnsi="宋体"/>
          <w:sz w:val="24"/>
          <w:szCs w:val="24"/>
          <w:lang/>
        </w:rPr>
        <w:t>招标项目概述及要求</w:t>
      </w:r>
      <w:r>
        <w:rPr>
          <w:sz w:val="24"/>
          <w:szCs w:val="24"/>
          <w:lang/>
        </w:rPr>
        <w:tab/>
      </w:r>
      <w:r>
        <w:rPr>
          <w:sz w:val="24"/>
          <w:szCs w:val="24"/>
          <w:lang/>
        </w:rPr>
        <w:fldChar w:fldCharType="begin"/>
      </w:r>
      <w:r>
        <w:rPr>
          <w:sz w:val="24"/>
          <w:szCs w:val="24"/>
          <w:lang/>
        </w:rPr>
        <w:instrText xml:space="preserve"> PAGEREF _Toc13227282 \h </w:instrText>
      </w:r>
      <w:r>
        <w:rPr>
          <w:sz w:val="24"/>
          <w:szCs w:val="24"/>
          <w:lang/>
        </w:rPr>
        <w:fldChar w:fldCharType="separate"/>
      </w:r>
      <w:r>
        <w:rPr>
          <w:sz w:val="24"/>
          <w:szCs w:val="24"/>
          <w:lang/>
        </w:rPr>
        <w:t>14</w:t>
      </w:r>
      <w:r>
        <w:rPr>
          <w:sz w:val="24"/>
          <w:szCs w:val="24"/>
          <w:lang/>
        </w:rPr>
        <w:fldChar w:fldCharType="end"/>
      </w:r>
      <w:r>
        <w:rPr>
          <w:rStyle w:val="52"/>
          <w:sz w:val="24"/>
          <w:szCs w:val="24"/>
          <w:lang/>
        </w:rPr>
        <w:fldChar w:fldCharType="end"/>
      </w:r>
    </w:p>
    <w:p>
      <w:pPr>
        <w:pStyle w:val="30"/>
        <w:rPr>
          <w:rFonts w:ascii="Calibri" w:hAnsi="Calibri"/>
          <w:b w:val="0"/>
          <w:bCs w:val="0"/>
          <w:caps w:val="0"/>
          <w:kern w:val="2"/>
          <w:sz w:val="24"/>
          <w:szCs w:val="24"/>
          <w:lang/>
        </w:rPr>
      </w:pPr>
      <w:r>
        <w:rPr>
          <w:rStyle w:val="52"/>
          <w:sz w:val="24"/>
          <w:szCs w:val="24"/>
          <w:lang/>
        </w:rPr>
        <w:fldChar w:fldCharType="begin"/>
      </w:r>
      <w:r>
        <w:rPr>
          <w:rStyle w:val="52"/>
          <w:sz w:val="24"/>
          <w:szCs w:val="24"/>
          <w:lang/>
        </w:rPr>
        <w:instrText xml:space="preserve"> </w:instrText>
      </w:r>
      <w:r>
        <w:rPr>
          <w:sz w:val="24"/>
          <w:szCs w:val="24"/>
          <w:lang/>
        </w:rPr>
        <w:instrText xml:space="preserve">HYPERLINK \l "_Toc13227283"</w:instrText>
      </w:r>
      <w:r>
        <w:rPr>
          <w:rStyle w:val="52"/>
          <w:sz w:val="24"/>
          <w:szCs w:val="24"/>
          <w:lang/>
        </w:rPr>
        <w:instrText xml:space="preserve"> </w:instrText>
      </w:r>
      <w:r>
        <w:rPr>
          <w:rStyle w:val="52"/>
          <w:sz w:val="24"/>
          <w:szCs w:val="24"/>
          <w:lang/>
        </w:rPr>
        <w:fldChar w:fldCharType="separate"/>
      </w:r>
      <w:r>
        <w:rPr>
          <w:rStyle w:val="52"/>
          <w:rFonts w:hint="eastAsia" w:ascii="宋体" w:hAnsi="宋体"/>
          <w:sz w:val="24"/>
          <w:szCs w:val="24"/>
          <w:lang/>
        </w:rPr>
        <w:t>第四部分</w:t>
      </w:r>
      <w:r>
        <w:rPr>
          <w:rStyle w:val="52"/>
          <w:rFonts w:ascii="宋体" w:hAnsi="宋体"/>
          <w:sz w:val="24"/>
          <w:szCs w:val="24"/>
          <w:lang/>
        </w:rPr>
        <w:t xml:space="preserve">  </w:t>
      </w:r>
      <w:r>
        <w:rPr>
          <w:rStyle w:val="52"/>
          <w:rFonts w:hint="eastAsia" w:ascii="宋体" w:hAnsi="宋体"/>
          <w:sz w:val="24"/>
          <w:szCs w:val="24"/>
          <w:lang/>
        </w:rPr>
        <w:t>评标办法及标准</w:t>
      </w:r>
      <w:r>
        <w:rPr>
          <w:sz w:val="24"/>
          <w:szCs w:val="24"/>
          <w:lang/>
        </w:rPr>
        <w:tab/>
      </w:r>
      <w:r>
        <w:rPr>
          <w:sz w:val="24"/>
          <w:szCs w:val="24"/>
          <w:lang/>
        </w:rPr>
        <w:fldChar w:fldCharType="begin"/>
      </w:r>
      <w:r>
        <w:rPr>
          <w:sz w:val="24"/>
          <w:szCs w:val="24"/>
          <w:lang/>
        </w:rPr>
        <w:instrText xml:space="preserve"> PAGEREF _Toc13227283 \h </w:instrText>
      </w:r>
      <w:r>
        <w:rPr>
          <w:sz w:val="24"/>
          <w:szCs w:val="24"/>
          <w:lang/>
        </w:rPr>
        <w:fldChar w:fldCharType="separate"/>
      </w:r>
      <w:r>
        <w:rPr>
          <w:sz w:val="24"/>
          <w:szCs w:val="24"/>
          <w:lang/>
        </w:rPr>
        <w:t>24</w:t>
      </w:r>
      <w:r>
        <w:rPr>
          <w:sz w:val="24"/>
          <w:szCs w:val="24"/>
          <w:lang/>
        </w:rPr>
        <w:fldChar w:fldCharType="end"/>
      </w:r>
      <w:r>
        <w:rPr>
          <w:rStyle w:val="52"/>
          <w:sz w:val="24"/>
          <w:szCs w:val="24"/>
          <w:lang/>
        </w:rPr>
        <w:fldChar w:fldCharType="end"/>
      </w:r>
    </w:p>
    <w:p>
      <w:pPr>
        <w:pStyle w:val="30"/>
        <w:rPr>
          <w:rFonts w:ascii="Calibri" w:hAnsi="Calibri"/>
          <w:b w:val="0"/>
          <w:bCs w:val="0"/>
          <w:caps w:val="0"/>
          <w:kern w:val="2"/>
          <w:sz w:val="24"/>
          <w:szCs w:val="24"/>
          <w:lang/>
        </w:rPr>
      </w:pPr>
      <w:r>
        <w:rPr>
          <w:rStyle w:val="52"/>
          <w:sz w:val="24"/>
          <w:szCs w:val="24"/>
          <w:lang/>
        </w:rPr>
        <w:fldChar w:fldCharType="begin"/>
      </w:r>
      <w:r>
        <w:rPr>
          <w:rStyle w:val="52"/>
          <w:sz w:val="24"/>
          <w:szCs w:val="24"/>
          <w:lang/>
        </w:rPr>
        <w:instrText xml:space="preserve"> </w:instrText>
      </w:r>
      <w:r>
        <w:rPr>
          <w:sz w:val="24"/>
          <w:szCs w:val="24"/>
          <w:lang/>
        </w:rPr>
        <w:instrText xml:space="preserve">HYPERLINK \l "_Toc13227286"</w:instrText>
      </w:r>
      <w:r>
        <w:rPr>
          <w:rStyle w:val="52"/>
          <w:sz w:val="24"/>
          <w:szCs w:val="24"/>
          <w:lang/>
        </w:rPr>
        <w:instrText xml:space="preserve"> </w:instrText>
      </w:r>
      <w:r>
        <w:rPr>
          <w:rStyle w:val="52"/>
          <w:sz w:val="24"/>
          <w:szCs w:val="24"/>
          <w:lang/>
        </w:rPr>
        <w:fldChar w:fldCharType="separate"/>
      </w:r>
      <w:r>
        <w:rPr>
          <w:rStyle w:val="52"/>
          <w:rFonts w:hint="eastAsia" w:ascii="宋体" w:hAnsi="宋体"/>
          <w:sz w:val="24"/>
          <w:szCs w:val="24"/>
          <w:lang/>
        </w:rPr>
        <w:t>第五部分</w:t>
      </w:r>
      <w:r>
        <w:rPr>
          <w:rStyle w:val="52"/>
          <w:rFonts w:ascii="宋体" w:hAnsi="宋体"/>
          <w:sz w:val="24"/>
          <w:szCs w:val="24"/>
          <w:lang/>
        </w:rPr>
        <w:t xml:space="preserve"> </w:t>
      </w:r>
      <w:r>
        <w:rPr>
          <w:rStyle w:val="52"/>
          <w:rFonts w:hint="eastAsia" w:ascii="宋体" w:hAnsi="宋体"/>
          <w:sz w:val="24"/>
          <w:szCs w:val="24"/>
          <w:lang/>
        </w:rPr>
        <w:t>部分投标文件格式</w:t>
      </w:r>
      <w:r>
        <w:rPr>
          <w:sz w:val="24"/>
          <w:szCs w:val="24"/>
          <w:lang/>
        </w:rPr>
        <w:tab/>
      </w:r>
      <w:r>
        <w:rPr>
          <w:sz w:val="24"/>
          <w:szCs w:val="24"/>
          <w:lang/>
        </w:rPr>
        <w:fldChar w:fldCharType="begin"/>
      </w:r>
      <w:r>
        <w:rPr>
          <w:sz w:val="24"/>
          <w:szCs w:val="24"/>
          <w:lang/>
        </w:rPr>
        <w:instrText xml:space="preserve"> PAGEREF _Toc13227286 \h </w:instrText>
      </w:r>
      <w:r>
        <w:rPr>
          <w:sz w:val="24"/>
          <w:szCs w:val="24"/>
          <w:lang/>
        </w:rPr>
        <w:fldChar w:fldCharType="separate"/>
      </w:r>
      <w:r>
        <w:rPr>
          <w:sz w:val="24"/>
          <w:szCs w:val="24"/>
          <w:lang/>
        </w:rPr>
        <w:t>26</w:t>
      </w:r>
      <w:r>
        <w:rPr>
          <w:sz w:val="24"/>
          <w:szCs w:val="24"/>
          <w:lang/>
        </w:rPr>
        <w:fldChar w:fldCharType="end"/>
      </w:r>
      <w:r>
        <w:rPr>
          <w:rStyle w:val="52"/>
          <w:sz w:val="24"/>
          <w:szCs w:val="24"/>
          <w:lang/>
        </w:rPr>
        <w:fldChar w:fldCharType="end"/>
      </w:r>
    </w:p>
    <w:p>
      <w:r>
        <w:rPr>
          <w:b/>
          <w:bCs/>
          <w:sz w:val="24"/>
          <w:szCs w:val="24"/>
          <w:lang w:val="zh-CN"/>
        </w:rPr>
        <w:fldChar w:fldCharType="end"/>
      </w:r>
    </w:p>
    <w:p/>
    <w:p/>
    <w:p/>
    <w:p/>
    <w:p/>
    <w:p/>
    <w:p/>
    <w:p/>
    <w:p>
      <w:pPr>
        <w:rPr>
          <w:rFonts w:hint="eastAsia"/>
        </w:rPr>
      </w:pPr>
    </w:p>
    <w:p/>
    <w:p/>
    <w:p/>
    <w:p/>
    <w:p/>
    <w:p/>
    <w:p/>
    <w:p/>
    <w:p/>
    <w:p>
      <w:pPr>
        <w:rPr>
          <w:rFonts w:hint="eastAsia"/>
        </w:rPr>
      </w:pPr>
    </w:p>
    <w:p>
      <w:pPr>
        <w:rPr>
          <w:rFonts w:hint="eastAsia"/>
        </w:rPr>
      </w:pPr>
    </w:p>
    <w:p>
      <w:pPr>
        <w:rPr>
          <w:rFonts w:hint="eastAsia"/>
        </w:rPr>
      </w:pPr>
    </w:p>
    <w:p>
      <w:pPr>
        <w:pStyle w:val="2"/>
        <w:tabs>
          <w:tab w:val="center" w:pos="4819"/>
        </w:tabs>
        <w:spacing w:before="200" w:after="200" w:line="360" w:lineRule="auto"/>
        <w:jc w:val="center"/>
        <w:rPr>
          <w:rFonts w:hint="eastAsia" w:ascii="宋体" w:hAnsi="宋体"/>
          <w:sz w:val="32"/>
        </w:rPr>
      </w:pPr>
      <w:bookmarkStart w:id="20" w:name="_Toc13227278"/>
      <w:r>
        <w:rPr>
          <w:rFonts w:hint="eastAsia" w:ascii="宋体" w:hAnsi="宋体"/>
          <w:sz w:val="32"/>
        </w:rPr>
        <w:t>第一部分  招标公告</w:t>
      </w:r>
      <w:bookmarkEnd w:id="0"/>
      <w:bookmarkEnd w:id="20"/>
    </w:p>
    <w:p>
      <w:pPr>
        <w:spacing w:line="440" w:lineRule="exact"/>
        <w:ind w:firstLine="420" w:firstLineChars="200"/>
        <w:rPr>
          <w:rFonts w:hint="eastAsia" w:ascii="宋体" w:hAnsi="宋体"/>
          <w:szCs w:val="21"/>
        </w:rPr>
      </w:pPr>
      <w:bookmarkStart w:id="21" w:name="bt图纸"/>
      <w:bookmarkEnd w:id="21"/>
      <w:bookmarkStart w:id="22" w:name="bt投标须知"/>
      <w:bookmarkEnd w:id="22"/>
      <w:bookmarkStart w:id="23" w:name="bt工程概况"/>
      <w:bookmarkEnd w:id="23"/>
      <w:r>
        <w:rPr>
          <w:rFonts w:hint="eastAsia" w:ascii="宋体" w:hAnsi="宋体"/>
          <w:szCs w:val="21"/>
        </w:rPr>
        <w:t>根据《中华人民共和国政府采购法》、</w:t>
      </w:r>
      <w:r>
        <w:rPr>
          <w:rFonts w:ascii="宋体" w:hAnsi="宋体"/>
          <w:szCs w:val="21"/>
        </w:rPr>
        <w:t>《政府采购货物和服务招标投标管理办法》及</w:t>
      </w:r>
      <w:r>
        <w:rPr>
          <w:rFonts w:hint="eastAsia" w:ascii="宋体" w:hAnsi="宋体"/>
          <w:szCs w:val="21"/>
        </w:rPr>
        <w:t>其他</w:t>
      </w:r>
      <w:r>
        <w:rPr>
          <w:rFonts w:ascii="宋体" w:hAnsi="宋体"/>
          <w:szCs w:val="21"/>
        </w:rPr>
        <w:t>政府采购</w:t>
      </w:r>
      <w:r>
        <w:rPr>
          <w:rFonts w:hint="eastAsia" w:ascii="宋体" w:hAnsi="宋体"/>
          <w:szCs w:val="21"/>
        </w:rPr>
        <w:t>相</w:t>
      </w:r>
      <w:r>
        <w:rPr>
          <w:rFonts w:ascii="宋体" w:hAnsi="宋体"/>
          <w:szCs w:val="21"/>
        </w:rPr>
        <w:t>关规定</w:t>
      </w:r>
      <w:r>
        <w:rPr>
          <w:rFonts w:hint="eastAsia" w:ascii="宋体" w:hAnsi="宋体"/>
          <w:szCs w:val="21"/>
        </w:rPr>
        <w:t>，浙江天诚工程咨询有限公司就镇海区炼化医院优质护理服务采购项目进行公开招标，欢迎符合资格条件的供应商参加投标。</w:t>
      </w:r>
    </w:p>
    <w:p>
      <w:pPr>
        <w:spacing w:line="360" w:lineRule="auto"/>
        <w:rPr>
          <w:rFonts w:hint="eastAsia" w:ascii="宋体" w:hAnsi="宋体" w:cs="宋体"/>
          <w:szCs w:val="24"/>
          <w:u w:val="single"/>
          <w:lang w:val="zh-CN"/>
        </w:rPr>
      </w:pPr>
      <w:r>
        <w:rPr>
          <w:rFonts w:hint="eastAsia" w:ascii="宋体" w:hAnsi="宋体"/>
          <w:lang w:val="zh-CN"/>
        </w:rPr>
        <w:t>一、采购编号：</w:t>
      </w:r>
      <w:r>
        <w:rPr>
          <w:rFonts w:hint="eastAsia" w:ascii="宋体" w:hAnsi="宋体"/>
        </w:rPr>
        <w:t>TC【2019】CG10</w:t>
      </w:r>
      <w:r>
        <w:rPr>
          <w:rFonts w:ascii="宋体" w:hAnsi="宋体"/>
        </w:rPr>
        <w:t>48</w:t>
      </w:r>
      <w:r>
        <w:rPr>
          <w:rFonts w:hint="eastAsia" w:ascii="宋体" w:hAnsi="宋体"/>
        </w:rPr>
        <w:t>号</w:t>
      </w:r>
    </w:p>
    <w:p>
      <w:pPr>
        <w:autoSpaceDE w:val="0"/>
        <w:autoSpaceDN w:val="0"/>
        <w:spacing w:line="360" w:lineRule="auto"/>
        <w:rPr>
          <w:rFonts w:hint="eastAsia" w:ascii="宋体" w:hAnsi="宋体"/>
        </w:rPr>
      </w:pPr>
      <w:r>
        <w:rPr>
          <w:rFonts w:hint="eastAsia" w:ascii="宋体" w:hAnsi="宋体"/>
        </w:rPr>
        <w:t>二、采购方式：公开招标</w:t>
      </w:r>
    </w:p>
    <w:p>
      <w:pPr>
        <w:autoSpaceDE w:val="0"/>
        <w:autoSpaceDN w:val="0"/>
        <w:spacing w:line="360" w:lineRule="auto"/>
        <w:rPr>
          <w:rFonts w:hint="eastAsia" w:ascii="宋体" w:hAnsi="宋体"/>
        </w:rPr>
      </w:pPr>
      <w:r>
        <w:rPr>
          <w:rFonts w:hint="eastAsia" w:ascii="宋体" w:hAnsi="宋体"/>
        </w:rPr>
        <w:t>三、项目概况：</w:t>
      </w:r>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9"/>
        <w:gridCol w:w="1559"/>
        <w:gridCol w:w="1985"/>
        <w:gridCol w:w="992"/>
        <w:gridCol w:w="2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1"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color w:val="000000"/>
                <w:szCs w:val="21"/>
              </w:rPr>
            </w:pPr>
            <w:r>
              <w:rPr>
                <w:rFonts w:hint="eastAsia" w:ascii="宋体" w:hAnsi="宋体" w:cs="Arial"/>
                <w:bCs/>
                <w:color w:val="000000"/>
                <w:szCs w:val="21"/>
              </w:rPr>
              <w:t>标包号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bCs/>
                <w:color w:val="000000"/>
                <w:szCs w:val="21"/>
              </w:rPr>
            </w:pPr>
            <w:r>
              <w:rPr>
                <w:rFonts w:hint="eastAsia" w:ascii="宋体" w:hAnsi="宋体" w:cs="Arial"/>
                <w:bCs/>
                <w:color w:val="000000"/>
                <w:szCs w:val="21"/>
              </w:rPr>
              <w:t>项目名称</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color w:val="000000"/>
                <w:szCs w:val="21"/>
              </w:rPr>
            </w:pPr>
            <w:r>
              <w:rPr>
                <w:rFonts w:hint="eastAsia" w:ascii="宋体" w:hAnsi="宋体" w:cs="Arial"/>
                <w:bCs/>
                <w:color w:val="000000"/>
                <w:szCs w:val="21"/>
              </w:rPr>
              <w:t>服务年限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color w:val="000000"/>
                <w:szCs w:val="21"/>
              </w:rPr>
            </w:pPr>
            <w:r>
              <w:rPr>
                <w:rFonts w:hint="eastAsia" w:ascii="宋体" w:hAnsi="宋体" w:cs="Arial"/>
                <w:bCs/>
                <w:color w:val="000000"/>
                <w:szCs w:val="21"/>
              </w:rPr>
              <w:t>预算价</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bCs/>
                <w:color w:val="000000"/>
                <w:szCs w:val="21"/>
              </w:rPr>
            </w:pPr>
            <w:r>
              <w:rPr>
                <w:rFonts w:hint="eastAsia" w:ascii="宋体" w:hAnsi="宋体" w:cs="Arial"/>
                <w:bCs/>
                <w:color w:val="000000"/>
                <w:szCs w:val="21"/>
              </w:rPr>
              <w:t>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95"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宋体" w:hAnsi="宋体" w:cs="Arial"/>
                <w:bCs/>
                <w:color w:val="000000"/>
                <w:szCs w:val="21"/>
              </w:rPr>
            </w:pPr>
            <w:r>
              <w:rPr>
                <w:rFonts w:hint="eastAsia" w:ascii="宋体" w:hAnsi="宋体" w:cs="Arial"/>
                <w:bCs/>
                <w:color w:val="000000"/>
                <w:szCs w:val="21"/>
              </w:rPr>
              <w:t>一</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Arial"/>
                <w:bCs/>
                <w:color w:val="000000"/>
                <w:szCs w:val="21"/>
              </w:rPr>
            </w:pPr>
            <w:r>
              <w:rPr>
                <w:rFonts w:hint="eastAsia" w:ascii="宋体" w:hAnsi="宋体"/>
                <w:szCs w:val="21"/>
              </w:rPr>
              <w:t>镇海区炼化医院优质护理服务采购项目</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Arial"/>
                <w:bCs/>
                <w:color w:val="FF0000"/>
                <w:szCs w:val="21"/>
              </w:rPr>
            </w:pPr>
            <w:r>
              <w:rPr>
                <w:rFonts w:hint="eastAsia" w:ascii="宋体" w:hAnsi="宋体"/>
                <w:szCs w:val="21"/>
              </w:rPr>
              <w:t>三年，合同一年一签，经考核合格后续签下一年合同</w:t>
            </w:r>
            <w:r>
              <w:rPr>
                <w:rFonts w:hint="eastAsia" w:ascii="宋体" w:hAnsi="宋体"/>
                <w:color w:val="FF0000"/>
                <w:szCs w:val="21"/>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szCs w:val="21"/>
              </w:rPr>
            </w:pPr>
            <w:r>
              <w:rPr>
                <w:rFonts w:hint="eastAsia" w:ascii="宋体" w:hAnsi="宋体"/>
                <w:szCs w:val="21"/>
              </w:rPr>
              <w:t>90万元</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Arial"/>
                <w:bCs/>
                <w:color w:val="000000"/>
                <w:szCs w:val="21"/>
              </w:rPr>
            </w:pPr>
            <w:r>
              <w:rPr>
                <w:rFonts w:hint="eastAsia" w:ascii="宋体" w:hAnsi="宋体"/>
                <w:szCs w:val="21"/>
              </w:rPr>
              <w:t xml:space="preserve">提供优质病区护理员6名，不包括陪护管理人员。具体详见项目概况及要求。 </w:t>
            </w:r>
          </w:p>
        </w:tc>
      </w:tr>
    </w:tbl>
    <w:p>
      <w:pPr>
        <w:autoSpaceDE w:val="0"/>
        <w:autoSpaceDN w:val="0"/>
        <w:spacing w:line="360" w:lineRule="auto"/>
        <w:rPr>
          <w:rFonts w:hint="eastAsia" w:ascii="宋体" w:hAnsi="宋体" w:cs="Arial"/>
          <w:szCs w:val="24"/>
        </w:rPr>
      </w:pPr>
      <w:r>
        <w:rPr>
          <w:rFonts w:hint="eastAsia" w:ascii="宋体" w:hAnsi="宋体"/>
          <w:lang w:val="zh-CN"/>
        </w:rPr>
        <w:t>四、</w:t>
      </w:r>
      <w:r>
        <w:rPr>
          <w:rFonts w:hint="eastAsia" w:ascii="宋体" w:hAnsi="宋体" w:cs="Arial"/>
          <w:bCs/>
          <w:color w:val="000000"/>
          <w:szCs w:val="21"/>
        </w:rPr>
        <w:t>合格投标人的资格要求</w:t>
      </w:r>
      <w:r>
        <w:rPr>
          <w:rFonts w:hint="eastAsia" w:ascii="宋体" w:hAnsi="宋体"/>
          <w:lang w:val="zh-CN"/>
        </w:rPr>
        <w:t>：</w:t>
      </w:r>
    </w:p>
    <w:p>
      <w:pPr>
        <w:spacing w:line="440" w:lineRule="exact"/>
        <w:ind w:firstLine="105" w:firstLineChars="50"/>
        <w:rPr>
          <w:rFonts w:hint="eastAsia" w:ascii="宋体" w:hAnsi="宋体" w:cs="Arial"/>
          <w:bCs/>
          <w:color w:val="000000"/>
          <w:szCs w:val="21"/>
        </w:rPr>
      </w:pPr>
      <w:r>
        <w:rPr>
          <w:rFonts w:hint="eastAsia" w:ascii="宋体" w:hAnsi="宋体" w:cs="Arial"/>
          <w:color w:val="000000"/>
          <w:szCs w:val="21"/>
        </w:rPr>
        <w:t>（一）</w:t>
      </w:r>
      <w:r>
        <w:rPr>
          <w:rFonts w:ascii="宋体" w:hAnsi="宋体" w:cs="Arial"/>
          <w:color w:val="000000"/>
          <w:szCs w:val="21"/>
        </w:rPr>
        <w:t>符合</w:t>
      </w:r>
      <w:r>
        <w:rPr>
          <w:rFonts w:hint="eastAsia" w:ascii="宋体" w:hAnsi="宋体" w:cs="Arial"/>
          <w:color w:val="000000"/>
          <w:szCs w:val="21"/>
        </w:rPr>
        <w:t>《中华人民共和国</w:t>
      </w:r>
      <w:r>
        <w:rPr>
          <w:rFonts w:ascii="宋体" w:hAnsi="宋体" w:cs="Arial"/>
          <w:color w:val="000000"/>
          <w:szCs w:val="21"/>
        </w:rPr>
        <w:t>政府采购法</w:t>
      </w:r>
      <w:r>
        <w:rPr>
          <w:rFonts w:hint="eastAsia" w:ascii="宋体" w:hAnsi="宋体" w:cs="Arial"/>
          <w:color w:val="000000"/>
          <w:szCs w:val="21"/>
        </w:rPr>
        <w:t>》</w:t>
      </w:r>
      <w:r>
        <w:rPr>
          <w:rFonts w:ascii="宋体" w:hAnsi="宋体" w:cs="Arial"/>
          <w:color w:val="000000"/>
          <w:szCs w:val="21"/>
        </w:rPr>
        <w:t>第二十二条规定的投标人资格条件</w:t>
      </w:r>
      <w:r>
        <w:rPr>
          <w:rFonts w:hint="eastAsia" w:ascii="宋体" w:hAnsi="宋体" w:cs="Arial"/>
          <w:color w:val="000000"/>
          <w:szCs w:val="21"/>
        </w:rPr>
        <w:t>：</w:t>
      </w:r>
      <w:r>
        <w:rPr>
          <w:rFonts w:hint="eastAsia" w:ascii="宋体" w:hAnsi="宋体" w:cs="Arial"/>
          <w:bCs/>
          <w:color w:val="000000"/>
          <w:szCs w:val="21"/>
        </w:rPr>
        <w:t xml:space="preserve"> </w:t>
      </w:r>
    </w:p>
    <w:p>
      <w:pPr>
        <w:spacing w:line="440" w:lineRule="exact"/>
        <w:ind w:firstLine="525" w:firstLineChars="250"/>
        <w:rPr>
          <w:rFonts w:hint="eastAsia" w:ascii="宋体" w:hAnsi="宋体" w:cs="Arial"/>
          <w:bCs/>
          <w:color w:val="000000"/>
          <w:szCs w:val="21"/>
        </w:rPr>
      </w:pPr>
      <w:r>
        <w:rPr>
          <w:rFonts w:hint="eastAsia" w:ascii="宋体" w:hAnsi="宋体"/>
          <w:szCs w:val="21"/>
        </w:rPr>
        <w:t>1、具有独立承担民事责任的能力；</w:t>
      </w:r>
    </w:p>
    <w:p>
      <w:pPr>
        <w:spacing w:line="440" w:lineRule="exact"/>
        <w:ind w:firstLine="525" w:firstLineChars="250"/>
        <w:rPr>
          <w:rFonts w:hint="eastAsia" w:ascii="宋体" w:hAnsi="宋体"/>
          <w:szCs w:val="21"/>
        </w:rPr>
      </w:pPr>
      <w:r>
        <w:rPr>
          <w:rFonts w:hint="eastAsia" w:ascii="宋体" w:hAnsi="宋体"/>
          <w:szCs w:val="21"/>
        </w:rPr>
        <w:t>2、具有良好的商业信誉和健全的财务会计制度；</w:t>
      </w:r>
    </w:p>
    <w:p>
      <w:pPr>
        <w:spacing w:line="440" w:lineRule="exact"/>
        <w:ind w:firstLine="525" w:firstLineChars="250"/>
        <w:rPr>
          <w:rFonts w:hint="eastAsia" w:ascii="宋体" w:hAnsi="宋体"/>
          <w:szCs w:val="21"/>
        </w:rPr>
      </w:pPr>
      <w:r>
        <w:rPr>
          <w:rFonts w:hint="eastAsia" w:ascii="宋体" w:hAnsi="宋体"/>
          <w:szCs w:val="21"/>
        </w:rPr>
        <w:t>3、具有履行合同所必需的设备和专业技术能力；</w:t>
      </w:r>
    </w:p>
    <w:p>
      <w:pPr>
        <w:spacing w:line="440" w:lineRule="exact"/>
        <w:ind w:firstLine="525" w:firstLineChars="250"/>
        <w:rPr>
          <w:rFonts w:hint="eastAsia" w:ascii="宋体" w:hAnsi="宋体"/>
          <w:szCs w:val="21"/>
        </w:rPr>
      </w:pPr>
      <w:r>
        <w:rPr>
          <w:rFonts w:hint="eastAsia" w:ascii="宋体" w:hAnsi="宋体"/>
          <w:szCs w:val="21"/>
        </w:rPr>
        <w:t>4、有依法缴纳税收和社会保障资金的良好记录；</w:t>
      </w:r>
    </w:p>
    <w:p>
      <w:pPr>
        <w:spacing w:line="440" w:lineRule="exact"/>
        <w:ind w:firstLine="525" w:firstLineChars="250"/>
        <w:rPr>
          <w:rFonts w:hint="eastAsia" w:ascii="宋体" w:hAnsi="宋体"/>
          <w:szCs w:val="21"/>
        </w:rPr>
      </w:pPr>
      <w:r>
        <w:rPr>
          <w:rFonts w:hint="eastAsia" w:ascii="宋体" w:hAnsi="宋体"/>
          <w:szCs w:val="21"/>
        </w:rPr>
        <w:t>5、参加政府采购活动前三年内，在经营活动中没有重大违法记录。</w:t>
      </w:r>
    </w:p>
    <w:p>
      <w:pPr>
        <w:spacing w:line="440" w:lineRule="exact"/>
        <w:ind w:firstLine="315" w:firstLineChars="150"/>
        <w:rPr>
          <w:rFonts w:hint="eastAsia" w:ascii="宋体" w:hAnsi="宋体"/>
          <w:szCs w:val="21"/>
        </w:rPr>
      </w:pPr>
      <w:r>
        <w:rPr>
          <w:rFonts w:hint="eastAsia" w:ascii="宋体" w:hAnsi="宋体" w:cs="Arial"/>
          <w:color w:val="000000"/>
          <w:szCs w:val="21"/>
        </w:rPr>
        <w:t>（二）本项目特定条件：</w:t>
      </w:r>
      <w:r>
        <w:rPr>
          <w:rFonts w:hint="eastAsia" w:ascii="宋体" w:hAnsi="宋体"/>
          <w:szCs w:val="21"/>
        </w:rPr>
        <w:t>具有独立企业法人资格；本项目不接受联合体投标；</w:t>
      </w:r>
    </w:p>
    <w:p>
      <w:pPr>
        <w:spacing w:line="460" w:lineRule="exact"/>
        <w:ind w:firstLine="420" w:firstLineChars="200"/>
        <w:rPr>
          <w:rFonts w:ascii="宋体" w:hAnsi="宋体" w:cs="宋体"/>
          <w:szCs w:val="21"/>
        </w:rPr>
      </w:pPr>
      <w:r>
        <w:rPr>
          <w:rFonts w:hint="eastAsia" w:ascii="宋体" w:hAnsi="宋体" w:cs="宋体"/>
          <w:szCs w:val="21"/>
        </w:rPr>
        <w:t>（三）未被信用中国网站（</w:t>
      </w:r>
      <w:r>
        <w:rPr>
          <w:rFonts w:ascii="宋体" w:hAnsi="宋体" w:cs="宋体"/>
          <w:szCs w:val="21"/>
        </w:rPr>
        <w:t>www.creditchina.gov.cn</w:t>
      </w:r>
      <w:r>
        <w:rPr>
          <w:rFonts w:hint="eastAsia" w:ascii="宋体" w:hAnsi="宋体" w:cs="宋体"/>
          <w:szCs w:val="21"/>
        </w:rPr>
        <w:t>）列入失信被执行人、重大税收违法案件当事人名单；未被中国政府采购网（</w:t>
      </w:r>
      <w:r>
        <w:rPr>
          <w:rFonts w:ascii="宋体" w:hAnsi="宋体" w:cs="宋体"/>
          <w:szCs w:val="21"/>
        </w:rPr>
        <w:t>www.ccgp.gov.cn</w:t>
      </w:r>
      <w:r>
        <w:rPr>
          <w:rFonts w:hint="eastAsia" w:ascii="宋体" w:hAnsi="宋体" w:cs="宋体"/>
          <w:szCs w:val="21"/>
        </w:rPr>
        <w:t>）列入政府采购严重违法失信行为记录名单。</w:t>
      </w:r>
    </w:p>
    <w:p>
      <w:pPr>
        <w:spacing w:line="440" w:lineRule="exact"/>
        <w:ind w:firstLine="315" w:firstLineChars="150"/>
        <w:rPr>
          <w:rFonts w:hint="eastAsia" w:ascii="宋体" w:hAnsi="宋体" w:cs="Arial"/>
          <w:color w:val="000000"/>
          <w:szCs w:val="21"/>
        </w:rPr>
      </w:pPr>
      <w:r>
        <w:rPr>
          <w:rFonts w:hint="eastAsia" w:ascii="宋体" w:hAnsi="宋体" w:cs="宋体"/>
          <w:szCs w:val="21"/>
        </w:rPr>
        <w:t>（四）</w:t>
      </w:r>
      <w:r>
        <w:rPr>
          <w:rFonts w:ascii="宋体" w:hAnsi="宋体" w:cs="宋体"/>
          <w:szCs w:val="21"/>
        </w:rPr>
        <w:t>单位负责人为同一人或者存在直接控股、管理关系的不同</w:t>
      </w:r>
      <w:r>
        <w:rPr>
          <w:rFonts w:hint="eastAsia" w:ascii="宋体" w:hAnsi="宋体" w:cs="宋体"/>
          <w:szCs w:val="21"/>
        </w:rPr>
        <w:t>投标人</w:t>
      </w:r>
      <w:r>
        <w:rPr>
          <w:rFonts w:ascii="宋体" w:hAnsi="宋体" w:cs="宋体"/>
          <w:szCs w:val="21"/>
        </w:rPr>
        <w:t>，不得参加同一合同项下的政府采购活动</w:t>
      </w:r>
      <w:r>
        <w:rPr>
          <w:rFonts w:hint="eastAsia" w:ascii="宋体" w:hAnsi="宋体" w:cs="宋体"/>
          <w:szCs w:val="21"/>
        </w:rPr>
        <w:t>。</w:t>
      </w:r>
    </w:p>
    <w:p>
      <w:pPr>
        <w:spacing w:line="420" w:lineRule="exact"/>
        <w:ind w:right="180"/>
        <w:rPr>
          <w:rFonts w:hint="eastAsia" w:ascii="宋体" w:hAnsi="宋体"/>
          <w:szCs w:val="21"/>
        </w:rPr>
      </w:pPr>
      <w:r>
        <w:rPr>
          <w:rFonts w:hint="eastAsia" w:ascii="宋体" w:hAnsi="宋体"/>
          <w:szCs w:val="21"/>
        </w:rPr>
        <w:t>五、标书获取方式、时间、地点：</w:t>
      </w:r>
    </w:p>
    <w:p>
      <w:pPr>
        <w:spacing w:line="420" w:lineRule="exact"/>
        <w:ind w:left="420" w:leftChars="200" w:right="180"/>
        <w:rPr>
          <w:rFonts w:hint="eastAsia" w:ascii="宋体" w:hAnsi="宋体"/>
          <w:szCs w:val="21"/>
          <w:lang w:eastAsia="zh-Hans"/>
        </w:rPr>
      </w:pPr>
      <w:r>
        <w:rPr>
          <w:rFonts w:hint="eastAsia" w:ascii="宋体" w:hAnsi="宋体"/>
          <w:szCs w:val="21"/>
        </w:rPr>
        <w:t>1、</w:t>
      </w:r>
      <w:r>
        <w:rPr>
          <w:rFonts w:hint="eastAsia" w:ascii="宋体" w:hAnsi="宋体"/>
          <w:szCs w:val="21"/>
          <w:lang w:eastAsia="zh-Hans"/>
        </w:rPr>
        <w:t>标书发售日期：</w:t>
      </w:r>
      <w:r>
        <w:rPr>
          <w:rFonts w:hint="eastAsia" w:ascii="宋体" w:hAnsi="宋体"/>
          <w:szCs w:val="21"/>
        </w:rPr>
        <w:t>公告</w:t>
      </w:r>
      <w:r>
        <w:rPr>
          <w:rFonts w:hint="eastAsia" w:ascii="宋体" w:hAnsi="宋体"/>
          <w:szCs w:val="21"/>
          <w:lang w:eastAsia="zh-Hans"/>
        </w:rPr>
        <w:t>发布之日至201</w:t>
      </w:r>
      <w:r>
        <w:rPr>
          <w:rFonts w:ascii="宋体" w:hAnsi="宋体"/>
          <w:szCs w:val="21"/>
        </w:rPr>
        <w:t>9</w:t>
      </w:r>
      <w:r>
        <w:rPr>
          <w:rFonts w:hint="eastAsia" w:ascii="宋体" w:hAnsi="宋体"/>
          <w:szCs w:val="21"/>
          <w:lang w:eastAsia="zh-Hans"/>
        </w:rPr>
        <w:t>年</w:t>
      </w:r>
      <w:r>
        <w:rPr>
          <w:szCs w:val="21"/>
        </w:rPr>
        <w:t>8</w:t>
      </w:r>
      <w:r>
        <w:rPr>
          <w:rFonts w:hint="eastAsia" w:ascii="宋体" w:hAnsi="宋体"/>
          <w:szCs w:val="21"/>
          <w:lang w:eastAsia="zh-Hans"/>
        </w:rPr>
        <w:t>月</w:t>
      </w:r>
      <w:r>
        <w:rPr>
          <w:rFonts w:ascii="宋体" w:hAnsi="宋体"/>
          <w:szCs w:val="21"/>
        </w:rPr>
        <w:t>26</w:t>
      </w:r>
      <w:r>
        <w:rPr>
          <w:rFonts w:hint="eastAsia" w:ascii="宋体" w:hAnsi="宋体"/>
          <w:szCs w:val="21"/>
          <w:lang w:eastAsia="zh-Hans"/>
        </w:rPr>
        <w:t>日（节假日及法定假日除外），每天</w:t>
      </w:r>
      <w:r>
        <w:rPr>
          <w:rFonts w:ascii="宋体" w:hAnsi="宋体"/>
          <w:szCs w:val="21"/>
          <w:lang w:eastAsia="zh-Hans"/>
        </w:rPr>
        <w:t>9</w:t>
      </w:r>
      <w:r>
        <w:rPr>
          <w:rFonts w:hint="eastAsia" w:ascii="宋体" w:hAnsi="宋体"/>
          <w:szCs w:val="21"/>
        </w:rPr>
        <w:t>：00</w:t>
      </w:r>
      <w:r>
        <w:rPr>
          <w:rFonts w:hint="eastAsia" w:ascii="宋体" w:hAnsi="宋体"/>
          <w:szCs w:val="21"/>
          <w:lang w:eastAsia="zh-Hans"/>
        </w:rPr>
        <w:t>-11:00, 13:30-1</w:t>
      </w:r>
      <w:r>
        <w:rPr>
          <w:rFonts w:ascii="宋体" w:hAnsi="宋体"/>
          <w:szCs w:val="21"/>
          <w:lang w:eastAsia="zh-Hans"/>
        </w:rPr>
        <w:t>6</w:t>
      </w:r>
      <w:r>
        <w:rPr>
          <w:rFonts w:hint="eastAsia" w:ascii="宋体" w:hAnsi="宋体"/>
          <w:szCs w:val="21"/>
          <w:lang w:eastAsia="zh-Hans"/>
        </w:rPr>
        <w:t>:</w:t>
      </w:r>
      <w:r>
        <w:rPr>
          <w:rFonts w:ascii="宋体" w:hAnsi="宋体"/>
          <w:szCs w:val="21"/>
          <w:lang w:eastAsia="zh-Hans"/>
        </w:rPr>
        <w:t>3</w:t>
      </w:r>
      <w:r>
        <w:rPr>
          <w:rFonts w:hint="eastAsia" w:ascii="宋体" w:hAnsi="宋体"/>
          <w:szCs w:val="21"/>
          <w:lang w:eastAsia="zh-Hans"/>
        </w:rPr>
        <w:t>0（北京时间）。</w:t>
      </w:r>
    </w:p>
    <w:p>
      <w:pPr>
        <w:spacing w:line="420" w:lineRule="exact"/>
        <w:ind w:left="420" w:leftChars="200" w:right="180"/>
        <w:rPr>
          <w:rFonts w:hint="eastAsia" w:ascii="宋体" w:hAnsi="宋体"/>
          <w:szCs w:val="21"/>
          <w:lang w:eastAsia="zh-Hans"/>
        </w:rPr>
      </w:pPr>
      <w:r>
        <w:rPr>
          <w:rFonts w:hint="eastAsia" w:ascii="宋体" w:hAnsi="宋体"/>
          <w:szCs w:val="21"/>
        </w:rPr>
        <w:t>2</w:t>
      </w:r>
      <w:r>
        <w:rPr>
          <w:rFonts w:hint="eastAsia" w:ascii="宋体" w:hAnsi="宋体"/>
          <w:szCs w:val="21"/>
          <w:lang w:eastAsia="zh-Hans"/>
        </w:rPr>
        <w:t>、招标文件售价为每份300元人民币，招标文件售后不退。</w:t>
      </w:r>
    </w:p>
    <w:p>
      <w:pPr>
        <w:spacing w:line="420" w:lineRule="exact"/>
        <w:ind w:left="420" w:leftChars="200" w:right="180"/>
        <w:rPr>
          <w:rFonts w:hint="eastAsia" w:ascii="宋体" w:hAnsi="宋体"/>
          <w:szCs w:val="21"/>
          <w:lang w:eastAsia="zh-Hans"/>
        </w:rPr>
      </w:pPr>
      <w:r>
        <w:rPr>
          <w:rFonts w:hint="eastAsia" w:ascii="宋体" w:hAnsi="宋体"/>
          <w:szCs w:val="21"/>
        </w:rPr>
        <w:t>3</w:t>
      </w:r>
      <w:r>
        <w:rPr>
          <w:rFonts w:hint="eastAsia" w:ascii="宋体" w:hAnsi="宋体"/>
          <w:szCs w:val="21"/>
          <w:lang w:eastAsia="zh-Hans"/>
        </w:rPr>
        <w:t>、购买标书地址：浙江天诚工程咨询有限公司（ 宁波市鄞州区江南路599号科技大厦四楼）。</w:t>
      </w:r>
    </w:p>
    <w:p>
      <w:pPr>
        <w:spacing w:line="420" w:lineRule="exact"/>
        <w:ind w:left="420" w:leftChars="200" w:right="180"/>
        <w:rPr>
          <w:rFonts w:hint="eastAsia" w:ascii="宋体" w:hAnsi="宋体"/>
          <w:szCs w:val="21"/>
        </w:rPr>
      </w:pPr>
      <w:r>
        <w:rPr>
          <w:rFonts w:hint="eastAsia" w:ascii="宋体" w:hAnsi="宋体"/>
          <w:szCs w:val="21"/>
        </w:rPr>
        <w:t>4</w:t>
      </w:r>
      <w:r>
        <w:rPr>
          <w:rFonts w:hint="eastAsia" w:ascii="宋体" w:hAnsi="宋体"/>
          <w:szCs w:val="21"/>
          <w:lang w:eastAsia="zh-Hans"/>
        </w:rPr>
        <w:t>、购买标书资料：营业执照</w:t>
      </w:r>
      <w:r>
        <w:rPr>
          <w:rFonts w:hint="eastAsia" w:ascii="宋体" w:hAnsi="宋体"/>
          <w:szCs w:val="21"/>
        </w:rPr>
        <w:t>、</w:t>
      </w:r>
      <w:r>
        <w:rPr>
          <w:rFonts w:hint="eastAsia" w:ascii="宋体" w:hAnsi="宋体"/>
          <w:szCs w:val="21"/>
          <w:lang w:eastAsia="zh-Hans"/>
        </w:rPr>
        <w:t>开户许可证</w:t>
      </w:r>
      <w:r>
        <w:rPr>
          <w:rFonts w:ascii="宋体" w:hAnsi="宋体"/>
          <w:szCs w:val="21"/>
        </w:rPr>
        <w:t>复印件</w:t>
      </w:r>
      <w:r>
        <w:rPr>
          <w:rFonts w:hint="eastAsia" w:ascii="宋体" w:hAnsi="宋体"/>
          <w:szCs w:val="21"/>
          <w:lang w:eastAsia="zh-Hans"/>
        </w:rPr>
        <w:t>加盖公章。</w:t>
      </w:r>
    </w:p>
    <w:p>
      <w:pPr>
        <w:spacing w:line="420" w:lineRule="exact"/>
        <w:ind w:right="180"/>
        <w:rPr>
          <w:rFonts w:hint="eastAsia" w:ascii="宋体" w:hAnsi="宋体"/>
          <w:szCs w:val="21"/>
        </w:rPr>
      </w:pPr>
      <w:r>
        <w:rPr>
          <w:rFonts w:hint="eastAsia" w:ascii="宋体" w:hAnsi="宋体"/>
          <w:szCs w:val="21"/>
        </w:rPr>
        <w:t>六</w:t>
      </w:r>
      <w:r>
        <w:rPr>
          <w:rFonts w:hint="eastAsia" w:ascii="宋体" w:hAnsi="宋体"/>
          <w:szCs w:val="21"/>
          <w:lang w:eastAsia="zh-Hans"/>
        </w:rPr>
        <w:t>、投标截止</w:t>
      </w:r>
      <w:r>
        <w:rPr>
          <w:rFonts w:hint="eastAsia" w:ascii="宋体" w:hAnsi="宋体"/>
          <w:szCs w:val="21"/>
        </w:rPr>
        <w:t>时间：</w:t>
      </w:r>
      <w:r>
        <w:rPr>
          <w:rFonts w:hint="eastAsia" w:ascii="宋体" w:hAnsi="宋体"/>
          <w:szCs w:val="21"/>
          <w:u w:val="single"/>
          <w:lang w:eastAsia="zh-Hans"/>
        </w:rPr>
        <w:t>201</w:t>
      </w:r>
      <w:r>
        <w:rPr>
          <w:rFonts w:ascii="宋体" w:hAnsi="宋体"/>
          <w:szCs w:val="21"/>
          <w:u w:val="single"/>
        </w:rPr>
        <w:t>9</w:t>
      </w:r>
      <w:r>
        <w:rPr>
          <w:rFonts w:hint="eastAsia" w:ascii="宋体" w:hAnsi="宋体"/>
          <w:szCs w:val="21"/>
          <w:lang w:eastAsia="zh-Hans"/>
        </w:rPr>
        <w:t>年</w:t>
      </w:r>
      <w:r>
        <w:rPr>
          <w:rFonts w:hint="eastAsia" w:ascii="宋体" w:hAnsi="宋体"/>
          <w:szCs w:val="21"/>
          <w:u w:val="single"/>
        </w:rPr>
        <w:t xml:space="preserve"> </w:t>
      </w:r>
      <w:r>
        <w:rPr>
          <w:rFonts w:ascii="宋体" w:hAnsi="宋体"/>
          <w:szCs w:val="21"/>
          <w:u w:val="single"/>
        </w:rPr>
        <w:t>09</w:t>
      </w:r>
      <w:r>
        <w:rPr>
          <w:rFonts w:hint="eastAsia" w:ascii="宋体" w:hAnsi="宋体"/>
          <w:szCs w:val="21"/>
          <w:u w:val="single"/>
        </w:rPr>
        <w:t xml:space="preserve"> </w:t>
      </w:r>
      <w:r>
        <w:rPr>
          <w:rFonts w:hint="eastAsia" w:ascii="宋体" w:hAnsi="宋体"/>
          <w:szCs w:val="21"/>
          <w:lang w:eastAsia="zh-Hans"/>
        </w:rPr>
        <w:t>月</w:t>
      </w:r>
      <w:r>
        <w:rPr>
          <w:rFonts w:hint="eastAsia" w:ascii="宋体" w:hAnsi="宋体"/>
          <w:szCs w:val="21"/>
          <w:u w:val="single"/>
        </w:rPr>
        <w:t xml:space="preserve"> </w:t>
      </w:r>
      <w:r>
        <w:rPr>
          <w:rFonts w:ascii="宋体" w:hAnsi="宋体"/>
          <w:szCs w:val="21"/>
          <w:u w:val="single"/>
        </w:rPr>
        <w:t>10</w:t>
      </w:r>
      <w:r>
        <w:rPr>
          <w:rFonts w:hint="eastAsia" w:ascii="宋体" w:hAnsi="宋体"/>
          <w:szCs w:val="21"/>
          <w:lang w:eastAsia="zh-Hans"/>
        </w:rPr>
        <w:t>日</w:t>
      </w:r>
      <w:r>
        <w:rPr>
          <w:rFonts w:hint="eastAsia" w:ascii="宋体" w:hAnsi="宋体"/>
          <w:szCs w:val="21"/>
          <w:u w:val="single"/>
        </w:rPr>
        <w:t>9:30</w:t>
      </w:r>
      <w:r>
        <w:rPr>
          <w:rFonts w:hint="eastAsia" w:ascii="宋体" w:hAnsi="宋体"/>
          <w:szCs w:val="21"/>
        </w:rPr>
        <w:t>（北京时间，下同），</w:t>
      </w:r>
      <w:r>
        <w:rPr>
          <w:rFonts w:hint="eastAsia" w:ascii="宋体" w:hAnsi="宋体"/>
          <w:szCs w:val="21"/>
          <w:lang w:eastAsia="zh-Hans"/>
        </w:rPr>
        <w:t>逾期送</w:t>
      </w:r>
      <w:r>
        <w:rPr>
          <w:rFonts w:hint="eastAsia" w:ascii="宋体" w:hAnsi="宋体"/>
          <w:szCs w:val="21"/>
        </w:rPr>
        <w:t>达</w:t>
      </w:r>
      <w:r>
        <w:rPr>
          <w:rFonts w:hint="eastAsia" w:ascii="宋体" w:hAnsi="宋体"/>
          <w:szCs w:val="21"/>
          <w:lang w:eastAsia="zh-Hans"/>
        </w:rPr>
        <w:t>恕不接受。</w:t>
      </w:r>
    </w:p>
    <w:p>
      <w:pPr>
        <w:spacing w:line="420" w:lineRule="exact"/>
        <w:ind w:right="180"/>
        <w:rPr>
          <w:rFonts w:hint="eastAsia" w:ascii="宋体" w:hAnsi="宋体"/>
          <w:szCs w:val="21"/>
        </w:rPr>
      </w:pPr>
      <w:r>
        <w:rPr>
          <w:rFonts w:hint="eastAsia" w:ascii="宋体" w:hAnsi="宋体"/>
          <w:szCs w:val="21"/>
        </w:rPr>
        <w:t>七、开标</w:t>
      </w:r>
      <w:r>
        <w:rPr>
          <w:rFonts w:hint="eastAsia" w:ascii="宋体" w:hAnsi="宋体"/>
          <w:szCs w:val="21"/>
          <w:lang w:eastAsia="zh-Hans"/>
        </w:rPr>
        <w:t>时间：</w:t>
      </w:r>
      <w:r>
        <w:rPr>
          <w:rFonts w:hint="eastAsia" w:ascii="宋体" w:hAnsi="宋体"/>
          <w:szCs w:val="21"/>
          <w:u w:val="single"/>
          <w:lang w:eastAsia="zh-Hans"/>
        </w:rPr>
        <w:t>20</w:t>
      </w:r>
      <w:r>
        <w:rPr>
          <w:rFonts w:hint="eastAsia" w:ascii="宋体" w:hAnsi="宋体"/>
          <w:szCs w:val="21"/>
          <w:u w:val="single"/>
        </w:rPr>
        <w:t>1</w:t>
      </w:r>
      <w:r>
        <w:rPr>
          <w:rFonts w:ascii="宋体" w:hAnsi="宋体"/>
          <w:szCs w:val="21"/>
          <w:u w:val="single"/>
        </w:rPr>
        <w:t>9</w:t>
      </w:r>
      <w:r>
        <w:rPr>
          <w:rFonts w:hint="eastAsia" w:ascii="宋体" w:hAnsi="宋体"/>
          <w:szCs w:val="21"/>
          <w:lang w:eastAsia="zh-Hans"/>
        </w:rPr>
        <w:t>年</w:t>
      </w:r>
      <w:r>
        <w:rPr>
          <w:rFonts w:hint="eastAsia" w:ascii="宋体" w:hAnsi="宋体"/>
          <w:szCs w:val="21"/>
          <w:u w:val="single"/>
        </w:rPr>
        <w:t xml:space="preserve"> </w:t>
      </w:r>
      <w:r>
        <w:rPr>
          <w:rFonts w:ascii="宋体" w:hAnsi="宋体"/>
          <w:szCs w:val="21"/>
          <w:u w:val="single"/>
        </w:rPr>
        <w:t xml:space="preserve">09 </w:t>
      </w:r>
      <w:r>
        <w:rPr>
          <w:rFonts w:hint="eastAsia" w:ascii="宋体" w:hAnsi="宋体"/>
          <w:szCs w:val="21"/>
          <w:lang w:eastAsia="zh-Hans"/>
        </w:rPr>
        <w:t>月</w:t>
      </w:r>
      <w:r>
        <w:rPr>
          <w:rFonts w:hint="eastAsia" w:ascii="宋体" w:hAnsi="宋体"/>
          <w:szCs w:val="21"/>
          <w:u w:val="single"/>
        </w:rPr>
        <w:t xml:space="preserve"> </w:t>
      </w:r>
      <w:r>
        <w:rPr>
          <w:rFonts w:ascii="宋体" w:hAnsi="宋体"/>
          <w:szCs w:val="21"/>
          <w:u w:val="single"/>
        </w:rPr>
        <w:t>10</w:t>
      </w:r>
      <w:r>
        <w:rPr>
          <w:rFonts w:hint="eastAsia" w:ascii="宋体" w:hAnsi="宋体"/>
          <w:szCs w:val="21"/>
          <w:u w:val="single"/>
        </w:rPr>
        <w:t xml:space="preserve"> </w:t>
      </w:r>
      <w:r>
        <w:rPr>
          <w:rFonts w:hint="eastAsia" w:ascii="宋体" w:hAnsi="宋体"/>
          <w:szCs w:val="21"/>
          <w:lang w:eastAsia="zh-Hans"/>
        </w:rPr>
        <w:t>日</w:t>
      </w:r>
      <w:r>
        <w:rPr>
          <w:rFonts w:hint="eastAsia" w:ascii="宋体" w:hAnsi="宋体"/>
          <w:szCs w:val="21"/>
          <w:u w:val="single"/>
        </w:rPr>
        <w:t xml:space="preserve"> 9:30 </w:t>
      </w:r>
      <w:r>
        <w:rPr>
          <w:rFonts w:hint="eastAsia" w:ascii="宋体" w:hAnsi="宋体"/>
          <w:szCs w:val="21"/>
        </w:rPr>
        <w:t>。</w:t>
      </w:r>
    </w:p>
    <w:p>
      <w:pPr>
        <w:spacing w:line="360" w:lineRule="auto"/>
        <w:rPr>
          <w:rFonts w:hint="eastAsia" w:ascii="宋体" w:hAnsi="宋体"/>
          <w:szCs w:val="21"/>
        </w:rPr>
      </w:pPr>
      <w:r>
        <w:rPr>
          <w:rFonts w:hint="eastAsia" w:ascii="宋体" w:hAnsi="宋体"/>
          <w:szCs w:val="21"/>
        </w:rPr>
        <w:t>八</w:t>
      </w:r>
      <w:r>
        <w:rPr>
          <w:rFonts w:hint="eastAsia" w:ascii="宋体" w:hAnsi="宋体"/>
          <w:szCs w:val="21"/>
          <w:lang w:eastAsia="zh-Hans"/>
        </w:rPr>
        <w:t>、投标</w:t>
      </w:r>
      <w:r>
        <w:rPr>
          <w:rFonts w:hint="eastAsia" w:ascii="宋体" w:hAnsi="宋体"/>
          <w:szCs w:val="21"/>
        </w:rPr>
        <w:t>及开标地点</w:t>
      </w:r>
      <w:r>
        <w:rPr>
          <w:rFonts w:hint="eastAsia" w:ascii="宋体" w:hAnsi="宋体"/>
          <w:szCs w:val="21"/>
          <w:lang w:eastAsia="zh-Hans"/>
        </w:rPr>
        <w:t>：</w:t>
      </w:r>
      <w:r>
        <w:rPr>
          <w:rFonts w:hint="eastAsia" w:ascii="宋体" w:hAnsi="宋体"/>
        </w:rPr>
        <w:t xml:space="preserve">镇海区公共资源交易中心（镇海区骆驼街道金华南路55-57号三楼） </w:t>
      </w:r>
      <w:r>
        <w:rPr>
          <w:rFonts w:hint="eastAsia" w:ascii="宋体" w:hAnsi="宋体"/>
          <w:szCs w:val="21"/>
        </w:rPr>
        <w:t>。</w:t>
      </w:r>
    </w:p>
    <w:p>
      <w:pPr>
        <w:spacing w:line="360" w:lineRule="auto"/>
        <w:rPr>
          <w:rFonts w:ascii="宋体" w:hAnsi="宋体"/>
          <w:szCs w:val="21"/>
        </w:rPr>
      </w:pPr>
      <w:r>
        <w:rPr>
          <w:rFonts w:hint="eastAsia" w:ascii="宋体" w:hAnsi="宋体"/>
          <w:szCs w:val="24"/>
        </w:rPr>
        <w:t>九、</w:t>
      </w:r>
      <w:r>
        <w:rPr>
          <w:rFonts w:hint="eastAsia" w:ascii="宋体" w:hAnsi="宋体" w:cs="宋体"/>
          <w:b/>
          <w:bCs/>
          <w:szCs w:val="21"/>
        </w:rPr>
        <w:t>本次政府采购活动相关信息发布媒体为：</w:t>
      </w:r>
      <w:r>
        <w:rPr>
          <w:rFonts w:hint="eastAsia" w:ascii="宋体" w:hAnsi="宋体" w:cs="宋体"/>
          <w:bCs/>
          <w:szCs w:val="21"/>
        </w:rPr>
        <w:t>浙江政府采购网（www.zjzfcg.gov.cn）</w:t>
      </w:r>
      <w:r>
        <w:rPr>
          <w:rFonts w:hint="eastAsia" w:ascii="宋体" w:hAnsi="宋体" w:cs="宋体"/>
          <w:szCs w:val="21"/>
        </w:rPr>
        <w:t>、</w:t>
      </w:r>
      <w:r>
        <w:rPr>
          <w:rFonts w:hint="eastAsia" w:ascii="宋体" w:hAnsi="宋体"/>
          <w:szCs w:val="21"/>
        </w:rPr>
        <w:t>镇海区公共资源交易信息网（</w:t>
      </w:r>
      <w:r>
        <w:rPr>
          <w:rFonts w:hint="eastAsia" w:ascii="宋体" w:hAnsi="宋体"/>
          <w:szCs w:val="21"/>
        </w:rPr>
        <w:fldChar w:fldCharType="begin"/>
      </w:r>
      <w:r>
        <w:rPr>
          <w:rFonts w:hint="eastAsia" w:ascii="宋体" w:hAnsi="宋体"/>
          <w:szCs w:val="21"/>
        </w:rPr>
        <w:instrText xml:space="preserve"> HYPERLINK "http://www.zhztb.gov.cn" </w:instrText>
      </w:r>
      <w:r>
        <w:rPr>
          <w:rFonts w:hint="eastAsia" w:ascii="宋体" w:hAnsi="宋体"/>
          <w:szCs w:val="21"/>
        </w:rPr>
        <w:fldChar w:fldCharType="separate"/>
      </w:r>
      <w:r>
        <w:rPr>
          <w:rFonts w:hint="eastAsia" w:ascii="宋体" w:hAnsi="宋体"/>
          <w:szCs w:val="21"/>
        </w:rPr>
        <w:t>http://www.zhztb.gov.cn</w:t>
      </w:r>
      <w:r>
        <w:rPr>
          <w:rFonts w:hint="eastAsia" w:ascii="宋体" w:hAnsi="宋体"/>
          <w:szCs w:val="21"/>
        </w:rPr>
        <w:fldChar w:fldCharType="end"/>
      </w:r>
      <w:r>
        <w:rPr>
          <w:rFonts w:hint="eastAsia" w:ascii="宋体" w:hAnsi="宋体"/>
          <w:szCs w:val="21"/>
        </w:rPr>
        <w:t>）</w:t>
      </w:r>
    </w:p>
    <w:p>
      <w:pPr>
        <w:spacing w:line="360" w:lineRule="auto"/>
        <w:rPr>
          <w:rFonts w:ascii="宋体" w:hAnsi="宋体"/>
          <w:szCs w:val="24"/>
        </w:rPr>
      </w:pPr>
      <w:r>
        <w:rPr>
          <w:rFonts w:hint="eastAsia" w:ascii="宋体" w:hAnsi="宋体"/>
          <w:szCs w:val="24"/>
        </w:rPr>
        <w:t>十、其他事项：</w:t>
      </w:r>
    </w:p>
    <w:p>
      <w:pPr>
        <w:spacing w:line="360" w:lineRule="auto"/>
        <w:rPr>
          <w:rFonts w:ascii="宋体" w:hAnsi="宋体" w:cs="宋体"/>
          <w:b/>
          <w:bCs/>
          <w:szCs w:val="21"/>
        </w:rPr>
      </w:pPr>
      <w:r>
        <w:rPr>
          <w:rFonts w:hint="eastAsia" w:ascii="宋体" w:hAnsi="宋体"/>
          <w:szCs w:val="24"/>
        </w:rPr>
        <w:t>1、</w:t>
      </w:r>
      <w:r>
        <w:rPr>
          <w:rFonts w:hint="eastAsia" w:ascii="宋体" w:hAnsi="宋体" w:cs="宋体"/>
          <w:b/>
          <w:bCs/>
          <w:szCs w:val="21"/>
        </w:rPr>
        <w:t>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420" w:lineRule="exact"/>
        <w:ind w:right="180"/>
        <w:rPr>
          <w:rFonts w:ascii="宋体" w:hAnsi="宋体" w:cs="宋体"/>
          <w:b/>
          <w:bCs/>
          <w:szCs w:val="21"/>
        </w:rPr>
      </w:pPr>
      <w:r>
        <w:rPr>
          <w:rStyle w:val="49"/>
          <w:rFonts w:hint="eastAsia" w:ascii="宋体" w:hAnsi="宋体"/>
        </w:rPr>
        <w:t>2、</w:t>
      </w:r>
      <w:r>
        <w:rPr>
          <w:rFonts w:hint="eastAsia" w:ascii="宋体" w:hAnsi="宋体" w:cs="宋体"/>
          <w:b/>
          <w:bCs/>
          <w:szCs w:val="21"/>
        </w:rPr>
        <w:t>相关政策：扶持中小企业政策：评审时小型和微型企业产品享受6%的价格折扣。监狱企业视同小型、微型企业。</w:t>
      </w:r>
    </w:p>
    <w:p>
      <w:pPr>
        <w:spacing w:line="420" w:lineRule="exact"/>
        <w:ind w:right="180"/>
        <w:rPr>
          <w:rFonts w:hint="eastAsia" w:ascii="宋体" w:hAnsi="宋体" w:cs="宋体"/>
          <w:b/>
          <w:bCs/>
          <w:szCs w:val="21"/>
        </w:rPr>
      </w:pPr>
      <w:r>
        <w:rPr>
          <w:rFonts w:hint="eastAsia" w:ascii="宋体" w:hAnsi="宋体" w:cs="宋体"/>
          <w:b/>
          <w:bCs/>
          <w:szCs w:val="21"/>
        </w:rPr>
        <w:t>3、招标有关款项汇入的帐号：</w:t>
      </w:r>
    </w:p>
    <w:p>
      <w:pPr>
        <w:spacing w:line="420" w:lineRule="exact"/>
        <w:ind w:right="180"/>
        <w:rPr>
          <w:rFonts w:hint="eastAsia" w:ascii="宋体" w:hAnsi="宋体" w:cs="宋体"/>
          <w:b/>
          <w:bCs/>
          <w:szCs w:val="21"/>
        </w:rPr>
      </w:pPr>
      <w:r>
        <w:rPr>
          <w:rFonts w:hint="eastAsia" w:ascii="宋体" w:hAnsi="宋体" w:cs="宋体"/>
          <w:b/>
          <w:bCs/>
          <w:szCs w:val="21"/>
        </w:rPr>
        <w:t xml:space="preserve">  开户单位名称：浙江天诚工程咨询有限公司</w:t>
      </w:r>
    </w:p>
    <w:p>
      <w:pPr>
        <w:spacing w:line="420" w:lineRule="exact"/>
        <w:ind w:right="180"/>
        <w:rPr>
          <w:rFonts w:hint="eastAsia" w:ascii="宋体" w:hAnsi="宋体" w:cs="宋体"/>
          <w:b/>
          <w:bCs/>
          <w:szCs w:val="21"/>
        </w:rPr>
      </w:pPr>
      <w:r>
        <w:rPr>
          <w:rFonts w:hint="eastAsia" w:ascii="宋体" w:hAnsi="宋体" w:cs="宋体"/>
          <w:b/>
          <w:bCs/>
          <w:szCs w:val="21"/>
        </w:rPr>
        <w:t xml:space="preserve">  开户银行：浙江泰隆商业银行宁波分行</w:t>
      </w:r>
    </w:p>
    <w:p>
      <w:pPr>
        <w:spacing w:line="420" w:lineRule="exact"/>
        <w:ind w:right="180"/>
        <w:rPr>
          <w:rStyle w:val="49"/>
          <w:rFonts w:hint="eastAsia" w:ascii="宋体" w:hAnsi="宋体"/>
        </w:rPr>
      </w:pPr>
      <w:r>
        <w:rPr>
          <w:rFonts w:hint="eastAsia" w:ascii="宋体" w:hAnsi="宋体" w:cs="宋体"/>
          <w:b/>
          <w:bCs/>
          <w:szCs w:val="21"/>
        </w:rPr>
        <w:t xml:space="preserve">  银行帐号：3303 0101 2010 0019 646</w:t>
      </w:r>
    </w:p>
    <w:p>
      <w:pPr>
        <w:spacing w:line="500" w:lineRule="exact"/>
        <w:ind w:firstLine="632" w:firstLineChars="300"/>
        <w:rPr>
          <w:rFonts w:hint="eastAsia" w:ascii="宋体" w:hAnsi="宋体"/>
          <w:b/>
          <w:bCs/>
          <w:szCs w:val="28"/>
        </w:rPr>
      </w:pPr>
    </w:p>
    <w:p>
      <w:pPr>
        <w:spacing w:line="420" w:lineRule="exact"/>
        <w:ind w:right="180"/>
        <w:rPr>
          <w:rFonts w:hint="eastAsia" w:ascii="宋体" w:hAnsi="宋体"/>
        </w:rPr>
      </w:pPr>
      <w:r>
        <w:rPr>
          <w:rFonts w:hint="eastAsia" w:ascii="宋体" w:hAnsi="宋体"/>
        </w:rPr>
        <w:t>采购人：宁波市</w:t>
      </w:r>
      <w:r>
        <w:rPr>
          <w:rFonts w:cs="Arial"/>
          <w:color w:val="000000"/>
          <w:szCs w:val="21"/>
        </w:rPr>
        <w:t>镇海区</w:t>
      </w:r>
      <w:r>
        <w:rPr>
          <w:rFonts w:hint="eastAsia" w:cs="Arial"/>
          <w:color w:val="000000"/>
          <w:szCs w:val="21"/>
        </w:rPr>
        <w:t>炼化</w:t>
      </w:r>
      <w:r>
        <w:rPr>
          <w:rFonts w:cs="Arial"/>
          <w:color w:val="000000"/>
          <w:szCs w:val="21"/>
        </w:rPr>
        <w:t>医院</w:t>
      </w:r>
      <w:r>
        <w:rPr>
          <w:rFonts w:hint="eastAsia" w:ascii="宋体" w:hAnsi="宋体"/>
        </w:rPr>
        <w:t xml:space="preserve"> </w:t>
      </w:r>
    </w:p>
    <w:p>
      <w:pPr>
        <w:spacing w:line="420" w:lineRule="exact"/>
        <w:ind w:right="180"/>
        <w:rPr>
          <w:rFonts w:cs="Arial"/>
          <w:color w:val="000000"/>
          <w:szCs w:val="21"/>
        </w:rPr>
      </w:pPr>
      <w:r>
        <w:rPr>
          <w:rFonts w:hint="eastAsia" w:ascii="宋体" w:hAnsi="宋体"/>
        </w:rPr>
        <w:t>地址：</w:t>
      </w:r>
      <w:r>
        <w:rPr>
          <w:rFonts w:cs="Arial"/>
          <w:color w:val="000000"/>
          <w:szCs w:val="21"/>
        </w:rPr>
        <w:t>宁波市镇海区蛟川街道天益北路168号</w:t>
      </w:r>
    </w:p>
    <w:p>
      <w:pPr>
        <w:spacing w:line="420" w:lineRule="exact"/>
        <w:ind w:right="180"/>
        <w:rPr>
          <w:rFonts w:hint="eastAsia" w:cs="Arial"/>
          <w:color w:val="000000"/>
          <w:szCs w:val="21"/>
        </w:rPr>
      </w:pPr>
      <w:r>
        <w:rPr>
          <w:rFonts w:hint="eastAsia" w:cs="Arial"/>
          <w:color w:val="000000"/>
          <w:szCs w:val="21"/>
        </w:rPr>
        <w:t xml:space="preserve">联系人：邵老师 </w:t>
      </w:r>
    </w:p>
    <w:p>
      <w:pPr>
        <w:spacing w:line="420" w:lineRule="exact"/>
        <w:ind w:right="180"/>
        <w:rPr>
          <w:rFonts w:hint="eastAsia" w:cs="Arial"/>
          <w:color w:val="000000"/>
          <w:szCs w:val="21"/>
        </w:rPr>
      </w:pPr>
      <w:r>
        <w:rPr>
          <w:rFonts w:hint="eastAsia"/>
        </w:rPr>
        <w:t>联系方式</w:t>
      </w:r>
      <w:r>
        <w:rPr>
          <w:rFonts w:ascii="宋体" w:hAnsi="宋体"/>
          <w:sz w:val="24"/>
          <w:szCs w:val="24"/>
        </w:rPr>
        <w:t>0574-86362156</w:t>
      </w:r>
    </w:p>
    <w:p>
      <w:pPr>
        <w:spacing w:line="500" w:lineRule="exact"/>
        <w:rPr>
          <w:rFonts w:hint="eastAsia" w:ascii="宋体" w:hAnsi="宋体"/>
          <w:szCs w:val="28"/>
        </w:rPr>
      </w:pPr>
      <w:r>
        <w:rPr>
          <w:rFonts w:hint="eastAsia" w:ascii="宋体" w:hAnsi="宋体"/>
        </w:rPr>
        <w:t>采购代理机构名称：</w:t>
      </w:r>
      <w:r>
        <w:rPr>
          <w:rFonts w:hint="eastAsia" w:ascii="宋体" w:hAnsi="宋体"/>
          <w:szCs w:val="28"/>
        </w:rPr>
        <w:t>浙江天诚工程咨询有限公司</w:t>
      </w:r>
    </w:p>
    <w:p>
      <w:pPr>
        <w:spacing w:line="500" w:lineRule="exact"/>
        <w:rPr>
          <w:rFonts w:hint="eastAsia" w:ascii="宋体" w:hAnsi="宋体"/>
          <w:szCs w:val="28"/>
        </w:rPr>
      </w:pPr>
      <w:r>
        <w:rPr>
          <w:rFonts w:hint="eastAsia" w:ascii="宋体" w:hAnsi="宋体"/>
        </w:rPr>
        <w:t>地址：</w:t>
      </w:r>
      <w:r>
        <w:rPr>
          <w:rFonts w:hint="eastAsia" w:ascii="宋体" w:hAnsi="宋体"/>
          <w:szCs w:val="28"/>
        </w:rPr>
        <w:t>宁波市鄞州区江南路599号科技大厦四楼</w:t>
      </w:r>
    </w:p>
    <w:p>
      <w:pPr>
        <w:spacing w:line="420" w:lineRule="exact"/>
        <w:ind w:right="180"/>
        <w:rPr>
          <w:rFonts w:hint="eastAsia"/>
        </w:rPr>
      </w:pPr>
      <w:r>
        <w:rPr>
          <w:rFonts w:hint="eastAsia"/>
        </w:rPr>
        <w:t xml:space="preserve">联系人：张燕平   </w:t>
      </w:r>
    </w:p>
    <w:p>
      <w:pPr>
        <w:spacing w:line="420" w:lineRule="exact"/>
        <w:ind w:right="180"/>
        <w:rPr>
          <w:rFonts w:hint="eastAsia"/>
        </w:rPr>
      </w:pPr>
      <w:r>
        <w:rPr>
          <w:rFonts w:hint="eastAsia"/>
        </w:rPr>
        <w:t>电话：0574-87939871    传真：</w:t>
      </w:r>
      <w:r>
        <w:t>0574-8</w:t>
      </w:r>
      <w:r>
        <w:rPr>
          <w:rFonts w:hint="eastAsia"/>
        </w:rPr>
        <w:t>7939869</w:t>
      </w:r>
    </w:p>
    <w:p>
      <w:pPr>
        <w:spacing w:line="500" w:lineRule="exact"/>
        <w:rPr>
          <w:rFonts w:ascii="宋体" w:hAnsi="宋体"/>
        </w:rPr>
      </w:pPr>
      <w:r>
        <w:rPr>
          <w:rFonts w:hint="eastAsia" w:ascii="宋体" w:hAnsi="宋体"/>
        </w:rPr>
        <w:t xml:space="preserve">监管部门：宁波市镇海区政府采购管理办公室              </w:t>
      </w:r>
    </w:p>
    <w:p>
      <w:pPr>
        <w:spacing w:line="500" w:lineRule="exact"/>
        <w:rPr>
          <w:rFonts w:ascii="宋体" w:hAnsi="宋体"/>
        </w:rPr>
      </w:pPr>
      <w:r>
        <w:rPr>
          <w:rFonts w:hint="eastAsia" w:ascii="宋体" w:hAnsi="宋体"/>
        </w:rPr>
        <w:t>地址：宁波市镇海区骆驼街道民和路569号</w:t>
      </w:r>
    </w:p>
    <w:p>
      <w:pPr>
        <w:spacing w:line="500" w:lineRule="exact"/>
        <w:rPr>
          <w:rFonts w:ascii="宋体" w:hAnsi="宋体"/>
        </w:rPr>
      </w:pPr>
      <w:r>
        <w:rPr>
          <w:rFonts w:hint="eastAsia" w:ascii="宋体" w:hAnsi="宋体"/>
        </w:rPr>
        <w:t>联 系 人：王老师</w:t>
      </w:r>
    </w:p>
    <w:p>
      <w:pPr>
        <w:spacing w:line="500" w:lineRule="exact"/>
        <w:rPr>
          <w:rFonts w:ascii="宋体" w:hAnsi="宋体"/>
        </w:rPr>
      </w:pPr>
      <w:r>
        <w:rPr>
          <w:rFonts w:hint="eastAsia" w:ascii="宋体" w:hAnsi="宋体"/>
        </w:rPr>
        <w:t>联系电话：0574-86295936</w:t>
      </w:r>
    </w:p>
    <w:p>
      <w:pPr>
        <w:pStyle w:val="41"/>
        <w:shd w:val="clear" w:color="auto" w:fill="FFFFFF"/>
        <w:spacing w:before="0" w:beforeAutospacing="0" w:after="0" w:afterAutospacing="0" w:line="300" w:lineRule="atLeast"/>
        <w:rPr>
          <w:rStyle w:val="49"/>
          <w:rFonts w:hint="eastAsia" w:ascii="����" w:hAnsi="����"/>
          <w:color w:val="000000"/>
          <w:sz w:val="18"/>
          <w:szCs w:val="18"/>
        </w:rPr>
      </w:pPr>
    </w:p>
    <w:p>
      <w:pPr>
        <w:rPr>
          <w:rFonts w:hint="eastAsia"/>
        </w:rPr>
      </w:pPr>
    </w:p>
    <w:p>
      <w:pPr>
        <w:pStyle w:val="2"/>
        <w:tabs>
          <w:tab w:val="center" w:pos="4819"/>
        </w:tabs>
        <w:spacing w:before="200" w:after="200" w:line="360" w:lineRule="auto"/>
        <w:jc w:val="center"/>
        <w:rPr>
          <w:rFonts w:hint="eastAsia" w:ascii="宋体" w:hAnsi="宋体"/>
          <w:sz w:val="32"/>
        </w:rPr>
      </w:pPr>
      <w:bookmarkStart w:id="24" w:name="_Toc333832348"/>
      <w:bookmarkStart w:id="25" w:name="_Toc334167671"/>
      <w:bookmarkStart w:id="26" w:name="_Toc347134770"/>
      <w:bookmarkStart w:id="27" w:name="_Toc13227279"/>
      <w:r>
        <w:rPr>
          <w:rFonts w:hint="eastAsia" w:ascii="宋体" w:hAnsi="宋体"/>
          <w:sz w:val="32"/>
        </w:rPr>
        <w:t xml:space="preserve">第二部分 </w:t>
      </w:r>
      <w:bookmarkEnd w:id="24"/>
      <w:bookmarkStart w:id="28" w:name="_Toc46308528"/>
      <w:bookmarkStart w:id="29" w:name="_Toc37331039"/>
      <w:bookmarkStart w:id="30" w:name="_Toc37581421"/>
      <w:bookmarkStart w:id="31" w:name="_Toc40762371"/>
      <w:bookmarkStart w:id="32" w:name="_Toc37663392"/>
      <w:bookmarkStart w:id="33" w:name="_Toc37331081"/>
      <w:bookmarkStart w:id="34" w:name="_Toc37569520"/>
      <w:bookmarkStart w:id="35" w:name="_Toc46308684"/>
      <w:bookmarkStart w:id="36" w:name="_Toc37245277"/>
      <w:r>
        <w:rPr>
          <w:rFonts w:hint="eastAsia" w:ascii="宋体" w:hAnsi="宋体"/>
          <w:sz w:val="32"/>
        </w:rPr>
        <w:t>投标人须知</w:t>
      </w:r>
      <w:bookmarkEnd w:id="25"/>
      <w:bookmarkEnd w:id="26"/>
      <w:bookmarkEnd w:id="27"/>
    </w:p>
    <w:p>
      <w:pPr>
        <w:pStyle w:val="3"/>
        <w:widowControl w:val="0"/>
        <w:adjustRightInd w:val="0"/>
        <w:spacing w:line="240" w:lineRule="auto"/>
        <w:jc w:val="center"/>
        <w:textAlignment w:val="baseline"/>
        <w:rPr>
          <w:rFonts w:hint="eastAsia" w:ascii="宋体" w:hAnsi="宋体" w:eastAsia="宋体"/>
          <w:b w:val="0"/>
          <w:sz w:val="28"/>
          <w:szCs w:val="28"/>
        </w:rPr>
      </w:pPr>
      <w:bookmarkStart w:id="37" w:name="_Toc334167672"/>
      <w:bookmarkStart w:id="38" w:name="_Toc347134771"/>
      <w:bookmarkStart w:id="39" w:name="_Toc13227280"/>
      <w:r>
        <w:rPr>
          <w:rFonts w:hint="eastAsia" w:ascii="宋体" w:hAnsi="宋体" w:eastAsia="宋体"/>
          <w:b w:val="0"/>
          <w:sz w:val="28"/>
          <w:szCs w:val="28"/>
        </w:rPr>
        <w:t>一、投标须知前附表</w:t>
      </w:r>
      <w:bookmarkEnd w:id="37"/>
      <w:bookmarkEnd w:id="38"/>
      <w:bookmarkEnd w:id="39"/>
    </w:p>
    <w:tbl>
      <w:tblPr>
        <w:tblStyle w:val="45"/>
        <w:tblW w:w="98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9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ind w:left="-178" w:leftChars="-85" w:right="-107" w:rightChars="-51"/>
              <w:jc w:val="center"/>
              <w:rPr>
                <w:rFonts w:ascii="宋体" w:hAnsi="宋体"/>
                <w:color w:val="000000"/>
                <w:sz w:val="24"/>
                <w:szCs w:val="24"/>
              </w:rPr>
            </w:pPr>
            <w:r>
              <w:rPr>
                <w:rFonts w:hint="eastAsia" w:ascii="宋体" w:hAnsi="宋体"/>
                <w:color w:val="000000"/>
                <w:sz w:val="24"/>
                <w:szCs w:val="24"/>
              </w:rPr>
              <w:t>序号</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szCs w:val="24"/>
              </w:rPr>
            </w:pPr>
            <w:r>
              <w:rPr>
                <w:rFonts w:hint="eastAsia" w:ascii="宋体" w:hAnsi="宋体"/>
                <w:color w:val="000000"/>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1"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ascii="宋体" w:hAnsi="宋体"/>
                <w:color w:val="000000"/>
              </w:rPr>
            </w:pPr>
            <w:r>
              <w:rPr>
                <w:rFonts w:hint="eastAsia" w:ascii="宋体" w:hAnsi="宋体"/>
                <w:b/>
                <w:bCs/>
                <w:color w:val="000000"/>
              </w:rPr>
              <w:t>项目名称：</w:t>
            </w:r>
            <w:r>
              <w:rPr>
                <w:rFonts w:hint="eastAsia" w:ascii="宋体" w:hAnsi="宋体"/>
              </w:rPr>
              <w:t>镇海区炼化医院优质护理服务采购项目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ascii="宋体" w:hAnsi="宋体"/>
                <w:color w:val="000000"/>
              </w:rPr>
            </w:pPr>
            <w:r>
              <w:rPr>
                <w:rFonts w:hint="eastAsia" w:ascii="宋体" w:hAnsi="宋体"/>
                <w:b/>
                <w:szCs w:val="21"/>
              </w:rPr>
              <w:t>采购编号：</w:t>
            </w:r>
            <w:r>
              <w:rPr>
                <w:rFonts w:hint="eastAsia" w:ascii="宋体" w:hAnsi="宋体"/>
              </w:rPr>
              <w:t>TC【2019】CG10</w:t>
            </w:r>
            <w:r>
              <w:rPr>
                <w:rFonts w:ascii="宋体" w:hAnsi="宋体"/>
              </w:rPr>
              <w:t>48</w:t>
            </w:r>
            <w:r>
              <w:rPr>
                <w:rFonts w:hint="eastAsia" w:ascii="宋体" w:hAnsi="宋体"/>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rPr>
            </w:pPr>
            <w:r>
              <w:rPr>
                <w:rFonts w:ascii="宋体" w:hAnsi="宋体"/>
                <w:color w:val="000000"/>
              </w:rPr>
              <w:t>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ascii="宋体" w:hAnsi="宋体"/>
                <w:color w:val="000000"/>
              </w:rPr>
            </w:pPr>
            <w:r>
              <w:rPr>
                <w:rFonts w:hint="eastAsia" w:ascii="宋体" w:hAnsi="宋体"/>
                <w:b/>
                <w:szCs w:val="21"/>
              </w:rPr>
              <w:t>采购单位：</w:t>
            </w:r>
            <w:r>
              <w:rPr>
                <w:rFonts w:hint="eastAsia" w:ascii="宋体" w:hAnsi="宋体"/>
              </w:rPr>
              <w:t xml:space="preserve"> 镇海区炼化医院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szCs w:val="21"/>
              </w:rPr>
            </w:pPr>
            <w:r>
              <w:rPr>
                <w:rFonts w:hint="eastAsia" w:ascii="宋体" w:hAnsi="宋体"/>
                <w:b/>
                <w:szCs w:val="21"/>
              </w:rPr>
              <w:t>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szCs w:val="21"/>
              </w:rPr>
            </w:pPr>
            <w:r>
              <w:rPr>
                <w:rFonts w:hint="eastAsia" w:ascii="宋体" w:hAnsi="宋体"/>
                <w:b/>
                <w:szCs w:val="21"/>
              </w:rPr>
              <w:t>投标报价：本项目控制价为</w:t>
            </w:r>
            <w:r>
              <w:rPr>
                <w:rFonts w:ascii="宋体" w:hAnsi="宋体"/>
                <w:b/>
                <w:szCs w:val="21"/>
              </w:rPr>
              <w:t>9</w:t>
            </w:r>
            <w:r>
              <w:rPr>
                <w:rFonts w:hint="eastAsia" w:ascii="宋体" w:hAnsi="宋体"/>
                <w:b/>
                <w:szCs w:val="21"/>
              </w:rPr>
              <w:t>0万元，超过此报价作废标处理。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4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12" w:lineRule="auto"/>
              <w:jc w:val="both"/>
              <w:rPr>
                <w:rFonts w:hint="eastAsia" w:ascii="宋体" w:hAnsi="宋体"/>
                <w:b/>
              </w:rPr>
            </w:pPr>
            <w:r>
              <w:rPr>
                <w:rFonts w:hint="eastAsia" w:ascii="宋体" w:hAnsi="宋体"/>
                <w:b/>
              </w:rPr>
              <w:t>投标保证金：</w:t>
            </w:r>
          </w:p>
          <w:p>
            <w:pPr>
              <w:tabs>
                <w:tab w:val="left" w:pos="360"/>
              </w:tabs>
              <w:spacing w:line="312" w:lineRule="auto"/>
              <w:jc w:val="both"/>
              <w:rPr>
                <w:rFonts w:hint="eastAsia" w:ascii="宋体" w:hAnsi="宋体"/>
              </w:rPr>
            </w:pPr>
            <w:r>
              <w:rPr>
                <w:rFonts w:hint="eastAsia" w:ascii="宋体" w:hAnsi="宋体"/>
              </w:rPr>
              <w:t>1、金额：壹万伍仟元；</w:t>
            </w:r>
          </w:p>
          <w:p>
            <w:pPr>
              <w:tabs>
                <w:tab w:val="left" w:pos="360"/>
              </w:tabs>
              <w:spacing w:line="312" w:lineRule="auto"/>
              <w:jc w:val="both"/>
              <w:rPr>
                <w:rFonts w:hint="eastAsia" w:ascii="宋体" w:hAnsi="宋体"/>
              </w:rPr>
            </w:pPr>
            <w:r>
              <w:rPr>
                <w:rFonts w:hint="eastAsia" w:ascii="宋体" w:hAnsi="宋体"/>
              </w:rPr>
              <w:t>2、投标保证金收妥抵用（即到账）截止时间：201</w:t>
            </w:r>
            <w:r>
              <w:rPr>
                <w:rFonts w:ascii="宋体" w:hAnsi="宋体"/>
              </w:rPr>
              <w:t>9</w:t>
            </w:r>
            <w:r>
              <w:rPr>
                <w:rFonts w:hint="eastAsia" w:ascii="宋体" w:hAnsi="宋体"/>
              </w:rPr>
              <w:t>年0</w:t>
            </w:r>
            <w:r>
              <w:rPr>
                <w:rFonts w:ascii="宋体" w:hAnsi="宋体"/>
              </w:rPr>
              <w:t>9</w:t>
            </w:r>
            <w:r>
              <w:rPr>
                <w:rFonts w:hint="eastAsia" w:ascii="宋体" w:hAnsi="宋体"/>
              </w:rPr>
              <w:t>月0</w:t>
            </w:r>
            <w:r>
              <w:rPr>
                <w:rFonts w:ascii="宋体" w:hAnsi="宋体"/>
              </w:rPr>
              <w:t>9</w:t>
            </w:r>
            <w:r>
              <w:rPr>
                <w:rFonts w:hint="eastAsia" w:ascii="宋体" w:hAnsi="宋体"/>
              </w:rPr>
              <w:t>日16：00，各投标单位以转账支票（必须实时清算）或电汇形式提交。</w:t>
            </w:r>
          </w:p>
          <w:p>
            <w:pPr>
              <w:tabs>
                <w:tab w:val="left" w:pos="360"/>
              </w:tabs>
              <w:spacing w:line="312" w:lineRule="auto"/>
              <w:jc w:val="both"/>
              <w:rPr>
                <w:rFonts w:hint="eastAsia" w:ascii="宋体" w:hAnsi="宋体"/>
              </w:rPr>
            </w:pPr>
            <w:r>
              <w:rPr>
                <w:rFonts w:hint="eastAsia" w:ascii="宋体" w:hAnsi="宋体"/>
              </w:rPr>
              <w:t>3、投标保证金交纳账户：</w:t>
            </w:r>
          </w:p>
          <w:p>
            <w:pPr>
              <w:tabs>
                <w:tab w:val="left" w:pos="360"/>
              </w:tabs>
              <w:spacing w:line="312" w:lineRule="auto"/>
              <w:jc w:val="both"/>
              <w:rPr>
                <w:rFonts w:hint="eastAsia" w:ascii="宋体" w:hAnsi="宋体"/>
              </w:rPr>
            </w:pPr>
            <w:r>
              <w:rPr>
                <w:rFonts w:hint="eastAsia" w:ascii="宋体" w:hAnsi="宋体"/>
              </w:rPr>
              <w:t>户 名：浙江天诚工程咨询有限公司</w:t>
            </w:r>
          </w:p>
          <w:p>
            <w:pPr>
              <w:tabs>
                <w:tab w:val="left" w:pos="360"/>
              </w:tabs>
              <w:spacing w:line="312" w:lineRule="auto"/>
              <w:jc w:val="both"/>
              <w:rPr>
                <w:rFonts w:hint="eastAsia" w:ascii="宋体" w:hAnsi="宋体"/>
              </w:rPr>
            </w:pPr>
            <w:r>
              <w:rPr>
                <w:rFonts w:hint="eastAsia" w:ascii="宋体" w:hAnsi="宋体"/>
              </w:rPr>
              <w:t>开户银行：浙江泰隆商业银行宁波分行</w:t>
            </w:r>
          </w:p>
          <w:p>
            <w:pPr>
              <w:tabs>
                <w:tab w:val="left" w:pos="360"/>
              </w:tabs>
              <w:spacing w:line="312" w:lineRule="auto"/>
              <w:jc w:val="both"/>
              <w:rPr>
                <w:rFonts w:hint="eastAsia" w:ascii="宋体" w:hAnsi="宋体"/>
              </w:rPr>
            </w:pPr>
            <w:r>
              <w:rPr>
                <w:rFonts w:hint="eastAsia" w:ascii="宋体" w:hAnsi="宋体"/>
              </w:rPr>
              <w:t>帐  号：3303 0101 2010 0019 646</w:t>
            </w:r>
          </w:p>
          <w:p>
            <w:pPr>
              <w:spacing w:line="312" w:lineRule="auto"/>
              <w:jc w:val="both"/>
              <w:rPr>
                <w:rFonts w:hint="eastAsia" w:ascii="宋体" w:hAnsi="宋体"/>
                <w:szCs w:val="24"/>
              </w:rPr>
            </w:pPr>
            <w:r>
              <w:rPr>
                <w:rFonts w:hint="eastAsia" w:ascii="宋体" w:hAnsi="宋体"/>
              </w:rPr>
              <w:t xml:space="preserve">联系人：巩会计   </w:t>
            </w:r>
            <w:r>
              <w:rPr>
                <w:rFonts w:ascii="宋体" w:hAnsi="宋体"/>
              </w:rPr>
              <w:t xml:space="preserve"> 联系电话：0574-87</w:t>
            </w:r>
            <w:r>
              <w:rPr>
                <w:rFonts w:hint="eastAsia" w:ascii="宋体" w:hAnsi="宋体"/>
              </w:rPr>
              <w:t>939872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6</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both"/>
              <w:textAlignment w:val="bottom"/>
              <w:rPr>
                <w:rFonts w:ascii="宋体" w:hAnsi="宋体"/>
                <w:color w:val="000000"/>
              </w:rPr>
            </w:pPr>
            <w:r>
              <w:rPr>
                <w:rFonts w:hint="eastAsia" w:ascii="宋体" w:hAnsi="宋体"/>
                <w:b/>
                <w:bCs/>
                <w:color w:val="000000"/>
              </w:rPr>
              <w:t>投标文件组成:</w:t>
            </w:r>
            <w:r>
              <w:rPr>
                <w:rFonts w:hint="eastAsia" w:ascii="宋体" w:hAnsi="宋体"/>
                <w:color w:val="000000"/>
              </w:rPr>
              <w:t>投标文件:正本</w:t>
            </w:r>
            <w:r>
              <w:rPr>
                <w:rFonts w:hint="eastAsia" w:ascii="宋体" w:hAnsi="宋体"/>
                <w:color w:val="000000"/>
                <w:u w:val="single"/>
              </w:rPr>
              <w:t>1</w:t>
            </w:r>
            <w:r>
              <w:rPr>
                <w:rFonts w:hint="eastAsia" w:ascii="宋体" w:hAnsi="宋体"/>
                <w:color w:val="000000"/>
              </w:rPr>
              <w:t>份，副本</w:t>
            </w:r>
            <w:r>
              <w:rPr>
                <w:rFonts w:hint="eastAsia" w:ascii="宋体" w:hAnsi="宋体"/>
                <w:color w:val="000000"/>
                <w:u w:val="single"/>
              </w:rPr>
              <w:t>4</w:t>
            </w:r>
            <w:r>
              <w:rPr>
                <w:rFonts w:hint="eastAsia" w:ascii="宋体" w:hAnsi="宋体"/>
                <w:color w:val="000000"/>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s="宋体"/>
                <w:color w:val="000000"/>
              </w:rPr>
              <w:t>*</w:t>
            </w:r>
            <w:r>
              <w:rPr>
                <w:rFonts w:hint="eastAsia" w:ascii="宋体" w:hAnsi="宋体"/>
                <w:color w:val="000000"/>
              </w:rPr>
              <w:t>7</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color w:val="000000"/>
              </w:rPr>
            </w:pPr>
            <w:r>
              <w:rPr>
                <w:rFonts w:hint="eastAsia" w:ascii="宋体" w:hAnsi="宋体"/>
                <w:b/>
                <w:bCs/>
                <w:color w:val="000000"/>
              </w:rPr>
              <w:t>投标有效期：从开标之日起90</w:t>
            </w:r>
            <w:r>
              <w:rPr>
                <w:rFonts w:ascii="宋体" w:hAnsi="宋体"/>
                <w:b/>
                <w:bCs/>
                <w:color w:val="000000"/>
              </w:rPr>
              <w:t>日历天</w:t>
            </w:r>
            <w:r>
              <w:rPr>
                <w:rFonts w:hint="eastAsia" w:ascii="宋体" w:hAnsi="宋体"/>
                <w:b/>
                <w:bCs/>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8"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8</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bCs/>
                <w:color w:val="000000"/>
              </w:rPr>
            </w:pPr>
            <w:r>
              <w:rPr>
                <w:rFonts w:hint="eastAsia" w:ascii="宋体" w:hAnsi="宋体"/>
                <w:b/>
                <w:bCs/>
                <w:color w:val="000000"/>
              </w:rPr>
              <w:t>联合体投标：</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9</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bCs/>
                <w:color w:val="000000"/>
              </w:rPr>
            </w:pPr>
            <w:r>
              <w:rPr>
                <w:rFonts w:hint="eastAsia" w:ascii="宋体" w:hAnsi="宋体"/>
                <w:b/>
                <w:bCs/>
                <w:color w:val="000000"/>
              </w:rPr>
              <w:t>投标人的替代方案：</w:t>
            </w:r>
            <w:r>
              <w:rPr>
                <w:rFonts w:hint="eastAsia" w:ascii="宋体" w:hAnsi="宋体"/>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10</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bCs/>
                <w:color w:val="000000"/>
              </w:rPr>
            </w:pPr>
            <w:r>
              <w:rPr>
                <w:rFonts w:hint="eastAsia" w:ascii="宋体" w:hAnsi="宋体"/>
                <w:b/>
                <w:bCs/>
                <w:color w:val="000000"/>
              </w:rPr>
              <w:t>服务期限：</w:t>
            </w:r>
            <w:r>
              <w:rPr>
                <w:rFonts w:hint="eastAsia" w:ascii="宋体" w:hAnsi="宋体"/>
                <w:color w:val="000000"/>
              </w:rP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2"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11</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color w:val="000000"/>
              </w:rPr>
            </w:pPr>
            <w:r>
              <w:rPr>
                <w:rFonts w:hint="eastAsia" w:ascii="宋体" w:hAnsi="宋体"/>
                <w:b/>
                <w:bCs/>
                <w:color w:val="000000"/>
              </w:rPr>
              <w:t>投标截止时间及地点：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8"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12</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ascii="宋体" w:hAnsi="宋体"/>
                <w:color w:val="000000"/>
              </w:rPr>
            </w:pPr>
            <w:r>
              <w:rPr>
                <w:rFonts w:hint="eastAsia" w:ascii="宋体" w:hAnsi="宋体"/>
                <w:b/>
                <w:bCs/>
                <w:color w:val="000000"/>
              </w:rPr>
              <w:t>开标时间及地点：</w:t>
            </w:r>
            <w:r>
              <w:rPr>
                <w:rFonts w:hint="eastAsia" w:ascii="宋体" w:hAnsi="宋体"/>
                <w:color w:val="000000"/>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rPr>
            </w:pPr>
            <w:r>
              <w:rPr>
                <w:rFonts w:hint="eastAsia" w:ascii="宋体" w:hAnsi="宋体"/>
                <w:color w:val="000000"/>
              </w:rPr>
              <w:t>13</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bCs/>
                <w:color w:val="000000"/>
              </w:rPr>
            </w:pPr>
            <w:r>
              <w:rPr>
                <w:rFonts w:hint="eastAsia" w:ascii="宋体" w:hAnsi="宋体"/>
                <w:b/>
                <w:bCs/>
                <w:color w:val="000000"/>
              </w:rPr>
              <w:t>评标标准及方法：</w:t>
            </w: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rPr>
            </w:pPr>
            <w:r>
              <w:rPr>
                <w:rFonts w:hint="eastAsia" w:ascii="宋体" w:hAnsi="宋体"/>
              </w:rPr>
              <w:t>14</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both"/>
              <w:rPr>
                <w:rFonts w:hint="eastAsia" w:ascii="宋体" w:hAnsi="宋体"/>
                <w:b/>
                <w:bCs/>
                <w:highlight w:val="yellow"/>
              </w:rPr>
            </w:pPr>
            <w:r>
              <w:rPr>
                <w:rFonts w:hint="eastAsia" w:ascii="宋体" w:hAnsi="宋体"/>
                <w:b/>
                <w:bCs/>
              </w:rPr>
              <w:t>履约保证金：叁万元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98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jc w:val="center"/>
              <w:textAlignment w:val="bottom"/>
              <w:rPr>
                <w:rFonts w:hint="eastAsia" w:ascii="宋体" w:hAnsi="宋体"/>
                <w:b/>
                <w:bCs/>
                <w:color w:val="000000"/>
              </w:rPr>
            </w:pPr>
            <w:r>
              <w:rPr>
                <w:rFonts w:hint="eastAsia" w:ascii="宋体"/>
                <w:b/>
                <w:sz w:val="24"/>
              </w:rPr>
              <w:t>招标服务费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63"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105" w:firstLineChars="50"/>
              <w:textAlignment w:val="bottom"/>
              <w:rPr>
                <w:rFonts w:hint="eastAsia" w:ascii="宋体" w:hAnsi="宋体"/>
                <w:bCs/>
                <w:color w:val="000000"/>
              </w:rPr>
            </w:pPr>
            <w:r>
              <w:rPr>
                <w:rFonts w:hint="eastAsia" w:ascii="宋体" w:hAnsi="宋体"/>
                <w:bCs/>
                <w:color w:val="000000"/>
              </w:rPr>
              <w:t>1</w:t>
            </w:r>
            <w:r>
              <w:rPr>
                <w:rFonts w:ascii="宋体" w:hAnsi="宋体"/>
                <w:bCs/>
                <w:color w:val="000000"/>
              </w:rPr>
              <w:t>5</w:t>
            </w:r>
          </w:p>
        </w:tc>
        <w:tc>
          <w:tcPr>
            <w:tcW w:w="91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auto"/>
              <w:jc w:val="both"/>
              <w:rPr>
                <w:rFonts w:hint="eastAsia" w:ascii="宋体" w:hAnsi="宋体"/>
              </w:rPr>
            </w:pPr>
            <w:r>
              <w:rPr>
                <w:rFonts w:hint="eastAsia" w:ascii="宋体" w:hAnsi="宋体"/>
              </w:rPr>
              <w:t>15.1本招标公司根据国家发改委发改办价格[2003]857号通知和国家计委计价格[2002]1980号文件规定的服务招标费率标准，按照中标通知书确定的中标金额，向中标供应商收取招标服务费（低于6000元按6000元收取）。</w:t>
            </w:r>
          </w:p>
          <w:p>
            <w:pPr>
              <w:widowControl w:val="0"/>
              <w:spacing w:line="360" w:lineRule="auto"/>
              <w:jc w:val="both"/>
              <w:rPr>
                <w:rFonts w:hint="eastAsia" w:ascii="宋体" w:hAnsi="宋体"/>
              </w:rPr>
            </w:pPr>
            <w:r>
              <w:rPr>
                <w:rFonts w:hint="eastAsia" w:ascii="宋体" w:hAnsi="宋体"/>
              </w:rPr>
              <w:t>15.2中标供应商应在本公司发出中标通知书5个工作日内向本招标公司支付招标服务费。</w:t>
            </w:r>
          </w:p>
          <w:p>
            <w:pPr>
              <w:widowControl w:val="0"/>
              <w:spacing w:line="360" w:lineRule="auto"/>
              <w:jc w:val="both"/>
              <w:rPr>
                <w:rFonts w:hint="eastAsia" w:ascii="宋体" w:hAnsi="宋体"/>
              </w:rPr>
            </w:pPr>
            <w:r>
              <w:rPr>
                <w:rFonts w:hint="eastAsia" w:ascii="宋体" w:hAnsi="宋体"/>
              </w:rPr>
              <w:t>15.3招标服务费只收现金、银行票汇款、电汇款。</w:t>
            </w:r>
          </w:p>
          <w:p>
            <w:pPr>
              <w:autoSpaceDE w:val="0"/>
              <w:autoSpaceDN w:val="0"/>
              <w:snapToGrid w:val="0"/>
              <w:spacing w:line="360" w:lineRule="auto"/>
              <w:jc w:val="both"/>
              <w:textAlignment w:val="bottom"/>
              <w:rPr>
                <w:rFonts w:hint="eastAsia" w:ascii="宋体" w:hAnsi="宋体"/>
              </w:rPr>
            </w:pPr>
            <w:r>
              <w:rPr>
                <w:rFonts w:hint="eastAsia" w:ascii="宋体" w:hAnsi="宋体"/>
              </w:rPr>
              <w:t>中标供应商如未按以上1条和2条规定办理，本招标公司有权从其投标保证金中收取，并对不足部分进行追索。</w:t>
            </w:r>
          </w:p>
        </w:tc>
      </w:tr>
    </w:tbl>
    <w:p>
      <w:pPr>
        <w:pStyle w:val="3"/>
        <w:widowControl w:val="0"/>
        <w:adjustRightInd w:val="0"/>
        <w:spacing w:line="288" w:lineRule="auto"/>
        <w:jc w:val="center"/>
        <w:textAlignment w:val="baseline"/>
        <w:rPr>
          <w:rFonts w:ascii="宋体" w:hAnsi="宋体" w:eastAsia="宋体"/>
          <w:b w:val="0"/>
          <w:sz w:val="28"/>
          <w:szCs w:val="28"/>
        </w:rPr>
      </w:pPr>
      <w:bookmarkStart w:id="40" w:name="_Toc347134772"/>
      <w:bookmarkStart w:id="41" w:name="_Toc334167673"/>
      <w:bookmarkStart w:id="42" w:name="_Toc13227281"/>
      <w:r>
        <w:rPr>
          <w:rFonts w:hint="eastAsia" w:ascii="宋体" w:hAnsi="宋体" w:eastAsia="宋体"/>
          <w:b w:val="0"/>
          <w:sz w:val="28"/>
          <w:szCs w:val="28"/>
        </w:rPr>
        <w:t>二、总则</w:t>
      </w:r>
      <w:bookmarkEnd w:id="40"/>
      <w:bookmarkEnd w:id="41"/>
      <w:bookmarkEnd w:id="42"/>
    </w:p>
    <w:p>
      <w:pPr>
        <w:jc w:val="center"/>
        <w:rPr>
          <w:rFonts w:hint="eastAsia"/>
        </w:rPr>
      </w:pPr>
      <w:bookmarkStart w:id="43" w:name="_Toc350770274"/>
      <w:r>
        <w:rPr>
          <w:rFonts w:hint="eastAsia" w:ascii="宋体" w:hAnsi="宋体" w:cs="宋体"/>
          <w:b/>
          <w:bCs/>
          <w:sz w:val="24"/>
        </w:rPr>
        <w:t>A  投标人</w:t>
      </w:r>
      <w:bookmarkEnd w:id="43"/>
    </w:p>
    <w:p>
      <w:pPr>
        <w:widowControl w:val="0"/>
        <w:adjustRightInd w:val="0"/>
        <w:snapToGrid w:val="0"/>
        <w:spacing w:line="460" w:lineRule="exact"/>
        <w:ind w:firstLine="422" w:firstLineChars="200"/>
        <w:jc w:val="both"/>
        <w:rPr>
          <w:rFonts w:ascii="宋体" w:hAnsi="宋体" w:cs="宋体"/>
          <w:b/>
          <w:kern w:val="2"/>
          <w:szCs w:val="21"/>
        </w:rPr>
      </w:pPr>
      <w:bookmarkStart w:id="44" w:name="_Toc334167680"/>
      <w:bookmarkStart w:id="45" w:name="_Toc347134780"/>
      <w:r>
        <w:rPr>
          <w:rFonts w:hint="eastAsia" w:ascii="宋体" w:hAnsi="宋体" w:cs="宋体"/>
          <w:b/>
          <w:kern w:val="2"/>
          <w:szCs w:val="21"/>
        </w:rPr>
        <w:t>1、适用范围</w:t>
      </w:r>
    </w:p>
    <w:p>
      <w:pPr>
        <w:widowControl w:val="0"/>
        <w:adjustRightInd w:val="0"/>
        <w:snapToGrid w:val="0"/>
        <w:spacing w:line="460" w:lineRule="exact"/>
        <w:ind w:firstLine="420" w:firstLineChars="200"/>
        <w:jc w:val="both"/>
        <w:rPr>
          <w:rFonts w:ascii="宋体" w:hAnsi="宋体" w:cs="宋体"/>
          <w:bCs/>
          <w:kern w:val="2"/>
          <w:szCs w:val="21"/>
        </w:rPr>
      </w:pPr>
      <w:r>
        <w:rPr>
          <w:rFonts w:hint="eastAsia" w:ascii="宋体" w:hAnsi="宋体" w:cs="宋体"/>
          <w:bCs/>
          <w:kern w:val="2"/>
          <w:szCs w:val="21"/>
        </w:rPr>
        <w:t>1.1 本招标文件仅适用于本次招标采购项目。</w:t>
      </w:r>
    </w:p>
    <w:p>
      <w:pPr>
        <w:widowControl w:val="0"/>
        <w:spacing w:line="460" w:lineRule="exact"/>
        <w:ind w:firstLine="422" w:firstLineChars="200"/>
        <w:jc w:val="both"/>
        <w:rPr>
          <w:rFonts w:ascii="宋体" w:hAnsi="宋体" w:cs="宋体"/>
          <w:b/>
          <w:bCs/>
          <w:kern w:val="2"/>
          <w:szCs w:val="21"/>
        </w:rPr>
      </w:pPr>
      <w:r>
        <w:rPr>
          <w:rFonts w:hint="eastAsia" w:ascii="宋体" w:hAnsi="宋体" w:cs="宋体"/>
          <w:b/>
          <w:bCs/>
          <w:kern w:val="2"/>
          <w:szCs w:val="21"/>
        </w:rPr>
        <w:t xml:space="preserve">2、有关定义 </w:t>
      </w:r>
    </w:p>
    <w:p>
      <w:pPr>
        <w:widowControl w:val="0"/>
        <w:adjustRightInd w:val="0"/>
        <w:snapToGrid w:val="0"/>
        <w:spacing w:line="460" w:lineRule="exact"/>
        <w:ind w:firstLine="420" w:firstLineChars="200"/>
        <w:jc w:val="both"/>
        <w:rPr>
          <w:rFonts w:ascii="宋体" w:hAnsi="宋体" w:cs="宋体"/>
          <w:bCs/>
          <w:kern w:val="2"/>
          <w:szCs w:val="21"/>
        </w:rPr>
      </w:pPr>
      <w:r>
        <w:rPr>
          <w:rFonts w:hint="eastAsia" w:ascii="宋体" w:hAnsi="宋体" w:cs="宋体"/>
          <w:kern w:val="2"/>
          <w:szCs w:val="21"/>
        </w:rPr>
        <w:t>2.1</w:t>
      </w:r>
      <w:r>
        <w:rPr>
          <w:rFonts w:hint="eastAsia" w:ascii="宋体" w:hAnsi="宋体" w:cs="宋体"/>
          <w:bCs/>
          <w:kern w:val="2"/>
          <w:szCs w:val="21"/>
        </w:rPr>
        <w:t>“招标人”系指依法进行政府采购的国家机关、事业单位、团体组织等。</w:t>
      </w:r>
    </w:p>
    <w:p>
      <w:pPr>
        <w:widowControl w:val="0"/>
        <w:spacing w:line="460" w:lineRule="exact"/>
        <w:ind w:firstLine="420" w:firstLineChars="200"/>
        <w:rPr>
          <w:rFonts w:ascii="宋体" w:hAnsi="宋体" w:cs="宋体"/>
          <w:bCs/>
          <w:kern w:val="2"/>
          <w:szCs w:val="21"/>
        </w:rPr>
      </w:pPr>
      <w:r>
        <w:rPr>
          <w:rFonts w:hint="eastAsia" w:ascii="宋体" w:hAnsi="宋体" w:cs="宋体"/>
          <w:bCs/>
          <w:kern w:val="2"/>
          <w:szCs w:val="21"/>
        </w:rPr>
        <w:t>2.2 “采购（招标）代理机构”系指根据招标人的委托依法办理招标事宜的采购机构。本次招标的采购代理机构是浙江天诚工程咨询有限公司；</w:t>
      </w:r>
    </w:p>
    <w:p>
      <w:pPr>
        <w:widowControl w:val="0"/>
        <w:spacing w:line="460" w:lineRule="exact"/>
        <w:rPr>
          <w:rFonts w:ascii="宋体" w:hAnsi="宋体" w:cs="宋体"/>
          <w:bCs/>
          <w:kern w:val="2"/>
          <w:szCs w:val="21"/>
        </w:rPr>
      </w:pPr>
      <w:r>
        <w:rPr>
          <w:rFonts w:hint="eastAsia" w:ascii="宋体" w:hAnsi="宋体" w:cs="宋体"/>
          <w:bCs/>
          <w:kern w:val="2"/>
          <w:szCs w:val="21"/>
        </w:rPr>
        <w:t xml:space="preserve">    2.3 “招标采购单位”系指“招标人”和“采购代理机构”的统称。  </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bCs/>
          <w:kern w:val="2"/>
          <w:szCs w:val="21"/>
        </w:rPr>
        <w:t>2.4 “投标人”系指购买了招标文件拟参加投标和向招标人提供货物及相应服务的投标人</w:t>
      </w:r>
      <w:r>
        <w:rPr>
          <w:rFonts w:hint="eastAsia" w:ascii="宋体" w:hAnsi="宋体" w:cs="宋体"/>
          <w:kern w:val="2"/>
          <w:szCs w:val="21"/>
        </w:rPr>
        <w:t>。</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3、合格投标人</w:t>
      </w:r>
    </w:p>
    <w:p>
      <w:pPr>
        <w:widowControl w:val="0"/>
        <w:adjustRightInd w:val="0"/>
        <w:snapToGrid w:val="0"/>
        <w:spacing w:line="460" w:lineRule="exact"/>
        <w:ind w:firstLine="422" w:firstLineChars="200"/>
        <w:jc w:val="both"/>
        <w:rPr>
          <w:rFonts w:ascii="宋体" w:hAnsi="宋体" w:cs="宋体"/>
          <w:b/>
          <w:kern w:val="2"/>
          <w:szCs w:val="21"/>
          <w:u w:val="single"/>
        </w:rPr>
      </w:pPr>
      <w:r>
        <w:rPr>
          <w:rFonts w:hint="eastAsia" w:ascii="宋体" w:hAnsi="宋体" w:cs="宋体"/>
          <w:b/>
          <w:kern w:val="2"/>
          <w:szCs w:val="21"/>
        </w:rPr>
        <w:t>3.1</w:t>
      </w:r>
      <w:r>
        <w:rPr>
          <w:rFonts w:hint="eastAsia" w:ascii="宋体" w:hAnsi="宋体" w:cs="宋体"/>
          <w:b/>
          <w:kern w:val="2"/>
          <w:szCs w:val="21"/>
          <w:u w:val="single"/>
        </w:rPr>
        <w:t>合格投标人必须符合采购公告上所列的资格条件，在开标后招标人或者采购代理机构将依法对投标人进行资格审查，如无以下资格，视为资格审查不通过，不得参加后续评审:</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3.2投标方应遵守有关的国家法律、法令和条例</w:t>
      </w:r>
      <w:r>
        <w:rPr>
          <w:rFonts w:hint="eastAsia" w:ascii="宋体" w:hAnsi="宋体" w:cs="宋体"/>
          <w:bCs/>
          <w:kern w:val="2"/>
          <w:szCs w:val="21"/>
        </w:rPr>
        <w:t>。</w:t>
      </w:r>
    </w:p>
    <w:p>
      <w:pPr>
        <w:widowControl w:val="0"/>
        <w:adjustRightInd w:val="0"/>
        <w:snapToGrid w:val="0"/>
        <w:spacing w:line="460" w:lineRule="exact"/>
        <w:ind w:firstLine="422" w:firstLineChars="200"/>
        <w:jc w:val="both"/>
        <w:rPr>
          <w:rFonts w:ascii="宋体" w:hAnsi="宋体" w:cs="宋体"/>
          <w:kern w:val="2"/>
          <w:szCs w:val="21"/>
        </w:rPr>
      </w:pPr>
      <w:r>
        <w:rPr>
          <w:rFonts w:hint="eastAsia" w:ascii="宋体" w:hAnsi="宋体" w:cs="宋体"/>
          <w:b/>
          <w:kern w:val="2"/>
          <w:szCs w:val="21"/>
        </w:rPr>
        <w:t>4.投标费用</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4.1无论投标结果如何，投标人自行承担所有与参加投标有关的全部费用。</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4.2中标人须按投标人须知前附表的规定向招标代理公司支付中标服务费。</w:t>
      </w:r>
    </w:p>
    <w:p>
      <w:pPr>
        <w:widowControl w:val="0"/>
        <w:spacing w:line="460" w:lineRule="exact"/>
        <w:ind w:firstLine="482" w:firstLineChars="200"/>
        <w:jc w:val="center"/>
        <w:rPr>
          <w:rFonts w:ascii="宋体" w:hAnsi="宋体" w:cs="宋体"/>
          <w:b/>
          <w:bCs/>
          <w:kern w:val="2"/>
          <w:sz w:val="24"/>
          <w:szCs w:val="24"/>
        </w:rPr>
      </w:pPr>
      <w:bookmarkStart w:id="46" w:name="_Toc350770275"/>
      <w:r>
        <w:rPr>
          <w:rFonts w:hint="eastAsia" w:ascii="宋体" w:hAnsi="宋体" w:cs="宋体"/>
          <w:b/>
          <w:bCs/>
          <w:kern w:val="2"/>
          <w:sz w:val="24"/>
          <w:szCs w:val="24"/>
        </w:rPr>
        <w:t>B  招标文件</w:t>
      </w:r>
      <w:bookmarkEnd w:id="46"/>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5.招标文件</w:t>
      </w:r>
    </w:p>
    <w:p>
      <w:pPr>
        <w:widowControl w:val="0"/>
        <w:adjustRightInd w:val="0"/>
        <w:snapToGrid w:val="0"/>
        <w:spacing w:line="460" w:lineRule="exact"/>
        <w:ind w:firstLine="422" w:firstLineChars="200"/>
        <w:jc w:val="both"/>
        <w:rPr>
          <w:rFonts w:ascii="宋体" w:hAnsi="宋体" w:cs="宋体"/>
          <w:kern w:val="2"/>
          <w:szCs w:val="21"/>
        </w:rPr>
      </w:pPr>
      <w:r>
        <w:rPr>
          <w:rFonts w:hint="eastAsia" w:ascii="宋体" w:hAnsi="宋体" w:cs="宋体"/>
          <w:b/>
          <w:kern w:val="2"/>
          <w:szCs w:val="21"/>
        </w:rPr>
        <w:t>5</w:t>
      </w:r>
      <w:r>
        <w:rPr>
          <w:rFonts w:hint="eastAsia" w:ascii="宋体" w:hAnsi="宋体" w:cs="宋体"/>
          <w:kern w:val="2"/>
          <w:szCs w:val="21"/>
        </w:rPr>
        <w:t>.1招标文件由招标文件总目录所列内容组成。</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5.2投标人应详细阅读招标文件的全部内容。不按招标文件的要求提供的投标文件和资料,可能导致投标无效。</w:t>
      </w:r>
    </w:p>
    <w:p>
      <w:pPr>
        <w:widowControl w:val="0"/>
        <w:adjustRightInd w:val="0"/>
        <w:snapToGrid w:val="0"/>
        <w:spacing w:line="460" w:lineRule="exact"/>
        <w:ind w:firstLine="422" w:firstLineChars="200"/>
        <w:jc w:val="both"/>
        <w:rPr>
          <w:rFonts w:ascii="宋体" w:hAnsi="宋体" w:cs="宋体"/>
          <w:kern w:val="2"/>
          <w:szCs w:val="21"/>
        </w:rPr>
      </w:pPr>
      <w:r>
        <w:rPr>
          <w:rFonts w:hint="eastAsia" w:ascii="宋体" w:hAnsi="宋体" w:cs="宋体"/>
          <w:b/>
          <w:kern w:val="2"/>
          <w:szCs w:val="21"/>
        </w:rPr>
        <w:t>6、招标文件的澄清与修改</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6.1在投标截止时间前，招标人或者采购代理机构可以以补充文件的形式对已发出的招标文件进行必要的澄清或者修改。补充文件将作为招标文件的组成部分，对所有投标人有约束力。</w:t>
      </w:r>
    </w:p>
    <w:p>
      <w:pPr>
        <w:widowControl w:val="0"/>
        <w:adjustRightInd w:val="0"/>
        <w:snapToGrid w:val="0"/>
        <w:spacing w:line="460" w:lineRule="exact"/>
        <w:ind w:firstLine="420"/>
        <w:jc w:val="both"/>
        <w:rPr>
          <w:rFonts w:ascii="宋体" w:hAnsi="宋体" w:cs="宋体"/>
          <w:kern w:val="2"/>
          <w:szCs w:val="21"/>
        </w:rPr>
      </w:pPr>
      <w:r>
        <w:rPr>
          <w:rFonts w:hint="eastAsia" w:ascii="宋体" w:hAnsi="宋体" w:cs="宋体"/>
          <w:kern w:val="2"/>
          <w:szCs w:val="21"/>
        </w:rPr>
        <w:t>6.2投标人如认为招标文件表述不清晰、存在歧视性、排他性或者其他违法内容的，应于招标文件获得之日（最晚为招标文件获取或公告截止之日）起七个工作日内，以书面形式</w:t>
      </w:r>
      <w:r>
        <w:rPr>
          <w:rFonts w:hint="eastAsia" w:ascii="宋体" w:hAnsi="宋体" w:cs="宋体"/>
          <w:b/>
          <w:bCs/>
          <w:kern w:val="2"/>
          <w:szCs w:val="21"/>
        </w:rPr>
        <w:t>（本招标文件中涉及的书面形式仅指纸质或电子邮件，下同</w:t>
      </w:r>
      <w:r>
        <w:rPr>
          <w:rFonts w:hint="eastAsia" w:ascii="宋体" w:hAnsi="宋体" w:cs="宋体"/>
          <w:kern w:val="2"/>
          <w:szCs w:val="21"/>
        </w:rPr>
        <w:t>）向招标人提出质疑，逾期不予受理；招标人将视具体情况作出答复。</w:t>
      </w:r>
    </w:p>
    <w:p>
      <w:pPr>
        <w:widowControl w:val="0"/>
        <w:adjustRightInd w:val="0"/>
        <w:snapToGrid w:val="0"/>
        <w:spacing w:line="460" w:lineRule="exact"/>
        <w:ind w:firstLine="420"/>
        <w:jc w:val="both"/>
        <w:rPr>
          <w:rFonts w:ascii="宋体" w:hAnsi="宋体" w:cs="宋体"/>
          <w:kern w:val="2"/>
          <w:szCs w:val="21"/>
        </w:rPr>
      </w:pPr>
      <w:r>
        <w:rPr>
          <w:rFonts w:hint="eastAsia" w:ascii="宋体" w:hAnsi="宋体" w:cs="宋体"/>
          <w:kern w:val="2"/>
          <w:szCs w:val="21"/>
        </w:rPr>
        <w:t>6.3招标文件如有澄清和修改，招标人或者采购代理机构将于投标截止时间三日（</w:t>
      </w:r>
      <w:r>
        <w:rPr>
          <w:rFonts w:ascii="宋体" w:hAnsi="宋体" w:cs="宋体"/>
          <w:kern w:val="2"/>
          <w:szCs w:val="21"/>
        </w:rPr>
        <w:t>澄清或者修改的内容可能影响投标文件编制的</w:t>
      </w:r>
      <w:r>
        <w:rPr>
          <w:rFonts w:hint="eastAsia" w:ascii="宋体" w:hAnsi="宋体" w:cs="宋体"/>
          <w:kern w:val="2"/>
          <w:szCs w:val="21"/>
        </w:rPr>
        <w:t>，则为十五日）前在浙江省政府采购网上发布更正公告，发出补充文件通知，并将在通知中明确是否推迟投标的截止日期和开标日期。</w:t>
      </w:r>
      <w:r>
        <w:rPr>
          <w:rFonts w:hint="eastAsia" w:ascii="宋体" w:hAnsi="宋体" w:cs="宋体"/>
          <w:b/>
          <w:bCs/>
          <w:kern w:val="2"/>
          <w:szCs w:val="21"/>
        </w:rPr>
        <w:t>信息公布视同送达所有潜在投标人</w:t>
      </w:r>
      <w:r>
        <w:rPr>
          <w:rFonts w:hint="eastAsia" w:ascii="宋体" w:hAnsi="宋体"/>
          <w:b/>
          <w:bCs/>
          <w:kern w:val="2"/>
          <w:szCs w:val="21"/>
        </w:rPr>
        <w:t>，</w:t>
      </w:r>
      <w:r>
        <w:rPr>
          <w:rFonts w:hint="eastAsia" w:ascii="宋体" w:hAnsi="宋体" w:cs="宋体"/>
          <w:b/>
          <w:bCs/>
          <w:kern w:val="2"/>
          <w:szCs w:val="21"/>
        </w:rPr>
        <w:t>不另行提供纸质版补充文件，各投标人须及时关注相关网站，如有遗漏，责任自负</w:t>
      </w:r>
      <w:r>
        <w:rPr>
          <w:rFonts w:hint="eastAsia" w:ascii="宋体" w:hAnsi="宋体" w:cs="宋体"/>
          <w:kern w:val="2"/>
          <w:szCs w:val="21"/>
        </w:rPr>
        <w:t>。</w:t>
      </w:r>
    </w:p>
    <w:p>
      <w:pPr>
        <w:widowControl w:val="0"/>
        <w:adjustRightInd w:val="0"/>
        <w:snapToGrid w:val="0"/>
        <w:spacing w:line="460" w:lineRule="exact"/>
        <w:ind w:firstLine="420"/>
        <w:jc w:val="both"/>
        <w:rPr>
          <w:rFonts w:ascii="宋体" w:hAnsi="宋体" w:cs="宋体"/>
          <w:kern w:val="2"/>
          <w:szCs w:val="21"/>
        </w:rPr>
      </w:pPr>
    </w:p>
    <w:p>
      <w:pPr>
        <w:widowControl w:val="0"/>
        <w:spacing w:line="460" w:lineRule="exact"/>
        <w:ind w:firstLine="482" w:firstLineChars="200"/>
        <w:jc w:val="center"/>
        <w:rPr>
          <w:rFonts w:ascii="宋体" w:hAnsi="宋体" w:cs="宋体"/>
          <w:b/>
          <w:bCs/>
          <w:kern w:val="2"/>
          <w:sz w:val="24"/>
          <w:szCs w:val="24"/>
        </w:rPr>
      </w:pPr>
      <w:bookmarkStart w:id="47" w:name="_Toc350770276"/>
      <w:r>
        <w:rPr>
          <w:rFonts w:hint="eastAsia" w:ascii="宋体" w:hAnsi="宋体" w:cs="宋体"/>
          <w:b/>
          <w:bCs/>
          <w:kern w:val="2"/>
          <w:sz w:val="24"/>
          <w:szCs w:val="24"/>
        </w:rPr>
        <w:t>C  投标文件</w:t>
      </w:r>
      <w:bookmarkEnd w:id="47"/>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7.投标文件</w:t>
      </w:r>
      <w:r>
        <w:rPr>
          <w:rFonts w:hint="eastAsia" w:ascii="宋体" w:hAnsi="宋体" w:eastAsia="Times New Roman"/>
          <w:b/>
          <w:kern w:val="2"/>
          <w:szCs w:val="21"/>
        </w:rPr>
        <w:t>语言及</w:t>
      </w:r>
      <w:r>
        <w:rPr>
          <w:rFonts w:hint="eastAsia" w:ascii="宋体" w:hAnsi="宋体" w:cs="宋体"/>
          <w:b/>
          <w:kern w:val="2"/>
          <w:szCs w:val="21"/>
        </w:rPr>
        <w:t>计量单位</w:t>
      </w:r>
    </w:p>
    <w:p>
      <w:pPr>
        <w:widowControl w:val="0"/>
        <w:adjustRightInd w:val="0"/>
        <w:snapToGrid w:val="0"/>
        <w:spacing w:line="460" w:lineRule="exact"/>
        <w:ind w:firstLine="420" w:firstLineChars="200"/>
        <w:jc w:val="both"/>
        <w:rPr>
          <w:rFonts w:ascii="宋体" w:hAnsi="宋体"/>
          <w:kern w:val="2"/>
          <w:szCs w:val="21"/>
        </w:rPr>
      </w:pPr>
      <w:r>
        <w:rPr>
          <w:rFonts w:hint="eastAsia" w:ascii="宋体" w:hAnsi="宋体" w:cs="宋体"/>
          <w:kern w:val="2"/>
          <w:szCs w:val="21"/>
        </w:rPr>
        <w:t>7.1</w:t>
      </w:r>
      <w:r>
        <w:rPr>
          <w:rFonts w:ascii="宋体" w:hAnsi="宋体"/>
          <w:kern w:val="2"/>
          <w:szCs w:val="21"/>
        </w:rPr>
        <w:t>投标文件以及投标方与招标方就有关投标事宜的所有来往函电</w:t>
      </w:r>
      <w:r>
        <w:rPr>
          <w:rFonts w:hint="eastAsia" w:ascii="宋体" w:hAnsi="宋体"/>
          <w:kern w:val="2"/>
          <w:szCs w:val="21"/>
        </w:rPr>
        <w:t>（</w:t>
      </w:r>
      <w:r>
        <w:rPr>
          <w:rFonts w:ascii="宋体" w:hAnsi="宋体"/>
          <w:kern w:val="2"/>
          <w:szCs w:val="21"/>
        </w:rPr>
        <w:t>除签名、盖章、专用名称等特殊情形外</w:t>
      </w:r>
      <w:r>
        <w:rPr>
          <w:rFonts w:hint="eastAsia" w:ascii="宋体" w:hAnsi="宋体"/>
          <w:kern w:val="2"/>
          <w:szCs w:val="21"/>
        </w:rPr>
        <w:t>）</w:t>
      </w:r>
      <w:r>
        <w:rPr>
          <w:rFonts w:ascii="宋体" w:hAnsi="宋体"/>
          <w:kern w:val="2"/>
          <w:szCs w:val="21"/>
        </w:rPr>
        <w:t>，均应以中文汉语书写</w:t>
      </w:r>
      <w:r>
        <w:rPr>
          <w:rFonts w:hint="eastAsia" w:ascii="宋体" w:hAnsi="宋体"/>
          <w:kern w:val="2"/>
          <w:szCs w:val="21"/>
        </w:rPr>
        <w:t>。</w:t>
      </w:r>
      <w:r>
        <w:rPr>
          <w:rFonts w:ascii="宋体" w:hAnsi="宋体"/>
          <w:kern w:val="2"/>
          <w:szCs w:val="21"/>
        </w:rPr>
        <w:t>以中文汉语以外的文字表述的投标文件视同未</w:t>
      </w:r>
      <w:r>
        <w:rPr>
          <w:rFonts w:hint="eastAsia" w:ascii="宋体" w:hAnsi="宋体"/>
          <w:kern w:val="2"/>
          <w:szCs w:val="21"/>
        </w:rPr>
        <w:t>响应</w:t>
      </w:r>
      <w:r>
        <w:rPr>
          <w:rFonts w:ascii="宋体" w:hAnsi="宋体"/>
          <w:kern w:val="2"/>
          <w:szCs w:val="21"/>
        </w:rPr>
        <w:t>。</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kern w:val="2"/>
          <w:szCs w:val="21"/>
        </w:rPr>
        <w:t>7.</w:t>
      </w:r>
      <w:r>
        <w:rPr>
          <w:rFonts w:ascii="宋体" w:hAnsi="宋体"/>
          <w:kern w:val="2"/>
          <w:szCs w:val="21"/>
        </w:rPr>
        <w:t>2</w:t>
      </w:r>
      <w:r>
        <w:rPr>
          <w:rFonts w:hint="eastAsia" w:ascii="宋体" w:hAnsi="宋体" w:cs="宋体"/>
          <w:kern w:val="2"/>
          <w:szCs w:val="21"/>
        </w:rPr>
        <w:t>投标文件中所使用的计量单位，除招标文件中有特殊要求外，应采用国家法定计量单位。</w:t>
      </w:r>
    </w:p>
    <w:p>
      <w:pPr>
        <w:widowControl w:val="0"/>
        <w:adjustRightInd w:val="0"/>
        <w:spacing w:line="460" w:lineRule="exact"/>
        <w:ind w:firstLine="422" w:firstLineChars="200"/>
        <w:jc w:val="both"/>
        <w:rPr>
          <w:rFonts w:ascii="宋体" w:hAnsi="宋体" w:cs="宋体"/>
          <w:b/>
          <w:bCs/>
          <w:kern w:val="2"/>
          <w:szCs w:val="21"/>
        </w:rPr>
      </w:pPr>
      <w:r>
        <w:rPr>
          <w:rFonts w:hint="eastAsia" w:ascii="宋体" w:hAnsi="宋体" w:cs="宋体"/>
          <w:b/>
          <w:bCs/>
          <w:kern w:val="2"/>
          <w:szCs w:val="21"/>
        </w:rPr>
        <w:t>8. 投标文件组成</w:t>
      </w:r>
    </w:p>
    <w:p>
      <w:pPr>
        <w:widowControl w:val="0"/>
        <w:adjustRightInd w:val="0"/>
        <w:spacing w:line="460" w:lineRule="exact"/>
        <w:ind w:firstLine="420" w:firstLineChars="200"/>
        <w:jc w:val="both"/>
        <w:rPr>
          <w:rFonts w:hint="eastAsia"/>
          <w:kern w:val="2"/>
          <w:szCs w:val="24"/>
        </w:rPr>
      </w:pPr>
      <w:r>
        <w:rPr>
          <w:rFonts w:hint="eastAsia"/>
          <w:kern w:val="2"/>
          <w:szCs w:val="24"/>
        </w:rPr>
        <w:t>（1）投标函；</w:t>
      </w:r>
    </w:p>
    <w:p>
      <w:pPr>
        <w:widowControl w:val="0"/>
        <w:adjustRightInd w:val="0"/>
        <w:spacing w:line="460" w:lineRule="exact"/>
        <w:ind w:firstLine="420" w:firstLineChars="200"/>
        <w:jc w:val="both"/>
        <w:rPr>
          <w:rFonts w:hint="eastAsia"/>
          <w:kern w:val="2"/>
          <w:szCs w:val="24"/>
        </w:rPr>
      </w:pPr>
      <w:r>
        <w:rPr>
          <w:rFonts w:hint="eastAsia"/>
          <w:kern w:val="2"/>
          <w:szCs w:val="24"/>
        </w:rPr>
        <w:t>（2）法定代表人授权书；</w:t>
      </w:r>
    </w:p>
    <w:p>
      <w:pPr>
        <w:widowControl w:val="0"/>
        <w:adjustRightInd w:val="0"/>
        <w:spacing w:line="460" w:lineRule="exact"/>
        <w:ind w:firstLine="420" w:firstLineChars="200"/>
        <w:jc w:val="both"/>
        <w:rPr>
          <w:rFonts w:hint="eastAsia"/>
          <w:kern w:val="2"/>
          <w:szCs w:val="24"/>
        </w:rPr>
      </w:pPr>
      <w:r>
        <w:rPr>
          <w:rFonts w:hint="eastAsia"/>
          <w:kern w:val="2"/>
          <w:szCs w:val="24"/>
        </w:rPr>
        <w:t>（3）开标一览表；</w:t>
      </w:r>
    </w:p>
    <w:p>
      <w:pPr>
        <w:widowControl w:val="0"/>
        <w:adjustRightInd w:val="0"/>
        <w:spacing w:line="460" w:lineRule="exact"/>
        <w:ind w:firstLine="420" w:firstLineChars="200"/>
        <w:jc w:val="both"/>
        <w:rPr>
          <w:rFonts w:hint="eastAsia"/>
          <w:kern w:val="2"/>
          <w:szCs w:val="24"/>
        </w:rPr>
      </w:pPr>
      <w:r>
        <w:rPr>
          <w:rFonts w:hint="eastAsia"/>
          <w:kern w:val="2"/>
          <w:szCs w:val="24"/>
        </w:rPr>
        <w:t>（4）费用构成明细报价；</w:t>
      </w:r>
    </w:p>
    <w:p>
      <w:pPr>
        <w:widowControl w:val="0"/>
        <w:adjustRightInd w:val="0"/>
        <w:spacing w:line="460" w:lineRule="exact"/>
        <w:ind w:firstLine="420" w:firstLineChars="200"/>
        <w:jc w:val="both"/>
        <w:rPr>
          <w:rFonts w:hint="eastAsia"/>
          <w:kern w:val="2"/>
          <w:szCs w:val="24"/>
        </w:rPr>
      </w:pPr>
      <w:r>
        <w:rPr>
          <w:rFonts w:hint="eastAsia"/>
          <w:kern w:val="2"/>
          <w:szCs w:val="24"/>
        </w:rPr>
        <w:t>（5）整体服务方案（</w:t>
      </w:r>
      <w:r>
        <w:rPr>
          <w:rFonts w:hint="eastAsia" w:ascii="宋体"/>
          <w:szCs w:val="21"/>
        </w:rPr>
        <w:t>包括具体的</w:t>
      </w:r>
      <w:r>
        <w:rPr>
          <w:rFonts w:hint="eastAsia" w:ascii="宋体" w:hAnsi="宋体"/>
          <w:szCs w:val="21"/>
        </w:rPr>
        <w:t>服务流程</w:t>
      </w:r>
      <w:r>
        <w:rPr>
          <w:rFonts w:hint="eastAsia" w:ascii="宋体"/>
          <w:szCs w:val="21"/>
        </w:rPr>
        <w:t>、</w:t>
      </w:r>
      <w:r>
        <w:rPr>
          <w:rFonts w:hint="eastAsia" w:ascii="宋体" w:hAnsi="宋体"/>
          <w:szCs w:val="21"/>
        </w:rPr>
        <w:t>服务标准、管理目标、员工培训计划及</w:t>
      </w:r>
      <w:r>
        <w:rPr>
          <w:rFonts w:hint="eastAsia" w:ascii="宋体"/>
          <w:szCs w:val="21"/>
        </w:rPr>
        <w:t>突发事件应急方案</w:t>
      </w:r>
      <w:r>
        <w:rPr>
          <w:rFonts w:hint="eastAsia" w:ascii="宋体" w:hAnsi="宋体"/>
          <w:szCs w:val="21"/>
        </w:rPr>
        <w:t>等</w:t>
      </w:r>
      <w:r>
        <w:rPr>
          <w:rFonts w:hint="eastAsia"/>
          <w:kern w:val="2"/>
          <w:szCs w:val="24"/>
        </w:rPr>
        <w:t>）；</w:t>
      </w:r>
    </w:p>
    <w:p>
      <w:pPr>
        <w:widowControl w:val="0"/>
        <w:adjustRightInd w:val="0"/>
        <w:spacing w:line="460" w:lineRule="exact"/>
        <w:ind w:firstLine="420" w:firstLineChars="200"/>
        <w:jc w:val="both"/>
        <w:rPr>
          <w:kern w:val="2"/>
          <w:szCs w:val="24"/>
        </w:rPr>
      </w:pPr>
      <w:r>
        <w:rPr>
          <w:rFonts w:hint="eastAsia"/>
          <w:kern w:val="2"/>
          <w:szCs w:val="24"/>
        </w:rPr>
        <w:t>（6）</w:t>
      </w:r>
      <w:r>
        <w:rPr>
          <w:rFonts w:hint="eastAsia" w:ascii="宋体"/>
          <w:szCs w:val="21"/>
        </w:rPr>
        <w:t>针对本项目的重点难点分析及合理化建议</w:t>
      </w:r>
    </w:p>
    <w:p>
      <w:pPr>
        <w:widowControl w:val="0"/>
        <w:adjustRightInd w:val="0"/>
        <w:spacing w:line="460" w:lineRule="exact"/>
        <w:ind w:firstLine="420" w:firstLineChars="200"/>
        <w:jc w:val="both"/>
        <w:rPr>
          <w:kern w:val="2"/>
          <w:szCs w:val="24"/>
        </w:rPr>
      </w:pPr>
      <w:r>
        <w:rPr>
          <w:rFonts w:hint="eastAsia"/>
          <w:kern w:val="2"/>
          <w:szCs w:val="24"/>
        </w:rPr>
        <w:t>（7）人员配置方案、组织机构及管理制度</w:t>
      </w:r>
    </w:p>
    <w:p>
      <w:pPr>
        <w:widowControl w:val="0"/>
        <w:adjustRightInd w:val="0"/>
        <w:spacing w:line="460" w:lineRule="exact"/>
        <w:ind w:firstLine="420" w:firstLineChars="200"/>
        <w:jc w:val="both"/>
        <w:rPr>
          <w:rFonts w:hint="eastAsia"/>
          <w:kern w:val="2"/>
          <w:szCs w:val="24"/>
        </w:rPr>
      </w:pPr>
      <w:r>
        <w:rPr>
          <w:rFonts w:hint="eastAsia"/>
          <w:kern w:val="2"/>
          <w:szCs w:val="24"/>
        </w:rPr>
        <w:t>（8）售后服务承诺、突发事件应急方案等；</w:t>
      </w:r>
    </w:p>
    <w:p>
      <w:pPr>
        <w:widowControl w:val="0"/>
        <w:adjustRightInd w:val="0"/>
        <w:spacing w:line="460" w:lineRule="exact"/>
        <w:ind w:firstLine="420" w:firstLineChars="200"/>
        <w:jc w:val="both"/>
        <w:rPr>
          <w:rFonts w:hint="eastAsia"/>
          <w:kern w:val="2"/>
          <w:szCs w:val="24"/>
        </w:rPr>
      </w:pPr>
      <w:r>
        <w:rPr>
          <w:rFonts w:hint="eastAsia"/>
          <w:kern w:val="2"/>
          <w:szCs w:val="24"/>
        </w:rPr>
        <w:t>（</w:t>
      </w:r>
      <w:r>
        <w:rPr>
          <w:kern w:val="2"/>
          <w:szCs w:val="24"/>
        </w:rPr>
        <w:t>9</w:t>
      </w:r>
      <w:r>
        <w:rPr>
          <w:rFonts w:hint="eastAsia"/>
          <w:kern w:val="2"/>
          <w:szCs w:val="24"/>
        </w:rPr>
        <w:t>）资格证明文件；</w:t>
      </w:r>
    </w:p>
    <w:p>
      <w:pPr>
        <w:widowControl w:val="0"/>
        <w:snapToGrid w:val="0"/>
        <w:spacing w:line="440" w:lineRule="exact"/>
        <w:ind w:firstLine="420" w:firstLineChars="200"/>
        <w:rPr>
          <w:rFonts w:ascii="宋体" w:hAnsi="宋体"/>
          <w:b/>
          <w:szCs w:val="21"/>
        </w:rPr>
      </w:pPr>
      <w:r>
        <w:rPr>
          <w:rFonts w:hint="eastAsia" w:ascii="宋体" w:hAnsi="宋体"/>
          <w:kern w:val="2"/>
          <w:szCs w:val="21"/>
        </w:rPr>
        <w:t>（</w:t>
      </w:r>
      <w:r>
        <w:rPr>
          <w:rFonts w:ascii="宋体" w:hAnsi="宋体"/>
          <w:kern w:val="2"/>
          <w:szCs w:val="21"/>
        </w:rPr>
        <w:t>10</w:t>
      </w:r>
      <w:r>
        <w:rPr>
          <w:rFonts w:hint="eastAsia" w:ascii="宋体" w:hAnsi="宋体"/>
          <w:kern w:val="2"/>
          <w:szCs w:val="21"/>
        </w:rPr>
        <w:t>）</w:t>
      </w:r>
      <w:r>
        <w:rPr>
          <w:rFonts w:hint="eastAsia" w:ascii="宋体" w:hAnsi="宋体"/>
          <w:b/>
          <w:szCs w:val="21"/>
        </w:rPr>
        <w:t>本招标文件评标办法及评分标准、其他条款规定要求提供的或投标人认为需要提供的其他商务技术资料。</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9.投标内容填写说明</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9.1投标文件按统一格式填写，按第8条要求顺序装订成册。</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10.投标报价（具体详见招标需求）</w:t>
      </w:r>
    </w:p>
    <w:p>
      <w:pPr>
        <w:widowControl w:val="0"/>
        <w:snapToGrid w:val="0"/>
        <w:spacing w:line="440" w:lineRule="exact"/>
        <w:ind w:firstLine="420" w:firstLineChars="200"/>
        <w:rPr>
          <w:rFonts w:ascii="宋体" w:hAnsi="宋体"/>
          <w:kern w:val="2"/>
          <w:szCs w:val="21"/>
        </w:rPr>
      </w:pPr>
      <w:r>
        <w:rPr>
          <w:rFonts w:hint="eastAsia" w:ascii="宋体" w:hAnsi="宋体" w:cs="宋体"/>
          <w:kern w:val="2"/>
          <w:szCs w:val="21"/>
        </w:rPr>
        <w:t xml:space="preserve">10.1 </w:t>
      </w:r>
      <w:r>
        <w:rPr>
          <w:rFonts w:ascii="宋体" w:hAnsi="宋体"/>
          <w:kern w:val="2"/>
          <w:szCs w:val="21"/>
        </w:rPr>
        <w:t>投标报价应按招标文件中相关附表格式填写。</w:t>
      </w:r>
    </w:p>
    <w:p>
      <w:pPr>
        <w:widowControl w:val="0"/>
        <w:snapToGrid w:val="0"/>
        <w:spacing w:line="440" w:lineRule="exact"/>
        <w:ind w:firstLine="420" w:firstLineChars="200"/>
        <w:rPr>
          <w:kern w:val="2"/>
          <w:szCs w:val="21"/>
        </w:rPr>
      </w:pPr>
      <w:r>
        <w:rPr>
          <w:rFonts w:hint="eastAsia" w:ascii="宋体" w:hAnsi="宋体"/>
          <w:kern w:val="2"/>
          <w:szCs w:val="21"/>
        </w:rPr>
        <w:t>10.</w:t>
      </w:r>
      <w:r>
        <w:rPr>
          <w:rFonts w:ascii="宋体" w:hAnsi="宋体"/>
          <w:kern w:val="2"/>
          <w:szCs w:val="21"/>
        </w:rPr>
        <w:t>2投标文件只允许有一个报价，有选择的</w:t>
      </w:r>
      <w:r>
        <w:rPr>
          <w:rFonts w:hint="eastAsia" w:ascii="宋体" w:hAnsi="宋体"/>
          <w:kern w:val="2"/>
          <w:szCs w:val="21"/>
        </w:rPr>
        <w:t>或有条件的</w:t>
      </w:r>
      <w:r>
        <w:rPr>
          <w:rFonts w:ascii="宋体" w:hAnsi="宋体"/>
          <w:kern w:val="2"/>
          <w:szCs w:val="21"/>
        </w:rPr>
        <w:t>报价将不予接受。</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11.投标保证金</w:t>
      </w:r>
    </w:p>
    <w:p>
      <w:pPr>
        <w:widowControl w:val="0"/>
        <w:spacing w:line="460" w:lineRule="exact"/>
        <w:ind w:firstLine="420" w:firstLineChars="200"/>
        <w:jc w:val="both"/>
        <w:rPr>
          <w:rFonts w:ascii="宋体" w:hAnsi="宋体" w:cs="宋体"/>
          <w:kern w:val="2"/>
          <w:szCs w:val="21"/>
        </w:rPr>
      </w:pPr>
      <w:r>
        <w:rPr>
          <w:rFonts w:hint="eastAsia" w:ascii="宋体" w:hAnsi="宋体" w:cs="宋体"/>
          <w:kern w:val="2"/>
          <w:szCs w:val="21"/>
        </w:rPr>
        <w:t>11.1投标保证金金额详见前附表。</w:t>
      </w:r>
    </w:p>
    <w:p>
      <w:pPr>
        <w:widowControl w:val="0"/>
        <w:spacing w:line="460" w:lineRule="exact"/>
        <w:ind w:firstLine="420" w:firstLineChars="200"/>
        <w:jc w:val="both"/>
        <w:rPr>
          <w:rFonts w:ascii="宋体" w:hAnsi="宋体" w:cs="宋体"/>
          <w:kern w:val="2"/>
          <w:szCs w:val="21"/>
        </w:rPr>
      </w:pPr>
      <w:r>
        <w:rPr>
          <w:rFonts w:hint="eastAsia" w:ascii="宋体" w:hAnsi="宋体" w:cs="宋体"/>
          <w:kern w:val="2"/>
          <w:szCs w:val="21"/>
        </w:rPr>
        <w:t>11.2投标保证金提交形式及时间：详见前附表。</w:t>
      </w:r>
    </w:p>
    <w:p>
      <w:pPr>
        <w:widowControl w:val="0"/>
        <w:spacing w:line="460" w:lineRule="exact"/>
        <w:ind w:firstLine="420" w:firstLineChars="200"/>
        <w:jc w:val="both"/>
        <w:rPr>
          <w:rFonts w:ascii="宋体" w:hAnsi="宋体" w:cs="宋体"/>
          <w:kern w:val="2"/>
          <w:szCs w:val="21"/>
        </w:rPr>
      </w:pPr>
      <w:r>
        <w:rPr>
          <w:rFonts w:hint="eastAsia" w:ascii="宋体" w:hAnsi="宋体" w:cs="宋体"/>
          <w:kern w:val="2"/>
          <w:szCs w:val="21"/>
        </w:rPr>
        <w:t>11.3未按第11.1和11.2条要求提交投标保证金的，</w:t>
      </w:r>
      <w:r>
        <w:rPr>
          <w:rFonts w:hint="eastAsia" w:ascii="宋体" w:hAnsi="宋体" w:cs="宋体"/>
          <w:szCs w:val="21"/>
        </w:rPr>
        <w:t>其投标文件作无效标处理</w:t>
      </w:r>
      <w:r>
        <w:rPr>
          <w:rFonts w:hint="eastAsia" w:ascii="宋体" w:hAnsi="宋体" w:cs="宋体"/>
          <w:kern w:val="2"/>
          <w:szCs w:val="21"/>
        </w:rPr>
        <w:t>。</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11.4未中标投标人的投标保证金在中标通知书发出之日起5个工作日内本息退还。</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11.5中标人应在中标通知书发出后</w:t>
      </w:r>
      <w:r>
        <w:rPr>
          <w:rFonts w:hint="eastAsia" w:ascii="宋体" w:hAnsi="宋体" w:cs="宋体"/>
          <w:kern w:val="2"/>
          <w:szCs w:val="21"/>
          <w:u w:val="single"/>
        </w:rPr>
        <w:t>30</w:t>
      </w:r>
      <w:r>
        <w:rPr>
          <w:rFonts w:hint="eastAsia" w:ascii="宋体" w:hAnsi="宋体" w:cs="宋体"/>
          <w:kern w:val="2"/>
          <w:szCs w:val="21"/>
        </w:rPr>
        <w:t>日内与招标人签订合同，中标人的投标保证金在合同签订后5个工作日内退还（退还前须</w:t>
      </w:r>
      <w:r>
        <w:rPr>
          <w:rFonts w:ascii="宋体" w:hAnsi="宋体" w:cs="宋体"/>
          <w:kern w:val="2"/>
          <w:szCs w:val="21"/>
        </w:rPr>
        <w:t>提交合同至</w:t>
      </w:r>
      <w:r>
        <w:rPr>
          <w:rFonts w:hint="eastAsia" w:ascii="宋体" w:hAnsi="宋体" w:cs="宋体"/>
          <w:kern w:val="2"/>
          <w:szCs w:val="21"/>
        </w:rPr>
        <w:t>招标代理单位）。</w:t>
      </w:r>
    </w:p>
    <w:p>
      <w:pPr>
        <w:widowControl w:val="0"/>
        <w:snapToGrid w:val="0"/>
        <w:spacing w:line="460" w:lineRule="exact"/>
        <w:ind w:firstLine="420" w:firstLineChars="200"/>
        <w:jc w:val="both"/>
        <w:rPr>
          <w:rFonts w:ascii="宋体" w:hAnsi="宋体" w:cs="宋体"/>
          <w:bCs/>
          <w:kern w:val="2"/>
          <w:szCs w:val="21"/>
        </w:rPr>
      </w:pPr>
      <w:r>
        <w:rPr>
          <w:rFonts w:hint="eastAsia" w:ascii="宋体" w:hAnsi="宋体" w:cs="宋体"/>
          <w:kern w:val="2"/>
          <w:szCs w:val="21"/>
        </w:rPr>
        <w:t>11.6</w:t>
      </w:r>
      <w:r>
        <w:rPr>
          <w:rFonts w:hint="eastAsia" w:ascii="宋体" w:hAnsi="宋体" w:cs="宋体"/>
          <w:bCs/>
          <w:kern w:val="2"/>
          <w:szCs w:val="21"/>
        </w:rPr>
        <w:t>.投标人有下列情形之一的，投标保证金将不予退还：</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（1）投标人在投标有效期内撤回投标文件的；</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（2）投标人在投标过程中弄虚作假，提供虚假材料的；</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（3）中标人无正当理由不与招标人签订合同的；</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（4）</w:t>
      </w:r>
      <w:r>
        <w:rPr>
          <w:rFonts w:hint="eastAsia" w:ascii="宋体" w:hAnsi="宋体" w:cs="宋体"/>
          <w:bCs/>
          <w:kern w:val="2"/>
          <w:szCs w:val="21"/>
        </w:rPr>
        <w:t>将中标项目转让给他人或者在投标文件中未说明且未经招标采购单位同意，将中标项目分包给他人的；</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（5）拒绝履行合同义务的；</w:t>
      </w:r>
    </w:p>
    <w:p>
      <w:pPr>
        <w:widowControl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（6）其他严重扰乱招投标程序的。</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12.投标文件的有效期</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12.1自开标日起90天内，投标文件应保持有效。有效期短于这个规定期限的投标，将被拒绝。</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12.2在特殊情况下，招标人可与投标人协商延长投标书的有效期。这种要求和答复都应以书面或传真的形式进行。按本须知第11条规定的投标保证金的有效期也相应延长。投标人可以拒绝接受延期要求而不致被没收保证金。同意延长有效期的投标人不能修改投标文件。</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13.投标文件的签署及规定</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13.1投标人应按本招标文件规定的格式和顺序编制、装订投标文件</w:t>
      </w:r>
      <w:r>
        <w:rPr>
          <w:rFonts w:hint="eastAsia" w:ascii="宋体" w:hAnsi="宋体" w:cs="宋体"/>
          <w:b/>
          <w:bCs/>
          <w:kern w:val="2"/>
          <w:szCs w:val="21"/>
        </w:rPr>
        <w:t>并标注页码</w:t>
      </w:r>
      <w:r>
        <w:rPr>
          <w:rFonts w:hint="eastAsia" w:ascii="宋体" w:hAnsi="宋体" w:cs="宋体"/>
          <w:kern w:val="2"/>
          <w:szCs w:val="21"/>
        </w:rPr>
        <w:t>，投标文件内容不完整、编排混乱导致投标文件被误读、漏读或者查找不到相关内容的，是投标人的责任。</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13.2投标文件正本1份，副本4份，分别编制并单独装订成册，投标文件的封面应注明“正本”、“副本”字样。</w:t>
      </w:r>
      <w:r>
        <w:rPr>
          <w:rFonts w:hint="eastAsia" w:ascii="宋体" w:hAnsi="宋体" w:cs="宋体"/>
          <w:b/>
          <w:bCs/>
          <w:kern w:val="2"/>
          <w:szCs w:val="21"/>
        </w:rPr>
        <w:t>活页装订（活页装订是指不破坏装订外形的情况下，可以随时拆装或者翻动过程中易脱落（如：卡条、抽杆夹、订书机等）的装订形式）的投标文件将被拒绝</w:t>
      </w:r>
      <w:r>
        <w:rPr>
          <w:rFonts w:hint="eastAsia" w:ascii="宋体" w:hAnsi="宋体" w:cs="宋体"/>
          <w:kern w:val="2"/>
          <w:szCs w:val="21"/>
        </w:rPr>
        <w:t>。</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13.3投标文件的正本需打印或用不褪色的墨水填写，投标文件正本除本《投标人须知》中规定的可提供复印件外均须提供原件。副本可为正本的复印件。</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13.4投标文件须由投标人在规定位置盖章并由法定代表人或法定代表人的授权委托人签署，投标人应写全称。</w:t>
      </w:r>
    </w:p>
    <w:p>
      <w:pPr>
        <w:widowControl w:val="0"/>
        <w:adjustRightInd w:val="0"/>
        <w:snapToGrid w:val="0"/>
        <w:spacing w:line="460" w:lineRule="exact"/>
        <w:ind w:firstLine="420" w:firstLineChars="200"/>
        <w:jc w:val="both"/>
        <w:rPr>
          <w:rFonts w:ascii="宋体" w:hAnsi="宋体" w:cs="宋体"/>
          <w:b/>
          <w:bCs/>
          <w:kern w:val="2"/>
          <w:sz w:val="24"/>
          <w:szCs w:val="24"/>
        </w:rPr>
      </w:pPr>
      <w:r>
        <w:rPr>
          <w:rFonts w:hint="eastAsia" w:ascii="宋体" w:hAnsi="宋体" w:cs="宋体"/>
          <w:kern w:val="2"/>
          <w:szCs w:val="21"/>
        </w:rPr>
        <w:t>13.5投标文件不得涂改，若有修改错漏处，须加盖单位公章或者法定代表人或授权委托人签字或盖章。投标文件因字迹潦草或表达不清所引起的后果由投标人负责。</w:t>
      </w:r>
      <w:bookmarkStart w:id="48" w:name="_Toc350770277"/>
    </w:p>
    <w:p>
      <w:pPr>
        <w:widowControl w:val="0"/>
        <w:spacing w:line="460" w:lineRule="exact"/>
        <w:ind w:firstLine="482" w:firstLineChars="200"/>
        <w:jc w:val="center"/>
        <w:rPr>
          <w:rFonts w:ascii="宋体" w:hAnsi="宋体" w:cs="宋体"/>
          <w:b/>
          <w:bCs/>
          <w:kern w:val="2"/>
          <w:sz w:val="24"/>
          <w:szCs w:val="24"/>
        </w:rPr>
      </w:pPr>
      <w:r>
        <w:rPr>
          <w:rFonts w:hint="eastAsia" w:ascii="宋体" w:hAnsi="宋体" w:cs="宋体"/>
          <w:b/>
          <w:bCs/>
          <w:kern w:val="2"/>
          <w:sz w:val="24"/>
          <w:szCs w:val="24"/>
        </w:rPr>
        <w:t>D  投标文件的递交</w:t>
      </w:r>
      <w:bookmarkEnd w:id="48"/>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14.投标文件的包装、密封及标记</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14.1.1</w:t>
      </w:r>
      <w:r>
        <w:rPr>
          <w:rFonts w:hint="eastAsia" w:ascii="宋体" w:hAnsi="宋体"/>
          <w:kern w:val="2"/>
          <w:szCs w:val="21"/>
        </w:rPr>
        <w:t>投标文件须密封包装，</w:t>
      </w:r>
      <w:r>
        <w:rPr>
          <w:rFonts w:hint="eastAsia" w:ascii="宋体" w:hAnsi="宋体" w:cs="宋体"/>
          <w:kern w:val="2"/>
          <w:szCs w:val="21"/>
        </w:rPr>
        <w:t>密封袋内装投标文件正、副本共一式5份。包封封口处应有投标授权代表的签字或印章或投标单位公章。</w:t>
      </w:r>
      <w:r>
        <w:rPr>
          <w:rFonts w:hint="eastAsia" w:ascii="宋体" w:hAnsi="宋体" w:cs="宋体"/>
          <w:b/>
          <w:bCs/>
          <w:kern w:val="2"/>
          <w:szCs w:val="21"/>
        </w:rPr>
        <w:t>封皮上写明招标编号、招标项目名称、投标人名称,并注明“开标时启封”字样</w:t>
      </w:r>
      <w:r>
        <w:rPr>
          <w:rFonts w:hint="eastAsia" w:ascii="宋体" w:hAnsi="宋体" w:cs="宋体"/>
          <w:kern w:val="2"/>
          <w:szCs w:val="21"/>
        </w:rPr>
        <w:t>。</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14.1.2如果包封上没有按上述规定密封或加以标志的，投标人承担投标文件错放或提前开封的责任，对由此造成提前开封的投标文件将予以拒绝，并退还给投标人。</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 xml:space="preserve">15.投标截止时间 </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15.1投标文件必须在投标截止时间前派人送达到指定的投标地点。</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15.2招标人推迟投标截止时间时，将以书面(或传真)的形式，通知所有投标人。在这种情况下，招标人和投标人的权利和义务将受到新的截止期的约束。</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15.3在投标截止时间以后送达的投标文件，招标人拒绝接收。</w:t>
      </w:r>
    </w:p>
    <w:p>
      <w:pPr>
        <w:widowControl w:val="0"/>
        <w:adjustRightInd w:val="0"/>
        <w:snapToGrid w:val="0"/>
        <w:spacing w:line="460" w:lineRule="exact"/>
        <w:ind w:firstLine="422" w:firstLineChars="200"/>
        <w:jc w:val="both"/>
        <w:rPr>
          <w:rFonts w:ascii="宋体" w:hAnsi="宋体" w:cs="宋体"/>
          <w:kern w:val="2"/>
          <w:szCs w:val="21"/>
        </w:rPr>
      </w:pPr>
      <w:r>
        <w:rPr>
          <w:rFonts w:hint="eastAsia" w:ascii="宋体" w:hAnsi="宋体" w:cs="宋体"/>
          <w:b/>
          <w:bCs/>
          <w:kern w:val="2"/>
          <w:szCs w:val="21"/>
        </w:rPr>
        <w:t>16.投标文件的修改和撤回</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16.1</w:t>
      </w:r>
      <w:r>
        <w:rPr>
          <w:rFonts w:hint="eastAsia" w:ascii="宋体" w:hAnsi="宋体"/>
          <w:kern w:val="2"/>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16.2投标人修改投标文件的书面材料，须密封送达招标代理，同时应在封套上标明 “修改投标文件(并注明招标编号、招标项目名称、投标人名称)”和“开标时启封”字样。</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16.3撤回投标应以书面(或传真、电报)的形式通知招标人。如采取电报或传真形式撤回投标，随后必须补充有法人代表或授权代表签署的要求撤回投标的正式文件。撤回投标的时间以送达招标人或邮电到达日戳为准。</w:t>
      </w:r>
    </w:p>
    <w:p>
      <w:pPr>
        <w:widowControl w:val="0"/>
        <w:adjustRightInd w:val="0"/>
        <w:snapToGrid w:val="0"/>
        <w:spacing w:line="460" w:lineRule="exact"/>
        <w:jc w:val="both"/>
        <w:rPr>
          <w:rFonts w:ascii="宋体" w:hAnsi="宋体" w:cs="宋体"/>
          <w:b/>
          <w:bCs/>
          <w:kern w:val="2"/>
          <w:sz w:val="24"/>
          <w:szCs w:val="24"/>
        </w:rPr>
      </w:pPr>
      <w:r>
        <w:rPr>
          <w:rFonts w:hint="eastAsia" w:ascii="宋体" w:hAnsi="宋体" w:cs="宋体"/>
          <w:kern w:val="2"/>
          <w:szCs w:val="21"/>
        </w:rPr>
        <w:t xml:space="preserve">    16.4投标后至投标文件有效期结束前，投标人不得撤回投标，否则投标保证金将被没收。</w:t>
      </w:r>
      <w:bookmarkStart w:id="49" w:name="_Toc350770278"/>
    </w:p>
    <w:p>
      <w:pPr>
        <w:widowControl w:val="0"/>
        <w:spacing w:line="460" w:lineRule="exact"/>
        <w:ind w:firstLine="482" w:firstLineChars="200"/>
        <w:jc w:val="center"/>
        <w:rPr>
          <w:rFonts w:ascii="宋体" w:hAnsi="宋体" w:cs="宋体"/>
          <w:b/>
          <w:bCs/>
          <w:kern w:val="2"/>
          <w:sz w:val="24"/>
          <w:szCs w:val="24"/>
        </w:rPr>
      </w:pPr>
    </w:p>
    <w:p>
      <w:pPr>
        <w:widowControl w:val="0"/>
        <w:spacing w:line="460" w:lineRule="exact"/>
        <w:ind w:firstLine="482" w:firstLineChars="200"/>
        <w:jc w:val="center"/>
        <w:rPr>
          <w:rFonts w:ascii="宋体" w:hAnsi="宋体" w:cs="宋体"/>
          <w:b/>
          <w:bCs/>
          <w:kern w:val="2"/>
          <w:sz w:val="24"/>
          <w:szCs w:val="24"/>
        </w:rPr>
      </w:pPr>
      <w:r>
        <w:rPr>
          <w:rFonts w:hint="eastAsia" w:ascii="宋体" w:hAnsi="宋体" w:cs="宋体"/>
          <w:b/>
          <w:bCs/>
          <w:kern w:val="2"/>
          <w:sz w:val="24"/>
          <w:szCs w:val="24"/>
        </w:rPr>
        <w:t>E  开标及评标</w:t>
      </w:r>
      <w:bookmarkEnd w:id="49"/>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 xml:space="preserve">17. 开标 </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17.1招标人（或招标代理人）按招标文件规定的时间、地点并在有关部门监督下公开开标。开标仪式由招标人（或招标代理人）主持，招标人、投标人代表及有关工作人员参加。</w:t>
      </w:r>
    </w:p>
    <w:p>
      <w:pPr>
        <w:widowControl w:val="0"/>
        <w:spacing w:line="460" w:lineRule="exact"/>
        <w:ind w:firstLine="420" w:firstLineChars="200"/>
        <w:jc w:val="both"/>
        <w:rPr>
          <w:rFonts w:ascii="宋体" w:hAnsi="宋体" w:cs="宋体"/>
          <w:b/>
          <w:bCs/>
          <w:kern w:val="2"/>
          <w:szCs w:val="21"/>
          <w:u w:val="single"/>
        </w:rPr>
      </w:pPr>
      <w:r>
        <w:rPr>
          <w:rFonts w:hint="eastAsia" w:ascii="宋体" w:hAnsi="宋体" w:cs="宋体"/>
          <w:kern w:val="2"/>
          <w:szCs w:val="21"/>
        </w:rPr>
        <w:t>17.2投标人的法定代表人（或其授权代表）应携带本人身份证（授权代表还须出示法定代表人的授权委托书）参加开标活动并签到；投标人的法定代表人或其授权代表未按时签到的，视同放弃开标监督权利，认可开标结果</w:t>
      </w:r>
      <w:r>
        <w:rPr>
          <w:rFonts w:hint="eastAsia" w:ascii="宋体" w:hAnsi="宋体"/>
          <w:b/>
          <w:bCs/>
          <w:kern w:val="2"/>
          <w:szCs w:val="21"/>
        </w:rPr>
        <w:t>。</w:t>
      </w:r>
    </w:p>
    <w:p>
      <w:pPr>
        <w:widowControl w:val="0"/>
        <w:adjustRightInd w:val="0"/>
        <w:snapToGrid w:val="0"/>
        <w:spacing w:line="460" w:lineRule="exact"/>
        <w:ind w:firstLine="420" w:firstLineChars="200"/>
        <w:jc w:val="both"/>
        <w:rPr>
          <w:rFonts w:hAnsi="宋体"/>
          <w:b/>
          <w:kern w:val="2"/>
          <w:szCs w:val="21"/>
        </w:rPr>
      </w:pPr>
      <w:r>
        <w:rPr>
          <w:rFonts w:hint="eastAsia" w:ascii="宋体" w:hAnsi="宋体" w:cs="宋体"/>
          <w:kern w:val="2"/>
          <w:szCs w:val="21"/>
        </w:rPr>
        <w:t>17.3</w:t>
      </w:r>
      <w:r>
        <w:rPr>
          <w:rFonts w:ascii="宋体" w:hAnsi="宋体" w:eastAsia="Times New Roman"/>
          <w:b/>
          <w:kern w:val="2"/>
          <w:szCs w:val="21"/>
        </w:rPr>
        <w:t xml:space="preserve"> </w:t>
      </w:r>
      <w:r>
        <w:rPr>
          <w:rFonts w:hint="eastAsia" w:ascii="宋体" w:hAnsi="宋体"/>
          <w:kern w:val="2"/>
          <w:szCs w:val="21"/>
        </w:rPr>
        <w:t>开标程序</w:t>
      </w:r>
    </w:p>
    <w:p>
      <w:pPr>
        <w:widowControl w:val="0"/>
        <w:spacing w:line="360" w:lineRule="auto"/>
        <w:rPr>
          <w:rFonts w:ascii="宋体" w:hAnsi="宋体"/>
          <w:kern w:val="2"/>
          <w:szCs w:val="21"/>
        </w:rPr>
      </w:pPr>
      <w:r>
        <w:rPr>
          <w:rFonts w:hint="eastAsia" w:ascii="宋体" w:hAnsi="宋体"/>
          <w:kern w:val="2"/>
          <w:szCs w:val="21"/>
        </w:rPr>
        <w:t xml:space="preserve">    （1）开标会由采购代理机构主持，主持人介绍开标现场的人员情况，宣读递交投标文件的投标人名单、开标纪律、应当回避的情形等注意事项，组织投标人签署不存在影响公平竞争的《政府采购活动现场确认声明书》；</w:t>
      </w:r>
    </w:p>
    <w:p>
      <w:pPr>
        <w:widowControl w:val="0"/>
        <w:spacing w:line="360" w:lineRule="auto"/>
        <w:rPr>
          <w:rFonts w:ascii="宋体" w:hAnsi="宋体"/>
          <w:kern w:val="2"/>
          <w:szCs w:val="21"/>
        </w:rPr>
      </w:pPr>
      <w:r>
        <w:rPr>
          <w:rFonts w:hint="eastAsia" w:ascii="宋体" w:hAnsi="宋体"/>
          <w:kern w:val="2"/>
          <w:szCs w:val="21"/>
        </w:rPr>
        <w:t xml:space="preserve">   （2）公布在投标截止时间前递交投标文件的投标人名称，并点名确认投标人是否到场；</w:t>
      </w:r>
    </w:p>
    <w:p>
      <w:pPr>
        <w:widowControl w:val="0"/>
        <w:spacing w:line="360" w:lineRule="auto"/>
        <w:rPr>
          <w:rFonts w:ascii="宋体" w:hAnsi="宋体"/>
          <w:kern w:val="2"/>
          <w:szCs w:val="21"/>
        </w:rPr>
      </w:pPr>
      <w:r>
        <w:rPr>
          <w:rFonts w:hint="eastAsia" w:ascii="宋体" w:hAnsi="宋体"/>
          <w:kern w:val="2"/>
          <w:szCs w:val="21"/>
        </w:rPr>
        <w:t xml:space="preserve">   （3）宣布开标人、唱标人、记录人、监标人等有关人员姓名；</w:t>
      </w:r>
    </w:p>
    <w:p>
      <w:pPr>
        <w:widowControl w:val="0"/>
        <w:spacing w:line="360" w:lineRule="auto"/>
        <w:rPr>
          <w:rFonts w:ascii="宋体" w:hAnsi="宋体"/>
          <w:kern w:val="2"/>
          <w:szCs w:val="21"/>
        </w:rPr>
      </w:pPr>
      <w:r>
        <w:rPr>
          <w:rFonts w:hint="eastAsia" w:ascii="宋体" w:hAnsi="宋体"/>
          <w:kern w:val="2"/>
          <w:szCs w:val="21"/>
        </w:rPr>
        <w:t xml:space="preserve">   （4）投标人代表检查投标文件的密封情况；</w:t>
      </w:r>
    </w:p>
    <w:p>
      <w:pPr>
        <w:widowControl w:val="0"/>
        <w:spacing w:line="360" w:lineRule="auto"/>
        <w:rPr>
          <w:rFonts w:ascii="宋体" w:hAnsi="宋体"/>
          <w:kern w:val="2"/>
          <w:szCs w:val="21"/>
        </w:rPr>
      </w:pPr>
      <w:r>
        <w:rPr>
          <w:rFonts w:hint="eastAsia" w:ascii="宋体" w:hAnsi="宋体"/>
          <w:kern w:val="2"/>
          <w:szCs w:val="21"/>
        </w:rPr>
        <w:t xml:space="preserve">   （5）宣布投标文件开标顺序；</w:t>
      </w:r>
    </w:p>
    <w:p>
      <w:pPr>
        <w:widowControl w:val="0"/>
        <w:spacing w:line="360" w:lineRule="auto"/>
        <w:rPr>
          <w:rFonts w:ascii="宋体" w:hAnsi="宋体"/>
          <w:kern w:val="2"/>
          <w:szCs w:val="21"/>
        </w:rPr>
      </w:pPr>
      <w:r>
        <w:rPr>
          <w:rFonts w:hint="eastAsia" w:ascii="宋体" w:hAnsi="宋体"/>
          <w:kern w:val="2"/>
          <w:szCs w:val="21"/>
        </w:rPr>
        <w:t xml:space="preserve">   （6）按照宣布的开标顺序当众开标，公布投标人名称、投标保证金的递交情况、投标报价及其他内容，并记录在案；</w:t>
      </w:r>
    </w:p>
    <w:p>
      <w:pPr>
        <w:widowControl w:val="0"/>
        <w:spacing w:line="360" w:lineRule="auto"/>
        <w:rPr>
          <w:rFonts w:ascii="宋体" w:hAnsi="宋体"/>
          <w:kern w:val="2"/>
          <w:szCs w:val="21"/>
        </w:rPr>
      </w:pPr>
      <w:r>
        <w:rPr>
          <w:rFonts w:hint="eastAsia" w:ascii="宋体" w:hAnsi="宋体"/>
          <w:kern w:val="2"/>
          <w:szCs w:val="21"/>
        </w:rPr>
        <w:t xml:space="preserve">    （7）投标人代表、招标人代表、记录人等有关人员在开标记录上签字确认；</w:t>
      </w:r>
    </w:p>
    <w:p>
      <w:pPr>
        <w:widowControl w:val="0"/>
        <w:adjustRightInd w:val="0"/>
        <w:snapToGrid w:val="0"/>
        <w:spacing w:line="460" w:lineRule="exact"/>
        <w:ind w:firstLine="420" w:firstLineChars="200"/>
        <w:jc w:val="both"/>
        <w:rPr>
          <w:rFonts w:ascii="宋体" w:hAnsi="宋体" w:cs="宋体"/>
          <w:b/>
          <w:kern w:val="2"/>
          <w:szCs w:val="21"/>
        </w:rPr>
      </w:pPr>
      <w:r>
        <w:rPr>
          <w:rFonts w:hint="eastAsia" w:ascii="宋体" w:hAnsi="宋体"/>
          <w:kern w:val="2"/>
          <w:szCs w:val="21"/>
        </w:rPr>
        <w:t xml:space="preserve">（8）开标结束。 </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18. 评标</w:t>
      </w:r>
    </w:p>
    <w:p>
      <w:pPr>
        <w:widowControl w:val="0"/>
        <w:adjustRightInd w:val="0"/>
        <w:snapToGrid w:val="0"/>
        <w:spacing w:line="460" w:lineRule="exact"/>
        <w:ind w:firstLine="420" w:firstLineChars="200"/>
        <w:jc w:val="both"/>
        <w:rPr>
          <w:rFonts w:ascii="宋体" w:hAnsi="宋体" w:cs="宋体"/>
          <w:kern w:val="2"/>
          <w:szCs w:val="21"/>
        </w:rPr>
      </w:pPr>
      <w:bookmarkStart w:id="50" w:name="_Toc152042339"/>
      <w:bookmarkStart w:id="51" w:name="_Toc296602452"/>
      <w:bookmarkStart w:id="52" w:name="_Toc246996207"/>
      <w:bookmarkStart w:id="53" w:name="_Toc246996950"/>
      <w:bookmarkStart w:id="54" w:name="_Toc247085721"/>
      <w:bookmarkStart w:id="55" w:name="_Toc469838967"/>
      <w:bookmarkStart w:id="56" w:name="_Toc382382956"/>
      <w:bookmarkStart w:id="57" w:name="_Toc382382801"/>
      <w:bookmarkStart w:id="58" w:name="_Toc179632581"/>
      <w:bookmarkStart w:id="59" w:name="_Toc392165251"/>
      <w:bookmarkStart w:id="60" w:name="_Toc144974531"/>
      <w:bookmarkStart w:id="61" w:name="_Toc152045563"/>
      <w:r>
        <w:rPr>
          <w:rFonts w:hint="eastAsia" w:ascii="宋体" w:hAnsi="宋体" w:cs="宋体"/>
          <w:kern w:val="2"/>
          <w:szCs w:val="21"/>
        </w:rPr>
        <w:t>18.1 评标委员会</w:t>
      </w:r>
      <w:bookmarkEnd w:id="50"/>
      <w:bookmarkEnd w:id="51"/>
      <w:bookmarkEnd w:id="52"/>
      <w:bookmarkEnd w:id="53"/>
      <w:bookmarkEnd w:id="54"/>
      <w:bookmarkEnd w:id="55"/>
      <w:bookmarkEnd w:id="56"/>
      <w:bookmarkEnd w:id="57"/>
      <w:bookmarkEnd w:id="58"/>
      <w:bookmarkEnd w:id="59"/>
      <w:bookmarkEnd w:id="60"/>
      <w:bookmarkEnd w:id="61"/>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18.1.1 评标由招标人依法组建的评标委员会负责。评标委员会由招标人按照有关规定依法组建。</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18.1.2 评标委员会成员有下列情形之一的，应当回避：</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（1）投标人或投标人主要负责人的近亲属；</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（2）与投标人有经济利益关系；</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（3）曾因在招标、评标以及其他与招标投标有关活动中从事违法行为而受过行政或刑事处罚的；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（4）与投标人有其他利害关系。</w:t>
      </w:r>
    </w:p>
    <w:p>
      <w:pPr>
        <w:widowControl w:val="0"/>
        <w:adjustRightInd w:val="0"/>
        <w:snapToGrid w:val="0"/>
        <w:spacing w:line="460" w:lineRule="exact"/>
        <w:ind w:firstLine="420" w:firstLineChars="200"/>
        <w:jc w:val="both"/>
        <w:rPr>
          <w:rFonts w:ascii="宋体" w:hAnsi="宋体" w:cs="宋体"/>
          <w:kern w:val="2"/>
          <w:szCs w:val="21"/>
        </w:rPr>
      </w:pPr>
      <w:bookmarkStart w:id="62" w:name="_Toc179632583"/>
      <w:bookmarkStart w:id="63" w:name="_Toc246996209"/>
      <w:bookmarkStart w:id="64" w:name="_Toc152045565"/>
      <w:bookmarkStart w:id="65" w:name="_Toc144974533"/>
      <w:bookmarkStart w:id="66" w:name="_Toc152042341"/>
      <w:bookmarkStart w:id="67" w:name="_Toc296602454"/>
      <w:bookmarkStart w:id="68" w:name="_Toc246996952"/>
      <w:bookmarkStart w:id="69" w:name="_Toc382382802"/>
      <w:bookmarkStart w:id="70" w:name="_Toc382382957"/>
      <w:bookmarkStart w:id="71" w:name="_Toc247085723"/>
      <w:bookmarkStart w:id="72" w:name="_Toc392165252"/>
      <w:bookmarkStart w:id="73" w:name="_Toc469838968"/>
      <w:r>
        <w:rPr>
          <w:rFonts w:hint="eastAsia" w:ascii="宋体" w:hAnsi="宋体" w:cs="宋体"/>
          <w:kern w:val="2"/>
          <w:szCs w:val="21"/>
        </w:rPr>
        <w:t>18.2 评标</w:t>
      </w:r>
      <w:bookmarkEnd w:id="62"/>
      <w:bookmarkEnd w:id="63"/>
      <w:bookmarkEnd w:id="64"/>
      <w:bookmarkEnd w:id="65"/>
      <w:bookmarkEnd w:id="66"/>
      <w:bookmarkEnd w:id="67"/>
      <w:bookmarkEnd w:id="68"/>
      <w:bookmarkEnd w:id="69"/>
      <w:bookmarkEnd w:id="70"/>
      <w:bookmarkEnd w:id="71"/>
      <w:bookmarkEnd w:id="72"/>
      <w:bookmarkEnd w:id="73"/>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18.2.1初步审查：初审包括资格性审查和符合性审查</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 xml:space="preserve">    当投标文件出现下列情况之一的将视为初步审查不通过，按无效标处理，不得进入后续评审：</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资格性审查：</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（1）投标人不具备招标公告所列的资质条件；</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（2）未按招标文件要求提交资格证明的；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（3）未按要求提交投标保证金的；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（4）不符合国家相关法律规定的；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符合性审查：</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（5）投标函未按招标文件规定格式填写的；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（6）如有两个及以上投标报价或提交了两份及以上投标文件，未声明哪个有效的；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（7）投标人未按招标文件的要求组织报价和填写项目投标报价表的；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（8）投标人的报价低于其成本，且不能做出合理说明的(三分之二专家签字确认)；</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（9）投标文件的有效期不符合招标文件规定的；</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（10）法律、法规规定的其他情形。</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注：对不属于无效标条款所列的其它情形，除法律法规另有规定外，不得作为无效标的理由。</w:t>
      </w:r>
    </w:p>
    <w:p>
      <w:pPr>
        <w:widowControl w:val="0"/>
        <w:adjustRightInd w:val="0"/>
        <w:snapToGrid w:val="0"/>
        <w:spacing w:line="460" w:lineRule="exact"/>
        <w:jc w:val="both"/>
        <w:rPr>
          <w:rFonts w:ascii="宋体" w:hAnsi="宋体" w:cs="宋体"/>
          <w:kern w:val="2"/>
          <w:szCs w:val="21"/>
        </w:rPr>
      </w:pPr>
      <w:r>
        <w:rPr>
          <w:rFonts w:hint="eastAsia" w:ascii="宋体" w:hAnsi="宋体" w:cs="宋体"/>
          <w:kern w:val="2"/>
          <w:szCs w:val="21"/>
        </w:rPr>
        <w:t xml:space="preserve">    18.2.2 详细评审</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 xml:space="preserve">    具体详见第四章 </w:t>
      </w:r>
      <w:r>
        <w:rPr>
          <w:rFonts w:hint="eastAsia" w:ascii="宋体" w:hAnsi="宋体" w:cs="宋体"/>
          <w:b/>
          <w:bCs/>
          <w:kern w:val="2"/>
          <w:szCs w:val="21"/>
        </w:rPr>
        <w:t>评标办法及标准</w:t>
      </w:r>
      <w:r>
        <w:rPr>
          <w:rFonts w:hint="eastAsia" w:ascii="宋体" w:hAnsi="宋体" w:cs="宋体"/>
          <w:kern w:val="2"/>
          <w:szCs w:val="21"/>
        </w:rPr>
        <w:t>。</w:t>
      </w:r>
    </w:p>
    <w:p>
      <w:pPr>
        <w:widowControl w:val="0"/>
        <w:adjustRightInd w:val="0"/>
        <w:snapToGrid w:val="0"/>
        <w:spacing w:line="460" w:lineRule="exact"/>
        <w:ind w:firstLine="420" w:firstLineChars="200"/>
        <w:jc w:val="both"/>
        <w:rPr>
          <w:rFonts w:ascii="宋体" w:hAnsi="宋体" w:cs="宋体"/>
          <w:b/>
          <w:kern w:val="2"/>
          <w:szCs w:val="21"/>
        </w:rPr>
      </w:pPr>
      <w:r>
        <w:rPr>
          <w:rFonts w:hint="eastAsia" w:ascii="宋体" w:hAnsi="宋体" w:cs="宋体"/>
          <w:bCs/>
          <w:kern w:val="2"/>
          <w:szCs w:val="21"/>
        </w:rPr>
        <w:t>18.3.投标的澄清</w:t>
      </w:r>
    </w:p>
    <w:p>
      <w:pPr>
        <w:widowControl w:val="0"/>
        <w:spacing w:line="460" w:lineRule="exact"/>
        <w:ind w:firstLine="420" w:firstLineChars="200"/>
        <w:jc w:val="both"/>
        <w:rPr>
          <w:rFonts w:ascii="宋体" w:hAnsi="宋体" w:cs="宋体"/>
          <w:kern w:val="2"/>
          <w:szCs w:val="21"/>
        </w:rPr>
      </w:pPr>
      <w:r>
        <w:rPr>
          <w:rFonts w:hint="eastAsia" w:ascii="宋体" w:hAnsi="宋体" w:cs="宋体"/>
          <w:kern w:val="2"/>
          <w:szCs w:val="21"/>
        </w:rPr>
        <w:t>18.1评标委员会可以书面方式要求投标人对投标文件中含义不明确、对同类问题表述不一致或者有明显文字错误的内容作必要的澄清、说明或补正。评标委员会不得向投标人提出带有暗示性或诱导性的问题，或向其明确投标文件中的遗漏和错误。投标人必须按照招标人通知的时间、地点派技术人员进行答疑和澄清。</w:t>
      </w:r>
    </w:p>
    <w:p>
      <w:pPr>
        <w:widowControl w:val="0"/>
        <w:adjustRightInd w:val="0"/>
        <w:snapToGrid w:val="0"/>
        <w:spacing w:line="460" w:lineRule="exact"/>
        <w:jc w:val="both"/>
        <w:rPr>
          <w:rFonts w:ascii="宋体" w:hAnsi="宋体" w:cs="宋体"/>
          <w:kern w:val="2"/>
          <w:szCs w:val="21"/>
        </w:rPr>
      </w:pPr>
      <w:r>
        <w:rPr>
          <w:rFonts w:hint="eastAsia" w:ascii="宋体" w:hAnsi="宋体" w:cs="宋体"/>
          <w:kern w:val="2"/>
          <w:szCs w:val="21"/>
        </w:rPr>
        <w:t xml:space="preserve">    18.2必要时招标人可要求投标人就澄清的问题作书面回答，该书面回答应有投标人全权代表的签章，并将作为投标内容的一部分。</w:t>
      </w:r>
    </w:p>
    <w:p>
      <w:pPr>
        <w:widowControl w:val="0"/>
        <w:spacing w:line="460" w:lineRule="exact"/>
        <w:ind w:firstLine="420" w:firstLineChars="200"/>
        <w:jc w:val="both"/>
        <w:rPr>
          <w:rFonts w:ascii="宋体" w:hAnsi="宋体" w:cs="宋体"/>
          <w:kern w:val="2"/>
          <w:szCs w:val="21"/>
        </w:rPr>
      </w:pPr>
      <w:r>
        <w:rPr>
          <w:rFonts w:hint="eastAsia" w:ascii="宋体" w:hAnsi="宋体" w:cs="宋体"/>
          <w:kern w:val="2"/>
          <w:szCs w:val="21"/>
        </w:rPr>
        <w:t>18.3投标文件不响应招标文件的</w:t>
      </w:r>
      <w:r>
        <w:rPr>
          <w:rFonts w:hint="eastAsia" w:ascii="宋体" w:hAnsi="宋体" w:cs="宋体"/>
          <w:b/>
          <w:bCs/>
          <w:kern w:val="2"/>
          <w:szCs w:val="21"/>
        </w:rPr>
        <w:t>实质性要求和条</w:t>
      </w:r>
      <w:r>
        <w:rPr>
          <w:rFonts w:hint="eastAsia" w:ascii="宋体" w:hAnsi="宋体" w:cs="宋体"/>
          <w:kern w:val="2"/>
          <w:szCs w:val="21"/>
        </w:rPr>
        <w:t>件的，评标委员会应当作废标处理，并不允许投标人通过修正或撤销其不符合要求的差异或保留，使之成为具有响应性的投标。</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18.4拒绝应招标人的通知到场进行答疑和澄清或不派员到场答疑和澄清的，导致评标委员会无法对其投标进行评议的，将被作为无效标处理。</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19.错误修正</w:t>
      </w:r>
    </w:p>
    <w:p>
      <w:pPr>
        <w:widowControl w:val="0"/>
        <w:snapToGrid w:val="0"/>
        <w:spacing w:line="440" w:lineRule="exact"/>
        <w:ind w:firstLine="420" w:firstLineChars="200"/>
        <w:rPr>
          <w:rFonts w:ascii="宋体" w:hAnsi="宋体"/>
          <w:kern w:val="2"/>
          <w:szCs w:val="21"/>
        </w:rPr>
      </w:pPr>
      <w:r>
        <w:rPr>
          <w:rFonts w:hint="eastAsia" w:ascii="宋体" w:hAnsi="宋体" w:cs="宋体"/>
          <w:kern w:val="2"/>
          <w:szCs w:val="21"/>
        </w:rPr>
        <w:t>19.1</w:t>
      </w:r>
      <w:r>
        <w:rPr>
          <w:rFonts w:ascii="宋体" w:hAnsi="宋体"/>
          <w:kern w:val="2"/>
          <w:szCs w:val="21"/>
        </w:rPr>
        <w:t>投标文件如果出现计算或表达上的错误，修正错误的原则如下：</w:t>
      </w:r>
    </w:p>
    <w:p>
      <w:pPr>
        <w:widowControl w:val="0"/>
        <w:snapToGrid w:val="0"/>
        <w:spacing w:line="440" w:lineRule="exact"/>
        <w:ind w:firstLine="420" w:firstLineChars="200"/>
        <w:rPr>
          <w:rFonts w:ascii="宋体" w:hAnsi="宋体"/>
          <w:kern w:val="2"/>
          <w:szCs w:val="21"/>
        </w:rPr>
      </w:pPr>
      <w:r>
        <w:rPr>
          <w:rFonts w:hint="eastAsia" w:ascii="宋体" w:hAnsi="宋体"/>
          <w:kern w:val="2"/>
          <w:szCs w:val="21"/>
        </w:rPr>
        <w:t xml:space="preserve"> (1)</w:t>
      </w:r>
      <w:r>
        <w:rPr>
          <w:rFonts w:ascii="宋体" w:hAnsi="宋体"/>
          <w:kern w:val="2"/>
          <w:szCs w:val="21"/>
        </w:rPr>
        <w:t>投标文件的大写金额和小写金额不一致的，以大写金额为准；</w:t>
      </w:r>
    </w:p>
    <w:p>
      <w:pPr>
        <w:widowControl w:val="0"/>
        <w:snapToGrid w:val="0"/>
        <w:spacing w:line="440" w:lineRule="exact"/>
        <w:ind w:firstLine="420" w:firstLineChars="200"/>
        <w:rPr>
          <w:rFonts w:ascii="宋体" w:hAnsi="宋体"/>
          <w:kern w:val="2"/>
          <w:szCs w:val="21"/>
        </w:rPr>
      </w:pPr>
      <w:r>
        <w:rPr>
          <w:rFonts w:hint="eastAsia" w:ascii="宋体" w:hAnsi="宋体"/>
          <w:kern w:val="2"/>
          <w:szCs w:val="21"/>
        </w:rPr>
        <w:t xml:space="preserve"> (2)</w:t>
      </w:r>
      <w:r>
        <w:rPr>
          <w:rFonts w:ascii="宋体" w:hAnsi="宋体"/>
          <w:kern w:val="2"/>
          <w:szCs w:val="21"/>
        </w:rPr>
        <w:t>对不同文字文本投标文件的解释发生异议的，以中文文本为准。</w:t>
      </w:r>
    </w:p>
    <w:p>
      <w:pPr>
        <w:widowControl w:val="0"/>
        <w:adjustRightInd w:val="0"/>
        <w:snapToGrid w:val="0"/>
        <w:spacing w:line="460" w:lineRule="exact"/>
        <w:ind w:firstLine="420" w:firstLineChars="200"/>
        <w:jc w:val="both"/>
        <w:rPr>
          <w:rFonts w:ascii="宋体" w:hAnsi="宋体" w:cs="宋体"/>
          <w:kern w:val="2"/>
          <w:szCs w:val="21"/>
        </w:rPr>
      </w:pPr>
      <w:r>
        <w:rPr>
          <w:rFonts w:ascii="宋体" w:hAnsi="宋体" w:eastAsia="Times New Roman"/>
          <w:b/>
          <w:bCs/>
          <w:kern w:val="2"/>
          <w:szCs w:val="21"/>
        </w:rPr>
        <w:t>按上述修正错误的原则及方法调整或修正投标文件的投标报价，投标人同意</w:t>
      </w:r>
      <w:r>
        <w:rPr>
          <w:rFonts w:hint="eastAsia" w:ascii="宋体" w:hAnsi="宋体" w:eastAsia="Times New Roman"/>
          <w:b/>
          <w:bCs/>
          <w:kern w:val="2"/>
          <w:szCs w:val="21"/>
        </w:rPr>
        <w:t>并签字确认</w:t>
      </w:r>
      <w:r>
        <w:rPr>
          <w:rFonts w:ascii="宋体" w:hAnsi="宋体" w:eastAsia="Times New Roman"/>
          <w:b/>
          <w:bCs/>
          <w:kern w:val="2"/>
          <w:szCs w:val="21"/>
        </w:rPr>
        <w:t>后，调整后的投标报价对投标人具有约束作用。如果投标人不接受修正后的报价，则其投标将</w:t>
      </w:r>
      <w:r>
        <w:rPr>
          <w:rFonts w:hint="eastAsia" w:ascii="宋体" w:hAnsi="宋体" w:eastAsia="Times New Roman"/>
          <w:b/>
          <w:bCs/>
          <w:kern w:val="2"/>
          <w:szCs w:val="21"/>
        </w:rPr>
        <w:t>作为无效投标处理</w:t>
      </w:r>
      <w:r>
        <w:rPr>
          <w:rFonts w:hint="eastAsia" w:ascii="宋体" w:hAnsi="宋体" w:cs="宋体"/>
          <w:kern w:val="2"/>
          <w:szCs w:val="21"/>
        </w:rPr>
        <w:t>。</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20.评标过程保密</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20.1开标之后，直到授予投标人合同止，凡是属于审查、澄清、评价和比较投标的有关资料以及授标意向等，均不得向投标人或其他无关的人员透露。</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20.2在评标期间，投标人企图影响评标委员会成员的任何活动，将导致投标被拒绝，并承担相应的法律责任。</w:t>
      </w:r>
    </w:p>
    <w:p>
      <w:pPr>
        <w:widowControl w:val="0"/>
        <w:numPr>
          <w:ilvl w:val="0"/>
          <w:numId w:val="1"/>
        </w:numPr>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采购方式变更</w:t>
      </w:r>
    </w:p>
    <w:p>
      <w:pPr>
        <w:widowControl w:val="0"/>
        <w:snapToGrid w:val="0"/>
        <w:spacing w:line="440" w:lineRule="exact"/>
        <w:ind w:firstLine="420" w:firstLineChars="200"/>
        <w:rPr>
          <w:rFonts w:ascii="宋体" w:hAnsi="宋体"/>
          <w:kern w:val="2"/>
          <w:szCs w:val="21"/>
        </w:rPr>
      </w:pPr>
      <w:r>
        <w:rPr>
          <w:rFonts w:hint="eastAsia" w:ascii="宋体" w:hAnsi="宋体"/>
          <w:kern w:val="2"/>
          <w:szCs w:val="21"/>
        </w:rPr>
        <w:t>采用公开招标的采购项目，在</w:t>
      </w:r>
      <w:r>
        <w:rPr>
          <w:rFonts w:ascii="宋体" w:hAnsi="宋体"/>
          <w:kern w:val="2"/>
          <w:szCs w:val="21"/>
        </w:rPr>
        <w:t>投标截止后投标人不足3家或者通过资格审查或符合性审查的投标人不足3家的，</w:t>
      </w:r>
      <w:r>
        <w:rPr>
          <w:rFonts w:ascii="宋体" w:hAnsi="宋体"/>
          <w:b/>
          <w:bCs/>
          <w:kern w:val="2"/>
          <w:szCs w:val="21"/>
        </w:rPr>
        <w:t>除</w:t>
      </w:r>
      <w:r>
        <w:rPr>
          <w:rFonts w:hint="eastAsia" w:ascii="宋体" w:hAnsi="宋体"/>
          <w:b/>
          <w:bCs/>
          <w:kern w:val="2"/>
          <w:szCs w:val="21"/>
        </w:rPr>
        <w:t>招标</w:t>
      </w:r>
      <w:r>
        <w:rPr>
          <w:rFonts w:ascii="宋体" w:hAnsi="宋体"/>
          <w:b/>
          <w:bCs/>
          <w:kern w:val="2"/>
          <w:szCs w:val="21"/>
        </w:rPr>
        <w:t>采购任务取消情形</w:t>
      </w:r>
      <w:r>
        <w:rPr>
          <w:rFonts w:ascii="宋体" w:hAnsi="宋体"/>
          <w:kern w:val="2"/>
          <w:szCs w:val="21"/>
        </w:rPr>
        <w:t>外</w:t>
      </w:r>
      <w:r>
        <w:rPr>
          <w:rFonts w:hint="eastAsia" w:ascii="宋体" w:hAnsi="宋体"/>
          <w:kern w:val="2"/>
          <w:szCs w:val="21"/>
        </w:rPr>
        <w:t>，若</w:t>
      </w:r>
      <w:r>
        <w:rPr>
          <w:rFonts w:ascii="宋体" w:hAnsi="宋体"/>
          <w:kern w:val="2"/>
          <w:szCs w:val="21"/>
        </w:rPr>
        <w:t>招标文件没有不合理条款、招标程序符合规定，</w:t>
      </w:r>
      <w:r>
        <w:rPr>
          <w:rFonts w:hint="eastAsia" w:ascii="宋体" w:hAnsi="宋体"/>
          <w:kern w:val="2"/>
          <w:szCs w:val="21"/>
        </w:rPr>
        <w:t>经相关政府采购管理部门或上级主管部门</w:t>
      </w:r>
      <w:r>
        <w:rPr>
          <w:rFonts w:ascii="宋体" w:hAnsi="宋体"/>
          <w:kern w:val="2"/>
          <w:szCs w:val="21"/>
        </w:rPr>
        <w:t>批准</w:t>
      </w:r>
      <w:r>
        <w:rPr>
          <w:rFonts w:hint="eastAsia" w:ascii="宋体" w:hAnsi="宋体"/>
          <w:kern w:val="2"/>
          <w:szCs w:val="21"/>
        </w:rPr>
        <w:t>后，招标采购单位可</w:t>
      </w:r>
      <w:r>
        <w:rPr>
          <w:rFonts w:ascii="宋体" w:hAnsi="宋体"/>
          <w:kern w:val="2"/>
          <w:szCs w:val="21"/>
        </w:rPr>
        <w:t>采用其他采购方式采购</w:t>
      </w:r>
      <w:r>
        <w:rPr>
          <w:rFonts w:hint="eastAsia" w:ascii="Tahoma" w:hAnsi="Tahoma"/>
          <w:kern w:val="2"/>
          <w:szCs w:val="21"/>
        </w:rPr>
        <w:t>.</w:t>
      </w:r>
    </w:p>
    <w:p>
      <w:pPr>
        <w:widowControl w:val="0"/>
        <w:adjustRightInd w:val="0"/>
        <w:snapToGrid w:val="0"/>
        <w:spacing w:line="460" w:lineRule="exact"/>
        <w:jc w:val="both"/>
        <w:rPr>
          <w:rFonts w:ascii="宋体" w:hAnsi="宋体" w:cs="宋体"/>
          <w:b/>
          <w:kern w:val="2"/>
          <w:szCs w:val="21"/>
        </w:rPr>
      </w:pPr>
    </w:p>
    <w:p>
      <w:pPr>
        <w:widowControl w:val="0"/>
        <w:spacing w:line="460" w:lineRule="exact"/>
        <w:ind w:firstLine="482" w:firstLineChars="200"/>
        <w:jc w:val="center"/>
        <w:rPr>
          <w:rFonts w:ascii="宋体" w:hAnsi="宋体" w:cs="宋体"/>
          <w:b/>
          <w:bCs/>
          <w:kern w:val="2"/>
          <w:sz w:val="24"/>
          <w:szCs w:val="24"/>
        </w:rPr>
      </w:pPr>
      <w:bookmarkStart w:id="74" w:name="_Toc350770279"/>
      <w:r>
        <w:rPr>
          <w:rFonts w:hint="eastAsia" w:ascii="宋体" w:hAnsi="宋体" w:cs="宋体"/>
          <w:b/>
          <w:bCs/>
          <w:kern w:val="2"/>
          <w:sz w:val="24"/>
          <w:szCs w:val="24"/>
        </w:rPr>
        <w:t>F  中标</w:t>
      </w:r>
      <w:bookmarkEnd w:id="74"/>
      <w:r>
        <w:rPr>
          <w:rFonts w:hint="eastAsia" w:ascii="宋体" w:hAnsi="宋体" w:cs="宋体"/>
          <w:b/>
          <w:bCs/>
          <w:kern w:val="2"/>
          <w:sz w:val="24"/>
          <w:szCs w:val="24"/>
        </w:rPr>
        <w:t>及合同签订</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22.中标的标准</w:t>
      </w:r>
    </w:p>
    <w:p>
      <w:pPr>
        <w:widowControl w:val="0"/>
        <w:adjustRightInd w:val="0"/>
        <w:snapToGrid w:val="0"/>
        <w:spacing w:line="460" w:lineRule="exact"/>
        <w:ind w:firstLine="420" w:firstLineChars="200"/>
        <w:jc w:val="both"/>
        <w:rPr>
          <w:rFonts w:ascii="宋体" w:hAnsi="宋体" w:cs="宋体"/>
          <w:b/>
          <w:bCs/>
          <w:kern w:val="2"/>
          <w:szCs w:val="21"/>
        </w:rPr>
      </w:pPr>
      <w:r>
        <w:rPr>
          <w:rFonts w:hint="eastAsia" w:ascii="宋体" w:hAnsi="宋体" w:cs="宋体"/>
          <w:kern w:val="2"/>
          <w:szCs w:val="21"/>
        </w:rPr>
        <w:t>详见第四章  评标办法及标准</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23. 中标、中标通知</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23.1在投标有效期内，招标结果经采购管理机构核准后,由招标人向中标人发出中标通知书。通知也可以传真的形式，但需要以书面确认。</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23.2招标人向中标人发出中标通知书，招标人对落标的投标人不作落标原因的解释。</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23.3中标通知书将是合同的一个组成部分。</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 xml:space="preserve">24.签订合同 </w:t>
      </w:r>
    </w:p>
    <w:p>
      <w:pPr>
        <w:widowControl w:val="0"/>
        <w:snapToGrid w:val="0"/>
        <w:spacing w:line="440" w:lineRule="exact"/>
        <w:ind w:firstLine="420" w:firstLineChars="200"/>
        <w:jc w:val="both"/>
        <w:rPr>
          <w:rFonts w:ascii="宋体" w:hAnsi="宋体"/>
          <w:kern w:val="2"/>
          <w:szCs w:val="21"/>
        </w:rPr>
      </w:pPr>
      <w:r>
        <w:rPr>
          <w:rFonts w:hint="eastAsia" w:ascii="宋体" w:hAnsi="宋体" w:cs="宋体"/>
          <w:kern w:val="2"/>
          <w:szCs w:val="21"/>
        </w:rPr>
        <w:t>24.1</w:t>
      </w:r>
      <w:r>
        <w:rPr>
          <w:rFonts w:hint="eastAsia" w:ascii="宋体" w:hAnsi="宋体"/>
          <w:kern w:val="2"/>
          <w:szCs w:val="21"/>
        </w:rPr>
        <w:t>于中标通知书发出之日起30日内，按照招标文件和中标人的投标文件及其他实质有效文件签订书面服务合同，招标人和中标人不得再另行订立背离合同实质性内容的其他协议。</w:t>
      </w:r>
    </w:p>
    <w:p>
      <w:pPr>
        <w:widowControl w:val="0"/>
        <w:snapToGrid w:val="0"/>
        <w:spacing w:line="440" w:lineRule="exact"/>
        <w:ind w:firstLine="420" w:firstLineChars="200"/>
        <w:jc w:val="both"/>
        <w:rPr>
          <w:rFonts w:ascii="宋体" w:hAnsi="宋体"/>
          <w:kern w:val="2"/>
          <w:szCs w:val="21"/>
        </w:rPr>
      </w:pPr>
      <w:r>
        <w:rPr>
          <w:rFonts w:hint="eastAsia" w:ascii="宋体" w:hAnsi="宋体"/>
          <w:kern w:val="2"/>
          <w:szCs w:val="21"/>
        </w:rPr>
        <w:t>中标人应按投标人须知前附表规定的方式提交履约担保。中标人未按规定提交履约担保或无正当理由拒签合同的，招标人将取消其中标资格，并重新组织招标。</w:t>
      </w:r>
    </w:p>
    <w:p>
      <w:pPr>
        <w:widowControl w:val="0"/>
        <w:snapToGrid w:val="0"/>
        <w:spacing w:line="440" w:lineRule="exact"/>
        <w:ind w:firstLine="420" w:firstLineChars="200"/>
        <w:jc w:val="both"/>
        <w:rPr>
          <w:rFonts w:ascii="宋体" w:hAnsi="宋体"/>
          <w:kern w:val="2"/>
          <w:szCs w:val="21"/>
        </w:rPr>
      </w:pPr>
      <w:r>
        <w:rPr>
          <w:rFonts w:ascii="宋体" w:hAnsi="宋体"/>
          <w:kern w:val="2"/>
          <w:szCs w:val="21"/>
        </w:rPr>
        <w:t>中标人拖延、拒签合同的,将被扣罚投标保证金并取消中标资格。</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25.</w:t>
      </w:r>
      <w:r>
        <w:rPr>
          <w:rFonts w:ascii="宋体" w:hAnsi="宋体" w:cs="宋体"/>
          <w:b/>
          <w:kern w:val="2"/>
          <w:szCs w:val="21"/>
        </w:rPr>
        <w:t>履约保证金及质量保金</w:t>
      </w:r>
    </w:p>
    <w:p>
      <w:pPr>
        <w:widowControl w:val="0"/>
        <w:snapToGrid w:val="0"/>
        <w:spacing w:line="440" w:lineRule="exact"/>
        <w:ind w:firstLine="420" w:firstLineChars="200"/>
        <w:rPr>
          <w:rFonts w:ascii="宋体" w:hAnsi="宋体"/>
          <w:kern w:val="2"/>
          <w:szCs w:val="21"/>
        </w:rPr>
      </w:pPr>
      <w:r>
        <w:rPr>
          <w:rFonts w:hint="eastAsia" w:ascii="宋体" w:hAnsi="宋体"/>
          <w:kern w:val="2"/>
          <w:szCs w:val="21"/>
        </w:rPr>
        <w:t>25.1</w:t>
      </w:r>
      <w:r>
        <w:rPr>
          <w:rFonts w:ascii="宋体" w:hAnsi="宋体"/>
          <w:kern w:val="2"/>
          <w:szCs w:val="21"/>
        </w:rPr>
        <w:t>签订合同前，中标人应按采购代理机构根据招标文件确定的履约保证金的金额，向</w:t>
      </w:r>
      <w:r>
        <w:rPr>
          <w:rFonts w:hint="eastAsia" w:ascii="宋体" w:hAnsi="宋体"/>
          <w:kern w:val="2"/>
          <w:szCs w:val="21"/>
        </w:rPr>
        <w:t>招标人</w:t>
      </w:r>
      <w:r>
        <w:rPr>
          <w:rFonts w:ascii="宋体" w:hAnsi="宋体"/>
          <w:kern w:val="2"/>
          <w:szCs w:val="21"/>
        </w:rPr>
        <w:t>交纳履约保证金，否则，</w:t>
      </w:r>
      <w:r>
        <w:rPr>
          <w:rFonts w:hint="eastAsia" w:ascii="宋体" w:hAnsi="宋体"/>
          <w:kern w:val="2"/>
          <w:szCs w:val="21"/>
        </w:rPr>
        <w:t>招标人</w:t>
      </w:r>
      <w:r>
        <w:rPr>
          <w:rFonts w:ascii="宋体" w:hAnsi="宋体"/>
          <w:kern w:val="2"/>
          <w:szCs w:val="21"/>
        </w:rPr>
        <w:t>将没收中标人的全部投标保证金。</w:t>
      </w:r>
    </w:p>
    <w:p>
      <w:pPr>
        <w:widowControl w:val="0"/>
        <w:snapToGrid w:val="0"/>
        <w:spacing w:line="440" w:lineRule="exact"/>
        <w:ind w:firstLine="420" w:firstLineChars="200"/>
        <w:rPr>
          <w:rFonts w:ascii="宋体" w:hAnsi="宋体"/>
          <w:kern w:val="2"/>
          <w:szCs w:val="21"/>
        </w:rPr>
      </w:pPr>
      <w:r>
        <w:rPr>
          <w:rFonts w:hint="eastAsia" w:ascii="宋体" w:hAnsi="宋体"/>
          <w:kern w:val="2"/>
          <w:szCs w:val="21"/>
        </w:rPr>
        <w:t>25.2</w:t>
      </w:r>
      <w:r>
        <w:rPr>
          <w:rFonts w:ascii="宋体" w:hAnsi="宋体"/>
          <w:kern w:val="2"/>
          <w:szCs w:val="21"/>
        </w:rPr>
        <w:t>签订合同后，如中标人不按双方合同约定履约，则没收其全部履约保证金，履约保证金不足以赔偿损失的，按实际损失赔偿。</w:t>
      </w:r>
    </w:p>
    <w:p>
      <w:pPr>
        <w:widowControl w:val="0"/>
        <w:adjustRightInd w:val="0"/>
        <w:snapToGrid w:val="0"/>
        <w:spacing w:line="460" w:lineRule="exact"/>
        <w:ind w:firstLine="420" w:firstLineChars="200"/>
        <w:jc w:val="both"/>
        <w:rPr>
          <w:rFonts w:ascii="宋体" w:hAnsi="宋体" w:cs="宋体"/>
          <w:kern w:val="2"/>
          <w:szCs w:val="21"/>
        </w:rPr>
      </w:pPr>
    </w:p>
    <w:p>
      <w:pPr>
        <w:widowControl w:val="0"/>
        <w:spacing w:line="460" w:lineRule="exact"/>
        <w:ind w:firstLine="482" w:firstLineChars="200"/>
        <w:jc w:val="center"/>
        <w:rPr>
          <w:rFonts w:ascii="宋体" w:hAnsi="宋体" w:cs="宋体"/>
          <w:b/>
          <w:bCs/>
          <w:kern w:val="2"/>
          <w:sz w:val="24"/>
          <w:szCs w:val="24"/>
        </w:rPr>
      </w:pPr>
      <w:r>
        <w:rPr>
          <w:rFonts w:hint="eastAsia" w:ascii="宋体" w:hAnsi="宋体" w:cs="宋体"/>
          <w:b/>
          <w:bCs/>
          <w:kern w:val="2"/>
          <w:sz w:val="24"/>
          <w:szCs w:val="24"/>
        </w:rPr>
        <w:t>H   质疑和投诉</w:t>
      </w:r>
    </w:p>
    <w:p>
      <w:pPr>
        <w:widowControl w:val="0"/>
        <w:adjustRightInd w:val="0"/>
        <w:snapToGrid w:val="0"/>
        <w:spacing w:line="460" w:lineRule="exact"/>
        <w:ind w:firstLine="422" w:firstLineChars="200"/>
        <w:jc w:val="both"/>
        <w:rPr>
          <w:rFonts w:ascii="宋体" w:hAnsi="宋体" w:cs="宋体"/>
          <w:b/>
          <w:kern w:val="2"/>
          <w:szCs w:val="21"/>
        </w:rPr>
      </w:pPr>
      <w:r>
        <w:rPr>
          <w:rFonts w:hint="eastAsia" w:ascii="宋体" w:hAnsi="宋体" w:cs="宋体"/>
          <w:b/>
          <w:kern w:val="2"/>
          <w:szCs w:val="21"/>
        </w:rPr>
        <w:t>26.</w:t>
      </w:r>
      <w:r>
        <w:rPr>
          <w:rFonts w:ascii="宋体" w:hAnsi="宋体" w:eastAsia="Times New Roman"/>
          <w:b/>
          <w:kern w:val="2"/>
          <w:szCs w:val="21"/>
        </w:rPr>
        <w:t>质疑</w:t>
      </w:r>
      <w:r>
        <w:rPr>
          <w:rFonts w:hint="eastAsia" w:ascii="宋体" w:hAnsi="宋体" w:cs="宋体"/>
          <w:b/>
          <w:kern w:val="2"/>
          <w:szCs w:val="21"/>
        </w:rPr>
        <w:t>和投诉</w:t>
      </w:r>
    </w:p>
    <w:p>
      <w:pPr>
        <w:widowControl w:val="0"/>
        <w:adjustRightInd w:val="0"/>
        <w:snapToGrid w:val="0"/>
        <w:spacing w:line="460" w:lineRule="exact"/>
        <w:ind w:firstLine="420" w:firstLineChars="200"/>
        <w:jc w:val="both"/>
        <w:rPr>
          <w:rFonts w:ascii="宋体" w:hAnsi="宋体" w:cs="宋体"/>
          <w:kern w:val="2"/>
          <w:szCs w:val="21"/>
        </w:rPr>
      </w:pPr>
      <w:r>
        <w:rPr>
          <w:rFonts w:hint="eastAsia" w:ascii="宋体" w:hAnsi="宋体" w:cs="宋体"/>
          <w:kern w:val="2"/>
          <w:szCs w:val="21"/>
        </w:rPr>
        <w:t>26.1</w:t>
      </w:r>
      <w:r>
        <w:rPr>
          <w:rFonts w:ascii="宋体" w:hAnsi="宋体"/>
          <w:kern w:val="2"/>
          <w:szCs w:val="21"/>
        </w:rPr>
        <w:t>投标人认为招标文件、招标过程</w:t>
      </w:r>
      <w:r>
        <w:rPr>
          <w:rFonts w:hint="eastAsia" w:ascii="宋体" w:hAnsi="宋体"/>
          <w:kern w:val="2"/>
          <w:szCs w:val="21"/>
        </w:rPr>
        <w:t>或</w:t>
      </w:r>
      <w:r>
        <w:rPr>
          <w:rFonts w:ascii="宋体" w:hAnsi="宋体"/>
          <w:kern w:val="2"/>
          <w:szCs w:val="21"/>
        </w:rPr>
        <w:t>中标结果使自己的合法权益受到损害的，应当在知道或者应知其权益受到损害之日起七个工作日内，以书面形式向</w:t>
      </w:r>
      <w:r>
        <w:rPr>
          <w:rFonts w:hint="eastAsia" w:ascii="宋体" w:hAnsi="宋体"/>
          <w:kern w:val="2"/>
          <w:szCs w:val="21"/>
        </w:rPr>
        <w:t>招标人</w:t>
      </w:r>
      <w:r>
        <w:rPr>
          <w:rFonts w:ascii="宋体" w:hAnsi="宋体"/>
          <w:kern w:val="2"/>
          <w:szCs w:val="21"/>
        </w:rPr>
        <w:t>、采购代理机构提出质疑。投标人对招标采购单位的质疑答复不满意或者招标采购单位未在规定时间内作出答复的，可以在答复期满后十五个工作日内向同级采购监管部门投诉。</w:t>
      </w:r>
    </w:p>
    <w:p>
      <w:pPr>
        <w:widowControl w:val="0"/>
        <w:adjustRightInd w:val="0"/>
        <w:snapToGrid w:val="0"/>
        <w:spacing w:line="460" w:lineRule="exact"/>
        <w:ind w:firstLine="420" w:firstLineChars="200"/>
        <w:jc w:val="both"/>
        <w:rPr>
          <w:rFonts w:ascii="宋体" w:hAnsi="宋体"/>
          <w:kern w:val="2"/>
          <w:szCs w:val="21"/>
        </w:rPr>
      </w:pPr>
      <w:r>
        <w:rPr>
          <w:rFonts w:hint="eastAsia" w:ascii="宋体" w:hAnsi="宋体"/>
          <w:kern w:val="2"/>
          <w:szCs w:val="21"/>
        </w:rPr>
        <w:t>26.2</w:t>
      </w:r>
      <w:r>
        <w:rPr>
          <w:rFonts w:ascii="宋体" w:hAnsi="宋体"/>
          <w:kern w:val="2"/>
          <w:szCs w:val="21"/>
        </w:rPr>
        <w:t>质疑、投诉应当采用书面形式，质疑书、投诉书均应明确阐述招标文件、招标过程</w:t>
      </w:r>
      <w:r>
        <w:rPr>
          <w:rFonts w:hint="eastAsia" w:ascii="宋体" w:hAnsi="宋体"/>
          <w:kern w:val="2"/>
          <w:szCs w:val="21"/>
        </w:rPr>
        <w:t>或</w:t>
      </w:r>
      <w:r>
        <w:rPr>
          <w:rFonts w:ascii="宋体" w:hAnsi="宋体"/>
          <w:kern w:val="2"/>
          <w:szCs w:val="21"/>
        </w:rPr>
        <w:t>中标结果中使自己合法权益受到损害的实质性内容，提供相关事实、依据和证据及其来源或线索，便于有关单位调查、答复和处理</w:t>
      </w:r>
      <w:r>
        <w:rPr>
          <w:rFonts w:hint="eastAsia" w:ascii="宋体" w:hAnsi="宋体"/>
          <w:kern w:val="2"/>
          <w:szCs w:val="21"/>
        </w:rPr>
        <w:t>。</w:t>
      </w:r>
    </w:p>
    <w:p>
      <w:pPr>
        <w:widowControl w:val="0"/>
        <w:adjustRightInd w:val="0"/>
        <w:snapToGrid w:val="0"/>
        <w:spacing w:line="460" w:lineRule="exact"/>
        <w:ind w:firstLine="420" w:firstLineChars="200"/>
        <w:jc w:val="both"/>
        <w:rPr>
          <w:rFonts w:ascii="宋体" w:hAnsi="宋体"/>
          <w:kern w:val="2"/>
          <w:szCs w:val="21"/>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247" w:bottom="1440" w:left="1247" w:header="851" w:footer="992" w:gutter="170"/>
          <w:cols w:space="720" w:num="1"/>
          <w:docGrid w:type="lines" w:linePitch="312" w:charSpace="0"/>
        </w:sectPr>
      </w:pPr>
    </w:p>
    <w:p>
      <w:pPr>
        <w:pStyle w:val="2"/>
        <w:tabs>
          <w:tab w:val="center" w:pos="4819"/>
        </w:tabs>
        <w:spacing w:before="200" w:after="200" w:line="360" w:lineRule="auto"/>
        <w:jc w:val="center"/>
        <w:rPr>
          <w:rFonts w:hint="eastAsia" w:ascii="宋体" w:hAnsi="宋体"/>
          <w:sz w:val="32"/>
        </w:rPr>
      </w:pPr>
      <w:bookmarkStart w:id="75" w:name="_Toc13227282"/>
      <w:r>
        <w:rPr>
          <w:rFonts w:hint="eastAsia" w:ascii="宋体" w:hAnsi="宋体"/>
          <w:sz w:val="32"/>
        </w:rPr>
        <w:t xml:space="preserve">第三部分  </w:t>
      </w:r>
      <w:bookmarkEnd w:id="44"/>
      <w:r>
        <w:rPr>
          <w:rFonts w:hint="eastAsia" w:ascii="宋体" w:hAnsi="宋体"/>
          <w:sz w:val="32"/>
        </w:rPr>
        <w:t>招标项目概述及要求</w:t>
      </w:r>
      <w:bookmarkEnd w:id="45"/>
      <w:bookmarkEnd w:id="75"/>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8"/>
    <w:bookmarkEnd w:id="29"/>
    <w:bookmarkEnd w:id="30"/>
    <w:bookmarkEnd w:id="31"/>
    <w:bookmarkEnd w:id="32"/>
    <w:bookmarkEnd w:id="33"/>
    <w:bookmarkEnd w:id="34"/>
    <w:bookmarkEnd w:id="35"/>
    <w:bookmarkEnd w:id="36"/>
    <w:p>
      <w:pPr>
        <w:spacing w:line="440" w:lineRule="exact"/>
        <w:ind w:firstLine="422" w:firstLineChars="200"/>
        <w:rPr>
          <w:rFonts w:hint="eastAsia" w:ascii="宋体" w:hAnsi="宋体" w:cs="宋体"/>
          <w:b/>
          <w:bCs/>
          <w:color w:val="000000"/>
          <w:szCs w:val="21"/>
        </w:rPr>
      </w:pPr>
      <w:bookmarkStart w:id="76" w:name="_Toc347134788"/>
      <w:bookmarkStart w:id="77" w:name="_Toc334167684"/>
      <w:r>
        <w:rPr>
          <w:rFonts w:hint="eastAsia" w:ascii="宋体" w:hAnsi="宋体" w:cs="宋体"/>
          <w:b/>
          <w:bCs/>
          <w:color w:val="000000"/>
          <w:szCs w:val="21"/>
        </w:rPr>
        <w:t>一、护理员服务范围及人员数量</w:t>
      </w:r>
    </w:p>
    <w:p>
      <w:pPr>
        <w:tabs>
          <w:tab w:val="left" w:pos="1260"/>
        </w:tabs>
        <w:spacing w:line="440" w:lineRule="exact"/>
        <w:ind w:firstLine="468" w:firstLineChars="223"/>
        <w:rPr>
          <w:rFonts w:hint="eastAsia" w:ascii="宋体" w:hAnsi="宋体" w:cs="宋体"/>
          <w:color w:val="000000"/>
          <w:szCs w:val="21"/>
        </w:rPr>
      </w:pPr>
      <w:r>
        <w:rPr>
          <w:rFonts w:hint="eastAsia" w:ascii="宋体" w:hAnsi="宋体" w:cs="宋体"/>
          <w:color w:val="000000"/>
          <w:szCs w:val="21"/>
        </w:rPr>
        <w:t>住院部各个病区，要求提供优质病区护理员6名。陪护员30名左右。</w:t>
      </w:r>
    </w:p>
    <w:p>
      <w:pPr>
        <w:spacing w:line="440" w:lineRule="exact"/>
        <w:ind w:firstLine="422" w:firstLineChars="200"/>
        <w:rPr>
          <w:rFonts w:hint="eastAsia" w:ascii="宋体" w:hAnsi="宋体" w:cs="宋体"/>
          <w:b/>
          <w:bCs/>
          <w:color w:val="000000"/>
          <w:szCs w:val="21"/>
        </w:rPr>
      </w:pPr>
      <w:r>
        <w:rPr>
          <w:rFonts w:hint="eastAsia" w:ascii="宋体" w:hAnsi="宋体" w:cs="宋体"/>
          <w:b/>
          <w:bCs/>
          <w:color w:val="000000"/>
          <w:szCs w:val="21"/>
        </w:rPr>
        <w:t>二、</w:t>
      </w:r>
      <w:r>
        <w:rPr>
          <w:rFonts w:hint="eastAsia" w:ascii="宋体" w:hAnsi="宋体"/>
          <w:b/>
          <w:szCs w:val="21"/>
        </w:rPr>
        <w:t>本项目服务期限三年</w:t>
      </w:r>
      <w:r>
        <w:rPr>
          <w:rFonts w:hint="eastAsia" w:ascii="宋体" w:hAnsi="宋体"/>
          <w:szCs w:val="21"/>
        </w:rPr>
        <w:t>，合同一年一签，经考核合格后续签下一年合同。</w:t>
      </w:r>
      <w:r>
        <w:rPr>
          <w:rFonts w:hint="eastAsia" w:ascii="宋体" w:hAnsi="宋体"/>
          <w:b/>
          <w:szCs w:val="21"/>
        </w:rPr>
        <w:t>本项目预算价为</w:t>
      </w:r>
      <w:r>
        <w:rPr>
          <w:rFonts w:hint="eastAsia" w:ascii="宋体" w:hAnsi="宋体"/>
          <w:szCs w:val="21"/>
        </w:rPr>
        <w:t xml:space="preserve">人民币 </w:t>
      </w:r>
      <w:r>
        <w:rPr>
          <w:rFonts w:ascii="宋体" w:hAnsi="宋体"/>
          <w:szCs w:val="21"/>
        </w:rPr>
        <w:t>90万元</w:t>
      </w:r>
      <w:r>
        <w:rPr>
          <w:rFonts w:hint="eastAsia" w:ascii="宋体" w:hAnsi="宋体"/>
          <w:szCs w:val="21"/>
        </w:rPr>
        <w:t>（30万元/年）；超出预算价的投标作无效标处理。</w:t>
      </w:r>
    </w:p>
    <w:p>
      <w:pPr>
        <w:spacing w:line="440" w:lineRule="exact"/>
        <w:ind w:firstLine="422" w:firstLineChars="200"/>
        <w:rPr>
          <w:rFonts w:ascii="宋体" w:hAnsi="宋体"/>
          <w:szCs w:val="21"/>
        </w:rPr>
      </w:pPr>
      <w:r>
        <w:rPr>
          <w:rFonts w:hint="eastAsia" w:ascii="宋体" w:hAnsi="宋体"/>
          <w:b/>
          <w:bCs/>
          <w:szCs w:val="21"/>
        </w:rPr>
        <w:t>三、优质护理病区护理员素质要求</w:t>
      </w:r>
      <w:r>
        <w:rPr>
          <w:rFonts w:hint="eastAsia" w:ascii="宋体" w:hAnsi="宋体"/>
          <w:szCs w:val="21"/>
        </w:rPr>
        <w:t>：</w:t>
      </w:r>
    </w:p>
    <w:p>
      <w:pPr>
        <w:spacing w:line="440" w:lineRule="exact"/>
        <w:ind w:firstLine="422" w:firstLineChars="200"/>
        <w:rPr>
          <w:rFonts w:ascii="宋体" w:hAnsi="宋体"/>
          <w:b/>
          <w:szCs w:val="21"/>
        </w:rPr>
      </w:pPr>
      <w:r>
        <w:rPr>
          <w:rFonts w:hint="eastAsia" w:ascii="宋体" w:hAnsi="宋体"/>
          <w:b/>
          <w:szCs w:val="21"/>
        </w:rPr>
        <w:t>1、护理员队伍管理、培训：</w:t>
      </w:r>
    </w:p>
    <w:p>
      <w:pPr>
        <w:spacing w:line="440" w:lineRule="exact"/>
        <w:ind w:firstLine="420" w:firstLineChars="200"/>
        <w:rPr>
          <w:rFonts w:ascii="宋体" w:hAnsi="宋体"/>
          <w:b/>
          <w:color w:val="FF0000"/>
          <w:szCs w:val="21"/>
        </w:rPr>
      </w:pPr>
      <w:r>
        <w:rPr>
          <w:rFonts w:hint="eastAsia" w:ascii="宋体" w:hAnsi="宋体"/>
          <w:szCs w:val="21"/>
        </w:rPr>
        <w:t>1）</w:t>
      </w:r>
      <w:r>
        <w:rPr>
          <w:rFonts w:hint="eastAsia" w:ascii="宋体" w:hAnsi="宋体"/>
          <w:b/>
          <w:szCs w:val="21"/>
        </w:rPr>
        <w:t>护理员年龄要求20-55周岁以内，具有小学及以上的文化程度，按规定并取得《宁波市职业技术培训证书》及二级以上医院健康合格证书，在医院设立护理员服务中心，接受医院督导管理人员的监督。</w:t>
      </w:r>
    </w:p>
    <w:p>
      <w:pPr>
        <w:spacing w:line="440" w:lineRule="exact"/>
        <w:ind w:firstLine="420" w:firstLineChars="200"/>
        <w:rPr>
          <w:rFonts w:ascii="宋体" w:hAnsi="宋体"/>
          <w:szCs w:val="21"/>
        </w:rPr>
      </w:pPr>
      <w:r>
        <w:rPr>
          <w:rFonts w:hint="eastAsia" w:ascii="宋体" w:hAnsi="宋体"/>
          <w:szCs w:val="21"/>
        </w:rPr>
        <w:t>2）根据本单位的实际，对护理员开展岗前培训，内容包括本单位及相应科室的有关规章制度、工作流程、专科生活护理技巧等。</w:t>
      </w:r>
    </w:p>
    <w:p>
      <w:pPr>
        <w:spacing w:line="440" w:lineRule="exact"/>
        <w:ind w:firstLine="422" w:firstLineChars="200"/>
        <w:rPr>
          <w:rFonts w:ascii="宋体" w:hAnsi="宋体"/>
          <w:b/>
          <w:szCs w:val="21"/>
        </w:rPr>
      </w:pPr>
      <w:r>
        <w:rPr>
          <w:rFonts w:hint="eastAsia" w:ascii="宋体" w:hAnsi="宋体"/>
          <w:b/>
          <w:szCs w:val="21"/>
        </w:rPr>
        <w:t>2、护理员服务行为：</w:t>
      </w:r>
    </w:p>
    <w:p>
      <w:pPr>
        <w:spacing w:line="440" w:lineRule="exact"/>
        <w:ind w:firstLine="420" w:firstLineChars="200"/>
        <w:rPr>
          <w:rFonts w:ascii="宋体" w:hAnsi="宋体"/>
          <w:szCs w:val="21"/>
        </w:rPr>
      </w:pPr>
      <w:r>
        <w:rPr>
          <w:rFonts w:hint="eastAsia" w:ascii="宋体" w:hAnsi="宋体" w:cs="宋体"/>
          <w:szCs w:val="21"/>
        </w:rPr>
        <w:t>1）必须持证上岗，</w:t>
      </w:r>
      <w:r>
        <w:rPr>
          <w:rFonts w:hint="eastAsia" w:ascii="宋体" w:hAnsi="宋体"/>
          <w:szCs w:val="21"/>
        </w:rPr>
        <w:t>统一着装，派遣机构做好护理员每年一次的健康检查及相关社会保险。</w:t>
      </w:r>
    </w:p>
    <w:p>
      <w:pPr>
        <w:spacing w:line="440" w:lineRule="exact"/>
        <w:ind w:firstLine="420" w:firstLineChars="200"/>
        <w:rPr>
          <w:rFonts w:ascii="宋体" w:hAnsi="宋体"/>
          <w:szCs w:val="21"/>
        </w:rPr>
      </w:pPr>
      <w:r>
        <w:rPr>
          <w:rFonts w:hint="eastAsia" w:ascii="宋体" w:hAnsi="宋体"/>
          <w:szCs w:val="21"/>
        </w:rPr>
        <w:t>2）认真履行护理员职责，遵守护理员职业道德规范。</w:t>
      </w:r>
    </w:p>
    <w:p>
      <w:pPr>
        <w:spacing w:line="440" w:lineRule="exact"/>
        <w:ind w:firstLine="420" w:firstLineChars="200"/>
        <w:rPr>
          <w:rFonts w:ascii="宋体" w:hAnsi="宋体"/>
          <w:szCs w:val="21"/>
        </w:rPr>
      </w:pPr>
      <w:r>
        <w:rPr>
          <w:rFonts w:hint="eastAsia" w:ascii="宋体" w:hAnsi="宋体"/>
          <w:szCs w:val="21"/>
        </w:rPr>
        <w:t>3）</w:t>
      </w:r>
      <w:r>
        <w:rPr>
          <w:rFonts w:hint="eastAsia" w:ascii="宋体" w:hAnsi="宋体" w:cs="宋体"/>
          <w:szCs w:val="21"/>
        </w:rPr>
        <w:t>在科室护士长领导下和注册护士指导下进行工作。承担患者生活照料工作，满足患者基本生活需要，做到尊重患者，保护患者隐私，严禁从事</w:t>
      </w:r>
      <w:r>
        <w:rPr>
          <w:rFonts w:hint="eastAsia" w:ascii="宋体" w:hAnsi="宋体"/>
          <w:szCs w:val="21"/>
        </w:rPr>
        <w:t>与护理相关工作。</w:t>
      </w:r>
    </w:p>
    <w:p>
      <w:pPr>
        <w:spacing w:line="440" w:lineRule="exact"/>
        <w:ind w:firstLine="420" w:firstLineChars="200"/>
        <w:rPr>
          <w:rFonts w:ascii="宋体" w:hAnsi="宋体"/>
          <w:szCs w:val="21"/>
        </w:rPr>
      </w:pPr>
      <w:r>
        <w:rPr>
          <w:rFonts w:hint="eastAsia" w:ascii="宋体" w:hAnsi="宋体"/>
          <w:szCs w:val="21"/>
        </w:rPr>
        <w:t>4）严格遵守公司及医院各项规章制度，服从科室护士长及护士的安排。</w:t>
      </w:r>
    </w:p>
    <w:p>
      <w:pPr>
        <w:spacing w:line="440" w:lineRule="exact"/>
        <w:ind w:firstLine="422" w:firstLineChars="200"/>
        <w:rPr>
          <w:rFonts w:ascii="宋体" w:hAnsi="宋体"/>
          <w:szCs w:val="21"/>
        </w:rPr>
      </w:pPr>
      <w:r>
        <w:rPr>
          <w:rFonts w:hint="eastAsia" w:ascii="宋体" w:hAnsi="宋体"/>
          <w:b/>
          <w:bCs/>
          <w:szCs w:val="21"/>
        </w:rPr>
        <w:t>四、优质护理服务内容及工作质量要求</w:t>
      </w:r>
    </w:p>
    <w:p>
      <w:pPr>
        <w:spacing w:line="440" w:lineRule="exact"/>
        <w:ind w:firstLine="420" w:firstLineChars="200"/>
        <w:rPr>
          <w:rFonts w:ascii="宋体" w:hAnsi="宋体"/>
          <w:szCs w:val="21"/>
        </w:rPr>
      </w:pPr>
      <w:r>
        <w:rPr>
          <w:rFonts w:hint="eastAsia" w:ascii="宋体" w:hAnsi="宋体"/>
          <w:szCs w:val="21"/>
        </w:rPr>
        <w:t>1、工作时间：具体工作时间与班次轮转，由医院按各科实际情况由护士长进行排班。（本标项为全包价，医院不承担中标价格以外的任何节假日加班费用，如节假日期间有缺编现象的，院方有权在服务费中予以相应的人工费用扣罚）</w:t>
      </w:r>
    </w:p>
    <w:p>
      <w:pPr>
        <w:spacing w:line="440" w:lineRule="exact"/>
        <w:ind w:firstLine="420" w:firstLineChars="200"/>
        <w:rPr>
          <w:rFonts w:ascii="宋体" w:hAnsi="宋体"/>
          <w:szCs w:val="21"/>
        </w:rPr>
      </w:pPr>
      <w:r>
        <w:rPr>
          <w:rFonts w:hint="eastAsia" w:ascii="宋体" w:hAnsi="宋体"/>
          <w:szCs w:val="21"/>
        </w:rPr>
        <w:t>2、护理员管理要求：</w:t>
      </w:r>
    </w:p>
    <w:p>
      <w:pPr>
        <w:spacing w:line="440" w:lineRule="exact"/>
        <w:ind w:firstLine="420" w:firstLineChars="200"/>
        <w:rPr>
          <w:rFonts w:ascii="宋体" w:hAnsi="宋体"/>
          <w:szCs w:val="21"/>
        </w:rPr>
      </w:pPr>
      <w:r>
        <w:rPr>
          <w:rFonts w:hint="eastAsia" w:ascii="宋体" w:hAnsi="宋体"/>
          <w:szCs w:val="21"/>
        </w:rPr>
        <w:t>①中标人负责对该项目护理员的聘用，护理员劳动、社会保险关系等均建立在中标人内。采购人与中标人派驻的所有工作人员不发生任何劳动和雇佣关系。若发生人身伤害等工伤事故，由中标人自负，与采购人无涉。</w:t>
      </w:r>
    </w:p>
    <w:p>
      <w:pPr>
        <w:spacing w:line="440" w:lineRule="exact"/>
        <w:ind w:firstLine="420" w:firstLineChars="200"/>
        <w:rPr>
          <w:rFonts w:ascii="宋体" w:hAnsi="宋体"/>
          <w:szCs w:val="21"/>
        </w:rPr>
      </w:pPr>
      <w:r>
        <w:rPr>
          <w:rFonts w:hint="eastAsia" w:ascii="宋体" w:hAnsi="宋体"/>
          <w:szCs w:val="21"/>
        </w:rPr>
        <w:t>②中标人应派有相应上岗资格的管理人员，对招聘的护理员进行岗前培训，经院方考核合格后持证上岗，上岗后根据所在专科具体情况实施定期考核与培训，费用由中标人承担。护理员需根据护理准入要求配置。按护理员服务行为、服务纪律要求进行工作。在病区护士长的带领下，护理员根据工作职责、工作标准配合各科护士做好所在护理单元的工作。在医院设立护理员服务中心，接受医院相关管理科室的监督。</w:t>
      </w:r>
    </w:p>
    <w:p>
      <w:pPr>
        <w:spacing w:line="440" w:lineRule="exact"/>
        <w:ind w:firstLine="420" w:firstLineChars="200"/>
        <w:rPr>
          <w:rFonts w:ascii="宋体" w:hAnsi="宋体"/>
          <w:szCs w:val="21"/>
        </w:rPr>
      </w:pPr>
      <w:r>
        <w:rPr>
          <w:rFonts w:hint="eastAsia" w:ascii="宋体" w:hAnsi="宋体"/>
          <w:szCs w:val="21"/>
        </w:rPr>
        <w:t>③护理员准入要求及服务行为要求：</w:t>
      </w:r>
    </w:p>
    <w:p>
      <w:pPr>
        <w:spacing w:line="440" w:lineRule="exact"/>
        <w:ind w:firstLine="420" w:firstLineChars="200"/>
        <w:rPr>
          <w:rFonts w:ascii="宋体" w:hAnsi="宋体"/>
          <w:szCs w:val="21"/>
        </w:rPr>
      </w:pPr>
      <w:r>
        <w:rPr>
          <w:rFonts w:hint="eastAsia" w:ascii="宋体" w:hAnsi="宋体"/>
          <w:szCs w:val="21"/>
        </w:rPr>
        <w:t>(l）持有有效的宁波市社会劳动部门的职业技术培训证书和二级及以上医院健康合格证（中标人需做好护理员每年一次的健康检查及相关各项社会保险）。</w:t>
      </w:r>
    </w:p>
    <w:p>
      <w:pPr>
        <w:spacing w:line="440" w:lineRule="exact"/>
        <w:ind w:firstLine="420" w:firstLineChars="200"/>
        <w:rPr>
          <w:rFonts w:ascii="宋体" w:hAnsi="宋体"/>
          <w:szCs w:val="21"/>
        </w:rPr>
      </w:pPr>
      <w:r>
        <w:rPr>
          <w:rFonts w:hint="eastAsia" w:ascii="宋体" w:hAnsi="宋体"/>
          <w:szCs w:val="21"/>
        </w:rPr>
        <w:t>（2）要求小学及以上文化程度，具备基本读写能力，年龄20-55周岁。</w:t>
      </w:r>
    </w:p>
    <w:p>
      <w:pPr>
        <w:spacing w:line="440" w:lineRule="exact"/>
        <w:ind w:firstLine="420" w:firstLineChars="200"/>
        <w:rPr>
          <w:rFonts w:ascii="宋体" w:hAnsi="宋体"/>
          <w:szCs w:val="21"/>
        </w:rPr>
      </w:pPr>
      <w:r>
        <w:rPr>
          <w:rFonts w:hint="eastAsia" w:ascii="宋体" w:hAnsi="宋体"/>
          <w:szCs w:val="21"/>
        </w:rPr>
        <w:t>（3）严格遵守医院的各种规章制度和病房管理制度。</w:t>
      </w:r>
    </w:p>
    <w:p>
      <w:pPr>
        <w:spacing w:line="440" w:lineRule="exact"/>
        <w:ind w:firstLine="420" w:firstLineChars="200"/>
        <w:rPr>
          <w:rFonts w:ascii="宋体" w:hAnsi="宋体"/>
          <w:szCs w:val="21"/>
        </w:rPr>
      </w:pPr>
      <w:r>
        <w:rPr>
          <w:rFonts w:hint="eastAsia" w:ascii="宋体" w:hAnsi="宋体"/>
          <w:szCs w:val="21"/>
        </w:rPr>
        <w:t>（4）遵守护理员职业道德规范。</w:t>
      </w:r>
    </w:p>
    <w:p>
      <w:pPr>
        <w:spacing w:line="440" w:lineRule="exact"/>
        <w:ind w:firstLine="420" w:firstLineChars="200"/>
        <w:rPr>
          <w:rFonts w:ascii="宋体" w:hAnsi="宋体"/>
          <w:szCs w:val="21"/>
        </w:rPr>
      </w:pPr>
      <w:r>
        <w:rPr>
          <w:rFonts w:hint="eastAsia" w:ascii="宋体" w:hAnsi="宋体"/>
          <w:szCs w:val="21"/>
        </w:rPr>
        <w:t>（5）护理员应在科室护士长或注册护士的业务指导下从事患者生活护理工作，尊重病人、关心病人，耐心细致地完成病人的生活护理，保护患者的隐私。</w:t>
      </w:r>
    </w:p>
    <w:p>
      <w:pPr>
        <w:spacing w:line="440" w:lineRule="exact"/>
        <w:ind w:firstLine="420" w:firstLineChars="200"/>
        <w:rPr>
          <w:rFonts w:ascii="宋体" w:hAnsi="宋体"/>
          <w:szCs w:val="21"/>
        </w:rPr>
      </w:pPr>
      <w:r>
        <w:rPr>
          <w:rFonts w:hint="eastAsia" w:ascii="宋体" w:hAnsi="宋体"/>
          <w:szCs w:val="21"/>
        </w:rPr>
        <w:t>3、优质病区护理员工作内容：</w:t>
      </w:r>
    </w:p>
    <w:p>
      <w:pPr>
        <w:spacing w:line="440" w:lineRule="exact"/>
        <w:ind w:firstLine="420" w:firstLineChars="200"/>
        <w:rPr>
          <w:rFonts w:ascii="宋体" w:hAnsi="宋体"/>
          <w:szCs w:val="21"/>
        </w:rPr>
      </w:pPr>
      <w:r>
        <w:rPr>
          <w:rFonts w:hint="eastAsia" w:ascii="宋体" w:hAnsi="宋体"/>
          <w:szCs w:val="21"/>
        </w:rPr>
        <w:t>①参与晨间护理，定期更换床单、被套等，随时做好病人的床单位整理，保持床单位平整、干燥，无碎屑。做好病房环境管理，保持病房整洁，物品按位放置（床头整洁有序，床底、地面无杂物）、管理陪客躺椅等。</w:t>
      </w:r>
    </w:p>
    <w:p>
      <w:pPr>
        <w:spacing w:line="440" w:lineRule="exact"/>
        <w:ind w:firstLine="420" w:firstLineChars="200"/>
        <w:rPr>
          <w:rFonts w:ascii="宋体" w:hAnsi="宋体"/>
          <w:szCs w:val="21"/>
        </w:rPr>
      </w:pPr>
      <w:r>
        <w:rPr>
          <w:rFonts w:hint="eastAsia" w:ascii="宋体" w:hAnsi="宋体"/>
          <w:szCs w:val="21"/>
        </w:rPr>
        <w:t>②随时巡视病房，协助生活不能自理病人、卧床病人、输液期间病人进食、进水、喂药，饭前饭后洗手、入厕等。</w:t>
      </w:r>
    </w:p>
    <w:p>
      <w:pPr>
        <w:spacing w:line="440" w:lineRule="exact"/>
        <w:ind w:firstLine="420" w:firstLineChars="200"/>
        <w:rPr>
          <w:rFonts w:ascii="宋体" w:hAnsi="宋体"/>
          <w:szCs w:val="21"/>
        </w:rPr>
      </w:pPr>
      <w:r>
        <w:rPr>
          <w:rFonts w:hint="eastAsia" w:ascii="宋体" w:hAnsi="宋体"/>
          <w:szCs w:val="21"/>
        </w:rPr>
        <w:t>③协助生活不能自理病人清洗碗筷，大小便便器，保持清洁干燥。</w:t>
      </w:r>
    </w:p>
    <w:p>
      <w:pPr>
        <w:spacing w:line="440" w:lineRule="exact"/>
        <w:ind w:firstLine="420" w:firstLineChars="200"/>
        <w:rPr>
          <w:rFonts w:ascii="宋体" w:hAnsi="宋体"/>
          <w:szCs w:val="21"/>
        </w:rPr>
      </w:pPr>
      <w:r>
        <w:rPr>
          <w:rFonts w:hint="eastAsia" w:ascii="宋体" w:hAnsi="宋体"/>
          <w:szCs w:val="21"/>
        </w:rPr>
        <w:t>④在护士指导下协助特级、一级护理、高危压疮病人翻身，使用便器、床上移动、洗头、床上擦浴、修剪指（趾）甲、喂饭、口腔清洁、病人会阴部清洁等。保持患者三短六洁（头发、胡须、指（趾）甲短，口、皮肤、手、足、会阴、皮肤清洁）</w:t>
      </w:r>
    </w:p>
    <w:p>
      <w:pPr>
        <w:spacing w:line="440" w:lineRule="exact"/>
        <w:ind w:firstLine="420" w:firstLineChars="200"/>
        <w:rPr>
          <w:rFonts w:ascii="宋体" w:hAnsi="宋体"/>
          <w:szCs w:val="21"/>
        </w:rPr>
      </w:pPr>
      <w:r>
        <w:rPr>
          <w:rFonts w:hint="eastAsia" w:ascii="宋体" w:hAnsi="宋体"/>
          <w:szCs w:val="21"/>
        </w:rPr>
        <w:t>⑤协助搬动病人或迁床工作，协助生活不能自理的病人起床活动，如上、下床、坐轮椅、摆放体位以及活动关节等。</w:t>
      </w:r>
    </w:p>
    <w:p>
      <w:pPr>
        <w:spacing w:line="440" w:lineRule="exact"/>
        <w:ind w:firstLine="420" w:firstLineChars="200"/>
        <w:rPr>
          <w:rFonts w:ascii="宋体" w:hAnsi="宋体"/>
          <w:szCs w:val="21"/>
        </w:rPr>
      </w:pPr>
      <w:r>
        <w:rPr>
          <w:rFonts w:hint="eastAsia" w:ascii="宋体" w:hAnsi="宋体"/>
          <w:szCs w:val="21"/>
        </w:rPr>
        <w:t>⑥协助病人留取大小便标本，护送行动不便的患者做辅助检查、治疗及会诊，如B超、放射、心电等。</w:t>
      </w:r>
    </w:p>
    <w:p>
      <w:pPr>
        <w:spacing w:line="440" w:lineRule="exact"/>
        <w:ind w:firstLine="420" w:firstLineChars="200"/>
        <w:rPr>
          <w:rFonts w:ascii="宋体" w:hAnsi="宋体"/>
          <w:szCs w:val="21"/>
        </w:rPr>
      </w:pPr>
      <w:r>
        <w:rPr>
          <w:rFonts w:hint="eastAsia" w:ascii="宋体" w:hAnsi="宋体"/>
          <w:szCs w:val="21"/>
        </w:rPr>
        <w:t>⑦在护士指导下，协助病人进行功能锻炼；协助慢性病病人进行语言及肢体的康复性训练；在照料病人过程中，发现患者病情危急，应当立即通知科室的护士或医生。</w:t>
      </w:r>
    </w:p>
    <w:p>
      <w:pPr>
        <w:spacing w:line="440" w:lineRule="exact"/>
        <w:ind w:firstLine="424" w:firstLineChars="202"/>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8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⑧</w:t>
      </w:r>
      <w:r>
        <w:rPr>
          <w:rFonts w:ascii="宋体" w:hAnsi="宋体"/>
          <w:szCs w:val="21"/>
        </w:rPr>
        <w:fldChar w:fldCharType="end"/>
      </w:r>
      <w:r>
        <w:rPr>
          <w:rFonts w:hint="eastAsia" w:ascii="宋体" w:hAnsi="宋体"/>
          <w:szCs w:val="21"/>
        </w:rPr>
        <w:t>在护士指导下做好病区卫生工作（如治疗车整理、引流液瓶倾倒清洁等）。定期用消毒液擦拭病区内所有治疗车、治疗盘、仪器设备（雾化机、磅秤、药车、电话机、打印机、电脑等），保持治疗室、办公室整洁。每月月初协助护士完成冰箱除霜清洁工作。</w:t>
      </w:r>
    </w:p>
    <w:p>
      <w:pPr>
        <w:spacing w:line="440" w:lineRule="exact"/>
        <w:ind w:firstLine="424" w:firstLineChars="202"/>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9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⑨</w:t>
      </w:r>
      <w:r>
        <w:rPr>
          <w:rFonts w:ascii="宋体" w:hAnsi="宋体"/>
          <w:szCs w:val="21"/>
        </w:rPr>
        <w:fldChar w:fldCharType="end"/>
      </w:r>
      <w:r>
        <w:rPr>
          <w:rFonts w:hint="eastAsia" w:ascii="宋体" w:hAnsi="宋体"/>
          <w:szCs w:val="21"/>
        </w:rPr>
        <w:t>12：00拉拢窗帘安置病人午休，14：00拉开窗帘。午休期间协助护士做好病区内陪护人员的管理工作。夜班护理员在下班前巡视所有病房，帮助病人如厕，拉好窗帘，关好门窗。</w:t>
      </w:r>
    </w:p>
    <w:p>
      <w:pPr>
        <w:spacing w:line="440" w:lineRule="exact"/>
        <w:ind w:firstLine="424" w:firstLineChars="202"/>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10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⑩</w:t>
      </w:r>
      <w:r>
        <w:rPr>
          <w:rFonts w:ascii="宋体" w:hAnsi="宋体"/>
          <w:szCs w:val="21"/>
        </w:rPr>
        <w:fldChar w:fldCharType="end"/>
      </w:r>
      <w:r>
        <w:rPr>
          <w:rFonts w:hint="eastAsia" w:ascii="宋体" w:hAnsi="宋体"/>
          <w:szCs w:val="21"/>
        </w:rPr>
        <w:t>定期巡视病房，落实各项基础护理，做好防跌倒措施，不依赖陪护人员，发现问题及时与护士汇报，协助护士铺好备用床，协助换床、加床、拆床等。夜班护理员凭病区护士开具的借药单去门诊药房借药。</w:t>
      </w:r>
    </w:p>
    <w:p>
      <w:pPr>
        <w:spacing w:line="440" w:lineRule="exact"/>
        <w:ind w:firstLine="420" w:firstLineChars="200"/>
        <w:rPr>
          <w:rFonts w:ascii="宋体" w:hAnsi="宋体"/>
          <w:szCs w:val="21"/>
        </w:rPr>
      </w:pPr>
      <w:r>
        <w:rPr>
          <w:rFonts w:hint="eastAsia" w:ascii="宋体" w:hAnsi="宋体"/>
          <w:szCs w:val="21"/>
        </w:rPr>
        <w:t>4、优质病区护理员工作标准、服务纪律要求：</w:t>
      </w:r>
    </w:p>
    <w:p>
      <w:pPr>
        <w:spacing w:line="440" w:lineRule="exact"/>
        <w:ind w:firstLine="420" w:firstLineChars="200"/>
        <w:rPr>
          <w:rFonts w:ascii="宋体" w:hAnsi="宋体"/>
          <w:szCs w:val="21"/>
        </w:rPr>
      </w:pPr>
      <w:r>
        <w:rPr>
          <w:rFonts w:hint="eastAsia" w:ascii="宋体" w:hAnsi="宋体"/>
          <w:szCs w:val="21"/>
        </w:rPr>
        <w:t>①护理员应统一着装，统一挂牌，不穿硬底鞋，不留长指甲，不串岗，不聚众聊天，不随意带无关人员进出病房，不随意进入治疗室等场所。</w:t>
      </w:r>
    </w:p>
    <w:p>
      <w:pPr>
        <w:spacing w:line="440" w:lineRule="exact"/>
        <w:ind w:firstLine="420" w:firstLineChars="200"/>
        <w:rPr>
          <w:rFonts w:ascii="宋体" w:hAnsi="宋体"/>
          <w:szCs w:val="21"/>
        </w:rPr>
      </w:pPr>
      <w:r>
        <w:rPr>
          <w:rFonts w:hint="eastAsia" w:ascii="宋体" w:hAnsi="宋体"/>
          <w:szCs w:val="21"/>
        </w:rPr>
        <w:t>②遵守医院及科室的各项规章制度，服从病区护士长和护士的管理，严格遵守病房管理制度，在医院规定的地点休息，保持病房整洁、舒适、安静、安全。</w:t>
      </w:r>
    </w:p>
    <w:p>
      <w:pPr>
        <w:spacing w:line="440" w:lineRule="exact"/>
        <w:ind w:firstLine="420" w:firstLineChars="200"/>
        <w:rPr>
          <w:rFonts w:ascii="宋体" w:hAnsi="宋体"/>
          <w:color w:val="FF0000"/>
          <w:szCs w:val="21"/>
        </w:rPr>
      </w:pPr>
      <w:r>
        <w:rPr>
          <w:rFonts w:hint="eastAsia" w:ascii="宋体" w:hAnsi="宋体"/>
          <w:szCs w:val="21"/>
        </w:rPr>
        <w:t>③不得与病人及家属争论、吵架，不得私接家属电话，不得谈论患者病情，不得接受患者、家属红包、实物馈赠，更不能向病人索要礼品、礼物及小费。工作时间有偿陪护病人，不得索取病人及家属的陪护介绍费等。</w:t>
      </w:r>
    </w:p>
    <w:p>
      <w:pPr>
        <w:spacing w:line="440" w:lineRule="exact"/>
        <w:ind w:firstLine="420" w:firstLineChars="200"/>
        <w:rPr>
          <w:rFonts w:ascii="宋体" w:hAnsi="宋体"/>
          <w:szCs w:val="21"/>
        </w:rPr>
      </w:pPr>
      <w:r>
        <w:rPr>
          <w:rFonts w:hint="eastAsia" w:ascii="宋体" w:hAnsi="宋体"/>
          <w:szCs w:val="21"/>
        </w:rPr>
        <w:t>④护理员上岗应文明用语，礼貌待人，服务热情周到。</w:t>
      </w:r>
    </w:p>
    <w:p>
      <w:pPr>
        <w:spacing w:line="440" w:lineRule="exact"/>
        <w:ind w:firstLine="420" w:firstLineChars="200"/>
        <w:rPr>
          <w:rFonts w:ascii="宋体" w:hAnsi="宋体"/>
          <w:szCs w:val="21"/>
        </w:rPr>
      </w:pPr>
      <w:r>
        <w:rPr>
          <w:rFonts w:hint="eastAsia" w:ascii="宋体" w:hAnsi="宋体"/>
          <w:szCs w:val="21"/>
        </w:rPr>
        <w:t>⑤要求病人或家属、医务人员对护理员的服务满意率在95%以上。</w:t>
      </w:r>
    </w:p>
    <w:p>
      <w:pPr>
        <w:spacing w:line="44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6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⑥</w:t>
      </w:r>
      <w:r>
        <w:rPr>
          <w:rFonts w:ascii="宋体" w:hAnsi="宋体"/>
          <w:szCs w:val="21"/>
        </w:rPr>
        <w:fldChar w:fldCharType="end"/>
      </w:r>
      <w:r>
        <w:rPr>
          <w:rFonts w:hint="eastAsia" w:ascii="宋体" w:hAnsi="宋体"/>
          <w:szCs w:val="21"/>
        </w:rPr>
        <w:t>认真遵守劳动纪律，不迟到、不早退、不离岗。保证工作正常进行，工作勤恳、热情，做到热情服务、文明礼貌。如有特殊情况需汇报管理人员自行调剂、汇报护士长，并经同意。如要辞职必须提前一月用书面形式申请。</w:t>
      </w:r>
    </w:p>
    <w:p>
      <w:pPr>
        <w:spacing w:line="440" w:lineRule="exact"/>
        <w:ind w:firstLine="420" w:firstLineChars="200"/>
        <w:rPr>
          <w:rFonts w:ascii="宋体" w:hAnsi="宋体"/>
          <w:szCs w:val="21"/>
        </w:rPr>
      </w:pPr>
      <w:r>
        <w:rPr>
          <w:rFonts w:hint="eastAsia" w:ascii="宋体" w:hAnsi="宋体"/>
          <w:szCs w:val="21"/>
        </w:rPr>
        <w:t>⑦保持个人用物卫生、被服间、洗衣间、污物室各物品摆放整洁有序；被服间、库房及时上锁。</w:t>
      </w:r>
    </w:p>
    <w:p>
      <w:pPr>
        <w:spacing w:line="440" w:lineRule="exact"/>
        <w:ind w:firstLine="420" w:firstLineChars="200"/>
        <w:rPr>
          <w:rFonts w:ascii="宋体" w:hAnsi="宋体"/>
          <w:szCs w:val="21"/>
        </w:rPr>
      </w:pPr>
      <w:r>
        <w:rPr>
          <w:rFonts w:hint="eastAsia" w:ascii="宋体" w:hAnsi="宋体"/>
          <w:szCs w:val="21"/>
        </w:rPr>
        <w:t>⑧发现病区公共设施损坏，及时上报护士长或组长。</w:t>
      </w:r>
    </w:p>
    <w:p>
      <w:pPr>
        <w:spacing w:line="440" w:lineRule="exact"/>
        <w:ind w:firstLine="420" w:firstLineChars="200"/>
        <w:rPr>
          <w:rFonts w:ascii="宋体" w:hAnsi="宋体"/>
          <w:szCs w:val="21"/>
        </w:rPr>
      </w:pPr>
      <w:r>
        <w:rPr>
          <w:rFonts w:hint="eastAsia" w:ascii="宋体" w:hAnsi="宋体"/>
          <w:szCs w:val="21"/>
        </w:rPr>
        <w:t>⑨爱护公物，注意节约水、电、气，正确使用并妥善保管清洁用具，不得私用电器，最大限度节约资源。</w:t>
      </w:r>
    </w:p>
    <w:p>
      <w:pPr>
        <w:spacing w:line="440" w:lineRule="exact"/>
        <w:ind w:firstLine="420" w:firstLineChars="200"/>
        <w:rPr>
          <w:rFonts w:ascii="宋体" w:hAnsi="宋体"/>
          <w:szCs w:val="21"/>
        </w:rPr>
      </w:pPr>
      <w:r>
        <w:rPr>
          <w:rFonts w:hint="eastAsia" w:ascii="宋体" w:hAnsi="宋体"/>
          <w:szCs w:val="21"/>
        </w:rPr>
        <w:t>⑩明确责任，落实管理，任何操作均需保证患者及家属安全。如因护理员工作不当导致意外发生，中标方因承担相应的责任。</w:t>
      </w:r>
    </w:p>
    <w:p>
      <w:pPr>
        <w:spacing w:line="440" w:lineRule="exact"/>
        <w:ind w:firstLine="420" w:firstLineChars="200"/>
        <w:rPr>
          <w:rFonts w:ascii="宋体" w:hAnsi="宋体"/>
          <w:szCs w:val="21"/>
        </w:rPr>
      </w:pPr>
      <w:r>
        <w:rPr>
          <w:rFonts w:hint="eastAsia" w:ascii="宋体" w:hAnsi="宋体"/>
          <w:szCs w:val="21"/>
        </w:rPr>
        <w:t>5、优质病区护理服务质量要求：</w:t>
      </w:r>
    </w:p>
    <w:p>
      <w:pPr>
        <w:spacing w:line="440" w:lineRule="exact"/>
        <w:ind w:firstLine="420" w:firstLineChars="200"/>
        <w:rPr>
          <w:rFonts w:ascii="宋体" w:hAnsi="宋体"/>
          <w:szCs w:val="21"/>
        </w:rPr>
      </w:pPr>
      <w:r>
        <w:rPr>
          <w:rFonts w:hint="eastAsia" w:ascii="宋体" w:hAnsi="宋体"/>
          <w:szCs w:val="21"/>
        </w:rPr>
        <w:t>中标人负责护理员的日常管理工作，制定医院护理员服务中心规章制度、护理员管理办法、护理员职责和考核标准。管理人员每日巡查督导护理员工作质量，并做好书面巡督记录，发现问题须及时整改落实。按照双方约定的考核办法，由护理员督导部门对各病区医生、护士、病人及家属的满意度等进行服务质量综合评定，并与其个人报酬挂钩，对不适宜从事护理员工作的要及时清退。对派遣机构出现不认真履行合同、管理混乱、提供的服务质量与服务水平与合同承诺存在较大差距，病人、家属和医务人员满意度低等情形，医院可与其终止合同。</w:t>
      </w:r>
    </w:p>
    <w:p>
      <w:pPr>
        <w:spacing w:line="440" w:lineRule="exact"/>
        <w:ind w:firstLine="422" w:firstLineChars="200"/>
        <w:rPr>
          <w:rFonts w:ascii="宋体" w:hAnsi="宋体"/>
          <w:b/>
          <w:bCs/>
          <w:szCs w:val="21"/>
        </w:rPr>
      </w:pPr>
      <w:r>
        <w:rPr>
          <w:rFonts w:hint="eastAsia" w:ascii="宋体" w:hAnsi="宋体"/>
          <w:b/>
          <w:bCs/>
          <w:szCs w:val="21"/>
        </w:rPr>
        <w:t>五、优质护理病区护理员考核内容及细则</w:t>
      </w:r>
    </w:p>
    <w:p>
      <w:pPr>
        <w:numPr>
          <w:ilvl w:val="0"/>
          <w:numId w:val="2"/>
        </w:numPr>
        <w:tabs>
          <w:tab w:val="left" w:pos="360"/>
        </w:tabs>
        <w:spacing w:line="440" w:lineRule="exact"/>
        <w:ind w:firstLine="420" w:firstLineChars="200"/>
        <w:rPr>
          <w:rFonts w:ascii="宋体" w:hAnsi="宋体"/>
          <w:szCs w:val="21"/>
        </w:rPr>
      </w:pPr>
      <w:r>
        <w:rPr>
          <w:rFonts w:hint="eastAsia" w:ascii="宋体" w:hAnsi="宋体"/>
          <w:szCs w:val="21"/>
        </w:rPr>
        <w:t>护理员素质</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服从护士长安排</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工作时无脱岗、串岗、闲谈现象</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态度热情,服务周到</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工作服穿戴整齐</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病人及家属对护理满意无投诉</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尊重病人,耐心解释</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保护病人隐私</w:t>
      </w:r>
    </w:p>
    <w:p>
      <w:pPr>
        <w:numPr>
          <w:ilvl w:val="0"/>
          <w:numId w:val="3"/>
        </w:numPr>
        <w:tabs>
          <w:tab w:val="left" w:pos="360"/>
          <w:tab w:val="left" w:pos="549"/>
        </w:tabs>
        <w:spacing w:line="440" w:lineRule="exact"/>
        <w:ind w:firstLine="420" w:firstLineChars="200"/>
        <w:rPr>
          <w:rFonts w:ascii="宋体" w:hAnsi="宋体"/>
          <w:szCs w:val="21"/>
        </w:rPr>
      </w:pPr>
      <w:r>
        <w:rPr>
          <w:rFonts w:hint="eastAsia" w:ascii="宋体" w:hAnsi="宋体"/>
          <w:szCs w:val="21"/>
        </w:rPr>
        <w:t>院内感染符合要求</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了解院内感染的一些基本知识，按垃圾分类要求，正确投放各类垃圾包括医用垃圾。</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护理病人前后要洗手, 护理不同的病人前后要洗手</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协助病人三餐前擦手</w:t>
      </w:r>
    </w:p>
    <w:p>
      <w:pPr>
        <w:numPr>
          <w:ilvl w:val="0"/>
          <w:numId w:val="3"/>
        </w:numPr>
        <w:tabs>
          <w:tab w:val="left" w:pos="360"/>
          <w:tab w:val="left" w:pos="549"/>
        </w:tabs>
        <w:spacing w:line="440" w:lineRule="exact"/>
        <w:ind w:firstLine="420" w:firstLineChars="200"/>
        <w:rPr>
          <w:rFonts w:ascii="宋体" w:hAnsi="宋体"/>
          <w:szCs w:val="21"/>
        </w:rPr>
      </w:pPr>
      <w:r>
        <w:rPr>
          <w:rFonts w:hint="eastAsia" w:ascii="宋体" w:hAnsi="宋体"/>
          <w:szCs w:val="21"/>
        </w:rPr>
        <w:t>病房环境清洁整齐</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室内物品：床、床头桌清洁，物品摆放整齐</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脸盆、便器不落地</w:t>
      </w:r>
    </w:p>
    <w:p>
      <w:pPr>
        <w:numPr>
          <w:ilvl w:val="0"/>
          <w:numId w:val="3"/>
        </w:numPr>
        <w:tabs>
          <w:tab w:val="left" w:pos="360"/>
          <w:tab w:val="left" w:pos="549"/>
        </w:tabs>
        <w:spacing w:line="440" w:lineRule="exact"/>
        <w:ind w:firstLine="420" w:firstLineChars="200"/>
        <w:rPr>
          <w:rFonts w:ascii="宋体" w:hAnsi="宋体"/>
          <w:szCs w:val="21"/>
        </w:rPr>
      </w:pPr>
      <w:r>
        <w:rPr>
          <w:rFonts w:hint="eastAsia" w:ascii="宋体" w:hAnsi="宋体"/>
          <w:szCs w:val="21"/>
        </w:rPr>
        <w:t>病人生活护理符合要求</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协助入厕、洗漱、饮食等生活照料</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指(趾)甲、胡须短</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头发清洁</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送饭送水到床头</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能协助及时收集标本</w:t>
      </w:r>
    </w:p>
    <w:p>
      <w:pPr>
        <w:numPr>
          <w:ilvl w:val="1"/>
          <w:numId w:val="3"/>
        </w:numPr>
        <w:tabs>
          <w:tab w:val="left" w:pos="780"/>
        </w:tabs>
        <w:spacing w:line="440" w:lineRule="exact"/>
        <w:ind w:firstLine="420" w:firstLineChars="200"/>
        <w:rPr>
          <w:rFonts w:ascii="宋体" w:hAnsi="宋体"/>
          <w:szCs w:val="21"/>
        </w:rPr>
      </w:pPr>
      <w:r>
        <w:rPr>
          <w:rFonts w:hint="eastAsia" w:ascii="宋体" w:hAnsi="宋体"/>
          <w:szCs w:val="21"/>
        </w:rPr>
        <w:t>及时解决病人生活需要，处理大小便、呕吐物污染的脏被服等。</w:t>
      </w:r>
    </w:p>
    <w:p>
      <w:pPr>
        <w:spacing w:line="440" w:lineRule="exact"/>
        <w:ind w:firstLine="945" w:firstLineChars="450"/>
        <w:rPr>
          <w:rFonts w:ascii="宋体" w:hAnsi="宋体"/>
          <w:szCs w:val="21"/>
        </w:rPr>
      </w:pPr>
      <w:r>
        <w:rPr>
          <w:rFonts w:hint="eastAsia" w:ascii="宋体" w:hAnsi="宋体"/>
          <w:szCs w:val="21"/>
        </w:rPr>
        <w:t>5、优质病区护理员服务质量考核细则</w:t>
      </w:r>
    </w:p>
    <w:p>
      <w:pPr>
        <w:spacing w:line="44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val="zh-CN"/>
        </w:rPr>
        <w:t>①</w:t>
      </w:r>
      <w:r>
        <w:rPr>
          <w:rFonts w:ascii="宋体" w:hAnsi="宋体"/>
          <w:szCs w:val="21"/>
        </w:rPr>
        <w:fldChar w:fldCharType="end"/>
      </w:r>
      <w:r>
        <w:rPr>
          <w:rFonts w:hint="eastAsia" w:ascii="宋体" w:hAnsi="宋体"/>
          <w:szCs w:val="21"/>
        </w:rPr>
        <w:t>服务质量的考核：以满分100分计算，如护理员服务质量考核分均达到95分及以上，每月服务费按合同每月的100%全额支付。低于95分时每下降1分扣月服务费100元，并提出限期整改意见。采购人每月以书面形式向中标人提供考核结果，并要求中标人限时整改，中标人应及时向采购人书面反馈整改措施及效果，当月反馈问题下月仍未做整改的，每项问题扣罚服务费500元。如发生重大纠纷或由***出面调解的事件，每发生一起，扣服务费1000元，并开除当事人。对医院造成不良影响的，承担造成医院损失的全额费用。</w:t>
      </w:r>
    </w:p>
    <w:p>
      <w:pPr>
        <w:spacing w:line="440" w:lineRule="exact"/>
        <w:ind w:firstLine="420" w:firstLineChars="200"/>
        <w:rPr>
          <w:rFonts w:ascii="宋体" w:hAnsi="宋体"/>
          <w:szCs w:val="21"/>
        </w:rPr>
      </w:pPr>
      <w:r>
        <w:rPr>
          <w:rFonts w:hint="eastAsia" w:ascii="宋体" w:hAnsi="宋体"/>
          <w:szCs w:val="21"/>
        </w:rPr>
        <w:t>②对中标人的奖励：根据奖励细则，按点计算；中标人每月书面提供具体奖励事项给采购人，采购人核实后予以奖励，每点奖励100元。</w:t>
      </w:r>
    </w:p>
    <w:p>
      <w:pPr>
        <w:spacing w:line="440" w:lineRule="exact"/>
        <w:ind w:firstLine="420" w:firstLineChars="200"/>
        <w:rPr>
          <w:rFonts w:ascii="宋体" w:hAnsi="宋体"/>
          <w:szCs w:val="21"/>
        </w:rPr>
      </w:pPr>
      <w:r>
        <w:rPr>
          <w:rFonts w:hint="eastAsia" w:ascii="宋体" w:hAnsi="宋体"/>
          <w:szCs w:val="21"/>
        </w:rPr>
        <w:t>③考核时间在每月月底进行，在月度服务费金额中兑现。</w:t>
      </w:r>
    </w:p>
    <w:p>
      <w:pPr>
        <w:spacing w:line="440" w:lineRule="exact"/>
        <w:ind w:firstLine="422" w:firstLineChars="200"/>
        <w:rPr>
          <w:rFonts w:hint="eastAsia" w:ascii="宋体" w:hAnsi="宋体"/>
          <w:b/>
          <w:szCs w:val="21"/>
        </w:rPr>
      </w:pPr>
      <w:r>
        <w:rPr>
          <w:rFonts w:hint="eastAsia" w:ascii="宋体" w:hAnsi="宋体"/>
          <w:b/>
          <w:szCs w:val="21"/>
        </w:rPr>
        <w:t>附：考核细则</w:t>
      </w:r>
    </w:p>
    <w:p>
      <w:pPr>
        <w:spacing w:line="360" w:lineRule="auto"/>
        <w:ind w:firstLine="643" w:firstLineChars="200"/>
        <w:jc w:val="center"/>
        <w:rPr>
          <w:rFonts w:ascii="宋体" w:hAnsi="宋体"/>
          <w:b/>
          <w:sz w:val="32"/>
          <w:szCs w:val="32"/>
        </w:rPr>
      </w:pPr>
      <w:r>
        <w:rPr>
          <w:rFonts w:hint="eastAsia" w:ascii="宋体" w:hAnsi="宋体"/>
          <w:b/>
          <w:sz w:val="32"/>
          <w:szCs w:val="32"/>
        </w:rPr>
        <w:t>优质病区护理员服务质量考核细则</w:t>
      </w:r>
    </w:p>
    <w:tbl>
      <w:tblPr>
        <w:tblStyle w:val="45"/>
        <w:tblW w:w="100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651"/>
        <w:gridCol w:w="5302"/>
        <w:gridCol w:w="2268"/>
        <w:gridCol w:w="8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1020" w:type="dxa"/>
            <w:noWrap w:val="0"/>
            <w:vAlign w:val="center"/>
          </w:tcPr>
          <w:p>
            <w:pPr>
              <w:spacing w:line="220" w:lineRule="exact"/>
              <w:rPr>
                <w:rFonts w:ascii="宋体" w:hAnsi="宋体" w:cs="宋体"/>
                <w:szCs w:val="21"/>
              </w:rPr>
            </w:pPr>
            <w:r>
              <w:rPr>
                <w:rFonts w:hint="eastAsia" w:ascii="宋体" w:hAnsi="宋体" w:cs="宋体"/>
                <w:szCs w:val="21"/>
              </w:rPr>
              <w:t>内容</w:t>
            </w:r>
          </w:p>
        </w:tc>
        <w:tc>
          <w:tcPr>
            <w:tcW w:w="651" w:type="dxa"/>
            <w:noWrap w:val="0"/>
            <w:vAlign w:val="center"/>
          </w:tcPr>
          <w:p>
            <w:pPr>
              <w:spacing w:line="220" w:lineRule="exact"/>
              <w:rPr>
                <w:rFonts w:ascii="宋体" w:hAnsi="宋体" w:cs="宋体"/>
                <w:szCs w:val="21"/>
              </w:rPr>
            </w:pPr>
            <w:r>
              <w:rPr>
                <w:rFonts w:hint="eastAsia" w:ascii="宋体" w:hAnsi="宋体" w:cs="宋体"/>
                <w:szCs w:val="21"/>
              </w:rPr>
              <w:t>分值</w:t>
            </w:r>
          </w:p>
        </w:tc>
        <w:tc>
          <w:tcPr>
            <w:tcW w:w="5302" w:type="dxa"/>
            <w:noWrap w:val="0"/>
            <w:vAlign w:val="center"/>
          </w:tcPr>
          <w:p>
            <w:pPr>
              <w:spacing w:line="220" w:lineRule="exact"/>
              <w:ind w:firstLine="422" w:firstLineChars="200"/>
              <w:jc w:val="center"/>
              <w:rPr>
                <w:rFonts w:ascii="宋体" w:hAnsi="宋体" w:cs="宋体"/>
                <w:b/>
                <w:bCs/>
                <w:szCs w:val="21"/>
              </w:rPr>
            </w:pPr>
            <w:r>
              <w:rPr>
                <w:rFonts w:hint="eastAsia" w:ascii="宋体" w:hAnsi="宋体" w:cs="宋体"/>
                <w:b/>
                <w:bCs/>
                <w:szCs w:val="21"/>
              </w:rPr>
              <w:t>检查要求</w:t>
            </w:r>
          </w:p>
        </w:tc>
        <w:tc>
          <w:tcPr>
            <w:tcW w:w="2268" w:type="dxa"/>
            <w:noWrap w:val="0"/>
            <w:vAlign w:val="center"/>
          </w:tcPr>
          <w:p>
            <w:pPr>
              <w:spacing w:line="220" w:lineRule="exact"/>
              <w:ind w:firstLine="422" w:firstLineChars="200"/>
              <w:jc w:val="center"/>
              <w:rPr>
                <w:rFonts w:ascii="宋体" w:hAnsi="宋体" w:cs="宋体"/>
                <w:b/>
                <w:bCs/>
                <w:szCs w:val="21"/>
              </w:rPr>
            </w:pPr>
            <w:r>
              <w:rPr>
                <w:rFonts w:hint="eastAsia" w:ascii="宋体" w:hAnsi="宋体" w:cs="宋体"/>
                <w:b/>
                <w:bCs/>
                <w:szCs w:val="21"/>
              </w:rPr>
              <w:t>扣分标准</w:t>
            </w:r>
          </w:p>
        </w:tc>
        <w:tc>
          <w:tcPr>
            <w:tcW w:w="851" w:type="dxa"/>
            <w:noWrap w:val="0"/>
            <w:vAlign w:val="center"/>
          </w:tcPr>
          <w:p>
            <w:pPr>
              <w:spacing w:line="220" w:lineRule="exact"/>
              <w:rPr>
                <w:rFonts w:ascii="宋体" w:hAnsi="宋体" w:cs="宋体"/>
                <w:b/>
                <w:bCs/>
                <w:sz w:val="20"/>
              </w:rPr>
            </w:pPr>
            <w:r>
              <w:rPr>
                <w:rFonts w:hint="eastAsia" w:ascii="宋体" w:hAnsi="宋体" w:cs="宋体"/>
                <w:b/>
                <w:bCs/>
                <w:sz w:val="20"/>
              </w:rPr>
              <w:t>扣 分 情 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医患满意度考核</w:t>
            </w:r>
          </w:p>
          <w:p>
            <w:pPr>
              <w:spacing w:line="220" w:lineRule="exact"/>
              <w:rPr>
                <w:rFonts w:ascii="宋体" w:hAnsi="宋体" w:cs="宋体"/>
                <w:szCs w:val="21"/>
              </w:rPr>
            </w:pPr>
            <w:r>
              <w:rPr>
                <w:rFonts w:hint="eastAsia" w:ascii="宋体" w:hAnsi="宋体" w:cs="宋体"/>
                <w:szCs w:val="21"/>
              </w:rPr>
              <w:t>（26分）</w:t>
            </w: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ind w:firstLine="420" w:firstLineChars="200"/>
              <w:rPr>
                <w:rFonts w:ascii="宋体" w:hAnsi="宋体" w:cs="宋体"/>
                <w:szCs w:val="21"/>
              </w:rPr>
            </w:pPr>
            <w:r>
              <w:rPr>
                <w:rFonts w:hint="eastAsia" w:ascii="宋体" w:hAnsi="宋体" w:cs="宋体"/>
                <w:szCs w:val="21"/>
              </w:rPr>
              <w:t>患者满意度＞95%</w:t>
            </w:r>
          </w:p>
        </w:tc>
        <w:tc>
          <w:tcPr>
            <w:tcW w:w="2268" w:type="dxa"/>
            <w:noWrap w:val="0"/>
            <w:vAlign w:val="center"/>
          </w:tcPr>
          <w:p>
            <w:pPr>
              <w:spacing w:line="220" w:lineRule="exact"/>
              <w:ind w:firstLine="420" w:firstLineChars="200"/>
              <w:rPr>
                <w:rFonts w:ascii="宋体" w:hAnsi="宋体" w:cs="宋体"/>
                <w:szCs w:val="21"/>
              </w:rPr>
            </w:pPr>
            <w:r>
              <w:rPr>
                <w:rFonts w:hint="eastAsia" w:ascii="宋体" w:hAnsi="宋体" w:cs="宋体"/>
                <w:szCs w:val="21"/>
              </w:rPr>
              <w:t>每下降1%扣1分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3</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不与家属谈论与病人病情、治疗相关话题，上班时间不得对病人提供有偿服务，严禁向病人索要、收受礼物及小费，对医生、护士、病人遗忘的物品发现后须及时上交或归还失主</w:t>
            </w:r>
          </w:p>
        </w:tc>
        <w:tc>
          <w:tcPr>
            <w:tcW w:w="2268" w:type="dxa"/>
            <w:noWrap w:val="0"/>
            <w:vAlign w:val="center"/>
          </w:tcPr>
          <w:p>
            <w:pPr>
              <w:spacing w:line="220" w:lineRule="exact"/>
              <w:ind w:firstLine="420" w:firstLineChars="200"/>
              <w:jc w:val="both"/>
              <w:rPr>
                <w:rFonts w:ascii="宋体" w:hAnsi="宋体" w:cs="宋体"/>
                <w:szCs w:val="21"/>
              </w:rPr>
            </w:pPr>
            <w:r>
              <w:rPr>
                <w:rFonts w:hint="eastAsia" w:ascii="宋体" w:hAnsi="宋体" w:cs="宋体"/>
                <w:szCs w:val="21"/>
              </w:rPr>
              <w:t>一处不符合扣2分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9</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不得与患者、家属、医生、护士及员工之间吵架</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经查实存在问题扣9分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被患者、家属、医生、护士投诉</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经查实存在问题扣5分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因私事需离开工作环境时需事先告知并获护士长批准</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患者、家属、医生、护士有事呼唤需有应声</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护工素质考核（27分）</w:t>
            </w: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服从医生、护士工作安排</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无故不服从-5分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4</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按时上下班，不迟到不早退，工作时无脱岗、串岗、闲谈现象</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尊重、关心病人，态度温和，不得生、冷、硬</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4</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工作服穿戴整齐，着装符合要求，挂牌上岗</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所有员工必须严格遵守医院的各项规章制度,对各种纸箱、塑料瓶等各类回收物品,按院方规定进行处理,不得私自出卖或各处存放。</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发现一次不符扣1分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护理病人注意安全，服务周到，不得有意外损伤</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一处不符合扣5分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3</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爱护公共财物，按操作规定使用</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视情节扣分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主管每日两次巡视病房，加强管理与沟通</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发现一次不符扣1分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院内感染</w:t>
            </w:r>
          </w:p>
          <w:p>
            <w:pPr>
              <w:spacing w:line="220" w:lineRule="exact"/>
              <w:rPr>
                <w:rFonts w:ascii="宋体" w:hAnsi="宋体" w:cs="宋体"/>
                <w:szCs w:val="21"/>
              </w:rPr>
            </w:pPr>
            <w:r>
              <w:rPr>
                <w:rFonts w:hint="eastAsia" w:ascii="宋体" w:hAnsi="宋体" w:cs="宋体"/>
                <w:szCs w:val="21"/>
              </w:rPr>
              <w:t>（8分）</w:t>
            </w: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szCs w:val="21"/>
              </w:rPr>
              <w:t>接触患者、新生儿前后洗手或用快速手消毒液</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一处不符合扣0.5分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szCs w:val="21"/>
              </w:rPr>
              <w:t>接触患者体液、血液等戴好手套</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一处不符合扣0.5分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szCs w:val="21"/>
              </w:rPr>
              <w:t>了解院内感染的一些基本知识</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污被单、床套、衣物等不得放置地面</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病房环境</w:t>
            </w:r>
          </w:p>
          <w:p>
            <w:pPr>
              <w:spacing w:line="220" w:lineRule="exact"/>
              <w:rPr>
                <w:rFonts w:ascii="宋体" w:hAnsi="宋体" w:cs="宋体"/>
                <w:szCs w:val="21"/>
              </w:rPr>
            </w:pPr>
            <w:r>
              <w:rPr>
                <w:rFonts w:hint="eastAsia" w:ascii="宋体" w:hAnsi="宋体" w:cs="宋体"/>
                <w:szCs w:val="21"/>
              </w:rPr>
              <w:t>（15分）</w:t>
            </w: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床、床头桌、使用中仪器等清洁，擦拭频率符合要求</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病室一日两次通风，时间合理</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各室保持清洁、整洁</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及时消毒使用后仪器，不得无故堆积</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物品按要求摆放，位置正确</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保持病房环境安静，不得喧哗</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视情节扣分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病人护理</w:t>
            </w:r>
          </w:p>
          <w:p>
            <w:pPr>
              <w:spacing w:line="220" w:lineRule="exact"/>
              <w:rPr>
                <w:rFonts w:ascii="宋体" w:hAnsi="宋体" w:cs="宋体"/>
                <w:color w:val="FF0000"/>
                <w:szCs w:val="21"/>
              </w:rPr>
            </w:pPr>
            <w:r>
              <w:rPr>
                <w:rFonts w:hint="eastAsia" w:ascii="宋体" w:hAnsi="宋体" w:cs="宋体"/>
                <w:szCs w:val="21"/>
              </w:rPr>
              <w:t>（12分）</w:t>
            </w: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按需为病人擦身、洗脸</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按需替病人更衣、更换床单</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主动为有需要的病人服务，满足病人的合理需求</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3"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按需为病人洗头</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病人全身皮肤清洁无异味</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一人不符扣0.5分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 w:hRule="atLeast"/>
          <w:jc w:val="center"/>
        </w:trPr>
        <w:tc>
          <w:tcPr>
            <w:tcW w:w="1020" w:type="dxa"/>
            <w:vMerge w:val="continue"/>
            <w:noWrap w:val="0"/>
            <w:vAlign w:val="center"/>
          </w:tcPr>
          <w:p>
            <w:pPr>
              <w:spacing w:line="220" w:lineRule="exact"/>
              <w:ind w:firstLine="420" w:firstLineChars="200"/>
              <w:jc w:val="center"/>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指、趾甲、胡须短</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一人不符扣0.5分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物资保管</w:t>
            </w:r>
          </w:p>
          <w:p>
            <w:pPr>
              <w:spacing w:line="220" w:lineRule="exact"/>
              <w:rPr>
                <w:rFonts w:ascii="宋体" w:hAnsi="宋体" w:cs="宋体"/>
                <w:szCs w:val="21"/>
              </w:rPr>
            </w:pPr>
            <w:r>
              <w:rPr>
                <w:rFonts w:hint="eastAsia" w:ascii="宋体" w:hAnsi="宋体" w:cs="宋体"/>
                <w:szCs w:val="21"/>
              </w:rPr>
              <w:t>（12分）</w:t>
            </w: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2</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按科室要求每日清点物品并做好记录</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1020" w:type="dxa"/>
            <w:vMerge w:val="continue"/>
            <w:noWrap w:val="0"/>
            <w:vAlign w:val="center"/>
          </w:tcPr>
          <w:p>
            <w:pPr>
              <w:spacing w:line="220" w:lineRule="exact"/>
              <w:ind w:firstLine="420" w:firstLineChars="200"/>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保管物品如有数量不符及时追查原因并汇报护士长</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一处不符扣1分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1020" w:type="dxa"/>
            <w:vMerge w:val="continue"/>
            <w:noWrap w:val="0"/>
            <w:vAlign w:val="center"/>
          </w:tcPr>
          <w:p>
            <w:pPr>
              <w:spacing w:line="220" w:lineRule="exact"/>
              <w:ind w:firstLine="420" w:firstLineChars="200"/>
              <w:rPr>
                <w:rFonts w:ascii="宋体" w:hAnsi="宋体" w:cs="宋体"/>
                <w:szCs w:val="21"/>
              </w:rPr>
            </w:pPr>
          </w:p>
        </w:tc>
        <w:tc>
          <w:tcPr>
            <w:tcW w:w="651" w:type="dxa"/>
            <w:noWrap w:val="0"/>
            <w:vAlign w:val="center"/>
          </w:tcPr>
          <w:p>
            <w:pPr>
              <w:spacing w:line="220" w:lineRule="exact"/>
              <w:ind w:firstLine="420" w:firstLineChars="200"/>
              <w:jc w:val="center"/>
              <w:rPr>
                <w:rFonts w:ascii="宋体" w:hAnsi="宋体" w:cs="宋体"/>
                <w:szCs w:val="21"/>
              </w:rPr>
            </w:pPr>
            <w:r>
              <w:rPr>
                <w:rFonts w:hint="eastAsia" w:ascii="宋体" w:hAnsi="宋体" w:cs="宋体"/>
                <w:szCs w:val="21"/>
              </w:rPr>
              <w:t>5</w:t>
            </w:r>
          </w:p>
        </w:tc>
        <w:tc>
          <w:tcPr>
            <w:tcW w:w="5302" w:type="dxa"/>
            <w:noWrap w:val="0"/>
            <w:vAlign w:val="center"/>
          </w:tcPr>
          <w:p>
            <w:pPr>
              <w:spacing w:line="220" w:lineRule="exact"/>
              <w:rPr>
                <w:rFonts w:ascii="宋体" w:hAnsi="宋体" w:cs="宋体"/>
                <w:szCs w:val="21"/>
              </w:rPr>
            </w:pPr>
            <w:r>
              <w:rPr>
                <w:rFonts w:hint="eastAsia" w:ascii="宋体" w:hAnsi="宋体" w:cs="宋体"/>
                <w:szCs w:val="21"/>
              </w:rPr>
              <w:t>合理使用物资，不浪费，不偷窃</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一处不符扣5分</w:t>
            </w:r>
          </w:p>
        </w:tc>
        <w:tc>
          <w:tcPr>
            <w:tcW w:w="851" w:type="dxa"/>
            <w:noWrap w:val="0"/>
            <w:vAlign w:val="center"/>
          </w:tcPr>
          <w:p>
            <w:pPr>
              <w:spacing w:line="220" w:lineRule="exact"/>
              <w:ind w:firstLine="400" w:firstLineChars="200"/>
              <w:rPr>
                <w:rFonts w:ascii="宋体" w:hAnsi="宋体" w:cs="宋体"/>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8" w:hRule="atLeast"/>
          <w:jc w:val="center"/>
        </w:trPr>
        <w:tc>
          <w:tcPr>
            <w:tcW w:w="10092" w:type="dxa"/>
            <w:gridSpan w:val="5"/>
            <w:noWrap w:val="0"/>
            <w:vAlign w:val="center"/>
          </w:tcPr>
          <w:p>
            <w:pPr>
              <w:spacing w:line="260" w:lineRule="exact"/>
              <w:ind w:firstLine="422" w:firstLineChars="200"/>
              <w:rPr>
                <w:rFonts w:ascii="宋体" w:hAnsi="宋体" w:cs="宋体"/>
                <w:szCs w:val="21"/>
              </w:rPr>
            </w:pPr>
            <w:r>
              <w:rPr>
                <w:rFonts w:hint="eastAsia" w:ascii="宋体" w:hAnsi="宋体" w:cs="宋体"/>
                <w:b/>
                <w:bCs/>
                <w:szCs w:val="21"/>
              </w:rPr>
              <w:t>考核实际得分：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020" w:type="dxa"/>
            <w:vMerge w:val="restart"/>
            <w:noWrap w:val="0"/>
            <w:vAlign w:val="center"/>
          </w:tcPr>
          <w:p>
            <w:pPr>
              <w:spacing w:line="220" w:lineRule="exact"/>
              <w:rPr>
                <w:rFonts w:ascii="宋体" w:hAnsi="宋体" w:cs="宋体"/>
                <w:szCs w:val="21"/>
              </w:rPr>
            </w:pPr>
            <w:r>
              <w:rPr>
                <w:rFonts w:hint="eastAsia" w:ascii="宋体" w:hAnsi="宋体" w:cs="宋体"/>
                <w:szCs w:val="21"/>
              </w:rPr>
              <w:t>奖励</w:t>
            </w:r>
          </w:p>
        </w:tc>
        <w:tc>
          <w:tcPr>
            <w:tcW w:w="5953" w:type="dxa"/>
            <w:gridSpan w:val="2"/>
            <w:noWrap w:val="0"/>
            <w:vAlign w:val="center"/>
          </w:tcPr>
          <w:p>
            <w:pPr>
              <w:spacing w:line="220" w:lineRule="exact"/>
              <w:ind w:firstLine="420" w:firstLineChars="200"/>
              <w:rPr>
                <w:rFonts w:ascii="宋体" w:hAnsi="宋体" w:cs="宋体"/>
                <w:szCs w:val="21"/>
              </w:rPr>
            </w:pPr>
            <w:r>
              <w:rPr>
                <w:rFonts w:hint="eastAsia" w:ascii="宋体" w:hAnsi="宋体" w:cs="宋体"/>
                <w:szCs w:val="21"/>
              </w:rPr>
              <w:t>1、受到患者、医务人员表扬（医院收到表扬信、锦旗或得到医务人员表扬）</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经核实奖1点/次</w:t>
            </w:r>
          </w:p>
        </w:tc>
        <w:tc>
          <w:tcPr>
            <w:tcW w:w="851" w:type="dxa"/>
            <w:noWrap w:val="0"/>
            <w:vAlign w:val="center"/>
          </w:tcPr>
          <w:p>
            <w:pPr>
              <w:spacing w:line="220" w:lineRule="exact"/>
              <w:ind w:firstLine="562" w:firstLineChars="200"/>
              <w:jc w:val="center"/>
              <w:rPr>
                <w:rFonts w:ascii="宋体" w:hAnsi="宋体" w:cs="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020" w:type="dxa"/>
            <w:vMerge w:val="continue"/>
            <w:noWrap w:val="0"/>
            <w:vAlign w:val="center"/>
          </w:tcPr>
          <w:p>
            <w:pPr>
              <w:spacing w:line="220" w:lineRule="exact"/>
              <w:ind w:firstLine="420" w:firstLineChars="200"/>
              <w:rPr>
                <w:rFonts w:ascii="宋体" w:hAnsi="宋体" w:cs="宋体"/>
                <w:szCs w:val="21"/>
              </w:rPr>
            </w:pPr>
          </w:p>
        </w:tc>
        <w:tc>
          <w:tcPr>
            <w:tcW w:w="5953" w:type="dxa"/>
            <w:gridSpan w:val="2"/>
            <w:noWrap w:val="0"/>
            <w:vAlign w:val="center"/>
          </w:tcPr>
          <w:p>
            <w:pPr>
              <w:spacing w:line="220" w:lineRule="exact"/>
              <w:ind w:firstLine="420" w:firstLineChars="200"/>
              <w:rPr>
                <w:rFonts w:ascii="宋体" w:hAnsi="宋体" w:cs="宋体"/>
                <w:szCs w:val="21"/>
              </w:rPr>
            </w:pPr>
            <w:r>
              <w:rPr>
                <w:rFonts w:hint="eastAsia" w:ascii="宋体" w:hAnsi="宋体" w:cs="宋体"/>
                <w:szCs w:val="21"/>
              </w:rPr>
              <w:t>2、配合医院完成上级各项检查任务和各项应急工作，并取得显著成绩的（获奖等）</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奖1-5点/次</w:t>
            </w:r>
          </w:p>
        </w:tc>
        <w:tc>
          <w:tcPr>
            <w:tcW w:w="851" w:type="dxa"/>
            <w:noWrap w:val="0"/>
            <w:vAlign w:val="center"/>
          </w:tcPr>
          <w:p>
            <w:pPr>
              <w:spacing w:line="220" w:lineRule="exact"/>
              <w:ind w:firstLine="562" w:firstLineChars="200"/>
              <w:jc w:val="center"/>
              <w:rPr>
                <w:rFonts w:ascii="宋体" w:hAnsi="宋体" w:cs="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7" w:hRule="atLeast"/>
          <w:jc w:val="center"/>
        </w:trPr>
        <w:tc>
          <w:tcPr>
            <w:tcW w:w="1020" w:type="dxa"/>
            <w:vMerge w:val="continue"/>
            <w:noWrap w:val="0"/>
            <w:vAlign w:val="center"/>
          </w:tcPr>
          <w:p>
            <w:pPr>
              <w:spacing w:line="220" w:lineRule="exact"/>
              <w:ind w:firstLine="420" w:firstLineChars="200"/>
              <w:rPr>
                <w:rFonts w:ascii="宋体" w:hAnsi="宋体" w:cs="宋体"/>
                <w:szCs w:val="21"/>
              </w:rPr>
            </w:pPr>
          </w:p>
        </w:tc>
        <w:tc>
          <w:tcPr>
            <w:tcW w:w="5953" w:type="dxa"/>
            <w:gridSpan w:val="2"/>
            <w:noWrap w:val="0"/>
            <w:vAlign w:val="center"/>
          </w:tcPr>
          <w:p>
            <w:pPr>
              <w:spacing w:line="220" w:lineRule="exact"/>
              <w:ind w:firstLine="420" w:firstLineChars="200"/>
              <w:rPr>
                <w:rFonts w:ascii="宋体" w:hAnsi="宋体" w:cs="宋体"/>
                <w:szCs w:val="21"/>
              </w:rPr>
            </w:pPr>
            <w:r>
              <w:rPr>
                <w:rFonts w:hint="eastAsia" w:ascii="宋体" w:hAnsi="宋体" w:cs="宋体"/>
                <w:szCs w:val="21"/>
              </w:rPr>
              <w:t>3、提出合理化建议或排除隐患，使医院免受重大损失的</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奖1-5点/次</w:t>
            </w:r>
          </w:p>
        </w:tc>
        <w:tc>
          <w:tcPr>
            <w:tcW w:w="851" w:type="dxa"/>
            <w:noWrap w:val="0"/>
            <w:vAlign w:val="center"/>
          </w:tcPr>
          <w:p>
            <w:pPr>
              <w:spacing w:line="220" w:lineRule="exact"/>
              <w:ind w:firstLine="562" w:firstLineChars="200"/>
              <w:jc w:val="center"/>
              <w:rPr>
                <w:rFonts w:ascii="宋体" w:hAnsi="宋体" w:cs="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1020" w:type="dxa"/>
            <w:vMerge w:val="continue"/>
            <w:noWrap w:val="0"/>
            <w:vAlign w:val="center"/>
          </w:tcPr>
          <w:p>
            <w:pPr>
              <w:spacing w:line="220" w:lineRule="exact"/>
              <w:ind w:firstLine="420" w:firstLineChars="200"/>
              <w:rPr>
                <w:rFonts w:ascii="宋体" w:hAnsi="宋体" w:cs="宋体"/>
                <w:szCs w:val="21"/>
              </w:rPr>
            </w:pPr>
          </w:p>
        </w:tc>
        <w:tc>
          <w:tcPr>
            <w:tcW w:w="5953" w:type="dxa"/>
            <w:gridSpan w:val="2"/>
            <w:noWrap w:val="0"/>
            <w:vAlign w:val="center"/>
          </w:tcPr>
          <w:p>
            <w:pPr>
              <w:spacing w:line="220" w:lineRule="exact"/>
              <w:ind w:firstLine="420" w:firstLineChars="200"/>
              <w:rPr>
                <w:rFonts w:ascii="宋体" w:hAnsi="宋体" w:cs="宋体"/>
                <w:szCs w:val="21"/>
              </w:rPr>
            </w:pPr>
            <w:r>
              <w:rPr>
                <w:rFonts w:hint="eastAsia" w:ascii="宋体" w:hAnsi="宋体" w:cs="宋体"/>
                <w:szCs w:val="21"/>
              </w:rPr>
              <w:t>4、拾到钱包、手机等有价物品并上交（必须有照片）</w:t>
            </w:r>
          </w:p>
        </w:tc>
        <w:tc>
          <w:tcPr>
            <w:tcW w:w="2268" w:type="dxa"/>
            <w:noWrap w:val="0"/>
            <w:vAlign w:val="center"/>
          </w:tcPr>
          <w:p>
            <w:pPr>
              <w:spacing w:line="220" w:lineRule="exact"/>
              <w:rPr>
                <w:rFonts w:ascii="宋体" w:hAnsi="宋体" w:cs="宋体"/>
                <w:szCs w:val="21"/>
              </w:rPr>
            </w:pPr>
            <w:r>
              <w:rPr>
                <w:rFonts w:hint="eastAsia" w:ascii="宋体" w:hAnsi="宋体" w:cs="宋体"/>
                <w:szCs w:val="21"/>
              </w:rPr>
              <w:t>每起奖励1点</w:t>
            </w:r>
          </w:p>
        </w:tc>
        <w:tc>
          <w:tcPr>
            <w:tcW w:w="851" w:type="dxa"/>
            <w:noWrap w:val="0"/>
            <w:vAlign w:val="center"/>
          </w:tcPr>
          <w:p>
            <w:pPr>
              <w:spacing w:line="220" w:lineRule="exact"/>
              <w:ind w:firstLine="562" w:firstLineChars="200"/>
              <w:jc w:val="center"/>
              <w:rPr>
                <w:rFonts w:ascii="宋体" w:hAnsi="宋体" w:cs="宋体"/>
                <w:b/>
                <w:bCs/>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10092" w:type="dxa"/>
            <w:gridSpan w:val="5"/>
            <w:noWrap w:val="0"/>
            <w:vAlign w:val="center"/>
          </w:tcPr>
          <w:p>
            <w:pPr>
              <w:spacing w:line="220" w:lineRule="exact"/>
              <w:ind w:firstLine="422" w:firstLineChars="200"/>
              <w:rPr>
                <w:rFonts w:ascii="宋体" w:hAnsi="宋体" w:cs="宋体"/>
                <w:sz w:val="20"/>
              </w:rPr>
            </w:pPr>
            <w:r>
              <w:rPr>
                <w:rFonts w:hint="eastAsia" w:ascii="宋体" w:hAnsi="宋体" w:cs="宋体"/>
                <w:b/>
                <w:bCs/>
                <w:szCs w:val="21"/>
              </w:rPr>
              <w:t>合计奖励：</w:t>
            </w:r>
          </w:p>
        </w:tc>
      </w:tr>
    </w:tbl>
    <w:p>
      <w:pPr>
        <w:spacing w:line="360" w:lineRule="auto"/>
        <w:ind w:firstLine="422" w:firstLineChars="200"/>
        <w:jc w:val="center"/>
        <w:rPr>
          <w:rFonts w:hint="eastAsia" w:ascii="宋体" w:hAnsi="宋体"/>
          <w:b/>
          <w:szCs w:val="21"/>
        </w:rPr>
      </w:pPr>
    </w:p>
    <w:p>
      <w:pPr>
        <w:spacing w:line="360" w:lineRule="auto"/>
        <w:ind w:firstLine="422" w:firstLineChars="200"/>
        <w:jc w:val="center"/>
        <w:rPr>
          <w:rFonts w:ascii="宋体" w:hAnsi="宋体"/>
          <w:b/>
          <w:szCs w:val="21"/>
        </w:rPr>
      </w:pPr>
      <w:r>
        <w:rPr>
          <w:rFonts w:hint="eastAsia" w:ascii="宋体" w:hAnsi="宋体"/>
          <w:b/>
          <w:szCs w:val="21"/>
        </w:rPr>
        <w:t>病区护理员满意度调查表</w:t>
      </w:r>
    </w:p>
    <w:p>
      <w:pPr>
        <w:spacing w:line="380" w:lineRule="exact"/>
        <w:ind w:firstLine="420" w:firstLineChars="200"/>
        <w:rPr>
          <w:rFonts w:ascii="宋体" w:hAnsi="宋体"/>
          <w:szCs w:val="21"/>
        </w:rPr>
      </w:pPr>
      <w:r>
        <w:rPr>
          <w:rFonts w:hint="eastAsia" w:ascii="宋体" w:hAnsi="宋体"/>
          <w:szCs w:val="21"/>
        </w:rPr>
        <w:t>尊敬的病员及家属：</w:t>
      </w:r>
    </w:p>
    <w:p>
      <w:pPr>
        <w:spacing w:line="380" w:lineRule="exact"/>
        <w:ind w:firstLine="420" w:firstLineChars="200"/>
        <w:rPr>
          <w:rFonts w:ascii="宋体" w:hAnsi="宋体"/>
          <w:szCs w:val="21"/>
        </w:rPr>
      </w:pPr>
      <w:r>
        <w:rPr>
          <w:rFonts w:hint="eastAsia" w:ascii="宋体" w:hAnsi="宋体"/>
          <w:szCs w:val="21"/>
        </w:rPr>
        <w:t>您好！为了提高护理员的服务质量，请您对护理员的服务给予评价，并提出宝贵意见和建议！</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您对护理员的服务态度是否满意？</w:t>
      </w:r>
    </w:p>
    <w:p>
      <w:pPr>
        <w:tabs>
          <w:tab w:val="left" w:pos="0"/>
        </w:tabs>
        <w:spacing w:line="380" w:lineRule="exact"/>
        <w:ind w:firstLine="420" w:firstLineChars="200"/>
        <w:rPr>
          <w:rFonts w:ascii="宋体" w:hAnsi="宋体"/>
          <w:szCs w:val="21"/>
        </w:rPr>
      </w:pPr>
      <w:r>
        <w:rPr>
          <w:rFonts w:hint="eastAsia" w:ascii="宋体" w:hAnsi="宋体"/>
          <w:szCs w:val="21"/>
        </w:rPr>
        <w:t>非常满意（ ）   满意（  ）   基本满意（  ）   不满意（  ）</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您提出问题时，护理员能否热情解答？</w:t>
      </w:r>
    </w:p>
    <w:p>
      <w:pPr>
        <w:tabs>
          <w:tab w:val="left" w:pos="0"/>
        </w:tabs>
        <w:spacing w:line="380" w:lineRule="exact"/>
        <w:ind w:firstLine="420" w:firstLineChars="200"/>
        <w:rPr>
          <w:rFonts w:ascii="宋体" w:hAnsi="宋体"/>
          <w:szCs w:val="21"/>
        </w:rPr>
      </w:pPr>
      <w:r>
        <w:rPr>
          <w:rFonts w:hint="eastAsia" w:ascii="宋体" w:hAnsi="宋体"/>
          <w:szCs w:val="21"/>
        </w:rPr>
        <w:t>非常满意（ ）   满意（  ）   基本满意（  ）   不满意（  ）</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护理员上班着装是否符合规定（头发、工衣、胸牌、鞋子）？</w:t>
      </w:r>
    </w:p>
    <w:p>
      <w:pPr>
        <w:tabs>
          <w:tab w:val="left" w:pos="0"/>
        </w:tabs>
        <w:spacing w:line="380" w:lineRule="exact"/>
        <w:ind w:firstLine="420" w:firstLineChars="200"/>
        <w:rPr>
          <w:rFonts w:ascii="宋体" w:hAnsi="宋体"/>
          <w:szCs w:val="21"/>
        </w:rPr>
      </w:pPr>
      <w:r>
        <w:rPr>
          <w:rFonts w:hint="eastAsia" w:ascii="宋体" w:hAnsi="宋体"/>
          <w:szCs w:val="21"/>
        </w:rPr>
        <w:t>非常满意（ ）   满意（  ）   基本满意（  ）   不满意（  ）</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您对护理员的生活照顾技能是否满意？</w:t>
      </w:r>
    </w:p>
    <w:p>
      <w:pPr>
        <w:tabs>
          <w:tab w:val="left" w:pos="0"/>
        </w:tabs>
        <w:spacing w:line="380" w:lineRule="exact"/>
        <w:ind w:firstLine="420" w:firstLineChars="200"/>
        <w:rPr>
          <w:rFonts w:ascii="宋体" w:hAnsi="宋体"/>
          <w:szCs w:val="21"/>
        </w:rPr>
      </w:pPr>
      <w:r>
        <w:rPr>
          <w:rFonts w:hint="eastAsia" w:ascii="宋体" w:hAnsi="宋体"/>
          <w:szCs w:val="21"/>
        </w:rPr>
        <w:t>非常满意（ ）   满意（  ）   基本满意（  ）   不满意（  ）</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护理员与您及家属人的沟通是否满意？</w:t>
      </w:r>
    </w:p>
    <w:p>
      <w:pPr>
        <w:tabs>
          <w:tab w:val="left" w:pos="0"/>
        </w:tabs>
        <w:spacing w:line="380" w:lineRule="exact"/>
        <w:ind w:firstLine="420" w:firstLineChars="200"/>
        <w:rPr>
          <w:rFonts w:ascii="宋体" w:hAnsi="宋体"/>
          <w:szCs w:val="21"/>
        </w:rPr>
      </w:pPr>
      <w:r>
        <w:rPr>
          <w:rFonts w:hint="eastAsia" w:ascii="宋体" w:hAnsi="宋体"/>
          <w:szCs w:val="21"/>
        </w:rPr>
        <w:t>非常满意（ ）   满意（  ）   基本满意（  ）   不满意（  ）</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护理员是否每天给病房开窗通风，保持病室环境整洁？</w:t>
      </w:r>
    </w:p>
    <w:p>
      <w:pPr>
        <w:tabs>
          <w:tab w:val="left" w:pos="0"/>
        </w:tabs>
        <w:spacing w:line="380" w:lineRule="exact"/>
        <w:ind w:firstLine="420" w:firstLineChars="200"/>
        <w:rPr>
          <w:rFonts w:ascii="宋体" w:hAnsi="宋体"/>
          <w:szCs w:val="21"/>
        </w:rPr>
      </w:pPr>
      <w:r>
        <w:rPr>
          <w:rFonts w:hint="eastAsia" w:ascii="宋体" w:hAnsi="宋体"/>
          <w:szCs w:val="21"/>
        </w:rPr>
        <w:t>非常满意（ ）   满意（  ）   基本满意（  ）   不满意（  ）</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根据您的病情需要，护理员是否主动协助进餐、下床活动等服务？</w:t>
      </w:r>
    </w:p>
    <w:p>
      <w:pPr>
        <w:widowControl w:val="0"/>
        <w:tabs>
          <w:tab w:val="left" w:pos="0"/>
        </w:tabs>
        <w:spacing w:line="380" w:lineRule="exact"/>
        <w:ind w:firstLine="420" w:firstLineChars="200"/>
        <w:jc w:val="both"/>
        <w:rPr>
          <w:rFonts w:ascii="宋体" w:hAnsi="宋体"/>
          <w:szCs w:val="21"/>
        </w:rPr>
      </w:pPr>
      <w:r>
        <w:rPr>
          <w:rFonts w:hint="eastAsia" w:ascii="宋体" w:hAnsi="宋体"/>
          <w:szCs w:val="21"/>
        </w:rPr>
        <w:t>是（  ）否（  ）如填写否，请说明原因：—————————————————</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在您需要时，护理员是否能满足您的合理需求？</w:t>
      </w:r>
    </w:p>
    <w:p>
      <w:pPr>
        <w:widowControl w:val="0"/>
        <w:tabs>
          <w:tab w:val="left" w:pos="0"/>
        </w:tabs>
        <w:spacing w:line="380" w:lineRule="exact"/>
        <w:ind w:firstLine="420" w:firstLineChars="200"/>
        <w:jc w:val="both"/>
        <w:rPr>
          <w:rFonts w:ascii="宋体" w:hAnsi="宋体"/>
          <w:szCs w:val="21"/>
        </w:rPr>
      </w:pPr>
      <w:r>
        <w:rPr>
          <w:rFonts w:hint="eastAsia" w:ascii="宋体" w:hAnsi="宋体"/>
          <w:szCs w:val="21"/>
        </w:rPr>
        <w:t>是（  ）否（  ）如填写否，请说明原因：—————————————————</w:t>
      </w:r>
    </w:p>
    <w:p>
      <w:pPr>
        <w:widowControl w:val="0"/>
        <w:numPr>
          <w:ilvl w:val="0"/>
          <w:numId w:val="4"/>
        </w:numPr>
        <w:tabs>
          <w:tab w:val="left" w:pos="0"/>
        </w:tabs>
        <w:spacing w:line="380" w:lineRule="exact"/>
        <w:ind w:firstLine="420" w:firstLineChars="200"/>
        <w:jc w:val="both"/>
        <w:rPr>
          <w:rFonts w:ascii="宋体" w:hAnsi="宋体"/>
          <w:szCs w:val="21"/>
        </w:rPr>
      </w:pPr>
      <w:r>
        <w:rPr>
          <w:rFonts w:hint="eastAsia" w:ascii="宋体" w:hAnsi="宋体"/>
          <w:szCs w:val="21"/>
        </w:rPr>
        <w:t>护理员是否提供有偿服务或向您索要、收受礼物及小费？</w:t>
      </w:r>
    </w:p>
    <w:p>
      <w:pPr>
        <w:widowControl w:val="0"/>
        <w:spacing w:line="380" w:lineRule="exact"/>
        <w:ind w:firstLine="420" w:firstLineChars="200"/>
        <w:jc w:val="both"/>
        <w:rPr>
          <w:rFonts w:ascii="宋体" w:hAnsi="宋体"/>
          <w:szCs w:val="21"/>
        </w:rPr>
      </w:pPr>
      <w:r>
        <w:rPr>
          <w:rFonts w:hint="eastAsia" w:ascii="宋体" w:hAnsi="宋体"/>
          <w:szCs w:val="21"/>
        </w:rPr>
        <w:t>是（  ）否（  ）如填写否，请说明原因：—————————————————</w:t>
      </w:r>
    </w:p>
    <w:p>
      <w:pPr>
        <w:widowControl w:val="0"/>
        <w:spacing w:line="380" w:lineRule="exact"/>
        <w:ind w:left="720" w:firstLine="420" w:firstLineChars="200"/>
        <w:jc w:val="both"/>
        <w:rPr>
          <w:rFonts w:ascii="宋体" w:hAnsi="宋体"/>
          <w:szCs w:val="21"/>
        </w:rPr>
      </w:pPr>
    </w:p>
    <w:p>
      <w:pPr>
        <w:spacing w:line="380" w:lineRule="exact"/>
        <w:ind w:left="435" w:firstLine="420" w:firstLineChars="200"/>
        <w:rPr>
          <w:rFonts w:ascii="宋体" w:hAnsi="宋体"/>
          <w:szCs w:val="21"/>
        </w:rPr>
      </w:pPr>
    </w:p>
    <w:p>
      <w:pPr>
        <w:spacing w:line="380" w:lineRule="exact"/>
        <w:ind w:left="435" w:firstLine="420" w:firstLineChars="200"/>
        <w:rPr>
          <w:rFonts w:ascii="宋体" w:hAnsi="宋体"/>
          <w:szCs w:val="21"/>
        </w:rPr>
      </w:pPr>
      <w:r>
        <w:rPr>
          <w:rFonts w:hint="eastAsia" w:ascii="宋体" w:hAnsi="宋体"/>
          <w:szCs w:val="21"/>
        </w:rPr>
        <w:t>意见和建议：</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500" w:lineRule="exact"/>
      </w:pPr>
      <w:r>
        <w:rPr>
          <w:rFonts w:hint="eastAsia"/>
        </w:rPr>
        <w:t>六、陪护员素质要求</w:t>
      </w:r>
    </w:p>
    <w:p>
      <w:pPr>
        <w:spacing w:line="500" w:lineRule="exact"/>
        <w:rPr>
          <w:rFonts w:ascii="宋体" w:hAnsi="宋体"/>
          <w:b/>
          <w:bCs/>
          <w:szCs w:val="21"/>
        </w:rPr>
      </w:pPr>
      <w:r>
        <w:rPr>
          <w:rFonts w:hint="eastAsia"/>
        </w:rPr>
        <w:t>1、</w:t>
      </w:r>
      <w:r>
        <w:rPr>
          <w:rFonts w:hint="eastAsia" w:ascii="宋体" w:hAnsi="宋体"/>
          <w:b/>
          <w:bCs/>
          <w:szCs w:val="21"/>
        </w:rPr>
        <w:t>陪护员准入要求：</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身体健康，具有健康的生活方式和良好的情绪状态，年龄18-55周岁，有一定的文化水平。</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陪护员必须持五证上岗（上岗证、健康证、身份证、暂住证、意外保险证明）。</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陪护员须进行岗前理论知识和临床实践指导培训；并自觉参加岗中培训课程，提高自身业务素质，具备丰富的生活护理知识和技能。</w:t>
      </w:r>
    </w:p>
    <w:p>
      <w:pPr>
        <w:spacing w:line="500" w:lineRule="exact"/>
        <w:rPr>
          <w:rFonts w:ascii="宋体" w:hAnsi="宋体"/>
          <w:b/>
          <w:bCs/>
          <w:szCs w:val="21"/>
        </w:rPr>
      </w:pPr>
      <w:r>
        <w:rPr>
          <w:rFonts w:hint="eastAsia" w:ascii="宋体" w:hAnsi="宋体"/>
          <w:b/>
          <w:bCs/>
          <w:szCs w:val="21"/>
        </w:rPr>
        <w:t>2、工作纪律：</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陪护员应统一着装，佩戴上岗证，不穿硬底鞋、拖鞋，不留长指甲，不随意带无关人员进出病房，不随意进入治疗室等场所。</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遵守医院及科室的各项规章制度，爱护医院设施，节约用水用电。严禁在病区内使用电器。</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陪护员上岗应文明用语，礼貌待人，服务热情周到。不准与患者、家属或医护人员、护理员及陪护之间发生争吵。</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服从护士长、护士的管理，保持病房整洁、舒适、安静、安全，病室内清洁卫生，物品摆放整齐，换洗的衣物必须晾晒在指定的地方。</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5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⑤</w:t>
      </w:r>
      <w:r>
        <w:rPr>
          <w:rFonts w:ascii="宋体" w:hAnsi="宋体"/>
          <w:szCs w:val="21"/>
        </w:rPr>
        <w:fldChar w:fldCharType="end"/>
      </w:r>
      <w:r>
        <w:rPr>
          <w:rFonts w:hint="eastAsia" w:ascii="宋体" w:hAnsi="宋体"/>
          <w:szCs w:val="21"/>
        </w:rPr>
        <w:t>工作期间不串岗闲聊，不得擅自离岗外出，确需外出必须取得患方及主管同意。无业务时禁止在病区滞留。</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6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⑥</w:t>
      </w:r>
      <w:r>
        <w:rPr>
          <w:rFonts w:ascii="宋体" w:hAnsi="宋体"/>
          <w:szCs w:val="21"/>
        </w:rPr>
        <w:fldChar w:fldCharType="end"/>
      </w:r>
      <w:r>
        <w:rPr>
          <w:rFonts w:hint="eastAsia" w:ascii="宋体" w:hAnsi="宋体"/>
          <w:szCs w:val="21"/>
        </w:rPr>
        <w:t>陪护员不得假借公司名义私自承接相关业务；不准私自收费；不得向患者或家属索要礼物和小费等。不允许使用患者物品，不吃患者食物。</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7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⑦</w:t>
      </w:r>
      <w:r>
        <w:rPr>
          <w:rFonts w:ascii="宋体" w:hAnsi="宋体"/>
          <w:szCs w:val="21"/>
        </w:rPr>
        <w:fldChar w:fldCharType="end"/>
      </w:r>
      <w:r>
        <w:rPr>
          <w:rFonts w:hint="eastAsia" w:ascii="宋体" w:hAnsi="宋体"/>
          <w:szCs w:val="21"/>
        </w:rPr>
        <w:t>陪护员24小时昼夜陪护。协助患者完成各项生活护理，不得从事技术性护理操作。</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8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⑧</w:t>
      </w:r>
      <w:r>
        <w:rPr>
          <w:rFonts w:ascii="宋体" w:hAnsi="宋体"/>
          <w:szCs w:val="21"/>
        </w:rPr>
        <w:fldChar w:fldCharType="end"/>
      </w:r>
      <w:r>
        <w:rPr>
          <w:rFonts w:hint="eastAsia" w:ascii="宋体" w:hAnsi="宋体"/>
          <w:szCs w:val="21"/>
        </w:rPr>
        <w:t>自觉参加甲、乙双方安排的岗中培训。</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9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⑨</w:t>
      </w:r>
      <w:r>
        <w:rPr>
          <w:rFonts w:ascii="宋体" w:hAnsi="宋体"/>
          <w:szCs w:val="21"/>
        </w:rPr>
        <w:fldChar w:fldCharType="end"/>
      </w:r>
      <w:r>
        <w:rPr>
          <w:rFonts w:hint="eastAsia" w:ascii="宋体" w:hAnsi="宋体"/>
          <w:szCs w:val="21"/>
        </w:rPr>
        <w:t>按规定做好自身防护工作：</w:t>
      </w:r>
    </w:p>
    <w:p>
      <w:pPr>
        <w:spacing w:line="500" w:lineRule="exact"/>
        <w:ind w:firstLine="420" w:firstLineChars="200"/>
        <w:rPr>
          <w:rFonts w:ascii="宋体" w:hAnsi="宋体"/>
          <w:szCs w:val="21"/>
        </w:rPr>
      </w:pPr>
      <w:r>
        <w:rPr>
          <w:rFonts w:hint="eastAsia" w:ascii="宋体" w:hAnsi="宋体"/>
          <w:szCs w:val="21"/>
        </w:rPr>
        <w:t>1）给患者开饭前、处置患者或做每件事情的前后均要洗手。</w:t>
      </w:r>
    </w:p>
    <w:p>
      <w:pPr>
        <w:spacing w:line="500" w:lineRule="exact"/>
        <w:ind w:firstLine="420" w:firstLineChars="200"/>
        <w:rPr>
          <w:rFonts w:ascii="宋体" w:hAnsi="宋体"/>
          <w:szCs w:val="21"/>
        </w:rPr>
      </w:pPr>
      <w:r>
        <w:rPr>
          <w:rFonts w:hint="eastAsia" w:ascii="宋体" w:hAnsi="宋体"/>
          <w:szCs w:val="21"/>
        </w:rPr>
        <w:t>2）患者换下的衣服和被服，不能随地乱丢。</w:t>
      </w:r>
    </w:p>
    <w:p>
      <w:pPr>
        <w:spacing w:line="500" w:lineRule="exact"/>
        <w:ind w:firstLine="420" w:firstLineChars="200"/>
        <w:rPr>
          <w:rFonts w:ascii="宋体" w:hAnsi="宋体"/>
          <w:szCs w:val="21"/>
        </w:rPr>
      </w:pPr>
      <w:r>
        <w:rPr>
          <w:rFonts w:hint="eastAsia" w:ascii="宋体" w:hAnsi="宋体"/>
          <w:szCs w:val="21"/>
        </w:rPr>
        <w:t>3）接触血液、大小便、呕吐物等患者的体液、排泄物时必须戴手套，污染的地面与物品去污后及时用消毒液擦拭。</w:t>
      </w:r>
    </w:p>
    <w:p>
      <w:pPr>
        <w:spacing w:line="50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10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⑩</w:t>
      </w:r>
      <w:r>
        <w:rPr>
          <w:rFonts w:ascii="宋体" w:hAnsi="宋体"/>
          <w:szCs w:val="21"/>
        </w:rPr>
        <w:fldChar w:fldCharType="end"/>
      </w:r>
      <w:r>
        <w:rPr>
          <w:rFonts w:hint="eastAsia" w:ascii="宋体" w:hAnsi="宋体"/>
          <w:szCs w:val="21"/>
        </w:rPr>
        <w:t>陪护员不得参与医疗活动，干涉护理治疗等行为。</w:t>
      </w:r>
    </w:p>
    <w:p>
      <w:pPr>
        <w:spacing w:line="500" w:lineRule="exact"/>
        <w:rPr>
          <w:rFonts w:ascii="宋体" w:hAnsi="宋体"/>
          <w:b/>
          <w:bCs/>
          <w:szCs w:val="21"/>
        </w:rPr>
      </w:pPr>
      <w:r>
        <w:rPr>
          <w:rFonts w:hint="eastAsia" w:ascii="宋体" w:hAnsi="宋体"/>
          <w:b/>
          <w:bCs/>
          <w:szCs w:val="21"/>
        </w:rPr>
        <w:t>3、培训管理</w:t>
      </w:r>
    </w:p>
    <w:p>
      <w:pPr>
        <w:spacing w:line="500" w:lineRule="exact"/>
        <w:ind w:firstLine="430" w:firstLineChars="205"/>
        <w:rPr>
          <w:rFonts w:ascii="宋体" w:hAnsi="宋体"/>
          <w:szCs w:val="21"/>
        </w:rPr>
      </w:pPr>
      <w:r>
        <w:rPr>
          <w:rFonts w:hint="eastAsia" w:ascii="宋体" w:hAnsi="宋体"/>
          <w:szCs w:val="21"/>
        </w:rPr>
        <w:t>陪护员须进行岗前理论知识和临床实践指导培训；并自觉参加岗中培训课程。培训要点如下：</w:t>
      </w:r>
    </w:p>
    <w:p>
      <w:pPr>
        <w:spacing w:line="500" w:lineRule="exact"/>
        <w:ind w:left="42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熟悉本院及相应科室的有关规章制度、工作流程；</w:t>
      </w:r>
    </w:p>
    <w:p>
      <w:pPr>
        <w:spacing w:line="500" w:lineRule="exact"/>
        <w:ind w:left="42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熟悉安全及防范措施；</w:t>
      </w:r>
    </w:p>
    <w:p>
      <w:pPr>
        <w:spacing w:line="500" w:lineRule="exact"/>
        <w:ind w:left="42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熟悉医院和病区环境，掌握病室卫生设施、医疗设施等用物的</w:t>
      </w:r>
    </w:p>
    <w:p>
      <w:pPr>
        <w:spacing w:line="500" w:lineRule="exact"/>
        <w:rPr>
          <w:rFonts w:ascii="宋体" w:hAnsi="宋体"/>
          <w:szCs w:val="21"/>
        </w:rPr>
      </w:pPr>
      <w:r>
        <w:rPr>
          <w:rFonts w:hint="eastAsia" w:ascii="宋体" w:hAnsi="宋体"/>
          <w:szCs w:val="21"/>
        </w:rPr>
        <w:t>使用方法；</w:t>
      </w:r>
    </w:p>
    <w:p>
      <w:pPr>
        <w:spacing w:line="500" w:lineRule="exact"/>
        <w:ind w:firstLine="525" w:firstLineChars="25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掌握患者的日常护理技能；</w:t>
      </w:r>
    </w:p>
    <w:p>
      <w:pPr>
        <w:spacing w:line="500" w:lineRule="exact"/>
        <w:ind w:firstLine="525" w:firstLineChars="25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5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⑤</w:t>
      </w:r>
      <w:r>
        <w:rPr>
          <w:rFonts w:ascii="宋体" w:hAnsi="宋体"/>
          <w:szCs w:val="21"/>
        </w:rPr>
        <w:fldChar w:fldCharType="end"/>
      </w:r>
      <w:r>
        <w:rPr>
          <w:rFonts w:hint="eastAsia" w:ascii="宋体" w:hAnsi="宋体"/>
          <w:szCs w:val="21"/>
        </w:rPr>
        <w:t>掌握院感规定及自身防护措施。</w:t>
      </w:r>
    </w:p>
    <w:p>
      <w:pPr>
        <w:spacing w:line="500" w:lineRule="exact"/>
        <w:rPr>
          <w:rFonts w:ascii="宋体" w:hAnsi="宋体"/>
          <w:b/>
          <w:bCs/>
          <w:szCs w:val="21"/>
        </w:rPr>
      </w:pPr>
      <w:r>
        <w:rPr>
          <w:rFonts w:hint="eastAsia" w:ascii="宋体" w:hAnsi="宋体"/>
          <w:b/>
          <w:bCs/>
          <w:szCs w:val="21"/>
        </w:rPr>
        <w:t>4、收费制度</w:t>
      </w:r>
    </w:p>
    <w:p>
      <w:pPr>
        <w:spacing w:line="500" w:lineRule="exact"/>
        <w:ind w:firstLine="430" w:firstLineChars="205"/>
        <w:rPr>
          <w:rFonts w:ascii="宋体" w:hAnsi="宋体"/>
          <w:szCs w:val="21"/>
        </w:rPr>
      </w:pPr>
      <w:r>
        <w:rPr>
          <w:rFonts w:hint="eastAsia" w:ascii="宋体" w:hAnsi="宋体"/>
          <w:szCs w:val="21"/>
        </w:rPr>
        <w:t>严格执行物价局及劳动部门的相关条例，向患者或家属收取的陪护费用不得高于同行业市场指导价格标准。明码标价，公示价格内容。伙食自理。</w:t>
      </w:r>
    </w:p>
    <w:p>
      <w:pPr>
        <w:spacing w:line="500" w:lineRule="exact"/>
        <w:ind w:firstLine="430" w:firstLineChars="205"/>
        <w:rPr>
          <w:rFonts w:ascii="宋体" w:hAnsi="宋体"/>
          <w:szCs w:val="21"/>
        </w:rPr>
      </w:pPr>
      <w:r>
        <w:rPr>
          <w:rFonts w:hint="eastAsia" w:ascii="宋体" w:hAnsi="宋体"/>
          <w:szCs w:val="21"/>
        </w:rPr>
        <w:t>实行按实际服务天数计算。</w:t>
      </w:r>
    </w:p>
    <w:p>
      <w:pPr>
        <w:spacing w:line="500" w:lineRule="exact"/>
        <w:ind w:firstLine="430" w:firstLineChars="205"/>
        <w:rPr>
          <w:rFonts w:ascii="宋体" w:hAnsi="宋体"/>
          <w:szCs w:val="21"/>
        </w:rPr>
      </w:pPr>
      <w:r>
        <w:rPr>
          <w:rFonts w:hint="eastAsia" w:ascii="宋体" w:hAnsi="宋体"/>
          <w:szCs w:val="21"/>
        </w:rPr>
        <w:t>原则上实行一对一陪护，根据患者要求，与陪护的患者或家属签订服务协议书，明确服务种类、收费标准、双方的权利和义务；并根据标准收取服务费用，由主管统一结账并向患方提供发票。</w:t>
      </w:r>
    </w:p>
    <w:p>
      <w:pPr>
        <w:spacing w:line="500" w:lineRule="exact"/>
        <w:rPr>
          <w:rFonts w:ascii="宋体" w:hAnsi="宋体"/>
          <w:b/>
          <w:bCs/>
          <w:szCs w:val="21"/>
        </w:rPr>
      </w:pPr>
    </w:p>
    <w:p>
      <w:pPr>
        <w:spacing w:line="500" w:lineRule="exact"/>
        <w:rPr>
          <w:rFonts w:ascii="宋体" w:hAnsi="宋体"/>
          <w:szCs w:val="21"/>
        </w:rPr>
      </w:pPr>
      <w:r>
        <w:rPr>
          <w:rFonts w:hint="eastAsia" w:ascii="宋体" w:hAnsi="宋体"/>
          <w:b/>
          <w:bCs/>
          <w:szCs w:val="21"/>
        </w:rPr>
        <w:t>5、管理目标及服务质量指标承诺</w:t>
      </w:r>
      <w:r>
        <w:rPr>
          <w:rFonts w:hint="eastAsia" w:ascii="宋体" w:hAnsi="宋体"/>
          <w:szCs w:val="21"/>
        </w:rPr>
        <w:t xml:space="preserve"> </w:t>
      </w:r>
    </w:p>
    <w:p>
      <w:pPr>
        <w:spacing w:line="500" w:lineRule="exact"/>
        <w:ind w:firstLine="430" w:firstLineChars="205"/>
        <w:rPr>
          <w:rFonts w:ascii="宋体" w:hAnsi="宋体"/>
          <w:szCs w:val="21"/>
        </w:rPr>
      </w:pPr>
      <w:r>
        <w:rPr>
          <w:rFonts w:hint="eastAsia" w:ascii="宋体" w:hAnsi="宋体"/>
          <w:szCs w:val="21"/>
        </w:rPr>
        <w:t>医院相关部门管理人员及科室护士长参与对陪护员的考核，并对陪护员的陪护质量、收费标准等进行全程监督。有权对存在问题提出口头或书面意见并要求限期整改，对存在的重大问题有处置权。要求：</w:t>
      </w:r>
    </w:p>
    <w:p>
      <w:pPr>
        <w:spacing w:line="500" w:lineRule="exact"/>
        <w:rPr>
          <w:rFonts w:ascii="宋体" w:hAnsi="宋体"/>
          <w:b/>
          <w:bCs/>
          <w:szCs w:val="21"/>
        </w:rPr>
      </w:pP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cs="宋体"/>
        </w:rPr>
        <w:t>①</w:t>
      </w:r>
      <w:r>
        <w:rPr>
          <w:rFonts w:hint="eastAsia" w:ascii="宋体" w:hAnsi="宋体"/>
          <w:szCs w:val="21"/>
        </w:rPr>
        <w:fldChar w:fldCharType="end"/>
      </w:r>
      <w:r>
        <w:rPr>
          <w:rFonts w:hint="eastAsia" w:ascii="宋体" w:hAnsi="宋体"/>
          <w:b/>
          <w:bCs/>
          <w:szCs w:val="21"/>
        </w:rPr>
        <w:t>医护人员满意度90%以上；</w:t>
      </w:r>
    </w:p>
    <w:p>
      <w:pPr>
        <w:spacing w:line="500" w:lineRule="exact"/>
        <w:rPr>
          <w:rFonts w:ascii="宋体" w:hAnsi="宋体"/>
          <w:b/>
          <w:bCs/>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cs="宋体"/>
        </w:rPr>
        <w:t>②</w:t>
      </w:r>
      <w:r>
        <w:rPr>
          <w:rFonts w:hint="eastAsia" w:ascii="宋体" w:hAnsi="宋体"/>
          <w:szCs w:val="21"/>
        </w:rPr>
        <w:fldChar w:fldCharType="end"/>
      </w:r>
      <w:r>
        <w:rPr>
          <w:rFonts w:hint="eastAsia" w:ascii="宋体" w:hAnsi="宋体"/>
          <w:b/>
          <w:bCs/>
          <w:szCs w:val="21"/>
        </w:rPr>
        <w:t>患者满意度90%以上；</w:t>
      </w:r>
    </w:p>
    <w:p>
      <w:pPr>
        <w:spacing w:line="500" w:lineRule="exact"/>
        <w:rPr>
          <w:rFonts w:ascii="宋体" w:hAnsi="宋体"/>
          <w:b/>
          <w:bCs/>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b/>
          <w:bCs/>
          <w:szCs w:val="21"/>
        </w:rPr>
        <w:t>客户有效投诉率低于2%，处结率100%;</w:t>
      </w:r>
    </w:p>
    <w:p>
      <w:pPr>
        <w:spacing w:line="500" w:lineRule="exact"/>
        <w:rPr>
          <w:rFonts w:ascii="宋体" w:hAnsi="宋体"/>
          <w:b/>
          <w:bCs/>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b/>
          <w:bCs/>
          <w:szCs w:val="21"/>
        </w:rPr>
        <w:t>员工培训覆盖率/合格率100%。</w:t>
      </w:r>
    </w:p>
    <w:p>
      <w:pPr>
        <w:spacing w:line="500" w:lineRule="exact"/>
        <w:rPr>
          <w:rFonts w:ascii="宋体" w:hAnsi="宋体"/>
          <w:b/>
          <w:bCs/>
          <w:szCs w:val="21"/>
        </w:rPr>
      </w:pPr>
      <w:r>
        <w:rPr>
          <w:rFonts w:hint="eastAsia" w:ascii="宋体" w:hAnsi="宋体"/>
          <w:b/>
          <w:bCs/>
          <w:szCs w:val="21"/>
        </w:rPr>
        <w:t>5、陪护服务质量标准：</w:t>
      </w:r>
    </w:p>
    <w:p>
      <w:pPr>
        <w:spacing w:line="500" w:lineRule="exact"/>
        <w:ind w:firstLine="420" w:firstLineChars="200"/>
        <w:rPr>
          <w:rFonts w:ascii="宋体" w:hAnsi="宋体"/>
          <w:szCs w:val="21"/>
        </w:rPr>
      </w:pP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cs="宋体"/>
        </w:rPr>
        <w:t>①</w:t>
      </w:r>
      <w:r>
        <w:rPr>
          <w:rFonts w:hint="eastAsia" w:ascii="宋体" w:hAnsi="宋体"/>
          <w:szCs w:val="21"/>
        </w:rPr>
        <w:fldChar w:fldCharType="end"/>
      </w:r>
      <w:r>
        <w:rPr>
          <w:rFonts w:hint="eastAsia" w:ascii="宋体" w:hAnsi="宋体"/>
          <w:szCs w:val="21"/>
        </w:rPr>
        <w:t>科学的饮食照顾</w:t>
      </w:r>
    </w:p>
    <w:p>
      <w:pPr>
        <w:spacing w:line="500" w:lineRule="exact"/>
        <w:ind w:firstLine="420" w:firstLineChars="200"/>
        <w:rPr>
          <w:rFonts w:ascii="宋体" w:hAnsi="宋体"/>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cs="宋体"/>
        </w:rPr>
        <w:t>②</w:t>
      </w:r>
      <w:r>
        <w:rPr>
          <w:rFonts w:hint="eastAsia" w:ascii="宋体" w:hAnsi="宋体"/>
          <w:szCs w:val="21"/>
        </w:rPr>
        <w:fldChar w:fldCharType="end"/>
      </w:r>
      <w:r>
        <w:rPr>
          <w:rFonts w:hint="eastAsia" w:ascii="宋体" w:hAnsi="宋体"/>
          <w:szCs w:val="21"/>
        </w:rPr>
        <w:t>维护患者卫生、仪表及仪容：</w:t>
      </w:r>
    </w:p>
    <w:p>
      <w:pPr>
        <w:spacing w:line="500" w:lineRule="exact"/>
        <w:ind w:firstLine="420" w:firstLineChars="200"/>
        <w:rPr>
          <w:rFonts w:ascii="宋体" w:hAnsi="宋体"/>
          <w:szCs w:val="21"/>
        </w:rPr>
      </w:pPr>
      <w:r>
        <w:rPr>
          <w:rFonts w:hint="eastAsia" w:ascii="宋体" w:hAnsi="宋体"/>
          <w:szCs w:val="21"/>
        </w:rPr>
        <w:t>a、协助刷牙、漱口、洗脸至少2次/天；</w:t>
      </w:r>
    </w:p>
    <w:p>
      <w:pPr>
        <w:spacing w:line="500" w:lineRule="exact"/>
        <w:ind w:firstLine="430" w:firstLineChars="205"/>
        <w:rPr>
          <w:rFonts w:ascii="宋体" w:hAnsi="宋体"/>
          <w:szCs w:val="21"/>
        </w:rPr>
      </w:pPr>
      <w:r>
        <w:rPr>
          <w:rFonts w:hint="eastAsia" w:ascii="宋体" w:hAnsi="宋体"/>
          <w:szCs w:val="21"/>
        </w:rPr>
        <w:t>b、协助梳头、擦身、洗脚、擦洗外阴至少1次/天；</w:t>
      </w:r>
    </w:p>
    <w:p>
      <w:pPr>
        <w:spacing w:line="500" w:lineRule="exact"/>
        <w:ind w:firstLine="430" w:firstLineChars="205"/>
        <w:rPr>
          <w:rFonts w:ascii="宋体" w:hAnsi="宋体"/>
          <w:szCs w:val="21"/>
        </w:rPr>
      </w:pPr>
      <w:r>
        <w:rPr>
          <w:rFonts w:hint="eastAsia" w:ascii="宋体" w:hAnsi="宋体"/>
          <w:szCs w:val="21"/>
        </w:rPr>
        <w:t>c、三餐前洗手，帮助大小便，便后洗手；</w:t>
      </w:r>
    </w:p>
    <w:p>
      <w:pPr>
        <w:spacing w:line="500" w:lineRule="exact"/>
        <w:ind w:firstLine="430" w:firstLineChars="205"/>
        <w:rPr>
          <w:rFonts w:ascii="宋体" w:hAnsi="宋体"/>
          <w:szCs w:val="21"/>
        </w:rPr>
      </w:pPr>
      <w:r>
        <w:rPr>
          <w:rFonts w:hint="eastAsia" w:ascii="宋体" w:hAnsi="宋体"/>
          <w:szCs w:val="21"/>
        </w:rPr>
        <w:t>d、根据病情需求随时更换衣裤、被服；</w:t>
      </w:r>
    </w:p>
    <w:p>
      <w:pPr>
        <w:spacing w:line="500" w:lineRule="exact"/>
        <w:ind w:firstLine="430" w:firstLineChars="205"/>
        <w:rPr>
          <w:rFonts w:ascii="宋体" w:hAnsi="宋体"/>
          <w:szCs w:val="21"/>
        </w:rPr>
      </w:pPr>
      <w:r>
        <w:rPr>
          <w:rFonts w:hint="eastAsia" w:ascii="宋体" w:hAnsi="宋体"/>
          <w:szCs w:val="21"/>
        </w:rPr>
        <w:t>e、剪指（趾）甲、洗头至少1次/周；</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满足患者营养需求；协助患者进食、进水（必要时喂饭、喂水）。</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陪同患者各种检查、负责采集各种大小便标本。</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5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⑤</w:t>
      </w:r>
      <w:r>
        <w:rPr>
          <w:rFonts w:ascii="宋体" w:hAnsi="宋体"/>
          <w:szCs w:val="21"/>
        </w:rPr>
        <w:fldChar w:fldCharType="end"/>
      </w:r>
      <w:r>
        <w:rPr>
          <w:rFonts w:hint="eastAsia" w:ascii="宋体" w:hAnsi="宋体"/>
          <w:szCs w:val="21"/>
        </w:rPr>
        <w:t>看护静脉输液。</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6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⑥</w:t>
      </w:r>
      <w:r>
        <w:rPr>
          <w:rFonts w:ascii="宋体" w:hAnsi="宋体"/>
          <w:szCs w:val="21"/>
        </w:rPr>
        <w:fldChar w:fldCharType="end"/>
      </w:r>
      <w:r>
        <w:rPr>
          <w:rFonts w:hint="eastAsia" w:ascii="宋体" w:hAnsi="宋体"/>
          <w:szCs w:val="21"/>
        </w:rPr>
        <w:t>维持病人舒适体位，帮助移动及运动；</w:t>
      </w:r>
    </w:p>
    <w:p>
      <w:pPr>
        <w:spacing w:line="500" w:lineRule="exact"/>
        <w:ind w:firstLine="430" w:firstLineChars="205"/>
        <w:rPr>
          <w:rFonts w:ascii="宋体" w:hAnsi="宋体"/>
          <w:szCs w:val="21"/>
        </w:rPr>
      </w:pPr>
      <w:r>
        <w:rPr>
          <w:rFonts w:hint="eastAsia" w:ascii="宋体" w:hAnsi="宋体"/>
          <w:szCs w:val="21"/>
        </w:rPr>
        <w:t>a、协助患者摆放变换舒适体位、给卧床病人翻身拍背1次/2小时（或根据病情需要）。</w:t>
      </w:r>
    </w:p>
    <w:p>
      <w:pPr>
        <w:spacing w:line="500" w:lineRule="exact"/>
        <w:ind w:firstLine="430" w:firstLineChars="205"/>
        <w:rPr>
          <w:rFonts w:ascii="宋体" w:hAnsi="宋体"/>
          <w:szCs w:val="21"/>
        </w:rPr>
      </w:pPr>
      <w:r>
        <w:rPr>
          <w:rFonts w:hint="eastAsia" w:ascii="宋体" w:hAnsi="宋体"/>
          <w:szCs w:val="21"/>
        </w:rPr>
        <w:t>b、维持病人肢体功能位，帮助上下床、坐轮椅等。</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7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⑦</w:t>
      </w:r>
      <w:r>
        <w:rPr>
          <w:rFonts w:ascii="宋体" w:hAnsi="宋体"/>
          <w:szCs w:val="21"/>
        </w:rPr>
        <w:fldChar w:fldCharType="end"/>
      </w:r>
      <w:r>
        <w:rPr>
          <w:rFonts w:hint="eastAsia" w:ascii="宋体" w:hAnsi="宋体"/>
          <w:szCs w:val="21"/>
        </w:rPr>
        <w:t>协助床上使用便器，需要时做好失禁护理。</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8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⑧</w:t>
      </w:r>
      <w:r>
        <w:rPr>
          <w:rFonts w:ascii="宋体" w:hAnsi="宋体"/>
          <w:szCs w:val="21"/>
        </w:rPr>
        <w:fldChar w:fldCharType="end"/>
      </w:r>
      <w:r>
        <w:rPr>
          <w:rFonts w:hint="eastAsia" w:ascii="宋体" w:hAnsi="宋体"/>
          <w:szCs w:val="21"/>
        </w:rPr>
        <w:t>随时与患者沟通，及时了解患者的内心需求并尽可能给予满足。</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9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⑨</w:t>
      </w:r>
      <w:r>
        <w:rPr>
          <w:rFonts w:ascii="宋体" w:hAnsi="宋体"/>
          <w:szCs w:val="21"/>
        </w:rPr>
        <w:fldChar w:fldCharType="end"/>
      </w:r>
      <w:r>
        <w:rPr>
          <w:rFonts w:hint="eastAsia" w:ascii="宋体" w:hAnsi="宋体"/>
          <w:szCs w:val="21"/>
        </w:rPr>
        <w:t>负责洗涤病人的衣裤、餐具等各种物品。</w:t>
      </w:r>
    </w:p>
    <w:p>
      <w:pPr>
        <w:spacing w:line="500" w:lineRule="exact"/>
        <w:rPr>
          <w:rFonts w:ascii="宋体" w:hAnsi="宋体"/>
          <w:b/>
          <w:bCs/>
          <w:szCs w:val="21"/>
        </w:rPr>
      </w:pPr>
      <w:r>
        <w:rPr>
          <w:rFonts w:hint="eastAsia" w:ascii="宋体" w:hAnsi="宋体"/>
          <w:b/>
          <w:bCs/>
          <w:szCs w:val="21"/>
        </w:rPr>
        <w:t xml:space="preserve"> 6、病房管理质量标准</w:t>
      </w:r>
    </w:p>
    <w:p>
      <w:pPr>
        <w:spacing w:line="500" w:lineRule="exact"/>
        <w:rPr>
          <w:rFonts w:ascii="宋体" w:hAnsi="宋体"/>
          <w:szCs w:val="21"/>
        </w:rPr>
      </w:pP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cs="宋体"/>
        </w:rPr>
        <w:t>①</w:t>
      </w:r>
      <w:r>
        <w:rPr>
          <w:rFonts w:hint="eastAsia" w:ascii="宋体" w:hAnsi="宋体"/>
          <w:szCs w:val="21"/>
        </w:rPr>
        <w:fldChar w:fldCharType="end"/>
      </w:r>
      <w:r>
        <w:rPr>
          <w:rFonts w:hint="eastAsia" w:ascii="宋体" w:hAnsi="宋体"/>
          <w:szCs w:val="21"/>
        </w:rPr>
        <w:t>保持病室环境清洁整齐，空气新鲜，开窗通风至少每次2次，整理床单位，更换被服，床帘不用时及时收拢。</w:t>
      </w:r>
    </w:p>
    <w:p>
      <w:pPr>
        <w:spacing w:line="500" w:lineRule="exact"/>
        <w:rPr>
          <w:rFonts w:ascii="宋体" w:hAnsi="宋体"/>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cs="宋体"/>
        </w:rPr>
        <w:t>②</w:t>
      </w:r>
      <w:r>
        <w:rPr>
          <w:rFonts w:hint="eastAsia" w:ascii="宋体" w:hAnsi="宋体"/>
          <w:szCs w:val="21"/>
        </w:rPr>
        <w:fldChar w:fldCharType="end"/>
      </w:r>
      <w:r>
        <w:rPr>
          <w:rFonts w:hint="eastAsia" w:ascii="宋体" w:hAnsi="宋体"/>
          <w:szCs w:val="21"/>
        </w:rPr>
        <w:t>室内物品：床、床头桌清洁，物品摆放整齐；脸盆、便器不落地。</w:t>
      </w:r>
    </w:p>
    <w:p>
      <w:pPr>
        <w:spacing w:line="500" w:lineRule="exac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认真听取医护人员的指导意见，观察患者的反应，及时报告医护人员。发现矛盾苗头，及时与医务人员沟通。</w:t>
      </w:r>
    </w:p>
    <w:p>
      <w:pPr>
        <w:spacing w:line="500" w:lineRule="exact"/>
        <w:rPr>
          <w:rFonts w:ascii="宋体" w:hAnsi="宋体"/>
          <w:szCs w:val="21"/>
        </w:rPr>
      </w:pPr>
    </w:p>
    <w:p>
      <w:pPr>
        <w:snapToGrid w:val="0"/>
        <w:spacing w:line="360" w:lineRule="exact"/>
        <w:ind w:left="-358" w:leftChars="-171" w:right="-334" w:rightChars="-159" w:hanging="1"/>
        <w:jc w:val="center"/>
        <w:rPr>
          <w:rFonts w:ascii="宋体" w:hAnsi="宋体"/>
          <w:b/>
          <w:sz w:val="32"/>
          <w:szCs w:val="32"/>
        </w:rPr>
      </w:pPr>
      <w:r>
        <w:rPr>
          <w:rFonts w:hint="eastAsia" w:ascii="宋体" w:hAnsi="宋体"/>
          <w:b/>
          <w:sz w:val="32"/>
          <w:szCs w:val="32"/>
        </w:rPr>
        <w:t>普通病区陪护员服务质量考核细则</w:t>
      </w:r>
    </w:p>
    <w:tbl>
      <w:tblPr>
        <w:tblStyle w:val="45"/>
        <w:tblW w:w="8970" w:type="dxa"/>
        <w:tblInd w:w="6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558"/>
        <w:gridCol w:w="3970"/>
        <w:gridCol w:w="1985"/>
        <w:gridCol w:w="850"/>
        <w:gridCol w:w="8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tcBorders>
              <w:top w:val="double" w:color="auto" w:sz="4" w:space="0"/>
              <w:left w:val="double" w:color="auto" w:sz="4" w:space="0"/>
              <w:bottom w:val="double" w:color="auto" w:sz="4" w:space="0"/>
              <w:right w:val="single" w:color="auto" w:sz="4" w:space="0"/>
            </w:tcBorders>
            <w:noWrap w:val="0"/>
            <w:vAlign w:val="center"/>
          </w:tcPr>
          <w:p>
            <w:pPr>
              <w:spacing w:line="480" w:lineRule="exact"/>
              <w:jc w:val="center"/>
              <w:rPr>
                <w:rFonts w:ascii="宋体" w:hAnsi="宋体"/>
                <w:b/>
                <w:kern w:val="2"/>
                <w:szCs w:val="21"/>
              </w:rPr>
            </w:pPr>
            <w:r>
              <w:rPr>
                <w:rFonts w:hint="eastAsia" w:ascii="宋体" w:hAnsi="宋体"/>
                <w:b/>
                <w:kern w:val="2"/>
                <w:szCs w:val="21"/>
              </w:rPr>
              <w:t>内容</w:t>
            </w:r>
          </w:p>
        </w:tc>
        <w:tc>
          <w:tcPr>
            <w:tcW w:w="558" w:type="dxa"/>
            <w:tcBorders>
              <w:top w:val="double" w:color="auto" w:sz="4" w:space="0"/>
              <w:left w:val="single" w:color="auto" w:sz="4" w:space="0"/>
              <w:bottom w:val="double" w:color="auto" w:sz="4" w:space="0"/>
              <w:right w:val="single" w:color="auto" w:sz="4" w:space="0"/>
            </w:tcBorders>
            <w:noWrap w:val="0"/>
            <w:vAlign w:val="center"/>
          </w:tcPr>
          <w:p>
            <w:pPr>
              <w:spacing w:line="480" w:lineRule="exact"/>
              <w:jc w:val="center"/>
              <w:rPr>
                <w:rFonts w:ascii="宋体" w:hAnsi="宋体"/>
                <w:b/>
                <w:kern w:val="2"/>
                <w:szCs w:val="21"/>
              </w:rPr>
            </w:pPr>
            <w:r>
              <w:rPr>
                <w:rFonts w:hint="eastAsia" w:ascii="宋体" w:hAnsi="宋体"/>
                <w:b/>
                <w:kern w:val="2"/>
                <w:szCs w:val="21"/>
              </w:rPr>
              <w:t>分值</w:t>
            </w:r>
          </w:p>
        </w:tc>
        <w:tc>
          <w:tcPr>
            <w:tcW w:w="3970" w:type="dxa"/>
            <w:tcBorders>
              <w:top w:val="double" w:color="auto" w:sz="4" w:space="0"/>
              <w:left w:val="single" w:color="auto" w:sz="4" w:space="0"/>
              <w:bottom w:val="double" w:color="auto" w:sz="4" w:space="0"/>
              <w:right w:val="single" w:color="auto" w:sz="4" w:space="0"/>
            </w:tcBorders>
            <w:noWrap w:val="0"/>
            <w:vAlign w:val="center"/>
          </w:tcPr>
          <w:p>
            <w:pPr>
              <w:spacing w:line="480" w:lineRule="exact"/>
              <w:jc w:val="center"/>
              <w:rPr>
                <w:rFonts w:ascii="宋体" w:hAnsi="宋体"/>
                <w:b/>
                <w:kern w:val="2"/>
                <w:szCs w:val="21"/>
              </w:rPr>
            </w:pPr>
            <w:r>
              <w:rPr>
                <w:rFonts w:hint="eastAsia" w:ascii="宋体" w:hAnsi="宋体"/>
                <w:b/>
                <w:kern w:val="2"/>
                <w:szCs w:val="21"/>
              </w:rPr>
              <w:t>检查要求</w:t>
            </w:r>
          </w:p>
        </w:tc>
        <w:tc>
          <w:tcPr>
            <w:tcW w:w="1985" w:type="dxa"/>
            <w:tcBorders>
              <w:top w:val="double" w:color="auto" w:sz="4" w:space="0"/>
              <w:left w:val="single" w:color="auto" w:sz="4" w:space="0"/>
              <w:bottom w:val="double" w:color="auto" w:sz="4" w:space="0"/>
              <w:right w:val="single" w:color="auto" w:sz="4" w:space="0"/>
            </w:tcBorders>
            <w:noWrap w:val="0"/>
            <w:vAlign w:val="center"/>
          </w:tcPr>
          <w:p>
            <w:pPr>
              <w:spacing w:line="480" w:lineRule="exact"/>
              <w:jc w:val="center"/>
              <w:rPr>
                <w:rFonts w:ascii="宋体" w:hAnsi="宋体"/>
                <w:b/>
                <w:kern w:val="2"/>
                <w:szCs w:val="21"/>
              </w:rPr>
            </w:pPr>
            <w:r>
              <w:rPr>
                <w:rFonts w:hint="eastAsia" w:ascii="宋体" w:hAnsi="宋体"/>
                <w:b/>
                <w:kern w:val="2"/>
                <w:szCs w:val="21"/>
              </w:rPr>
              <w:t>扣分标准</w:t>
            </w:r>
          </w:p>
        </w:tc>
        <w:tc>
          <w:tcPr>
            <w:tcW w:w="850" w:type="dxa"/>
            <w:tcBorders>
              <w:top w:val="double" w:color="auto" w:sz="4" w:space="0"/>
              <w:left w:val="single" w:color="auto" w:sz="4" w:space="0"/>
              <w:bottom w:val="double" w:color="auto" w:sz="4" w:space="0"/>
              <w:right w:val="single" w:color="auto" w:sz="4" w:space="0"/>
            </w:tcBorders>
            <w:noWrap w:val="0"/>
            <w:vAlign w:val="center"/>
          </w:tcPr>
          <w:p>
            <w:pPr>
              <w:spacing w:line="480" w:lineRule="exact"/>
              <w:jc w:val="center"/>
              <w:rPr>
                <w:rFonts w:ascii="宋体" w:hAnsi="宋体"/>
                <w:b/>
                <w:kern w:val="2"/>
                <w:sz w:val="20"/>
              </w:rPr>
            </w:pPr>
            <w:r>
              <w:rPr>
                <w:rFonts w:hint="eastAsia" w:ascii="宋体" w:hAnsi="宋体"/>
                <w:b/>
                <w:kern w:val="2"/>
                <w:sz w:val="20"/>
              </w:rPr>
              <w:t>扣分</w:t>
            </w:r>
          </w:p>
        </w:tc>
        <w:tc>
          <w:tcPr>
            <w:tcW w:w="850" w:type="dxa"/>
            <w:tcBorders>
              <w:top w:val="double" w:color="auto" w:sz="4" w:space="0"/>
              <w:left w:val="single" w:color="auto" w:sz="4" w:space="0"/>
              <w:bottom w:val="double" w:color="auto" w:sz="4" w:space="0"/>
              <w:right w:val="double" w:color="auto" w:sz="4" w:space="0"/>
            </w:tcBorders>
            <w:noWrap w:val="0"/>
            <w:vAlign w:val="center"/>
          </w:tcPr>
          <w:p>
            <w:pPr>
              <w:spacing w:line="480" w:lineRule="exact"/>
              <w:jc w:val="center"/>
              <w:rPr>
                <w:rFonts w:ascii="宋体" w:hAnsi="宋体"/>
                <w:b/>
                <w:kern w:val="2"/>
                <w:sz w:val="20"/>
              </w:rPr>
            </w:pPr>
            <w:r>
              <w:rPr>
                <w:rFonts w:hint="eastAsia" w:ascii="宋体" w:hAnsi="宋体"/>
                <w:b/>
                <w:kern w:val="2"/>
                <w:sz w:val="20"/>
              </w:rPr>
              <w:t>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restart"/>
            <w:tcBorders>
              <w:top w:val="double" w:color="auto" w:sz="4" w:space="0"/>
              <w:left w:val="doub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基本</w:t>
            </w:r>
          </w:p>
          <w:p>
            <w:pPr>
              <w:spacing w:line="360" w:lineRule="exact"/>
              <w:rPr>
                <w:rFonts w:ascii="宋体" w:hAnsi="宋体"/>
                <w:kern w:val="2"/>
                <w:szCs w:val="21"/>
              </w:rPr>
            </w:pPr>
            <w:r>
              <w:rPr>
                <w:rFonts w:hint="eastAsia" w:ascii="宋体" w:hAnsi="宋体"/>
                <w:kern w:val="2"/>
                <w:szCs w:val="21"/>
              </w:rPr>
              <w:t>素质</w:t>
            </w:r>
          </w:p>
          <w:p>
            <w:pPr>
              <w:spacing w:line="360" w:lineRule="exact"/>
              <w:rPr>
                <w:rFonts w:ascii="宋体" w:hAnsi="宋体"/>
                <w:kern w:val="2"/>
                <w:szCs w:val="21"/>
              </w:rPr>
            </w:pPr>
            <w:r>
              <w:rPr>
                <w:rFonts w:hint="eastAsia" w:ascii="宋体" w:hAnsi="宋体"/>
                <w:kern w:val="2"/>
                <w:szCs w:val="21"/>
              </w:rPr>
              <w:t>37分</w:t>
            </w:r>
          </w:p>
        </w:tc>
        <w:tc>
          <w:tcPr>
            <w:tcW w:w="558" w:type="dxa"/>
            <w:tcBorders>
              <w:top w:val="doub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doub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服从护士长工作安排，配合护士工作</w:t>
            </w:r>
          </w:p>
        </w:tc>
        <w:tc>
          <w:tcPr>
            <w:tcW w:w="1985" w:type="dxa"/>
            <w:tcBorders>
              <w:top w:val="doub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不服从安排</w:t>
            </w:r>
          </w:p>
          <w:p>
            <w:pPr>
              <w:spacing w:line="260" w:lineRule="exact"/>
              <w:rPr>
                <w:rFonts w:ascii="宋体" w:hAnsi="宋体"/>
                <w:kern w:val="2"/>
                <w:szCs w:val="21"/>
              </w:rPr>
            </w:pPr>
            <w:r>
              <w:rPr>
                <w:rFonts w:hint="eastAsia" w:ascii="宋体" w:hAnsi="宋体"/>
                <w:kern w:val="2"/>
                <w:szCs w:val="21"/>
              </w:rPr>
              <w:t>或不配合扣5分</w:t>
            </w:r>
          </w:p>
        </w:tc>
        <w:tc>
          <w:tcPr>
            <w:tcW w:w="850" w:type="dxa"/>
            <w:tcBorders>
              <w:top w:val="doub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doub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doub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 xml:space="preserve">工作时无脱岗、串岗、闲谈现象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违反一次扣1分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doub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统一规范着装、佩戴胸牌上岗</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发现一次扣1分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doub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尊重患者，保护患者隐私，不谈论与患者病情、治疗、护理相关话题</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发现一次扣1分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doub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10</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 xml:space="preserve">对待患者热情、细心、态度和蔼，不得与患者和家属及陪护员之间吵架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发现一次扣5分，情结严重者加倍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 w:hRule="atLeast"/>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不得私自对患者提供有偿服务，严禁向</w:t>
            </w:r>
          </w:p>
          <w:p>
            <w:pPr>
              <w:spacing w:line="260" w:lineRule="exact"/>
              <w:rPr>
                <w:rFonts w:ascii="宋体" w:hAnsi="宋体"/>
                <w:kern w:val="2"/>
                <w:szCs w:val="21"/>
              </w:rPr>
            </w:pPr>
            <w:r>
              <w:rPr>
                <w:rFonts w:hint="eastAsia" w:ascii="宋体" w:hAnsi="宋体"/>
                <w:kern w:val="2"/>
                <w:szCs w:val="21"/>
              </w:rPr>
              <w:t>患者索要、收受礼品及小费</w:t>
            </w:r>
          </w:p>
        </w:tc>
        <w:tc>
          <w:tcPr>
            <w:tcW w:w="1985" w:type="dxa"/>
            <w:tcBorders>
              <w:top w:val="single" w:color="auto" w:sz="4" w:space="0"/>
              <w:left w:val="single" w:color="auto" w:sz="4" w:space="0"/>
              <w:right w:val="single" w:color="auto" w:sz="4" w:space="0"/>
            </w:tcBorders>
            <w:noWrap w:val="0"/>
            <w:vAlign w:val="center"/>
          </w:tcPr>
          <w:p>
            <w:pPr>
              <w:rPr>
                <w:rFonts w:ascii="宋体" w:hAnsi="宋体"/>
                <w:kern w:val="2"/>
                <w:szCs w:val="21"/>
              </w:rPr>
            </w:pPr>
            <w:r>
              <w:rPr>
                <w:rFonts w:hint="eastAsia" w:ascii="宋体" w:hAnsi="宋体"/>
                <w:kern w:val="2"/>
                <w:szCs w:val="21"/>
              </w:rPr>
              <w:t>发现一次扣3分情结严重者加倍</w:t>
            </w:r>
          </w:p>
        </w:tc>
        <w:tc>
          <w:tcPr>
            <w:tcW w:w="850" w:type="dxa"/>
            <w:tcBorders>
              <w:top w:val="single" w:color="auto" w:sz="4" w:space="0"/>
              <w:left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doub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遵守医院的各项规章制度，节约水电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每发现一次扣0.5分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doub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不得在病区洗澡、洗头、洗衣等，不得干私活</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发现一次扣1分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restart"/>
            <w:tcBorders>
              <w:top w:val="single" w:color="auto" w:sz="4" w:space="0"/>
              <w:left w:val="doub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病人护理</w:t>
            </w:r>
          </w:p>
          <w:p>
            <w:pPr>
              <w:spacing w:line="360" w:lineRule="exact"/>
              <w:rPr>
                <w:rFonts w:ascii="宋体" w:hAnsi="宋体"/>
                <w:kern w:val="2"/>
                <w:szCs w:val="21"/>
              </w:rPr>
            </w:pPr>
            <w:r>
              <w:rPr>
                <w:rFonts w:hint="eastAsia" w:ascii="宋体" w:hAnsi="宋体"/>
                <w:kern w:val="2"/>
                <w:szCs w:val="21"/>
              </w:rPr>
              <w:t>25分</w:t>
            </w: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患者趾、指甲短、清洁，头发、皮肤清洁</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查10位患者，一人不符扣0.5分，</w:t>
            </w:r>
            <w:r>
              <w:rPr>
                <w:rFonts w:ascii="宋体" w:hAnsi="宋体"/>
                <w:kern w:val="2"/>
                <w:szCs w:val="21"/>
              </w:rPr>
              <w:t xml:space="preserve">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协助护士做好安全告知</w:t>
            </w: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生活不能自理者送饭、送水到床头，能给予入厕、洗漱、饮食等照料</w:t>
            </w: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不得从事与陪护工作无关的技术性护理操作</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kern w:val="2"/>
                <w:szCs w:val="21"/>
              </w:rPr>
              <w:t>每次扣1分，情结严重的加倍扣分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协助及时收集标本，并能及时正确向医护人员反馈</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询问护士，一次不满意扣1分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restart"/>
            <w:tcBorders>
              <w:top w:val="single" w:color="auto" w:sz="4" w:space="0"/>
              <w:left w:val="doub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病房环境</w:t>
            </w:r>
          </w:p>
          <w:p>
            <w:pPr>
              <w:spacing w:line="360" w:lineRule="exact"/>
              <w:rPr>
                <w:rFonts w:ascii="宋体" w:hAnsi="宋体"/>
                <w:kern w:val="2"/>
                <w:szCs w:val="21"/>
              </w:rPr>
            </w:pPr>
            <w:r>
              <w:rPr>
                <w:rFonts w:hint="eastAsia" w:ascii="宋体" w:hAnsi="宋体"/>
                <w:kern w:val="2"/>
                <w:szCs w:val="21"/>
              </w:rPr>
              <w:t>25分</w:t>
            </w: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床、床头桌清洁，物品摆放整齐</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一处不符扣0.5分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脸盆、便器不着地，做好躺椅的管理</w:t>
            </w: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szCs w:val="21"/>
              </w:rPr>
              <w:t>服从护士长、护士的管理，换洗的衣物必须晾晒在指定的地方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一处不符扣1分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床帘根据需要使用，不用时及时收起</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r>
              <w:rPr>
                <w:rFonts w:hint="eastAsia" w:ascii="宋体" w:hAnsi="宋体"/>
                <w:kern w:val="2"/>
                <w:szCs w:val="21"/>
              </w:rPr>
              <w:t>一处不符扣0.5分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2</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病房空气清新，无异味</w:t>
            </w: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无长明灯、长流水和无人房间开空调现象</w:t>
            </w: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restart"/>
            <w:tcBorders>
              <w:top w:val="single" w:color="auto" w:sz="4" w:space="0"/>
              <w:left w:val="doub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院感控制</w:t>
            </w:r>
          </w:p>
          <w:p>
            <w:pPr>
              <w:spacing w:line="360" w:lineRule="exact"/>
              <w:rPr>
                <w:rFonts w:ascii="宋体" w:hAnsi="宋体"/>
                <w:kern w:val="2"/>
                <w:szCs w:val="21"/>
              </w:rPr>
            </w:pPr>
            <w:r>
              <w:rPr>
                <w:rFonts w:hint="eastAsia" w:ascii="宋体" w:hAnsi="宋体"/>
                <w:kern w:val="2"/>
                <w:szCs w:val="21"/>
              </w:rPr>
              <w:t>8分</w:t>
            </w: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2</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了解院内感染的一些基本知识</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不了解扣1分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接触患者前后洗手或用快速手消毒液</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一次不符扣1分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接触患者体液、血液等戴好手套</w:t>
            </w: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2"/>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 w:hRule="atLeast"/>
        </w:trPr>
        <w:tc>
          <w:tcPr>
            <w:tcW w:w="757" w:type="dxa"/>
            <w:vMerge w:val="restart"/>
            <w:tcBorders>
              <w:top w:val="single" w:color="auto" w:sz="4" w:space="0"/>
              <w:left w:val="double" w:color="auto" w:sz="4" w:space="0"/>
              <w:bottom w:val="single" w:color="auto" w:sz="4" w:space="0"/>
              <w:right w:val="single" w:color="auto" w:sz="4" w:space="0"/>
            </w:tcBorders>
            <w:noWrap w:val="0"/>
            <w:vAlign w:val="center"/>
          </w:tcPr>
          <w:p>
            <w:pPr>
              <w:spacing w:line="360" w:lineRule="exact"/>
              <w:rPr>
                <w:rFonts w:ascii="宋体" w:hAnsi="宋体"/>
                <w:kern w:val="2"/>
                <w:szCs w:val="21"/>
              </w:rPr>
            </w:pPr>
            <w:r>
              <w:rPr>
                <w:rFonts w:hint="eastAsia" w:ascii="宋体" w:hAnsi="宋体"/>
                <w:kern w:val="2"/>
                <w:szCs w:val="21"/>
              </w:rPr>
              <w:t>满意度</w:t>
            </w:r>
          </w:p>
          <w:p>
            <w:pPr>
              <w:spacing w:line="360" w:lineRule="exact"/>
              <w:rPr>
                <w:rFonts w:ascii="宋体" w:hAnsi="宋体"/>
                <w:kern w:val="2"/>
                <w:szCs w:val="21"/>
              </w:rPr>
            </w:pPr>
            <w:r>
              <w:rPr>
                <w:rFonts w:hint="eastAsia" w:ascii="宋体" w:hAnsi="宋体"/>
                <w:kern w:val="2"/>
                <w:szCs w:val="21"/>
              </w:rPr>
              <w:t>5分</w:t>
            </w:r>
          </w:p>
          <w:p>
            <w:pPr>
              <w:spacing w:line="360" w:lineRule="exact"/>
              <w:rPr>
                <w:rFonts w:ascii="宋体" w:hAnsi="宋体"/>
                <w:kern w:val="2"/>
                <w:szCs w:val="21"/>
              </w:rPr>
            </w:pPr>
          </w:p>
        </w:tc>
        <w:tc>
          <w:tcPr>
            <w:tcW w:w="45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患者满意度＞90%，被患者投诉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视情节扣3-5分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3" w:hRule="atLeast"/>
        </w:trPr>
        <w:tc>
          <w:tcPr>
            <w:tcW w:w="757" w:type="dxa"/>
            <w:vMerge w:val="continue"/>
            <w:tcBorders>
              <w:top w:val="single" w:color="auto" w:sz="4" w:space="0"/>
              <w:left w:val="double" w:color="auto" w:sz="4" w:space="0"/>
              <w:bottom w:val="single" w:color="auto" w:sz="4" w:space="0"/>
              <w:right w:val="single" w:color="auto" w:sz="4" w:space="0"/>
            </w:tcBorders>
            <w:noWrap w:val="0"/>
            <w:vAlign w:val="center"/>
          </w:tcPr>
          <w:p>
            <w:pPr>
              <w:rPr>
                <w:rFonts w:ascii="宋体" w:hAnsi="宋体"/>
                <w:kern w:val="2"/>
                <w:szCs w:val="21"/>
              </w:rPr>
            </w:pPr>
          </w:p>
        </w:tc>
        <w:tc>
          <w:tcPr>
            <w:tcW w:w="45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受到患者、医务人员表扬（医院收到表扬信、锦旗或得到医务人员表扬）</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ascii="宋体" w:hAnsi="宋体"/>
                <w:kern w:val="2"/>
                <w:szCs w:val="21"/>
              </w:rPr>
            </w:pPr>
            <w:r>
              <w:rPr>
                <w:rFonts w:hint="eastAsia" w:ascii="宋体" w:hAnsi="宋体"/>
                <w:kern w:val="2"/>
                <w:szCs w:val="21"/>
              </w:rPr>
              <w:t>经核实，加1-2分/次</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kern w:val="2"/>
                <w:sz w:val="20"/>
              </w:rPr>
            </w:pPr>
          </w:p>
        </w:tc>
        <w:tc>
          <w:tcPr>
            <w:tcW w:w="850" w:type="dxa"/>
            <w:tcBorders>
              <w:top w:val="single" w:color="auto" w:sz="4" w:space="0"/>
              <w:left w:val="single" w:color="auto" w:sz="4" w:space="0"/>
              <w:bottom w:val="single" w:color="auto" w:sz="4" w:space="0"/>
              <w:right w:val="double" w:color="auto" w:sz="4" w:space="0"/>
            </w:tcBorders>
            <w:noWrap w:val="0"/>
            <w:vAlign w:val="center"/>
          </w:tcPr>
          <w:p>
            <w:pPr>
              <w:spacing w:line="360" w:lineRule="exact"/>
              <w:rPr>
                <w:rFonts w:ascii="宋体" w:hAnsi="宋体"/>
                <w:kern w:val="2"/>
                <w:sz w:val="20"/>
              </w:rPr>
            </w:pPr>
          </w:p>
        </w:tc>
      </w:tr>
    </w:tbl>
    <w:p>
      <w:pPr>
        <w:spacing w:line="500" w:lineRule="exact"/>
        <w:ind w:firstLine="420" w:firstLineChars="200"/>
        <w:rPr>
          <w:rFonts w:ascii="宋体" w:hAnsi="宋体"/>
          <w:szCs w:val="21"/>
        </w:rPr>
      </w:pPr>
      <w:r>
        <w:rPr>
          <w:rFonts w:hint="eastAsia" w:ascii="宋体" w:hAnsi="宋体"/>
          <w:szCs w:val="21"/>
        </w:rPr>
        <w:t>注：如发生其它未在考核范围内的涉及到医院形象、声誉的重大事件，有医院经济责任制考核小组另行商定考核，并可视情况解除服务合同。情结恶劣的可追究其法律责任，并赔偿医院所有损失。该条也适用于优质护理服务的考核,其它考核办法与优质护理人员相同。</w:t>
      </w:r>
    </w:p>
    <w:p>
      <w:pPr>
        <w:pStyle w:val="2"/>
        <w:tabs>
          <w:tab w:val="center" w:pos="4819"/>
        </w:tabs>
        <w:spacing w:before="200" w:after="200" w:line="360" w:lineRule="auto"/>
        <w:jc w:val="center"/>
        <w:rPr>
          <w:rFonts w:hint="eastAsia" w:ascii="宋体" w:hAnsi="宋体"/>
          <w:sz w:val="32"/>
        </w:rPr>
      </w:pPr>
    </w:p>
    <w:p>
      <w:pPr>
        <w:rPr>
          <w:rFonts w:hint="eastAsia" w:ascii="宋体" w:hAnsi="宋体"/>
          <w:sz w:val="32"/>
        </w:rPr>
      </w:pPr>
    </w:p>
    <w:p>
      <w:pPr>
        <w:rPr>
          <w:rFonts w:hint="eastAsia" w:ascii="宋体" w:hAnsi="宋体"/>
          <w:sz w:val="32"/>
        </w:rPr>
      </w:pPr>
    </w:p>
    <w:p>
      <w:pPr>
        <w:rPr>
          <w:rFonts w:ascii="宋体" w:hAnsi="宋体"/>
          <w:sz w:val="32"/>
        </w:rPr>
      </w:pPr>
    </w:p>
    <w:p>
      <w:pPr>
        <w:rPr>
          <w:rFonts w:ascii="宋体" w:hAnsi="宋体"/>
          <w:sz w:val="32"/>
        </w:rPr>
      </w:pPr>
    </w:p>
    <w:p>
      <w:pPr>
        <w:rPr>
          <w:rFonts w:hint="eastAsia" w:ascii="宋体" w:hAnsi="宋体"/>
          <w:sz w:val="32"/>
        </w:rPr>
      </w:pPr>
    </w:p>
    <w:p>
      <w:pPr>
        <w:rPr>
          <w:rFonts w:hint="eastAsia" w:ascii="宋体" w:hAnsi="宋体"/>
          <w:sz w:val="32"/>
        </w:rPr>
      </w:pPr>
    </w:p>
    <w:p>
      <w:pPr>
        <w:pStyle w:val="2"/>
        <w:widowControl w:val="0"/>
        <w:spacing w:before="100" w:after="100" w:line="312" w:lineRule="auto"/>
        <w:jc w:val="center"/>
        <w:rPr>
          <w:rFonts w:ascii="宋体" w:hAnsi="宋体"/>
          <w:sz w:val="32"/>
        </w:rPr>
      </w:pPr>
      <w:bookmarkStart w:id="78" w:name="_Toc13227283"/>
      <w:r>
        <w:rPr>
          <w:rFonts w:hint="eastAsia" w:ascii="宋体" w:hAnsi="宋体"/>
          <w:sz w:val="32"/>
        </w:rPr>
        <w:t xml:space="preserve">第四部分  </w:t>
      </w:r>
      <w:r>
        <w:rPr>
          <w:rFonts w:ascii="宋体" w:hAnsi="宋体"/>
          <w:sz w:val="32"/>
        </w:rPr>
        <w:t>评标办法及标准</w:t>
      </w:r>
      <w:bookmarkEnd w:id="78"/>
    </w:p>
    <w:p/>
    <w:p>
      <w:pPr>
        <w:spacing w:line="360" w:lineRule="auto"/>
        <w:ind w:firstLine="420" w:firstLineChars="200"/>
        <w:rPr>
          <w:rFonts w:ascii="宋体" w:hAnsi="宋体"/>
          <w:szCs w:val="21"/>
        </w:rPr>
      </w:pPr>
      <w:r>
        <w:rPr>
          <w:rFonts w:hint="eastAsia" w:ascii="宋体" w:hAnsi="宋体"/>
          <w:szCs w:val="21"/>
        </w:rPr>
        <w:t>为公正、公平、科学地选择中标人，根据《中华人民共和国政府采购法》等有关法律法规的规定，并结合本项目的实际，制定本办法。</w:t>
      </w:r>
    </w:p>
    <w:p>
      <w:pPr>
        <w:pStyle w:val="178"/>
        <w:spacing w:before="142" w:line="360" w:lineRule="auto"/>
      </w:pPr>
      <w:bookmarkStart w:id="79" w:name="_Toc13227284"/>
      <w:r>
        <w:rPr>
          <w:rFonts w:hint="eastAsia"/>
        </w:rPr>
        <w:t>一、总则</w:t>
      </w:r>
      <w:bookmarkEnd w:id="79"/>
    </w:p>
    <w:p>
      <w:pPr>
        <w:spacing w:line="360" w:lineRule="auto"/>
        <w:ind w:firstLine="422" w:firstLineChars="200"/>
        <w:rPr>
          <w:rFonts w:ascii="宋体" w:hAnsi="宋体"/>
          <w:bCs/>
          <w:szCs w:val="21"/>
        </w:rPr>
      </w:pPr>
      <w:r>
        <w:rPr>
          <w:rFonts w:hint="eastAsia" w:ascii="宋体" w:hAnsi="宋体"/>
          <w:b/>
          <w:szCs w:val="21"/>
        </w:rPr>
        <w:t>本次评标采用综合评分法，总分为100分，其中价格分</w:t>
      </w:r>
      <w:r>
        <w:rPr>
          <w:rFonts w:ascii="宋体" w:hAnsi="宋体"/>
          <w:b/>
          <w:szCs w:val="21"/>
        </w:rPr>
        <w:t>15</w:t>
      </w:r>
      <w:r>
        <w:rPr>
          <w:rFonts w:hint="eastAsia" w:ascii="宋体" w:hAnsi="宋体"/>
          <w:b/>
          <w:szCs w:val="21"/>
        </w:rPr>
        <w:t>分、技术商务资信分</w:t>
      </w:r>
      <w:r>
        <w:rPr>
          <w:rFonts w:ascii="宋体" w:hAnsi="宋体"/>
          <w:b/>
          <w:szCs w:val="21"/>
        </w:rPr>
        <w:t>85</w:t>
      </w:r>
      <w:r>
        <w:rPr>
          <w:rFonts w:hint="eastAsia" w:ascii="宋体" w:hAnsi="宋体"/>
          <w:b/>
          <w:szCs w:val="21"/>
        </w:rPr>
        <w:t>分</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1.评标委员会将按照“公正、科学、严谨”的原则对初步审查合格的投标单位进行价格、技术资信商务评审；</w:t>
      </w:r>
    </w:p>
    <w:p>
      <w:pPr>
        <w:spacing w:line="360" w:lineRule="auto"/>
        <w:ind w:firstLine="420" w:firstLineChars="200"/>
        <w:rPr>
          <w:rFonts w:ascii="宋体" w:hAnsi="宋体"/>
          <w:bCs/>
          <w:szCs w:val="21"/>
        </w:rPr>
      </w:pPr>
      <w:r>
        <w:rPr>
          <w:rFonts w:hint="eastAsia" w:ascii="宋体" w:hAnsi="宋体"/>
          <w:bCs/>
          <w:szCs w:val="21"/>
        </w:rPr>
        <w:t>2.对投标单位的技术商务评审，采用记名方式取所有评委有效评分的算术平均数作为最终评定分（所有分值保留小数点后2位，小数点按四舍五入处理）；</w:t>
      </w:r>
    </w:p>
    <w:p>
      <w:pPr>
        <w:spacing w:line="360" w:lineRule="auto"/>
        <w:rPr>
          <w:rFonts w:ascii="宋体" w:hAnsi="宋体"/>
          <w:bCs/>
          <w:szCs w:val="21"/>
        </w:rPr>
      </w:pPr>
      <w:r>
        <w:rPr>
          <w:rFonts w:hint="eastAsia" w:ascii="宋体" w:hAnsi="宋体"/>
          <w:bCs/>
          <w:szCs w:val="21"/>
        </w:rPr>
        <w:t xml:space="preserve">    3.最终得分及排序：计算各投标单位的评审总分（即技术商务分+价格分），按总得分由高到低顺序排序;总得分相同的，按投标报价由低到高顺序排列；总得分且投标报价相同的，按技术分得分由高到低顺序排列；</w:t>
      </w:r>
    </w:p>
    <w:p>
      <w:pPr>
        <w:spacing w:line="360" w:lineRule="auto"/>
        <w:ind w:firstLine="420" w:firstLineChars="200"/>
        <w:rPr>
          <w:rFonts w:ascii="宋体" w:hAnsi="宋体"/>
          <w:bCs/>
          <w:szCs w:val="21"/>
        </w:rPr>
      </w:pPr>
      <w:r>
        <w:rPr>
          <w:rFonts w:hint="eastAsia" w:ascii="宋体" w:hAnsi="宋体"/>
          <w:bCs/>
          <w:szCs w:val="21"/>
        </w:rPr>
        <w:t>4.推荐中标原则:推荐最终得分最高者或排序第一者为中标候选人；</w:t>
      </w:r>
    </w:p>
    <w:p>
      <w:pPr>
        <w:spacing w:line="440" w:lineRule="exact"/>
        <w:ind w:firstLine="420" w:firstLineChars="200"/>
        <w:rPr>
          <w:rFonts w:ascii="宋体" w:hAnsi="宋体"/>
          <w:bCs/>
          <w:szCs w:val="21"/>
        </w:rPr>
      </w:pPr>
      <w:r>
        <w:rPr>
          <w:rFonts w:hint="eastAsia" w:ascii="宋体" w:hAnsi="宋体"/>
          <w:bCs/>
          <w:szCs w:val="21"/>
        </w:rPr>
        <w:t>5.评标过程中如发现有异常情况，由评委集体讨论决定。</w:t>
      </w:r>
    </w:p>
    <w:p>
      <w:pPr>
        <w:pStyle w:val="178"/>
        <w:spacing w:before="142" w:after="120" w:line="360" w:lineRule="auto"/>
        <w:rPr>
          <w:b w:val="0"/>
        </w:rPr>
      </w:pPr>
      <w:bookmarkStart w:id="80" w:name="_Toc13227285"/>
      <w:r>
        <w:rPr>
          <w:rFonts w:hint="eastAsia"/>
          <w:bCs/>
        </w:rPr>
        <w:t>二、评标内容及标准</w:t>
      </w:r>
      <w:bookmarkEnd w:id="80"/>
    </w:p>
    <w:p>
      <w:pPr>
        <w:spacing w:line="360" w:lineRule="auto"/>
        <w:ind w:firstLine="422" w:firstLineChars="200"/>
        <w:rPr>
          <w:rFonts w:hAnsi="宋体"/>
          <w:b/>
          <w:bCs/>
          <w:szCs w:val="21"/>
        </w:rPr>
      </w:pPr>
      <w:r>
        <w:rPr>
          <w:rFonts w:hint="eastAsia" w:hAnsi="宋体"/>
          <w:b/>
          <w:bCs/>
          <w:szCs w:val="21"/>
        </w:rPr>
        <w:t>（一）价格分（</w:t>
      </w:r>
      <w:r>
        <w:rPr>
          <w:rFonts w:hAnsi="宋体"/>
          <w:b/>
          <w:bCs/>
          <w:szCs w:val="21"/>
        </w:rPr>
        <w:t>15</w:t>
      </w:r>
      <w:r>
        <w:rPr>
          <w:rFonts w:hint="eastAsia" w:hAnsi="宋体"/>
          <w:b/>
          <w:bCs/>
          <w:szCs w:val="21"/>
        </w:rPr>
        <w:t>分）</w:t>
      </w:r>
    </w:p>
    <w:p>
      <w:pPr>
        <w:spacing w:line="360" w:lineRule="auto"/>
        <w:ind w:firstLine="420" w:firstLineChars="200"/>
        <w:rPr>
          <w:rFonts w:hint="eastAsia" w:ascii="宋体" w:hAnsi="宋体"/>
          <w:bCs/>
          <w:szCs w:val="21"/>
        </w:rPr>
      </w:pPr>
      <w:r>
        <w:rPr>
          <w:rFonts w:hint="eastAsia" w:ascii="宋体" w:hAnsi="宋体"/>
          <w:bCs/>
          <w:szCs w:val="21"/>
        </w:rPr>
        <w:t>评标基准价=满足招标文件要求且投标价格最低的投标报价</w:t>
      </w:r>
    </w:p>
    <w:p>
      <w:pPr>
        <w:spacing w:line="360" w:lineRule="auto"/>
        <w:ind w:firstLine="420" w:firstLineChars="200"/>
        <w:rPr>
          <w:rFonts w:hint="eastAsia" w:ascii="宋体" w:hAnsi="宋体"/>
          <w:bCs/>
          <w:szCs w:val="21"/>
        </w:rPr>
      </w:pPr>
      <w:r>
        <w:rPr>
          <w:rFonts w:hint="eastAsia" w:ascii="宋体" w:hAnsi="宋体"/>
          <w:bCs/>
          <w:szCs w:val="21"/>
        </w:rPr>
        <w:t>基准价得分为满分。</w:t>
      </w:r>
    </w:p>
    <w:p>
      <w:pPr>
        <w:spacing w:line="360" w:lineRule="auto"/>
        <w:ind w:firstLine="420" w:firstLineChars="200"/>
        <w:rPr>
          <w:rFonts w:hint="eastAsia" w:ascii="宋体" w:hAnsi="宋体"/>
          <w:bCs/>
          <w:szCs w:val="21"/>
        </w:rPr>
      </w:pPr>
      <w:r>
        <w:rPr>
          <w:rFonts w:hint="eastAsia" w:ascii="宋体" w:hAnsi="宋体"/>
          <w:bCs/>
          <w:szCs w:val="21"/>
        </w:rPr>
        <w:t>参与评审的价格=投标报价-小微企业价格扣除优惠值（如有）</w:t>
      </w:r>
    </w:p>
    <w:p>
      <w:pPr>
        <w:spacing w:line="360" w:lineRule="auto"/>
        <w:ind w:firstLine="420" w:firstLineChars="200"/>
        <w:rPr>
          <w:rFonts w:ascii="宋体" w:hAnsi="宋体"/>
          <w:bCs/>
          <w:szCs w:val="21"/>
        </w:rPr>
      </w:pPr>
      <w:r>
        <w:rPr>
          <w:rFonts w:hint="eastAsia" w:ascii="宋体" w:hAnsi="宋体"/>
          <w:bCs/>
          <w:szCs w:val="21"/>
        </w:rPr>
        <w:t>投标报价得分=(评标基准价/投标报价)×价格权重×100；投标报价得分以四舍五入保留小数点后一位。</w:t>
      </w:r>
    </w:p>
    <w:p>
      <w:pPr>
        <w:spacing w:line="440" w:lineRule="exact"/>
        <w:ind w:firstLine="422" w:firstLineChars="200"/>
        <w:rPr>
          <w:rFonts w:hint="eastAsia" w:ascii="宋体" w:hAnsi="宋体"/>
          <w:sz w:val="18"/>
          <w:szCs w:val="18"/>
        </w:rPr>
      </w:pPr>
      <w:r>
        <w:rPr>
          <w:rFonts w:hint="eastAsia" w:ascii="宋体" w:hAnsi="宋体"/>
          <w:b/>
          <w:bCs/>
          <w:szCs w:val="21"/>
        </w:rPr>
        <w:t>若评标委员会认为投标人的投标报价明显低于其他有效投标报价，有可能影响服务质量或者不能诚信履约的，将要求其在评标现场合理的时间内提供书面说明，并提供相关证明材料；投标人不能证明其报价合理性的，评标委员会将认定该投标人的投标报价为低于成本报价，将其作无效投标处理</w:t>
      </w:r>
      <w:r>
        <w:rPr>
          <w:rFonts w:hint="eastAsia" w:ascii="宋体" w:hAnsi="宋体"/>
          <w:b/>
          <w:bCs/>
          <w:sz w:val="18"/>
          <w:szCs w:val="18"/>
        </w:rPr>
        <w:t>。</w:t>
      </w:r>
    </w:p>
    <w:p>
      <w:pPr>
        <w:spacing w:line="360" w:lineRule="auto"/>
        <w:ind w:firstLine="420" w:firstLineChars="200"/>
        <w:rPr>
          <w:rFonts w:hint="eastAsia" w:ascii="宋体" w:hAnsi="宋体"/>
          <w:bCs/>
          <w:szCs w:val="21"/>
        </w:rPr>
      </w:pPr>
    </w:p>
    <w:p>
      <w:pPr>
        <w:spacing w:line="360" w:lineRule="auto"/>
        <w:ind w:firstLine="422" w:firstLineChars="200"/>
        <w:rPr>
          <w:bCs/>
          <w:szCs w:val="21"/>
        </w:rPr>
      </w:pPr>
      <w:r>
        <w:rPr>
          <w:rFonts w:hint="eastAsia"/>
          <w:b/>
          <w:szCs w:val="21"/>
        </w:rPr>
        <w:t>（二）技术</w:t>
      </w:r>
      <w:r>
        <w:rPr>
          <w:rFonts w:hint="eastAsia" w:hAnsi="宋体"/>
          <w:b/>
          <w:bCs/>
          <w:szCs w:val="21"/>
        </w:rPr>
        <w:t>商务</w:t>
      </w:r>
      <w:r>
        <w:rPr>
          <w:rFonts w:hint="eastAsia"/>
          <w:b/>
          <w:szCs w:val="21"/>
        </w:rPr>
        <w:t>资信分（</w:t>
      </w:r>
      <w:r>
        <w:rPr>
          <w:b/>
          <w:szCs w:val="21"/>
        </w:rPr>
        <w:t>85</w:t>
      </w:r>
      <w:r>
        <w:rPr>
          <w:rFonts w:hint="eastAsia"/>
          <w:b/>
          <w:szCs w:val="21"/>
        </w:rPr>
        <w:t>分）：</w:t>
      </w:r>
      <w:r>
        <w:rPr>
          <w:rFonts w:hint="eastAsia"/>
          <w:bCs/>
          <w:szCs w:val="21"/>
        </w:rPr>
        <w:t>技术商务分按照评标委员会成员的独立评分结果汇总数的算术平均分计算。</w:t>
      </w:r>
    </w:p>
    <w:p>
      <w:pPr>
        <w:spacing w:line="360" w:lineRule="auto"/>
        <w:ind w:firstLine="420" w:firstLineChars="200"/>
        <w:rPr>
          <w:bCs/>
          <w:szCs w:val="21"/>
        </w:rPr>
      </w:pPr>
    </w:p>
    <w:p>
      <w:pPr>
        <w:spacing w:line="360" w:lineRule="auto"/>
        <w:ind w:firstLine="420" w:firstLineChars="200"/>
        <w:rPr>
          <w:bCs/>
          <w:szCs w:val="21"/>
        </w:rPr>
      </w:pPr>
    </w:p>
    <w:p>
      <w:pPr>
        <w:spacing w:line="360" w:lineRule="auto"/>
        <w:rPr>
          <w:rFonts w:hint="eastAsia" w:ascii="Tahoma" w:hAnsi="Tahoma"/>
          <w:szCs w:val="21"/>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08"/>
        <w:gridCol w:w="5103"/>
        <w:gridCol w:w="709"/>
        <w:gridCol w:w="567"/>
        <w:gridCol w:w="567"/>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1" w:hRule="atLeast"/>
          <w:tblHeader/>
          <w:jc w:val="center"/>
        </w:trPr>
        <w:tc>
          <w:tcPr>
            <w:tcW w:w="809" w:type="dxa"/>
            <w:vMerge w:val="restart"/>
            <w:noWrap w:val="0"/>
            <w:vAlign w:val="center"/>
          </w:tcPr>
          <w:p>
            <w:pPr>
              <w:spacing w:line="276" w:lineRule="auto"/>
              <w:ind w:left="-107" w:leftChars="-51" w:right="-107" w:rightChars="-51"/>
              <w:jc w:val="center"/>
              <w:rPr>
                <w:rFonts w:hint="eastAsia" w:ascii="宋体" w:hAnsi="宋体"/>
                <w:szCs w:val="21"/>
              </w:rPr>
            </w:pPr>
            <w:r>
              <w:rPr>
                <w:rFonts w:hint="eastAsia" w:ascii="宋体" w:hAnsi="宋体"/>
                <w:szCs w:val="21"/>
              </w:rPr>
              <w:t>序号</w:t>
            </w:r>
          </w:p>
        </w:tc>
        <w:tc>
          <w:tcPr>
            <w:tcW w:w="6520" w:type="dxa"/>
            <w:gridSpan w:val="3"/>
            <w:noWrap w:val="0"/>
            <w:vAlign w:val="center"/>
          </w:tcPr>
          <w:p>
            <w:pPr>
              <w:spacing w:line="276" w:lineRule="auto"/>
              <w:jc w:val="center"/>
              <w:rPr>
                <w:rFonts w:hint="eastAsia" w:ascii="宋体" w:hAnsi="宋体"/>
                <w:szCs w:val="21"/>
              </w:rPr>
            </w:pPr>
            <w:r>
              <w:rPr>
                <w:rFonts w:hint="eastAsia" w:ascii="宋体" w:hAnsi="宋体"/>
                <w:szCs w:val="21"/>
              </w:rPr>
              <w:t>评审标准</w:t>
            </w:r>
          </w:p>
        </w:tc>
        <w:tc>
          <w:tcPr>
            <w:tcW w:w="1802" w:type="dxa"/>
            <w:gridSpan w:val="3"/>
            <w:noWrap w:val="0"/>
            <w:vAlign w:val="top"/>
          </w:tcPr>
          <w:p>
            <w:pPr>
              <w:spacing w:line="276" w:lineRule="auto"/>
              <w:jc w:val="center"/>
              <w:rPr>
                <w:rFonts w:hint="eastAsia"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1" w:hRule="atLeast"/>
          <w:tblHeader/>
          <w:jc w:val="center"/>
        </w:trPr>
        <w:tc>
          <w:tcPr>
            <w:tcW w:w="809" w:type="dxa"/>
            <w:vMerge w:val="continue"/>
            <w:noWrap w:val="0"/>
            <w:vAlign w:val="center"/>
          </w:tcPr>
          <w:p>
            <w:pPr>
              <w:spacing w:line="276" w:lineRule="auto"/>
              <w:ind w:left="-107" w:leftChars="-51" w:right="-107" w:rightChars="-51"/>
              <w:jc w:val="center"/>
              <w:rPr>
                <w:rFonts w:ascii="宋体" w:hAnsi="宋体"/>
                <w:szCs w:val="21"/>
              </w:rPr>
            </w:pPr>
          </w:p>
        </w:tc>
        <w:tc>
          <w:tcPr>
            <w:tcW w:w="5811" w:type="dxa"/>
            <w:gridSpan w:val="2"/>
            <w:noWrap w:val="0"/>
            <w:vAlign w:val="center"/>
          </w:tcPr>
          <w:p>
            <w:pPr>
              <w:spacing w:line="276" w:lineRule="auto"/>
              <w:jc w:val="center"/>
              <w:rPr>
                <w:rFonts w:ascii="宋体" w:hAnsi="宋体"/>
                <w:szCs w:val="21"/>
              </w:rPr>
            </w:pPr>
            <w:r>
              <w:rPr>
                <w:rFonts w:hint="eastAsia" w:ascii="宋体" w:hAnsi="宋体"/>
                <w:szCs w:val="21"/>
              </w:rPr>
              <w:t>评审内容</w:t>
            </w:r>
          </w:p>
        </w:tc>
        <w:tc>
          <w:tcPr>
            <w:tcW w:w="709" w:type="dxa"/>
            <w:noWrap w:val="0"/>
            <w:vAlign w:val="center"/>
          </w:tcPr>
          <w:p>
            <w:pPr>
              <w:spacing w:line="276" w:lineRule="auto"/>
              <w:jc w:val="center"/>
              <w:rPr>
                <w:rFonts w:hint="eastAsia" w:ascii="宋体" w:hAnsi="宋体"/>
                <w:szCs w:val="21"/>
              </w:rPr>
            </w:pPr>
            <w:r>
              <w:rPr>
                <w:rFonts w:hint="eastAsia" w:ascii="宋体" w:hAnsi="宋体"/>
                <w:szCs w:val="21"/>
              </w:rPr>
              <w:t>最高分值</w:t>
            </w:r>
          </w:p>
        </w:tc>
        <w:tc>
          <w:tcPr>
            <w:tcW w:w="567" w:type="dxa"/>
            <w:noWrap w:val="0"/>
            <w:vAlign w:val="top"/>
          </w:tcPr>
          <w:p>
            <w:pPr>
              <w:spacing w:line="276" w:lineRule="auto"/>
              <w:jc w:val="center"/>
              <w:rPr>
                <w:rFonts w:hint="eastAsia" w:ascii="宋体" w:hAnsi="宋体"/>
                <w:szCs w:val="21"/>
              </w:rPr>
            </w:pPr>
          </w:p>
        </w:tc>
        <w:tc>
          <w:tcPr>
            <w:tcW w:w="567" w:type="dxa"/>
            <w:noWrap w:val="0"/>
            <w:vAlign w:val="top"/>
          </w:tcPr>
          <w:p>
            <w:pPr>
              <w:spacing w:line="276" w:lineRule="auto"/>
              <w:jc w:val="center"/>
              <w:rPr>
                <w:rFonts w:hint="eastAsia" w:ascii="宋体" w:hAnsi="宋体"/>
                <w:szCs w:val="21"/>
              </w:rPr>
            </w:pPr>
          </w:p>
        </w:tc>
        <w:tc>
          <w:tcPr>
            <w:tcW w:w="668" w:type="dxa"/>
            <w:noWrap w:val="0"/>
            <w:vAlign w:val="top"/>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41" w:hRule="atLeast"/>
          <w:jc w:val="center"/>
        </w:trPr>
        <w:tc>
          <w:tcPr>
            <w:tcW w:w="809" w:type="dxa"/>
            <w:noWrap w:val="0"/>
            <w:vAlign w:val="center"/>
          </w:tcPr>
          <w:p>
            <w:pPr>
              <w:spacing w:line="276" w:lineRule="auto"/>
              <w:jc w:val="center"/>
              <w:rPr>
                <w:rFonts w:ascii="宋体" w:hAnsi="宋体"/>
                <w:szCs w:val="21"/>
              </w:rPr>
            </w:pPr>
            <w:r>
              <w:rPr>
                <w:rFonts w:ascii="宋体" w:hAnsi="宋体"/>
                <w:szCs w:val="21"/>
              </w:rPr>
              <w:t>1</w:t>
            </w:r>
          </w:p>
        </w:tc>
        <w:tc>
          <w:tcPr>
            <w:tcW w:w="5811" w:type="dxa"/>
            <w:gridSpan w:val="2"/>
            <w:noWrap w:val="0"/>
            <w:vAlign w:val="center"/>
          </w:tcPr>
          <w:p>
            <w:pPr>
              <w:spacing w:line="288" w:lineRule="auto"/>
              <w:rPr>
                <w:rFonts w:ascii="宋体" w:hAnsi="宋体"/>
                <w:szCs w:val="21"/>
              </w:rPr>
            </w:pPr>
            <w:r>
              <w:rPr>
                <w:rFonts w:hint="eastAsia" w:ascii="宋体"/>
                <w:szCs w:val="21"/>
              </w:rPr>
              <w:t>根据投标人针对本项目制定的整体服务方案（包括具体的</w:t>
            </w:r>
            <w:r>
              <w:rPr>
                <w:rFonts w:hint="eastAsia" w:ascii="宋体" w:hAnsi="宋体"/>
                <w:szCs w:val="21"/>
              </w:rPr>
              <w:t>服务流程</w:t>
            </w:r>
            <w:r>
              <w:rPr>
                <w:rFonts w:hint="eastAsia" w:ascii="宋体"/>
                <w:szCs w:val="21"/>
              </w:rPr>
              <w:t>、</w:t>
            </w:r>
            <w:r>
              <w:rPr>
                <w:rFonts w:hint="eastAsia" w:ascii="宋体" w:hAnsi="宋体"/>
                <w:szCs w:val="21"/>
              </w:rPr>
              <w:t>服务标准、管理目标、员工培训计划及</w:t>
            </w:r>
            <w:r>
              <w:rPr>
                <w:rFonts w:hint="eastAsia" w:ascii="宋体"/>
                <w:szCs w:val="21"/>
              </w:rPr>
              <w:t>突发事件应急方案</w:t>
            </w:r>
            <w:r>
              <w:rPr>
                <w:rFonts w:hint="eastAsia" w:ascii="宋体" w:hAnsi="宋体"/>
                <w:szCs w:val="21"/>
              </w:rPr>
              <w:t>等</w:t>
            </w:r>
            <w:r>
              <w:rPr>
                <w:rFonts w:hint="eastAsia" w:ascii="宋体"/>
                <w:szCs w:val="21"/>
              </w:rPr>
              <w:t>）是否满足本项目服务需求且科学合理、切实可行</w:t>
            </w:r>
            <w:r>
              <w:rPr>
                <w:rFonts w:hint="eastAsia" w:ascii="宋体" w:hAnsi="宋体"/>
                <w:szCs w:val="21"/>
              </w:rPr>
              <w:t>；</w:t>
            </w:r>
          </w:p>
          <w:p>
            <w:pPr>
              <w:spacing w:line="288" w:lineRule="auto"/>
              <w:rPr>
                <w:rFonts w:hint="eastAsia" w:ascii="宋体" w:hAnsi="宋体"/>
                <w:szCs w:val="21"/>
              </w:rPr>
            </w:pPr>
            <w:r>
              <w:rPr>
                <w:rFonts w:hint="eastAsia" w:ascii="宋体"/>
                <w:szCs w:val="21"/>
              </w:rPr>
              <w:t>优：15～20分  良：10～15分  一般：5～1</w:t>
            </w:r>
            <w:r>
              <w:rPr>
                <w:rFonts w:ascii="宋体"/>
                <w:szCs w:val="21"/>
              </w:rPr>
              <w:t>0</w:t>
            </w:r>
            <w:r>
              <w:rPr>
                <w:rFonts w:hint="eastAsia" w:ascii="宋体"/>
                <w:szCs w:val="21"/>
              </w:rPr>
              <w:t>分。</w:t>
            </w:r>
          </w:p>
        </w:tc>
        <w:tc>
          <w:tcPr>
            <w:tcW w:w="709" w:type="dxa"/>
            <w:noWrap w:val="0"/>
            <w:vAlign w:val="center"/>
          </w:tcPr>
          <w:p>
            <w:pPr>
              <w:spacing w:line="288" w:lineRule="auto"/>
              <w:rPr>
                <w:rFonts w:hint="eastAsia" w:ascii="宋体"/>
                <w:szCs w:val="21"/>
              </w:rPr>
            </w:pPr>
            <w:r>
              <w:rPr>
                <w:rFonts w:hint="eastAsia" w:ascii="宋体"/>
                <w:szCs w:val="21"/>
              </w:rPr>
              <w:t>20</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6" w:hRule="atLeast"/>
          <w:jc w:val="center"/>
        </w:trPr>
        <w:tc>
          <w:tcPr>
            <w:tcW w:w="809" w:type="dxa"/>
            <w:noWrap w:val="0"/>
            <w:vAlign w:val="center"/>
          </w:tcPr>
          <w:p>
            <w:pPr>
              <w:spacing w:line="276" w:lineRule="auto"/>
              <w:jc w:val="center"/>
              <w:rPr>
                <w:rFonts w:ascii="宋体" w:hAnsi="宋体"/>
                <w:szCs w:val="21"/>
              </w:rPr>
            </w:pPr>
            <w:r>
              <w:rPr>
                <w:rFonts w:hint="eastAsia" w:ascii="宋体" w:hAnsi="宋体"/>
                <w:szCs w:val="21"/>
              </w:rPr>
              <w:t>2</w:t>
            </w:r>
          </w:p>
        </w:tc>
        <w:tc>
          <w:tcPr>
            <w:tcW w:w="5811" w:type="dxa"/>
            <w:gridSpan w:val="2"/>
            <w:noWrap w:val="0"/>
            <w:vAlign w:val="center"/>
          </w:tcPr>
          <w:p>
            <w:pPr>
              <w:spacing w:line="288" w:lineRule="auto"/>
              <w:rPr>
                <w:rFonts w:hint="eastAsia" w:ascii="宋体"/>
                <w:szCs w:val="21"/>
              </w:rPr>
            </w:pPr>
            <w:r>
              <w:rPr>
                <w:rFonts w:hint="eastAsia" w:ascii="宋体"/>
                <w:szCs w:val="21"/>
              </w:rPr>
              <w:t>根据投标人针对本项目制定的重点难点分析、解决方案及合理化建议是否契合本项目服务需求且重点突出，是否科学合理且切实可行。优：15～20分  良：10～15分  一般：5～1</w:t>
            </w:r>
            <w:r>
              <w:rPr>
                <w:rFonts w:ascii="宋体"/>
                <w:szCs w:val="21"/>
              </w:rPr>
              <w:t>0</w:t>
            </w:r>
            <w:r>
              <w:rPr>
                <w:rFonts w:hint="eastAsia" w:ascii="宋体"/>
                <w:szCs w:val="21"/>
              </w:rPr>
              <w:t>分。</w:t>
            </w:r>
          </w:p>
        </w:tc>
        <w:tc>
          <w:tcPr>
            <w:tcW w:w="709" w:type="dxa"/>
            <w:noWrap w:val="0"/>
            <w:vAlign w:val="center"/>
          </w:tcPr>
          <w:p>
            <w:pPr>
              <w:spacing w:line="288" w:lineRule="auto"/>
              <w:rPr>
                <w:rFonts w:hint="eastAsia" w:ascii="宋体"/>
                <w:szCs w:val="21"/>
              </w:rPr>
            </w:pPr>
            <w:r>
              <w:rPr>
                <w:rFonts w:ascii="宋体"/>
                <w:szCs w:val="21"/>
              </w:rPr>
              <w:t>20</w:t>
            </w:r>
            <w:r>
              <w:rPr>
                <w:rFonts w:hint="eastAsia"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6" w:hRule="atLeast"/>
          <w:jc w:val="center"/>
        </w:trPr>
        <w:tc>
          <w:tcPr>
            <w:tcW w:w="809" w:type="dxa"/>
            <w:vMerge w:val="restart"/>
            <w:noWrap w:val="0"/>
            <w:vAlign w:val="center"/>
          </w:tcPr>
          <w:p>
            <w:pPr>
              <w:spacing w:line="276" w:lineRule="auto"/>
              <w:jc w:val="center"/>
              <w:rPr>
                <w:rFonts w:ascii="宋体" w:hAnsi="宋体"/>
                <w:szCs w:val="21"/>
              </w:rPr>
            </w:pPr>
            <w:r>
              <w:rPr>
                <w:rFonts w:hint="eastAsia" w:ascii="宋体" w:hAnsi="宋体"/>
                <w:szCs w:val="21"/>
              </w:rPr>
              <w:t>3</w:t>
            </w:r>
          </w:p>
        </w:tc>
        <w:tc>
          <w:tcPr>
            <w:tcW w:w="708" w:type="dxa"/>
            <w:vMerge w:val="restart"/>
            <w:noWrap w:val="0"/>
            <w:vAlign w:val="center"/>
          </w:tcPr>
          <w:p>
            <w:pPr>
              <w:spacing w:line="288" w:lineRule="auto"/>
              <w:rPr>
                <w:rFonts w:hint="eastAsia" w:ascii="宋体"/>
                <w:szCs w:val="21"/>
              </w:rPr>
            </w:pPr>
            <w:r>
              <w:rPr>
                <w:rFonts w:hint="eastAsia" w:ascii="宋体"/>
                <w:szCs w:val="21"/>
              </w:rPr>
              <w:t>人员配置</w:t>
            </w:r>
          </w:p>
        </w:tc>
        <w:tc>
          <w:tcPr>
            <w:tcW w:w="5103" w:type="dxa"/>
            <w:noWrap w:val="0"/>
            <w:vAlign w:val="center"/>
          </w:tcPr>
          <w:p>
            <w:pPr>
              <w:spacing w:line="288" w:lineRule="auto"/>
              <w:rPr>
                <w:rFonts w:hint="eastAsia" w:ascii="宋体"/>
                <w:szCs w:val="21"/>
              </w:rPr>
            </w:pPr>
            <w:r>
              <w:rPr>
                <w:rFonts w:hint="eastAsia" w:ascii="宋体"/>
                <w:szCs w:val="21"/>
              </w:rPr>
              <w:t>人员配备满足本项目服务需求且合理科学，得1～5分；</w:t>
            </w:r>
          </w:p>
        </w:tc>
        <w:tc>
          <w:tcPr>
            <w:tcW w:w="709" w:type="dxa"/>
            <w:noWrap w:val="0"/>
            <w:vAlign w:val="center"/>
          </w:tcPr>
          <w:p>
            <w:pPr>
              <w:spacing w:line="288" w:lineRule="auto"/>
              <w:rPr>
                <w:rFonts w:hint="eastAsia" w:ascii="宋体"/>
                <w:szCs w:val="21"/>
              </w:rPr>
            </w:pPr>
            <w:r>
              <w:rPr>
                <w:rFonts w:hint="eastAsia" w:ascii="宋体"/>
                <w:szCs w:val="21"/>
              </w:rPr>
              <w:t>5</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2" w:hRule="atLeast"/>
          <w:jc w:val="center"/>
        </w:trPr>
        <w:tc>
          <w:tcPr>
            <w:tcW w:w="809" w:type="dxa"/>
            <w:vMerge w:val="continue"/>
            <w:noWrap w:val="0"/>
            <w:vAlign w:val="center"/>
          </w:tcPr>
          <w:p>
            <w:pPr>
              <w:spacing w:line="276" w:lineRule="auto"/>
              <w:jc w:val="center"/>
              <w:rPr>
                <w:rFonts w:hint="eastAsia" w:ascii="宋体" w:hAnsi="宋体"/>
                <w:szCs w:val="21"/>
              </w:rPr>
            </w:pPr>
          </w:p>
        </w:tc>
        <w:tc>
          <w:tcPr>
            <w:tcW w:w="708" w:type="dxa"/>
            <w:vMerge w:val="continue"/>
            <w:noWrap w:val="0"/>
            <w:vAlign w:val="center"/>
          </w:tcPr>
          <w:p>
            <w:pPr>
              <w:spacing w:line="288" w:lineRule="auto"/>
              <w:rPr>
                <w:rFonts w:hint="eastAsia" w:ascii="宋体"/>
                <w:szCs w:val="21"/>
              </w:rPr>
            </w:pPr>
          </w:p>
        </w:tc>
        <w:tc>
          <w:tcPr>
            <w:tcW w:w="5103" w:type="dxa"/>
            <w:noWrap w:val="0"/>
            <w:vAlign w:val="center"/>
          </w:tcPr>
          <w:p>
            <w:pPr>
              <w:spacing w:line="288" w:lineRule="auto"/>
              <w:rPr>
                <w:rFonts w:hint="eastAsia" w:ascii="宋体"/>
                <w:szCs w:val="21"/>
              </w:rPr>
            </w:pPr>
            <w:r>
              <w:rPr>
                <w:rFonts w:hint="eastAsia" w:ascii="宋体"/>
                <w:szCs w:val="21"/>
              </w:rPr>
              <w:t>人员录用与考核有标准，有具体奖惩措施得1～5分；</w:t>
            </w:r>
          </w:p>
        </w:tc>
        <w:tc>
          <w:tcPr>
            <w:tcW w:w="709" w:type="dxa"/>
            <w:noWrap w:val="0"/>
            <w:vAlign w:val="center"/>
          </w:tcPr>
          <w:p>
            <w:pPr>
              <w:spacing w:line="288" w:lineRule="auto"/>
              <w:rPr>
                <w:rFonts w:hint="eastAsia" w:ascii="宋体"/>
                <w:szCs w:val="21"/>
              </w:rPr>
            </w:pPr>
            <w:r>
              <w:rPr>
                <w:rFonts w:hint="eastAsia" w:ascii="宋体"/>
                <w:szCs w:val="21"/>
              </w:rPr>
              <w:t>5</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4" w:hRule="atLeast"/>
          <w:jc w:val="center"/>
        </w:trPr>
        <w:tc>
          <w:tcPr>
            <w:tcW w:w="809" w:type="dxa"/>
            <w:vMerge w:val="continue"/>
            <w:noWrap w:val="0"/>
            <w:vAlign w:val="center"/>
          </w:tcPr>
          <w:p>
            <w:pPr>
              <w:spacing w:line="276" w:lineRule="auto"/>
              <w:jc w:val="center"/>
              <w:rPr>
                <w:rFonts w:hint="eastAsia" w:ascii="宋体" w:hAnsi="宋体"/>
                <w:szCs w:val="21"/>
              </w:rPr>
            </w:pPr>
          </w:p>
        </w:tc>
        <w:tc>
          <w:tcPr>
            <w:tcW w:w="708" w:type="dxa"/>
            <w:vMerge w:val="continue"/>
            <w:noWrap w:val="0"/>
            <w:vAlign w:val="center"/>
          </w:tcPr>
          <w:p>
            <w:pPr>
              <w:spacing w:line="288" w:lineRule="auto"/>
              <w:rPr>
                <w:rFonts w:hint="eastAsia" w:ascii="宋体"/>
                <w:szCs w:val="21"/>
              </w:rPr>
            </w:pPr>
          </w:p>
        </w:tc>
        <w:tc>
          <w:tcPr>
            <w:tcW w:w="5103" w:type="dxa"/>
            <w:noWrap w:val="0"/>
            <w:vAlign w:val="center"/>
          </w:tcPr>
          <w:p>
            <w:pPr>
              <w:spacing w:line="288" w:lineRule="auto"/>
              <w:rPr>
                <w:rFonts w:hint="eastAsia" w:ascii="宋体"/>
                <w:szCs w:val="21"/>
              </w:rPr>
            </w:pPr>
            <w:r>
              <w:rPr>
                <w:rFonts w:hint="eastAsia" w:ascii="宋体" w:hAnsi="宋体"/>
                <w:szCs w:val="21"/>
              </w:rPr>
              <w:t>项目负责人的工作经验等情况，</w:t>
            </w:r>
            <w:r>
              <w:rPr>
                <w:rFonts w:hint="eastAsia" w:ascii="宋体"/>
                <w:szCs w:val="21"/>
              </w:rPr>
              <w:t>得</w:t>
            </w:r>
            <w:r>
              <w:rPr>
                <w:rFonts w:ascii="宋体"/>
                <w:szCs w:val="21"/>
              </w:rPr>
              <w:t>1</w:t>
            </w:r>
            <w:r>
              <w:rPr>
                <w:rFonts w:hint="eastAsia" w:ascii="宋体"/>
                <w:szCs w:val="21"/>
              </w:rPr>
              <w:t>～</w:t>
            </w:r>
            <w:r>
              <w:rPr>
                <w:rFonts w:ascii="宋体"/>
                <w:szCs w:val="21"/>
              </w:rPr>
              <w:t>3</w:t>
            </w:r>
            <w:r>
              <w:rPr>
                <w:rFonts w:hint="eastAsia" w:ascii="宋体"/>
                <w:szCs w:val="21"/>
              </w:rPr>
              <w:t>分；</w:t>
            </w:r>
          </w:p>
        </w:tc>
        <w:tc>
          <w:tcPr>
            <w:tcW w:w="709" w:type="dxa"/>
            <w:noWrap w:val="0"/>
            <w:vAlign w:val="center"/>
          </w:tcPr>
          <w:p>
            <w:pPr>
              <w:spacing w:line="288" w:lineRule="auto"/>
              <w:rPr>
                <w:rFonts w:hint="eastAsia" w:ascii="宋体"/>
                <w:szCs w:val="21"/>
              </w:rPr>
            </w:pPr>
            <w:r>
              <w:rPr>
                <w:rFonts w:ascii="宋体"/>
                <w:szCs w:val="21"/>
              </w:rPr>
              <w:t>3</w:t>
            </w:r>
            <w:r>
              <w:rPr>
                <w:rFonts w:hint="eastAsia"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2" w:hRule="atLeast"/>
          <w:jc w:val="center"/>
        </w:trPr>
        <w:tc>
          <w:tcPr>
            <w:tcW w:w="809" w:type="dxa"/>
            <w:vMerge w:val="continue"/>
            <w:noWrap w:val="0"/>
            <w:vAlign w:val="center"/>
          </w:tcPr>
          <w:p>
            <w:pPr>
              <w:spacing w:line="276" w:lineRule="auto"/>
              <w:jc w:val="center"/>
              <w:rPr>
                <w:rFonts w:hint="eastAsia" w:ascii="宋体" w:hAnsi="宋体"/>
                <w:szCs w:val="21"/>
              </w:rPr>
            </w:pPr>
          </w:p>
        </w:tc>
        <w:tc>
          <w:tcPr>
            <w:tcW w:w="708" w:type="dxa"/>
            <w:vMerge w:val="continue"/>
            <w:noWrap w:val="0"/>
            <w:vAlign w:val="center"/>
          </w:tcPr>
          <w:p>
            <w:pPr>
              <w:spacing w:line="288" w:lineRule="auto"/>
              <w:rPr>
                <w:rFonts w:hint="eastAsia" w:ascii="宋体"/>
                <w:szCs w:val="21"/>
              </w:rPr>
            </w:pPr>
          </w:p>
        </w:tc>
        <w:tc>
          <w:tcPr>
            <w:tcW w:w="5103" w:type="dxa"/>
            <w:noWrap w:val="0"/>
            <w:vAlign w:val="center"/>
          </w:tcPr>
          <w:p>
            <w:pPr>
              <w:spacing w:line="288" w:lineRule="auto"/>
              <w:rPr>
                <w:rFonts w:hint="eastAsia" w:ascii="宋体"/>
                <w:szCs w:val="21"/>
              </w:rPr>
            </w:pPr>
            <w:r>
              <w:rPr>
                <w:rFonts w:hint="eastAsia" w:ascii="宋体"/>
                <w:szCs w:val="21"/>
              </w:rPr>
              <w:t>各类人员上岗仪表、行为有统一标准、规范得1～5分</w:t>
            </w:r>
          </w:p>
        </w:tc>
        <w:tc>
          <w:tcPr>
            <w:tcW w:w="709" w:type="dxa"/>
            <w:noWrap w:val="0"/>
            <w:vAlign w:val="center"/>
          </w:tcPr>
          <w:p>
            <w:pPr>
              <w:spacing w:line="288" w:lineRule="auto"/>
              <w:rPr>
                <w:rFonts w:hint="eastAsia" w:ascii="宋体"/>
                <w:szCs w:val="21"/>
              </w:rPr>
            </w:pPr>
            <w:r>
              <w:rPr>
                <w:rFonts w:hint="eastAsia" w:ascii="宋体"/>
                <w:szCs w:val="21"/>
              </w:rPr>
              <w:t>5</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9" w:hRule="atLeast"/>
          <w:jc w:val="center"/>
        </w:trPr>
        <w:tc>
          <w:tcPr>
            <w:tcW w:w="809" w:type="dxa"/>
            <w:vMerge w:val="restart"/>
            <w:noWrap w:val="0"/>
            <w:vAlign w:val="center"/>
          </w:tcPr>
          <w:p>
            <w:pPr>
              <w:spacing w:line="276" w:lineRule="auto"/>
              <w:jc w:val="center"/>
              <w:rPr>
                <w:rFonts w:ascii="宋体" w:hAnsi="宋体"/>
                <w:szCs w:val="21"/>
              </w:rPr>
            </w:pPr>
            <w:r>
              <w:rPr>
                <w:rFonts w:ascii="宋体" w:hAnsi="宋体"/>
                <w:szCs w:val="21"/>
              </w:rPr>
              <w:t>4</w:t>
            </w:r>
          </w:p>
        </w:tc>
        <w:tc>
          <w:tcPr>
            <w:tcW w:w="708" w:type="dxa"/>
            <w:vMerge w:val="restart"/>
            <w:noWrap w:val="0"/>
            <w:vAlign w:val="center"/>
          </w:tcPr>
          <w:p>
            <w:pPr>
              <w:spacing w:line="288" w:lineRule="auto"/>
              <w:rPr>
                <w:rFonts w:hint="eastAsia" w:ascii="宋体"/>
                <w:szCs w:val="21"/>
              </w:rPr>
            </w:pPr>
            <w:r>
              <w:rPr>
                <w:rFonts w:hint="eastAsia" w:ascii="宋体"/>
                <w:szCs w:val="21"/>
              </w:rPr>
              <w:t>组织机构管理制度</w:t>
            </w:r>
          </w:p>
        </w:tc>
        <w:tc>
          <w:tcPr>
            <w:tcW w:w="5103" w:type="dxa"/>
            <w:noWrap w:val="0"/>
            <w:vAlign w:val="center"/>
          </w:tcPr>
          <w:p>
            <w:pPr>
              <w:spacing w:line="288" w:lineRule="auto"/>
              <w:rPr>
                <w:rFonts w:hint="eastAsia" w:ascii="宋体"/>
                <w:szCs w:val="21"/>
              </w:rPr>
            </w:pPr>
            <w:r>
              <w:rPr>
                <w:rFonts w:hint="eastAsia" w:ascii="宋体"/>
                <w:szCs w:val="21"/>
              </w:rPr>
              <w:t>组织机构设置合理、高效，有明确的管理架构和各部门职责，工作流程完整科学，得0～</w:t>
            </w:r>
            <w:r>
              <w:rPr>
                <w:rFonts w:ascii="宋体"/>
                <w:szCs w:val="21"/>
              </w:rPr>
              <w:t>5</w:t>
            </w:r>
            <w:r>
              <w:rPr>
                <w:rFonts w:hint="eastAsia" w:ascii="宋体"/>
                <w:szCs w:val="21"/>
              </w:rPr>
              <w:t>分</w:t>
            </w:r>
          </w:p>
        </w:tc>
        <w:tc>
          <w:tcPr>
            <w:tcW w:w="709" w:type="dxa"/>
            <w:noWrap w:val="0"/>
            <w:vAlign w:val="center"/>
          </w:tcPr>
          <w:p>
            <w:pPr>
              <w:spacing w:line="288" w:lineRule="auto"/>
              <w:rPr>
                <w:rFonts w:hint="eastAsia" w:ascii="宋体"/>
                <w:szCs w:val="21"/>
              </w:rPr>
            </w:pPr>
            <w:r>
              <w:rPr>
                <w:rFonts w:hint="eastAsia" w:ascii="宋体"/>
                <w:szCs w:val="21"/>
              </w:rPr>
              <w:t>5</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3" w:hRule="atLeast"/>
          <w:jc w:val="center"/>
        </w:trPr>
        <w:tc>
          <w:tcPr>
            <w:tcW w:w="809" w:type="dxa"/>
            <w:vMerge w:val="continue"/>
            <w:noWrap w:val="0"/>
            <w:vAlign w:val="center"/>
          </w:tcPr>
          <w:p>
            <w:pPr>
              <w:spacing w:line="276" w:lineRule="auto"/>
              <w:jc w:val="center"/>
              <w:rPr>
                <w:rFonts w:ascii="宋体" w:hAnsi="宋体"/>
                <w:szCs w:val="21"/>
              </w:rPr>
            </w:pPr>
          </w:p>
        </w:tc>
        <w:tc>
          <w:tcPr>
            <w:tcW w:w="708" w:type="dxa"/>
            <w:vMerge w:val="continue"/>
            <w:noWrap w:val="0"/>
            <w:vAlign w:val="center"/>
          </w:tcPr>
          <w:p>
            <w:pPr>
              <w:spacing w:line="288" w:lineRule="auto"/>
              <w:rPr>
                <w:rFonts w:hint="eastAsia" w:ascii="宋体"/>
                <w:szCs w:val="21"/>
              </w:rPr>
            </w:pPr>
          </w:p>
        </w:tc>
        <w:tc>
          <w:tcPr>
            <w:tcW w:w="5103" w:type="dxa"/>
            <w:noWrap w:val="0"/>
            <w:vAlign w:val="center"/>
          </w:tcPr>
          <w:p>
            <w:pPr>
              <w:spacing w:line="288" w:lineRule="auto"/>
              <w:rPr>
                <w:rFonts w:hint="eastAsia" w:ascii="宋体" w:hAnsi="宋体"/>
                <w:szCs w:val="21"/>
              </w:rPr>
            </w:pPr>
            <w:r>
              <w:rPr>
                <w:rFonts w:hint="eastAsia" w:ascii="宋体" w:hAnsi="宋体"/>
                <w:szCs w:val="21"/>
              </w:rPr>
              <w:t>员工的工资、福利等情况</w:t>
            </w:r>
            <w:r>
              <w:rPr>
                <w:rFonts w:hint="eastAsia" w:ascii="宋体"/>
                <w:szCs w:val="21"/>
              </w:rPr>
              <w:t>得0～</w:t>
            </w:r>
            <w:r>
              <w:rPr>
                <w:rFonts w:ascii="宋体"/>
                <w:szCs w:val="21"/>
              </w:rPr>
              <w:t>4</w:t>
            </w:r>
            <w:r>
              <w:rPr>
                <w:rFonts w:hint="eastAsia" w:ascii="宋体"/>
                <w:szCs w:val="21"/>
              </w:rPr>
              <w:t>分</w:t>
            </w:r>
          </w:p>
        </w:tc>
        <w:tc>
          <w:tcPr>
            <w:tcW w:w="709" w:type="dxa"/>
            <w:noWrap w:val="0"/>
            <w:vAlign w:val="center"/>
          </w:tcPr>
          <w:p>
            <w:pPr>
              <w:spacing w:line="288" w:lineRule="auto"/>
              <w:rPr>
                <w:rFonts w:hint="eastAsia" w:ascii="宋体"/>
                <w:szCs w:val="21"/>
              </w:rPr>
            </w:pPr>
            <w:r>
              <w:rPr>
                <w:rFonts w:hint="eastAsia" w:ascii="宋体"/>
                <w:szCs w:val="21"/>
              </w:rPr>
              <w:t>4</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2" w:hRule="atLeast"/>
          <w:jc w:val="center"/>
        </w:trPr>
        <w:tc>
          <w:tcPr>
            <w:tcW w:w="809" w:type="dxa"/>
            <w:noWrap w:val="0"/>
            <w:vAlign w:val="center"/>
          </w:tcPr>
          <w:p>
            <w:pPr>
              <w:spacing w:line="276" w:lineRule="auto"/>
              <w:jc w:val="center"/>
              <w:rPr>
                <w:rFonts w:ascii="宋体" w:hAnsi="宋体"/>
                <w:szCs w:val="21"/>
              </w:rPr>
            </w:pPr>
            <w:r>
              <w:rPr>
                <w:rFonts w:hint="eastAsia" w:ascii="宋体" w:hAnsi="宋体"/>
                <w:szCs w:val="21"/>
              </w:rPr>
              <w:t>5</w:t>
            </w:r>
          </w:p>
        </w:tc>
        <w:tc>
          <w:tcPr>
            <w:tcW w:w="5811" w:type="dxa"/>
            <w:gridSpan w:val="2"/>
            <w:noWrap w:val="0"/>
            <w:vAlign w:val="center"/>
          </w:tcPr>
          <w:p>
            <w:pPr>
              <w:spacing w:line="288" w:lineRule="auto"/>
              <w:rPr>
                <w:rFonts w:hint="eastAsia" w:ascii="宋体"/>
                <w:szCs w:val="21"/>
              </w:rPr>
            </w:pPr>
            <w:r>
              <w:rPr>
                <w:rFonts w:hint="eastAsia" w:ascii="宋体"/>
                <w:szCs w:val="21"/>
              </w:rPr>
              <w:t>突发事件应急方案是否科学合理、切实可行（10分）：</w:t>
            </w:r>
          </w:p>
          <w:p>
            <w:pPr>
              <w:spacing w:line="288" w:lineRule="auto"/>
              <w:rPr>
                <w:rFonts w:hint="eastAsia" w:ascii="宋体"/>
                <w:color w:val="FF0000"/>
                <w:szCs w:val="21"/>
              </w:rPr>
            </w:pPr>
            <w:r>
              <w:rPr>
                <w:rFonts w:hint="eastAsia" w:ascii="宋体"/>
                <w:szCs w:val="21"/>
              </w:rPr>
              <w:t>优：6～10分  良：4～6分  一般：0～4分</w:t>
            </w:r>
          </w:p>
        </w:tc>
        <w:tc>
          <w:tcPr>
            <w:tcW w:w="709" w:type="dxa"/>
            <w:noWrap w:val="0"/>
            <w:vAlign w:val="center"/>
          </w:tcPr>
          <w:p>
            <w:pPr>
              <w:spacing w:line="288" w:lineRule="auto"/>
              <w:rPr>
                <w:rFonts w:hint="eastAsia" w:ascii="宋体"/>
                <w:szCs w:val="21"/>
              </w:rPr>
            </w:pPr>
            <w:r>
              <w:rPr>
                <w:rFonts w:hint="eastAsia" w:ascii="宋体"/>
                <w:szCs w:val="21"/>
              </w:rPr>
              <w:t>10</w:t>
            </w:r>
            <w:r>
              <w:rPr>
                <w:rFonts w:ascii="宋体"/>
                <w:szCs w:val="21"/>
              </w:rPr>
              <w:t>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7" w:hRule="atLeast"/>
          <w:jc w:val="center"/>
        </w:trPr>
        <w:tc>
          <w:tcPr>
            <w:tcW w:w="809" w:type="dxa"/>
            <w:noWrap w:val="0"/>
            <w:vAlign w:val="center"/>
          </w:tcPr>
          <w:p>
            <w:pPr>
              <w:spacing w:line="276" w:lineRule="auto"/>
              <w:jc w:val="center"/>
              <w:rPr>
                <w:rFonts w:ascii="宋体" w:hAnsi="宋体"/>
                <w:szCs w:val="21"/>
              </w:rPr>
            </w:pPr>
            <w:r>
              <w:rPr>
                <w:rFonts w:hint="eastAsia" w:ascii="宋体" w:hAnsi="宋体"/>
                <w:szCs w:val="21"/>
              </w:rPr>
              <w:t>6</w:t>
            </w:r>
          </w:p>
        </w:tc>
        <w:tc>
          <w:tcPr>
            <w:tcW w:w="5811" w:type="dxa"/>
            <w:gridSpan w:val="2"/>
            <w:noWrap w:val="0"/>
            <w:vAlign w:val="center"/>
          </w:tcPr>
          <w:p>
            <w:pPr>
              <w:spacing w:line="288" w:lineRule="auto"/>
              <w:rPr>
                <w:rFonts w:hint="eastAsia" w:ascii="宋体"/>
                <w:szCs w:val="21"/>
              </w:rPr>
            </w:pPr>
            <w:r>
              <w:rPr>
                <w:rFonts w:hint="eastAsia" w:ascii="宋体"/>
                <w:szCs w:val="21"/>
              </w:rPr>
              <w:t>根据投标人针对本项目售后服务承诺进行综合评议：</w:t>
            </w:r>
          </w:p>
          <w:p>
            <w:pPr>
              <w:spacing w:line="288" w:lineRule="auto"/>
              <w:rPr>
                <w:rFonts w:hint="eastAsia" w:ascii="宋体"/>
                <w:szCs w:val="21"/>
              </w:rPr>
            </w:pPr>
            <w:r>
              <w:rPr>
                <w:rFonts w:hint="eastAsia" w:ascii="宋体"/>
                <w:szCs w:val="21"/>
              </w:rPr>
              <w:t>优：</w:t>
            </w:r>
            <w:r>
              <w:rPr>
                <w:rFonts w:ascii="宋体"/>
                <w:szCs w:val="21"/>
              </w:rPr>
              <w:t>6</w:t>
            </w:r>
            <w:r>
              <w:rPr>
                <w:rFonts w:hint="eastAsia" w:ascii="宋体"/>
                <w:szCs w:val="21"/>
              </w:rPr>
              <w:t>～</w:t>
            </w:r>
            <w:r>
              <w:rPr>
                <w:rFonts w:ascii="宋体"/>
                <w:szCs w:val="21"/>
              </w:rPr>
              <w:t>8</w:t>
            </w:r>
            <w:r>
              <w:rPr>
                <w:rFonts w:hint="eastAsia" w:ascii="宋体"/>
                <w:szCs w:val="21"/>
              </w:rPr>
              <w:t>分  良：</w:t>
            </w:r>
            <w:r>
              <w:rPr>
                <w:rFonts w:ascii="宋体"/>
                <w:szCs w:val="21"/>
              </w:rPr>
              <w:t>4</w:t>
            </w:r>
            <w:r>
              <w:rPr>
                <w:rFonts w:hint="eastAsia" w:ascii="宋体"/>
                <w:szCs w:val="21"/>
              </w:rPr>
              <w:t>～</w:t>
            </w:r>
            <w:r>
              <w:rPr>
                <w:rFonts w:ascii="宋体"/>
                <w:szCs w:val="21"/>
              </w:rPr>
              <w:t>6</w:t>
            </w:r>
            <w:r>
              <w:rPr>
                <w:rFonts w:hint="eastAsia" w:ascii="宋体"/>
                <w:szCs w:val="21"/>
              </w:rPr>
              <w:t>分   一般：0～</w:t>
            </w:r>
            <w:r>
              <w:rPr>
                <w:rFonts w:ascii="宋体"/>
                <w:szCs w:val="21"/>
              </w:rPr>
              <w:t>4</w:t>
            </w:r>
            <w:r>
              <w:rPr>
                <w:rFonts w:hint="eastAsia" w:ascii="宋体"/>
                <w:szCs w:val="21"/>
              </w:rPr>
              <w:t>分</w:t>
            </w:r>
          </w:p>
        </w:tc>
        <w:tc>
          <w:tcPr>
            <w:tcW w:w="709" w:type="dxa"/>
            <w:noWrap w:val="0"/>
            <w:vAlign w:val="center"/>
          </w:tcPr>
          <w:p>
            <w:pPr>
              <w:spacing w:line="288" w:lineRule="auto"/>
              <w:rPr>
                <w:rFonts w:hint="eastAsia" w:ascii="宋体"/>
                <w:szCs w:val="21"/>
              </w:rPr>
            </w:pPr>
            <w:r>
              <w:rPr>
                <w:rFonts w:ascii="宋体"/>
                <w:szCs w:val="21"/>
              </w:rPr>
              <w:t>8分</w:t>
            </w:r>
          </w:p>
        </w:tc>
        <w:tc>
          <w:tcPr>
            <w:tcW w:w="567" w:type="dxa"/>
            <w:noWrap w:val="0"/>
            <w:vAlign w:val="top"/>
          </w:tcPr>
          <w:p>
            <w:pPr>
              <w:spacing w:line="288" w:lineRule="auto"/>
              <w:rPr>
                <w:rFonts w:hint="eastAsia" w:ascii="宋体"/>
                <w:szCs w:val="21"/>
              </w:rPr>
            </w:pPr>
          </w:p>
        </w:tc>
        <w:tc>
          <w:tcPr>
            <w:tcW w:w="567" w:type="dxa"/>
            <w:noWrap w:val="0"/>
            <w:vAlign w:val="top"/>
          </w:tcPr>
          <w:p>
            <w:pPr>
              <w:spacing w:line="288" w:lineRule="auto"/>
              <w:rPr>
                <w:rFonts w:hint="eastAsia" w:ascii="宋体"/>
                <w:szCs w:val="21"/>
              </w:rPr>
            </w:pPr>
          </w:p>
        </w:tc>
        <w:tc>
          <w:tcPr>
            <w:tcW w:w="668" w:type="dxa"/>
            <w:noWrap w:val="0"/>
            <w:vAlign w:val="top"/>
          </w:tcPr>
          <w:p>
            <w:pPr>
              <w:spacing w:line="288" w:lineRule="auto"/>
              <w:rPr>
                <w:rFonts w:hint="eastAsia" w:ascii="宋体"/>
                <w:szCs w:val="21"/>
              </w:rPr>
            </w:pPr>
          </w:p>
        </w:tc>
      </w:tr>
    </w:tbl>
    <w:p>
      <w:pPr>
        <w:spacing w:line="360" w:lineRule="auto"/>
        <w:ind w:firstLine="422" w:firstLineChars="200"/>
        <w:rPr>
          <w:rFonts w:ascii="宋体" w:hAnsi="宋体" w:cs="宋体"/>
          <w:b/>
          <w:bCs/>
          <w:szCs w:val="21"/>
        </w:rPr>
      </w:pPr>
      <w:r>
        <w:rPr>
          <w:rFonts w:hint="eastAsia" w:ascii="宋体" w:hAnsi="宋体" w:cs="宋体"/>
          <w:b/>
          <w:bCs/>
          <w:szCs w:val="21"/>
        </w:rPr>
        <w:t>（三） 投标人的综合总得分=价格分+技术商务资信分</w:t>
      </w:r>
    </w:p>
    <w:p>
      <w:pPr>
        <w:pStyle w:val="2"/>
        <w:tabs>
          <w:tab w:val="center" w:pos="4819"/>
        </w:tabs>
        <w:spacing w:before="200" w:after="200" w:line="360" w:lineRule="auto"/>
        <w:jc w:val="center"/>
        <w:rPr>
          <w:rFonts w:ascii="宋体" w:hAnsi="宋体"/>
          <w:sz w:val="32"/>
        </w:rPr>
      </w:pPr>
    </w:p>
    <w:p/>
    <w:p/>
    <w:p/>
    <w:p/>
    <w:p/>
    <w:p/>
    <w:p/>
    <w:p>
      <w:pPr>
        <w:rPr>
          <w:rFonts w:hint="eastAsia"/>
        </w:rPr>
      </w:pPr>
    </w:p>
    <w:p/>
    <w:p/>
    <w:p/>
    <w:p>
      <w:pPr>
        <w:pStyle w:val="2"/>
        <w:tabs>
          <w:tab w:val="center" w:pos="4819"/>
        </w:tabs>
        <w:spacing w:before="200" w:after="200" w:line="360" w:lineRule="auto"/>
        <w:jc w:val="center"/>
        <w:rPr>
          <w:rFonts w:ascii="宋体" w:hAnsi="宋体"/>
          <w:sz w:val="32"/>
        </w:rPr>
      </w:pPr>
      <w:bookmarkStart w:id="81" w:name="_Toc13227286"/>
      <w:r>
        <w:rPr>
          <w:rFonts w:hint="eastAsia" w:ascii="宋体" w:hAnsi="宋体"/>
          <w:sz w:val="32"/>
        </w:rPr>
        <w:t>第五部分 部分投标文件格式</w:t>
      </w:r>
      <w:bookmarkEnd w:id="76"/>
      <w:bookmarkEnd w:id="77"/>
      <w:bookmarkEnd w:id="81"/>
    </w:p>
    <w:p>
      <w:pPr>
        <w:snapToGrid w:val="0"/>
        <w:spacing w:before="142" w:beforeLines="50" w:after="50"/>
        <w:rPr>
          <w:rFonts w:hint="eastAsia" w:ascii="宋体" w:hAnsi="宋体"/>
          <w:b/>
          <w:sz w:val="24"/>
        </w:rPr>
      </w:pPr>
    </w:p>
    <w:p>
      <w:pPr>
        <w:jc w:val="center"/>
        <w:rPr>
          <w:rFonts w:hint="eastAsia" w:eastAsia="黑体"/>
          <w:kern w:val="44"/>
          <w:sz w:val="28"/>
        </w:rPr>
      </w:pPr>
      <w:r>
        <w:rPr>
          <w:rFonts w:hint="eastAsia" w:eastAsia="黑体"/>
          <w:kern w:val="44"/>
          <w:sz w:val="28"/>
        </w:rPr>
        <w:t>一、投标函</w:t>
      </w:r>
    </w:p>
    <w:p>
      <w:pPr>
        <w:adjustRightInd w:val="0"/>
        <w:snapToGrid w:val="0"/>
        <w:spacing w:line="560" w:lineRule="exact"/>
        <w:rPr>
          <w:rFonts w:hint="eastAsia" w:ascii="宋体" w:hAnsi="宋体"/>
          <w:szCs w:val="21"/>
        </w:rPr>
      </w:pPr>
      <w:r>
        <w:rPr>
          <w:rFonts w:hint="eastAsia" w:ascii="宋体" w:hAnsi="宋体"/>
          <w:szCs w:val="21"/>
        </w:rPr>
        <w:t>致：</w:t>
      </w:r>
      <w:r>
        <w:rPr>
          <w:rFonts w:hint="eastAsia" w:ascii="宋体" w:hAnsi="宋体"/>
          <w:szCs w:val="21"/>
          <w:u w:val="single"/>
        </w:rPr>
        <w:t xml:space="preserve">                  </w:t>
      </w:r>
    </w:p>
    <w:p>
      <w:pPr>
        <w:adjustRightInd w:val="0"/>
        <w:snapToGrid w:val="0"/>
        <w:spacing w:line="560" w:lineRule="exac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(投标单位全称)授权</w:t>
      </w:r>
      <w:r>
        <w:rPr>
          <w:rFonts w:hint="eastAsia" w:ascii="宋体" w:hAnsi="宋体"/>
          <w:szCs w:val="21"/>
          <w:u w:val="single"/>
        </w:rPr>
        <w:t xml:space="preserve">             </w:t>
      </w: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(职务、职称)为全权代表，参加贵方组织的</w:t>
      </w:r>
      <w:r>
        <w:rPr>
          <w:rFonts w:hint="eastAsia" w:ascii="宋体" w:hAnsi="宋体"/>
          <w:szCs w:val="21"/>
          <w:u w:val="single"/>
        </w:rPr>
        <w:t xml:space="preserve">                            </w:t>
      </w:r>
      <w:r>
        <w:rPr>
          <w:rFonts w:hint="eastAsia" w:ascii="宋体" w:hAnsi="宋体"/>
          <w:szCs w:val="21"/>
        </w:rPr>
        <w:t xml:space="preserve"> 招标的有关活动，并对项目进行投标。为此：</w:t>
      </w:r>
    </w:p>
    <w:p>
      <w:pPr>
        <w:adjustRightInd w:val="0"/>
        <w:snapToGrid w:val="0"/>
        <w:spacing w:line="560" w:lineRule="exact"/>
        <w:ind w:firstLine="420" w:firstLineChars="200"/>
        <w:rPr>
          <w:rFonts w:hint="eastAsia" w:ascii="宋体" w:hAnsi="宋体"/>
          <w:szCs w:val="21"/>
        </w:rPr>
      </w:pPr>
      <w:r>
        <w:rPr>
          <w:rFonts w:hint="eastAsia" w:ascii="宋体" w:hAnsi="宋体"/>
          <w:szCs w:val="21"/>
        </w:rPr>
        <w:t>1、提供投标须知规定的全部投标文件。</w:t>
      </w:r>
    </w:p>
    <w:p>
      <w:pPr>
        <w:spacing w:line="560" w:lineRule="exact"/>
        <w:ind w:firstLine="420" w:firstLineChars="200"/>
        <w:rPr>
          <w:rFonts w:hint="eastAsia" w:ascii="宋体" w:hAnsi="宋体"/>
          <w:szCs w:val="21"/>
        </w:rPr>
      </w:pPr>
      <w:r>
        <w:rPr>
          <w:rFonts w:hint="eastAsia" w:ascii="宋体" w:hAnsi="宋体"/>
          <w:szCs w:val="21"/>
        </w:rPr>
        <w:t>2、投标项目总投标价人民币（大写）：</w:t>
      </w:r>
      <w:r>
        <w:rPr>
          <w:rFonts w:hint="eastAsia" w:ascii="宋体" w:hAnsi="宋体"/>
          <w:szCs w:val="21"/>
          <w:u w:val="single"/>
        </w:rPr>
        <w:t xml:space="preserve">            </w:t>
      </w:r>
      <w:r>
        <w:rPr>
          <w:rFonts w:hint="eastAsia" w:ascii="宋体" w:hAnsi="宋体"/>
          <w:szCs w:val="21"/>
        </w:rPr>
        <w:t>元。</w:t>
      </w:r>
    </w:p>
    <w:p>
      <w:pPr>
        <w:spacing w:line="560" w:lineRule="exact"/>
        <w:ind w:firstLine="420" w:firstLineChars="200"/>
        <w:rPr>
          <w:rFonts w:hint="eastAsia" w:ascii="宋体" w:hAnsi="宋体"/>
          <w:szCs w:val="21"/>
        </w:rPr>
      </w:pPr>
      <w:r>
        <w:rPr>
          <w:rFonts w:hint="eastAsia" w:ascii="宋体" w:hAnsi="宋体"/>
          <w:szCs w:val="21"/>
        </w:rPr>
        <w:t>3、如果我方中标，我方将按照规定提交</w:t>
      </w:r>
      <w:r>
        <w:rPr>
          <w:rFonts w:hint="eastAsia" w:ascii="宋体" w:hAnsi="宋体"/>
          <w:b/>
          <w:bCs/>
          <w:szCs w:val="21"/>
        </w:rPr>
        <w:t>叁万元</w:t>
      </w:r>
      <w:r>
        <w:rPr>
          <w:rFonts w:hint="eastAsia" w:ascii="宋体" w:hAnsi="宋体"/>
          <w:szCs w:val="21"/>
        </w:rPr>
        <w:t>履约保证金。</w:t>
      </w:r>
    </w:p>
    <w:p>
      <w:pPr>
        <w:spacing w:line="560" w:lineRule="exact"/>
        <w:ind w:firstLine="420" w:firstLineChars="200"/>
        <w:rPr>
          <w:rFonts w:hint="eastAsia" w:ascii="宋体" w:hAnsi="宋体"/>
          <w:szCs w:val="21"/>
        </w:rPr>
      </w:pPr>
      <w:r>
        <w:rPr>
          <w:rFonts w:hint="eastAsia" w:ascii="宋体" w:hAnsi="宋体"/>
          <w:szCs w:val="21"/>
        </w:rPr>
        <w:t>4、除非另外达成协议并生效，贵方的中标通知书和本投标文件将构成约束我们双方的合同。</w:t>
      </w:r>
    </w:p>
    <w:p>
      <w:pPr>
        <w:spacing w:line="560" w:lineRule="exact"/>
        <w:ind w:firstLine="420" w:firstLineChars="200"/>
        <w:rPr>
          <w:rFonts w:hint="eastAsia" w:ascii="宋体" w:hAnsi="宋体"/>
          <w:szCs w:val="21"/>
        </w:rPr>
      </w:pPr>
      <w:r>
        <w:rPr>
          <w:rFonts w:hint="eastAsia" w:ascii="宋体" w:hAnsi="宋体"/>
          <w:szCs w:val="21"/>
        </w:rPr>
        <w:t>5、我方理解贵方将不受必须接受你们所收到的最低标价或其它任何投标文件的约束。</w:t>
      </w:r>
    </w:p>
    <w:p>
      <w:pPr>
        <w:spacing w:line="560" w:lineRule="exact"/>
        <w:ind w:firstLine="420" w:firstLineChars="200"/>
        <w:rPr>
          <w:rFonts w:hint="eastAsia" w:ascii="宋体" w:hAnsi="宋体"/>
          <w:szCs w:val="21"/>
        </w:rPr>
      </w:pPr>
      <w:r>
        <w:rPr>
          <w:rFonts w:hint="eastAsia" w:ascii="宋体" w:hAnsi="宋体"/>
          <w:szCs w:val="21"/>
        </w:rPr>
        <w:t>6、本投标文件在开标后</w:t>
      </w:r>
      <w:r>
        <w:rPr>
          <w:rFonts w:hint="eastAsia" w:ascii="宋体" w:hAnsi="宋体"/>
          <w:szCs w:val="21"/>
          <w:u w:val="single"/>
        </w:rPr>
        <w:t xml:space="preserve">     </w:t>
      </w:r>
      <w:r>
        <w:rPr>
          <w:rFonts w:hint="eastAsia" w:ascii="宋体" w:hAnsi="宋体"/>
          <w:szCs w:val="21"/>
        </w:rPr>
        <w:t>天内有效，在此期间内我方的投标有可能中标，我方将受此约束。如果在投标有效期内撤回其投标或投标文件内容不真实，其投标保证金将全部被没收并承担法律责任。</w:t>
      </w:r>
    </w:p>
    <w:p>
      <w:pPr>
        <w:spacing w:line="560" w:lineRule="exact"/>
        <w:rPr>
          <w:rFonts w:hint="eastAsia"/>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spacing w:line="560" w:lineRule="exact"/>
        <w:rPr>
          <w:rFonts w:hint="eastAsia"/>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spacing w:line="560" w:lineRule="exact"/>
        <w:ind w:firstLine="420" w:firstLineChars="200"/>
        <w:rPr>
          <w:rFonts w:hint="eastAsia" w:ascii="宋体" w:hAnsi="宋体"/>
          <w:szCs w:val="21"/>
        </w:rPr>
      </w:pPr>
    </w:p>
    <w:p>
      <w:pPr>
        <w:spacing w:line="560" w:lineRule="exact"/>
        <w:ind w:firstLine="420" w:firstLineChars="200"/>
        <w:rPr>
          <w:rFonts w:hint="eastAsia" w:ascii="宋体" w:hAnsi="宋体"/>
          <w:szCs w:val="21"/>
        </w:rPr>
      </w:pPr>
      <w:r>
        <w:rPr>
          <w:rFonts w:hint="eastAsia" w:ascii="宋体" w:hAnsi="宋体"/>
          <w:szCs w:val="21"/>
        </w:rPr>
        <w:t>投标单位：（盖章）</w:t>
      </w:r>
    </w:p>
    <w:p>
      <w:pPr>
        <w:spacing w:line="560" w:lineRule="exact"/>
        <w:ind w:firstLine="420" w:firstLineChars="200"/>
        <w:rPr>
          <w:rFonts w:hint="eastAsia"/>
        </w:rPr>
      </w:pPr>
      <w:r>
        <w:rPr>
          <w:rFonts w:hint="eastAsia"/>
        </w:rPr>
        <w:t>全权代表：（签字）</w:t>
      </w:r>
    </w:p>
    <w:p>
      <w:pPr>
        <w:spacing w:line="560" w:lineRule="exact"/>
        <w:ind w:firstLine="420" w:firstLineChars="200"/>
        <w:rPr>
          <w:rFonts w:hint="eastAsia"/>
        </w:rPr>
      </w:pPr>
      <w:r>
        <w:rPr>
          <w:rFonts w:hint="eastAsia"/>
        </w:rPr>
        <w:t>日期：       年     月    日</w:t>
      </w:r>
    </w:p>
    <w:p>
      <w:pPr>
        <w:spacing w:line="560" w:lineRule="exact"/>
        <w:ind w:firstLine="420" w:firstLineChars="200"/>
        <w:rPr>
          <w:rFonts w:hint="eastAsia"/>
        </w:rPr>
      </w:pPr>
    </w:p>
    <w:p>
      <w:pPr>
        <w:jc w:val="center"/>
        <w:rPr>
          <w:rFonts w:hint="eastAsia" w:eastAsia="黑体"/>
          <w:kern w:val="44"/>
          <w:sz w:val="28"/>
        </w:rPr>
      </w:pPr>
      <w:r>
        <w:rPr>
          <w:rFonts w:hint="eastAsia"/>
        </w:rPr>
        <w:br w:type="page"/>
      </w:r>
      <w:bookmarkStart w:id="82" w:name="_Toc273520770"/>
      <w:r>
        <w:rPr>
          <w:rFonts w:hint="eastAsia" w:eastAsia="黑体"/>
          <w:kern w:val="44"/>
          <w:sz w:val="28"/>
        </w:rPr>
        <w:t>二、法定代表人授权书</w:t>
      </w:r>
    </w:p>
    <w:p>
      <w:pPr>
        <w:rPr>
          <w:rFonts w:hint="eastAsia"/>
        </w:rPr>
      </w:pPr>
    </w:p>
    <w:p>
      <w:pPr>
        <w:spacing w:line="560" w:lineRule="exact"/>
        <w:ind w:firstLine="560"/>
        <w:rPr>
          <w:rFonts w:hint="eastAsia"/>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pPr>
        <w:pStyle w:val="6"/>
        <w:spacing w:line="560" w:lineRule="exact"/>
        <w:ind w:firstLine="560"/>
        <w:rPr>
          <w:szCs w:val="21"/>
        </w:rPr>
      </w:pPr>
      <w:r>
        <w:rPr>
          <w:rFonts w:hint="eastAsia"/>
          <w:szCs w:val="21"/>
        </w:rPr>
        <w:t>代理人无转委托权，特此委托。</w:t>
      </w:r>
    </w:p>
    <w:p>
      <w:pPr>
        <w:spacing w:line="560" w:lineRule="exact"/>
        <w:rPr>
          <w:szCs w:val="21"/>
        </w:rPr>
      </w:pPr>
    </w:p>
    <w:p>
      <w:pPr>
        <w:spacing w:line="560" w:lineRule="exact"/>
        <w:ind w:left="540"/>
        <w:rPr>
          <w:rFonts w:hint="eastAsia"/>
          <w:szCs w:val="21"/>
          <w:u w:val="single"/>
        </w:rPr>
      </w:pPr>
      <w:r>
        <w:rPr>
          <w:rFonts w:hint="eastAsia"/>
          <w:szCs w:val="21"/>
        </w:rPr>
        <w:t>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560" w:lineRule="exact"/>
        <w:ind w:left="540"/>
        <w:rPr>
          <w:rFonts w:hint="eastAsia"/>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560" w:lineRule="exact"/>
        <w:ind w:left="540"/>
        <w:rPr>
          <w:rFonts w:hint="eastAsia"/>
          <w:szCs w:val="21"/>
        </w:rPr>
      </w:pPr>
      <w:r>
        <w:rPr>
          <w:rFonts w:hint="eastAsia"/>
          <w:szCs w:val="21"/>
        </w:rPr>
        <w:t>投标人：</w:t>
      </w:r>
      <w:r>
        <w:rPr>
          <w:rFonts w:hint="eastAsia"/>
          <w:szCs w:val="21"/>
          <w:u w:val="single"/>
        </w:rPr>
        <w:t xml:space="preserve">                                         </w:t>
      </w:r>
    </w:p>
    <w:p>
      <w:pPr>
        <w:spacing w:line="560" w:lineRule="exact"/>
        <w:ind w:left="540"/>
        <w:rPr>
          <w:rFonts w:hint="eastAsia"/>
          <w:szCs w:val="21"/>
        </w:rPr>
      </w:pPr>
      <w:r>
        <w:rPr>
          <w:rFonts w:hint="eastAsia"/>
          <w:szCs w:val="21"/>
        </w:rPr>
        <w:t>法定代表人：</w:t>
      </w:r>
      <w:r>
        <w:rPr>
          <w:rFonts w:hint="eastAsia"/>
          <w:szCs w:val="21"/>
          <w:u w:val="single"/>
        </w:rPr>
        <w:t xml:space="preserve">                                     </w:t>
      </w:r>
    </w:p>
    <w:p>
      <w:pPr>
        <w:spacing w:line="560" w:lineRule="exact"/>
        <w:ind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napToGrid w:val="0"/>
        <w:spacing w:before="50" w:after="142" w:afterLines="50"/>
        <w:rPr>
          <w:rFonts w:hint="eastAsia" w:ascii="宋体" w:hAnsi="宋体"/>
          <w:color w:val="000000"/>
          <w:szCs w:val="21"/>
        </w:rPr>
      </w:pPr>
      <w:r>
        <w:rPr>
          <w:rFonts w:hint="eastAsia" w:ascii="宋体" w:hAnsi="宋体"/>
          <w:szCs w:val="21"/>
        </w:rPr>
        <w:t xml:space="preserve">                    </w:t>
      </w:r>
      <w:bookmarkEnd w:id="82"/>
    </w:p>
    <w:p>
      <w:pPr>
        <w:snapToGrid w:val="0"/>
        <w:spacing w:before="50" w:after="142" w:afterLines="50"/>
        <w:rPr>
          <w:rFonts w:hint="eastAsia" w:ascii="宋体" w:hAnsi="宋体"/>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pacing w:line="500" w:lineRule="exact"/>
        <w:ind w:left="257"/>
        <w:jc w:val="center"/>
        <w:rPr>
          <w:rFonts w:hint="eastAsia" w:eastAsia="黑体"/>
          <w:sz w:val="28"/>
        </w:rPr>
      </w:pPr>
      <w:r>
        <w:rPr>
          <w:rFonts w:hint="eastAsia" w:eastAsia="黑体"/>
          <w:sz w:val="28"/>
        </w:rPr>
        <w:t>三、开标一览表</w:t>
      </w:r>
    </w:p>
    <w:p>
      <w:pPr>
        <w:ind w:firstLine="473"/>
        <w:rPr>
          <w:rFonts w:hint="eastAsia"/>
        </w:rPr>
      </w:pPr>
      <w:r>
        <w:rPr>
          <w:rFonts w:hint="eastAsia"/>
        </w:rPr>
        <w:t xml:space="preserve">    投标单位：                                 招标编号：         标包号：</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1"/>
        <w:gridCol w:w="2204"/>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jc w:val="center"/>
        </w:trPr>
        <w:tc>
          <w:tcPr>
            <w:tcW w:w="3441" w:type="dxa"/>
            <w:noWrap w:val="0"/>
            <w:vAlign w:val="center"/>
          </w:tcPr>
          <w:p>
            <w:pPr>
              <w:jc w:val="center"/>
              <w:rPr>
                <w:rFonts w:hint="eastAsia" w:ascii="黑体" w:eastAsia="黑体"/>
              </w:rPr>
            </w:pPr>
            <w:r>
              <w:rPr>
                <w:rFonts w:hint="eastAsia" w:ascii="黑体" w:eastAsia="黑体"/>
              </w:rPr>
              <w:t>服务项目名称</w:t>
            </w:r>
          </w:p>
        </w:tc>
        <w:tc>
          <w:tcPr>
            <w:tcW w:w="2204" w:type="dxa"/>
            <w:noWrap w:val="0"/>
            <w:vAlign w:val="center"/>
          </w:tcPr>
          <w:p>
            <w:pPr>
              <w:jc w:val="center"/>
              <w:rPr>
                <w:rFonts w:hint="eastAsia" w:ascii="黑体" w:eastAsia="黑体"/>
              </w:rPr>
            </w:pPr>
            <w:r>
              <w:rPr>
                <w:rFonts w:hint="eastAsia" w:ascii="黑体" w:eastAsia="黑体"/>
              </w:rPr>
              <w:t>项目报价 （元）</w:t>
            </w:r>
          </w:p>
        </w:tc>
        <w:tc>
          <w:tcPr>
            <w:tcW w:w="2675" w:type="dxa"/>
            <w:noWrap w:val="0"/>
            <w:vAlign w:val="center"/>
          </w:tcPr>
          <w:p>
            <w:pPr>
              <w:jc w:val="center"/>
              <w:rPr>
                <w:rFonts w:hint="eastAsia" w:ascii="黑体" w:eastAsia="黑体"/>
              </w:rPr>
            </w:pPr>
            <w:r>
              <w:rPr>
                <w:rFonts w:hint="eastAsia" w:asci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ascii="仿宋_GB2312" w:eastAsia="仿宋_GB2312"/>
              </w:rPr>
            </w:pPr>
          </w:p>
        </w:tc>
        <w:tc>
          <w:tcPr>
            <w:tcW w:w="2204" w:type="dxa"/>
            <w:noWrap w:val="0"/>
            <w:vAlign w:val="center"/>
          </w:tcPr>
          <w:p>
            <w:pPr>
              <w:jc w:val="center"/>
              <w:rPr>
                <w:rFonts w:ascii="仿宋_GB2312" w:eastAsia="仿宋_GB2312"/>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ascii="仿宋_GB2312" w:eastAsia="仿宋_GB2312"/>
              </w:rPr>
            </w:pPr>
          </w:p>
        </w:tc>
        <w:tc>
          <w:tcPr>
            <w:tcW w:w="2204" w:type="dxa"/>
            <w:noWrap w:val="0"/>
            <w:vAlign w:val="center"/>
          </w:tcPr>
          <w:p>
            <w:pPr>
              <w:jc w:val="center"/>
              <w:rPr>
                <w:rFonts w:hint="eastAsia" w:ascii="黑体" w:eastAsia="黑体"/>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ascii="仿宋_GB2312" w:eastAsia="仿宋_GB2312"/>
              </w:rPr>
            </w:pPr>
          </w:p>
        </w:tc>
        <w:tc>
          <w:tcPr>
            <w:tcW w:w="2204" w:type="dxa"/>
            <w:noWrap w:val="0"/>
            <w:vAlign w:val="center"/>
          </w:tcPr>
          <w:p>
            <w:pPr>
              <w:jc w:val="center"/>
              <w:rPr>
                <w:rFonts w:hint="eastAsia" w:ascii="黑体" w:eastAsia="黑体"/>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ascii="仿宋_GB2312" w:eastAsia="仿宋_GB2312"/>
              </w:rPr>
            </w:pPr>
          </w:p>
        </w:tc>
        <w:tc>
          <w:tcPr>
            <w:tcW w:w="2204" w:type="dxa"/>
            <w:noWrap w:val="0"/>
            <w:vAlign w:val="center"/>
          </w:tcPr>
          <w:p>
            <w:pPr>
              <w:jc w:val="center"/>
              <w:rPr>
                <w:rFonts w:hint="eastAsia" w:ascii="黑体" w:eastAsia="黑体"/>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ascii="仿宋_GB2312" w:eastAsia="仿宋_GB2312"/>
              </w:rPr>
            </w:pPr>
          </w:p>
        </w:tc>
        <w:tc>
          <w:tcPr>
            <w:tcW w:w="2204" w:type="dxa"/>
            <w:noWrap w:val="0"/>
            <w:vAlign w:val="center"/>
          </w:tcPr>
          <w:p>
            <w:pPr>
              <w:jc w:val="center"/>
              <w:rPr>
                <w:rFonts w:hint="eastAsia" w:ascii="黑体" w:eastAsia="黑体"/>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ascii="仿宋_GB2312" w:eastAsia="仿宋_GB2312"/>
              </w:rPr>
            </w:pPr>
          </w:p>
        </w:tc>
        <w:tc>
          <w:tcPr>
            <w:tcW w:w="2204" w:type="dxa"/>
            <w:noWrap w:val="0"/>
            <w:vAlign w:val="center"/>
          </w:tcPr>
          <w:p>
            <w:pPr>
              <w:jc w:val="center"/>
              <w:rPr>
                <w:rFonts w:hint="eastAsia" w:ascii="黑体" w:eastAsia="黑体"/>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jc w:val="center"/>
        </w:trPr>
        <w:tc>
          <w:tcPr>
            <w:tcW w:w="3441" w:type="dxa"/>
            <w:noWrap w:val="0"/>
            <w:vAlign w:val="center"/>
          </w:tcPr>
          <w:p>
            <w:pPr>
              <w:rPr>
                <w:rFonts w:hint="eastAsia" w:ascii="仿宋_GB2312" w:eastAsia="仿宋_GB2312"/>
              </w:rPr>
            </w:pPr>
            <w:r>
              <w:rPr>
                <w:rFonts w:hint="eastAsia" w:ascii="仿宋_GB2312" w:eastAsia="仿宋_GB2312"/>
              </w:rPr>
              <w:t>……</w:t>
            </w:r>
          </w:p>
        </w:tc>
        <w:tc>
          <w:tcPr>
            <w:tcW w:w="2204" w:type="dxa"/>
            <w:noWrap w:val="0"/>
            <w:vAlign w:val="center"/>
          </w:tcPr>
          <w:p>
            <w:pPr>
              <w:jc w:val="center"/>
              <w:rPr>
                <w:rFonts w:hint="eastAsia" w:ascii="黑体" w:eastAsia="黑体"/>
              </w:rPr>
            </w:pPr>
          </w:p>
        </w:tc>
        <w:tc>
          <w:tcPr>
            <w:tcW w:w="2675" w:type="dxa"/>
            <w:noWrap w:val="0"/>
            <w:vAlign w:val="center"/>
          </w:tcPr>
          <w:p>
            <w:pPr>
              <w:rPr>
                <w:rFonts w:hint="eastAsia"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7" w:hRule="atLeast"/>
          <w:jc w:val="center"/>
        </w:trPr>
        <w:tc>
          <w:tcPr>
            <w:tcW w:w="8320" w:type="dxa"/>
            <w:gridSpan w:val="3"/>
            <w:noWrap w:val="0"/>
            <w:vAlign w:val="center"/>
          </w:tcPr>
          <w:p>
            <w:pPr>
              <w:rPr>
                <w:rFonts w:hint="eastAsia" w:eastAsia="仿宋_GB2312"/>
              </w:rPr>
            </w:pPr>
            <w:r>
              <w:rPr>
                <w:rFonts w:hint="eastAsia" w:ascii="黑体" w:eastAsia="黑体"/>
              </w:rPr>
              <w:t>投标总价（大写）：                   （小写）：</w:t>
            </w:r>
            <w:r>
              <w:rPr>
                <w:rFonts w:ascii="Arial" w:hAnsi="Arial" w:eastAsia="黑体" w:cs="Arial"/>
              </w:rPr>
              <w:t>¥</w:t>
            </w:r>
          </w:p>
        </w:tc>
      </w:tr>
    </w:tbl>
    <w:p>
      <w:pPr>
        <w:rPr>
          <w:rFonts w:hint="eastAsia"/>
          <w:snapToGrid w:val="0"/>
        </w:rPr>
      </w:pPr>
      <w:r>
        <w:rPr>
          <w:rFonts w:hint="eastAsia"/>
          <w:snapToGrid w:val="0"/>
        </w:rPr>
        <w:t xml:space="preserve">   法定代表人或法人授权人签名：</w:t>
      </w:r>
    </w:p>
    <w:p>
      <w:pPr>
        <w:rPr>
          <w:rFonts w:hint="eastAsia"/>
          <w:snapToGrid w:val="0"/>
        </w:rPr>
      </w:pPr>
      <w:r>
        <w:rPr>
          <w:rFonts w:hint="eastAsia"/>
          <w:snapToGrid w:val="0"/>
        </w:rPr>
        <w:t xml:space="preserve">    注：</w:t>
      </w:r>
    </w:p>
    <w:p>
      <w:pPr>
        <w:rPr>
          <w:rFonts w:hint="eastAsia"/>
          <w:snapToGrid w:val="0"/>
        </w:rPr>
      </w:pPr>
      <w:r>
        <w:rPr>
          <w:rFonts w:hint="eastAsia"/>
          <w:snapToGrid w:val="0"/>
        </w:rPr>
        <w:t xml:space="preserve">   1、</w:t>
      </w:r>
      <w:r>
        <w:rPr>
          <w:rFonts w:hint="eastAsia" w:ascii="黑体" w:eastAsia="黑体"/>
        </w:rPr>
        <w:t>本项目</w:t>
      </w:r>
      <w:r>
        <w:rPr>
          <w:rFonts w:hint="eastAsia"/>
          <w:snapToGrid w:val="0"/>
        </w:rPr>
        <w:t>投标总价：指招标文件中所规定的所有服务项目合同期内全年的总报价，此报价作为投标方的投标总价；</w:t>
      </w:r>
    </w:p>
    <w:p>
      <w:pPr>
        <w:rPr>
          <w:rFonts w:hint="eastAsia"/>
          <w:snapToGrid w:val="0"/>
        </w:rPr>
      </w:pPr>
      <w:r>
        <w:rPr>
          <w:rFonts w:hint="eastAsia"/>
          <w:snapToGrid w:val="0"/>
        </w:rPr>
        <w:t xml:space="preserve">   2、各投标单位还必须按项目内容对各项服务单独报价，并列出报价表。</w:t>
      </w:r>
    </w:p>
    <w:p>
      <w:pPr>
        <w:spacing w:line="500" w:lineRule="exact"/>
        <w:ind w:left="257"/>
        <w:jc w:val="center"/>
        <w:rPr>
          <w:rFonts w:hint="eastAsia" w:eastAsia="黑体"/>
          <w:sz w:val="28"/>
        </w:rPr>
      </w:pPr>
    </w:p>
    <w:p>
      <w:pPr>
        <w:spacing w:line="500" w:lineRule="exact"/>
        <w:ind w:left="257"/>
        <w:jc w:val="center"/>
        <w:rPr>
          <w:rFonts w:hint="eastAsia" w:eastAsia="黑体"/>
          <w:sz w:val="28"/>
        </w:rPr>
      </w:pPr>
      <w:r>
        <w:rPr>
          <w:rFonts w:hint="eastAsia" w:eastAsia="黑体"/>
          <w:sz w:val="28"/>
        </w:rPr>
        <w:t xml:space="preserve">  </w:t>
      </w:r>
      <w:bookmarkStart w:id="83" w:name="bt投标报价汇总表"/>
      <w:bookmarkEnd w:id="83"/>
      <w:bookmarkStart w:id="84" w:name="_Toc100052461"/>
      <w:bookmarkStart w:id="85" w:name="_Toc101074892"/>
      <w:bookmarkStart w:id="86" w:name="_Toc73521688"/>
      <w:bookmarkStart w:id="87" w:name="_Toc73517694"/>
      <w:bookmarkStart w:id="88" w:name="_Toc73521600"/>
      <w:bookmarkStart w:id="89" w:name="_Toc73518172"/>
      <w:r>
        <w:rPr>
          <w:rFonts w:hint="eastAsia" w:eastAsia="黑体"/>
          <w:sz w:val="28"/>
        </w:rPr>
        <w:t>四、</w:t>
      </w:r>
      <w:bookmarkEnd w:id="84"/>
      <w:bookmarkEnd w:id="85"/>
      <w:bookmarkEnd w:id="86"/>
      <w:bookmarkEnd w:id="87"/>
      <w:bookmarkEnd w:id="88"/>
      <w:bookmarkEnd w:id="89"/>
      <w:bookmarkStart w:id="90" w:name="_Toc78171640"/>
      <w:r>
        <w:rPr>
          <w:rFonts w:hint="eastAsia" w:eastAsia="黑体"/>
          <w:sz w:val="28"/>
        </w:rPr>
        <w:t>项目费用构成明细报价</w:t>
      </w:r>
      <w:bookmarkEnd w:id="90"/>
    </w:p>
    <w:p>
      <w:pPr>
        <w:jc w:val="center"/>
        <w:rPr>
          <w:rFonts w:hint="eastAsia" w:ascii="黑体" w:eastAsia="黑体"/>
        </w:rPr>
      </w:pPr>
      <w:r>
        <w:rPr>
          <w:rFonts w:ascii="黑体" w:eastAsia="黑体"/>
        </w:rPr>
        <w:t xml:space="preserve">项目名称：                             招标编号：                 </w:t>
      </w:r>
    </w:p>
    <w:tbl>
      <w:tblPr>
        <w:tblStyle w:val="45"/>
        <w:tblW w:w="0" w:type="auto"/>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294"/>
        <w:gridCol w:w="1071"/>
        <w:gridCol w:w="2147"/>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序号</w:t>
            </w:r>
          </w:p>
        </w:tc>
        <w:tc>
          <w:tcPr>
            <w:tcW w:w="2294" w:type="dxa"/>
            <w:noWrap w:val="0"/>
            <w:vAlign w:val="center"/>
          </w:tcPr>
          <w:p>
            <w:pPr>
              <w:jc w:val="center"/>
              <w:rPr>
                <w:rFonts w:ascii="黑体" w:eastAsia="黑体"/>
              </w:rPr>
            </w:pPr>
            <w:r>
              <w:rPr>
                <w:rFonts w:ascii="黑体" w:eastAsia="黑体"/>
              </w:rPr>
              <w:t>内容</w:t>
            </w:r>
          </w:p>
        </w:tc>
        <w:tc>
          <w:tcPr>
            <w:tcW w:w="1071" w:type="dxa"/>
            <w:noWrap w:val="0"/>
            <w:vAlign w:val="center"/>
          </w:tcPr>
          <w:p>
            <w:pPr>
              <w:jc w:val="center"/>
              <w:rPr>
                <w:rFonts w:ascii="黑体" w:eastAsia="黑体"/>
              </w:rPr>
            </w:pPr>
            <w:r>
              <w:rPr>
                <w:rFonts w:ascii="黑体" w:eastAsia="黑体"/>
              </w:rPr>
              <w:t>数量</w:t>
            </w:r>
          </w:p>
        </w:tc>
        <w:tc>
          <w:tcPr>
            <w:tcW w:w="2147" w:type="dxa"/>
            <w:noWrap w:val="0"/>
            <w:vAlign w:val="center"/>
          </w:tcPr>
          <w:p>
            <w:pPr>
              <w:jc w:val="center"/>
              <w:rPr>
                <w:rFonts w:ascii="黑体" w:eastAsia="黑体"/>
              </w:rPr>
            </w:pPr>
            <w:r>
              <w:rPr>
                <w:rFonts w:ascii="黑体" w:eastAsia="黑体"/>
              </w:rPr>
              <w:t>单价（人民币元）</w:t>
            </w:r>
          </w:p>
        </w:tc>
        <w:tc>
          <w:tcPr>
            <w:tcW w:w="2286" w:type="dxa"/>
            <w:noWrap w:val="0"/>
            <w:vAlign w:val="center"/>
          </w:tcPr>
          <w:p>
            <w:pPr>
              <w:jc w:val="center"/>
              <w:rPr>
                <w:rFonts w:ascii="黑体" w:eastAsia="黑体"/>
              </w:rPr>
            </w:pPr>
            <w:r>
              <w:rPr>
                <w:rFonts w:ascii="黑体" w:eastAsia="黑体"/>
              </w:rPr>
              <w:t>合价（人民币元）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1</w:t>
            </w:r>
          </w:p>
        </w:tc>
        <w:tc>
          <w:tcPr>
            <w:tcW w:w="2294" w:type="dxa"/>
            <w:noWrap w:val="0"/>
            <w:vAlign w:val="center"/>
          </w:tcPr>
          <w:p>
            <w:pPr>
              <w:jc w:val="center"/>
              <w:rPr>
                <w:rFonts w:ascii="黑体" w:eastAsia="黑体"/>
              </w:rPr>
            </w:pPr>
            <w:r>
              <w:rPr>
                <w:rFonts w:ascii="黑体" w:eastAsia="黑体"/>
              </w:rPr>
              <w:t>人员工资</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2</w:t>
            </w:r>
          </w:p>
        </w:tc>
        <w:tc>
          <w:tcPr>
            <w:tcW w:w="2294" w:type="dxa"/>
            <w:noWrap w:val="0"/>
            <w:vAlign w:val="center"/>
          </w:tcPr>
          <w:p>
            <w:pPr>
              <w:jc w:val="center"/>
              <w:rPr>
                <w:rFonts w:hint="eastAsia" w:ascii="黑体" w:eastAsia="黑体"/>
              </w:rPr>
            </w:pPr>
            <w:r>
              <w:rPr>
                <w:rFonts w:hint="eastAsia" w:ascii="黑体" w:eastAsia="黑体"/>
              </w:rPr>
              <w:t>社保金及</w:t>
            </w:r>
            <w:r>
              <w:rPr>
                <w:rFonts w:ascii="黑体" w:eastAsia="黑体"/>
              </w:rPr>
              <w:t>福利费</w:t>
            </w:r>
            <w:r>
              <w:rPr>
                <w:rFonts w:hint="eastAsia" w:ascii="黑体" w:eastAsia="黑体"/>
              </w:rPr>
              <w:t>等</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3</w:t>
            </w:r>
          </w:p>
        </w:tc>
        <w:tc>
          <w:tcPr>
            <w:tcW w:w="2294" w:type="dxa"/>
            <w:noWrap w:val="0"/>
            <w:vAlign w:val="center"/>
          </w:tcPr>
          <w:p>
            <w:pPr>
              <w:jc w:val="center"/>
              <w:rPr>
                <w:rFonts w:hint="eastAsia" w:ascii="黑体" w:eastAsia="黑体"/>
              </w:rPr>
            </w:pPr>
            <w:r>
              <w:rPr>
                <w:rFonts w:ascii="黑体" w:eastAsia="黑体"/>
              </w:rPr>
              <w:t>设备材料费</w:t>
            </w:r>
            <w:r>
              <w:rPr>
                <w:rFonts w:hint="eastAsia" w:ascii="黑体" w:eastAsia="黑体"/>
              </w:rPr>
              <w:t>、服装费</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4</w:t>
            </w:r>
          </w:p>
        </w:tc>
        <w:tc>
          <w:tcPr>
            <w:tcW w:w="2294" w:type="dxa"/>
            <w:noWrap w:val="0"/>
            <w:vAlign w:val="center"/>
          </w:tcPr>
          <w:p>
            <w:pPr>
              <w:jc w:val="center"/>
              <w:rPr>
                <w:rFonts w:ascii="黑体" w:eastAsia="黑体"/>
              </w:rPr>
            </w:pPr>
            <w:r>
              <w:rPr>
                <w:rFonts w:ascii="黑体" w:eastAsia="黑体"/>
              </w:rPr>
              <w:t>企业管理费及利润</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5</w:t>
            </w:r>
          </w:p>
        </w:tc>
        <w:tc>
          <w:tcPr>
            <w:tcW w:w="2294" w:type="dxa"/>
            <w:noWrap w:val="0"/>
            <w:vAlign w:val="center"/>
          </w:tcPr>
          <w:p>
            <w:pPr>
              <w:jc w:val="center"/>
              <w:rPr>
                <w:rFonts w:ascii="黑体" w:eastAsia="黑体"/>
              </w:rPr>
            </w:pPr>
            <w:r>
              <w:rPr>
                <w:rFonts w:ascii="黑体" w:eastAsia="黑体"/>
              </w:rPr>
              <w:t>税金</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6</w:t>
            </w:r>
          </w:p>
        </w:tc>
        <w:tc>
          <w:tcPr>
            <w:tcW w:w="2294" w:type="dxa"/>
            <w:noWrap w:val="0"/>
            <w:vAlign w:val="center"/>
          </w:tcPr>
          <w:p>
            <w:pPr>
              <w:jc w:val="center"/>
              <w:rPr>
                <w:rFonts w:ascii="黑体" w:eastAsia="黑体"/>
              </w:rPr>
            </w:pPr>
            <w:r>
              <w:rPr>
                <w:rFonts w:ascii="黑体" w:eastAsia="黑体"/>
              </w:rPr>
              <w:t>其它费用</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144" w:type="dxa"/>
            <w:noWrap w:val="0"/>
            <w:vAlign w:val="center"/>
          </w:tcPr>
          <w:p>
            <w:pPr>
              <w:jc w:val="center"/>
              <w:rPr>
                <w:rFonts w:ascii="黑体" w:eastAsia="黑体"/>
              </w:rPr>
            </w:pPr>
            <w:r>
              <w:rPr>
                <w:rFonts w:ascii="黑体" w:eastAsia="黑体"/>
              </w:rPr>
              <w:t>7</w:t>
            </w:r>
          </w:p>
        </w:tc>
        <w:tc>
          <w:tcPr>
            <w:tcW w:w="2294" w:type="dxa"/>
            <w:noWrap w:val="0"/>
            <w:vAlign w:val="center"/>
          </w:tcPr>
          <w:p>
            <w:pPr>
              <w:jc w:val="center"/>
              <w:rPr>
                <w:rFonts w:ascii="黑体" w:eastAsia="黑体"/>
              </w:rPr>
            </w:pPr>
            <w:r>
              <w:rPr>
                <w:rFonts w:ascii="黑体" w:eastAsia="黑体"/>
              </w:rPr>
              <w:t>……</w:t>
            </w:r>
          </w:p>
        </w:tc>
        <w:tc>
          <w:tcPr>
            <w:tcW w:w="1071" w:type="dxa"/>
            <w:noWrap w:val="0"/>
            <w:vAlign w:val="center"/>
          </w:tcPr>
          <w:p>
            <w:pPr>
              <w:jc w:val="center"/>
              <w:rPr>
                <w:rFonts w:ascii="黑体" w:eastAsia="黑体"/>
              </w:rPr>
            </w:pPr>
          </w:p>
        </w:tc>
        <w:tc>
          <w:tcPr>
            <w:tcW w:w="2147" w:type="dxa"/>
            <w:noWrap w:val="0"/>
            <w:vAlign w:val="center"/>
          </w:tcPr>
          <w:p>
            <w:pPr>
              <w:jc w:val="center"/>
              <w:rPr>
                <w:rFonts w:ascii="黑体" w:eastAsia="黑体"/>
              </w:rPr>
            </w:pPr>
          </w:p>
        </w:tc>
        <w:tc>
          <w:tcPr>
            <w:tcW w:w="2286" w:type="dxa"/>
            <w:noWrap w:val="0"/>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6656" w:type="dxa"/>
            <w:gridSpan w:val="4"/>
            <w:noWrap w:val="0"/>
            <w:vAlign w:val="center"/>
          </w:tcPr>
          <w:p>
            <w:pPr>
              <w:jc w:val="center"/>
              <w:rPr>
                <w:rFonts w:hint="eastAsia" w:ascii="黑体" w:eastAsia="黑体"/>
              </w:rPr>
            </w:pPr>
            <w:r>
              <w:rPr>
                <w:rFonts w:hint="eastAsia" w:ascii="黑体" w:eastAsia="黑体"/>
              </w:rPr>
              <w:t>投标总价（人民币元）</w:t>
            </w:r>
          </w:p>
        </w:tc>
        <w:tc>
          <w:tcPr>
            <w:tcW w:w="2286" w:type="dxa"/>
            <w:noWrap w:val="0"/>
            <w:vAlign w:val="center"/>
          </w:tcPr>
          <w:p>
            <w:pPr>
              <w:jc w:val="center"/>
              <w:rPr>
                <w:rFonts w:hint="eastAsia" w:ascii="黑体" w:eastAsia="黑体"/>
              </w:rPr>
            </w:pPr>
          </w:p>
        </w:tc>
      </w:tr>
    </w:tbl>
    <w:p>
      <w:pPr>
        <w:ind w:firstLine="420" w:firstLineChars="200"/>
        <w:rPr>
          <w:rFonts w:hint="eastAsia" w:ascii="黑体" w:eastAsia="黑体"/>
        </w:rPr>
      </w:pPr>
      <w:r>
        <w:rPr>
          <w:rFonts w:hint="eastAsia" w:ascii="黑体" w:eastAsia="黑体"/>
        </w:rPr>
        <w:t>备注：1）本表格供参考，投标人可根据项目实际情况自拟表格。</w:t>
      </w:r>
    </w:p>
    <w:p>
      <w:pPr>
        <w:ind w:firstLine="1050" w:firstLineChars="500"/>
        <w:rPr>
          <w:rFonts w:hint="eastAsia" w:ascii="黑体" w:eastAsia="黑体"/>
        </w:rPr>
      </w:pPr>
      <w:r>
        <w:rPr>
          <w:rFonts w:hint="eastAsia" w:ascii="黑体" w:eastAsia="黑体"/>
        </w:rPr>
        <w:t>2）投标总价应与开标一览表的投标总价一致。如不一致，以开标一览表为准。</w:t>
      </w:r>
    </w:p>
    <w:p>
      <w:pPr>
        <w:jc w:val="center"/>
        <w:rPr>
          <w:rFonts w:hint="eastAsia" w:ascii="黑体" w:eastAsia="黑体"/>
        </w:rPr>
      </w:pPr>
    </w:p>
    <w:p>
      <w:pPr>
        <w:jc w:val="center"/>
        <w:rPr>
          <w:rFonts w:hint="eastAsia" w:ascii="黑体" w:eastAsia="黑体"/>
        </w:rPr>
      </w:pPr>
    </w:p>
    <w:p>
      <w:pPr>
        <w:snapToGrid w:val="0"/>
        <w:spacing w:before="50" w:after="142" w:afterLines="50"/>
        <w:rPr>
          <w:rFonts w:hint="eastAsia" w:ascii="宋体" w:hAnsi="宋体"/>
          <w:b/>
          <w:color w:val="000000"/>
          <w:sz w:val="24"/>
        </w:rPr>
      </w:pPr>
    </w:p>
    <w:p>
      <w:pPr>
        <w:spacing w:line="500" w:lineRule="exact"/>
        <w:ind w:left="257"/>
        <w:jc w:val="center"/>
        <w:rPr>
          <w:rFonts w:hint="eastAsia" w:eastAsia="黑体"/>
          <w:sz w:val="28"/>
        </w:rPr>
      </w:pPr>
      <w:r>
        <w:rPr>
          <w:rFonts w:hint="eastAsia" w:eastAsia="黑体"/>
          <w:sz w:val="28"/>
        </w:rPr>
        <w:t>五、为完成本项目配备的设备明细表</w:t>
      </w:r>
    </w:p>
    <w:p>
      <w:pPr>
        <w:spacing w:before="156" w:after="156"/>
        <w:ind w:left="420"/>
        <w:rPr>
          <w:rFonts w:hint="eastAsia" w:ascii="宋体" w:hAnsi="宋体"/>
        </w:rPr>
      </w:pPr>
    </w:p>
    <w:tbl>
      <w:tblPr>
        <w:tblStyle w:val="45"/>
        <w:tblW w:w="0" w:type="auto"/>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176"/>
        <w:gridCol w:w="925"/>
        <w:gridCol w:w="765"/>
        <w:gridCol w:w="940"/>
        <w:gridCol w:w="646"/>
        <w:gridCol w:w="765"/>
        <w:gridCol w:w="925"/>
        <w:gridCol w:w="83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17" w:type="dxa"/>
            <w:noWrap w:val="0"/>
            <w:vAlign w:val="center"/>
          </w:tcPr>
          <w:p>
            <w:pPr>
              <w:jc w:val="center"/>
              <w:rPr>
                <w:rFonts w:hint="eastAsia" w:ascii="宋体" w:hAnsi="宋体"/>
              </w:rPr>
            </w:pPr>
            <w:r>
              <w:rPr>
                <w:rFonts w:hint="eastAsia" w:ascii="宋体" w:hAnsi="宋体"/>
              </w:rPr>
              <w:t>序号</w:t>
            </w:r>
          </w:p>
        </w:tc>
        <w:tc>
          <w:tcPr>
            <w:tcW w:w="1176" w:type="dxa"/>
            <w:noWrap w:val="0"/>
            <w:vAlign w:val="center"/>
          </w:tcPr>
          <w:p>
            <w:pPr>
              <w:jc w:val="center"/>
              <w:rPr>
                <w:rFonts w:hint="eastAsia" w:ascii="宋体" w:hAnsi="宋体"/>
              </w:rPr>
            </w:pPr>
            <w:r>
              <w:rPr>
                <w:rFonts w:hint="eastAsia" w:ascii="宋体" w:hAnsi="宋体"/>
              </w:rPr>
              <w:t>名称</w:t>
            </w:r>
          </w:p>
        </w:tc>
        <w:tc>
          <w:tcPr>
            <w:tcW w:w="925" w:type="dxa"/>
            <w:noWrap w:val="0"/>
            <w:vAlign w:val="center"/>
          </w:tcPr>
          <w:p>
            <w:pPr>
              <w:jc w:val="center"/>
              <w:rPr>
                <w:rFonts w:hint="eastAsia" w:ascii="宋体" w:hAnsi="宋体"/>
              </w:rPr>
            </w:pPr>
            <w:r>
              <w:rPr>
                <w:rFonts w:hint="eastAsia" w:ascii="宋体" w:hAnsi="宋体"/>
              </w:rPr>
              <w:t>数量</w:t>
            </w:r>
          </w:p>
        </w:tc>
        <w:tc>
          <w:tcPr>
            <w:tcW w:w="765" w:type="dxa"/>
            <w:noWrap w:val="0"/>
            <w:vAlign w:val="center"/>
          </w:tcPr>
          <w:p>
            <w:pPr>
              <w:jc w:val="center"/>
              <w:rPr>
                <w:rFonts w:hint="eastAsia" w:ascii="宋体" w:hAnsi="宋体"/>
              </w:rPr>
            </w:pPr>
            <w:r>
              <w:rPr>
                <w:rFonts w:hint="eastAsia" w:ascii="宋体" w:hAnsi="宋体"/>
              </w:rPr>
              <w:t>单价</w:t>
            </w:r>
          </w:p>
        </w:tc>
        <w:tc>
          <w:tcPr>
            <w:tcW w:w="940" w:type="dxa"/>
            <w:noWrap w:val="0"/>
            <w:vAlign w:val="center"/>
          </w:tcPr>
          <w:p>
            <w:pPr>
              <w:jc w:val="center"/>
              <w:rPr>
                <w:rFonts w:hint="eastAsia" w:ascii="宋体" w:hAnsi="宋体"/>
              </w:rPr>
            </w:pPr>
            <w:r>
              <w:rPr>
                <w:rFonts w:hint="eastAsia" w:ascii="宋体" w:hAnsi="宋体"/>
              </w:rPr>
              <w:t>金额</w:t>
            </w:r>
          </w:p>
        </w:tc>
        <w:tc>
          <w:tcPr>
            <w:tcW w:w="646" w:type="dxa"/>
            <w:noWrap w:val="0"/>
            <w:vAlign w:val="center"/>
          </w:tcPr>
          <w:p>
            <w:pPr>
              <w:jc w:val="center"/>
              <w:rPr>
                <w:rFonts w:hint="eastAsia" w:ascii="宋体" w:hAnsi="宋体"/>
              </w:rPr>
            </w:pPr>
            <w:r>
              <w:rPr>
                <w:rFonts w:hint="eastAsia" w:ascii="宋体" w:hAnsi="宋体"/>
              </w:rPr>
              <w:t>序号</w:t>
            </w:r>
          </w:p>
        </w:tc>
        <w:tc>
          <w:tcPr>
            <w:tcW w:w="765" w:type="dxa"/>
            <w:noWrap w:val="0"/>
            <w:vAlign w:val="center"/>
          </w:tcPr>
          <w:p>
            <w:pPr>
              <w:jc w:val="center"/>
              <w:rPr>
                <w:rFonts w:hint="eastAsia" w:ascii="宋体" w:hAnsi="宋体"/>
              </w:rPr>
            </w:pPr>
            <w:r>
              <w:rPr>
                <w:rFonts w:hint="eastAsia" w:ascii="宋体" w:hAnsi="宋体"/>
              </w:rPr>
              <w:t>名称</w:t>
            </w:r>
          </w:p>
        </w:tc>
        <w:tc>
          <w:tcPr>
            <w:tcW w:w="925" w:type="dxa"/>
            <w:noWrap w:val="0"/>
            <w:vAlign w:val="center"/>
          </w:tcPr>
          <w:p>
            <w:pPr>
              <w:jc w:val="center"/>
              <w:rPr>
                <w:rFonts w:hint="eastAsia" w:ascii="宋体" w:hAnsi="宋体"/>
              </w:rPr>
            </w:pPr>
            <w:r>
              <w:rPr>
                <w:rFonts w:hint="eastAsia" w:ascii="宋体" w:hAnsi="宋体"/>
              </w:rPr>
              <w:t>数量</w:t>
            </w:r>
          </w:p>
        </w:tc>
        <w:tc>
          <w:tcPr>
            <w:tcW w:w="838" w:type="dxa"/>
            <w:noWrap w:val="0"/>
            <w:vAlign w:val="center"/>
          </w:tcPr>
          <w:p>
            <w:pPr>
              <w:jc w:val="center"/>
              <w:rPr>
                <w:rFonts w:hint="eastAsia" w:ascii="宋体" w:hAnsi="宋体"/>
              </w:rPr>
            </w:pPr>
            <w:r>
              <w:rPr>
                <w:rFonts w:hint="eastAsia" w:ascii="宋体" w:hAnsi="宋体"/>
              </w:rPr>
              <w:t>单价</w:t>
            </w:r>
          </w:p>
        </w:tc>
        <w:tc>
          <w:tcPr>
            <w:tcW w:w="1087" w:type="dxa"/>
            <w:noWrap w:val="0"/>
            <w:vAlign w:val="center"/>
          </w:tcPr>
          <w:p>
            <w:pPr>
              <w:jc w:val="center"/>
              <w:rPr>
                <w:rFonts w:hint="eastAsia" w:ascii="宋体" w:hAnsi="宋体"/>
              </w:rPr>
            </w:pPr>
            <w:r>
              <w:rPr>
                <w:rFonts w:hint="eastAsia" w:ascii="宋体" w:hAnsi="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17" w:type="dxa"/>
            <w:noWrap w:val="0"/>
            <w:vAlign w:val="top"/>
          </w:tcPr>
          <w:p>
            <w:pPr>
              <w:rPr>
                <w:rFonts w:hint="eastAsia" w:ascii="宋体" w:hAnsi="宋体"/>
              </w:rPr>
            </w:pPr>
            <w:r>
              <w:rPr>
                <w:rFonts w:hint="eastAsia" w:ascii="宋体" w:hAnsi="宋体"/>
              </w:rPr>
              <w:t>1</w:t>
            </w:r>
          </w:p>
        </w:tc>
        <w:tc>
          <w:tcPr>
            <w:tcW w:w="1176"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765" w:type="dxa"/>
            <w:noWrap w:val="0"/>
            <w:vAlign w:val="top"/>
          </w:tcPr>
          <w:p>
            <w:pPr>
              <w:rPr>
                <w:rFonts w:hint="eastAsia" w:ascii="宋体" w:hAnsi="宋体"/>
              </w:rPr>
            </w:pPr>
          </w:p>
        </w:tc>
        <w:tc>
          <w:tcPr>
            <w:tcW w:w="940" w:type="dxa"/>
            <w:noWrap w:val="0"/>
            <w:vAlign w:val="top"/>
          </w:tcPr>
          <w:p>
            <w:pPr>
              <w:rPr>
                <w:rFonts w:hint="eastAsia" w:ascii="宋体" w:hAnsi="宋体"/>
              </w:rPr>
            </w:pPr>
          </w:p>
        </w:tc>
        <w:tc>
          <w:tcPr>
            <w:tcW w:w="646" w:type="dxa"/>
            <w:noWrap w:val="0"/>
            <w:vAlign w:val="top"/>
          </w:tcPr>
          <w:p>
            <w:pPr>
              <w:rPr>
                <w:rFonts w:hint="eastAsia" w:ascii="宋体" w:hAnsi="宋体"/>
              </w:rPr>
            </w:pPr>
            <w:r>
              <w:rPr>
                <w:rFonts w:hint="eastAsia" w:ascii="宋体" w:hAnsi="宋体"/>
              </w:rPr>
              <w:t>5</w:t>
            </w:r>
          </w:p>
        </w:tc>
        <w:tc>
          <w:tcPr>
            <w:tcW w:w="765"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838" w:type="dxa"/>
            <w:noWrap w:val="0"/>
            <w:vAlign w:val="top"/>
          </w:tcPr>
          <w:p>
            <w:pPr>
              <w:rPr>
                <w:rFonts w:hint="eastAsia" w:ascii="宋体" w:hAnsi="宋体"/>
              </w:rPr>
            </w:pPr>
          </w:p>
        </w:tc>
        <w:tc>
          <w:tcPr>
            <w:tcW w:w="1087"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17" w:type="dxa"/>
            <w:noWrap w:val="0"/>
            <w:vAlign w:val="top"/>
          </w:tcPr>
          <w:p>
            <w:pPr>
              <w:rPr>
                <w:rFonts w:hint="eastAsia" w:ascii="宋体" w:hAnsi="宋体"/>
              </w:rPr>
            </w:pPr>
            <w:r>
              <w:rPr>
                <w:rFonts w:hint="eastAsia" w:ascii="宋体" w:hAnsi="宋体"/>
              </w:rPr>
              <w:t>2</w:t>
            </w:r>
          </w:p>
        </w:tc>
        <w:tc>
          <w:tcPr>
            <w:tcW w:w="1176"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765" w:type="dxa"/>
            <w:noWrap w:val="0"/>
            <w:vAlign w:val="top"/>
          </w:tcPr>
          <w:p>
            <w:pPr>
              <w:rPr>
                <w:rFonts w:hint="eastAsia" w:ascii="宋体" w:hAnsi="宋体"/>
              </w:rPr>
            </w:pPr>
          </w:p>
        </w:tc>
        <w:tc>
          <w:tcPr>
            <w:tcW w:w="940" w:type="dxa"/>
            <w:noWrap w:val="0"/>
            <w:vAlign w:val="top"/>
          </w:tcPr>
          <w:p>
            <w:pPr>
              <w:rPr>
                <w:rFonts w:hint="eastAsia" w:ascii="宋体" w:hAnsi="宋体"/>
              </w:rPr>
            </w:pPr>
          </w:p>
        </w:tc>
        <w:tc>
          <w:tcPr>
            <w:tcW w:w="646" w:type="dxa"/>
            <w:noWrap w:val="0"/>
            <w:vAlign w:val="top"/>
          </w:tcPr>
          <w:p>
            <w:pPr>
              <w:rPr>
                <w:rFonts w:hint="eastAsia" w:ascii="宋体" w:hAnsi="宋体"/>
              </w:rPr>
            </w:pPr>
            <w:r>
              <w:rPr>
                <w:rFonts w:hint="eastAsia" w:ascii="宋体" w:hAnsi="宋体"/>
              </w:rPr>
              <w:t>6</w:t>
            </w:r>
          </w:p>
        </w:tc>
        <w:tc>
          <w:tcPr>
            <w:tcW w:w="765"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838" w:type="dxa"/>
            <w:noWrap w:val="0"/>
            <w:vAlign w:val="top"/>
          </w:tcPr>
          <w:p>
            <w:pPr>
              <w:rPr>
                <w:rFonts w:hint="eastAsia" w:ascii="宋体" w:hAnsi="宋体"/>
              </w:rPr>
            </w:pPr>
          </w:p>
        </w:tc>
        <w:tc>
          <w:tcPr>
            <w:tcW w:w="1087"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17" w:type="dxa"/>
            <w:noWrap w:val="0"/>
            <w:vAlign w:val="top"/>
          </w:tcPr>
          <w:p>
            <w:pPr>
              <w:rPr>
                <w:rFonts w:hint="eastAsia" w:ascii="宋体" w:hAnsi="宋体"/>
              </w:rPr>
            </w:pPr>
            <w:r>
              <w:rPr>
                <w:rFonts w:hint="eastAsia" w:ascii="宋体" w:hAnsi="宋体"/>
              </w:rPr>
              <w:t>3</w:t>
            </w:r>
          </w:p>
        </w:tc>
        <w:tc>
          <w:tcPr>
            <w:tcW w:w="1176"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765" w:type="dxa"/>
            <w:noWrap w:val="0"/>
            <w:vAlign w:val="top"/>
          </w:tcPr>
          <w:p>
            <w:pPr>
              <w:rPr>
                <w:rFonts w:hint="eastAsia" w:ascii="宋体" w:hAnsi="宋体"/>
              </w:rPr>
            </w:pPr>
          </w:p>
        </w:tc>
        <w:tc>
          <w:tcPr>
            <w:tcW w:w="940" w:type="dxa"/>
            <w:noWrap w:val="0"/>
            <w:vAlign w:val="top"/>
          </w:tcPr>
          <w:p>
            <w:pPr>
              <w:rPr>
                <w:rFonts w:hint="eastAsia" w:ascii="宋体" w:hAnsi="宋体"/>
              </w:rPr>
            </w:pPr>
          </w:p>
        </w:tc>
        <w:tc>
          <w:tcPr>
            <w:tcW w:w="646" w:type="dxa"/>
            <w:noWrap w:val="0"/>
            <w:vAlign w:val="top"/>
          </w:tcPr>
          <w:p>
            <w:pPr>
              <w:rPr>
                <w:rFonts w:hint="eastAsia" w:ascii="宋体" w:hAnsi="宋体"/>
              </w:rPr>
            </w:pPr>
            <w:r>
              <w:rPr>
                <w:rFonts w:hint="eastAsia" w:ascii="宋体" w:hAnsi="宋体"/>
              </w:rPr>
              <w:t>7</w:t>
            </w:r>
          </w:p>
        </w:tc>
        <w:tc>
          <w:tcPr>
            <w:tcW w:w="765"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838" w:type="dxa"/>
            <w:noWrap w:val="0"/>
            <w:vAlign w:val="top"/>
          </w:tcPr>
          <w:p>
            <w:pPr>
              <w:rPr>
                <w:rFonts w:hint="eastAsia" w:ascii="宋体" w:hAnsi="宋体"/>
              </w:rPr>
            </w:pPr>
          </w:p>
        </w:tc>
        <w:tc>
          <w:tcPr>
            <w:tcW w:w="1087" w:type="dxa"/>
            <w:noWrap w:val="0"/>
            <w:vAlign w:val="top"/>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17" w:type="dxa"/>
            <w:noWrap w:val="0"/>
            <w:vAlign w:val="top"/>
          </w:tcPr>
          <w:p>
            <w:pPr>
              <w:rPr>
                <w:rFonts w:hint="eastAsia" w:ascii="宋体" w:hAnsi="宋体"/>
              </w:rPr>
            </w:pPr>
            <w:r>
              <w:rPr>
                <w:rFonts w:hint="eastAsia" w:ascii="宋体" w:hAnsi="宋体"/>
              </w:rPr>
              <w:t>4</w:t>
            </w:r>
          </w:p>
        </w:tc>
        <w:tc>
          <w:tcPr>
            <w:tcW w:w="1176"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765" w:type="dxa"/>
            <w:noWrap w:val="0"/>
            <w:vAlign w:val="top"/>
          </w:tcPr>
          <w:p>
            <w:pPr>
              <w:rPr>
                <w:rFonts w:hint="eastAsia" w:ascii="宋体" w:hAnsi="宋体"/>
              </w:rPr>
            </w:pPr>
          </w:p>
        </w:tc>
        <w:tc>
          <w:tcPr>
            <w:tcW w:w="940" w:type="dxa"/>
            <w:noWrap w:val="0"/>
            <w:vAlign w:val="top"/>
          </w:tcPr>
          <w:p>
            <w:pPr>
              <w:rPr>
                <w:rFonts w:hint="eastAsia" w:ascii="宋体" w:hAnsi="宋体"/>
              </w:rPr>
            </w:pPr>
          </w:p>
        </w:tc>
        <w:tc>
          <w:tcPr>
            <w:tcW w:w="646" w:type="dxa"/>
            <w:noWrap w:val="0"/>
            <w:vAlign w:val="top"/>
          </w:tcPr>
          <w:p>
            <w:pPr>
              <w:rPr>
                <w:rFonts w:hint="eastAsia" w:ascii="宋体" w:hAnsi="宋体"/>
              </w:rPr>
            </w:pPr>
            <w:r>
              <w:rPr>
                <w:rFonts w:hint="eastAsia" w:ascii="宋体" w:hAnsi="宋体"/>
              </w:rPr>
              <w:t>8</w:t>
            </w:r>
          </w:p>
        </w:tc>
        <w:tc>
          <w:tcPr>
            <w:tcW w:w="765" w:type="dxa"/>
            <w:noWrap w:val="0"/>
            <w:vAlign w:val="top"/>
          </w:tcPr>
          <w:p>
            <w:pPr>
              <w:rPr>
                <w:rFonts w:hint="eastAsia" w:ascii="宋体" w:hAnsi="宋体"/>
              </w:rPr>
            </w:pPr>
          </w:p>
        </w:tc>
        <w:tc>
          <w:tcPr>
            <w:tcW w:w="925" w:type="dxa"/>
            <w:noWrap w:val="0"/>
            <w:vAlign w:val="top"/>
          </w:tcPr>
          <w:p>
            <w:pPr>
              <w:rPr>
                <w:rFonts w:hint="eastAsia" w:ascii="宋体" w:hAnsi="宋体"/>
              </w:rPr>
            </w:pPr>
          </w:p>
        </w:tc>
        <w:tc>
          <w:tcPr>
            <w:tcW w:w="838" w:type="dxa"/>
            <w:noWrap w:val="0"/>
            <w:vAlign w:val="top"/>
          </w:tcPr>
          <w:p>
            <w:pPr>
              <w:rPr>
                <w:rFonts w:hint="eastAsia" w:ascii="宋体" w:hAnsi="宋体"/>
              </w:rPr>
            </w:pPr>
          </w:p>
        </w:tc>
        <w:tc>
          <w:tcPr>
            <w:tcW w:w="1087" w:type="dxa"/>
            <w:noWrap w:val="0"/>
            <w:vAlign w:val="top"/>
          </w:tcPr>
          <w:p>
            <w:pPr>
              <w:rPr>
                <w:rFonts w:hint="eastAsia" w:ascii="宋体" w:hAnsi="宋体"/>
              </w:rPr>
            </w:pPr>
          </w:p>
        </w:tc>
      </w:tr>
    </w:tbl>
    <w:p>
      <w:pPr>
        <w:spacing w:before="156" w:after="156"/>
        <w:ind w:left="420"/>
        <w:rPr>
          <w:rFonts w:hint="eastAsia" w:eastAsia="黑体"/>
          <w:sz w:val="28"/>
        </w:rPr>
      </w:pPr>
      <w:r>
        <w:rPr>
          <w:rFonts w:hint="eastAsia" w:ascii="宋体" w:hAnsi="宋体"/>
        </w:rPr>
        <w:t xml:space="preserve"> </w:t>
      </w:r>
      <w:bookmarkStart w:id="91" w:name="_Toc70748068"/>
      <w:bookmarkStart w:id="92" w:name="_Toc100052469"/>
      <w:bookmarkStart w:id="93" w:name="_Toc71860060"/>
      <w:bookmarkStart w:id="94" w:name="_Toc101074900"/>
      <w:bookmarkStart w:id="95" w:name="_Toc73521614"/>
      <w:bookmarkStart w:id="96" w:name="_Toc73521702"/>
      <w:bookmarkStart w:id="97" w:name="_Toc73517708"/>
      <w:bookmarkStart w:id="98" w:name="_Toc73518186"/>
    </w:p>
    <w:p>
      <w:pPr>
        <w:spacing w:line="500" w:lineRule="exact"/>
        <w:ind w:left="257"/>
        <w:jc w:val="center"/>
        <w:rPr>
          <w:rFonts w:hint="eastAsia" w:eastAsia="黑体"/>
          <w:sz w:val="28"/>
        </w:rPr>
      </w:pPr>
      <w:r>
        <w:rPr>
          <w:rFonts w:hint="eastAsia" w:eastAsia="黑体"/>
          <w:sz w:val="28"/>
        </w:rPr>
        <w:t>六、投标人情况介绍</w:t>
      </w:r>
      <w:bookmarkEnd w:id="91"/>
      <w:bookmarkEnd w:id="92"/>
      <w:bookmarkEnd w:id="93"/>
      <w:bookmarkEnd w:id="94"/>
      <w:bookmarkEnd w:id="95"/>
      <w:bookmarkEnd w:id="96"/>
      <w:bookmarkEnd w:id="97"/>
      <w:bookmarkEnd w:id="98"/>
    </w:p>
    <w:tbl>
      <w:tblPr>
        <w:tblStyle w:val="4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2340"/>
        <w:gridCol w:w="1800"/>
        <w:gridCol w:w="32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 w:hRule="atLeast"/>
          <w:jc w:val="center"/>
        </w:trPr>
        <w:tc>
          <w:tcPr>
            <w:tcW w:w="1829" w:type="dxa"/>
            <w:noWrap w:val="0"/>
            <w:vAlign w:val="center"/>
          </w:tcPr>
          <w:p>
            <w:pPr>
              <w:jc w:val="center"/>
              <w:rPr>
                <w:rFonts w:hint="eastAsia"/>
              </w:rPr>
            </w:pPr>
            <w:r>
              <w:rPr>
                <w:rFonts w:hint="eastAsia"/>
              </w:rPr>
              <w:t>投标人名称</w:t>
            </w:r>
          </w:p>
        </w:tc>
        <w:tc>
          <w:tcPr>
            <w:tcW w:w="2340" w:type="dxa"/>
            <w:noWrap w:val="0"/>
            <w:vAlign w:val="center"/>
          </w:tcPr>
          <w:p>
            <w:pPr>
              <w:jc w:val="center"/>
              <w:rPr>
                <w:rFonts w:hint="eastAsia"/>
              </w:rPr>
            </w:pPr>
            <w:r>
              <w:rPr>
                <w:rFonts w:hint="eastAsia"/>
              </w:rPr>
              <w:t>注册年度及注册编号</w:t>
            </w:r>
          </w:p>
        </w:tc>
        <w:tc>
          <w:tcPr>
            <w:tcW w:w="1800" w:type="dxa"/>
            <w:noWrap w:val="0"/>
            <w:vAlign w:val="center"/>
          </w:tcPr>
          <w:p>
            <w:pPr>
              <w:jc w:val="center"/>
              <w:rPr>
                <w:rFonts w:hint="eastAsia"/>
              </w:rPr>
            </w:pPr>
            <w:r>
              <w:rPr>
                <w:rFonts w:hint="eastAsia"/>
              </w:rPr>
              <w:t>注册资金（万元）</w:t>
            </w:r>
          </w:p>
        </w:tc>
        <w:tc>
          <w:tcPr>
            <w:tcW w:w="3294" w:type="dxa"/>
            <w:noWrap w:val="0"/>
            <w:vAlign w:val="center"/>
          </w:tcPr>
          <w:p>
            <w:pPr>
              <w:jc w:val="center"/>
              <w:rPr>
                <w:rFonts w:hint="eastAsia"/>
              </w:rPr>
            </w:pPr>
            <w:r>
              <w:rPr>
                <w:rFonts w:hint="eastAsia"/>
              </w:rPr>
              <w:t>资格（质）证书批准单位、等级</w:t>
            </w:r>
          </w:p>
          <w:p>
            <w:pPr>
              <w:jc w:val="center"/>
              <w:rPr>
                <w:rFonts w:hint="eastAsia"/>
              </w:rPr>
            </w:pPr>
            <w:r>
              <w:rPr>
                <w:rFonts w:hint="eastAsia"/>
              </w:rPr>
              <w:t>批准时间及编号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 w:hRule="atLeast"/>
          <w:jc w:val="center"/>
        </w:trPr>
        <w:tc>
          <w:tcPr>
            <w:tcW w:w="1829" w:type="dxa"/>
            <w:noWrap w:val="0"/>
            <w:vAlign w:val="center"/>
          </w:tcPr>
          <w:p>
            <w:pPr>
              <w:jc w:val="center"/>
              <w:rPr>
                <w:rFonts w:hint="eastAsia"/>
              </w:rPr>
            </w:pPr>
          </w:p>
        </w:tc>
        <w:tc>
          <w:tcPr>
            <w:tcW w:w="2340" w:type="dxa"/>
            <w:noWrap w:val="0"/>
            <w:vAlign w:val="center"/>
          </w:tcPr>
          <w:p>
            <w:pPr>
              <w:jc w:val="center"/>
            </w:pPr>
          </w:p>
        </w:tc>
        <w:tc>
          <w:tcPr>
            <w:tcW w:w="1800" w:type="dxa"/>
            <w:noWrap w:val="0"/>
            <w:vAlign w:val="center"/>
          </w:tcPr>
          <w:p>
            <w:pPr>
              <w:jc w:val="center"/>
            </w:pPr>
          </w:p>
        </w:tc>
        <w:tc>
          <w:tcPr>
            <w:tcW w:w="3294" w:type="dxa"/>
            <w:noWrap w:val="0"/>
            <w:vAlign w:val="center"/>
          </w:tcPr>
          <w:p>
            <w:pPr>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 w:hRule="atLeast"/>
          <w:jc w:val="center"/>
        </w:trPr>
        <w:tc>
          <w:tcPr>
            <w:tcW w:w="1829" w:type="dxa"/>
            <w:noWrap w:val="0"/>
            <w:vAlign w:val="center"/>
          </w:tcPr>
          <w:p>
            <w:pPr>
              <w:jc w:val="center"/>
              <w:rPr>
                <w:rFonts w:hint="eastAsia"/>
              </w:rPr>
            </w:pPr>
            <w:r>
              <w:rPr>
                <w:rFonts w:hint="eastAsia"/>
              </w:rPr>
              <w:t>税务登记证编号</w:t>
            </w:r>
          </w:p>
        </w:tc>
        <w:tc>
          <w:tcPr>
            <w:tcW w:w="2340" w:type="dxa"/>
            <w:noWrap w:val="0"/>
            <w:vAlign w:val="center"/>
          </w:tcPr>
          <w:p>
            <w:pPr>
              <w:jc w:val="center"/>
            </w:pPr>
            <w:r>
              <w:rPr>
                <w:rFonts w:hint="eastAsia"/>
              </w:rPr>
              <w:t>经营场所</w:t>
            </w:r>
          </w:p>
        </w:tc>
        <w:tc>
          <w:tcPr>
            <w:tcW w:w="1800" w:type="dxa"/>
            <w:noWrap w:val="0"/>
            <w:vAlign w:val="center"/>
          </w:tcPr>
          <w:p>
            <w:pPr>
              <w:jc w:val="center"/>
            </w:pPr>
            <w:r>
              <w:rPr>
                <w:rFonts w:hint="eastAsia"/>
              </w:rPr>
              <w:t>在职技术人数</w:t>
            </w:r>
          </w:p>
        </w:tc>
        <w:tc>
          <w:tcPr>
            <w:tcW w:w="3294" w:type="dxa"/>
            <w:noWrap w:val="0"/>
            <w:vAlign w:val="center"/>
          </w:tcPr>
          <w:p>
            <w:pPr>
              <w:jc w:val="center"/>
            </w:pPr>
            <w:r>
              <w:rPr>
                <w:rFonts w:hint="eastAsia"/>
              </w:rPr>
              <w:t>得奖或评优项目数量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 w:hRule="atLeast"/>
          <w:jc w:val="center"/>
        </w:trPr>
        <w:tc>
          <w:tcPr>
            <w:tcW w:w="1829" w:type="dxa"/>
            <w:noWrap w:val="0"/>
            <w:vAlign w:val="center"/>
          </w:tcPr>
          <w:p>
            <w:pPr>
              <w:rPr>
                <w:rFonts w:hint="eastAsia"/>
              </w:rPr>
            </w:pPr>
          </w:p>
        </w:tc>
        <w:tc>
          <w:tcPr>
            <w:tcW w:w="2340" w:type="dxa"/>
            <w:noWrap w:val="0"/>
            <w:vAlign w:val="center"/>
          </w:tcPr>
          <w:p/>
        </w:tc>
        <w:tc>
          <w:tcPr>
            <w:tcW w:w="1800" w:type="dxa"/>
            <w:noWrap w:val="0"/>
            <w:vAlign w:val="center"/>
          </w:tcPr>
          <w:p/>
        </w:tc>
        <w:tc>
          <w:tcPr>
            <w:tcW w:w="3294" w:type="dxa"/>
            <w:noWrap w:val="0"/>
            <w:vAlign w:val="center"/>
          </w:tcPr>
          <w:p/>
        </w:tc>
      </w:tr>
    </w:tbl>
    <w:p>
      <w:pPr>
        <w:ind w:left="632" w:hanging="632"/>
        <w:rPr>
          <w:rFonts w:hint="eastAsia"/>
          <w:b/>
        </w:rPr>
      </w:pPr>
      <w:r>
        <w:rPr>
          <w:rFonts w:hint="eastAsia"/>
          <w:b/>
        </w:rPr>
        <w:t>注：1、在按要求填写好此表格后，各投标单位可以用其它的方式，就公司整体情况作出详细的介绍。</w:t>
      </w:r>
    </w:p>
    <w:p>
      <w:pPr>
        <w:ind w:firstLine="420"/>
        <w:rPr>
          <w:rFonts w:hint="eastAsia"/>
          <w:b/>
        </w:rPr>
      </w:pPr>
      <w:r>
        <w:rPr>
          <w:rFonts w:hint="eastAsia"/>
          <w:b/>
        </w:rPr>
        <w:t>2、有关资质和获奖情况需提供证书扫描件。</w:t>
      </w:r>
    </w:p>
    <w:p>
      <w:pPr>
        <w:ind w:firstLine="420"/>
        <w:rPr>
          <w:rFonts w:hint="eastAsia"/>
          <w:b/>
        </w:rPr>
      </w:pPr>
    </w:p>
    <w:p>
      <w:pPr>
        <w:spacing w:line="500" w:lineRule="exact"/>
        <w:ind w:left="257"/>
        <w:jc w:val="center"/>
        <w:rPr>
          <w:rFonts w:hint="eastAsia" w:eastAsia="黑体"/>
          <w:sz w:val="28"/>
        </w:rPr>
      </w:pPr>
      <w:bookmarkStart w:id="99" w:name="_Toc73521704"/>
      <w:bookmarkStart w:id="100" w:name="_Toc78260731"/>
      <w:bookmarkStart w:id="101" w:name="_Toc73521616"/>
      <w:bookmarkStart w:id="102" w:name="_Toc101074901"/>
    </w:p>
    <w:p>
      <w:pPr>
        <w:spacing w:line="500" w:lineRule="exact"/>
        <w:ind w:left="257"/>
        <w:jc w:val="center"/>
        <w:rPr>
          <w:rFonts w:eastAsia="黑体"/>
          <w:sz w:val="28"/>
        </w:rPr>
      </w:pPr>
      <w:r>
        <w:rPr>
          <w:rFonts w:hint="eastAsia" w:eastAsia="黑体"/>
          <w:sz w:val="28"/>
        </w:rPr>
        <w:t>七、类似</w:t>
      </w:r>
      <w:bookmarkEnd w:id="99"/>
      <w:bookmarkEnd w:id="100"/>
      <w:bookmarkEnd w:id="101"/>
      <w:r>
        <w:rPr>
          <w:rFonts w:hint="eastAsia" w:eastAsia="黑体"/>
          <w:sz w:val="28"/>
        </w:rPr>
        <w:t>项目案例</w:t>
      </w:r>
      <w:bookmarkEnd w:id="102"/>
    </w:p>
    <w:tbl>
      <w:tblPr>
        <w:tblStyle w:val="4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571"/>
        <w:gridCol w:w="1440"/>
        <w:gridCol w:w="1320"/>
        <w:gridCol w:w="1169"/>
        <w:gridCol w:w="1260"/>
        <w:gridCol w:w="1377"/>
        <w:gridCol w:w="1275"/>
        <w:gridCol w:w="11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9534" w:type="dxa"/>
            <w:gridSpan w:val="8"/>
            <w:noWrap w:val="0"/>
            <w:vAlign w:val="center"/>
          </w:tcPr>
          <w:p>
            <w:pPr>
              <w:jc w:val="center"/>
            </w:pPr>
            <w:r>
              <w:rPr>
                <w:rFonts w:hint="eastAsia"/>
              </w:rPr>
              <w:t>已完工项目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571" w:type="dxa"/>
            <w:noWrap w:val="0"/>
            <w:vAlign w:val="center"/>
          </w:tcPr>
          <w:p>
            <w:r>
              <w:rPr>
                <w:rFonts w:hint="eastAsia"/>
              </w:rPr>
              <w:t>序号</w:t>
            </w:r>
          </w:p>
        </w:tc>
        <w:tc>
          <w:tcPr>
            <w:tcW w:w="1440" w:type="dxa"/>
            <w:noWrap w:val="0"/>
            <w:vAlign w:val="center"/>
          </w:tcPr>
          <w:p>
            <w:pPr>
              <w:jc w:val="center"/>
            </w:pPr>
            <w:r>
              <w:rPr>
                <w:rFonts w:hint="eastAsia"/>
              </w:rPr>
              <w:t>项目名称</w:t>
            </w:r>
          </w:p>
        </w:tc>
        <w:tc>
          <w:tcPr>
            <w:tcW w:w="1320" w:type="dxa"/>
            <w:noWrap w:val="0"/>
            <w:vAlign w:val="center"/>
          </w:tcPr>
          <w:p>
            <w:pPr>
              <w:jc w:val="center"/>
              <w:rPr>
                <w:rFonts w:hint="eastAsia"/>
              </w:rPr>
            </w:pPr>
            <w:r>
              <w:rPr>
                <w:rFonts w:hint="eastAsia"/>
              </w:rPr>
              <w:t>业主单位</w:t>
            </w:r>
          </w:p>
        </w:tc>
        <w:tc>
          <w:tcPr>
            <w:tcW w:w="1169" w:type="dxa"/>
            <w:noWrap w:val="0"/>
            <w:vAlign w:val="center"/>
          </w:tcPr>
          <w:p>
            <w:pPr>
              <w:jc w:val="center"/>
            </w:pPr>
            <w:r>
              <w:rPr>
                <w:rFonts w:hint="eastAsia"/>
              </w:rPr>
              <w:t>服务内容</w:t>
            </w:r>
          </w:p>
        </w:tc>
        <w:tc>
          <w:tcPr>
            <w:tcW w:w="1260" w:type="dxa"/>
            <w:noWrap w:val="0"/>
            <w:vAlign w:val="center"/>
          </w:tcPr>
          <w:p>
            <w:pPr>
              <w:jc w:val="center"/>
              <w:rPr>
                <w:rFonts w:hint="eastAsia"/>
              </w:rPr>
            </w:pPr>
            <w:r>
              <w:rPr>
                <w:rFonts w:hint="eastAsia"/>
              </w:rPr>
              <w:t>合同金额</w:t>
            </w:r>
          </w:p>
        </w:tc>
        <w:tc>
          <w:tcPr>
            <w:tcW w:w="1377" w:type="dxa"/>
            <w:noWrap w:val="0"/>
            <w:vAlign w:val="center"/>
          </w:tcPr>
          <w:p>
            <w:pPr>
              <w:jc w:val="center"/>
              <w:rPr>
                <w:rFonts w:hint="eastAsia"/>
              </w:rPr>
            </w:pPr>
            <w:r>
              <w:rPr>
                <w:rFonts w:hint="eastAsia"/>
              </w:rPr>
              <w:t>合同签订时间</w:t>
            </w:r>
          </w:p>
        </w:tc>
        <w:tc>
          <w:tcPr>
            <w:tcW w:w="1275" w:type="dxa"/>
            <w:noWrap w:val="0"/>
            <w:vAlign w:val="center"/>
          </w:tcPr>
          <w:p>
            <w:pPr>
              <w:jc w:val="center"/>
              <w:rPr>
                <w:rFonts w:hint="eastAsia"/>
              </w:rPr>
            </w:pPr>
            <w:r>
              <w:rPr>
                <w:rFonts w:hint="eastAsia"/>
              </w:rPr>
              <w:t>业主联系人</w:t>
            </w:r>
          </w:p>
        </w:tc>
        <w:tc>
          <w:tcPr>
            <w:tcW w:w="1122" w:type="dxa"/>
            <w:noWrap w:val="0"/>
            <w:vAlign w:val="center"/>
          </w:tcPr>
          <w:p>
            <w:r>
              <w:rPr>
                <w:rFonts w:hint="eastAsia"/>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571" w:type="dxa"/>
            <w:tcBorders>
              <w:bottom w:val="single" w:color="auto" w:sz="4" w:space="0"/>
            </w:tcBorders>
            <w:noWrap w:val="0"/>
            <w:vAlign w:val="center"/>
          </w:tcPr>
          <w:p>
            <w:pPr>
              <w:rPr>
                <w:rFonts w:hint="eastAsia"/>
              </w:rPr>
            </w:pPr>
          </w:p>
        </w:tc>
        <w:tc>
          <w:tcPr>
            <w:tcW w:w="1440" w:type="dxa"/>
            <w:noWrap w:val="0"/>
            <w:vAlign w:val="center"/>
          </w:tcPr>
          <w:p/>
        </w:tc>
        <w:tc>
          <w:tcPr>
            <w:tcW w:w="1320" w:type="dxa"/>
            <w:noWrap w:val="0"/>
            <w:vAlign w:val="center"/>
          </w:tcPr>
          <w:p/>
        </w:tc>
        <w:tc>
          <w:tcPr>
            <w:tcW w:w="1169" w:type="dxa"/>
            <w:noWrap w:val="0"/>
            <w:vAlign w:val="center"/>
          </w:tcPr>
          <w:p/>
        </w:tc>
        <w:tc>
          <w:tcPr>
            <w:tcW w:w="1260" w:type="dxa"/>
            <w:noWrap w:val="0"/>
            <w:vAlign w:val="center"/>
          </w:tcPr>
          <w:p/>
        </w:tc>
        <w:tc>
          <w:tcPr>
            <w:tcW w:w="1377" w:type="dxa"/>
            <w:noWrap w:val="0"/>
            <w:vAlign w:val="center"/>
          </w:tcPr>
          <w:p/>
        </w:tc>
        <w:tc>
          <w:tcPr>
            <w:tcW w:w="1275" w:type="dxa"/>
            <w:noWrap w:val="0"/>
            <w:vAlign w:val="center"/>
          </w:tcPr>
          <w:p/>
        </w:tc>
        <w:tc>
          <w:tcPr>
            <w:tcW w:w="1122" w:type="dxa"/>
            <w:noWrap w:val="0"/>
            <w:vAlign w:val="center"/>
          </w:tc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571" w:type="dxa"/>
            <w:tcBorders>
              <w:top w:val="single" w:color="auto" w:sz="4" w:space="0"/>
            </w:tcBorders>
            <w:noWrap w:val="0"/>
            <w:vAlign w:val="center"/>
          </w:tcPr>
          <w:p/>
        </w:tc>
        <w:tc>
          <w:tcPr>
            <w:tcW w:w="1440" w:type="dxa"/>
            <w:noWrap w:val="0"/>
            <w:vAlign w:val="center"/>
          </w:tcPr>
          <w:p/>
        </w:tc>
        <w:tc>
          <w:tcPr>
            <w:tcW w:w="1320" w:type="dxa"/>
            <w:noWrap w:val="0"/>
            <w:vAlign w:val="center"/>
          </w:tcPr>
          <w:p/>
        </w:tc>
        <w:tc>
          <w:tcPr>
            <w:tcW w:w="1169" w:type="dxa"/>
            <w:noWrap w:val="0"/>
            <w:vAlign w:val="center"/>
          </w:tcPr>
          <w:p/>
        </w:tc>
        <w:tc>
          <w:tcPr>
            <w:tcW w:w="1260" w:type="dxa"/>
            <w:noWrap w:val="0"/>
            <w:vAlign w:val="center"/>
          </w:tcPr>
          <w:p/>
        </w:tc>
        <w:tc>
          <w:tcPr>
            <w:tcW w:w="1377" w:type="dxa"/>
            <w:noWrap w:val="0"/>
            <w:vAlign w:val="center"/>
          </w:tcPr>
          <w:p/>
        </w:tc>
        <w:tc>
          <w:tcPr>
            <w:tcW w:w="1275" w:type="dxa"/>
            <w:noWrap w:val="0"/>
            <w:vAlign w:val="center"/>
          </w:tcPr>
          <w:p/>
        </w:tc>
        <w:tc>
          <w:tcPr>
            <w:tcW w:w="1122" w:type="dxa"/>
            <w:noWrap w:val="0"/>
            <w:vAlign w:val="center"/>
          </w:tc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571" w:type="dxa"/>
            <w:noWrap w:val="0"/>
            <w:vAlign w:val="center"/>
          </w:tcPr>
          <w:p/>
        </w:tc>
        <w:tc>
          <w:tcPr>
            <w:tcW w:w="1440" w:type="dxa"/>
            <w:noWrap w:val="0"/>
            <w:vAlign w:val="center"/>
          </w:tcPr>
          <w:p/>
        </w:tc>
        <w:tc>
          <w:tcPr>
            <w:tcW w:w="1320" w:type="dxa"/>
            <w:noWrap w:val="0"/>
            <w:vAlign w:val="center"/>
          </w:tcPr>
          <w:p/>
        </w:tc>
        <w:tc>
          <w:tcPr>
            <w:tcW w:w="1169" w:type="dxa"/>
            <w:noWrap w:val="0"/>
            <w:vAlign w:val="center"/>
          </w:tcPr>
          <w:p/>
        </w:tc>
        <w:tc>
          <w:tcPr>
            <w:tcW w:w="1260" w:type="dxa"/>
            <w:noWrap w:val="0"/>
            <w:vAlign w:val="center"/>
          </w:tcPr>
          <w:p/>
        </w:tc>
        <w:tc>
          <w:tcPr>
            <w:tcW w:w="1377" w:type="dxa"/>
            <w:noWrap w:val="0"/>
            <w:vAlign w:val="center"/>
          </w:tcPr>
          <w:p/>
        </w:tc>
        <w:tc>
          <w:tcPr>
            <w:tcW w:w="1275" w:type="dxa"/>
            <w:noWrap w:val="0"/>
            <w:vAlign w:val="center"/>
          </w:tcPr>
          <w:p/>
        </w:tc>
        <w:tc>
          <w:tcPr>
            <w:tcW w:w="1122" w:type="dxa"/>
            <w:noWrap w:val="0"/>
            <w:vAlign w:val="center"/>
          </w:tc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wBefore w:w="0" w:type="dxa"/>
          <w:wAfter w:w="0" w:type="dxa"/>
          <w:cantSplit/>
          <w:trHeight w:val="600" w:hRule="atLeast"/>
          <w:jc w:val="center"/>
        </w:trPr>
        <w:tc>
          <w:tcPr>
            <w:tcW w:w="571" w:type="dxa"/>
            <w:noWrap w:val="0"/>
            <w:vAlign w:val="center"/>
          </w:tcPr>
          <w:p/>
        </w:tc>
        <w:tc>
          <w:tcPr>
            <w:tcW w:w="1440" w:type="dxa"/>
            <w:noWrap w:val="0"/>
            <w:vAlign w:val="center"/>
          </w:tcPr>
          <w:p/>
        </w:tc>
        <w:tc>
          <w:tcPr>
            <w:tcW w:w="1320" w:type="dxa"/>
            <w:noWrap w:val="0"/>
            <w:vAlign w:val="center"/>
          </w:tcPr>
          <w:p/>
        </w:tc>
        <w:tc>
          <w:tcPr>
            <w:tcW w:w="1169" w:type="dxa"/>
            <w:noWrap w:val="0"/>
            <w:vAlign w:val="center"/>
          </w:tcPr>
          <w:p/>
        </w:tc>
        <w:tc>
          <w:tcPr>
            <w:tcW w:w="1260" w:type="dxa"/>
            <w:noWrap w:val="0"/>
            <w:vAlign w:val="center"/>
          </w:tcPr>
          <w:p/>
        </w:tc>
        <w:tc>
          <w:tcPr>
            <w:tcW w:w="1377" w:type="dxa"/>
            <w:noWrap w:val="0"/>
            <w:vAlign w:val="center"/>
          </w:tcPr>
          <w:p/>
        </w:tc>
        <w:tc>
          <w:tcPr>
            <w:tcW w:w="1275" w:type="dxa"/>
            <w:noWrap w:val="0"/>
            <w:vAlign w:val="center"/>
          </w:tcPr>
          <w:p/>
        </w:tc>
        <w:tc>
          <w:tcPr>
            <w:tcW w:w="1122" w:type="dxa"/>
            <w:noWrap w:val="0"/>
            <w:vAlign w:val="center"/>
          </w:tcPr>
          <w:p/>
        </w:tc>
      </w:tr>
    </w:tbl>
    <w:p>
      <w:pPr>
        <w:rPr>
          <w:rFonts w:hint="eastAsia"/>
        </w:rPr>
      </w:pPr>
      <w:r>
        <w:rPr>
          <w:rFonts w:hint="eastAsia"/>
        </w:rPr>
        <w:t>。</w:t>
      </w:r>
    </w:p>
    <w:p>
      <w:pPr>
        <w:snapToGrid w:val="0"/>
        <w:spacing w:before="50" w:after="142" w:afterLines="50"/>
        <w:rPr>
          <w:rFonts w:hint="eastAsia" w:ascii="宋体" w:hAnsi="宋体"/>
          <w:b/>
          <w:color w:val="000000"/>
          <w:sz w:val="24"/>
        </w:rPr>
      </w:pPr>
    </w:p>
    <w:p>
      <w:pPr>
        <w:spacing w:line="500" w:lineRule="exact"/>
        <w:ind w:left="257"/>
        <w:jc w:val="center"/>
        <w:rPr>
          <w:rFonts w:hint="eastAsia" w:eastAsia="黑体"/>
          <w:sz w:val="28"/>
        </w:rPr>
      </w:pPr>
      <w:bookmarkStart w:id="103" w:name="_Toc73521617"/>
      <w:bookmarkStart w:id="104" w:name="_Toc70748069"/>
      <w:bookmarkStart w:id="105" w:name="_Toc101074902"/>
      <w:bookmarkStart w:id="106" w:name="_Toc71860061"/>
      <w:bookmarkStart w:id="107" w:name="_Toc100052472"/>
      <w:bookmarkStart w:id="108" w:name="_Toc73521705"/>
      <w:bookmarkStart w:id="109" w:name="_Toc73518187"/>
      <w:bookmarkStart w:id="110" w:name="_Toc73517709"/>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r>
        <w:rPr>
          <w:rFonts w:hint="eastAsia" w:eastAsia="黑体"/>
          <w:sz w:val="28"/>
        </w:rPr>
        <w:t>八、</w:t>
      </w:r>
      <w:bookmarkStart w:id="111" w:name="_Toc68595300"/>
      <w:bookmarkStart w:id="112" w:name="_Toc60625831"/>
      <w:r>
        <w:rPr>
          <w:rFonts w:hint="eastAsia" w:eastAsia="黑体"/>
          <w:sz w:val="28"/>
        </w:rPr>
        <w:t>项目管理班子情况</w:t>
      </w:r>
      <w:bookmarkEnd w:id="103"/>
      <w:bookmarkEnd w:id="104"/>
      <w:bookmarkEnd w:id="105"/>
      <w:bookmarkEnd w:id="106"/>
      <w:bookmarkEnd w:id="107"/>
      <w:bookmarkEnd w:id="108"/>
      <w:bookmarkEnd w:id="109"/>
      <w:bookmarkEnd w:id="110"/>
      <w:bookmarkEnd w:id="111"/>
      <w:bookmarkEnd w:id="112"/>
    </w:p>
    <w:p>
      <w:pPr>
        <w:spacing w:before="156" w:after="156"/>
        <w:ind w:left="420"/>
        <w:rPr>
          <w:rFonts w:hint="eastAsia" w:ascii="宋体" w:hAnsi="宋体"/>
        </w:rPr>
      </w:pPr>
      <w:bookmarkStart w:id="113" w:name="_Toc100052473"/>
      <w:bookmarkStart w:id="114" w:name="_Toc101074903"/>
      <w:bookmarkStart w:id="115" w:name="_Toc73521618"/>
      <w:bookmarkStart w:id="116" w:name="_Toc73521706"/>
      <w:r>
        <w:rPr>
          <w:rFonts w:hint="eastAsia" w:ascii="宋体" w:hAnsi="宋体"/>
        </w:rPr>
        <w:t>（一）项目管理班子配备情况表</w:t>
      </w:r>
      <w:bookmarkEnd w:id="113"/>
      <w:bookmarkEnd w:id="114"/>
      <w:bookmarkEnd w:id="115"/>
      <w:bookmarkEnd w:id="116"/>
    </w:p>
    <w:p>
      <w:pPr>
        <w:rPr>
          <w:rFonts w:hint="eastAsia"/>
        </w:rPr>
      </w:pPr>
      <w:r>
        <w:rPr>
          <w:rFonts w:hint="eastAsia"/>
        </w:rPr>
        <w:t>投标项目名称：</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1188"/>
        <w:gridCol w:w="720"/>
        <w:gridCol w:w="720"/>
        <w:gridCol w:w="720"/>
        <w:gridCol w:w="1373"/>
        <w:gridCol w:w="967"/>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720" w:type="dxa"/>
            <w:vMerge w:val="restart"/>
            <w:tcBorders>
              <w:top w:val="double" w:color="auto" w:sz="4" w:space="0"/>
              <w:left w:val="double" w:color="auto" w:sz="4" w:space="0"/>
            </w:tcBorders>
            <w:noWrap w:val="0"/>
            <w:vAlign w:val="center"/>
          </w:tcPr>
          <w:p>
            <w:pPr>
              <w:jc w:val="center"/>
              <w:rPr>
                <w:rFonts w:hint="eastAsia"/>
              </w:rPr>
            </w:pPr>
            <w:r>
              <w:rPr>
                <w:rFonts w:hint="eastAsia"/>
              </w:rPr>
              <w:t>职务</w:t>
            </w:r>
          </w:p>
        </w:tc>
        <w:tc>
          <w:tcPr>
            <w:tcW w:w="900" w:type="dxa"/>
            <w:vMerge w:val="restart"/>
            <w:tcBorders>
              <w:top w:val="double" w:color="auto" w:sz="4" w:space="0"/>
            </w:tcBorders>
            <w:noWrap w:val="0"/>
            <w:vAlign w:val="center"/>
          </w:tcPr>
          <w:p>
            <w:pPr>
              <w:jc w:val="center"/>
              <w:rPr>
                <w:rFonts w:hint="eastAsia"/>
              </w:rPr>
            </w:pPr>
            <w:r>
              <w:rPr>
                <w:rFonts w:hint="eastAsia"/>
              </w:rPr>
              <w:t>姓名</w:t>
            </w:r>
          </w:p>
        </w:tc>
        <w:tc>
          <w:tcPr>
            <w:tcW w:w="900" w:type="dxa"/>
            <w:vMerge w:val="restart"/>
            <w:tcBorders>
              <w:top w:val="double" w:color="auto" w:sz="4" w:space="0"/>
            </w:tcBorders>
            <w:noWrap w:val="0"/>
            <w:vAlign w:val="center"/>
          </w:tcPr>
          <w:p>
            <w:pPr>
              <w:jc w:val="center"/>
              <w:rPr>
                <w:rFonts w:hint="eastAsia"/>
              </w:rPr>
            </w:pPr>
            <w:r>
              <w:rPr>
                <w:rFonts w:hint="eastAsia"/>
              </w:rPr>
              <w:t>职称</w:t>
            </w:r>
          </w:p>
        </w:tc>
        <w:tc>
          <w:tcPr>
            <w:tcW w:w="4721" w:type="dxa"/>
            <w:gridSpan w:val="5"/>
            <w:tcBorders>
              <w:top w:val="double" w:color="auto" w:sz="4" w:space="0"/>
            </w:tcBorders>
            <w:noWrap w:val="0"/>
            <w:vAlign w:val="center"/>
          </w:tcPr>
          <w:p>
            <w:pPr>
              <w:jc w:val="center"/>
              <w:rPr>
                <w:rFonts w:hint="eastAsia"/>
              </w:rPr>
            </w:pPr>
            <w:r>
              <w:rPr>
                <w:rFonts w:hint="eastAsia"/>
              </w:rPr>
              <w:t>上岗资格证明</w:t>
            </w:r>
          </w:p>
        </w:tc>
        <w:tc>
          <w:tcPr>
            <w:tcW w:w="2160" w:type="dxa"/>
            <w:gridSpan w:val="2"/>
            <w:tcBorders>
              <w:top w:val="double" w:color="auto" w:sz="4" w:space="0"/>
              <w:right w:val="double" w:color="auto" w:sz="4" w:space="0"/>
            </w:tcBorders>
            <w:noWrap w:val="0"/>
            <w:vAlign w:val="center"/>
          </w:tcPr>
          <w:p>
            <w:pPr>
              <w:jc w:val="center"/>
              <w:rPr>
                <w:rFonts w:hint="eastAsia"/>
              </w:rPr>
            </w:pPr>
            <w:r>
              <w:rPr>
                <w:rFonts w:hint="eastAsia"/>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jc w:val="center"/>
        </w:trPr>
        <w:tc>
          <w:tcPr>
            <w:tcW w:w="720" w:type="dxa"/>
            <w:vMerge w:val="continue"/>
            <w:tcBorders>
              <w:left w:val="double" w:color="auto" w:sz="4" w:space="0"/>
            </w:tcBorders>
            <w:noWrap w:val="0"/>
            <w:vAlign w:val="center"/>
          </w:tcPr>
          <w:p>
            <w:pPr>
              <w:jc w:val="center"/>
              <w:rPr>
                <w:rFonts w:hint="eastAsia"/>
              </w:rPr>
            </w:pPr>
          </w:p>
        </w:tc>
        <w:tc>
          <w:tcPr>
            <w:tcW w:w="900" w:type="dxa"/>
            <w:vMerge w:val="continue"/>
            <w:noWrap w:val="0"/>
            <w:vAlign w:val="center"/>
          </w:tcPr>
          <w:p>
            <w:pPr>
              <w:jc w:val="center"/>
              <w:rPr>
                <w:rFonts w:hint="eastAsia"/>
              </w:rPr>
            </w:pPr>
          </w:p>
        </w:tc>
        <w:tc>
          <w:tcPr>
            <w:tcW w:w="900" w:type="dxa"/>
            <w:vMerge w:val="continue"/>
            <w:noWrap w:val="0"/>
            <w:vAlign w:val="center"/>
          </w:tcPr>
          <w:p>
            <w:pPr>
              <w:jc w:val="center"/>
              <w:rPr>
                <w:rFonts w:hint="eastAsia"/>
              </w:rPr>
            </w:pPr>
          </w:p>
        </w:tc>
        <w:tc>
          <w:tcPr>
            <w:tcW w:w="1188" w:type="dxa"/>
            <w:noWrap w:val="0"/>
            <w:vAlign w:val="center"/>
          </w:tcPr>
          <w:p>
            <w:pPr>
              <w:jc w:val="center"/>
              <w:rPr>
                <w:rFonts w:hint="eastAsia"/>
              </w:rPr>
            </w:pPr>
            <w:r>
              <w:rPr>
                <w:rFonts w:hint="eastAsia"/>
              </w:rPr>
              <w:t>证书名称</w:t>
            </w:r>
          </w:p>
        </w:tc>
        <w:tc>
          <w:tcPr>
            <w:tcW w:w="720" w:type="dxa"/>
            <w:noWrap w:val="0"/>
            <w:vAlign w:val="center"/>
          </w:tcPr>
          <w:p>
            <w:pPr>
              <w:jc w:val="center"/>
              <w:rPr>
                <w:rFonts w:hint="eastAsia"/>
              </w:rPr>
            </w:pPr>
            <w:r>
              <w:rPr>
                <w:rFonts w:hint="eastAsia"/>
              </w:rPr>
              <w:t>级别</w:t>
            </w:r>
          </w:p>
        </w:tc>
        <w:tc>
          <w:tcPr>
            <w:tcW w:w="720" w:type="dxa"/>
            <w:noWrap w:val="0"/>
            <w:vAlign w:val="center"/>
          </w:tcPr>
          <w:p>
            <w:pPr>
              <w:jc w:val="center"/>
              <w:rPr>
                <w:rFonts w:hint="eastAsia"/>
              </w:rPr>
            </w:pPr>
            <w:r>
              <w:rPr>
                <w:rFonts w:hint="eastAsia"/>
              </w:rPr>
              <w:t>证号</w:t>
            </w:r>
          </w:p>
        </w:tc>
        <w:tc>
          <w:tcPr>
            <w:tcW w:w="720" w:type="dxa"/>
            <w:noWrap w:val="0"/>
            <w:vAlign w:val="center"/>
          </w:tcPr>
          <w:p>
            <w:pPr>
              <w:jc w:val="center"/>
              <w:rPr>
                <w:rFonts w:hint="eastAsia"/>
              </w:rPr>
            </w:pPr>
            <w:r>
              <w:rPr>
                <w:rFonts w:hint="eastAsia"/>
              </w:rPr>
              <w:t>专业</w:t>
            </w:r>
          </w:p>
        </w:tc>
        <w:tc>
          <w:tcPr>
            <w:tcW w:w="1373" w:type="dxa"/>
            <w:noWrap w:val="0"/>
            <w:vAlign w:val="center"/>
          </w:tcPr>
          <w:p>
            <w:pPr>
              <w:jc w:val="center"/>
              <w:rPr>
                <w:rFonts w:hint="eastAsia"/>
              </w:rPr>
            </w:pPr>
            <w:r>
              <w:rPr>
                <w:rFonts w:hint="eastAsia"/>
              </w:rPr>
              <w:t>原服务单位</w:t>
            </w:r>
          </w:p>
        </w:tc>
        <w:tc>
          <w:tcPr>
            <w:tcW w:w="967" w:type="dxa"/>
            <w:noWrap w:val="0"/>
            <w:vAlign w:val="center"/>
          </w:tcPr>
          <w:p>
            <w:pPr>
              <w:jc w:val="center"/>
              <w:rPr>
                <w:rFonts w:hint="eastAsia"/>
              </w:rPr>
            </w:pPr>
            <w:r>
              <w:rPr>
                <w:rFonts w:hint="eastAsia"/>
              </w:rPr>
              <w:t>项目数</w:t>
            </w:r>
          </w:p>
        </w:tc>
        <w:tc>
          <w:tcPr>
            <w:tcW w:w="1193" w:type="dxa"/>
            <w:tcBorders>
              <w:right w:val="double" w:color="auto" w:sz="4" w:space="0"/>
            </w:tcBorders>
            <w:noWrap w:val="0"/>
            <w:vAlign w:val="center"/>
          </w:tcPr>
          <w:p>
            <w:pPr>
              <w:jc w:val="center"/>
              <w:rPr>
                <w:rFonts w:hint="eastAsia"/>
              </w:rPr>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720" w:type="dxa"/>
            <w:tcBorders>
              <w:left w:val="double" w:color="auto" w:sz="4" w:space="0"/>
            </w:tcBorders>
            <w:noWrap w:val="0"/>
            <w:vAlign w:val="top"/>
          </w:tcPr>
          <w:p>
            <w:pPr>
              <w:rPr>
                <w:rFonts w:hint="eastAsia"/>
              </w:rPr>
            </w:pPr>
          </w:p>
        </w:tc>
        <w:tc>
          <w:tcPr>
            <w:tcW w:w="900" w:type="dxa"/>
            <w:noWrap w:val="0"/>
            <w:vAlign w:val="top"/>
          </w:tcPr>
          <w:p>
            <w:pPr>
              <w:rPr>
                <w:rFonts w:hint="eastAsia"/>
              </w:rPr>
            </w:pPr>
          </w:p>
        </w:tc>
        <w:tc>
          <w:tcPr>
            <w:tcW w:w="900" w:type="dxa"/>
            <w:noWrap w:val="0"/>
            <w:vAlign w:val="top"/>
          </w:tcPr>
          <w:p>
            <w:pPr>
              <w:rPr>
                <w:rFonts w:hint="eastAsia"/>
              </w:rPr>
            </w:pPr>
          </w:p>
        </w:tc>
        <w:tc>
          <w:tcPr>
            <w:tcW w:w="1188" w:type="dxa"/>
            <w:noWrap w:val="0"/>
            <w:vAlign w:val="top"/>
          </w:tcPr>
          <w:p>
            <w:pPr>
              <w:rPr>
                <w:rFonts w:hint="eastAsia"/>
              </w:rPr>
            </w:pPr>
          </w:p>
        </w:tc>
        <w:tc>
          <w:tcPr>
            <w:tcW w:w="720" w:type="dxa"/>
            <w:noWrap w:val="0"/>
            <w:vAlign w:val="top"/>
          </w:tcPr>
          <w:p>
            <w:pPr>
              <w:rPr>
                <w:rFonts w:hint="eastAsia"/>
              </w:rPr>
            </w:pPr>
          </w:p>
        </w:tc>
        <w:tc>
          <w:tcPr>
            <w:tcW w:w="720" w:type="dxa"/>
            <w:noWrap w:val="0"/>
            <w:vAlign w:val="top"/>
          </w:tcPr>
          <w:p>
            <w:pPr>
              <w:rPr>
                <w:rFonts w:hint="eastAsia"/>
              </w:rPr>
            </w:pPr>
          </w:p>
        </w:tc>
        <w:tc>
          <w:tcPr>
            <w:tcW w:w="720" w:type="dxa"/>
            <w:noWrap w:val="0"/>
            <w:vAlign w:val="top"/>
          </w:tcPr>
          <w:p>
            <w:pPr>
              <w:rPr>
                <w:rFonts w:hint="eastAsia"/>
              </w:rPr>
            </w:pPr>
          </w:p>
        </w:tc>
        <w:tc>
          <w:tcPr>
            <w:tcW w:w="1373" w:type="dxa"/>
            <w:noWrap w:val="0"/>
            <w:vAlign w:val="top"/>
          </w:tcPr>
          <w:p>
            <w:pPr>
              <w:rPr>
                <w:rFonts w:hint="eastAsia"/>
              </w:rPr>
            </w:pPr>
          </w:p>
        </w:tc>
        <w:tc>
          <w:tcPr>
            <w:tcW w:w="967" w:type="dxa"/>
            <w:noWrap w:val="0"/>
            <w:vAlign w:val="top"/>
          </w:tcPr>
          <w:p>
            <w:pPr>
              <w:rPr>
                <w:rFonts w:hint="eastAsia"/>
              </w:rPr>
            </w:pPr>
          </w:p>
        </w:tc>
        <w:tc>
          <w:tcPr>
            <w:tcW w:w="1193" w:type="dxa"/>
            <w:tcBorders>
              <w:right w:val="doub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720" w:type="dxa"/>
            <w:tcBorders>
              <w:left w:val="double" w:color="auto" w:sz="4" w:space="0"/>
            </w:tcBorders>
            <w:noWrap w:val="0"/>
            <w:vAlign w:val="top"/>
          </w:tcPr>
          <w:p>
            <w:pPr>
              <w:rPr>
                <w:rFonts w:hint="eastAsia"/>
              </w:rPr>
            </w:pPr>
          </w:p>
        </w:tc>
        <w:tc>
          <w:tcPr>
            <w:tcW w:w="900" w:type="dxa"/>
            <w:noWrap w:val="0"/>
            <w:vAlign w:val="top"/>
          </w:tcPr>
          <w:p>
            <w:pPr>
              <w:rPr>
                <w:rFonts w:hint="eastAsia"/>
              </w:rPr>
            </w:pPr>
          </w:p>
        </w:tc>
        <w:tc>
          <w:tcPr>
            <w:tcW w:w="900" w:type="dxa"/>
            <w:noWrap w:val="0"/>
            <w:vAlign w:val="top"/>
          </w:tcPr>
          <w:p>
            <w:pPr>
              <w:rPr>
                <w:rFonts w:hint="eastAsia"/>
              </w:rPr>
            </w:pPr>
          </w:p>
        </w:tc>
        <w:tc>
          <w:tcPr>
            <w:tcW w:w="1188" w:type="dxa"/>
            <w:noWrap w:val="0"/>
            <w:vAlign w:val="top"/>
          </w:tcPr>
          <w:p>
            <w:pPr>
              <w:rPr>
                <w:rFonts w:hint="eastAsia"/>
              </w:rPr>
            </w:pPr>
          </w:p>
        </w:tc>
        <w:tc>
          <w:tcPr>
            <w:tcW w:w="720" w:type="dxa"/>
            <w:noWrap w:val="0"/>
            <w:vAlign w:val="top"/>
          </w:tcPr>
          <w:p>
            <w:pPr>
              <w:rPr>
                <w:rFonts w:hint="eastAsia"/>
              </w:rPr>
            </w:pPr>
          </w:p>
        </w:tc>
        <w:tc>
          <w:tcPr>
            <w:tcW w:w="720" w:type="dxa"/>
            <w:noWrap w:val="0"/>
            <w:vAlign w:val="top"/>
          </w:tcPr>
          <w:p>
            <w:pPr>
              <w:rPr>
                <w:rFonts w:hint="eastAsia"/>
              </w:rPr>
            </w:pPr>
          </w:p>
        </w:tc>
        <w:tc>
          <w:tcPr>
            <w:tcW w:w="720" w:type="dxa"/>
            <w:noWrap w:val="0"/>
            <w:vAlign w:val="top"/>
          </w:tcPr>
          <w:p>
            <w:pPr>
              <w:rPr>
                <w:rFonts w:hint="eastAsia"/>
              </w:rPr>
            </w:pPr>
          </w:p>
        </w:tc>
        <w:tc>
          <w:tcPr>
            <w:tcW w:w="1373" w:type="dxa"/>
            <w:noWrap w:val="0"/>
            <w:vAlign w:val="top"/>
          </w:tcPr>
          <w:p>
            <w:pPr>
              <w:rPr>
                <w:rFonts w:hint="eastAsia"/>
              </w:rPr>
            </w:pPr>
          </w:p>
        </w:tc>
        <w:tc>
          <w:tcPr>
            <w:tcW w:w="967" w:type="dxa"/>
            <w:noWrap w:val="0"/>
            <w:vAlign w:val="top"/>
          </w:tcPr>
          <w:p>
            <w:pPr>
              <w:rPr>
                <w:rFonts w:hint="eastAsia"/>
              </w:rPr>
            </w:pPr>
          </w:p>
        </w:tc>
        <w:tc>
          <w:tcPr>
            <w:tcW w:w="1193" w:type="dxa"/>
            <w:tcBorders>
              <w:right w:val="double" w:color="auto" w:sz="4" w:space="0"/>
            </w:tcBorders>
            <w:noWrap w:val="0"/>
            <w:vAlign w:val="top"/>
          </w:tcPr>
          <w:p>
            <w:pPr>
              <w:rPr>
                <w:rFonts w:hint="eastAsia"/>
              </w:rPr>
            </w:pPr>
          </w:p>
        </w:tc>
      </w:tr>
    </w:tbl>
    <w:p>
      <w:pPr>
        <w:spacing w:before="156" w:after="156"/>
        <w:ind w:left="420"/>
        <w:rPr>
          <w:rFonts w:ascii="宋体" w:hAnsi="宋体"/>
        </w:rPr>
      </w:pPr>
      <w:bookmarkStart w:id="117" w:name="_Toc100052474"/>
      <w:bookmarkStart w:id="118" w:name="_Toc101074904"/>
      <w:bookmarkStart w:id="119" w:name="_Toc73521619"/>
      <w:bookmarkStart w:id="120" w:name="_Toc73521707"/>
      <w:r>
        <w:rPr>
          <w:rFonts w:hint="eastAsia" w:ascii="宋体" w:hAnsi="宋体"/>
        </w:rPr>
        <w:t>（二）项目管理负责人简历表</w:t>
      </w:r>
      <w:bookmarkEnd w:id="117"/>
      <w:bookmarkEnd w:id="118"/>
      <w:bookmarkEnd w:id="119"/>
      <w:bookmarkEnd w:id="120"/>
    </w:p>
    <w:tbl>
      <w:tblPr>
        <w:tblStyle w:val="4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468"/>
        <w:gridCol w:w="1332"/>
        <w:gridCol w:w="180"/>
        <w:gridCol w:w="1080"/>
        <w:gridCol w:w="214"/>
        <w:gridCol w:w="1548"/>
        <w:gridCol w:w="218"/>
        <w:gridCol w:w="900"/>
        <w:gridCol w:w="720"/>
        <w:gridCol w:w="11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260" w:type="dxa"/>
            <w:noWrap w:val="0"/>
            <w:vAlign w:val="center"/>
          </w:tcPr>
          <w:p>
            <w:pPr>
              <w:jc w:val="center"/>
              <w:rPr>
                <w:rFonts w:hint="eastAsia"/>
              </w:rPr>
            </w:pPr>
            <w:r>
              <w:rPr>
                <w:rFonts w:hint="eastAsia"/>
              </w:rPr>
              <w:t>姓 名</w:t>
            </w:r>
          </w:p>
        </w:tc>
        <w:tc>
          <w:tcPr>
            <w:tcW w:w="2340" w:type="dxa"/>
            <w:gridSpan w:val="4"/>
            <w:noWrap w:val="0"/>
            <w:vAlign w:val="center"/>
          </w:tcPr>
          <w:p>
            <w:pPr>
              <w:jc w:val="center"/>
              <w:rPr>
                <w:rFonts w:hint="eastAsia"/>
              </w:rPr>
            </w:pPr>
          </w:p>
        </w:tc>
        <w:tc>
          <w:tcPr>
            <w:tcW w:w="1080" w:type="dxa"/>
            <w:noWrap w:val="0"/>
            <w:vAlign w:val="center"/>
          </w:tcPr>
          <w:p>
            <w:pPr>
              <w:jc w:val="center"/>
              <w:rPr>
                <w:rFonts w:hint="eastAsia"/>
              </w:rPr>
            </w:pPr>
            <w:r>
              <w:rPr>
                <w:rFonts w:hint="eastAsia"/>
              </w:rPr>
              <w:t>性 别</w:t>
            </w:r>
          </w:p>
        </w:tc>
        <w:tc>
          <w:tcPr>
            <w:tcW w:w="1762" w:type="dxa"/>
            <w:gridSpan w:val="2"/>
            <w:noWrap w:val="0"/>
            <w:vAlign w:val="center"/>
          </w:tcPr>
          <w:p>
            <w:pPr>
              <w:jc w:val="center"/>
              <w:rPr>
                <w:rFonts w:hint="eastAsia"/>
              </w:rPr>
            </w:pPr>
          </w:p>
        </w:tc>
        <w:tc>
          <w:tcPr>
            <w:tcW w:w="1118" w:type="dxa"/>
            <w:gridSpan w:val="2"/>
            <w:noWrap w:val="0"/>
            <w:vAlign w:val="center"/>
          </w:tcPr>
          <w:p>
            <w:pPr>
              <w:jc w:val="center"/>
              <w:rPr>
                <w:rFonts w:hint="eastAsia"/>
              </w:rPr>
            </w:pPr>
            <w:r>
              <w:rPr>
                <w:rFonts w:hint="eastAsia"/>
              </w:rPr>
              <w:t>年 龄</w:t>
            </w:r>
          </w:p>
        </w:tc>
        <w:tc>
          <w:tcPr>
            <w:tcW w:w="1908" w:type="dxa"/>
            <w:gridSpan w:val="2"/>
            <w:noWrap w:val="0"/>
            <w:vAlign w:val="center"/>
          </w:tcPr>
          <w:p>
            <w:pPr>
              <w:jc w:val="center"/>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260" w:type="dxa"/>
            <w:noWrap w:val="0"/>
            <w:vAlign w:val="center"/>
          </w:tcPr>
          <w:p>
            <w:pPr>
              <w:jc w:val="center"/>
              <w:rPr>
                <w:rFonts w:hint="eastAsia"/>
              </w:rPr>
            </w:pPr>
            <w:r>
              <w:rPr>
                <w:rFonts w:hint="eastAsia"/>
              </w:rPr>
              <w:t>职 务</w:t>
            </w:r>
          </w:p>
        </w:tc>
        <w:tc>
          <w:tcPr>
            <w:tcW w:w="2340" w:type="dxa"/>
            <w:gridSpan w:val="4"/>
            <w:noWrap w:val="0"/>
            <w:vAlign w:val="center"/>
          </w:tcPr>
          <w:p>
            <w:pPr>
              <w:jc w:val="center"/>
              <w:rPr>
                <w:rFonts w:hint="eastAsia"/>
              </w:rPr>
            </w:pPr>
          </w:p>
        </w:tc>
        <w:tc>
          <w:tcPr>
            <w:tcW w:w="1080" w:type="dxa"/>
            <w:noWrap w:val="0"/>
            <w:vAlign w:val="center"/>
          </w:tcPr>
          <w:p>
            <w:pPr>
              <w:jc w:val="center"/>
              <w:rPr>
                <w:rFonts w:hint="eastAsia"/>
              </w:rPr>
            </w:pPr>
            <w:r>
              <w:rPr>
                <w:rFonts w:hint="eastAsia"/>
              </w:rPr>
              <w:t>职 称</w:t>
            </w:r>
          </w:p>
        </w:tc>
        <w:tc>
          <w:tcPr>
            <w:tcW w:w="1762" w:type="dxa"/>
            <w:gridSpan w:val="2"/>
            <w:noWrap w:val="0"/>
            <w:vAlign w:val="center"/>
          </w:tcPr>
          <w:p>
            <w:pPr>
              <w:jc w:val="center"/>
              <w:rPr>
                <w:rFonts w:hint="eastAsia"/>
              </w:rPr>
            </w:pPr>
          </w:p>
        </w:tc>
        <w:tc>
          <w:tcPr>
            <w:tcW w:w="1118" w:type="dxa"/>
            <w:gridSpan w:val="2"/>
            <w:noWrap w:val="0"/>
            <w:vAlign w:val="center"/>
          </w:tcPr>
          <w:p>
            <w:pPr>
              <w:jc w:val="center"/>
              <w:rPr>
                <w:rFonts w:hint="eastAsia"/>
              </w:rPr>
            </w:pPr>
            <w:r>
              <w:rPr>
                <w:rFonts w:hint="eastAsia"/>
              </w:rPr>
              <w:t>学 历</w:t>
            </w:r>
          </w:p>
        </w:tc>
        <w:tc>
          <w:tcPr>
            <w:tcW w:w="1908" w:type="dxa"/>
            <w:gridSpan w:val="2"/>
            <w:noWrap w:val="0"/>
            <w:vAlign w:val="center"/>
          </w:tcPr>
          <w:p>
            <w:pPr>
              <w:jc w:val="center"/>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0" w:hRule="atLeast"/>
          <w:jc w:val="center"/>
        </w:trPr>
        <w:tc>
          <w:tcPr>
            <w:tcW w:w="2088" w:type="dxa"/>
            <w:gridSpan w:val="3"/>
            <w:noWrap w:val="0"/>
            <w:vAlign w:val="center"/>
          </w:tcPr>
          <w:p>
            <w:pPr>
              <w:jc w:val="center"/>
              <w:rPr>
                <w:rFonts w:hint="eastAsia"/>
              </w:rPr>
            </w:pPr>
            <w:r>
              <w:rPr>
                <w:rFonts w:hint="eastAsia"/>
              </w:rPr>
              <w:t>参加工作时间</w:t>
            </w:r>
          </w:p>
        </w:tc>
        <w:tc>
          <w:tcPr>
            <w:tcW w:w="7380" w:type="dxa"/>
            <w:gridSpan w:val="9"/>
            <w:noWrap w:val="0"/>
            <w:vAlign w:val="center"/>
          </w:tcPr>
          <w:p>
            <w:pPr>
              <w:jc w:val="center"/>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0" w:hRule="atLeast"/>
          <w:jc w:val="center"/>
        </w:trPr>
        <w:tc>
          <w:tcPr>
            <w:tcW w:w="3600" w:type="dxa"/>
            <w:gridSpan w:val="5"/>
            <w:noWrap w:val="0"/>
            <w:vAlign w:val="center"/>
          </w:tcPr>
          <w:p>
            <w:pPr>
              <w:jc w:val="center"/>
              <w:rPr>
                <w:rFonts w:hint="eastAsia"/>
              </w:rPr>
            </w:pPr>
            <w:r>
              <w:rPr>
                <w:rFonts w:hint="eastAsia"/>
              </w:rPr>
              <w:t>专业</w:t>
            </w:r>
          </w:p>
        </w:tc>
        <w:tc>
          <w:tcPr>
            <w:tcW w:w="5868" w:type="dxa"/>
            <w:gridSpan w:val="7"/>
            <w:noWrap w:val="0"/>
            <w:vAlign w:val="center"/>
          </w:tcPr>
          <w:p>
            <w:pPr>
              <w:jc w:val="center"/>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0" w:hRule="atLeast"/>
          <w:jc w:val="center"/>
        </w:trPr>
        <w:tc>
          <w:tcPr>
            <w:tcW w:w="3600" w:type="dxa"/>
            <w:gridSpan w:val="5"/>
            <w:noWrap w:val="0"/>
            <w:vAlign w:val="center"/>
          </w:tcPr>
          <w:p>
            <w:pPr>
              <w:jc w:val="center"/>
              <w:rPr>
                <w:rFonts w:hint="eastAsia"/>
              </w:rPr>
            </w:pPr>
            <w:r>
              <w:rPr>
                <w:rFonts w:hint="eastAsia"/>
              </w:rPr>
              <w:t>相关资格证书</w:t>
            </w:r>
          </w:p>
        </w:tc>
        <w:tc>
          <w:tcPr>
            <w:tcW w:w="5868" w:type="dxa"/>
            <w:gridSpan w:val="7"/>
            <w:noWrap w:val="0"/>
            <w:vAlign w:val="center"/>
          </w:tcPr>
          <w:p>
            <w:pPr>
              <w:jc w:val="center"/>
              <w:rPr>
                <w:rFonts w:hint="eastAsi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0" w:hRule="atLeast"/>
          <w:jc w:val="center"/>
        </w:trPr>
        <w:tc>
          <w:tcPr>
            <w:tcW w:w="9468" w:type="dxa"/>
            <w:gridSpan w:val="12"/>
            <w:noWrap w:val="0"/>
            <w:vAlign w:val="center"/>
          </w:tcPr>
          <w:p>
            <w:pPr>
              <w:jc w:val="center"/>
              <w:rPr>
                <w:rFonts w:hint="eastAsia"/>
              </w:rPr>
            </w:pPr>
            <w:r>
              <w:rPr>
                <w:rFonts w:hint="eastAsia"/>
              </w:rPr>
              <w:t>参与项目情况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620" w:type="dxa"/>
            <w:gridSpan w:val="2"/>
            <w:noWrap w:val="0"/>
            <w:vAlign w:val="center"/>
          </w:tcPr>
          <w:p>
            <w:pPr>
              <w:jc w:val="center"/>
              <w:rPr>
                <w:rFonts w:hint="eastAsia"/>
              </w:rPr>
            </w:pPr>
            <w:r>
              <w:rPr>
                <w:rFonts w:hint="eastAsia"/>
              </w:rPr>
              <w:t>业主</w:t>
            </w:r>
          </w:p>
        </w:tc>
        <w:tc>
          <w:tcPr>
            <w:tcW w:w="1800" w:type="dxa"/>
            <w:gridSpan w:val="2"/>
            <w:noWrap w:val="0"/>
            <w:vAlign w:val="center"/>
          </w:tcPr>
          <w:p>
            <w:pPr>
              <w:jc w:val="center"/>
              <w:rPr>
                <w:rFonts w:hint="eastAsia"/>
              </w:rPr>
            </w:pPr>
            <w:r>
              <w:rPr>
                <w:rFonts w:hint="eastAsia"/>
              </w:rPr>
              <w:t>项目名称</w:t>
            </w:r>
          </w:p>
        </w:tc>
        <w:tc>
          <w:tcPr>
            <w:tcW w:w="1474" w:type="dxa"/>
            <w:gridSpan w:val="3"/>
            <w:noWrap w:val="0"/>
            <w:vAlign w:val="center"/>
          </w:tcPr>
          <w:p>
            <w:pPr>
              <w:jc w:val="center"/>
              <w:rPr>
                <w:rFonts w:hint="eastAsia"/>
              </w:rPr>
            </w:pPr>
            <w:r>
              <w:rPr>
                <w:rFonts w:hint="eastAsia"/>
              </w:rPr>
              <w:t>项目名称</w:t>
            </w:r>
          </w:p>
        </w:tc>
        <w:tc>
          <w:tcPr>
            <w:tcW w:w="1766" w:type="dxa"/>
            <w:gridSpan w:val="2"/>
            <w:noWrap w:val="0"/>
            <w:vAlign w:val="center"/>
          </w:tcPr>
          <w:p>
            <w:pPr>
              <w:jc w:val="center"/>
              <w:rPr>
                <w:rFonts w:hint="eastAsia"/>
              </w:rPr>
            </w:pPr>
            <w:r>
              <w:rPr>
                <w:rFonts w:hint="eastAsia"/>
              </w:rPr>
              <w:t>所获奖项名称及时间</w:t>
            </w:r>
          </w:p>
        </w:tc>
        <w:tc>
          <w:tcPr>
            <w:tcW w:w="1620" w:type="dxa"/>
            <w:gridSpan w:val="2"/>
            <w:noWrap w:val="0"/>
            <w:vAlign w:val="center"/>
          </w:tcPr>
          <w:p>
            <w:pPr>
              <w:jc w:val="center"/>
              <w:rPr>
                <w:rFonts w:hint="eastAsia"/>
              </w:rPr>
            </w:pPr>
            <w:r>
              <w:rPr>
                <w:rFonts w:hint="eastAsia"/>
              </w:rPr>
              <w:t>业主联系人</w:t>
            </w:r>
          </w:p>
        </w:tc>
        <w:tc>
          <w:tcPr>
            <w:tcW w:w="1188" w:type="dxa"/>
            <w:noWrap w:val="0"/>
            <w:vAlign w:val="center"/>
          </w:tcPr>
          <w:p>
            <w:pPr>
              <w:jc w:val="center"/>
              <w:rPr>
                <w:rFonts w:hint="eastAsia"/>
              </w:rPr>
            </w:pPr>
            <w:r>
              <w:rPr>
                <w:rFonts w:hint="eastAsia"/>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620" w:type="dxa"/>
            <w:gridSpan w:val="2"/>
            <w:noWrap w:val="0"/>
            <w:vAlign w:val="center"/>
          </w:tcPr>
          <w:p>
            <w:pPr>
              <w:rPr>
                <w:rFonts w:hint="eastAsia"/>
              </w:rPr>
            </w:pPr>
          </w:p>
        </w:tc>
        <w:tc>
          <w:tcPr>
            <w:tcW w:w="1800" w:type="dxa"/>
            <w:gridSpan w:val="2"/>
            <w:noWrap w:val="0"/>
            <w:vAlign w:val="center"/>
          </w:tcPr>
          <w:p>
            <w:pPr>
              <w:rPr>
                <w:rFonts w:hint="eastAsia"/>
              </w:rPr>
            </w:pPr>
          </w:p>
        </w:tc>
        <w:tc>
          <w:tcPr>
            <w:tcW w:w="1474" w:type="dxa"/>
            <w:gridSpan w:val="3"/>
            <w:noWrap w:val="0"/>
            <w:vAlign w:val="center"/>
          </w:tcPr>
          <w:p>
            <w:pPr>
              <w:rPr>
                <w:rFonts w:hint="eastAsia"/>
              </w:rPr>
            </w:pPr>
          </w:p>
        </w:tc>
        <w:tc>
          <w:tcPr>
            <w:tcW w:w="1766" w:type="dxa"/>
            <w:gridSpan w:val="2"/>
            <w:noWrap w:val="0"/>
            <w:vAlign w:val="center"/>
          </w:tcPr>
          <w:p>
            <w:pPr>
              <w:rPr>
                <w:rFonts w:hint="eastAsia"/>
              </w:rPr>
            </w:pPr>
          </w:p>
        </w:tc>
        <w:tc>
          <w:tcPr>
            <w:tcW w:w="1620" w:type="dxa"/>
            <w:gridSpan w:val="2"/>
            <w:noWrap w:val="0"/>
            <w:vAlign w:val="center"/>
          </w:tcPr>
          <w:p>
            <w:pPr>
              <w:rPr>
                <w:rFonts w:hint="eastAsia"/>
              </w:rPr>
            </w:pPr>
          </w:p>
        </w:tc>
        <w:tc>
          <w:tcPr>
            <w:tcW w:w="1188" w:type="dxa"/>
            <w:noWrap w:val="0"/>
            <w:vAlign w:val="center"/>
          </w:tcPr>
          <w:p>
            <w:pPr>
              <w:rPr>
                <w:rFonts w:hint="eastAsia"/>
              </w:rPr>
            </w:pPr>
          </w:p>
        </w:tc>
      </w:tr>
    </w:tbl>
    <w:p>
      <w:pPr>
        <w:spacing w:before="156" w:after="156"/>
        <w:ind w:left="420"/>
        <w:rPr>
          <w:rFonts w:hint="eastAsia" w:ascii="宋体" w:hAnsi="宋体"/>
        </w:rPr>
      </w:pPr>
      <w:bookmarkStart w:id="121" w:name="_Toc73521708"/>
      <w:bookmarkStart w:id="122" w:name="_Toc101074905"/>
      <w:bookmarkStart w:id="123" w:name="_Toc73521620"/>
      <w:bookmarkStart w:id="124" w:name="_Toc100052475"/>
      <w:r>
        <w:rPr>
          <w:rFonts w:hint="eastAsia" w:ascii="宋体" w:hAnsi="宋体"/>
        </w:rPr>
        <w:t>（三）项目管理班子配备情况辅助说明资料</w:t>
      </w:r>
      <w:bookmarkEnd w:id="121"/>
      <w:bookmarkEnd w:id="122"/>
      <w:bookmarkEnd w:id="123"/>
      <w:bookmarkEnd w:id="124"/>
    </w:p>
    <w:p>
      <w:pPr>
        <w:rPr>
          <w:rFonts w:hint="eastAsia"/>
        </w:rPr>
      </w:pPr>
      <w:r>
        <w:rPr>
          <w:rFonts w:hint="eastAsia"/>
        </w:rPr>
        <w:t>注：辅助说明资料主要包括管理班子机构设置、职责分工、有关复印证明资料以及投标人认为有必要提供的资料，辅助说明资料格式不做统一规定，由投标人自行设计。</w:t>
      </w:r>
    </w:p>
    <w:p>
      <w:pPr>
        <w:rPr>
          <w:rFonts w:hint="eastAsia"/>
        </w:rPr>
      </w:pPr>
    </w:p>
    <w:p>
      <w:pPr>
        <w:spacing w:line="500" w:lineRule="exact"/>
        <w:ind w:left="257"/>
        <w:jc w:val="center"/>
        <w:rPr>
          <w:rFonts w:hint="eastAsia" w:eastAsia="黑体"/>
          <w:sz w:val="28"/>
        </w:rPr>
      </w:pPr>
      <w:bookmarkStart w:id="125" w:name="bt投标人情况介绍"/>
      <w:bookmarkEnd w:id="125"/>
      <w:bookmarkStart w:id="126" w:name="bt其他资料2"/>
      <w:bookmarkEnd w:id="126"/>
      <w:bookmarkStart w:id="127" w:name="bt其他资料由投标人自定"/>
      <w:bookmarkEnd w:id="127"/>
      <w:bookmarkStart w:id="128" w:name="bt技术标投标文件格式"/>
      <w:bookmarkEnd w:id="128"/>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r>
        <w:rPr>
          <w:rFonts w:hint="eastAsia" w:eastAsia="黑体"/>
          <w:sz w:val="28"/>
        </w:rPr>
        <w:t>九、资格证明文件</w:t>
      </w:r>
    </w:p>
    <w:tbl>
      <w:tblPr>
        <w:tblStyle w:val="45"/>
        <w:tblW w:w="0" w:type="auto"/>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1"/>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720" w:type="dxa"/>
            <w:noWrap w:val="0"/>
            <w:vAlign w:val="center"/>
          </w:tcPr>
          <w:p>
            <w:pPr>
              <w:spacing w:line="440" w:lineRule="exact"/>
              <w:jc w:val="center"/>
              <w:rPr>
                <w:rFonts w:hint="eastAsia" w:ascii="宋体" w:hAnsi="宋体"/>
                <w:sz w:val="24"/>
              </w:rPr>
            </w:pPr>
            <w:r>
              <w:rPr>
                <w:rFonts w:hint="eastAsia" w:ascii="宋体" w:hAnsi="宋体"/>
                <w:sz w:val="24"/>
              </w:rPr>
              <w:t>序号</w:t>
            </w:r>
          </w:p>
        </w:tc>
        <w:tc>
          <w:tcPr>
            <w:tcW w:w="5231" w:type="dxa"/>
            <w:noWrap w:val="0"/>
            <w:vAlign w:val="center"/>
          </w:tcPr>
          <w:p>
            <w:pPr>
              <w:spacing w:line="440" w:lineRule="exact"/>
              <w:jc w:val="center"/>
              <w:rPr>
                <w:rFonts w:hint="eastAsia" w:ascii="宋体" w:hAnsi="宋体"/>
                <w:sz w:val="24"/>
              </w:rPr>
            </w:pPr>
            <w:r>
              <w:rPr>
                <w:rFonts w:hint="eastAsia" w:ascii="宋体" w:hAnsi="宋体"/>
                <w:sz w:val="24"/>
              </w:rPr>
              <w:t>材料名称</w:t>
            </w:r>
          </w:p>
        </w:tc>
        <w:tc>
          <w:tcPr>
            <w:tcW w:w="2763" w:type="dxa"/>
            <w:noWrap w:val="0"/>
            <w:vAlign w:val="center"/>
          </w:tcPr>
          <w:p>
            <w:pPr>
              <w:spacing w:line="440" w:lineRule="exact"/>
              <w:jc w:val="center"/>
              <w:rPr>
                <w:rFonts w:hint="eastAsia" w:ascii="宋体" w:hAnsi="宋体"/>
                <w:sz w:val="24"/>
              </w:rPr>
            </w:pPr>
            <w:r>
              <w:rPr>
                <w:rFonts w:hint="eastAsia" w:ascii="宋体" w:hAnsi="宋体"/>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720" w:type="dxa"/>
            <w:noWrap w:val="0"/>
            <w:vAlign w:val="center"/>
          </w:tcPr>
          <w:p>
            <w:pPr>
              <w:spacing w:line="440" w:lineRule="exact"/>
              <w:jc w:val="center"/>
              <w:rPr>
                <w:rFonts w:hint="eastAsia"/>
              </w:rPr>
            </w:pPr>
            <w:r>
              <w:rPr>
                <w:rFonts w:hint="eastAsia"/>
              </w:rPr>
              <w:t>1</w:t>
            </w:r>
          </w:p>
        </w:tc>
        <w:tc>
          <w:tcPr>
            <w:tcW w:w="5231" w:type="dxa"/>
            <w:noWrap w:val="0"/>
            <w:vAlign w:val="top"/>
          </w:tcPr>
          <w:p>
            <w:pPr>
              <w:spacing w:line="440" w:lineRule="exact"/>
              <w:rPr>
                <w:rFonts w:hint="eastAsia"/>
              </w:rPr>
            </w:pPr>
            <w:r>
              <w:rPr>
                <w:rFonts w:hint="eastAsia"/>
              </w:rPr>
              <w:t>企业营业执照副本</w:t>
            </w:r>
          </w:p>
        </w:tc>
        <w:tc>
          <w:tcPr>
            <w:tcW w:w="2763" w:type="dxa"/>
            <w:noWrap w:val="0"/>
            <w:vAlign w:val="top"/>
          </w:tcPr>
          <w:p>
            <w:pPr>
              <w:spacing w:line="440" w:lineRule="exact"/>
              <w:rPr>
                <w:rFonts w:hint="eastAsia"/>
              </w:rPr>
            </w:pPr>
            <w:r>
              <w:rPr>
                <w:rFonts w:hint="eastAsia"/>
              </w:rPr>
              <w:t>复印件（需带原件备查）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720" w:type="dxa"/>
            <w:noWrap w:val="0"/>
            <w:vAlign w:val="center"/>
          </w:tcPr>
          <w:p>
            <w:pPr>
              <w:spacing w:line="440" w:lineRule="exact"/>
              <w:jc w:val="center"/>
              <w:rPr>
                <w:rFonts w:hint="eastAsia"/>
              </w:rPr>
            </w:pPr>
            <w:r>
              <w:rPr>
                <w:rFonts w:hint="eastAsia"/>
              </w:rPr>
              <w:t>2</w:t>
            </w:r>
          </w:p>
        </w:tc>
        <w:tc>
          <w:tcPr>
            <w:tcW w:w="5231" w:type="dxa"/>
            <w:noWrap w:val="0"/>
            <w:vAlign w:val="top"/>
          </w:tcPr>
          <w:p>
            <w:pPr>
              <w:spacing w:line="440" w:lineRule="exact"/>
              <w:rPr>
                <w:rFonts w:hint="eastAsia"/>
              </w:rPr>
            </w:pPr>
            <w:r>
              <w:rPr>
                <w:rFonts w:hint="eastAsia"/>
              </w:rPr>
              <w:t>类似业绩合同</w:t>
            </w:r>
          </w:p>
        </w:tc>
        <w:tc>
          <w:tcPr>
            <w:tcW w:w="2763" w:type="dxa"/>
            <w:noWrap w:val="0"/>
            <w:vAlign w:val="top"/>
          </w:tcPr>
          <w:p>
            <w:pPr>
              <w:spacing w:line="440" w:lineRule="exact"/>
              <w:rPr>
                <w:rFonts w:hint="eastAsia"/>
              </w:rPr>
            </w:pPr>
            <w:r>
              <w:rPr>
                <w:rFonts w:hint="eastAsia"/>
              </w:rPr>
              <w:t>复印件（需带原件备查）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720" w:type="dxa"/>
            <w:noWrap w:val="0"/>
            <w:vAlign w:val="center"/>
          </w:tcPr>
          <w:p>
            <w:pPr>
              <w:spacing w:line="440" w:lineRule="exact"/>
              <w:jc w:val="center"/>
              <w:rPr>
                <w:rFonts w:hint="eastAsia"/>
              </w:rPr>
            </w:pPr>
            <w:r>
              <w:t>3</w:t>
            </w:r>
          </w:p>
        </w:tc>
        <w:tc>
          <w:tcPr>
            <w:tcW w:w="5231" w:type="dxa"/>
            <w:noWrap w:val="0"/>
            <w:vAlign w:val="top"/>
          </w:tcPr>
          <w:p>
            <w:pPr>
              <w:spacing w:line="440" w:lineRule="exact"/>
              <w:rPr>
                <w:rFonts w:hint="eastAsia"/>
              </w:rPr>
            </w:pPr>
            <w:r>
              <w:rPr>
                <w:rFonts w:hint="eastAsia"/>
              </w:rPr>
              <w:t>银行资信证明</w:t>
            </w:r>
          </w:p>
        </w:tc>
        <w:tc>
          <w:tcPr>
            <w:tcW w:w="2763" w:type="dxa"/>
            <w:noWrap w:val="0"/>
            <w:vAlign w:val="top"/>
          </w:tcPr>
          <w:p>
            <w:pPr>
              <w:spacing w:line="440" w:lineRule="exact"/>
              <w:rPr>
                <w:rFonts w:hint="eastAsia"/>
              </w:rPr>
            </w:pPr>
            <w:r>
              <w:rPr>
                <w:rFonts w:hint="eastAsia"/>
              </w:rPr>
              <w:t>复印件（需带原件备查）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720" w:type="dxa"/>
            <w:noWrap w:val="0"/>
            <w:vAlign w:val="center"/>
          </w:tcPr>
          <w:p>
            <w:pPr>
              <w:spacing w:line="440" w:lineRule="exact"/>
              <w:jc w:val="center"/>
              <w:rPr>
                <w:rFonts w:hint="eastAsia"/>
              </w:rPr>
            </w:pPr>
            <w:r>
              <w:t>4</w:t>
            </w:r>
          </w:p>
        </w:tc>
        <w:tc>
          <w:tcPr>
            <w:tcW w:w="5231" w:type="dxa"/>
            <w:noWrap w:val="0"/>
            <w:vAlign w:val="top"/>
          </w:tcPr>
          <w:p>
            <w:pPr>
              <w:spacing w:line="440" w:lineRule="exact"/>
              <w:rPr>
                <w:rFonts w:hint="eastAsia"/>
              </w:rPr>
            </w:pPr>
            <w:r>
              <w:rPr>
                <w:rFonts w:hint="eastAsia"/>
              </w:rPr>
              <w:t>投标保证金保函</w:t>
            </w:r>
          </w:p>
        </w:tc>
        <w:tc>
          <w:tcPr>
            <w:tcW w:w="2763" w:type="dxa"/>
            <w:noWrap w:val="0"/>
            <w:vAlign w:val="top"/>
          </w:tcPr>
          <w:p>
            <w:pPr>
              <w:spacing w:line="440" w:lineRule="exact"/>
              <w:rPr>
                <w:rFonts w:hint="eastAsia"/>
              </w:rPr>
            </w:pPr>
            <w:r>
              <w:rPr>
                <w:rFonts w:hint="eastAsia"/>
              </w:rPr>
              <w:t>若有，正本中原件一份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5" w:hRule="atLeast"/>
        </w:trPr>
        <w:tc>
          <w:tcPr>
            <w:tcW w:w="720" w:type="dxa"/>
            <w:noWrap w:val="0"/>
            <w:vAlign w:val="center"/>
          </w:tcPr>
          <w:p>
            <w:pPr>
              <w:spacing w:line="440" w:lineRule="exact"/>
              <w:jc w:val="center"/>
              <w:rPr>
                <w:rFonts w:hint="eastAsia"/>
              </w:rPr>
            </w:pPr>
            <w:r>
              <w:t>5</w:t>
            </w:r>
          </w:p>
        </w:tc>
        <w:tc>
          <w:tcPr>
            <w:tcW w:w="5231" w:type="dxa"/>
            <w:noWrap w:val="0"/>
            <w:vAlign w:val="top"/>
          </w:tcPr>
          <w:p>
            <w:pPr>
              <w:spacing w:line="440" w:lineRule="exact"/>
              <w:rPr>
                <w:rFonts w:hint="eastAsia"/>
              </w:rPr>
            </w:pPr>
            <w:r>
              <w:rPr>
                <w:rFonts w:hint="eastAsia" w:ascii="宋体" w:hAnsi="宋体"/>
              </w:rPr>
              <w:t>投标人代表身份证</w:t>
            </w:r>
          </w:p>
        </w:tc>
        <w:tc>
          <w:tcPr>
            <w:tcW w:w="2763" w:type="dxa"/>
            <w:noWrap w:val="0"/>
            <w:vAlign w:val="top"/>
          </w:tcPr>
          <w:p>
            <w:pPr>
              <w:spacing w:line="440" w:lineRule="exact"/>
              <w:rPr>
                <w:rFonts w:hint="eastAsia"/>
              </w:rPr>
            </w:pPr>
            <w:r>
              <w:rPr>
                <w:rFonts w:hint="eastAsia"/>
              </w:rPr>
              <w:t>复印件（需带原件备查）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18" w:hRule="atLeast"/>
        </w:trPr>
        <w:tc>
          <w:tcPr>
            <w:tcW w:w="720" w:type="dxa"/>
            <w:noWrap w:val="0"/>
            <w:vAlign w:val="center"/>
          </w:tcPr>
          <w:p>
            <w:pPr>
              <w:spacing w:line="440" w:lineRule="exact"/>
              <w:jc w:val="center"/>
              <w:rPr>
                <w:rFonts w:hint="eastAsia"/>
              </w:rPr>
            </w:pPr>
            <w:r>
              <w:t>6</w:t>
            </w:r>
          </w:p>
        </w:tc>
        <w:tc>
          <w:tcPr>
            <w:tcW w:w="5231" w:type="dxa"/>
            <w:noWrap w:val="0"/>
            <w:vAlign w:val="top"/>
          </w:tcPr>
          <w:p>
            <w:pPr>
              <w:spacing w:line="440" w:lineRule="exact"/>
              <w:rPr>
                <w:rFonts w:hint="eastAsia"/>
              </w:rPr>
            </w:pPr>
            <w:r>
              <w:rPr>
                <w:rFonts w:hint="eastAsia" w:ascii="宋体" w:hAnsi="宋体"/>
              </w:rPr>
              <w:t>如参加竞标人为非法人代表，则请提供有法定代表签字的法人授权委托书</w:t>
            </w:r>
            <w:r>
              <w:rPr>
                <w:rFonts w:hint="eastAsia"/>
              </w:rPr>
              <w:t xml:space="preserve"> </w:t>
            </w:r>
          </w:p>
        </w:tc>
        <w:tc>
          <w:tcPr>
            <w:tcW w:w="2763" w:type="dxa"/>
            <w:noWrap w:val="0"/>
            <w:vAlign w:val="top"/>
          </w:tcPr>
          <w:p>
            <w:pPr>
              <w:spacing w:line="440" w:lineRule="exact"/>
              <w:rPr>
                <w:rFonts w:hint="eastAsia"/>
              </w:rPr>
            </w:pPr>
            <w:r>
              <w:rPr>
                <w:rFonts w:hint="eastAsia"/>
              </w:rPr>
              <w:t>复印件（需带原件备查）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2" w:hRule="atLeast"/>
        </w:trPr>
        <w:tc>
          <w:tcPr>
            <w:tcW w:w="720" w:type="dxa"/>
            <w:noWrap w:val="0"/>
            <w:vAlign w:val="center"/>
          </w:tcPr>
          <w:p>
            <w:pPr>
              <w:spacing w:line="440" w:lineRule="exact"/>
              <w:jc w:val="center"/>
              <w:rPr>
                <w:rFonts w:hint="eastAsia"/>
              </w:rPr>
            </w:pPr>
            <w:r>
              <w:t>7</w:t>
            </w:r>
          </w:p>
        </w:tc>
        <w:tc>
          <w:tcPr>
            <w:tcW w:w="5231" w:type="dxa"/>
            <w:noWrap w:val="0"/>
            <w:vAlign w:val="top"/>
          </w:tcPr>
          <w:p>
            <w:pPr>
              <w:spacing w:line="440" w:lineRule="exact"/>
              <w:rPr>
                <w:rFonts w:hint="eastAsia"/>
              </w:rPr>
            </w:pPr>
            <w:r>
              <w:rPr>
                <w:rFonts w:hint="eastAsia" w:ascii="宋体" w:hAnsi="宋体"/>
              </w:rPr>
              <w:t>中小企业声明函</w:t>
            </w:r>
          </w:p>
        </w:tc>
        <w:tc>
          <w:tcPr>
            <w:tcW w:w="2763" w:type="dxa"/>
            <w:noWrap w:val="0"/>
            <w:vAlign w:val="top"/>
          </w:tcPr>
          <w:p>
            <w:pPr>
              <w:spacing w:line="440" w:lineRule="exact"/>
              <w:rPr>
                <w:rFonts w:hint="eastAsia"/>
              </w:rPr>
            </w:pPr>
            <w:r>
              <w:rPr>
                <w:rFonts w:hint="eastAsia"/>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2" w:hRule="atLeast"/>
        </w:trPr>
        <w:tc>
          <w:tcPr>
            <w:tcW w:w="720" w:type="dxa"/>
            <w:noWrap w:val="0"/>
            <w:vAlign w:val="center"/>
          </w:tcPr>
          <w:p>
            <w:pPr>
              <w:spacing w:line="440" w:lineRule="exact"/>
              <w:jc w:val="center"/>
              <w:rPr>
                <w:rFonts w:hint="eastAsia"/>
              </w:rPr>
            </w:pPr>
            <w:r>
              <w:t>8</w:t>
            </w:r>
          </w:p>
        </w:tc>
        <w:tc>
          <w:tcPr>
            <w:tcW w:w="5231" w:type="dxa"/>
            <w:noWrap w:val="0"/>
            <w:vAlign w:val="top"/>
          </w:tcPr>
          <w:p>
            <w:pPr>
              <w:spacing w:line="440" w:lineRule="exact"/>
              <w:rPr>
                <w:rFonts w:hint="eastAsia"/>
              </w:rPr>
            </w:pPr>
            <w:r>
              <w:rPr>
                <w:rFonts w:hint="eastAsia"/>
              </w:rPr>
              <w:t>其他材料</w:t>
            </w:r>
          </w:p>
        </w:tc>
        <w:tc>
          <w:tcPr>
            <w:tcW w:w="2763" w:type="dxa"/>
            <w:noWrap w:val="0"/>
            <w:vAlign w:val="top"/>
          </w:tcPr>
          <w:p>
            <w:pPr>
              <w:spacing w:line="440" w:lineRule="exact"/>
              <w:rPr>
                <w:rFonts w:hint="eastAsia"/>
              </w:rPr>
            </w:pPr>
            <w:r>
              <w:rPr>
                <w:rFonts w:hint="eastAsia"/>
              </w:rPr>
              <w:t>若有，复印件</w:t>
            </w:r>
          </w:p>
        </w:tc>
      </w:tr>
    </w:tbl>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napToGrid w:val="0"/>
        <w:spacing w:before="50" w:after="142" w:afterLines="50"/>
        <w:rPr>
          <w:rFonts w:hint="eastAsia" w:ascii="宋体" w:hAnsi="宋体"/>
          <w:b/>
          <w:color w:val="000000"/>
          <w:sz w:val="24"/>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ind w:left="257"/>
        <w:jc w:val="center"/>
        <w:rPr>
          <w:rFonts w:eastAsia="黑体"/>
          <w:sz w:val="28"/>
        </w:rPr>
      </w:pP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spacing w:line="500" w:lineRule="exact"/>
        <w:rPr>
          <w:rFonts w:hint="eastAsia" w:eastAsia="黑体"/>
          <w:sz w:val="28"/>
        </w:rPr>
      </w:pPr>
    </w:p>
    <w:p>
      <w:pPr>
        <w:spacing w:line="500" w:lineRule="exact"/>
        <w:rPr>
          <w:rFonts w:hint="eastAsia" w:eastAsia="黑体"/>
          <w:sz w:val="28"/>
        </w:rPr>
      </w:pPr>
    </w:p>
    <w:p>
      <w:pPr>
        <w:spacing w:line="500" w:lineRule="exact"/>
        <w:ind w:left="257"/>
        <w:jc w:val="center"/>
        <w:rPr>
          <w:rFonts w:hint="eastAsia" w:eastAsia="黑体"/>
          <w:sz w:val="28"/>
        </w:rPr>
      </w:pPr>
      <w:r>
        <w:rPr>
          <w:rFonts w:hint="eastAsia" w:eastAsia="黑体"/>
          <w:sz w:val="28"/>
        </w:rPr>
        <w:t>十、</w:t>
      </w:r>
      <w:r>
        <w:rPr>
          <w:rFonts w:hint="eastAsia" w:ascii="宋体"/>
          <w:b/>
          <w:sz w:val="28"/>
        </w:rPr>
        <w:t>履约保证金保函</w:t>
      </w:r>
    </w:p>
    <w:p>
      <w:pPr>
        <w:pStyle w:val="19"/>
        <w:spacing w:line="520" w:lineRule="exact"/>
        <w:jc w:val="center"/>
        <w:rPr>
          <w:rFonts w:hint="eastAsia" w:ascii="宋体"/>
        </w:rPr>
      </w:pPr>
      <w:r>
        <w:rPr>
          <w:rFonts w:hint="eastAsia" w:ascii="宋体"/>
        </w:rPr>
        <w:t xml:space="preserve"> （中标后开具）</w:t>
      </w:r>
    </w:p>
    <w:p>
      <w:pPr>
        <w:pStyle w:val="19"/>
        <w:spacing w:line="460" w:lineRule="exact"/>
        <w:rPr>
          <w:rFonts w:hint="eastAsia" w:ascii="宋体"/>
          <w:u w:val="single"/>
        </w:rPr>
      </w:pPr>
      <w:r>
        <w:rPr>
          <w:rFonts w:hint="eastAsia" w:ascii="宋体"/>
        </w:rPr>
        <w:t xml:space="preserve">                                                  开具日期：</w:t>
      </w:r>
      <w:r>
        <w:rPr>
          <w:rFonts w:hint="eastAsia" w:ascii="宋体"/>
          <w:u w:val="single"/>
        </w:rPr>
        <w:t xml:space="preserve">           </w:t>
      </w:r>
    </w:p>
    <w:p>
      <w:pPr>
        <w:pStyle w:val="19"/>
        <w:spacing w:line="460" w:lineRule="exact"/>
        <w:rPr>
          <w:rFonts w:hint="eastAsia" w:ascii="宋体"/>
          <w:u w:val="single"/>
        </w:rPr>
      </w:pPr>
      <w:r>
        <w:rPr>
          <w:rFonts w:hint="eastAsia" w:ascii="宋体"/>
          <w:u w:val="single"/>
        </w:rPr>
        <w:t>致： （</w:t>
      </w:r>
      <w:r>
        <w:rPr>
          <w:rFonts w:hint="eastAsia" w:ascii="宋体"/>
          <w:i/>
          <w:u w:val="single"/>
        </w:rPr>
        <w:t>买方名称</w:t>
      </w:r>
      <w:r>
        <w:rPr>
          <w:rFonts w:hint="eastAsia" w:ascii="宋体"/>
          <w:u w:val="single"/>
        </w:rPr>
        <w:t xml:space="preserve">）  </w:t>
      </w:r>
      <w:r>
        <w:rPr>
          <w:rFonts w:hint="eastAsia" w:ascii="宋体"/>
        </w:rPr>
        <w:t xml:space="preserve"> ：</w:t>
      </w:r>
    </w:p>
    <w:p>
      <w:pPr>
        <w:pStyle w:val="19"/>
        <w:spacing w:after="240" w:line="460" w:lineRule="exact"/>
        <w:rPr>
          <w:rFonts w:hint="eastAsia" w:ascii="宋体"/>
        </w:rPr>
      </w:pPr>
      <w:r>
        <w:rPr>
          <w:rFonts w:hint="eastAsia" w:ascii="宋体"/>
        </w:rPr>
        <w:t xml:space="preserve">                     </w:t>
      </w:r>
      <w:r>
        <w:rPr>
          <w:rFonts w:hint="eastAsia" w:ascii="宋体"/>
          <w:u w:val="single"/>
        </w:rPr>
        <w:t xml:space="preserve">                   </w:t>
      </w:r>
      <w:r>
        <w:rPr>
          <w:rFonts w:hint="eastAsia" w:ascii="宋体"/>
        </w:rPr>
        <w:t>号合同履约保函</w:t>
      </w:r>
    </w:p>
    <w:p>
      <w:pPr>
        <w:pStyle w:val="19"/>
        <w:spacing w:line="460" w:lineRule="exact"/>
        <w:rPr>
          <w:rFonts w:hint="eastAsia" w:ascii="宋体"/>
          <w:u w:val="single"/>
        </w:rPr>
      </w:pPr>
      <w:r>
        <w:rPr>
          <w:rFonts w:hint="eastAsia" w:ascii="宋体"/>
        </w:rPr>
        <w:t>本保函作为贵方与</w:t>
      </w:r>
      <w:r>
        <w:rPr>
          <w:rFonts w:hint="eastAsia" w:ascii="宋体"/>
          <w:u w:val="single"/>
        </w:rPr>
        <w:t>（</w:t>
      </w:r>
      <w:r>
        <w:rPr>
          <w:rFonts w:hint="eastAsia" w:ascii="宋体"/>
          <w:i/>
          <w:u w:val="single"/>
        </w:rPr>
        <w:t>卖方名称</w:t>
      </w:r>
      <w:r>
        <w:rPr>
          <w:rFonts w:hint="eastAsia" w:ascii="宋体"/>
          <w:u w:val="single"/>
        </w:rPr>
        <w:t>）</w:t>
      </w:r>
      <w:r>
        <w:rPr>
          <w:rFonts w:hint="eastAsia" w:ascii="宋体"/>
        </w:rPr>
        <w:t>（以下简称卖方）于</w:t>
      </w:r>
      <w:r>
        <w:rPr>
          <w:rFonts w:hint="eastAsia" w:ascii="宋体"/>
          <w:u w:val="single"/>
        </w:rPr>
        <w:t xml:space="preserve">    </w:t>
      </w:r>
      <w:r>
        <w:rPr>
          <w:rFonts w:hint="eastAsia" w:ascii="宋体"/>
        </w:rPr>
        <w:t>年</w:t>
      </w:r>
      <w:r>
        <w:rPr>
          <w:rFonts w:hint="eastAsia" w:ascii="宋体"/>
          <w:u w:val="single"/>
        </w:rPr>
        <w:t xml:space="preserve">  </w:t>
      </w:r>
      <w:r>
        <w:rPr>
          <w:rFonts w:hint="eastAsia" w:ascii="宋体"/>
        </w:rPr>
        <w:t>月</w:t>
      </w:r>
      <w:r>
        <w:rPr>
          <w:rFonts w:hint="eastAsia" w:ascii="宋体"/>
          <w:u w:val="single"/>
        </w:rPr>
        <w:t xml:space="preserve">  </w:t>
      </w:r>
      <w:r>
        <w:rPr>
          <w:rFonts w:hint="eastAsia" w:ascii="宋体"/>
        </w:rPr>
        <w:t>日就</w:t>
      </w:r>
      <w:r>
        <w:rPr>
          <w:rFonts w:hint="eastAsia" w:ascii="宋体"/>
          <w:u w:val="single"/>
        </w:rPr>
        <w:t>（项目名）</w:t>
      </w:r>
    </w:p>
    <w:p>
      <w:pPr>
        <w:pStyle w:val="19"/>
        <w:spacing w:line="460" w:lineRule="exact"/>
        <w:rPr>
          <w:rFonts w:hint="eastAsia" w:ascii="宋体"/>
        </w:rPr>
      </w:pPr>
      <w:r>
        <w:rPr>
          <w:rFonts w:hint="eastAsia" w:ascii="宋体"/>
        </w:rPr>
        <w:t>项下提供</w:t>
      </w:r>
      <w:r>
        <w:rPr>
          <w:rFonts w:hint="eastAsia" w:ascii="宋体"/>
          <w:i/>
          <w:u w:val="single"/>
        </w:rPr>
        <w:t>（货物名称）（以下简称货物）</w:t>
      </w:r>
      <w:r>
        <w:rPr>
          <w:rFonts w:hint="eastAsia" w:ascii="宋体"/>
        </w:rPr>
        <w:t>签订的</w:t>
      </w:r>
      <w:r>
        <w:rPr>
          <w:rFonts w:hint="eastAsia" w:ascii="宋体"/>
          <w:u w:val="single"/>
        </w:rPr>
        <w:t>（</w:t>
      </w:r>
      <w:r>
        <w:rPr>
          <w:rFonts w:hint="eastAsia" w:ascii="宋体"/>
          <w:i/>
          <w:u w:val="single"/>
        </w:rPr>
        <w:t>合同号</w:t>
      </w:r>
      <w:r>
        <w:rPr>
          <w:rFonts w:hint="eastAsia" w:ascii="宋体"/>
          <w:u w:val="single"/>
        </w:rPr>
        <w:t>）</w:t>
      </w:r>
      <w:r>
        <w:rPr>
          <w:rFonts w:hint="eastAsia" w:ascii="宋体"/>
        </w:rPr>
        <w:t>号合同履约保函。</w:t>
      </w:r>
    </w:p>
    <w:p>
      <w:pPr>
        <w:pStyle w:val="19"/>
        <w:spacing w:line="460" w:lineRule="exact"/>
        <w:rPr>
          <w:rFonts w:hint="eastAsia" w:ascii="宋体"/>
        </w:rPr>
      </w:pPr>
      <w:r>
        <w:rPr>
          <w:rFonts w:hint="eastAsia" w:ascii="宋体"/>
        </w:rPr>
        <w:t>我行</w:t>
      </w:r>
      <w:r>
        <w:rPr>
          <w:rFonts w:hint="eastAsia" w:ascii="宋体"/>
          <w:u w:val="single"/>
        </w:rPr>
        <w:t>（</w:t>
      </w:r>
      <w:r>
        <w:rPr>
          <w:rFonts w:hint="eastAsia" w:ascii="宋体"/>
          <w:i/>
          <w:u w:val="single"/>
        </w:rPr>
        <w:t>出具保函银行名称）</w:t>
      </w:r>
      <w:r>
        <w:rPr>
          <w:rFonts w:hint="eastAsia" w:ascii="宋体"/>
          <w:u w:val="single"/>
        </w:rPr>
        <w:t>（以下简称银行）</w:t>
      </w:r>
      <w:r>
        <w:rPr>
          <w:rFonts w:hint="eastAsia" w:ascii="宋体"/>
        </w:rPr>
        <w:t>无条件地、不可撤销地保证本行、其继承人和受让人无追索地向贵方支付总额为</w:t>
      </w:r>
      <w:r>
        <w:rPr>
          <w:rFonts w:hint="eastAsia" w:ascii="宋体"/>
          <w:u w:val="single"/>
        </w:rPr>
        <w:t>（保证金额）</w:t>
      </w:r>
      <w:r>
        <w:rPr>
          <w:rFonts w:hint="eastAsia" w:ascii="宋体"/>
        </w:rPr>
        <w:t>的人民币，即相当于合同10%的金额，并以此约定如下：</w:t>
      </w:r>
    </w:p>
    <w:p>
      <w:pPr>
        <w:pStyle w:val="19"/>
        <w:widowControl w:val="0"/>
        <w:numPr>
          <w:ilvl w:val="0"/>
          <w:numId w:val="5"/>
          <w:numberingChange w:id="0" w:author="User" w:date="2015-03-27T12:36:00Z" w:original="%1:1:0:．"/>
        </w:numPr>
        <w:spacing w:after="0" w:line="460" w:lineRule="exact"/>
        <w:ind w:leftChars="0"/>
        <w:jc w:val="both"/>
        <w:rPr>
          <w:rFonts w:hint="eastAsia" w:ascii="宋体"/>
        </w:rPr>
      </w:pPr>
      <w:r>
        <w:rPr>
          <w:rFonts w:hint="eastAsia" w:ascii="宋体"/>
        </w:rPr>
        <w:t>只要贵方确定卖方未能忠实地履行所有合同文件的规定和双方此后一致同意的修改、补充和变动，包括更换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9"/>
        <w:widowControl w:val="0"/>
        <w:numPr>
          <w:ilvl w:val="0"/>
          <w:numId w:val="5"/>
          <w:numberingChange w:id="1" w:author="User" w:date="2015-03-27T12:36:00Z" w:original="%1:2:0:．"/>
        </w:numPr>
        <w:spacing w:after="0" w:line="460" w:lineRule="exact"/>
        <w:ind w:leftChars="0"/>
        <w:jc w:val="both"/>
        <w:rPr>
          <w:rFonts w:hint="eastAsia" w:ascii="宋体"/>
        </w:rPr>
      </w:pPr>
      <w:r>
        <w:rPr>
          <w:rFonts w:hint="eastAsia" w:ascii="宋体"/>
        </w:rPr>
        <w:t>本保函项下的任何支付应为免税和净值，对于现有或将来的税收、收费、费用扣减或预提税款，不论这些款项是何种性质和由谁征收，都不应从本保函项下的支付中扣除。</w:t>
      </w:r>
    </w:p>
    <w:p>
      <w:pPr>
        <w:pStyle w:val="19"/>
        <w:widowControl w:val="0"/>
        <w:numPr>
          <w:ilvl w:val="0"/>
          <w:numId w:val="5"/>
          <w:numberingChange w:id="2" w:author="User" w:date="2015-03-27T12:36:00Z" w:original="%1:3:0:．"/>
        </w:numPr>
        <w:spacing w:after="0" w:line="460" w:lineRule="exact"/>
        <w:ind w:leftChars="0"/>
        <w:jc w:val="both"/>
        <w:rPr>
          <w:rFonts w:hint="eastAsia" w:ascii="宋体"/>
        </w:rPr>
      </w:pPr>
      <w:r>
        <w:rPr>
          <w:rFonts w:hint="eastAsia" w:ascii="宋体"/>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9"/>
        <w:widowControl w:val="0"/>
        <w:numPr>
          <w:ilvl w:val="0"/>
          <w:numId w:val="5"/>
          <w:numberingChange w:id="3" w:author="User" w:date="2015-03-27T12:36:00Z" w:original="%1:4:0:．"/>
        </w:numPr>
        <w:spacing w:after="0" w:line="460" w:lineRule="exact"/>
        <w:ind w:leftChars="0"/>
        <w:jc w:val="both"/>
        <w:rPr>
          <w:rFonts w:hint="eastAsia" w:ascii="宋体"/>
        </w:rPr>
      </w:pPr>
      <w:r>
        <w:rPr>
          <w:rFonts w:hint="eastAsia" w:ascii="宋体"/>
        </w:rPr>
        <w:t>本保函自开具之日起至本合同规定的保证期期满前完全有效。</w:t>
      </w:r>
    </w:p>
    <w:p>
      <w:pPr>
        <w:pStyle w:val="19"/>
        <w:spacing w:line="460" w:lineRule="exact"/>
        <w:rPr>
          <w:rFonts w:hint="eastAsia" w:ascii="宋体"/>
        </w:rPr>
      </w:pPr>
      <w:r>
        <w:rPr>
          <w:rFonts w:hint="eastAsia" w:ascii="宋体"/>
        </w:rPr>
        <w:t xml:space="preserve">      谨启</w:t>
      </w:r>
    </w:p>
    <w:p>
      <w:pPr>
        <w:pStyle w:val="19"/>
        <w:spacing w:line="460" w:lineRule="exact"/>
        <w:rPr>
          <w:rFonts w:hint="eastAsia" w:ascii="宋体"/>
          <w:u w:val="single"/>
        </w:rPr>
      </w:pPr>
      <w:r>
        <w:rPr>
          <w:rFonts w:hint="eastAsia" w:ascii="宋体"/>
        </w:rPr>
        <w:t>出具保函银行名称（公章）</w:t>
      </w:r>
      <w:r>
        <w:rPr>
          <w:rFonts w:hint="eastAsia" w:ascii="宋体"/>
          <w:u w:val="single"/>
        </w:rPr>
        <w:t xml:space="preserve">                                     </w:t>
      </w:r>
    </w:p>
    <w:p>
      <w:pPr>
        <w:pStyle w:val="19"/>
        <w:spacing w:line="460" w:lineRule="exact"/>
        <w:rPr>
          <w:rFonts w:hint="eastAsia" w:ascii="宋体"/>
          <w:u w:val="single"/>
        </w:rPr>
      </w:pPr>
      <w:r>
        <w:rPr>
          <w:rFonts w:hint="eastAsia" w:ascii="宋体"/>
        </w:rPr>
        <w:t>签字人姓名和职务（印刷体）</w:t>
      </w:r>
      <w:r>
        <w:rPr>
          <w:rFonts w:hint="eastAsia" w:ascii="宋体"/>
          <w:u w:val="single"/>
        </w:rPr>
        <w:t xml:space="preserve">                                    </w:t>
      </w:r>
    </w:p>
    <w:p>
      <w:pPr>
        <w:pStyle w:val="19"/>
        <w:spacing w:line="460" w:lineRule="exact"/>
        <w:rPr>
          <w:rFonts w:hint="eastAsia"/>
        </w:rPr>
      </w:pPr>
      <w:r>
        <w:rPr>
          <w:rFonts w:hint="eastAsia"/>
        </w:rPr>
        <w:t xml:space="preserve">签 字 人 签   名 </w:t>
      </w:r>
      <w:r>
        <w:rPr>
          <w:rFonts w:hint="eastAsia"/>
          <w:u w:val="single"/>
        </w:rPr>
        <w:t xml:space="preserve">                                             </w:t>
      </w:r>
      <w:r>
        <w:rPr>
          <w:rFonts w:hint="eastAsia"/>
        </w:rPr>
        <w:t xml:space="preserve"> </w:t>
      </w:r>
    </w:p>
    <w:p>
      <w:pPr>
        <w:spacing w:line="500" w:lineRule="exact"/>
        <w:ind w:left="257"/>
        <w:jc w:val="center"/>
        <w:rPr>
          <w:rFonts w:hint="eastAsia" w:eastAsia="黑体"/>
          <w:sz w:val="28"/>
        </w:rPr>
      </w:pPr>
    </w:p>
    <w:p>
      <w:pPr>
        <w:spacing w:line="500" w:lineRule="exact"/>
        <w:ind w:left="257"/>
        <w:jc w:val="center"/>
        <w:rPr>
          <w:rFonts w:hint="eastAsia" w:eastAsia="黑体"/>
          <w:sz w:val="28"/>
        </w:rPr>
      </w:pPr>
    </w:p>
    <w:p>
      <w:pPr>
        <w:jc w:val="both"/>
        <w:rPr>
          <w:rFonts w:hint="eastAsia" w:ascii="宋体" w:hAnsi="宋体"/>
          <w:b/>
          <w:bCs/>
          <w:i/>
          <w:iCs/>
          <w:sz w:val="28"/>
          <w:szCs w:val="28"/>
        </w:rPr>
      </w:pPr>
    </w:p>
    <w:p>
      <w:pPr>
        <w:pStyle w:val="19"/>
        <w:spacing w:line="520" w:lineRule="exact"/>
        <w:jc w:val="center"/>
        <w:rPr>
          <w:rFonts w:hint="eastAsia" w:eastAsia="黑体"/>
          <w:sz w:val="28"/>
        </w:rPr>
      </w:pPr>
      <w:r>
        <w:rPr>
          <w:rFonts w:hint="eastAsia" w:eastAsia="黑体"/>
          <w:sz w:val="28"/>
        </w:rPr>
        <w:t xml:space="preserve">  十一、  </w:t>
      </w:r>
      <w:r>
        <w:rPr>
          <w:rFonts w:hint="eastAsia" w:ascii="宋体"/>
          <w:b/>
          <w:sz w:val="28"/>
        </w:rPr>
        <w:t>银行资信证明</w:t>
      </w:r>
    </w:p>
    <w:p>
      <w:pPr>
        <w:pStyle w:val="19"/>
        <w:spacing w:line="520" w:lineRule="exact"/>
        <w:jc w:val="center"/>
        <w:rPr>
          <w:rFonts w:hint="eastAsia" w:ascii="宋体"/>
          <w:color w:val="C00000"/>
        </w:rPr>
      </w:pPr>
    </w:p>
    <w:p>
      <w:pPr>
        <w:pStyle w:val="19"/>
        <w:spacing w:line="480" w:lineRule="auto"/>
        <w:rPr>
          <w:rFonts w:hint="eastAsia"/>
          <w:color w:val="C00000"/>
          <w:szCs w:val="24"/>
        </w:rPr>
      </w:pPr>
      <w:r>
        <w:rPr>
          <w:rFonts w:hint="eastAsia"/>
          <w:color w:val="C00000"/>
          <w:szCs w:val="24"/>
        </w:rPr>
        <w:t>银行资信证明开具要求：</w:t>
      </w:r>
    </w:p>
    <w:p>
      <w:pPr>
        <w:pStyle w:val="19"/>
        <w:spacing w:line="480" w:lineRule="auto"/>
        <w:rPr>
          <w:rFonts w:hint="eastAsia"/>
          <w:color w:val="C00000"/>
          <w:szCs w:val="24"/>
        </w:rPr>
      </w:pPr>
      <w:r>
        <w:rPr>
          <w:rFonts w:hint="eastAsia"/>
          <w:color w:val="C00000"/>
          <w:szCs w:val="24"/>
        </w:rPr>
        <w:t>1.声明本银行是投标人的基本账户开户银行（非投标人基本账户的开户银行出具的资信证明无效）。</w:t>
      </w:r>
    </w:p>
    <w:p>
      <w:pPr>
        <w:pStyle w:val="19"/>
        <w:spacing w:line="480" w:lineRule="auto"/>
        <w:rPr>
          <w:rFonts w:hint="eastAsia"/>
          <w:color w:val="C00000"/>
          <w:szCs w:val="24"/>
        </w:rPr>
      </w:pPr>
      <w:r>
        <w:rPr>
          <w:rFonts w:hint="eastAsia"/>
          <w:color w:val="C00000"/>
          <w:szCs w:val="24"/>
        </w:rPr>
        <w:t>2.证明投标人资金往来结算信誉情况良好。</w:t>
      </w:r>
    </w:p>
    <w:p>
      <w:pPr>
        <w:pStyle w:val="19"/>
        <w:spacing w:line="480" w:lineRule="auto"/>
        <w:rPr>
          <w:rFonts w:hint="eastAsia"/>
          <w:color w:val="C00000"/>
          <w:szCs w:val="24"/>
        </w:rPr>
      </w:pPr>
      <w:r>
        <w:rPr>
          <w:rFonts w:hint="eastAsia"/>
          <w:color w:val="C00000"/>
          <w:szCs w:val="24"/>
        </w:rPr>
        <w:t>3.落款应有银行公章或银行资信证明专用章或业务专用章、负责人姓名、签字及日期。</w:t>
      </w:r>
    </w:p>
    <w:p>
      <w:pPr>
        <w:pStyle w:val="19"/>
        <w:spacing w:line="480" w:lineRule="auto"/>
        <w:rPr>
          <w:rFonts w:hint="eastAsia"/>
          <w:color w:val="C00000"/>
          <w:szCs w:val="24"/>
        </w:rPr>
      </w:pPr>
      <w:r>
        <w:rPr>
          <w:rFonts w:hint="eastAsia"/>
          <w:color w:val="C00000"/>
          <w:szCs w:val="24"/>
        </w:rPr>
        <w:t>4. 银行资信证明应是在开标日前六个月之内出具的，否则为无效证明，有关企业资信等级的证明不能替代本证明。</w:t>
      </w:r>
    </w:p>
    <w:p>
      <w:pPr>
        <w:pStyle w:val="19"/>
        <w:spacing w:line="520" w:lineRule="exact"/>
        <w:jc w:val="center"/>
        <w:rPr>
          <w:rFonts w:hint="eastAsia" w:ascii="宋体"/>
        </w:rPr>
      </w:pPr>
    </w:p>
    <w:p>
      <w:pPr>
        <w:pStyle w:val="19"/>
        <w:spacing w:line="520" w:lineRule="exact"/>
        <w:jc w:val="center"/>
        <w:rPr>
          <w:rFonts w:hint="eastAsia" w:ascii="宋体"/>
        </w:rPr>
      </w:pPr>
    </w:p>
    <w:p>
      <w:pPr>
        <w:pStyle w:val="19"/>
        <w:spacing w:line="520" w:lineRule="exact"/>
        <w:jc w:val="center"/>
        <w:rPr>
          <w:rFonts w:hint="eastAsia" w:ascii="宋体"/>
          <w:b/>
          <w:sz w:val="28"/>
        </w:rPr>
      </w:pPr>
      <w:r>
        <w:rPr>
          <w:rFonts w:ascii="宋体"/>
          <w:b/>
          <w:sz w:val="28"/>
        </w:rPr>
        <w:br w:type="page"/>
      </w:r>
      <w:r>
        <w:rPr>
          <w:rFonts w:hint="eastAsia" w:ascii="宋体"/>
          <w:b/>
          <w:sz w:val="28"/>
        </w:rPr>
        <w:t>十二、 中小企业声明函</w:t>
      </w:r>
    </w:p>
    <w:p>
      <w:pPr>
        <w:pStyle w:val="19"/>
        <w:spacing w:line="480" w:lineRule="exact"/>
        <w:ind w:firstLine="420" w:firstLineChars="200"/>
        <w:rPr>
          <w:rFonts w:hint="eastAsia"/>
          <w:szCs w:val="24"/>
        </w:rPr>
      </w:pPr>
      <w:r>
        <w:rPr>
          <w:rFonts w:hint="eastAsia"/>
          <w:szCs w:val="24"/>
        </w:rPr>
        <w:t>根据财政部《政府采购促进中小企业发展暂行办法》（财库[2011]181号）和宁波市财政局《关于政府采购促进中小企业发展若干问题的通知》（甬采购办[2012]1427号）的规定，本单位郑重声明：</w:t>
      </w:r>
    </w:p>
    <w:p>
      <w:pPr>
        <w:pStyle w:val="19"/>
        <w:spacing w:line="480" w:lineRule="exact"/>
        <w:rPr>
          <w:rFonts w:hint="eastAsia"/>
          <w:szCs w:val="24"/>
        </w:rPr>
      </w:pPr>
      <w:r>
        <w:rPr>
          <w:rFonts w:hint="eastAsia"/>
          <w:szCs w:val="24"/>
        </w:rPr>
        <w:t>1、依据工业和信息化部、国家统计局、国家发展和改革委员会、财政部《关于印发中小企业划型标准规定的通知》（工信部联企业[2011]300号）规定的划分标准，本单位为______（大型、中型、小型、微型、不划型）企业，其中所属行业为__________、上年末从业人员____人、上年营业收入____万元、上年资产总额___</w:t>
      </w:r>
      <w:r>
        <w:rPr>
          <w:szCs w:val="24"/>
          <w:u w:val="single"/>
        </w:rPr>
        <w:t xml:space="preserve">   </w:t>
      </w:r>
      <w:r>
        <w:rPr>
          <w:rFonts w:hint="eastAsia"/>
          <w:szCs w:val="24"/>
        </w:rPr>
        <w:t>_万元。</w:t>
      </w:r>
    </w:p>
    <w:p>
      <w:pPr>
        <w:pStyle w:val="19"/>
        <w:spacing w:line="480" w:lineRule="exact"/>
        <w:rPr>
          <w:rFonts w:hint="eastAsia"/>
          <w:szCs w:val="24"/>
        </w:rPr>
      </w:pPr>
      <w:r>
        <w:rPr>
          <w:rFonts w:hint="eastAsia"/>
          <w:szCs w:val="24"/>
        </w:rPr>
        <w:t>2.</w:t>
      </w:r>
      <w:r>
        <w:rPr>
          <w:rFonts w:hint="eastAsia"/>
        </w:rPr>
        <w:t xml:space="preserve"> </w:t>
      </w:r>
      <w:r>
        <w:rPr>
          <w:rFonts w:hint="eastAsia"/>
          <w:szCs w:val="24"/>
        </w:rPr>
        <w:t>本单位参加______项目（项目编号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pStyle w:val="19"/>
        <w:spacing w:line="480" w:lineRule="exact"/>
        <w:rPr>
          <w:rFonts w:hint="eastAsia"/>
          <w:szCs w:val="24"/>
        </w:rPr>
      </w:pPr>
      <w:r>
        <w:rPr>
          <w:rFonts w:hint="eastAsia"/>
          <w:szCs w:val="24"/>
        </w:rPr>
        <w:t>本公司对上述声明的真实性负责。如有虚假，将依法承担相应责任。</w:t>
      </w:r>
    </w:p>
    <w:p>
      <w:pPr>
        <w:pStyle w:val="19"/>
        <w:spacing w:line="480" w:lineRule="exact"/>
        <w:rPr>
          <w:rFonts w:hint="eastAsia"/>
          <w:szCs w:val="24"/>
        </w:rPr>
      </w:pPr>
    </w:p>
    <w:p>
      <w:pPr>
        <w:pStyle w:val="19"/>
        <w:spacing w:line="480" w:lineRule="exact"/>
        <w:rPr>
          <w:rFonts w:hint="eastAsia"/>
          <w:szCs w:val="24"/>
        </w:rPr>
      </w:pPr>
      <w:r>
        <w:rPr>
          <w:rFonts w:hint="eastAsia"/>
          <w:szCs w:val="24"/>
        </w:rPr>
        <w:t>企业名称（盖章）：</w:t>
      </w:r>
    </w:p>
    <w:p>
      <w:pPr>
        <w:pStyle w:val="19"/>
        <w:spacing w:line="480" w:lineRule="exact"/>
        <w:rPr>
          <w:rFonts w:hint="eastAsia"/>
          <w:szCs w:val="24"/>
        </w:rPr>
      </w:pPr>
      <w:r>
        <w:rPr>
          <w:rFonts w:hint="eastAsia"/>
          <w:szCs w:val="24"/>
        </w:rPr>
        <w:t xml:space="preserve">日  期： </w:t>
      </w:r>
    </w:p>
    <w:p>
      <w:pPr>
        <w:pStyle w:val="6"/>
      </w:pPr>
    </w:p>
    <w:p>
      <w:pPr>
        <w:pStyle w:val="6"/>
      </w:pPr>
    </w:p>
    <w:p>
      <w:pPr>
        <w:pStyle w:val="6"/>
        <w:rPr>
          <w:rFonts w:hint="eastAsia"/>
        </w:rPr>
      </w:pPr>
    </w:p>
    <w:p>
      <w:pPr>
        <w:spacing w:line="360" w:lineRule="auto"/>
        <w:rPr>
          <w:rFonts w:ascii="宋体" w:hAnsi="宋体"/>
          <w:szCs w:val="21"/>
        </w:rPr>
      </w:pPr>
      <w:r>
        <w:rPr>
          <w:rFonts w:hint="eastAsia" w:ascii="宋体" w:hAnsi="宋体"/>
          <w:szCs w:val="21"/>
        </w:rPr>
        <w:t>填写说明：</w:t>
      </w:r>
    </w:p>
    <w:p>
      <w:pPr>
        <w:spacing w:line="360" w:lineRule="auto"/>
        <w:ind w:firstLine="420" w:firstLineChars="200"/>
        <w:rPr>
          <w:rFonts w:ascii="宋体" w:hAnsi="宋体"/>
          <w:szCs w:val="21"/>
        </w:rPr>
      </w:pPr>
      <w:r>
        <w:rPr>
          <w:rFonts w:hint="eastAsia" w:ascii="宋体" w:hAnsi="宋体"/>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ascii="宋体" w:hAnsi="宋体"/>
          <w:szCs w:val="21"/>
        </w:rPr>
      </w:pPr>
      <w:r>
        <w:rPr>
          <w:rFonts w:hint="eastAsia" w:ascii="宋体" w:hAnsi="宋体"/>
          <w:szCs w:val="21"/>
        </w:rPr>
        <w:t>2、第1条宁波政府采购网（www.nbzfcg.cn）注册的企业投标人须根据上年财务报表等，登录进入网上投标人平台中“投标人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投标人不划型。</w:t>
      </w:r>
    </w:p>
    <w:p>
      <w:pPr>
        <w:spacing w:line="360" w:lineRule="auto"/>
        <w:ind w:firstLine="420" w:firstLineChars="200"/>
        <w:rPr>
          <w:rFonts w:ascii="宋体" w:hAnsi="宋体"/>
          <w:szCs w:val="21"/>
        </w:rPr>
      </w:pPr>
      <w:r>
        <w:rPr>
          <w:rFonts w:hint="eastAsia" w:ascii="宋体" w:hAnsi="宋体"/>
          <w:szCs w:val="21"/>
        </w:rPr>
        <w:t>3、第2条有多个标包的，须按每个标包分别填写，无此分类货物金额的应填“零”。</w:t>
      </w:r>
    </w:p>
    <w:p>
      <w:pPr>
        <w:spacing w:line="360" w:lineRule="auto"/>
        <w:ind w:firstLine="420" w:firstLineChars="200"/>
        <w:rPr>
          <w:rFonts w:ascii="宋体" w:hAnsi="宋体"/>
          <w:szCs w:val="21"/>
        </w:rPr>
      </w:pPr>
      <w:r>
        <w:rPr>
          <w:rFonts w:hint="eastAsia" w:ascii="宋体" w:hAnsi="宋体"/>
          <w:szCs w:val="21"/>
        </w:rPr>
        <w:t>4、联合体投标的，由联合体主办方提供本表。</w:t>
      </w:r>
    </w:p>
    <w:p>
      <w:pPr>
        <w:spacing w:line="360" w:lineRule="auto"/>
        <w:ind w:firstLine="420" w:firstLineChars="200"/>
        <w:rPr>
          <w:rFonts w:ascii="宋体" w:hAnsi="宋体"/>
          <w:szCs w:val="21"/>
        </w:rPr>
      </w:pPr>
      <w:r>
        <w:rPr>
          <w:rFonts w:hint="eastAsia" w:ascii="宋体" w:hAnsi="宋体"/>
          <w:szCs w:val="21"/>
        </w:rPr>
        <w:t>5、资格入围式项目（一个标包由多家中标入围）：招标人公布项目预算的，第2条有关金额按市场预估总价、投标预估总价除以入围数量填写；未公布预算的或入围数量的，投标人无需填写。</w:t>
      </w:r>
    </w:p>
    <w:p>
      <w:pPr>
        <w:spacing w:line="360" w:lineRule="auto"/>
        <w:ind w:firstLine="420" w:firstLineChars="200"/>
        <w:rPr>
          <w:rFonts w:ascii="宋体" w:hAnsi="宋体"/>
          <w:szCs w:val="21"/>
        </w:rPr>
      </w:pPr>
      <w:r>
        <w:rPr>
          <w:rFonts w:hint="eastAsia" w:ascii="宋体" w:hAnsi="宋体"/>
          <w:szCs w:val="21"/>
        </w:rPr>
        <w:t>6、投标价格为费率的项目、中标价格按单价执行的项目：招标人公布项目预算的，第2条有关金额按市场预估总价、投标预估总价填写；未公布预算的，投标人无需填写。</w:t>
      </w:r>
    </w:p>
    <w:p>
      <w:pPr>
        <w:spacing w:line="360" w:lineRule="auto"/>
        <w:ind w:firstLine="420" w:firstLineChars="200"/>
        <w:rPr>
          <w:rFonts w:hint="eastAsia" w:ascii="宋体" w:hAnsi="宋体"/>
          <w:szCs w:val="21"/>
        </w:rPr>
      </w:pPr>
      <w:r>
        <w:rPr>
          <w:rFonts w:hint="eastAsia" w:ascii="宋体" w:hAnsi="宋体"/>
          <w:szCs w:val="21"/>
        </w:rPr>
        <w:t>7、列入国家节能产品清单、环保产品清单的产品以中国政府采购网(www.ccgp.gov.cn)上财政部发布的文件为准。</w:t>
      </w:r>
    </w:p>
    <w:p>
      <w:pPr>
        <w:spacing w:line="600" w:lineRule="exact"/>
      </w:pPr>
    </w:p>
    <w:p>
      <w:pPr>
        <w:spacing w:line="600" w:lineRule="exact"/>
      </w:pPr>
    </w:p>
    <w:p>
      <w:pPr>
        <w:spacing w:line="600" w:lineRule="exact"/>
      </w:pPr>
    </w:p>
    <w:p>
      <w:pPr>
        <w:spacing w:line="600" w:lineRule="exact"/>
      </w:pPr>
    </w:p>
    <w:p>
      <w:pPr>
        <w:spacing w:line="600" w:lineRule="exact"/>
        <w:rPr>
          <w:rFonts w:hint="eastAsia"/>
        </w:rPr>
      </w:pPr>
    </w:p>
    <w:p>
      <w:pPr>
        <w:spacing w:line="500" w:lineRule="exact"/>
        <w:jc w:val="center"/>
        <w:rPr>
          <w:rFonts w:hint="eastAsia" w:ascii="宋体" w:hAnsi="宋体"/>
          <w:b/>
        </w:rPr>
      </w:pPr>
      <w:r>
        <w:rPr>
          <w:rFonts w:hint="eastAsia" w:eastAsia="黑体"/>
          <w:sz w:val="28"/>
        </w:rPr>
        <w:t>十三  其他资料（由投标人自定）</w:t>
      </w:r>
    </w:p>
    <w:sectPr>
      <w:headerReference r:id="rId14" w:type="default"/>
      <w:footerReference r:id="rId15" w:type="default"/>
      <w:footerReference r:id="rId16" w:type="even"/>
      <w:pgSz w:w="11907" w:h="16840"/>
      <w:pgMar w:top="1417" w:right="1107" w:bottom="1417" w:left="1300" w:header="720" w:footer="720"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page" w:x="5581" w:y="44"/>
      <w:rPr>
        <w:rFonts w:hint="eastAsia"/>
      </w:rPr>
    </w:pPr>
    <w:r>
      <w:fldChar w:fldCharType="begin"/>
    </w:r>
    <w:r>
      <w:rPr>
        <w:rStyle w:val="50"/>
      </w:rPr>
      <w:instrText xml:space="preserve">PAGE  </w:instrText>
    </w:r>
    <w:r>
      <w:fldChar w:fldCharType="separate"/>
    </w:r>
    <w:r>
      <w:rPr>
        <w:rStyle w:val="50"/>
        <w:lang/>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rPr>
        <w:rStyle w:val="50"/>
      </w:rPr>
      <w:t>26</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90" w:firstLineChars="5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Style w:val="50"/>
      </w:rPr>
    </w:pPr>
    <w:r>
      <w:rPr>
        <w:lang/>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0490" cy="131445"/>
              <wp:effectExtent l="0" t="0" r="0" b="0"/>
              <wp:wrapNone/>
              <wp:docPr id="2"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10490"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0.35pt;width:8.7pt;mso-position-horizontal:center;mso-position-horizontal-relative:margin;mso-wrap-style:none;z-index:251659264;mso-width-relative:page;mso-height-relative:page;" filled="f" stroked="f" coordsize="21600,21600" o:gfxdata="UEsDBAoAAAAAAIdO4kAAAAAAAAAAAAAAAAAEAAAAZHJzL1BLAwQUAAAACACHTuJA/I4VT9AAAAAD AQAADwAAAGRycy9kb3ducmV2LnhtbE2PwU7DMBBE70j8g7VI3KjdCpEqxOmhEhduFITEbRtv4wh7 Hdlumvw9Lhe4rDSa0czbZjd7JyaKaQisYb1SIIi7YAbuNXy8vzxsQaSMbNAFJg0LJdi1tzcN1iZc +I2mQ+5FKeFUowab81hLmTpLHtMqjMTFO4XoMRcZe2kiXkq5d3Kj1JP0OHBZsDjS3lL3fTh7DdX8 GWhMtKev09RFOyxb97pofX+3Vs8gMs35LwxX/IIObWE6hjObJJyG8kj+vVevegRx1LBRFci2kf/Z 2x9QSwMEFAAAAAgAh07iQAR/2o4OAgAAEQQAAA4AAABkcnMvZTJvRG9jLnhtbK1TzY7TMBC+I/EO lu80SSl/UdPVslUR0vIjLTyA6ziNReKxxm6T8gDwBnviwp3n6nMwdpKyLJc9cIkm9sw3833zeXnR tw07KHQaTMGzWcqZMhJKbXYF//xp8+QlZ84LU4oGjCr4UTl+sXr8aNnZXM2hhqZUyAjEuLyzBa+9 t3mSOFmrVrgZWGXosgJshadf3CUlio7Q2yaZp+nzpAMsLYJUztHperjkIyI+BBCqSku1BrlvlfED KqpGeKLkam0dX8Vpq0pJ/6GqnPKsKTgx9fFLTSjehm+yWop8h8LWWo4jiIeMcI9TK7ShpmeotfCC 7VH/A9VqieCg8jMJbTIQiYoQiyy9p81NLayKXEhqZ8+iu/8HK98fPiLTZcHnnBnR0sJPt99PP36d fn5j2YugT2ddTmk3lhJ9/xp6ck3k6uw1yC+OGbiqhdmpS0ToaiVKmi8Llcmd0gHHBZBt9w5KaiT2 HiJQX2EbxCM5GKHTbo7n3ajeMxlaZuniFd1IusqeZovFs9hB5FOxReffKGhZCAqOtPoILg7Xzodh RD6lhF4GNrpp4vob89cBJQ4nKvpnrA5UwvQDD99v+1GaLZRHIoUweIteFgU14FfOOvJVwQ09I86a t4ZkCRacApyC7RQII6mw4J6zIbzyg1X3FvWuJtxJ+EuSbqMjrTDYMMMoODklsh1dHax49z9m/XnJ q99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B3 BAAAW0NvbnRlbnRfVHlwZXNdLnhtbFBLAQIUAAoAAAAAAIdO4kAAAAAAAAAAAAAAAAAGAAAAAAAA AAAAEAAAAFkDAABfcmVscy9QSwECFAAUAAAACACHTuJAihRmPNEAAACUAQAACwAAAAAAAAABACAA AAB9AwAAX3JlbHMvLnJlbHNQSwECFAAKAAAAAACHTuJAAAAAAAAAAAAAAAAABAAAAAAAAAAAABAA AAAAAAAAZHJzL1BLAQIUABQAAAAIAIdO4kD8jhVP0AAAAAMBAAAPAAAAAAAAAAEAIAAAACIAAABk cnMvZG93bnJldi54bWxQSwECFAAUAAAACACHTuJABH/ajg4CAAARBAAADgAAAAAAAAABACAAAAAf AQAAZHJzL2Uyb0RvYy54bWxQSwUGAAAAAAYABgBZAQAAnwUAAAAA ">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6</w:t>
                    </w:r>
                    <w:r>
                      <w:rPr>
                        <w:rFonts w:hint="eastAsia"/>
                        <w:sz w:val="18"/>
                      </w:rPr>
                      <w:fldChar w:fldCharType="end"/>
                    </w:r>
                  </w:p>
                </w:txbxContent>
              </v:textbox>
            </v:shape>
          </w:pict>
        </mc:Fallback>
      </mc:AlternateContent>
    </w:r>
    <w:r>
      <w:rPr>
        <w:rStyle w:val="50"/>
        <w:rFonts w:hint="eastAsia"/>
      </w:rPr>
      <w:t xml:space="preserve"> </w:t>
    </w:r>
  </w:p>
  <w:p>
    <w:pPr>
      <w:pStyle w:val="28"/>
      <w:wordWrap w:val="0"/>
      <w:ind w:right="360"/>
      <w:jc w:val="right"/>
    </w:pPr>
    <w:r>
      <w:rPr>
        <w:rStyle w:val="50"/>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50"/>
      </w:rPr>
    </w:pPr>
    <w:r>
      <w:fldChar w:fldCharType="begin"/>
    </w:r>
    <w:r>
      <w:rPr>
        <w:rStyle w:val="50"/>
      </w:rPr>
      <w:instrText xml:space="preserve">PAGE  </w:instrText>
    </w:r>
    <w:r>
      <w:fldChar w:fldCharType="separate"/>
    </w:r>
    <w:r>
      <w:rPr>
        <w:rStyle w:val="50"/>
      </w:rPr>
      <w:t>- 38 -</w:t>
    </w:r>
    <w:r>
      <w:fldChar w:fldCharType="end"/>
    </w:r>
  </w:p>
  <w:p>
    <w:pPr>
      <w:pStyle w:val="2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rPr>
        <w:rStyle w:val="50"/>
        <w:lang/>
      </w:rPr>
      <w:t>20</w:t>
    </w:r>
    <w:r>
      <w:fldChar w:fldCharType="end"/>
    </w:r>
  </w:p>
  <w:p>
    <w:pPr>
      <w:pStyle w:val="28"/>
      <w:ind w:firstLine="180" w:firstLineChars="100"/>
      <w:rPr>
        <w:rFonts w:hint="eastAsia"/>
      </w:rPr>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separate"/>
    </w:r>
    <w:r>
      <w:rPr>
        <w:rStyle w:val="50"/>
      </w:rPr>
      <w:t>20</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90" w:firstLineChars="50"/>
      <w:jc w:val="both"/>
      <w:rPr>
        <w:rFonts w:hint="eastAsia"/>
      </w:rPr>
    </w:pPr>
    <w:r>
      <w:rPr>
        <w:rFonts w:hint="eastAsia"/>
      </w:rPr>
      <w:t xml:space="preserve">项目名称：                                              采购编号：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90" w:firstLineChars="50"/>
      <w:jc w:val="both"/>
      <w:rPr>
        <w:rFonts w:hint="eastAsia"/>
      </w:rPr>
    </w:pPr>
    <w:r>
      <w:rPr>
        <w:rFonts w:hint="eastAsia"/>
      </w:rPr>
      <w:t xml:space="preserve">项目名称：镇海炼化医院优质护理采购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A085A"/>
    <w:multiLevelType w:val="multilevel"/>
    <w:tmpl w:val="167A085A"/>
    <w:lvl w:ilvl="0" w:tentative="0">
      <w:start w:val="1"/>
      <w:numFmt w:val="decimal"/>
      <w:lvlText w:val="%1."/>
      <w:lvlJc w:val="left"/>
      <w:pPr>
        <w:tabs>
          <w:tab w:val="left" w:pos="549"/>
        </w:tabs>
        <w:ind w:left="549" w:hanging="360"/>
      </w:pPr>
    </w:lvl>
    <w:lvl w:ilvl="1" w:tentative="0">
      <w:start w:val="1"/>
      <w:numFmt w:val="decimal"/>
      <w:lvlText w:val="%2)"/>
      <w:lvlJc w:val="left"/>
      <w:pPr>
        <w:tabs>
          <w:tab w:val="left" w:pos="780"/>
        </w:tabs>
        <w:ind w:left="78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1952C6F"/>
    <w:multiLevelType w:val="singleLevel"/>
    <w:tmpl w:val="41952C6F"/>
    <w:lvl w:ilvl="0" w:tentative="0">
      <w:start w:val="1"/>
      <w:numFmt w:val="decimal"/>
      <w:lvlText w:val="%1．"/>
      <w:lvlJc w:val="left"/>
      <w:pPr>
        <w:tabs>
          <w:tab w:val="left" w:pos="840"/>
        </w:tabs>
        <w:ind w:left="840" w:hanging="360"/>
      </w:pPr>
      <w:rPr>
        <w:rFonts w:hint="eastAsia"/>
      </w:rPr>
    </w:lvl>
  </w:abstractNum>
  <w:abstractNum w:abstractNumId="2">
    <w:nsid w:val="55293BD6"/>
    <w:multiLevelType w:val="multilevel"/>
    <w:tmpl w:val="55293BD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3">
    <w:nsid w:val="5942235A"/>
    <w:multiLevelType w:val="singleLevel"/>
    <w:tmpl w:val="5942235A"/>
    <w:lvl w:ilvl="0" w:tentative="0">
      <w:start w:val="21"/>
      <w:numFmt w:val="decimal"/>
      <w:suff w:val="nothing"/>
      <w:lvlText w:val="%1."/>
      <w:lvlJc w:val="left"/>
    </w:lvl>
  </w:abstractNum>
  <w:num w:numId="1">
    <w:abstractNumId w:val="3"/>
  </w:num>
  <w:num w:numId="2">
    <w:abstractNumId w:val="0"/>
    <w:lvlOverride w:ilvl="0">
      <w:startOverride w:val="1"/>
    </w:lvlOverride>
  </w:num>
  <w:num w:numId="3">
    <w:abstractNumId w:val="0"/>
    <w:lvlOverride w:ilvl="0">
      <w:startOverride w:val="0"/>
    </w:lvlOverride>
    <w:lvlOverride w:ilvl="1">
      <w:startOverride w:val="1"/>
    </w:lvlOverride>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DFE"/>
    <w:rsid w:val="000059A1"/>
    <w:rsid w:val="00016AA1"/>
    <w:rsid w:val="00023B07"/>
    <w:rsid w:val="00042907"/>
    <w:rsid w:val="00045859"/>
    <w:rsid w:val="000478C5"/>
    <w:rsid w:val="00052424"/>
    <w:rsid w:val="00085D50"/>
    <w:rsid w:val="000A5D06"/>
    <w:rsid w:val="000D3BCB"/>
    <w:rsid w:val="000E2824"/>
    <w:rsid w:val="00104E18"/>
    <w:rsid w:val="00150682"/>
    <w:rsid w:val="00153F77"/>
    <w:rsid w:val="00155095"/>
    <w:rsid w:val="00163FD0"/>
    <w:rsid w:val="00183A32"/>
    <w:rsid w:val="00190FD3"/>
    <w:rsid w:val="001A4CC0"/>
    <w:rsid w:val="001A4FC1"/>
    <w:rsid w:val="001D3DC2"/>
    <w:rsid w:val="001D4ED3"/>
    <w:rsid w:val="001D58DA"/>
    <w:rsid w:val="001E2CB9"/>
    <w:rsid w:val="001F01E3"/>
    <w:rsid w:val="00213BB7"/>
    <w:rsid w:val="00232571"/>
    <w:rsid w:val="00267C7E"/>
    <w:rsid w:val="00276E8B"/>
    <w:rsid w:val="002E0C50"/>
    <w:rsid w:val="00303A6F"/>
    <w:rsid w:val="00330A9D"/>
    <w:rsid w:val="00332059"/>
    <w:rsid w:val="00335125"/>
    <w:rsid w:val="003360DB"/>
    <w:rsid w:val="003457EE"/>
    <w:rsid w:val="00360741"/>
    <w:rsid w:val="00390232"/>
    <w:rsid w:val="003A694D"/>
    <w:rsid w:val="003C4C68"/>
    <w:rsid w:val="003E2939"/>
    <w:rsid w:val="003F0806"/>
    <w:rsid w:val="003F0D65"/>
    <w:rsid w:val="003F136C"/>
    <w:rsid w:val="003F79B5"/>
    <w:rsid w:val="0040414C"/>
    <w:rsid w:val="0040461F"/>
    <w:rsid w:val="00410BCD"/>
    <w:rsid w:val="004131CA"/>
    <w:rsid w:val="00426A40"/>
    <w:rsid w:val="00427E96"/>
    <w:rsid w:val="004457E8"/>
    <w:rsid w:val="00450CC6"/>
    <w:rsid w:val="004531C2"/>
    <w:rsid w:val="00464BCD"/>
    <w:rsid w:val="004D5C3F"/>
    <w:rsid w:val="004D692A"/>
    <w:rsid w:val="004E4A07"/>
    <w:rsid w:val="004E7514"/>
    <w:rsid w:val="004F7E8E"/>
    <w:rsid w:val="004F7FDF"/>
    <w:rsid w:val="0050156B"/>
    <w:rsid w:val="0052195E"/>
    <w:rsid w:val="00540D60"/>
    <w:rsid w:val="005575ED"/>
    <w:rsid w:val="00560B94"/>
    <w:rsid w:val="005617A8"/>
    <w:rsid w:val="00577329"/>
    <w:rsid w:val="005803B4"/>
    <w:rsid w:val="00591276"/>
    <w:rsid w:val="005920CB"/>
    <w:rsid w:val="005A504A"/>
    <w:rsid w:val="005A5611"/>
    <w:rsid w:val="005B4244"/>
    <w:rsid w:val="005B660B"/>
    <w:rsid w:val="005E10E9"/>
    <w:rsid w:val="00617C8D"/>
    <w:rsid w:val="0062005B"/>
    <w:rsid w:val="00623477"/>
    <w:rsid w:val="00636FFB"/>
    <w:rsid w:val="00647548"/>
    <w:rsid w:val="00656A3E"/>
    <w:rsid w:val="00664712"/>
    <w:rsid w:val="00664B54"/>
    <w:rsid w:val="00666C9B"/>
    <w:rsid w:val="006826A6"/>
    <w:rsid w:val="0069307C"/>
    <w:rsid w:val="006968D7"/>
    <w:rsid w:val="006B0050"/>
    <w:rsid w:val="006C33DA"/>
    <w:rsid w:val="006D0867"/>
    <w:rsid w:val="006D21D2"/>
    <w:rsid w:val="006E183A"/>
    <w:rsid w:val="006E4D77"/>
    <w:rsid w:val="006E78D2"/>
    <w:rsid w:val="00710283"/>
    <w:rsid w:val="00726EFA"/>
    <w:rsid w:val="00730C2C"/>
    <w:rsid w:val="00731F5F"/>
    <w:rsid w:val="00736D63"/>
    <w:rsid w:val="00740393"/>
    <w:rsid w:val="00743DCD"/>
    <w:rsid w:val="00762009"/>
    <w:rsid w:val="0077058D"/>
    <w:rsid w:val="0077543A"/>
    <w:rsid w:val="00777303"/>
    <w:rsid w:val="00785C03"/>
    <w:rsid w:val="00787A82"/>
    <w:rsid w:val="00787AFB"/>
    <w:rsid w:val="00790B6E"/>
    <w:rsid w:val="007A6A85"/>
    <w:rsid w:val="007B0CA5"/>
    <w:rsid w:val="007B203C"/>
    <w:rsid w:val="007E5DFD"/>
    <w:rsid w:val="007F0354"/>
    <w:rsid w:val="007F0BFF"/>
    <w:rsid w:val="0081231C"/>
    <w:rsid w:val="00827C5E"/>
    <w:rsid w:val="00835715"/>
    <w:rsid w:val="0084274E"/>
    <w:rsid w:val="008516F0"/>
    <w:rsid w:val="00863609"/>
    <w:rsid w:val="00864CFD"/>
    <w:rsid w:val="008669B4"/>
    <w:rsid w:val="00867275"/>
    <w:rsid w:val="008759C4"/>
    <w:rsid w:val="0088199A"/>
    <w:rsid w:val="00885DF2"/>
    <w:rsid w:val="00892B7F"/>
    <w:rsid w:val="008C0AC2"/>
    <w:rsid w:val="008C7A35"/>
    <w:rsid w:val="008D0660"/>
    <w:rsid w:val="008E24F6"/>
    <w:rsid w:val="00903D88"/>
    <w:rsid w:val="00907709"/>
    <w:rsid w:val="00910301"/>
    <w:rsid w:val="00913353"/>
    <w:rsid w:val="00917B42"/>
    <w:rsid w:val="00923F0E"/>
    <w:rsid w:val="00924B1A"/>
    <w:rsid w:val="009277A1"/>
    <w:rsid w:val="00931B92"/>
    <w:rsid w:val="00936F10"/>
    <w:rsid w:val="009437C5"/>
    <w:rsid w:val="00961908"/>
    <w:rsid w:val="00965637"/>
    <w:rsid w:val="0096636B"/>
    <w:rsid w:val="00970AA1"/>
    <w:rsid w:val="00986EF9"/>
    <w:rsid w:val="009876B2"/>
    <w:rsid w:val="009A4416"/>
    <w:rsid w:val="009A72D6"/>
    <w:rsid w:val="009E0821"/>
    <w:rsid w:val="009E2B51"/>
    <w:rsid w:val="009E3C33"/>
    <w:rsid w:val="009E6941"/>
    <w:rsid w:val="00A0129F"/>
    <w:rsid w:val="00A04C9E"/>
    <w:rsid w:val="00A21424"/>
    <w:rsid w:val="00A40B81"/>
    <w:rsid w:val="00A43D09"/>
    <w:rsid w:val="00A51DF4"/>
    <w:rsid w:val="00A5643D"/>
    <w:rsid w:val="00A60E90"/>
    <w:rsid w:val="00A6219F"/>
    <w:rsid w:val="00A80C86"/>
    <w:rsid w:val="00AA1182"/>
    <w:rsid w:val="00AA1626"/>
    <w:rsid w:val="00AB6993"/>
    <w:rsid w:val="00AC770F"/>
    <w:rsid w:val="00AF231F"/>
    <w:rsid w:val="00B01EC4"/>
    <w:rsid w:val="00B0318A"/>
    <w:rsid w:val="00B131AD"/>
    <w:rsid w:val="00B20A86"/>
    <w:rsid w:val="00B23E74"/>
    <w:rsid w:val="00B432EE"/>
    <w:rsid w:val="00B43888"/>
    <w:rsid w:val="00B449C6"/>
    <w:rsid w:val="00B744C5"/>
    <w:rsid w:val="00B75078"/>
    <w:rsid w:val="00B777DA"/>
    <w:rsid w:val="00B80844"/>
    <w:rsid w:val="00B8356F"/>
    <w:rsid w:val="00B94110"/>
    <w:rsid w:val="00B969A5"/>
    <w:rsid w:val="00BB487A"/>
    <w:rsid w:val="00BD4E5C"/>
    <w:rsid w:val="00BE1910"/>
    <w:rsid w:val="00BE4CDA"/>
    <w:rsid w:val="00BF6EF1"/>
    <w:rsid w:val="00BF734A"/>
    <w:rsid w:val="00C06118"/>
    <w:rsid w:val="00C23475"/>
    <w:rsid w:val="00C401C4"/>
    <w:rsid w:val="00C42080"/>
    <w:rsid w:val="00CC7E7A"/>
    <w:rsid w:val="00CD5A47"/>
    <w:rsid w:val="00CE6A63"/>
    <w:rsid w:val="00D02D45"/>
    <w:rsid w:val="00D04485"/>
    <w:rsid w:val="00D04AB2"/>
    <w:rsid w:val="00D12FC7"/>
    <w:rsid w:val="00D208C9"/>
    <w:rsid w:val="00D22093"/>
    <w:rsid w:val="00D64065"/>
    <w:rsid w:val="00D76A72"/>
    <w:rsid w:val="00DA7C0E"/>
    <w:rsid w:val="00DB5AE3"/>
    <w:rsid w:val="00DC12F5"/>
    <w:rsid w:val="00DC2B4B"/>
    <w:rsid w:val="00DC60C7"/>
    <w:rsid w:val="00DF2BA0"/>
    <w:rsid w:val="00DF769E"/>
    <w:rsid w:val="00E05A11"/>
    <w:rsid w:val="00E07C81"/>
    <w:rsid w:val="00E2126A"/>
    <w:rsid w:val="00E2465E"/>
    <w:rsid w:val="00E34A60"/>
    <w:rsid w:val="00E42E7B"/>
    <w:rsid w:val="00E53C5F"/>
    <w:rsid w:val="00E5677A"/>
    <w:rsid w:val="00E60610"/>
    <w:rsid w:val="00E96262"/>
    <w:rsid w:val="00EB32E1"/>
    <w:rsid w:val="00EC5B60"/>
    <w:rsid w:val="00ED57F4"/>
    <w:rsid w:val="00EE05D5"/>
    <w:rsid w:val="00EE5AE5"/>
    <w:rsid w:val="00EE64F0"/>
    <w:rsid w:val="00EF2CAE"/>
    <w:rsid w:val="00F106A5"/>
    <w:rsid w:val="00F3091B"/>
    <w:rsid w:val="00F322CB"/>
    <w:rsid w:val="00F40443"/>
    <w:rsid w:val="00F40C1D"/>
    <w:rsid w:val="00F53533"/>
    <w:rsid w:val="00F63376"/>
    <w:rsid w:val="00FA3788"/>
    <w:rsid w:val="00FA60CB"/>
    <w:rsid w:val="00FD793E"/>
    <w:rsid w:val="00FE4079"/>
    <w:rsid w:val="01B657F8"/>
    <w:rsid w:val="08820D6E"/>
    <w:rsid w:val="10472EC0"/>
    <w:rsid w:val="202B1A2A"/>
    <w:rsid w:val="208737D3"/>
    <w:rsid w:val="3B372668"/>
    <w:rsid w:val="3B645B25"/>
    <w:rsid w:val="3EA03696"/>
    <w:rsid w:val="45D403F4"/>
    <w:rsid w:val="47022542"/>
    <w:rsid w:val="4AED67BA"/>
    <w:rsid w:val="5149682C"/>
    <w:rsid w:val="550F4FFD"/>
    <w:rsid w:val="5D7345DE"/>
    <w:rsid w:val="5DD01179"/>
    <w:rsid w:val="697A16F7"/>
    <w:rsid w:val="723B128A"/>
    <w:rsid w:val="72422184"/>
    <w:rsid w:val="75D266FB"/>
    <w:rsid w:val="7C4B07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70"/>
    <w:qFormat/>
    <w:uiPriority w:val="0"/>
    <w:pPr>
      <w:keepNext/>
      <w:keepLines/>
      <w:spacing w:before="260" w:beforeLines="0" w:after="260" w:afterLines="0" w:line="413" w:lineRule="auto"/>
      <w:outlineLvl w:val="2"/>
    </w:pPr>
    <w:rPr>
      <w:b/>
      <w:bCs/>
      <w:sz w:val="32"/>
      <w:szCs w:val="32"/>
    </w:rPr>
  </w:style>
  <w:style w:type="paragraph" w:styleId="5">
    <w:name w:val="heading 4"/>
    <w:basedOn w:val="1"/>
    <w:next w:val="6"/>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paragraph" w:styleId="7">
    <w:name w:val="heading 5"/>
    <w:basedOn w:val="1"/>
    <w:next w:val="6"/>
    <w:qFormat/>
    <w:uiPriority w:val="0"/>
    <w:pPr>
      <w:keepNext/>
      <w:widowControl w:val="0"/>
      <w:autoSpaceDE w:val="0"/>
      <w:autoSpaceDN w:val="0"/>
      <w:adjustRightInd w:val="0"/>
      <w:snapToGrid w:val="0"/>
      <w:spacing w:before="280" w:beforeLines="0" w:after="290" w:afterLines="0" w:line="372" w:lineRule="auto"/>
      <w:jc w:val="both"/>
      <w:outlineLvl w:val="4"/>
    </w:pPr>
    <w:rPr>
      <w:rFonts w:ascii="宋体" w:cs="宋体"/>
      <w:b/>
      <w:color w:val="000000"/>
      <w:sz w:val="28"/>
    </w:rPr>
  </w:style>
  <w:style w:type="paragraph" w:styleId="8">
    <w:name w:val="heading 6"/>
    <w:basedOn w:val="1"/>
    <w:next w:val="6"/>
    <w:qFormat/>
    <w:uiPriority w:val="0"/>
    <w:pPr>
      <w:keepNext/>
      <w:widowControl w:val="0"/>
      <w:autoSpaceDE w:val="0"/>
      <w:autoSpaceDN w:val="0"/>
      <w:adjustRightInd w:val="0"/>
      <w:snapToGrid w:val="0"/>
      <w:spacing w:before="240" w:beforeLines="0" w:after="64" w:afterLines="0" w:line="317" w:lineRule="auto"/>
      <w:jc w:val="both"/>
      <w:outlineLvl w:val="5"/>
    </w:pPr>
    <w:rPr>
      <w:rFonts w:ascii="Arial" w:hAnsi="Arial" w:eastAsia="黑体"/>
      <w:b/>
      <w:color w:val="000000"/>
      <w:sz w:val="24"/>
    </w:rPr>
  </w:style>
  <w:style w:type="paragraph" w:styleId="9">
    <w:name w:val="heading 7"/>
    <w:basedOn w:val="1"/>
    <w:next w:val="6"/>
    <w:qFormat/>
    <w:uiPriority w:val="0"/>
    <w:pPr>
      <w:keepNext/>
      <w:widowControl w:val="0"/>
      <w:autoSpaceDE w:val="0"/>
      <w:autoSpaceDN w:val="0"/>
      <w:adjustRightInd w:val="0"/>
      <w:snapToGrid w:val="0"/>
      <w:spacing w:before="240" w:beforeLines="0" w:after="64" w:afterLines="0" w:line="317" w:lineRule="auto"/>
      <w:jc w:val="both"/>
      <w:outlineLvl w:val="6"/>
    </w:pPr>
    <w:rPr>
      <w:rFonts w:ascii="宋体"/>
      <w:b/>
      <w:color w:val="000000"/>
      <w:sz w:val="24"/>
    </w:rPr>
  </w:style>
  <w:style w:type="paragraph" w:styleId="10">
    <w:name w:val="heading 8"/>
    <w:basedOn w:val="1"/>
    <w:next w:val="6"/>
    <w:qFormat/>
    <w:uiPriority w:val="0"/>
    <w:pPr>
      <w:keepNext/>
      <w:widowControl w:val="0"/>
      <w:autoSpaceDE w:val="0"/>
      <w:autoSpaceDN w:val="0"/>
      <w:adjustRightInd w:val="0"/>
      <w:snapToGrid w:val="0"/>
      <w:spacing w:before="240" w:beforeLines="0" w:after="64" w:afterLines="0" w:line="317" w:lineRule="auto"/>
      <w:jc w:val="both"/>
      <w:outlineLvl w:val="7"/>
    </w:pPr>
    <w:rPr>
      <w:rFonts w:ascii="Arial" w:hAnsi="Arial" w:eastAsia="黑体"/>
      <w:color w:val="000000"/>
      <w:sz w:val="24"/>
    </w:rPr>
  </w:style>
  <w:style w:type="paragraph" w:styleId="11">
    <w:name w:val="heading 9"/>
    <w:basedOn w:val="1"/>
    <w:next w:val="6"/>
    <w:qFormat/>
    <w:uiPriority w:val="0"/>
    <w:pPr>
      <w:keepNext/>
      <w:widowControl w:val="0"/>
      <w:autoSpaceDE w:val="0"/>
      <w:autoSpaceDN w:val="0"/>
      <w:adjustRightInd w:val="0"/>
      <w:snapToGrid w:val="0"/>
      <w:spacing w:before="240" w:beforeLines="0" w:after="64" w:afterLines="0" w:line="317" w:lineRule="auto"/>
      <w:jc w:val="both"/>
      <w:outlineLvl w:val="8"/>
    </w:pPr>
    <w:rPr>
      <w:rFonts w:ascii="Arial" w:hAnsi="Arial" w:eastAsia="黑体"/>
      <w:color w:val="000000"/>
    </w:rPr>
  </w:style>
  <w:style w:type="character" w:default="1" w:styleId="48">
    <w:name w:val="Default Paragraph Font"/>
    <w:uiPriority w:val="0"/>
  </w:style>
  <w:style w:type="table" w:default="1" w:styleId="45">
    <w:name w:val="Normal Table"/>
    <w:unhideWhenUsed/>
    <w:uiPriority w:val="99"/>
    <w:tblPr>
      <w:tblStyle w:val="45"/>
      <w:tblCellMar>
        <w:top w:w="0" w:type="dxa"/>
        <w:left w:w="108" w:type="dxa"/>
        <w:bottom w:w="0" w:type="dxa"/>
        <w:right w:w="108" w:type="dxa"/>
      </w:tblCellMar>
    </w:tblPr>
  </w:style>
  <w:style w:type="paragraph" w:styleId="6">
    <w:name w:val="Normal Indent"/>
    <w:basedOn w:val="1"/>
    <w:link w:val="55"/>
    <w:uiPriority w:val="0"/>
    <w:pPr>
      <w:ind w:firstLine="420"/>
    </w:pPr>
  </w:style>
  <w:style w:type="paragraph" w:styleId="12">
    <w:name w:val="toc 7"/>
    <w:basedOn w:val="1"/>
    <w:next w:val="1"/>
    <w:uiPriority w:val="0"/>
    <w:pPr>
      <w:ind w:left="1260"/>
    </w:pPr>
    <w:rPr>
      <w:sz w:val="18"/>
      <w:szCs w:val="18"/>
    </w:rPr>
  </w:style>
  <w:style w:type="paragraph" w:styleId="13">
    <w:name w:val="List Number"/>
    <w:basedOn w:val="1"/>
    <w:uiPriority w:val="0"/>
    <w:pPr>
      <w:tabs>
        <w:tab w:val="left" w:pos="454"/>
        <w:tab w:val="left" w:pos="720"/>
      </w:tabs>
      <w:spacing w:after="156" w:afterLines="50"/>
      <w:ind w:left="454" w:hanging="284"/>
    </w:pPr>
    <w:rPr>
      <w:sz w:val="24"/>
    </w:rPr>
  </w:style>
  <w:style w:type="paragraph" w:styleId="14">
    <w:name w:val="caption"/>
    <w:basedOn w:val="1"/>
    <w:next w:val="1"/>
    <w:qFormat/>
    <w:uiPriority w:val="0"/>
    <w:pPr>
      <w:widowControl w:val="0"/>
      <w:jc w:val="both"/>
    </w:pPr>
    <w:rPr>
      <w:rFonts w:ascii="Arial" w:hAnsi="Arial" w:eastAsia="黑体" w:cs="Arial"/>
      <w:kern w:val="2"/>
      <w:sz w:val="20"/>
    </w:rPr>
  </w:style>
  <w:style w:type="paragraph" w:styleId="15">
    <w:name w:val="Document Map"/>
    <w:basedOn w:val="1"/>
    <w:uiPriority w:val="0"/>
    <w:pPr>
      <w:widowControl w:val="0"/>
      <w:shd w:val="clear" w:color="auto" w:fill="000080"/>
      <w:jc w:val="both"/>
    </w:pPr>
    <w:rPr>
      <w:kern w:val="2"/>
    </w:rPr>
  </w:style>
  <w:style w:type="paragraph" w:styleId="16">
    <w:name w:val="annotation text"/>
    <w:basedOn w:val="1"/>
    <w:uiPriority w:val="0"/>
  </w:style>
  <w:style w:type="paragraph" w:styleId="17">
    <w:name w:val="Body Text 3"/>
    <w:basedOn w:val="1"/>
    <w:uiPriority w:val="0"/>
    <w:pPr>
      <w:spacing w:after="120" w:afterLines="0"/>
    </w:pPr>
    <w:rPr>
      <w:sz w:val="16"/>
      <w:szCs w:val="16"/>
    </w:rPr>
  </w:style>
  <w:style w:type="paragraph" w:styleId="18">
    <w:name w:val="Body Text"/>
    <w:basedOn w:val="1"/>
    <w:uiPriority w:val="0"/>
    <w:pPr>
      <w:spacing w:after="120" w:afterLines="0"/>
    </w:pPr>
  </w:style>
  <w:style w:type="paragraph" w:styleId="19">
    <w:name w:val="Body Text Indent"/>
    <w:basedOn w:val="1"/>
    <w:uiPriority w:val="0"/>
    <w:pPr>
      <w:spacing w:after="120" w:afterLines="0"/>
      <w:ind w:left="420" w:leftChars="200"/>
    </w:pPr>
  </w:style>
  <w:style w:type="paragraph" w:styleId="20">
    <w:name w:val="List 2"/>
    <w:basedOn w:val="1"/>
    <w:uiPriority w:val="0"/>
    <w:pPr>
      <w:ind w:left="100" w:leftChars="200" w:hanging="200" w:hangingChars="200"/>
    </w:pPr>
  </w:style>
  <w:style w:type="paragraph" w:styleId="21">
    <w:name w:val="toc 5"/>
    <w:basedOn w:val="1"/>
    <w:next w:val="1"/>
    <w:uiPriority w:val="0"/>
    <w:pPr>
      <w:ind w:left="840"/>
    </w:pPr>
    <w:rPr>
      <w:sz w:val="18"/>
      <w:szCs w:val="18"/>
    </w:rPr>
  </w:style>
  <w:style w:type="paragraph" w:styleId="22">
    <w:name w:val="toc 3"/>
    <w:basedOn w:val="1"/>
    <w:next w:val="1"/>
    <w:uiPriority w:val="0"/>
    <w:pPr>
      <w:ind w:left="420"/>
    </w:pPr>
    <w:rPr>
      <w:i/>
      <w:iCs/>
      <w:sz w:val="20"/>
    </w:rPr>
  </w:style>
  <w:style w:type="paragraph" w:styleId="23">
    <w:name w:val="Plain Text"/>
    <w:basedOn w:val="1"/>
    <w:link w:val="61"/>
    <w:uiPriority w:val="0"/>
    <w:rPr>
      <w:rFonts w:ascii="宋体" w:hAnsi="Courier New" w:cs="Courier New"/>
      <w:szCs w:val="21"/>
    </w:rPr>
  </w:style>
  <w:style w:type="paragraph" w:styleId="24">
    <w:name w:val="toc 8"/>
    <w:basedOn w:val="1"/>
    <w:next w:val="1"/>
    <w:uiPriority w:val="0"/>
    <w:pPr>
      <w:ind w:left="1470"/>
    </w:pPr>
    <w:rPr>
      <w:sz w:val="18"/>
      <w:szCs w:val="18"/>
    </w:rPr>
  </w:style>
  <w:style w:type="paragraph" w:styleId="25">
    <w:name w:val="Date"/>
    <w:basedOn w:val="1"/>
    <w:next w:val="1"/>
    <w:uiPriority w:val="0"/>
    <w:pPr>
      <w:ind w:left="100" w:leftChars="2500"/>
    </w:pPr>
  </w:style>
  <w:style w:type="paragraph" w:styleId="26">
    <w:name w:val="Body Text Indent 2"/>
    <w:basedOn w:val="1"/>
    <w:uiPriority w:val="0"/>
    <w:pPr>
      <w:spacing w:after="120" w:afterLines="0" w:line="480" w:lineRule="auto"/>
      <w:ind w:left="420" w:leftChars="200"/>
    </w:pPr>
  </w:style>
  <w:style w:type="paragraph" w:styleId="27">
    <w:name w:val="Balloon Text"/>
    <w:basedOn w:val="1"/>
    <w:link w:val="71"/>
    <w:uiPriority w:val="0"/>
    <w:rPr>
      <w:sz w:val="18"/>
      <w:szCs w:val="18"/>
    </w:rPr>
  </w:style>
  <w:style w:type="paragraph" w:styleId="28">
    <w:name w:val="footer"/>
    <w:basedOn w:val="1"/>
    <w:link w:val="59"/>
    <w:uiPriority w:val="0"/>
    <w:pPr>
      <w:tabs>
        <w:tab w:val="center" w:pos="4153"/>
        <w:tab w:val="right" w:pos="8306"/>
      </w:tabs>
      <w:snapToGrid w:val="0"/>
    </w:pPr>
    <w:rPr>
      <w:sz w:val="18"/>
    </w:rPr>
  </w:style>
  <w:style w:type="paragraph" w:styleId="29">
    <w:name w:val="header"/>
    <w:basedOn w:val="1"/>
    <w:link w:val="54"/>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tabs>
        <w:tab w:val="right" w:leader="dot" w:pos="9628"/>
      </w:tabs>
      <w:spacing w:before="120" w:beforeLines="0" w:after="120" w:afterLines="0"/>
    </w:pPr>
    <w:rPr>
      <w:b/>
      <w:bCs/>
      <w:caps/>
      <w:sz w:val="30"/>
    </w:rPr>
  </w:style>
  <w:style w:type="paragraph" w:styleId="31">
    <w:name w:val="toc 4"/>
    <w:basedOn w:val="1"/>
    <w:next w:val="1"/>
    <w:uiPriority w:val="0"/>
    <w:pPr>
      <w:ind w:left="630"/>
    </w:pPr>
    <w:rPr>
      <w:sz w:val="18"/>
      <w:szCs w:val="18"/>
    </w:rPr>
  </w:style>
  <w:style w:type="paragraph" w:styleId="32">
    <w:name w:val="index heading"/>
    <w:basedOn w:val="1"/>
    <w:next w:val="33"/>
    <w:uiPriority w:val="0"/>
    <w:pPr>
      <w:widowControl w:val="0"/>
      <w:jc w:val="both"/>
    </w:pPr>
    <w:rPr>
      <w:kern w:val="2"/>
    </w:rPr>
  </w:style>
  <w:style w:type="paragraph" w:styleId="33">
    <w:name w:val="index 1"/>
    <w:basedOn w:val="1"/>
    <w:next w:val="1"/>
    <w:uiPriority w:val="0"/>
    <w:pPr>
      <w:widowControl w:val="0"/>
      <w:spacing w:line="360" w:lineRule="auto"/>
      <w:ind w:left="542" w:hanging="542" w:hangingChars="257"/>
      <w:jc w:val="center"/>
    </w:pPr>
    <w:rPr>
      <w:rFonts w:ascii="宋体" w:hAnsi="宋体"/>
      <w:b/>
      <w:bCs/>
      <w:color w:val="000000"/>
      <w:kern w:val="2"/>
      <w:szCs w:val="21"/>
    </w:rPr>
  </w:style>
  <w:style w:type="paragraph" w:styleId="34">
    <w:name w:val="List"/>
    <w:basedOn w:val="1"/>
    <w:uiPriority w:val="0"/>
    <w:pPr>
      <w:ind w:left="200" w:hanging="200" w:hangingChars="200"/>
    </w:pPr>
  </w:style>
  <w:style w:type="paragraph" w:styleId="35">
    <w:name w:val="toc 6"/>
    <w:basedOn w:val="1"/>
    <w:next w:val="1"/>
    <w:uiPriority w:val="0"/>
    <w:pPr>
      <w:ind w:left="1050"/>
    </w:pPr>
    <w:rPr>
      <w:sz w:val="18"/>
      <w:szCs w:val="18"/>
    </w:rPr>
  </w:style>
  <w:style w:type="paragraph" w:styleId="36">
    <w:name w:val="Body Text Indent 3"/>
    <w:basedOn w:val="1"/>
    <w:uiPriority w:val="0"/>
    <w:pPr>
      <w:spacing w:after="120" w:afterLines="0"/>
      <w:ind w:left="420" w:leftChars="200"/>
    </w:pPr>
    <w:rPr>
      <w:sz w:val="16"/>
      <w:szCs w:val="16"/>
    </w:rPr>
  </w:style>
  <w:style w:type="paragraph" w:styleId="37">
    <w:name w:val="toc 2"/>
    <w:basedOn w:val="1"/>
    <w:next w:val="1"/>
    <w:uiPriority w:val="39"/>
    <w:pPr>
      <w:ind w:left="210"/>
    </w:pPr>
    <w:rPr>
      <w:smallCaps/>
      <w:sz w:val="20"/>
    </w:rPr>
  </w:style>
  <w:style w:type="paragraph" w:styleId="38">
    <w:name w:val="toc 9"/>
    <w:basedOn w:val="1"/>
    <w:next w:val="1"/>
    <w:uiPriority w:val="0"/>
    <w:pPr>
      <w:ind w:left="1680"/>
    </w:pPr>
    <w:rPr>
      <w:sz w:val="18"/>
      <w:szCs w:val="18"/>
    </w:rPr>
  </w:style>
  <w:style w:type="paragraph" w:styleId="39">
    <w:name w:val="Body Text 2"/>
    <w:basedOn w:val="1"/>
    <w:uiPriority w:val="0"/>
    <w:pPr>
      <w:spacing w:after="120" w:afterLines="0" w:line="480" w:lineRule="auto"/>
    </w:pPr>
  </w:style>
  <w:style w:type="paragraph" w:styleId="40">
    <w:name w:val="HTML Preformatted"/>
    <w:basedOn w:val="1"/>
    <w:link w:val="179"/>
    <w:uiPriority w:val="99"/>
    <w:rPr>
      <w:rFonts w:ascii="黑体" w:hAnsi="Courier New" w:eastAsia="黑体" w:cs="Courier New"/>
      <w:sz w:val="20"/>
      <w:szCs w:val="21"/>
    </w:rPr>
  </w:style>
  <w:style w:type="paragraph" w:styleId="41">
    <w:name w:val="Normal (Web)"/>
    <w:basedOn w:val="1"/>
    <w:uiPriority w:val="99"/>
    <w:pPr>
      <w:spacing w:before="100" w:beforeLines="0" w:beforeAutospacing="1" w:after="100" w:afterLines="0" w:afterAutospacing="1"/>
    </w:pPr>
    <w:rPr>
      <w:rFonts w:ascii="宋体" w:hAnsi="宋体" w:cs="宋体"/>
      <w:sz w:val="24"/>
      <w:szCs w:val="24"/>
    </w:rPr>
  </w:style>
  <w:style w:type="paragraph" w:styleId="42">
    <w:name w:val="Title"/>
    <w:basedOn w:val="1"/>
    <w:qFormat/>
    <w:uiPriority w:val="0"/>
    <w:pPr>
      <w:widowControl w:val="0"/>
      <w:spacing w:before="240" w:beforeLines="0" w:after="60" w:afterLines="0"/>
      <w:jc w:val="center"/>
      <w:outlineLvl w:val="0"/>
    </w:pPr>
    <w:rPr>
      <w:rFonts w:ascii="Arial" w:hAnsi="Arial" w:eastAsia="隶书"/>
      <w:b/>
      <w:kern w:val="2"/>
      <w:sz w:val="32"/>
    </w:rPr>
  </w:style>
  <w:style w:type="paragraph" w:styleId="43">
    <w:name w:val="annotation subject"/>
    <w:basedOn w:val="16"/>
    <w:next w:val="16"/>
    <w:uiPriority w:val="0"/>
    <w:rPr>
      <w:b/>
      <w:bCs/>
    </w:rPr>
  </w:style>
  <w:style w:type="paragraph" w:styleId="44">
    <w:name w:val="Body Text First Indent 2"/>
    <w:basedOn w:val="19"/>
    <w:uiPriority w:val="0"/>
    <w:pPr>
      <w:widowControl w:val="0"/>
      <w:ind w:firstLine="420" w:firstLineChars="200"/>
      <w:jc w:val="both"/>
    </w:pPr>
    <w:rPr>
      <w:kern w:val="2"/>
    </w:rPr>
  </w:style>
  <w:style w:type="table" w:styleId="46">
    <w:name w:val="Table Grid"/>
    <w:basedOn w:val="45"/>
    <w:uiPriority w:val="0"/>
    <w:pPr>
      <w:widowControl w:val="0"/>
      <w:jc w:val="both"/>
    </w:pPr>
    <w:tblPr>
      <w:tblStyle w:val="4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Grid 1"/>
    <w:basedOn w:val="45"/>
    <w:uiPriority w:val="0"/>
    <w:pPr>
      <w:widowControl w:val="0"/>
      <w:jc w:val="both"/>
    </w:pPr>
    <w:tblPr>
      <w:tblStyle w:val="45"/>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45"/>
      </w:tblPr>
      <w:tcPr>
        <w:tcBorders>
          <w:top w:val="nil"/>
          <w:left w:val="nil"/>
          <w:bottom w:val="nil"/>
          <w:right w:val="nil"/>
          <w:insideH w:val="nil"/>
          <w:insideV w:val="nil"/>
          <w:tl2br w:val="nil"/>
          <w:tr2bl w:val="nil"/>
        </w:tcBorders>
      </w:tcPr>
    </w:tblStylePr>
    <w:tblStylePr w:type="lastCol">
      <w:rPr>
        <w:i/>
        <w:iCs/>
      </w:rPr>
      <w:tblPr>
        <w:tblStyle w:val="45"/>
      </w:tblPr>
      <w:tcPr>
        <w:tcBorders>
          <w:top w:val="nil"/>
          <w:left w:val="nil"/>
          <w:bottom w:val="nil"/>
          <w:right w:val="nil"/>
          <w:insideH w:val="nil"/>
          <w:insideV w:val="nil"/>
          <w:tl2br w:val="nil"/>
          <w:tr2bl w:val="nil"/>
        </w:tcBorders>
      </w:tcPr>
    </w:tblStylePr>
    <w:tblStylePr w:type="nwCell">
      <w:tblPr>
        <w:tblStyle w:val="45"/>
      </w:tblPr>
      <w:tcPr>
        <w:tcBorders>
          <w:top w:val="nil"/>
          <w:left w:val="nil"/>
          <w:bottom w:val="nil"/>
          <w:right w:val="nil"/>
          <w:insideH w:val="nil"/>
          <w:insideV w:val="nil"/>
          <w:tl2br w:val="single" w:color="000000" w:sz="6" w:space="0"/>
          <w:tr2bl w:val="nil"/>
        </w:tcBorders>
      </w:tcPr>
    </w:tblStylePr>
  </w:style>
  <w:style w:type="character" w:styleId="49">
    <w:name w:val="Strong"/>
    <w:qFormat/>
    <w:uiPriority w:val="22"/>
    <w:rPr>
      <w:b/>
      <w:bCs/>
    </w:rPr>
  </w:style>
  <w:style w:type="character" w:styleId="50">
    <w:name w:val="page number"/>
    <w:basedOn w:val="48"/>
    <w:uiPriority w:val="0"/>
  </w:style>
  <w:style w:type="character" w:styleId="51">
    <w:name w:val="FollowedHyperlink"/>
    <w:uiPriority w:val="0"/>
    <w:rPr>
      <w:color w:val="800080"/>
      <w:u w:val="single"/>
    </w:rPr>
  </w:style>
  <w:style w:type="character" w:styleId="52">
    <w:name w:val="Hyperlink"/>
    <w:uiPriority w:val="99"/>
    <w:rPr>
      <w:color w:val="0000FF"/>
      <w:u w:val="single"/>
    </w:rPr>
  </w:style>
  <w:style w:type="character" w:styleId="53">
    <w:name w:val="annotation reference"/>
    <w:uiPriority w:val="0"/>
    <w:rPr>
      <w:sz w:val="21"/>
      <w:szCs w:val="21"/>
    </w:rPr>
  </w:style>
  <w:style w:type="character" w:customStyle="1" w:styleId="54">
    <w:name w:val="页眉 Char"/>
    <w:link w:val="29"/>
    <w:uiPriority w:val="0"/>
    <w:rPr>
      <w:rFonts w:eastAsia="宋体"/>
      <w:sz w:val="18"/>
      <w:szCs w:val="18"/>
      <w:lang w:val="en-US" w:eastAsia="zh-CN" w:bidi="ar-SA"/>
    </w:rPr>
  </w:style>
  <w:style w:type="character" w:customStyle="1" w:styleId="55">
    <w:name w:val="正文缩进 Char"/>
    <w:link w:val="6"/>
    <w:uiPriority w:val="0"/>
    <w:rPr>
      <w:rFonts w:eastAsia="宋体"/>
      <w:sz w:val="21"/>
      <w:lang w:val="en-US" w:eastAsia="zh-CN" w:bidi="ar-SA"/>
    </w:rPr>
  </w:style>
  <w:style w:type="character" w:customStyle="1" w:styleId="56">
    <w:name w:val="样式 黑体 二号"/>
    <w:uiPriority w:val="0"/>
    <w:rPr>
      <w:rFonts w:hint="default" w:ascii="Arial" w:hAnsi="Arial" w:eastAsia="黑体" w:cs="Arial"/>
      <w:sz w:val="44"/>
    </w:rPr>
  </w:style>
  <w:style w:type="character" w:customStyle="1" w:styleId="57">
    <w:name w:val="纯文本 Char Char"/>
    <w:uiPriority w:val="0"/>
    <w:rPr>
      <w:rFonts w:ascii="宋体" w:hAnsi="Courier New" w:eastAsia="宋体"/>
      <w:kern w:val="2"/>
      <w:sz w:val="21"/>
      <w:lang w:val="en-US" w:eastAsia="zh-CN" w:bidi="ar-SA"/>
    </w:rPr>
  </w:style>
  <w:style w:type="character" w:customStyle="1" w:styleId="58">
    <w:name w:val="ll1"/>
    <w:uiPriority w:val="0"/>
    <w:rPr>
      <w:spacing w:val="31680"/>
    </w:rPr>
  </w:style>
  <w:style w:type="character" w:customStyle="1" w:styleId="59">
    <w:name w:val="页脚 Char"/>
    <w:link w:val="28"/>
    <w:uiPriority w:val="0"/>
    <w:rPr>
      <w:rFonts w:eastAsia="宋体"/>
      <w:sz w:val="18"/>
      <w:lang w:val="en-US" w:eastAsia="zh-CN" w:bidi="ar-SA"/>
    </w:rPr>
  </w:style>
  <w:style w:type="character" w:customStyle="1" w:styleId="60">
    <w:name w:val="apple-converted-space"/>
    <w:basedOn w:val="48"/>
    <w:uiPriority w:val="0"/>
  </w:style>
  <w:style w:type="character" w:customStyle="1" w:styleId="61">
    <w:name w:val="纯文本 Char"/>
    <w:link w:val="23"/>
    <w:uiPriority w:val="0"/>
    <w:rPr>
      <w:rFonts w:ascii="宋体" w:hAnsi="Courier New" w:eastAsia="宋体" w:cs="Courier New"/>
      <w:sz w:val="21"/>
      <w:szCs w:val="21"/>
      <w:lang w:val="en-US" w:eastAsia="zh-CN" w:bidi="ar-SA"/>
    </w:rPr>
  </w:style>
  <w:style w:type="character" w:customStyle="1" w:styleId="62">
    <w:name w:val="p141"/>
    <w:uiPriority w:val="0"/>
    <w:rPr>
      <w:sz w:val="21"/>
      <w:szCs w:val="21"/>
    </w:rPr>
  </w:style>
  <w:style w:type="character" w:customStyle="1" w:styleId="63">
    <w:name w:val="color99ca801"/>
    <w:uiPriority w:val="0"/>
    <w:rPr>
      <w:color w:val="99CA80"/>
    </w:rPr>
  </w:style>
  <w:style w:type="character" w:customStyle="1" w:styleId="64">
    <w:name w:val="apple-style-span"/>
    <w:basedOn w:val="48"/>
    <w:uiPriority w:val="0"/>
  </w:style>
  <w:style w:type="character" w:customStyle="1" w:styleId="65">
    <w:name w:val="标题 1 Char Char"/>
    <w:uiPriority w:val="0"/>
    <w:rPr>
      <w:rFonts w:hint="eastAsia" w:ascii="宋体" w:hAnsi="宋体" w:eastAsia="宋体"/>
      <w:b/>
      <w:spacing w:val="-2"/>
      <w:sz w:val="24"/>
      <w:lang w:val="en-US" w:eastAsia="zh-CN" w:bidi="ar-SA"/>
    </w:rPr>
  </w:style>
  <w:style w:type="character" w:customStyle="1" w:styleId="66">
    <w:name w:val="style1681"/>
    <w:uiPriority w:val="0"/>
    <w:rPr>
      <w:color w:val="000000"/>
      <w:sz w:val="23"/>
      <w:szCs w:val="23"/>
    </w:rPr>
  </w:style>
  <w:style w:type="character" w:customStyle="1" w:styleId="67">
    <w:name w:val="wf1"/>
    <w:uiPriority w:val="0"/>
    <w:rPr>
      <w:rFonts w:hint="eastAsia" w:ascii="宋体" w:hAnsi="宋体" w:eastAsia="宋体"/>
      <w:sz w:val="24"/>
      <w:szCs w:val="24"/>
    </w:rPr>
  </w:style>
  <w:style w:type="character" w:customStyle="1" w:styleId="68">
    <w:name w:val="正文无缩进 Char Char"/>
    <w:link w:val="69"/>
    <w:uiPriority w:val="0"/>
    <w:rPr>
      <w:rFonts w:ascii="宋体" w:eastAsia="宋体"/>
      <w:color w:val="000000"/>
      <w:kern w:val="2"/>
      <w:sz w:val="24"/>
      <w:szCs w:val="24"/>
      <w:lang w:val="en-US" w:eastAsia="zh-CN" w:bidi="ar-SA"/>
    </w:rPr>
  </w:style>
  <w:style w:type="paragraph" w:customStyle="1" w:styleId="69">
    <w:name w:val="正文无缩进"/>
    <w:basedOn w:val="1"/>
    <w:link w:val="68"/>
    <w:uiPriority w:val="0"/>
    <w:pPr>
      <w:widowControl w:val="0"/>
      <w:spacing w:line="360" w:lineRule="auto"/>
      <w:jc w:val="both"/>
    </w:pPr>
    <w:rPr>
      <w:rFonts w:ascii="宋体"/>
      <w:color w:val="000000"/>
      <w:kern w:val="2"/>
      <w:sz w:val="24"/>
      <w:szCs w:val="24"/>
    </w:rPr>
  </w:style>
  <w:style w:type="character" w:customStyle="1" w:styleId="70">
    <w:name w:val="标题 3 Char"/>
    <w:link w:val="4"/>
    <w:uiPriority w:val="0"/>
    <w:rPr>
      <w:rFonts w:eastAsia="宋体"/>
      <w:b/>
      <w:bCs/>
      <w:sz w:val="32"/>
      <w:szCs w:val="32"/>
      <w:lang w:val="en-US" w:eastAsia="zh-CN" w:bidi="ar-SA"/>
    </w:rPr>
  </w:style>
  <w:style w:type="character" w:customStyle="1" w:styleId="71">
    <w:name w:val="批注框文本 Char"/>
    <w:link w:val="27"/>
    <w:uiPriority w:val="0"/>
    <w:rPr>
      <w:rFonts w:eastAsia="宋体"/>
      <w:sz w:val="18"/>
      <w:szCs w:val="18"/>
      <w:lang w:val="en-US" w:eastAsia="zh-CN" w:bidi="ar-SA"/>
    </w:rPr>
  </w:style>
  <w:style w:type="paragraph" w:customStyle="1" w:styleId="72">
    <w:name w:val="敬启者："/>
    <w:uiPriority w:val="0"/>
    <w:pPr>
      <w:widowControl w:val="0"/>
      <w:jc w:val="both"/>
    </w:pPr>
    <w:rPr>
      <w:kern w:val="2"/>
      <w:sz w:val="21"/>
      <w:lang w:val="en-US" w:eastAsia="zh-CN" w:bidi="ar-SA"/>
    </w:rPr>
  </w:style>
  <w:style w:type="paragraph" w:customStyle="1" w:styleId="73">
    <w:name w:val="xl27"/>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sz w:val="24"/>
      <w:szCs w:val="24"/>
    </w:rPr>
  </w:style>
  <w:style w:type="paragraph" w:customStyle="1" w:styleId="74">
    <w:name w:val="Char Char Char Char Char Char"/>
    <w:basedOn w:val="1"/>
    <w:next w:val="2"/>
    <w:uiPriority w:val="0"/>
    <w:pPr>
      <w:spacing w:before="100" w:beforeLines="0" w:beforeAutospacing="1" w:after="100" w:afterLines="0" w:afterAutospacing="1" w:line="420" w:lineRule="auto"/>
      <w:textAlignment w:val="top"/>
    </w:pPr>
    <w:rPr>
      <w:kern w:val="2"/>
    </w:rPr>
  </w:style>
  <w:style w:type="paragraph" w:customStyle="1" w:styleId="75">
    <w:name w:val="xl45"/>
    <w:basedOn w:val="1"/>
    <w:uiPriority w:val="0"/>
    <w:pPr>
      <w:pBdr>
        <w:top w:val="single" w:color="auto" w:sz="8" w:space="0"/>
        <w:left w:val="single" w:color="auto" w:sz="4" w:space="0"/>
        <w:bottom w:val="single" w:color="auto" w:sz="4" w:space="0"/>
        <w:right w:val="single" w:color="auto" w:sz="8" w:space="0"/>
      </w:pBdr>
      <w:spacing w:before="100" w:beforeLines="0" w:beforeAutospacing="1" w:after="100" w:afterLines="0" w:afterAutospacing="1"/>
      <w:jc w:val="center"/>
      <w:textAlignment w:val="center"/>
    </w:pPr>
    <w:rPr>
      <w:rFonts w:ascii="宋体" w:hAnsi="宋体" w:cs="宋体"/>
      <w:b/>
      <w:bCs/>
      <w:sz w:val="36"/>
      <w:szCs w:val="36"/>
    </w:rPr>
  </w:style>
  <w:style w:type="paragraph" w:customStyle="1" w:styleId="76">
    <w:name w:val="请勿折叠！"/>
    <w:uiPriority w:val="0"/>
    <w:pPr>
      <w:widowControl w:val="0"/>
      <w:jc w:val="both"/>
    </w:pPr>
    <w:rPr>
      <w:kern w:val="2"/>
      <w:sz w:val="21"/>
      <w:lang w:val="en-US" w:eastAsia="zh-CN" w:bidi="ar-SA"/>
    </w:rPr>
  </w:style>
  <w:style w:type="paragraph" w:customStyle="1" w:styleId="77">
    <w:name w:val=" Char1"/>
    <w:basedOn w:val="1"/>
    <w:uiPriority w:val="0"/>
    <w:pPr>
      <w:widowControl w:val="0"/>
      <w:jc w:val="both"/>
    </w:pPr>
    <w:rPr>
      <w:kern w:val="2"/>
    </w:rPr>
  </w:style>
  <w:style w:type="paragraph" w:customStyle="1" w:styleId="78">
    <w:name w:val="默认段落字体 Para Char Char Char Char"/>
    <w:basedOn w:val="1"/>
    <w:uiPriority w:val="0"/>
    <w:pPr>
      <w:widowControl w:val="0"/>
      <w:adjustRightInd w:val="0"/>
      <w:spacing w:line="360" w:lineRule="auto"/>
      <w:jc w:val="both"/>
    </w:pPr>
    <w:rPr>
      <w:sz w:val="24"/>
    </w:rPr>
  </w:style>
  <w:style w:type="paragraph" w:customStyle="1" w:styleId="79">
    <w:name w:val="题注5"/>
    <w:basedOn w:val="1"/>
    <w:next w:val="14"/>
    <w:uiPriority w:val="0"/>
    <w:pPr>
      <w:widowControl w:val="0"/>
      <w:jc w:val="center"/>
    </w:pPr>
    <w:rPr>
      <w:b/>
      <w:color w:val="000000"/>
      <w:kern w:val="2"/>
      <w:sz w:val="24"/>
      <w:szCs w:val="21"/>
    </w:rPr>
  </w:style>
  <w:style w:type="paragraph" w:customStyle="1" w:styleId="80">
    <w:name w:val="表格文字"/>
    <w:basedOn w:val="1"/>
    <w:uiPriority w:val="0"/>
    <w:pPr>
      <w:widowControl w:val="0"/>
      <w:spacing w:before="25" w:beforeLines="0" w:after="25" w:afterLines="0"/>
    </w:pPr>
    <w:rPr>
      <w:bCs/>
      <w:spacing w:val="10"/>
      <w:sz w:val="24"/>
    </w:rPr>
  </w:style>
  <w:style w:type="paragraph" w:customStyle="1" w:styleId="81">
    <w:name w:val="List Paragraph"/>
    <w:basedOn w:val="1"/>
    <w:uiPriority w:val="0"/>
    <w:pPr>
      <w:widowControl w:val="0"/>
      <w:ind w:firstLine="420" w:firstLineChars="200"/>
      <w:jc w:val="both"/>
    </w:pPr>
    <w:rPr>
      <w:rFonts w:ascii="Calibri" w:hAnsi="Calibri"/>
      <w:kern w:val="2"/>
      <w:szCs w:val="22"/>
    </w:rPr>
  </w:style>
  <w:style w:type="paragraph" w:customStyle="1" w:styleId="82">
    <w:name w:val="f12pt1"/>
    <w:basedOn w:val="1"/>
    <w:uiPriority w:val="0"/>
    <w:pPr>
      <w:spacing w:before="100" w:beforeLines="0" w:beforeAutospacing="1" w:after="100" w:afterLines="0" w:afterAutospacing="1"/>
    </w:pPr>
    <w:rPr>
      <w:rFonts w:ascii="_GB2312" w:hAnsi="_GB2312"/>
      <w:color w:val="000000"/>
      <w:szCs w:val="21"/>
    </w:rPr>
  </w:style>
  <w:style w:type="paragraph" w:customStyle="1" w:styleId="83">
    <w:name w:val="xl35"/>
    <w:basedOn w:val="1"/>
    <w:uiPriority w:val="0"/>
    <w:pPr>
      <w:pBdr>
        <w:top w:val="single" w:color="auto" w:sz="4" w:space="0"/>
        <w:left w:val="single" w:color="auto" w:sz="4" w:space="0"/>
        <w:bottom w:val="single" w:color="auto" w:sz="8" w:space="0"/>
        <w:right w:val="single" w:color="auto" w:sz="4" w:space="0"/>
      </w:pBdr>
      <w:spacing w:before="100" w:beforeLines="0" w:beforeAutospacing="1" w:after="100" w:afterLines="0" w:afterAutospacing="1"/>
      <w:jc w:val="center"/>
    </w:pPr>
    <w:rPr>
      <w:rFonts w:ascii="宋体" w:hAnsi="宋体" w:cs="宋体"/>
      <w:sz w:val="24"/>
      <w:szCs w:val="24"/>
    </w:rPr>
  </w:style>
  <w:style w:type="paragraph" w:customStyle="1" w:styleId="84">
    <w:name w:val="xl43"/>
    <w:basedOn w:val="1"/>
    <w:uiPriority w:val="0"/>
    <w:pPr>
      <w:pBdr>
        <w:top w:val="single" w:color="auto" w:sz="8" w:space="0"/>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b/>
      <w:bCs/>
      <w:sz w:val="36"/>
      <w:szCs w:val="36"/>
    </w:rPr>
  </w:style>
  <w:style w:type="paragraph" w:customStyle="1" w:styleId="85">
    <w:name w:val="150"/>
    <w:basedOn w:val="1"/>
    <w:uiPriority w:val="0"/>
    <w:pPr>
      <w:spacing w:before="100" w:beforeLines="0" w:beforeAutospacing="1" w:after="100" w:afterLines="0" w:afterAutospacing="1" w:line="360" w:lineRule="auto"/>
    </w:pPr>
    <w:rPr>
      <w:rFonts w:ascii="宋体" w:hAnsi="宋体"/>
      <w:color w:val="000000"/>
      <w:sz w:val="24"/>
      <w:szCs w:val="24"/>
    </w:rPr>
  </w:style>
  <w:style w:type="paragraph" w:customStyle="1" w:styleId="86">
    <w:name w:val="xl34"/>
    <w:basedOn w:val="1"/>
    <w:uiPriority w:val="0"/>
    <w:pPr>
      <w:pBdr>
        <w:top w:val="single" w:color="auto" w:sz="4" w:space="0"/>
        <w:left w:val="single" w:color="auto" w:sz="4" w:space="0"/>
        <w:bottom w:val="single" w:color="auto" w:sz="8" w:space="0"/>
        <w:right w:val="single" w:color="auto" w:sz="4" w:space="0"/>
      </w:pBdr>
      <w:spacing w:before="100" w:beforeLines="0" w:beforeAutospacing="1" w:after="100" w:afterLines="0" w:afterAutospacing="1"/>
    </w:pPr>
    <w:rPr>
      <w:rFonts w:ascii="宋体" w:hAnsi="宋体" w:cs="宋体"/>
      <w:sz w:val="24"/>
      <w:szCs w:val="24"/>
    </w:rPr>
  </w:style>
  <w:style w:type="paragraph" w:customStyle="1" w:styleId="87">
    <w:name w:val="样式1"/>
    <w:basedOn w:val="3"/>
    <w:uiPriority w:val="0"/>
    <w:pPr>
      <w:tabs>
        <w:tab w:val="left" w:pos="420"/>
      </w:tabs>
      <w:adjustRightInd w:val="0"/>
      <w:snapToGrid w:val="0"/>
      <w:spacing w:before="0" w:beforeLines="0" w:after="0" w:afterLines="0" w:line="360" w:lineRule="auto"/>
      <w:ind w:left="420" w:hanging="420"/>
      <w:jc w:val="center"/>
    </w:pPr>
    <w:rPr>
      <w:rFonts w:ascii="宋体" w:eastAsia="宋体"/>
      <w:bCs w:val="0"/>
      <w:szCs w:val="20"/>
    </w:rPr>
  </w:style>
  <w:style w:type="paragraph" w:customStyle="1" w:styleId="88">
    <w:name w:val="此正文"/>
    <w:basedOn w:val="1"/>
    <w:uiPriority w:val="0"/>
    <w:pPr>
      <w:widowControl w:val="0"/>
      <w:spacing w:line="360" w:lineRule="auto"/>
      <w:ind w:firstLine="200" w:firstLineChars="200"/>
      <w:jc w:val="both"/>
    </w:pPr>
    <w:rPr>
      <w:kern w:val="2"/>
      <w:sz w:val="24"/>
      <w:szCs w:val="24"/>
    </w:rPr>
  </w:style>
  <w:style w:type="paragraph" w:customStyle="1" w:styleId="89">
    <w:name w:val=" Char"/>
    <w:basedOn w:val="1"/>
    <w:uiPriority w:val="0"/>
    <w:pPr>
      <w:widowControl w:val="0"/>
      <w:jc w:val="both"/>
    </w:pPr>
    <w:rPr>
      <w:rFonts w:ascii="Tahoma" w:hAnsi="Tahoma"/>
      <w:kern w:val="2"/>
      <w:sz w:val="24"/>
    </w:rPr>
  </w:style>
  <w:style w:type="paragraph" w:customStyle="1" w:styleId="90">
    <w:name w:val="久不通函，至以为念。"/>
    <w:uiPriority w:val="0"/>
    <w:pPr>
      <w:widowControl w:val="0"/>
      <w:jc w:val="both"/>
    </w:pPr>
    <w:rPr>
      <w:kern w:val="2"/>
      <w:sz w:val="21"/>
      <w:lang w:val="en-US" w:eastAsia="zh-CN" w:bidi="ar-SA"/>
    </w:rPr>
  </w:style>
  <w:style w:type="paragraph" w:customStyle="1" w:styleId="91">
    <w:name w:val="xl42"/>
    <w:basedOn w:val="1"/>
    <w:uiPriority w:val="0"/>
    <w:pPr>
      <w:spacing w:before="100" w:beforeLines="0" w:beforeAutospacing="1" w:after="100" w:afterLines="0" w:afterAutospacing="1"/>
      <w:textAlignment w:val="top"/>
    </w:pPr>
    <w:rPr>
      <w:rFonts w:ascii="宋体" w:hAnsi="宋体" w:cs="宋体"/>
      <w:sz w:val="24"/>
      <w:szCs w:val="24"/>
    </w:rPr>
  </w:style>
  <w:style w:type="paragraph" w:customStyle="1" w:styleId="92">
    <w:name w:val="f10"/>
    <w:basedOn w:val="1"/>
    <w:uiPriority w:val="0"/>
    <w:pPr>
      <w:spacing w:before="100" w:beforeLines="0" w:beforeAutospacing="1" w:after="100" w:afterLines="0" w:afterAutospacing="1" w:line="260" w:lineRule="atLeast"/>
    </w:pPr>
    <w:rPr>
      <w:rFonts w:ascii="_GB2312" w:hAnsi="_GB2312"/>
      <w:color w:val="000000"/>
      <w:sz w:val="18"/>
      <w:szCs w:val="18"/>
    </w:rPr>
  </w:style>
  <w:style w:type="paragraph" w:customStyle="1" w:styleId="93">
    <w:name w:val="自动更正"/>
    <w:uiPriority w:val="0"/>
    <w:pPr>
      <w:widowControl w:val="0"/>
      <w:jc w:val="both"/>
    </w:pPr>
    <w:rPr>
      <w:kern w:val="2"/>
      <w:sz w:val="21"/>
      <w:lang w:val="en-US" w:eastAsia="zh-CN" w:bidi="ar-SA"/>
    </w:rPr>
  </w:style>
  <w:style w:type="paragraph" w:customStyle="1" w:styleId="94">
    <w:name w:val="f12"/>
    <w:basedOn w:val="1"/>
    <w:uiPriority w:val="0"/>
    <w:pPr>
      <w:spacing w:before="100" w:beforeLines="0" w:beforeAutospacing="1" w:after="100" w:afterLines="0" w:afterAutospacing="1"/>
    </w:pPr>
    <w:rPr>
      <w:rFonts w:ascii="_GB2312" w:hAnsi="_GB2312"/>
      <w:color w:val="000000"/>
      <w:szCs w:val="21"/>
    </w:rPr>
  </w:style>
  <w:style w:type="paragraph" w:customStyle="1" w:styleId="95">
    <w:name w:val="Proposals body"/>
    <w:basedOn w:val="1"/>
    <w:next w:val="1"/>
    <w:uiPriority w:val="0"/>
    <w:pPr>
      <w:spacing w:line="360" w:lineRule="auto"/>
    </w:pPr>
    <w:rPr>
      <w:rFonts w:ascii="宋体"/>
      <w:snapToGrid w:val="0"/>
      <w:color w:val="000000"/>
      <w:sz w:val="24"/>
    </w:rPr>
  </w:style>
  <w:style w:type="paragraph" w:customStyle="1" w:styleId="96">
    <w:name w:val="xl38"/>
    <w:basedOn w:val="1"/>
    <w:uiPriority w:val="0"/>
    <w:pPr>
      <w:pBdr>
        <w:top w:val="single" w:color="auto" w:sz="4" w:space="0"/>
        <w:left w:val="single" w:color="auto" w:sz="4" w:space="0"/>
        <w:bottom w:val="single" w:color="auto" w:sz="4" w:space="0"/>
        <w:right w:val="single" w:color="auto" w:sz="8" w:space="0"/>
      </w:pBdr>
      <w:spacing w:before="100" w:beforeLines="0" w:beforeAutospacing="1" w:after="100" w:afterLines="0" w:afterAutospacing="1"/>
    </w:pPr>
    <w:rPr>
      <w:sz w:val="24"/>
      <w:szCs w:val="24"/>
    </w:rPr>
  </w:style>
  <w:style w:type="paragraph" w:customStyle="1" w:styleId="97">
    <w:name w:val="正文缩进2格"/>
    <w:basedOn w:val="1"/>
    <w:uiPriority w:val="0"/>
    <w:pPr>
      <w:widowControl w:val="0"/>
      <w:spacing w:line="600" w:lineRule="exact"/>
      <w:ind w:firstLine="639" w:firstLineChars="206"/>
      <w:jc w:val="both"/>
    </w:pPr>
    <w:rPr>
      <w:rFonts w:ascii="仿宋_GB2312" w:hAnsi="宋体" w:eastAsia="仿宋_GB2312"/>
      <w:kern w:val="2"/>
      <w:sz w:val="31"/>
      <w:szCs w:val="28"/>
    </w:rPr>
  </w:style>
  <w:style w:type="paragraph" w:customStyle="1" w:styleId="98">
    <w:name w:val="主题:"/>
    <w:uiPriority w:val="0"/>
    <w:pPr>
      <w:widowControl w:val="0"/>
      <w:jc w:val="both"/>
    </w:pPr>
    <w:rPr>
      <w:kern w:val="2"/>
      <w:sz w:val="21"/>
      <w:lang w:val="en-US" w:eastAsia="zh-CN" w:bidi="ar-SA"/>
    </w:rPr>
  </w:style>
  <w:style w:type="paragraph" w:customStyle="1" w:styleId="99">
    <w:name w:val=" Char Char Char Char Char Char Char Char Char Char"/>
    <w:basedOn w:val="1"/>
    <w:uiPriority w:val="0"/>
    <w:pPr>
      <w:widowControl w:val="0"/>
      <w:jc w:val="both"/>
    </w:pPr>
    <w:rPr>
      <w:rFonts w:ascii="Tahoma" w:hAnsi="Tahoma"/>
      <w:kern w:val="2"/>
      <w:sz w:val="24"/>
    </w:rPr>
  </w:style>
  <w:style w:type="paragraph" w:customStyle="1" w:styleId="100">
    <w:name w:val="第 X 页 共 Y 页"/>
    <w:uiPriority w:val="0"/>
    <w:pPr>
      <w:widowControl w:val="0"/>
      <w:jc w:val="both"/>
    </w:pPr>
    <w:rPr>
      <w:kern w:val="2"/>
      <w:sz w:val="21"/>
      <w:lang w:val="en-US" w:eastAsia="zh-CN" w:bidi="ar-SA"/>
    </w:rPr>
  </w:style>
  <w:style w:type="paragraph" w:customStyle="1" w:styleId="101">
    <w:name w:val="叩请金安！"/>
    <w:uiPriority w:val="0"/>
    <w:pPr>
      <w:widowControl w:val="0"/>
      <w:jc w:val="both"/>
    </w:pPr>
    <w:rPr>
      <w:kern w:val="2"/>
      <w:sz w:val="21"/>
      <w:lang w:val="en-US" w:eastAsia="zh-CN" w:bidi="ar-SA"/>
    </w:rPr>
  </w:style>
  <w:style w:type="paragraph" w:customStyle="1" w:styleId="102">
    <w:name w:val="xl24"/>
    <w:basedOn w:val="1"/>
    <w:uiPriority w:val="0"/>
    <w:pPr>
      <w:spacing w:before="100" w:beforeLines="0" w:beforeAutospacing="1" w:after="100" w:afterLines="0" w:afterAutospacing="1"/>
      <w:jc w:val="center"/>
    </w:pPr>
    <w:rPr>
      <w:rFonts w:ascii="宋体" w:hAnsi="宋体" w:cs="宋体"/>
      <w:sz w:val="24"/>
      <w:szCs w:val="24"/>
    </w:rPr>
  </w:style>
  <w:style w:type="paragraph" w:customStyle="1" w:styleId="103">
    <w:name w:val="纸短情长，再祈珍重！"/>
    <w:uiPriority w:val="0"/>
    <w:pPr>
      <w:widowControl w:val="0"/>
      <w:jc w:val="both"/>
    </w:pPr>
    <w:rPr>
      <w:kern w:val="2"/>
      <w:sz w:val="21"/>
      <w:lang w:val="en-US" w:eastAsia="zh-CN" w:bidi="ar-SA"/>
    </w:rPr>
  </w:style>
  <w:style w:type="paragraph" w:customStyle="1" w:styleId="104">
    <w:name w:val="f11"/>
    <w:basedOn w:val="1"/>
    <w:uiPriority w:val="0"/>
    <w:pPr>
      <w:spacing w:before="100" w:beforeLines="0" w:beforeAutospacing="1" w:after="100" w:afterLines="0" w:afterAutospacing="1" w:line="320" w:lineRule="atLeast"/>
    </w:pPr>
    <w:rPr>
      <w:rFonts w:ascii="_GB2312" w:hAnsi="_GB2312"/>
      <w:color w:val="000000"/>
      <w:sz w:val="28"/>
      <w:szCs w:val="28"/>
    </w:rPr>
  </w:style>
  <w:style w:type="paragraph" w:customStyle="1" w:styleId="105">
    <w:name w:val="- 页码 -"/>
    <w:uiPriority w:val="0"/>
    <w:pPr>
      <w:widowControl w:val="0"/>
      <w:jc w:val="both"/>
    </w:pPr>
    <w:rPr>
      <w:kern w:val="2"/>
      <w:sz w:val="21"/>
      <w:lang w:val="en-US" w:eastAsia="zh-CN" w:bidi="ar-SA"/>
    </w:rPr>
  </w:style>
  <w:style w:type="paragraph" w:customStyle="1" w:styleId="106">
    <w:name w:val="p0"/>
    <w:basedOn w:val="1"/>
    <w:uiPriority w:val="0"/>
    <w:pPr>
      <w:jc w:val="both"/>
    </w:pPr>
    <w:rPr>
      <w:szCs w:val="21"/>
    </w:rPr>
  </w:style>
  <w:style w:type="paragraph" w:customStyle="1" w:styleId="107">
    <w:name w:val="font6"/>
    <w:basedOn w:val="1"/>
    <w:uiPriority w:val="0"/>
    <w:pPr>
      <w:spacing w:before="100" w:beforeLines="0" w:beforeAutospacing="1" w:after="100" w:afterLines="0" w:afterAutospacing="1"/>
    </w:pPr>
    <w:rPr>
      <w:sz w:val="24"/>
      <w:szCs w:val="24"/>
    </w:rPr>
  </w:style>
  <w:style w:type="paragraph" w:customStyle="1" w:styleId="108">
    <w:name w:val="惠书敬悉，迟复为歉。"/>
    <w:uiPriority w:val="0"/>
    <w:pPr>
      <w:widowControl w:val="0"/>
      <w:jc w:val="both"/>
    </w:pPr>
    <w:rPr>
      <w:kern w:val="2"/>
      <w:sz w:val="21"/>
      <w:lang w:val="en-US" w:eastAsia="zh-CN" w:bidi="ar-SA"/>
    </w:rPr>
  </w:style>
  <w:style w:type="paragraph" w:customStyle="1" w:styleId="109">
    <w:name w:val="1"/>
    <w:basedOn w:val="1"/>
    <w:next w:val="23"/>
    <w:uiPriority w:val="0"/>
    <w:pPr>
      <w:widowControl w:val="0"/>
      <w:jc w:val="both"/>
    </w:pPr>
    <w:rPr>
      <w:rFonts w:ascii="宋体" w:hAnsi="Courier New"/>
      <w:kern w:val="2"/>
    </w:rPr>
  </w:style>
  <w:style w:type="paragraph" w:customStyle="1" w:styleId="110">
    <w:name w:val=" Char Char Char"/>
    <w:basedOn w:val="1"/>
    <w:uiPriority w:val="0"/>
    <w:pPr>
      <w:widowControl w:val="0"/>
      <w:jc w:val="both"/>
    </w:pPr>
    <w:rPr>
      <w:kern w:val="2"/>
    </w:rPr>
  </w:style>
  <w:style w:type="paragraph" w:customStyle="1" w:styleId="111">
    <w:name w:val="xl26"/>
    <w:basedOn w:val="1"/>
    <w:uiPriority w:val="0"/>
    <w:pPr>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pPr>
    <w:rPr>
      <w:rFonts w:ascii="宋体" w:hAnsi="宋体" w:cs="宋体"/>
      <w:sz w:val="24"/>
      <w:szCs w:val="24"/>
    </w:rPr>
  </w:style>
  <w:style w:type="paragraph" w:customStyle="1" w:styleId="112">
    <w:name w:val="Char Char Char Char Char Char1 Char Char Char Char"/>
    <w:basedOn w:val="1"/>
    <w:uiPriority w:val="0"/>
    <w:pPr>
      <w:tabs>
        <w:tab w:val="left" w:pos="360"/>
      </w:tabs>
      <w:spacing w:after="160" w:afterLines="0" w:line="240" w:lineRule="exact"/>
    </w:pPr>
    <w:rPr>
      <w:kern w:val="2"/>
      <w:sz w:val="24"/>
      <w:szCs w:val="24"/>
    </w:rPr>
  </w:style>
  <w:style w:type="paragraph" w:customStyle="1" w:styleId="113">
    <w:name w:val="作者"/>
    <w:uiPriority w:val="0"/>
    <w:pPr>
      <w:widowControl w:val="0"/>
      <w:jc w:val="both"/>
    </w:pPr>
    <w:rPr>
      <w:kern w:val="2"/>
      <w:sz w:val="21"/>
      <w:lang w:val="en-US" w:eastAsia="zh-CN" w:bidi="ar-SA"/>
    </w:rPr>
  </w:style>
  <w:style w:type="paragraph" w:customStyle="1" w:styleId="114">
    <w:name w:val=" Char Char Char Char Char1 Char"/>
    <w:basedOn w:val="1"/>
    <w:uiPriority w:val="0"/>
    <w:pPr>
      <w:widowControl w:val="0"/>
      <w:jc w:val="both"/>
    </w:pPr>
    <w:rPr>
      <w:rFonts w:ascii="Tahoma" w:hAnsi="Tahoma"/>
      <w:kern w:val="2"/>
      <w:sz w:val="24"/>
    </w:rPr>
  </w:style>
  <w:style w:type="paragraph" w:customStyle="1" w:styleId="115">
    <w:name w:val="333"/>
    <w:basedOn w:val="1"/>
    <w:uiPriority w:val="0"/>
    <w:pPr>
      <w:widowControl w:val="0"/>
      <w:adjustRightInd w:val="0"/>
      <w:spacing w:line="312" w:lineRule="atLeast"/>
      <w:jc w:val="both"/>
      <w:textAlignment w:val="baseline"/>
    </w:pPr>
  </w:style>
  <w:style w:type="paragraph" w:customStyle="1" w:styleId="116">
    <w:name w:val="样式 表格正文 + 两端对齐"/>
    <w:basedOn w:val="1"/>
    <w:uiPriority w:val="0"/>
    <w:pPr>
      <w:widowControl w:val="0"/>
      <w:spacing w:line="300" w:lineRule="auto"/>
      <w:jc w:val="both"/>
    </w:pPr>
    <w:rPr>
      <w:kern w:val="2"/>
      <w:sz w:val="24"/>
    </w:rPr>
  </w:style>
  <w:style w:type="paragraph" w:customStyle="1" w:styleId="117">
    <w:name w:val="音问久疏，唯愿一切康适。"/>
    <w:uiPriority w:val="0"/>
    <w:pPr>
      <w:widowControl w:val="0"/>
      <w:jc w:val="both"/>
    </w:pPr>
    <w:rPr>
      <w:kern w:val="2"/>
      <w:sz w:val="21"/>
      <w:lang w:val="en-US" w:eastAsia="zh-CN" w:bidi="ar-SA"/>
    </w:rPr>
  </w:style>
  <w:style w:type="paragraph" w:customStyle="1" w:styleId="118">
    <w:name w:val="奉恳之事，乞速复为荷。"/>
    <w:uiPriority w:val="0"/>
    <w:pPr>
      <w:widowControl w:val="0"/>
      <w:jc w:val="both"/>
    </w:pPr>
    <w:rPr>
      <w:kern w:val="2"/>
      <w:sz w:val="21"/>
      <w:lang w:val="en-US" w:eastAsia="zh-CN" w:bidi="ar-SA"/>
    </w:rPr>
  </w:style>
  <w:style w:type="paragraph" w:customStyle="1" w:styleId="119">
    <w:name w:val="前上一函，谅达雅鉴，迄今未闻复音。"/>
    <w:uiPriority w:val="0"/>
    <w:pPr>
      <w:widowControl w:val="0"/>
      <w:jc w:val="both"/>
    </w:pPr>
    <w:rPr>
      <w:kern w:val="2"/>
      <w:sz w:val="21"/>
      <w:lang w:val="en-US" w:eastAsia="zh-CN" w:bidi="ar-SA"/>
    </w:rPr>
  </w:style>
  <w:style w:type="paragraph" w:styleId="120">
    <w:name w:val="List Paragraph"/>
    <w:basedOn w:val="1"/>
    <w:qFormat/>
    <w:uiPriority w:val="0"/>
    <w:pPr>
      <w:widowControl w:val="0"/>
      <w:ind w:firstLine="420" w:firstLineChars="200"/>
      <w:jc w:val="both"/>
    </w:pPr>
    <w:rPr>
      <w:rFonts w:ascii="Calibri" w:hAnsi="Calibri"/>
      <w:kern w:val="2"/>
      <w:szCs w:val="22"/>
    </w:rPr>
  </w:style>
  <w:style w:type="paragraph" w:customStyle="1" w:styleId="121">
    <w:name w:val="font5"/>
    <w:basedOn w:val="1"/>
    <w:uiPriority w:val="0"/>
    <w:pPr>
      <w:spacing w:before="100" w:beforeLines="0" w:beforeAutospacing="1" w:after="100" w:afterLines="0" w:afterAutospacing="1"/>
    </w:pPr>
    <w:rPr>
      <w:rFonts w:ascii="宋体" w:hAnsi="宋体" w:cs="宋体"/>
      <w:sz w:val="18"/>
      <w:szCs w:val="18"/>
    </w:rPr>
  </w:style>
  <w:style w:type="paragraph" w:customStyle="1" w:styleId="122">
    <w:name w:val="图"/>
    <w:basedOn w:val="1"/>
    <w:uiPriority w:val="0"/>
    <w:pPr>
      <w:keepNext/>
      <w:widowControl w:val="0"/>
      <w:adjustRightInd w:val="0"/>
      <w:spacing w:before="60" w:beforeLines="0" w:after="60" w:afterLines="0" w:line="300" w:lineRule="auto"/>
      <w:jc w:val="center"/>
      <w:textAlignment w:val="center"/>
    </w:pPr>
    <w:rPr>
      <w:snapToGrid w:val="0"/>
      <w:spacing w:val="20"/>
      <w:sz w:val="24"/>
      <w:lang/>
    </w:rPr>
  </w:style>
  <w:style w:type="paragraph" w:customStyle="1" w:styleId="123">
    <w:name w:val="亲启"/>
    <w:uiPriority w:val="0"/>
    <w:pPr>
      <w:widowControl w:val="0"/>
      <w:jc w:val="both"/>
    </w:pPr>
    <w:rPr>
      <w:kern w:val="2"/>
      <w:sz w:val="21"/>
      <w:lang w:val="en-US" w:eastAsia="zh-CN" w:bidi="ar-SA"/>
    </w:rPr>
  </w:style>
  <w:style w:type="paragraph" w:customStyle="1" w:styleId="124">
    <w:name w:val="Char"/>
    <w:basedOn w:val="1"/>
    <w:uiPriority w:val="0"/>
    <w:pPr>
      <w:spacing w:after="160" w:afterLines="0" w:line="240" w:lineRule="exact"/>
    </w:pPr>
    <w:rPr>
      <w:rFonts w:ascii="Verdana" w:hAnsi="Verdana"/>
      <w:lang w:eastAsia="en-US"/>
    </w:rPr>
  </w:style>
  <w:style w:type="paragraph" w:customStyle="1" w:styleId="125">
    <w:name w:val="Char Char Char Char Char Char Char Char Char Char"/>
    <w:basedOn w:val="1"/>
    <w:uiPriority w:val="0"/>
    <w:pPr>
      <w:widowControl w:val="0"/>
      <w:jc w:val="both"/>
    </w:pPr>
    <w:rPr>
      <w:rFonts w:ascii="Tahoma" w:hAnsi="Tahoma"/>
      <w:kern w:val="2"/>
      <w:sz w:val="24"/>
    </w:rPr>
  </w:style>
  <w:style w:type="paragraph" w:customStyle="1" w:styleId="126">
    <w:name w:val="文件名和路径"/>
    <w:uiPriority w:val="0"/>
    <w:pPr>
      <w:widowControl w:val="0"/>
      <w:jc w:val="both"/>
    </w:pPr>
    <w:rPr>
      <w:kern w:val="2"/>
      <w:sz w:val="21"/>
      <w:lang w:val="en-US" w:eastAsia="zh-CN" w:bidi="ar-SA"/>
    </w:rPr>
  </w:style>
  <w:style w:type="paragraph" w:customStyle="1" w:styleId="127">
    <w:name w:val="f14"/>
    <w:basedOn w:val="1"/>
    <w:uiPriority w:val="0"/>
    <w:pPr>
      <w:spacing w:before="100" w:beforeLines="0" w:beforeAutospacing="1" w:after="100" w:afterLines="0" w:afterAutospacing="1"/>
    </w:pPr>
    <w:rPr>
      <w:rFonts w:ascii="_GB2312" w:hAnsi="_GB2312"/>
      <w:color w:val="000000"/>
      <w:sz w:val="28"/>
      <w:szCs w:val="28"/>
    </w:rPr>
  </w:style>
  <w:style w:type="paragraph" w:customStyle="1" w:styleId="128">
    <w:name w:val="作者、页码、日期"/>
    <w:uiPriority w:val="0"/>
    <w:pPr>
      <w:widowControl w:val="0"/>
      <w:jc w:val="both"/>
    </w:pPr>
    <w:rPr>
      <w:kern w:val="2"/>
      <w:sz w:val="21"/>
      <w:lang w:val="en-US" w:eastAsia="zh-CN" w:bidi="ar-SA"/>
    </w:rPr>
  </w:style>
  <w:style w:type="paragraph" w:customStyle="1" w:styleId="129">
    <w:name w:val="xl36"/>
    <w:basedOn w:val="1"/>
    <w:uiPriority w:val="0"/>
    <w:pPr>
      <w:pBdr>
        <w:top w:val="single" w:color="auto" w:sz="4" w:space="0"/>
        <w:left w:val="single" w:color="auto" w:sz="4" w:space="0"/>
        <w:bottom w:val="single" w:color="auto" w:sz="8" w:space="0"/>
        <w:right w:val="single" w:color="auto" w:sz="4" w:space="0"/>
      </w:pBdr>
      <w:spacing w:before="100" w:beforeLines="0" w:beforeAutospacing="1" w:after="100" w:afterLines="0" w:afterAutospacing="1"/>
    </w:pPr>
    <w:rPr>
      <w:rFonts w:ascii="宋体" w:hAnsi="宋体" w:cs="宋体"/>
      <w:sz w:val="24"/>
      <w:szCs w:val="24"/>
    </w:rPr>
  </w:style>
  <w:style w:type="paragraph" w:styleId="130">
    <w:name w:val=""/>
    <w:basedOn w:val="2"/>
    <w:next w:val="1"/>
    <w:qFormat/>
    <w:uiPriority w:val="39"/>
    <w:pPr>
      <w:spacing w:before="480" w:beforeLines="0" w:after="0" w:afterLines="0" w:line="276" w:lineRule="auto"/>
      <w:outlineLvl w:val="9"/>
    </w:pPr>
    <w:rPr>
      <w:rFonts w:ascii="Cambria" w:hAnsi="Cambria"/>
      <w:color w:val="365F91"/>
      <w:kern w:val="0"/>
      <w:sz w:val="28"/>
      <w:szCs w:val="28"/>
    </w:rPr>
  </w:style>
  <w:style w:type="paragraph" w:customStyle="1" w:styleId="131">
    <w:name w:val=" Char Char Char Char Char Char Char Char Char1 Char Char Char Char"/>
    <w:basedOn w:val="1"/>
    <w:uiPriority w:val="0"/>
    <w:pPr>
      <w:widowControl w:val="0"/>
      <w:adjustRightInd w:val="0"/>
      <w:spacing w:line="360" w:lineRule="auto"/>
      <w:jc w:val="both"/>
    </w:pPr>
    <w:rPr>
      <w:sz w:val="24"/>
    </w:rPr>
  </w:style>
  <w:style w:type="paragraph" w:customStyle="1" w:styleId="132">
    <w:name w:val="创建日期"/>
    <w:uiPriority w:val="0"/>
    <w:pPr>
      <w:widowControl w:val="0"/>
      <w:jc w:val="both"/>
    </w:pPr>
    <w:rPr>
      <w:kern w:val="2"/>
      <w:sz w:val="21"/>
      <w:lang w:val="en-US" w:eastAsia="zh-CN" w:bidi="ar-SA"/>
    </w:rPr>
  </w:style>
  <w:style w:type="paragraph" w:customStyle="1" w:styleId="133">
    <w:name w:val="135"/>
    <w:basedOn w:val="1"/>
    <w:uiPriority w:val="0"/>
    <w:pPr>
      <w:spacing w:before="100" w:beforeLines="0" w:beforeAutospacing="1" w:after="100" w:afterLines="0" w:afterAutospacing="1" w:line="360" w:lineRule="auto"/>
    </w:pPr>
    <w:rPr>
      <w:rFonts w:ascii="宋体" w:hAnsi="宋体"/>
      <w:color w:val="000000"/>
      <w:sz w:val="24"/>
      <w:szCs w:val="24"/>
    </w:rPr>
  </w:style>
  <w:style w:type="paragraph" w:customStyle="1" w:styleId="134">
    <w:name w:val="xl48"/>
    <w:basedOn w:val="1"/>
    <w:uiPriority w:val="0"/>
    <w:pPr>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textAlignment w:val="center"/>
    </w:pPr>
    <w:rPr>
      <w:rFonts w:ascii="宋体" w:hAnsi="宋体" w:cs="宋体"/>
      <w:b/>
      <w:bCs/>
      <w:sz w:val="36"/>
      <w:szCs w:val="36"/>
    </w:rPr>
  </w:style>
  <w:style w:type="paragraph" w:customStyle="1" w:styleId="135">
    <w:name w:val="表内文字"/>
    <w:basedOn w:val="1"/>
    <w:uiPriority w:val="0"/>
    <w:pPr>
      <w:widowControl w:val="0"/>
      <w:tabs>
        <w:tab w:val="left" w:pos="1418"/>
      </w:tabs>
      <w:spacing w:line="360" w:lineRule="auto"/>
      <w:jc w:val="center"/>
    </w:pPr>
    <w:rPr>
      <w:rFonts w:ascii="仿宋_GB2312" w:eastAsia="仿宋_GB2312"/>
      <w:spacing w:val="-20"/>
      <w:sz w:val="24"/>
    </w:rPr>
  </w:style>
  <w:style w:type="paragraph" w:customStyle="1" w:styleId="136">
    <w:name w:val="font8"/>
    <w:basedOn w:val="1"/>
    <w:uiPriority w:val="0"/>
    <w:pPr>
      <w:spacing w:before="100" w:beforeLines="0" w:beforeAutospacing="1" w:after="100" w:afterLines="0" w:afterAutospacing="1"/>
    </w:pPr>
    <w:rPr>
      <w:b/>
      <w:bCs/>
      <w:sz w:val="36"/>
      <w:szCs w:val="36"/>
    </w:rPr>
  </w:style>
  <w:style w:type="paragraph" w:customStyle="1" w:styleId="137">
    <w:name w:val="题注4"/>
    <w:basedOn w:val="1"/>
    <w:next w:val="14"/>
    <w:uiPriority w:val="0"/>
    <w:pPr>
      <w:widowControl w:val="0"/>
      <w:ind w:left="-132" w:leftChars="-64" w:right="-105" w:rightChars="-50" w:hanging="2"/>
      <w:jc w:val="center"/>
    </w:pPr>
    <w:rPr>
      <w:b/>
      <w:color w:val="FF0000"/>
      <w:kern w:val="2"/>
      <w:szCs w:val="21"/>
      <w:lang w:val="en-GB"/>
    </w:rPr>
  </w:style>
  <w:style w:type="paragraph" w:customStyle="1" w:styleId="138">
    <w:name w:val="xl44"/>
    <w:basedOn w:val="1"/>
    <w:uiPriority w:val="0"/>
    <w:pPr>
      <w:pBdr>
        <w:top w:val="single" w:color="auto" w:sz="8"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b/>
      <w:bCs/>
      <w:sz w:val="36"/>
      <w:szCs w:val="36"/>
    </w:rPr>
  </w:style>
  <w:style w:type="paragraph" w:customStyle="1" w:styleId="139">
    <w:name w:val="c03"/>
    <w:basedOn w:val="1"/>
    <w:uiPriority w:val="0"/>
    <w:pPr>
      <w:spacing w:before="100" w:beforeLines="0" w:beforeAutospacing="1" w:after="100" w:afterLines="0" w:afterAutospacing="1"/>
    </w:pPr>
    <w:rPr>
      <w:rFonts w:ascii="宋体" w:hAnsi="宋体"/>
      <w:color w:val="000000"/>
      <w:sz w:val="24"/>
      <w:szCs w:val="24"/>
    </w:rPr>
  </w:style>
  <w:style w:type="paragraph" w:customStyle="1" w:styleId="140">
    <w:name w:val="机密、页码、日期"/>
    <w:uiPriority w:val="0"/>
    <w:pPr>
      <w:widowControl w:val="0"/>
      <w:jc w:val="both"/>
    </w:pPr>
    <w:rPr>
      <w:kern w:val="2"/>
      <w:sz w:val="21"/>
      <w:lang w:val="en-US" w:eastAsia="zh-CN" w:bidi="ar-SA"/>
    </w:rPr>
  </w:style>
  <w:style w:type="paragraph" w:customStyle="1" w:styleId="141">
    <w:name w:val="xl46"/>
    <w:basedOn w:val="1"/>
    <w:uiPriority w:val="0"/>
    <w:pPr>
      <w:pBdr>
        <w:top w:val="single" w:color="auto" w:sz="4" w:space="0"/>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b/>
      <w:bCs/>
      <w:sz w:val="36"/>
      <w:szCs w:val="36"/>
    </w:rPr>
  </w:style>
  <w:style w:type="paragraph" w:customStyle="1" w:styleId="142">
    <w:name w:val="xl41"/>
    <w:basedOn w:val="1"/>
    <w:uiPriority w:val="0"/>
    <w:pPr>
      <w:pBdr>
        <w:top w:val="single" w:color="auto" w:sz="4" w:space="0"/>
        <w:left w:val="single" w:color="auto" w:sz="8" w:space="0"/>
        <w:bottom w:val="single" w:color="auto" w:sz="8" w:space="0"/>
        <w:right w:val="single" w:color="auto" w:sz="4" w:space="0"/>
      </w:pBdr>
      <w:spacing w:before="100" w:beforeLines="0" w:beforeAutospacing="1" w:after="100" w:afterLines="0" w:afterAutospacing="1"/>
    </w:pPr>
    <w:rPr>
      <w:rFonts w:ascii="宋体" w:hAnsi="宋体" w:cs="宋体"/>
      <w:sz w:val="24"/>
      <w:szCs w:val="24"/>
    </w:rPr>
  </w:style>
  <w:style w:type="paragraph" w:customStyle="1" w:styleId="143">
    <w:name w:val="上次打印时间"/>
    <w:uiPriority w:val="0"/>
    <w:pPr>
      <w:widowControl w:val="0"/>
      <w:jc w:val="both"/>
    </w:pPr>
    <w:rPr>
      <w:kern w:val="2"/>
      <w:sz w:val="21"/>
      <w:lang w:val="en-US" w:eastAsia="zh-CN" w:bidi="ar-SA"/>
    </w:rPr>
  </w:style>
  <w:style w:type="paragraph" w:customStyle="1" w:styleId="144">
    <w:name w:val="关于:"/>
    <w:uiPriority w:val="0"/>
    <w:pPr>
      <w:widowControl w:val="0"/>
      <w:jc w:val="both"/>
    </w:pPr>
    <w:rPr>
      <w:kern w:val="2"/>
      <w:sz w:val="21"/>
      <w:lang w:val="en-US" w:eastAsia="zh-CN" w:bidi="ar-SA"/>
    </w:rPr>
  </w:style>
  <w:style w:type="paragraph" w:customStyle="1" w:styleId="145">
    <w:name w:val="xl31"/>
    <w:basedOn w:val="1"/>
    <w:uiPriority w:val="0"/>
    <w:pPr>
      <w:pBdr>
        <w:top w:val="single" w:color="auto" w:sz="4" w:space="0"/>
        <w:left w:val="single" w:color="auto" w:sz="4" w:space="0"/>
        <w:bottom w:val="single" w:color="auto" w:sz="4" w:space="0"/>
        <w:right w:val="single" w:color="auto" w:sz="8" w:space="0"/>
      </w:pBdr>
      <w:spacing w:before="100" w:beforeLines="0" w:beforeAutospacing="1" w:after="100" w:afterLines="0" w:afterAutospacing="1"/>
    </w:pPr>
    <w:rPr>
      <w:rFonts w:ascii="宋体" w:hAnsi="宋体" w:cs="宋体"/>
      <w:sz w:val="24"/>
      <w:szCs w:val="24"/>
    </w:rPr>
  </w:style>
  <w:style w:type="paragraph" w:customStyle="1" w:styleId="146">
    <w:name w:val="xl49"/>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sz w:val="24"/>
      <w:szCs w:val="24"/>
    </w:rPr>
  </w:style>
  <w:style w:type="paragraph" w:customStyle="1" w:styleId="147">
    <w:name w:val="Char Char Char Char"/>
    <w:basedOn w:val="1"/>
    <w:uiPriority w:val="0"/>
    <w:pPr>
      <w:widowControl w:val="0"/>
      <w:tabs>
        <w:tab w:val="left" w:pos="420"/>
      </w:tabs>
      <w:ind w:left="420" w:hanging="420"/>
      <w:jc w:val="both"/>
    </w:pPr>
    <w:rPr>
      <w:kern w:val="2"/>
      <w:sz w:val="24"/>
      <w:szCs w:val="24"/>
    </w:rPr>
  </w:style>
  <w:style w:type="paragraph" w:customStyle="1" w:styleId="148">
    <w:name w:val="上次保存者"/>
    <w:uiPriority w:val="0"/>
    <w:pPr>
      <w:widowControl w:val="0"/>
      <w:jc w:val="both"/>
    </w:pPr>
    <w:rPr>
      <w:kern w:val="2"/>
      <w:sz w:val="21"/>
      <w:lang w:val="en-US" w:eastAsia="zh-CN" w:bidi="ar-SA"/>
    </w:rPr>
  </w:style>
  <w:style w:type="paragraph" w:customStyle="1" w:styleId="149">
    <w:name w:val="xl39"/>
    <w:basedOn w:val="1"/>
    <w:uiPriority w:val="0"/>
    <w:pPr>
      <w:pBdr>
        <w:top w:val="single" w:color="auto" w:sz="4" w:space="0"/>
        <w:left w:val="single" w:color="auto" w:sz="8" w:space="0"/>
        <w:bottom w:val="single" w:color="auto" w:sz="4" w:space="0"/>
        <w:right w:val="single" w:color="auto" w:sz="4" w:space="0"/>
      </w:pBdr>
      <w:spacing w:before="100" w:beforeLines="0" w:beforeAutospacing="1" w:after="100" w:afterLines="0" w:afterAutospacing="1"/>
      <w:textAlignment w:val="top"/>
    </w:pPr>
    <w:rPr>
      <w:rFonts w:ascii="宋体" w:hAnsi="宋体" w:cs="宋体"/>
      <w:sz w:val="24"/>
      <w:szCs w:val="24"/>
    </w:rPr>
  </w:style>
  <w:style w:type="paragraph" w:customStyle="1" w:styleId="150">
    <w:name w:val="xl25"/>
    <w:basedOn w:val="1"/>
    <w:uiPriority w:val="0"/>
    <w:pPr>
      <w:spacing w:before="100" w:beforeLines="0" w:beforeAutospacing="1" w:after="100" w:afterLines="0" w:afterAutospacing="1"/>
      <w:jc w:val="right"/>
    </w:pPr>
    <w:rPr>
      <w:sz w:val="24"/>
      <w:szCs w:val="24"/>
    </w:rPr>
  </w:style>
  <w:style w:type="paragraph" w:customStyle="1" w:styleId="151">
    <w:name w:val="正文缩近"/>
    <w:basedOn w:val="1"/>
    <w:uiPriority w:val="0"/>
    <w:pPr>
      <w:widowControl w:val="0"/>
      <w:spacing w:line="360" w:lineRule="auto"/>
      <w:ind w:firstLine="200" w:firstLineChars="200"/>
      <w:jc w:val="both"/>
    </w:pPr>
    <w:rPr>
      <w:kern w:val="2"/>
      <w:sz w:val="24"/>
      <w:szCs w:val="24"/>
    </w:rPr>
  </w:style>
  <w:style w:type="paragraph" w:customStyle="1" w:styleId="152">
    <w:name w:val="font7"/>
    <w:basedOn w:val="1"/>
    <w:uiPriority w:val="0"/>
    <w:pPr>
      <w:spacing w:before="100" w:beforeLines="0" w:beforeAutospacing="1" w:after="100" w:afterLines="0" w:afterAutospacing="1"/>
    </w:pPr>
    <w:rPr>
      <w:rFonts w:ascii="宋体" w:hAnsi="宋体" w:cs="宋体"/>
      <w:b/>
      <w:bCs/>
      <w:sz w:val="36"/>
      <w:szCs w:val="36"/>
    </w:rPr>
  </w:style>
  <w:style w:type="paragraph" w:customStyle="1" w:styleId="153">
    <w:name w:val="需求书2"/>
    <w:basedOn w:val="1"/>
    <w:uiPriority w:val="0"/>
    <w:pPr>
      <w:widowControl w:val="0"/>
      <w:jc w:val="both"/>
    </w:pPr>
    <w:rPr>
      <w:rFonts w:ascii="宋体" w:hAnsi="宋体"/>
      <w:b/>
      <w:spacing w:val="10"/>
      <w:kern w:val="2"/>
      <w:sz w:val="24"/>
      <w:szCs w:val="24"/>
    </w:rPr>
  </w:style>
  <w:style w:type="paragraph" w:customStyle="1" w:styleId="154">
    <w:name w:val="临书仓促，不尽欲言。"/>
    <w:uiPriority w:val="0"/>
    <w:pPr>
      <w:widowControl w:val="0"/>
      <w:jc w:val="both"/>
    </w:pPr>
    <w:rPr>
      <w:kern w:val="2"/>
      <w:sz w:val="21"/>
      <w:lang w:val="en-US" w:eastAsia="zh-CN" w:bidi="ar-SA"/>
    </w:rPr>
  </w:style>
  <w:style w:type="paragraph" w:customStyle="1" w:styleId="155">
    <w:name w:val="xl29"/>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宋体" w:hAnsi="宋体" w:cs="宋体"/>
      <w:sz w:val="24"/>
      <w:szCs w:val="24"/>
    </w:rPr>
  </w:style>
  <w:style w:type="paragraph" w:customStyle="1" w:styleId="156">
    <w:name w:val="xl47"/>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cs="宋体"/>
      <w:b/>
      <w:bCs/>
      <w:sz w:val="36"/>
      <w:szCs w:val="36"/>
    </w:rPr>
  </w:style>
  <w:style w:type="paragraph" w:customStyle="1" w:styleId="157">
    <w:name w:val="xl33"/>
    <w:basedOn w:val="1"/>
    <w:uiPriority w:val="0"/>
    <w:pPr>
      <w:pBdr>
        <w:top w:val="single" w:color="auto" w:sz="4" w:space="0"/>
        <w:left w:val="single" w:color="auto" w:sz="4" w:space="0"/>
        <w:bottom w:val="single" w:color="auto" w:sz="4" w:space="0"/>
        <w:right w:val="single" w:color="auto" w:sz="8" w:space="0"/>
      </w:pBdr>
      <w:spacing w:before="100" w:beforeLines="0" w:beforeAutospacing="1" w:after="100" w:afterLines="0" w:afterAutospacing="1"/>
    </w:pPr>
    <w:rPr>
      <w:rFonts w:ascii="宋体" w:hAnsi="宋体" w:cs="宋体"/>
      <w:sz w:val="24"/>
      <w:szCs w:val="24"/>
    </w:rPr>
  </w:style>
  <w:style w:type="paragraph" w:customStyle="1" w:styleId="158">
    <w:name w:val="xl30"/>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sz w:val="24"/>
      <w:szCs w:val="24"/>
    </w:rPr>
  </w:style>
  <w:style w:type="paragraph" w:customStyle="1" w:styleId="159">
    <w:name w:val="近来寒暑不常，希自珍慰。"/>
    <w:uiPriority w:val="0"/>
    <w:pPr>
      <w:widowControl w:val="0"/>
      <w:jc w:val="both"/>
    </w:pPr>
    <w:rPr>
      <w:kern w:val="2"/>
      <w:sz w:val="21"/>
      <w:lang w:val="en-US" w:eastAsia="zh-CN" w:bidi="ar-SA"/>
    </w:rPr>
  </w:style>
  <w:style w:type="paragraph" w:customStyle="1" w:styleId="160">
    <w:name w:val="Normal1"/>
    <w:uiPriority w:val="0"/>
    <w:pPr>
      <w:widowControl w:val="0"/>
      <w:adjustRightInd w:val="0"/>
      <w:spacing w:line="315" w:lineRule="atLeast"/>
      <w:jc w:val="both"/>
      <w:textAlignment w:val="baseline"/>
    </w:pPr>
    <w:rPr>
      <w:rFonts w:ascii="宋体"/>
      <w:sz w:val="21"/>
      <w:lang w:val="en-US" w:eastAsia="zh-CN" w:bidi="ar-SA"/>
    </w:rPr>
  </w:style>
  <w:style w:type="paragraph" w:customStyle="1" w:styleId="161">
    <w:name w:val="xl28"/>
    <w:basedOn w:val="1"/>
    <w:uiPriority w:val="0"/>
    <w:pPr>
      <w:pBdr>
        <w:top w:val="single" w:color="auto" w:sz="4" w:space="0"/>
        <w:left w:val="single" w:color="auto" w:sz="4" w:space="0"/>
        <w:bottom w:val="single" w:color="auto" w:sz="4" w:space="0"/>
        <w:right w:val="single" w:color="auto" w:sz="8" w:space="0"/>
      </w:pBdr>
      <w:spacing w:before="100" w:beforeLines="0" w:beforeAutospacing="1" w:after="100" w:afterLines="0" w:afterAutospacing="1"/>
      <w:jc w:val="center"/>
    </w:pPr>
    <w:rPr>
      <w:rFonts w:ascii="宋体" w:hAnsi="宋体" w:cs="宋体"/>
      <w:sz w:val="24"/>
      <w:szCs w:val="24"/>
    </w:rPr>
  </w:style>
  <w:style w:type="paragraph" w:customStyle="1" w:styleId="162">
    <w:name w:val="知尊恙复发，心甚念之。"/>
    <w:uiPriority w:val="0"/>
    <w:pPr>
      <w:widowControl w:val="0"/>
      <w:jc w:val="both"/>
    </w:pPr>
    <w:rPr>
      <w:kern w:val="2"/>
      <w:sz w:val="21"/>
      <w:lang w:val="en-US" w:eastAsia="zh-CN" w:bidi="ar-SA"/>
    </w:rPr>
  </w:style>
  <w:style w:type="paragraph" w:customStyle="1" w:styleId="163">
    <w:name w:val="顺颂商祺！"/>
    <w:uiPriority w:val="0"/>
    <w:pPr>
      <w:widowControl w:val="0"/>
      <w:jc w:val="both"/>
    </w:pPr>
    <w:rPr>
      <w:kern w:val="2"/>
      <w:sz w:val="21"/>
      <w:lang w:val="en-US" w:eastAsia="zh-CN" w:bidi="ar-SA"/>
    </w:rPr>
  </w:style>
  <w:style w:type="paragraph" w:customStyle="1" w:styleId="164">
    <w:name w:val="默认段落字体 Para Char Char Char Char Char Char Char Char Char1 Char Char Char Char"/>
    <w:basedOn w:val="1"/>
    <w:uiPriority w:val="0"/>
    <w:pPr>
      <w:widowControl w:val="0"/>
      <w:jc w:val="both"/>
    </w:pPr>
    <w:rPr>
      <w:rFonts w:ascii="Tahoma" w:hAnsi="Tahoma"/>
      <w:kern w:val="2"/>
      <w:sz w:val="24"/>
    </w:rPr>
  </w:style>
  <w:style w:type="paragraph" w:customStyle="1" w:styleId="165">
    <w:name w:val="分手多日，近况如何？"/>
    <w:uiPriority w:val="0"/>
    <w:pPr>
      <w:widowControl w:val="0"/>
      <w:jc w:val="both"/>
    </w:pPr>
    <w:rPr>
      <w:kern w:val="2"/>
      <w:sz w:val="21"/>
      <w:lang w:val="en-US" w:eastAsia="zh-CN" w:bidi="ar-SA"/>
    </w:rPr>
  </w:style>
  <w:style w:type="paragraph" w:customStyle="1" w:styleId="166">
    <w:name w:val="匆此先复，余容后禀。"/>
    <w:uiPriority w:val="0"/>
    <w:pPr>
      <w:widowControl w:val="0"/>
      <w:jc w:val="both"/>
    </w:pPr>
    <w:rPr>
      <w:kern w:val="2"/>
      <w:sz w:val="21"/>
      <w:lang w:val="en-US" w:eastAsia="zh-CN" w:bidi="ar-SA"/>
    </w:rPr>
  </w:style>
  <w:style w:type="paragraph" w:customStyle="1" w:styleId="167">
    <w:name w:val="答复:"/>
    <w:uiPriority w:val="0"/>
    <w:pPr>
      <w:widowControl w:val="0"/>
      <w:jc w:val="both"/>
    </w:pPr>
    <w:rPr>
      <w:kern w:val="2"/>
      <w:sz w:val="21"/>
      <w:lang w:val="en-US" w:eastAsia="zh-CN" w:bidi="ar-SA"/>
    </w:rPr>
  </w:style>
  <w:style w:type="paragraph" w:customStyle="1" w:styleId="168">
    <w:name w:val="130"/>
    <w:basedOn w:val="1"/>
    <w:uiPriority w:val="0"/>
    <w:pPr>
      <w:spacing w:before="100" w:beforeLines="0" w:beforeAutospacing="1" w:after="100" w:afterLines="0" w:afterAutospacing="1" w:line="324" w:lineRule="auto"/>
    </w:pPr>
    <w:rPr>
      <w:rFonts w:ascii="宋体" w:hAnsi="宋体"/>
      <w:color w:val="000000"/>
      <w:sz w:val="24"/>
      <w:szCs w:val="24"/>
    </w:rPr>
  </w:style>
  <w:style w:type="paragraph" w:customStyle="1" w:styleId="169">
    <w:name w:val="先生/女士："/>
    <w:uiPriority w:val="0"/>
    <w:pPr>
      <w:widowControl w:val="0"/>
      <w:jc w:val="both"/>
    </w:pPr>
    <w:rPr>
      <w:kern w:val="2"/>
      <w:sz w:val="21"/>
      <w:lang w:val="en-US" w:eastAsia="zh-CN" w:bidi="ar-SA"/>
    </w:rPr>
  </w:style>
  <w:style w:type="paragraph" w:customStyle="1" w:styleId="170">
    <w:name w:val="xl37"/>
    <w:basedOn w:val="1"/>
    <w:uiPriority w:val="0"/>
    <w:pPr>
      <w:pBdr>
        <w:top w:val="single" w:color="auto" w:sz="4" w:space="0"/>
        <w:left w:val="single" w:color="auto" w:sz="4" w:space="0"/>
        <w:bottom w:val="single" w:color="auto" w:sz="8" w:space="0"/>
        <w:right w:val="single" w:color="auto" w:sz="8" w:space="0"/>
      </w:pBdr>
      <w:spacing w:before="100" w:beforeLines="0" w:beforeAutospacing="1" w:after="100" w:afterLines="0" w:afterAutospacing="1"/>
    </w:pPr>
    <w:rPr>
      <w:rFonts w:ascii="宋体" w:hAnsi="宋体" w:cs="宋体"/>
      <w:sz w:val="24"/>
      <w:szCs w:val="24"/>
    </w:rPr>
  </w:style>
  <w:style w:type="paragraph" w:customStyle="1" w:styleId="171">
    <w:name w:val="font0"/>
    <w:basedOn w:val="1"/>
    <w:uiPriority w:val="0"/>
    <w:pPr>
      <w:spacing w:before="100" w:beforeLines="0" w:beforeAutospacing="1" w:after="100" w:afterLines="0" w:afterAutospacing="1"/>
    </w:pPr>
    <w:rPr>
      <w:rFonts w:ascii="宋体" w:hAnsi="宋体" w:cs="宋体"/>
      <w:sz w:val="24"/>
      <w:szCs w:val="24"/>
    </w:rPr>
  </w:style>
  <w:style w:type="paragraph" w:customStyle="1" w:styleId="172">
    <w:name w:val="尊意如何，请即示知。"/>
    <w:uiPriority w:val="0"/>
    <w:pPr>
      <w:widowControl w:val="0"/>
      <w:jc w:val="both"/>
    </w:pPr>
    <w:rPr>
      <w:kern w:val="2"/>
      <w:sz w:val="21"/>
      <w:lang w:val="en-US" w:eastAsia="zh-CN" w:bidi="ar-SA"/>
    </w:rPr>
  </w:style>
  <w:style w:type="paragraph" w:customStyle="1" w:styleId="173">
    <w:name w:val="文件名"/>
    <w:uiPriority w:val="0"/>
    <w:pPr>
      <w:widowControl w:val="0"/>
      <w:jc w:val="both"/>
    </w:pPr>
    <w:rPr>
      <w:kern w:val="2"/>
      <w:sz w:val="21"/>
      <w:lang w:val="en-US" w:eastAsia="zh-CN" w:bidi="ar-SA"/>
    </w:rPr>
  </w:style>
  <w:style w:type="paragraph" w:customStyle="1" w:styleId="174">
    <w:name w:val="奉读大示，心折殊深。"/>
    <w:uiPriority w:val="0"/>
    <w:pPr>
      <w:widowControl w:val="0"/>
      <w:jc w:val="both"/>
    </w:pPr>
    <w:rPr>
      <w:kern w:val="2"/>
      <w:sz w:val="21"/>
      <w:lang w:val="en-US" w:eastAsia="zh-CN" w:bidi="ar-SA"/>
    </w:rPr>
  </w:style>
  <w:style w:type="paragraph" w:customStyle="1" w:styleId="175">
    <w:name w:val="xl40"/>
    <w:basedOn w:val="1"/>
    <w:uiPriority w:val="0"/>
    <w:pPr>
      <w:pBdr>
        <w:top w:val="single" w:color="auto" w:sz="4" w:space="0"/>
        <w:left w:val="single" w:color="auto" w:sz="8" w:space="0"/>
        <w:bottom w:val="single" w:color="auto" w:sz="4" w:space="0"/>
        <w:right w:val="single" w:color="auto" w:sz="4" w:space="0"/>
      </w:pBdr>
      <w:spacing w:before="100" w:beforeLines="0" w:beforeAutospacing="1" w:after="100" w:afterLines="0" w:afterAutospacing="1"/>
    </w:pPr>
    <w:rPr>
      <w:rFonts w:ascii="宋体" w:hAnsi="宋体" w:cs="宋体"/>
      <w:sz w:val="24"/>
      <w:szCs w:val="24"/>
    </w:rPr>
  </w:style>
  <w:style w:type="paragraph" w:customStyle="1" w:styleId="176">
    <w:name w:val="xl32"/>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宋体" w:hAnsi="宋体" w:cs="宋体"/>
      <w:sz w:val="24"/>
      <w:szCs w:val="24"/>
    </w:rPr>
  </w:style>
  <w:style w:type="paragraph" w:customStyle="1" w:styleId="177">
    <w:name w:val="参考:"/>
    <w:uiPriority w:val="0"/>
    <w:pPr>
      <w:widowControl w:val="0"/>
      <w:jc w:val="both"/>
    </w:pPr>
    <w:rPr>
      <w:kern w:val="2"/>
      <w:sz w:val="21"/>
      <w:lang w:val="en-US" w:eastAsia="zh-CN" w:bidi="ar-SA"/>
    </w:rPr>
  </w:style>
  <w:style w:type="paragraph" w:customStyle="1" w:styleId="178">
    <w:name w:val="二级标题"/>
    <w:basedOn w:val="23"/>
    <w:qFormat/>
    <w:uiPriority w:val="0"/>
    <w:pPr>
      <w:widowControl w:val="0"/>
      <w:snapToGrid w:val="0"/>
      <w:spacing w:beforeLines="50"/>
      <w:ind w:firstLine="422" w:firstLineChars="200"/>
      <w:jc w:val="both"/>
      <w:outlineLvl w:val="1"/>
    </w:pPr>
    <w:rPr>
      <w:rFonts w:hAnsi="宋体" w:cs="Times New Roman"/>
      <w:b/>
      <w:kern w:val="2"/>
    </w:rPr>
  </w:style>
  <w:style w:type="character" w:customStyle="1" w:styleId="179">
    <w:name w:val="HTML 预设格式 Char"/>
    <w:link w:val="40"/>
    <w:uiPriority w:val="99"/>
    <w:rPr>
      <w:rFonts w:ascii="黑体" w:hAnsi="Courier New" w:eastAsia="黑体" w:cs="Courier New"/>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footer8.xml" Type="http://schemas.openxmlformats.org/officeDocument/2006/relationships/foot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21" Target="people.xml" Type="http://schemas.microsoft.com/office/2011/relationships/peop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3575</Words>
  <Characters>20383</Characters>
  <Lines>169</Lines>
  <Paragraphs>47</Paragraphs>
  <TotalTime>0</TotalTime>
  <ScaleCrop>false</ScaleCrop>
  <LinksUpToDate>false</LinksUpToDate>
  <CharactersWithSpaces>23911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2019-08-07T07:56:00Z</dcterms:created>
  <dc:creator>User</dc:creator>
  <cp:lastModifiedBy>WPS_1701756769</cp:lastModifiedBy>
  <cp:lastPrinted>2018-05-14T01:38:00Z</cp:lastPrinted>
  <dcterms:modified xsi:type="dcterms:W3CDTF">2024-02-23T01:29:14Z</dcterms:modified>
  <cp:revision>14</cp:revision>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C4FD8F12B99C44E788633F3D98A467C9_13</vt:lpwstr>
  </property>
</Properties>
</file>