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44"/>
          <w:szCs w:val="44"/>
          <w:highlight w:val="none"/>
        </w:rPr>
      </w:pPr>
      <w:bookmarkStart w:id="440" w:name="_GoBack"/>
      <w:bookmarkEnd w:id="440"/>
    </w:p>
    <w:p>
      <w:pPr>
        <w:spacing w:line="360" w:lineRule="auto"/>
        <w:jc w:val="center"/>
        <w:rPr>
          <w:rFonts w:ascii="仿宋_GB2312" w:hAnsi="仿宋" w:eastAsia="仿宋_GB2312" w:cs="仿宋_GB2312"/>
          <w:b/>
          <w:color w:val="auto"/>
          <w:sz w:val="48"/>
          <w:szCs w:val="48"/>
          <w:highlight w:val="none"/>
        </w:rPr>
      </w:pPr>
    </w:p>
    <w:p>
      <w:pPr>
        <w:spacing w:line="360" w:lineRule="auto"/>
        <w:jc w:val="center"/>
        <w:rPr>
          <w:rFonts w:hint="eastAsia" w:ascii="仿宋" w:hAnsi="仿宋" w:eastAsia="仿宋" w:cs="仿宋_GB2312"/>
          <w:color w:val="auto"/>
          <w:sz w:val="48"/>
          <w:szCs w:val="48"/>
          <w:highlight w:val="none"/>
          <w:lang w:eastAsia="zh-CN"/>
        </w:rPr>
      </w:pPr>
      <w:r>
        <w:rPr>
          <w:rFonts w:hint="eastAsia" w:ascii="仿宋" w:hAnsi="仿宋" w:eastAsia="仿宋" w:cs="仿宋_GB2312"/>
          <w:color w:val="auto"/>
          <w:sz w:val="48"/>
          <w:szCs w:val="48"/>
          <w:highlight w:val="none"/>
          <w:lang w:eastAsia="zh-CN"/>
        </w:rPr>
        <w:t>宁波市奉化区园林管理处奉化城区功能性照明设施维修养护管理服务项目</w:t>
      </w:r>
    </w:p>
    <w:p>
      <w:pPr>
        <w:spacing w:line="360" w:lineRule="auto"/>
        <w:jc w:val="center"/>
        <w:rPr>
          <w:rFonts w:hint="eastAsia" w:ascii="仿宋" w:hAnsi="仿宋" w:eastAsia="仿宋" w:cs="仿宋_GB2312"/>
          <w:color w:val="auto"/>
          <w:sz w:val="48"/>
          <w:szCs w:val="48"/>
          <w:highlight w:val="none"/>
        </w:rPr>
      </w:pPr>
    </w:p>
    <w:p>
      <w:pPr>
        <w:pStyle w:val="25"/>
        <w:ind w:firstLine="560"/>
        <w:rPr>
          <w:rFonts w:hint="eastAsia"/>
          <w:color w:val="auto"/>
          <w:highlight w:val="none"/>
        </w:rPr>
      </w:pPr>
    </w:p>
    <w:p>
      <w:pPr>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（电子招投标）</w:t>
      </w:r>
    </w:p>
    <w:p>
      <w:pPr>
        <w:snapToGrid w:val="0"/>
        <w:spacing w:line="360" w:lineRule="auto"/>
        <w:jc w:val="center"/>
        <w:rPr>
          <w:rFonts w:hint="eastAsia" w:ascii="仿宋" w:hAnsi="仿宋" w:eastAsia="仿宋" w:cs="仿宋_GB2312"/>
          <w:color w:val="auto"/>
          <w:sz w:val="30"/>
          <w:szCs w:val="30"/>
          <w:highlight w:val="none"/>
        </w:rPr>
      </w:pPr>
    </w:p>
    <w:p>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项目编号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NBJX2022154G</w:t>
      </w:r>
      <w:r>
        <w:rPr>
          <w:rFonts w:hint="eastAsia"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FHZFCG(2022)186D</w:t>
      </w: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hint="eastAsia" w:ascii="仿宋" w:hAnsi="仿宋" w:eastAsia="仿宋" w:cs="仿宋_GB2312"/>
          <w:color w:val="auto"/>
          <w:sz w:val="24"/>
          <w:highlight w:val="none"/>
        </w:rPr>
      </w:pPr>
    </w:p>
    <w:p>
      <w:pPr>
        <w:pStyle w:val="25"/>
        <w:ind w:firstLine="560"/>
        <w:rPr>
          <w:rFonts w:hint="eastAsia"/>
          <w:color w:val="auto"/>
          <w:highlight w:val="none"/>
        </w:rPr>
      </w:pPr>
    </w:p>
    <w:p>
      <w:pPr>
        <w:pStyle w:val="25"/>
        <w:ind w:firstLine="560"/>
        <w:rPr>
          <w:color w:val="auto"/>
          <w:highlight w:val="none"/>
        </w:rPr>
      </w:pPr>
    </w:p>
    <w:p>
      <w:pPr>
        <w:spacing w:line="360" w:lineRule="auto"/>
        <w:jc w:val="center"/>
        <w:rPr>
          <w:rFonts w:ascii="仿宋" w:hAnsi="仿宋" w:eastAsia="仿宋" w:cs="仿宋_GB2312"/>
          <w:color w:val="auto"/>
          <w:sz w:val="24"/>
          <w:highlight w:val="none"/>
        </w:rPr>
      </w:pPr>
    </w:p>
    <w:p>
      <w:pPr>
        <w:snapToGrid w:val="0"/>
        <w:spacing w:line="360" w:lineRule="auto"/>
        <w:jc w:val="center"/>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lang w:eastAsia="zh-CN"/>
        </w:rPr>
        <w:t>宁波市奉化区园林管理处</w:t>
      </w:r>
    </w:p>
    <w:p>
      <w:pPr>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宁波建兴招标有限公司</w:t>
      </w:r>
    </w:p>
    <w:p>
      <w:pPr>
        <w:snapToGrid w:val="0"/>
        <w:spacing w:line="360" w:lineRule="auto"/>
        <w:jc w:val="center"/>
        <w:rPr>
          <w:rFonts w:hint="eastAsia" w:ascii="仿宋_GB2312" w:hAnsi="仿宋_GB2312" w:eastAsia="仿宋_GB2312" w:cs="仿宋_GB2312"/>
          <w:bCs/>
          <w:color w:val="auto"/>
          <w:sz w:val="32"/>
          <w:szCs w:val="32"/>
          <w:highlight w:val="none"/>
        </w:rPr>
      </w:pP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eastAsia="仿宋_GB2312" w:cs="宋体"/>
          <w:bCs/>
          <w:color w:val="auto"/>
          <w:sz w:val="32"/>
          <w:szCs w:val="32"/>
          <w:highlight w:val="none"/>
        </w:rPr>
        <w:t>二</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八</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二十六</w:t>
      </w:r>
      <w:r>
        <w:rPr>
          <w:rFonts w:hint="eastAsia" w:ascii="仿宋_GB2312" w:hAnsi="仿宋_GB2312" w:eastAsia="仿宋_GB2312" w:cs="仿宋_GB2312"/>
          <w:bCs/>
          <w:color w:val="auto"/>
          <w:sz w:val="32"/>
          <w:szCs w:val="32"/>
          <w:highlight w:val="none"/>
        </w:rPr>
        <w:t>日</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第五部分      </w:t>
      </w:r>
      <w:r>
        <w:rPr>
          <w:rFonts w:hint="eastAsia" w:ascii="仿宋" w:hAnsi="仿宋" w:eastAsia="仿宋" w:cs="仿宋"/>
          <w:color w:val="auto"/>
          <w:sz w:val="32"/>
          <w:szCs w:val="32"/>
          <w:highlight w:val="none"/>
          <w:lang w:eastAsia="zh-CN"/>
        </w:rPr>
        <w:t>政府采购合同文本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286" w:type="dxa"/>
            <w:noWrap w:val="0"/>
            <w:vAlign w:val="top"/>
          </w:tcPr>
          <w:p>
            <w:pPr>
              <w:pStyle w:val="25"/>
              <w:ind w:firstLine="0" w:firstLineChars="0"/>
              <w:rPr>
                <w:rFonts w:hint="eastAsia" w:ascii="仿宋" w:hAnsi="仿宋" w:eastAsia="仿宋"/>
                <w:color w:val="auto"/>
                <w:szCs w:val="28"/>
                <w:highlight w:val="none"/>
              </w:rPr>
            </w:pPr>
            <w:r>
              <w:rPr>
                <w:rFonts w:hint="eastAsia" w:ascii="仿宋" w:hAnsi="仿宋" w:eastAsia="仿宋" w:cs="仿宋"/>
                <w:color w:val="auto"/>
                <w:kern w:val="0"/>
                <w:szCs w:val="28"/>
                <w:highlight w:val="none"/>
              </w:rPr>
              <w:t>项目概况：</w:t>
            </w:r>
            <w:r>
              <w:rPr>
                <w:rFonts w:hint="eastAsia" w:ascii="仿宋" w:hAnsi="仿宋" w:eastAsia="仿宋" w:cs="仿宋"/>
                <w:color w:val="auto"/>
                <w:kern w:val="0"/>
                <w:szCs w:val="28"/>
                <w:highlight w:val="none"/>
                <w:u w:val="none"/>
                <w:lang w:eastAsia="zh-CN"/>
              </w:rPr>
              <w:t>宁波市奉化区园林管理处奉化城区功能性照明设施维修养护管理服务项目</w:t>
            </w:r>
            <w:r>
              <w:rPr>
                <w:rFonts w:hint="eastAsia" w:ascii="仿宋" w:hAnsi="仿宋" w:eastAsia="仿宋" w:cs="仿宋"/>
                <w:color w:val="auto"/>
                <w:kern w:val="0"/>
                <w:szCs w:val="28"/>
                <w:highlight w:val="none"/>
              </w:rPr>
              <w:t>的潜在供应商应在政采云平台（</w:t>
            </w:r>
            <w:r>
              <w:rPr>
                <w:rFonts w:hint="eastAsia" w:ascii="仿宋" w:hAnsi="仿宋" w:eastAsia="仿宋" w:cs="仿宋"/>
                <w:color w:val="auto"/>
                <w:kern w:val="0"/>
                <w:szCs w:val="28"/>
                <w:highlight w:val="none"/>
              </w:rPr>
              <w:fldChar w:fldCharType="begin"/>
            </w:r>
            <w:r>
              <w:rPr>
                <w:rFonts w:hint="eastAsia" w:ascii="仿宋" w:hAnsi="仿宋" w:eastAsia="仿宋" w:cs="仿宋"/>
                <w:color w:val="auto"/>
                <w:kern w:val="0"/>
                <w:szCs w:val="28"/>
                <w:highlight w:val="none"/>
              </w:rPr>
              <w:instrText xml:space="preserve"> HYPERLINK "https://www.zcygov.cn/）获取（下载）招标文件，并于2022年5月20日9点00分00秒" </w:instrText>
            </w:r>
            <w:r>
              <w:rPr>
                <w:rFonts w:hint="eastAsia" w:ascii="仿宋" w:hAnsi="仿宋" w:eastAsia="仿宋" w:cs="仿宋"/>
                <w:color w:val="auto"/>
                <w:kern w:val="0"/>
                <w:szCs w:val="28"/>
                <w:highlight w:val="none"/>
              </w:rPr>
              <w:fldChar w:fldCharType="separate"/>
            </w:r>
            <w:r>
              <w:rPr>
                <w:rFonts w:hint="eastAsia" w:ascii="仿宋" w:hAnsi="仿宋" w:eastAsia="仿宋" w:cs="仿宋"/>
                <w:color w:val="auto"/>
                <w:kern w:val="0"/>
                <w:szCs w:val="28"/>
                <w:highlight w:val="none"/>
              </w:rPr>
              <w:t>https://www.zcygov.cn/）获取（下载）招标文件，并于2022年</w:t>
            </w:r>
            <w:r>
              <w:rPr>
                <w:rFonts w:hint="eastAsia" w:ascii="仿宋" w:hAnsi="仿宋" w:eastAsia="仿宋" w:cs="仿宋"/>
                <w:color w:val="auto"/>
                <w:kern w:val="0"/>
                <w:szCs w:val="28"/>
                <w:highlight w:val="none"/>
                <w:lang w:val="en-US" w:eastAsia="zh-CN"/>
              </w:rPr>
              <w:t>9</w:t>
            </w:r>
            <w:r>
              <w:rPr>
                <w:rFonts w:hint="eastAsia" w:ascii="仿宋" w:hAnsi="仿宋" w:eastAsia="仿宋" w:cs="仿宋"/>
                <w:color w:val="auto"/>
                <w:kern w:val="0"/>
                <w:szCs w:val="28"/>
                <w:highlight w:val="none"/>
              </w:rPr>
              <w:t>月</w:t>
            </w:r>
            <w:r>
              <w:rPr>
                <w:rFonts w:hint="eastAsia" w:ascii="仿宋" w:hAnsi="仿宋" w:eastAsia="仿宋" w:cs="仿宋"/>
                <w:color w:val="auto"/>
                <w:kern w:val="0"/>
                <w:szCs w:val="28"/>
                <w:highlight w:val="none"/>
                <w:lang w:val="en-US" w:eastAsia="zh-CN"/>
              </w:rPr>
              <w:t>19</w:t>
            </w:r>
            <w:r>
              <w:rPr>
                <w:rFonts w:hint="eastAsia" w:ascii="仿宋" w:hAnsi="仿宋" w:eastAsia="仿宋" w:cs="仿宋"/>
                <w:color w:val="auto"/>
                <w:kern w:val="0"/>
                <w:szCs w:val="28"/>
                <w:highlight w:val="none"/>
              </w:rPr>
              <w:t>日9点00分00秒</w:t>
            </w:r>
            <w:r>
              <w:rPr>
                <w:rFonts w:hint="eastAsia" w:ascii="仿宋" w:hAnsi="仿宋" w:eastAsia="仿宋" w:cs="仿宋"/>
                <w:color w:val="auto"/>
                <w:kern w:val="0"/>
                <w:szCs w:val="28"/>
                <w:highlight w:val="none"/>
              </w:rPr>
              <w:fldChar w:fldCharType="end"/>
            </w:r>
            <w:r>
              <w:rPr>
                <w:rFonts w:hint="eastAsia" w:ascii="仿宋" w:hAnsi="仿宋" w:eastAsia="仿宋" w:cs="仿宋"/>
                <w:color w:val="auto"/>
                <w:kern w:val="0"/>
                <w:szCs w:val="28"/>
                <w:highlight w:val="none"/>
              </w:rPr>
              <w:t>（北京时间）前递交（上传）投标文件。</w:t>
            </w:r>
          </w:p>
        </w:tc>
      </w:tr>
    </w:tbl>
    <w:p>
      <w:pPr>
        <w:spacing w:before="120" w:beforeLines="50" w:after="120" w:afterLines="5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NBJX2022154G</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FHZFCG(2022)186D</w:t>
      </w:r>
    </w:p>
    <w:p>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奉化城区功能性照明设施维修养护管理服务项目</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/年</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val="en-US" w:eastAsia="zh-CN"/>
        </w:rPr>
        <w:t>1921724</w:t>
      </w:r>
      <w:r>
        <w:rPr>
          <w:rFonts w:hint="eastAsia" w:ascii="仿宋" w:hAnsi="仿宋" w:eastAsia="仿宋" w:cs="仿宋"/>
          <w:color w:val="auto"/>
          <w:sz w:val="24"/>
          <w:highlight w:val="none"/>
        </w:rPr>
        <w:t>；</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/年</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val="en-US" w:eastAsia="zh-CN"/>
        </w:rPr>
        <w:t>1919569</w:t>
      </w:r>
      <w:r>
        <w:rPr>
          <w:rFonts w:hint="eastAsia" w:ascii="仿宋" w:hAnsi="仿宋" w:eastAsia="仿宋" w:cs="仿宋"/>
          <w:color w:val="auto"/>
          <w:sz w:val="24"/>
          <w:highlight w:val="none"/>
        </w:rPr>
        <w:t>；</w:t>
      </w:r>
    </w:p>
    <w:p>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采购需求：标项1</w:t>
      </w:r>
      <w:r>
        <w:rPr>
          <w:rFonts w:hint="eastAsia" w:ascii="仿宋" w:hAnsi="仿宋" w:eastAsia="仿宋" w:cs="仿宋"/>
          <w:snapToGrid/>
          <w:color w:val="auto"/>
          <w:kern w:val="2"/>
          <w:sz w:val="24"/>
          <w:szCs w:val="24"/>
          <w:highlight w:val="none"/>
          <w:lang w:val="en-US" w:eastAsia="zh-CN" w:bidi="ar-SA"/>
        </w:rPr>
        <w:t>功能性照明设施维修养护管理服务，主要内容为对奉化区本级照明设施及路灯控制设备的管理、清洁、维修等</w:t>
      </w:r>
      <w:r>
        <w:rPr>
          <w:rFonts w:hint="eastAsia" w:ascii="仿宋" w:hAnsi="仿宋" w:eastAsia="仿宋" w:cs="仿宋"/>
          <w:bCs/>
          <w:snapToGrid/>
          <w:color w:val="auto"/>
          <w:kern w:val="2"/>
          <w:sz w:val="24"/>
          <w:szCs w:val="24"/>
          <w:highlight w:val="none"/>
          <w:lang w:val="en-US" w:eastAsia="zh-CN"/>
        </w:rPr>
        <w:t>所有养护工作。</w:t>
      </w:r>
    </w:p>
    <w:p>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详见招标文件第三部分采购需求。</w:t>
      </w:r>
    </w:p>
    <w:p>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bCs/>
          <w:snapToGrid/>
          <w:color w:val="auto"/>
          <w:kern w:val="2"/>
          <w:sz w:val="24"/>
          <w:szCs w:val="24"/>
          <w:highlight w:val="none"/>
          <w:lang w:eastAsia="zh-CN"/>
        </w:rPr>
        <w:t>3年，合同一年一签，每年根据采购人考核情况及中标人的合同履行情况，经双方协商一致方可续签</w:t>
      </w:r>
      <w:r>
        <w:rPr>
          <w:rFonts w:hint="eastAsia" w:ascii="仿宋" w:hAnsi="仿宋" w:eastAsia="仿宋" w:cs="仿宋"/>
          <w:bCs/>
          <w:snapToGrid/>
          <w:color w:val="auto"/>
          <w:kern w:val="2"/>
          <w:sz w:val="24"/>
          <w:szCs w:val="24"/>
          <w:highlight w:val="none"/>
        </w:rPr>
        <w:t>。</w:t>
      </w:r>
    </w:p>
    <w:p>
      <w:pPr>
        <w:pStyle w:val="5"/>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00A8"/>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before="120" w:beforeLines="50" w:after="120" w:afterLines="5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w:t>
      </w:r>
      <w:r>
        <w:rPr>
          <w:rFonts w:hint="eastAsia" w:ascii="仿宋" w:hAnsi="仿宋" w:eastAsia="仿宋" w:cs="仿宋"/>
          <w:snapToGrid w:val="0"/>
          <w:color w:val="auto"/>
          <w:kern w:val="28"/>
          <w:sz w:val="24"/>
          <w:szCs w:val="20"/>
          <w:highlight w:val="none"/>
          <w:lang w:eastAsia="zh-CN"/>
        </w:rPr>
        <w:t>投标人</w:t>
      </w:r>
      <w:r>
        <w:rPr>
          <w:rFonts w:hint="eastAsia" w:ascii="仿宋" w:hAnsi="仿宋" w:eastAsia="仿宋" w:cs="仿宋"/>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pacing w:val="8"/>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p>
    <w:p>
      <w:pPr>
        <w:spacing w:line="360" w:lineRule="auto"/>
        <w:ind w:firstLine="512" w:firstLineChars="200"/>
        <w:rPr>
          <w:rFonts w:hint="eastAsia" w:ascii="仿宋" w:hAnsi="仿宋" w:eastAsia="仿宋" w:cs="仿宋"/>
          <w:color w:val="auto"/>
          <w:spacing w:val="8"/>
          <w:kern w:val="0"/>
          <w:sz w:val="24"/>
          <w:highlight w:val="none"/>
        </w:rPr>
      </w:pPr>
      <w:r>
        <w:rPr>
          <w:rFonts w:hint="eastAsia" w:ascii="仿宋" w:hAnsi="仿宋" w:eastAsia="仿宋" w:cs="仿宋"/>
          <w:color w:val="auto"/>
          <w:spacing w:val="8"/>
          <w:kern w:val="0"/>
          <w:sz w:val="24"/>
          <w:highlight w:val="none"/>
          <w:lang w:val="en-US" w:eastAsia="zh-CN"/>
        </w:rPr>
        <w:t>3.</w:t>
      </w:r>
      <w:r>
        <w:rPr>
          <w:rFonts w:hint="eastAsia" w:ascii="仿宋" w:hAnsi="仿宋" w:eastAsia="仿宋" w:cs="仿宋"/>
          <w:color w:val="auto"/>
          <w:spacing w:val="8"/>
          <w:kern w:val="0"/>
          <w:sz w:val="24"/>
          <w:highlight w:val="none"/>
        </w:rPr>
        <w:t>本项目的特定资格要求：投标人需同时具有城市及道路照明工程专业承包叁级及以上资质和电力承装（修、试）五级及以上资质；</w:t>
      </w:r>
    </w:p>
    <w:p>
      <w:pPr>
        <w:spacing w:line="360" w:lineRule="auto"/>
        <w:ind w:firstLine="512" w:firstLineChars="200"/>
        <w:rPr>
          <w:rFonts w:hint="eastAsia" w:ascii="仿宋" w:hAnsi="仿宋" w:eastAsia="仿宋" w:cs="仿宋"/>
          <w:color w:val="auto"/>
          <w:spacing w:val="8"/>
          <w:kern w:val="0"/>
          <w:sz w:val="24"/>
          <w:highlight w:val="none"/>
        </w:rPr>
      </w:pPr>
      <w:r>
        <w:rPr>
          <w:rFonts w:hint="eastAsia" w:ascii="仿宋" w:hAnsi="仿宋" w:eastAsia="仿宋" w:cs="仿宋"/>
          <w:color w:val="auto"/>
          <w:spacing w:val="8"/>
          <w:kern w:val="0"/>
          <w:sz w:val="24"/>
          <w:highlight w:val="none"/>
          <w:lang w:val="en-US" w:eastAsia="zh-CN"/>
        </w:rPr>
        <w:t>4</w:t>
      </w:r>
      <w:r>
        <w:rPr>
          <w:rFonts w:hint="eastAsia" w:ascii="仿宋" w:hAnsi="仿宋" w:eastAsia="仿宋" w:cs="仿宋"/>
          <w:color w:val="auto"/>
          <w:spacing w:val="8"/>
          <w:kern w:val="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before="120" w:beforeLines="50" w:after="120" w:afterLines="5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u w:val="none"/>
        </w:rPr>
        <w:t>2022年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none"/>
        </w:rPr>
        <w:t>2022年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none"/>
        </w:rPr>
        <w:t>日</w:t>
      </w:r>
      <w:r>
        <w:rPr>
          <w:rFonts w:hint="eastAsia" w:ascii="仿宋" w:hAnsi="仿宋" w:eastAsia="仿宋" w:cs="仿宋"/>
          <w:color w:val="auto"/>
          <w:sz w:val="24"/>
          <w:highlight w:val="none"/>
        </w:rPr>
        <w:t>，每天上午00:00至12:00，下午12:00至23:59（北京时间）。</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供应商登录政采云平台https://www.zcygov.cn/在线申请获取招标文件（进入“项目采购”应用，在获取招标文件菜单中选择项目，申请获取招标文件）。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before="120" w:beforeLines="50" w:after="120" w:afterLines="5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none"/>
        </w:rPr>
        <w:t>2022年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none"/>
        </w:rPr>
        <w:t>日9点00分</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none"/>
        </w:rPr>
        <w:t>2022年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non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none"/>
        </w:rPr>
        <w:t>日9点00分</w:t>
      </w:r>
      <w:r>
        <w:rPr>
          <w:rFonts w:hint="eastAsia" w:ascii="仿宋" w:hAnsi="仿宋" w:eastAsia="仿宋" w:cs="仿宋"/>
          <w:bCs/>
          <w:color w:val="auto"/>
          <w:sz w:val="24"/>
          <w:highlight w:val="none"/>
        </w:rPr>
        <w:t>。</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开标地点（线下）：</w:t>
      </w:r>
      <w:r>
        <w:rPr>
          <w:rFonts w:hint="eastAsia" w:ascii="仿宋" w:hAnsi="仿宋" w:eastAsia="仿宋" w:cs="仿宋"/>
          <w:bCs/>
          <w:color w:val="auto"/>
          <w:sz w:val="24"/>
          <w:highlight w:val="none"/>
        </w:rPr>
        <w:t>宁波市奉化区公共资源交易中心开标厅</w:t>
      </w:r>
      <w:r>
        <w:rPr>
          <w:rFonts w:hint="eastAsia" w:ascii="仿宋" w:hAnsi="仿宋" w:eastAsia="仿宋" w:cs="仿宋"/>
          <w:bCs/>
          <w:color w:val="auto"/>
          <w:sz w:val="24"/>
          <w:highlight w:val="none"/>
          <w:u w:val="none"/>
          <w:lang w:val="en-US" w:eastAsia="zh-CN"/>
        </w:rPr>
        <w:t>一</w:t>
      </w:r>
      <w:r>
        <w:rPr>
          <w:rFonts w:hint="eastAsia" w:ascii="仿宋" w:hAnsi="仿宋" w:eastAsia="仿宋" w:cs="仿宋"/>
          <w:bCs/>
          <w:color w:val="auto"/>
          <w:sz w:val="24"/>
          <w:highlight w:val="none"/>
        </w:rPr>
        <w:t>（宁波市奉化区大成东路277号4楼）。</w:t>
      </w:r>
    </w:p>
    <w:p>
      <w:pPr>
        <w:spacing w:before="120" w:beforeLines="50" w:after="120" w:afterLines="5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五、公告期限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before="120" w:beforeLines="50" w:after="120" w:afterLines="5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https://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解密：</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按照平台提示和招标文件的规定在半小时内完成在线解密。⑨具体操作指南：详见政采云平台“服务中心-帮助文档-项目采购-操作流程-电子招投标-政府采购项目电子交易管理操作指南-供应商”。</w:t>
      </w:r>
    </w:p>
    <w:p>
      <w:pPr>
        <w:spacing w:before="120" w:beforeLines="50" w:after="120" w:afterLines="50"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宁波市奉化区园林管理处</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地    址：宁波市奉化区南郊广场北侧</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项目联系人（询问）：朱武江</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项目联系方式（询问）：13506699500</w:t>
      </w:r>
    </w:p>
    <w:p>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邬丽娜</w:t>
      </w:r>
    </w:p>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0574-88902021</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称：宁波建兴招标有限公司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址：宁波市海曙区苍水街79号苍水大厦9楼</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真：0574-83890892</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项目联系人（询问）：杜宏发</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项目联系方式（询问）：18958278756</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质疑联系人：叶原波</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质疑联系方式：0574-83890892</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称：宁波市奉化区财政局采购办</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    址：宁波市奉化区大成东路275号</w:t>
      </w:r>
      <w:r>
        <w:rPr>
          <w:rFonts w:hint="eastAsia" w:ascii="仿宋" w:hAnsi="仿宋" w:eastAsia="仿宋" w:cs="仿宋"/>
          <w:color w:val="auto"/>
          <w:sz w:val="24"/>
          <w:highlight w:val="none"/>
          <w:lang w:val="en-US" w:eastAsia="zh-CN"/>
        </w:rPr>
        <w:t>1015</w:t>
      </w:r>
      <w:r>
        <w:rPr>
          <w:rFonts w:hint="eastAsia" w:ascii="仿宋" w:hAnsi="仿宋" w:eastAsia="仿宋" w:cs="仿宋"/>
          <w:color w:val="auto"/>
          <w:sz w:val="24"/>
          <w:highlight w:val="none"/>
        </w:rPr>
        <w:t>办公室</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真：0574-89285326</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人：邓老师</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监督投诉电话：0574-89285326</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738"/>
        <w:gridCol w:w="1139"/>
        <w:gridCol w:w="71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0" w:hRule="atLeast"/>
          <w:tblHeader/>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0" w:type="auto"/>
            <w:tcBorders>
              <w:top w:val="single" w:color="000000" w:sz="8" w:space="0"/>
              <w:left w:val="single" w:color="auto" w:sz="4" w:space="0"/>
              <w:bottom w:val="single" w:color="000000" w:sz="8" w:space="0"/>
              <w:right w:val="single" w:color="000000" w:sz="8" w:space="0"/>
            </w:tcBorders>
            <w:noWrap w:val="0"/>
            <w:vAlign w:val="center"/>
          </w:tcPr>
          <w:p>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事项</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0" w:type="auto"/>
            <w:tcBorders>
              <w:top w:val="single" w:color="000000" w:sz="8" w:space="0"/>
              <w:left w:val="single" w:color="auto" w:sz="4" w:space="0"/>
              <w:bottom w:val="single" w:color="000000" w:sz="8" w:space="0"/>
              <w:right w:val="single" w:color="000000" w:sz="8" w:space="0"/>
            </w:tcBorders>
            <w:noWrap w:val="0"/>
            <w:vAlign w:val="center"/>
          </w:tcPr>
          <w:p>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报价要求</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pacing w:line="400" w:lineRule="exact"/>
              <w:jc w:val="left"/>
              <w:rPr>
                <w:rFonts w:hint="eastAsia" w:ascii="仿宋" w:hAnsi="仿宋" w:eastAsia="仿宋"/>
                <w:b/>
                <w:bCs/>
                <w:color w:val="auto"/>
                <w:szCs w:val="21"/>
                <w:highlight w:val="none"/>
              </w:rPr>
            </w:pPr>
            <w:r>
              <w:rPr>
                <w:rFonts w:hint="eastAsia" w:ascii="仿宋" w:hAnsi="仿宋" w:eastAsia="仿宋"/>
                <w:b/>
                <w:bCs/>
                <w:color w:val="auto"/>
                <w:szCs w:val="21"/>
                <w:highlight w:val="none"/>
              </w:rPr>
              <w:t>有关本项目实施所需的所有费用（含税费）均计入报价。开标一览表是报价的唯一载体。投标文件中价格全部采用人民币报价。招标文件未列明，而供应商认为必需的费用也需列入报价。</w:t>
            </w:r>
          </w:p>
          <w:p>
            <w:pPr>
              <w:spacing w:line="400" w:lineRule="exact"/>
              <w:jc w:val="left"/>
              <w:rPr>
                <w:rFonts w:hint="eastAsia" w:ascii="仿宋" w:hAnsi="仿宋" w:eastAsia="仿宋"/>
                <w:b/>
                <w:bCs/>
                <w:color w:val="auto"/>
                <w:szCs w:val="21"/>
                <w:highlight w:val="none"/>
              </w:rPr>
            </w:pPr>
            <w:r>
              <w:rPr>
                <w:rFonts w:hint="eastAsia" w:ascii="仿宋" w:hAnsi="仿宋" w:eastAsia="仿宋"/>
                <w:b/>
                <w:bCs/>
                <w:color w:val="auto"/>
                <w:szCs w:val="21"/>
                <w:highlight w:val="none"/>
              </w:rPr>
              <w:t>投标报价出现下列情形的，投标无效：</w:t>
            </w:r>
          </w:p>
          <w:p>
            <w:pPr>
              <w:spacing w:line="400" w:lineRule="exact"/>
              <w:jc w:val="left"/>
              <w:rPr>
                <w:rFonts w:hint="eastAsia" w:ascii="仿宋" w:hAnsi="仿宋" w:eastAsia="仿宋"/>
                <w:b/>
                <w:bCs/>
                <w:color w:val="auto"/>
                <w:szCs w:val="21"/>
                <w:highlight w:val="none"/>
              </w:rPr>
            </w:pPr>
            <w:r>
              <w:rPr>
                <w:rFonts w:hint="eastAsia" w:ascii="仿宋" w:hAnsi="仿宋" w:eastAsia="仿宋"/>
                <w:b/>
                <w:bCs/>
                <w:color w:val="auto"/>
                <w:szCs w:val="21"/>
                <w:highlight w:val="none"/>
              </w:rPr>
              <w:t>①投标文件出现不是唯一的、有选择性投标报价的；</w:t>
            </w:r>
          </w:p>
          <w:p>
            <w:pPr>
              <w:spacing w:line="400" w:lineRule="exact"/>
              <w:jc w:val="left"/>
              <w:rPr>
                <w:rFonts w:hint="eastAsia" w:ascii="仿宋" w:hAnsi="仿宋" w:eastAsia="仿宋"/>
                <w:b/>
                <w:bCs/>
                <w:color w:val="auto"/>
                <w:szCs w:val="21"/>
                <w:highlight w:val="none"/>
              </w:rPr>
            </w:pPr>
            <w:r>
              <w:rPr>
                <w:rFonts w:hint="eastAsia" w:ascii="仿宋" w:hAnsi="仿宋" w:eastAsia="仿宋"/>
                <w:b/>
                <w:bCs/>
                <w:color w:val="auto"/>
                <w:szCs w:val="21"/>
                <w:highlight w:val="none"/>
              </w:rPr>
              <w:t>②投标报价超过招标文件中规定的预算金额或者最高限价的；</w:t>
            </w:r>
          </w:p>
          <w:p>
            <w:pPr>
              <w:spacing w:line="400" w:lineRule="exact"/>
              <w:jc w:val="left"/>
              <w:rPr>
                <w:rFonts w:hint="eastAsia" w:ascii="仿宋" w:hAnsi="仿宋" w:eastAsia="仿宋"/>
                <w:b/>
                <w:bCs/>
                <w:color w:val="auto"/>
                <w:szCs w:val="21"/>
                <w:highlight w:val="none"/>
              </w:rPr>
            </w:pPr>
            <w:r>
              <w:rPr>
                <w:rFonts w:hint="eastAsia" w:ascii="仿宋" w:hAnsi="仿宋" w:eastAsia="仿宋"/>
                <w:b/>
                <w:bCs/>
                <w:color w:val="auto"/>
                <w:szCs w:val="21"/>
                <w:highlight w:val="none"/>
              </w:rPr>
              <w:t>③报价明显低于其他通过符合性审查供应商的报价，有可能影响产品质量或者不能诚信履约的，未能按要求提供书面说明或者提交相关证明材料证明其报价合理性的；</w:t>
            </w:r>
          </w:p>
          <w:p>
            <w:pPr>
              <w:spacing w:line="400" w:lineRule="exact"/>
              <w:jc w:val="left"/>
              <w:rPr>
                <w:rFonts w:hint="eastAsia" w:ascii="仿宋" w:hAnsi="仿宋" w:eastAsia="仿宋" w:cs="仿宋"/>
                <w:b/>
                <w:color w:val="auto"/>
                <w:kern w:val="0"/>
                <w:szCs w:val="21"/>
                <w:highlight w:val="none"/>
              </w:rPr>
            </w:pPr>
            <w:r>
              <w:rPr>
                <w:rFonts w:hint="eastAsia" w:ascii="仿宋" w:hAnsi="仿宋" w:eastAsia="仿宋"/>
                <w:b/>
                <w:bCs/>
                <w:color w:val="auto"/>
                <w:szCs w:val="21"/>
                <w:highlight w:val="none"/>
              </w:rPr>
              <w:t>④供应商对根据修正原则修正后的报价不确认的。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0" w:type="auto"/>
            <w:tcBorders>
              <w:top w:val="single" w:color="000000" w:sz="8" w:space="0"/>
              <w:left w:val="single" w:color="auto" w:sz="4" w:space="0"/>
              <w:bottom w:val="single" w:color="000000" w:sz="8" w:space="0"/>
              <w:right w:val="single" w:color="000000" w:sz="8" w:space="0"/>
            </w:tcBorders>
            <w:noWrap w:val="0"/>
            <w:vAlign w:val="center"/>
          </w:tcPr>
          <w:p>
            <w:pPr>
              <w:pStyle w:val="9"/>
              <w:spacing w:line="400" w:lineRule="exact"/>
              <w:jc w:val="center"/>
              <w:rPr>
                <w:rFonts w:hint="eastAsia" w:ascii="仿宋" w:hAnsi="仿宋" w:eastAsia="仿宋" w:cs="仿宋"/>
                <w:b/>
                <w:color w:val="auto"/>
                <w:highlight w:val="none"/>
                <w:lang w:val="en-US" w:eastAsia="zh-CN"/>
              </w:rPr>
            </w:pPr>
            <w:r>
              <w:rPr>
                <w:rFonts w:hint="eastAsia" w:ascii="仿宋" w:hAnsi="仿宋" w:eastAsia="仿宋" w:cs="仿宋"/>
                <w:b/>
                <w:color w:val="auto"/>
                <w:kern w:val="28"/>
                <w:highlight w:val="none"/>
                <w:lang w:val="en-US" w:eastAsia="zh-CN"/>
              </w:rPr>
              <w:t>投标保证金</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pacing w:line="400" w:lineRule="exact"/>
              <w:jc w:val="left"/>
              <w:rPr>
                <w:rFonts w:hint="eastAsia" w:ascii="仿宋" w:hAnsi="仿宋" w:eastAsia="仿宋" w:cs="仿宋"/>
                <w:b/>
                <w:color w:val="auto"/>
                <w:kern w:val="0"/>
                <w:szCs w:val="21"/>
                <w:highlight w:val="none"/>
              </w:rPr>
            </w:pPr>
            <w:r>
              <w:rPr>
                <w:rFonts w:hint="eastAsia" w:ascii="仿宋" w:hAnsi="仿宋" w:eastAsia="仿宋"/>
                <w:bCs/>
                <w:color w:val="auto"/>
                <w:szCs w:val="21"/>
                <w:highlight w:val="none"/>
              </w:rPr>
              <w:t>本项目不需缴纳投标保证金。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0" w:type="auto"/>
            <w:tcBorders>
              <w:top w:val="single" w:color="000000" w:sz="8" w:space="0"/>
              <w:left w:val="single" w:color="auto" w:sz="4" w:space="0"/>
              <w:bottom w:val="single" w:color="000000" w:sz="8" w:space="0"/>
              <w:right w:val="single" w:color="000000" w:sz="8" w:space="0"/>
            </w:tcBorders>
            <w:noWrap w:val="0"/>
            <w:vAlign w:val="center"/>
          </w:tcPr>
          <w:p>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分包</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pacing w:line="400" w:lineRule="exact"/>
              <w:jc w:val="left"/>
              <w:rPr>
                <w:rFonts w:hint="default" w:ascii="仿宋" w:hAnsi="仿宋" w:eastAsia="仿宋"/>
                <w:bCs/>
                <w:color w:val="auto"/>
                <w:szCs w:val="21"/>
                <w:highlight w:val="none"/>
                <w:u w:val="none"/>
                <w:lang w:val="en-US"/>
              </w:rPr>
            </w:pPr>
            <w:r>
              <w:rPr>
                <w:rFonts w:hint="eastAsia" w:ascii="仿宋" w:hAnsi="仿宋" w:eastAsia="仿宋"/>
                <w:bCs/>
                <w:color w:val="auto"/>
                <w:szCs w:val="21"/>
                <w:highlight w:val="none"/>
              </w:rPr>
              <w:sym w:font="Wingdings" w:char="00A8"/>
            </w:r>
            <w:r>
              <w:rPr>
                <w:rFonts w:hint="eastAsia" w:ascii="仿宋" w:hAnsi="仿宋" w:eastAsia="仿宋"/>
                <w:bCs/>
                <w:color w:val="auto"/>
                <w:szCs w:val="21"/>
                <w:highlight w:val="none"/>
              </w:rPr>
              <w:t>A同意将非主体、非关键性的</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u w:val="single"/>
                <w:lang w:val="en-US" w:eastAsia="zh-CN"/>
              </w:rPr>
              <w:t>/</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rPr>
              <w:t>工作分包。</w:t>
            </w:r>
            <w:r>
              <w:rPr>
                <w:rFonts w:hint="eastAsia" w:ascii="仿宋" w:hAnsi="仿宋" w:eastAsia="仿宋"/>
                <w:bCs/>
                <w:color w:val="auto"/>
                <w:szCs w:val="21"/>
                <w:highlight w:val="none"/>
                <w:u w:val="none"/>
              </w:rPr>
              <w:t>分包单位</w:t>
            </w:r>
            <w:r>
              <w:rPr>
                <w:rFonts w:hint="eastAsia" w:ascii="仿宋" w:hAnsi="仿宋" w:eastAsia="仿宋"/>
                <w:bCs/>
                <w:color w:val="auto"/>
                <w:szCs w:val="21"/>
                <w:highlight w:val="none"/>
                <w:u w:val="none"/>
                <w:lang w:eastAsia="zh-CN"/>
              </w:rPr>
              <w:t>要求：</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u w:val="single"/>
                <w:lang w:val="en-US" w:eastAsia="zh-CN"/>
              </w:rPr>
              <w:t>/</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u w:val="none"/>
                <w:lang w:val="en-US" w:eastAsia="zh-CN"/>
              </w:rPr>
              <w:t>。</w:t>
            </w:r>
          </w:p>
          <w:p>
            <w:pPr>
              <w:spacing w:line="400" w:lineRule="exact"/>
              <w:jc w:val="left"/>
              <w:rPr>
                <w:rFonts w:hint="eastAsia" w:ascii="仿宋" w:hAnsi="仿宋" w:eastAsia="仿宋" w:cs="仿宋"/>
                <w:color w:val="auto"/>
                <w:szCs w:val="21"/>
                <w:highlight w:val="none"/>
              </w:rPr>
            </w:pPr>
            <w:r>
              <w:rPr>
                <w:rFonts w:hint="eastAsia" w:ascii="仿宋" w:hAnsi="仿宋" w:eastAsia="仿宋"/>
                <w:bCs/>
                <w:color w:val="auto"/>
                <w:szCs w:val="21"/>
                <w:highlight w:val="none"/>
              </w:rPr>
              <w:sym w:font="Wingdings" w:char="00FE"/>
            </w:r>
            <w:r>
              <w:rPr>
                <w:rFonts w:hint="eastAsia" w:ascii="仿宋" w:hAnsi="仿宋" w:eastAsia="仿宋"/>
                <w:bCs/>
                <w:color w:val="auto"/>
                <w:szCs w:val="21"/>
                <w:highlight w:val="none"/>
              </w:rPr>
              <w:t>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0" w:type="auto"/>
            <w:tcBorders>
              <w:top w:val="single" w:color="000000" w:sz="8" w:space="0"/>
              <w:left w:val="single" w:color="auto" w:sz="4" w:space="0"/>
              <w:bottom w:val="single" w:color="000000" w:sz="8" w:space="0"/>
              <w:right w:val="single" w:color="000000" w:sz="8" w:space="0"/>
            </w:tcBorders>
            <w:noWrap w:val="0"/>
            <w:vAlign w:val="center"/>
          </w:tcPr>
          <w:p>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供应商应当提供的资格文件</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资格证明文件：见招标文件第二部分9.1。</w:t>
            </w:r>
          </w:p>
          <w:p>
            <w:pPr>
              <w:spacing w:line="400" w:lineRule="exact"/>
              <w:jc w:val="left"/>
              <w:rPr>
                <w:rFonts w:hint="eastAsia" w:ascii="仿宋" w:hAnsi="仿宋" w:eastAsia="仿宋" w:cs="仿宋"/>
                <w:color w:val="auto"/>
                <w:kern w:val="0"/>
                <w:szCs w:val="21"/>
                <w:highlight w:val="none"/>
              </w:rPr>
            </w:pPr>
            <w:r>
              <w:rPr>
                <w:rFonts w:hint="eastAsia" w:ascii="仿宋" w:hAnsi="仿宋" w:eastAsia="仿宋"/>
                <w:bCs/>
                <w:color w:val="auto"/>
                <w:szCs w:val="21"/>
                <w:highlight w:val="none"/>
              </w:rPr>
              <w:t>资格证明文件不全的或者不符合招标文件标明的资格要求的，视为供应商不具备招标文件中规定的资格要求，投标无效。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0" w:type="auto"/>
            <w:tcBorders>
              <w:top w:val="single" w:color="000000" w:sz="8" w:space="0"/>
              <w:left w:val="single" w:color="auto" w:sz="4" w:space="0"/>
              <w:bottom w:val="single" w:color="000000" w:sz="8" w:space="0"/>
              <w:right w:val="single" w:color="000000" w:sz="8" w:space="0"/>
            </w:tcBorders>
            <w:noWrap w:val="0"/>
            <w:vAlign w:val="center"/>
          </w:tcPr>
          <w:p>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开标前答疑会或现场考察</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pacing w:line="400" w:lineRule="exac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不组织。</w:t>
            </w:r>
          </w:p>
          <w:p>
            <w:pPr>
              <w:spacing w:line="400" w:lineRule="exact"/>
              <w:rPr>
                <w:rFonts w:hint="eastAsia" w:ascii="仿宋" w:hAnsi="仿宋" w:eastAsia="仿宋" w:cs="仿宋"/>
                <w:color w:val="auto"/>
                <w:szCs w:val="21"/>
                <w:highlight w:val="none"/>
              </w:rPr>
            </w:pPr>
            <w:r>
              <w:rPr>
                <w:rFonts w:hint="eastAsia" w:ascii="仿宋" w:hAnsi="MS Gothic" w:eastAsia="MS Gothic" w:cs="MS Gothic"/>
                <w:color w:val="auto"/>
                <w:kern w:val="0"/>
                <w:szCs w:val="21"/>
                <w:highlight w:val="none"/>
              </w:rPr>
              <w:t>☐</w:t>
            </w:r>
            <w:r>
              <w:rPr>
                <w:rFonts w:hint="eastAsia" w:ascii="仿宋" w:hAnsi="仿宋" w:eastAsia="仿宋" w:cs="仿宋"/>
                <w:color w:val="auto"/>
                <w:kern w:val="0"/>
                <w:szCs w:val="21"/>
                <w:highlight w:val="none"/>
              </w:rPr>
              <w:t>B组织，</w:t>
            </w:r>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,地点：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0" w:type="auto"/>
            <w:tcBorders>
              <w:top w:val="single" w:color="000000" w:sz="8" w:space="0"/>
              <w:left w:val="single" w:color="auto" w:sz="4" w:space="0"/>
              <w:bottom w:val="single" w:color="000000" w:sz="8" w:space="0"/>
              <w:right w:val="single" w:color="000000" w:sz="8" w:space="0"/>
            </w:tcBorders>
            <w:noWrap w:val="0"/>
            <w:vAlign w:val="center"/>
          </w:tcPr>
          <w:p>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样品提供</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sym w:font="Wingdings" w:char="F0FE"/>
            </w:r>
            <w:r>
              <w:rPr>
                <w:rFonts w:hint="eastAsia" w:ascii="仿宋" w:hAnsi="仿宋" w:eastAsia="仿宋"/>
                <w:bCs/>
                <w:color w:val="auto"/>
                <w:szCs w:val="21"/>
                <w:highlight w:val="none"/>
              </w:rPr>
              <w:t>A不要求提供。</w:t>
            </w:r>
          </w:p>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sym w:font="Wingdings" w:char="00A8"/>
            </w:r>
            <w:r>
              <w:rPr>
                <w:rFonts w:hint="eastAsia" w:ascii="仿宋" w:hAnsi="仿宋" w:eastAsia="仿宋"/>
                <w:bCs/>
                <w:color w:val="auto"/>
                <w:szCs w:val="21"/>
                <w:highlight w:val="none"/>
              </w:rPr>
              <w:t>B要求提供，</w:t>
            </w:r>
          </w:p>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（1）样品：</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rPr>
              <w:t>；</w:t>
            </w:r>
          </w:p>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（2）样品制作的标准和要求：</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rPr>
              <w:t>；</w:t>
            </w:r>
          </w:p>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（3）样品的评审方法以及评审标准：详见</w:t>
            </w:r>
            <w:r>
              <w:rPr>
                <w:rFonts w:hint="eastAsia" w:ascii="仿宋" w:hAnsi="仿宋" w:eastAsia="仿宋"/>
                <w:bCs/>
                <w:color w:val="auto"/>
                <w:szCs w:val="21"/>
                <w:highlight w:val="none"/>
                <w:u w:val="single"/>
              </w:rPr>
              <w:t>评标办法</w:t>
            </w:r>
            <w:r>
              <w:rPr>
                <w:rFonts w:hint="eastAsia" w:ascii="仿宋" w:hAnsi="仿宋" w:eastAsia="仿宋"/>
                <w:bCs/>
                <w:color w:val="auto"/>
                <w:szCs w:val="21"/>
                <w:highlight w:val="none"/>
              </w:rPr>
              <w:t>；</w:t>
            </w:r>
          </w:p>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（4）是否需要随样品提交检测报告：</w:t>
            </w:r>
            <w:r>
              <w:rPr>
                <w:rFonts w:hint="eastAsia" w:ascii="仿宋" w:hAnsi="仿宋" w:eastAsia="仿宋"/>
                <w:bCs/>
                <w:color w:val="auto"/>
                <w:szCs w:val="21"/>
                <w:highlight w:val="none"/>
              </w:rPr>
              <w:sym w:font="Wingdings" w:char="00A8"/>
            </w:r>
            <w:r>
              <w:rPr>
                <w:rFonts w:hint="eastAsia" w:ascii="仿宋" w:hAnsi="仿宋" w:eastAsia="仿宋"/>
                <w:bCs/>
                <w:color w:val="auto"/>
                <w:szCs w:val="21"/>
                <w:highlight w:val="none"/>
              </w:rPr>
              <w:t>否；☐是，检测机构的要求：</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rPr>
              <w:t>；检测内容：</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rPr>
              <w:t>。</w:t>
            </w:r>
          </w:p>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（5）提供样品的时间：</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rPr>
              <w:t>；地点：</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rPr>
              <w:t>；联系人：</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rPr>
              <w:t>，联系电话：</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rPr>
              <w:t>。请供应商在上述时间内提供样品并按规定位置安装完毕。超过截止时间的，采购人或采购代理机构将不予接收，并将清场并封闭样品现场。</w:t>
            </w:r>
          </w:p>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w:t>
            </w:r>
            <w:r>
              <w:rPr>
                <w:rFonts w:hint="eastAsia" w:ascii="仿宋" w:hAnsi="仿宋" w:eastAsia="仿宋"/>
                <w:bCs/>
                <w:color w:val="auto"/>
                <w:szCs w:val="21"/>
                <w:highlight w:val="none"/>
                <w:lang w:val="en-US" w:eastAsia="zh-CN"/>
              </w:rPr>
              <w:t>6</w:t>
            </w:r>
            <w:r>
              <w:rPr>
                <w:rFonts w:hint="eastAsia" w:ascii="仿宋" w:hAnsi="仿宋" w:eastAsia="仿宋"/>
                <w:bCs/>
                <w:color w:val="auto"/>
                <w:szCs w:val="21"/>
                <w:highlight w:val="none"/>
              </w:rPr>
              <w:t>）</w:t>
            </w:r>
            <w:r>
              <w:rPr>
                <w:rFonts w:hint="eastAsia" w:ascii="仿宋" w:hAnsi="仿宋" w:eastAsia="仿宋"/>
                <w:bCs/>
                <w:color w:val="auto"/>
                <w:szCs w:val="21"/>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400" w:lineRule="exact"/>
              <w:jc w:val="left"/>
              <w:rPr>
                <w:rFonts w:hint="eastAsia" w:ascii="仿宋" w:hAnsi="仿宋" w:eastAsia="仿宋" w:cs="仿宋"/>
                <w:b/>
                <w:color w:val="auto"/>
                <w:szCs w:val="21"/>
                <w:highlight w:val="none"/>
              </w:rPr>
            </w:pPr>
            <w:r>
              <w:rPr>
                <w:rFonts w:hint="eastAsia" w:ascii="仿宋" w:hAnsi="仿宋" w:eastAsia="仿宋"/>
                <w:bCs/>
                <w:color w:val="auto"/>
                <w:szCs w:val="21"/>
                <w:highlight w:val="none"/>
              </w:rPr>
              <w:t>（</w:t>
            </w:r>
            <w:r>
              <w:rPr>
                <w:rFonts w:hint="eastAsia" w:ascii="仿宋" w:hAnsi="仿宋" w:eastAsia="仿宋"/>
                <w:bCs/>
                <w:color w:val="auto"/>
                <w:szCs w:val="21"/>
                <w:highlight w:val="none"/>
                <w:lang w:val="en-US" w:eastAsia="zh-CN"/>
              </w:rPr>
              <w:t>7</w:t>
            </w:r>
            <w:r>
              <w:rPr>
                <w:rFonts w:hint="eastAsia" w:ascii="仿宋" w:hAnsi="仿宋" w:eastAsia="仿宋"/>
                <w:bCs/>
                <w:color w:val="auto"/>
                <w:szCs w:val="21"/>
                <w:highlight w:val="none"/>
              </w:rPr>
              <w:t>）</w:t>
            </w:r>
            <w:r>
              <w:rPr>
                <w:rFonts w:hint="eastAsia" w:ascii="仿宋" w:hAnsi="仿宋" w:eastAsia="仿宋"/>
                <w:bCs/>
                <w:color w:val="auto"/>
                <w:szCs w:val="21"/>
                <w:highlight w:val="none"/>
              </w:rPr>
              <w:t>制作、运输、安装和保管样品所发生的一切费用由供应商。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napToGrid w:val="0"/>
              <w:spacing w:line="400" w:lineRule="exact"/>
              <w:jc w:val="center"/>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方案讲解演示</w:t>
            </w:r>
          </w:p>
        </w:tc>
        <w:tc>
          <w:tcPr>
            <w:tcW w:w="0" w:type="auto"/>
            <w:tcBorders>
              <w:top w:val="single" w:color="000000" w:sz="8" w:space="0"/>
              <w:left w:val="single" w:color="000000" w:sz="8" w:space="0"/>
              <w:bottom w:val="single" w:color="000000" w:sz="8" w:space="0"/>
              <w:right w:val="single" w:color="000000" w:sz="8" w:space="0"/>
            </w:tcBorders>
            <w:noWrap w:val="0"/>
            <w:vAlign w:val="center"/>
          </w:tcPr>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sym w:font="Wingdings" w:char="F0FE"/>
            </w:r>
            <w:r>
              <w:rPr>
                <w:rFonts w:hint="eastAsia" w:ascii="仿宋" w:hAnsi="仿宋" w:eastAsia="仿宋"/>
                <w:bCs/>
                <w:color w:val="auto"/>
                <w:szCs w:val="21"/>
                <w:highlight w:val="none"/>
              </w:rPr>
              <w:t>A不组织。</w:t>
            </w:r>
          </w:p>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☐B组织。</w:t>
            </w:r>
          </w:p>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（1）在评标时安排每个供应商进行方案讲解演示。每个供应商时间不超过</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rPr>
              <w:t>分钟，讲解次序以投标文件解密时间先后次序为准，讲解演示人员不超过</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rPr>
              <w:t>人。讲解演示结束后按要求解答评标委员会提问。</w:t>
            </w:r>
          </w:p>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（2）方案讲解演示可选择以下其中一种方式：</w:t>
            </w:r>
          </w:p>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方式一：政采云平台在线讲解演示。政采云平台在线讲解需供应商根据政采云平台操作要求做好准备工作，提前完善软硬件配置环境。</w:t>
            </w:r>
          </w:p>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方式二：交易中心现场讲解演示。现场讲解地点为</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rPr>
              <w:t>，讲解演示所用电脑等设备由供应商自备。现场讲解演示人员进场时提供讲解人员名单（加盖公章）及身份证明，否则不得讲解演示。</w:t>
            </w:r>
          </w:p>
          <w:p>
            <w:pPr>
              <w:spacing w:line="400" w:lineRule="exact"/>
              <w:jc w:val="left"/>
              <w:rPr>
                <w:rFonts w:hint="eastAsia" w:ascii="仿宋" w:hAnsi="仿宋" w:eastAsia="仿宋" w:cs="仿宋"/>
                <w:b/>
                <w:color w:val="auto"/>
                <w:kern w:val="0"/>
                <w:szCs w:val="21"/>
                <w:highlight w:val="none"/>
                <w:lang w:val="zh-CN"/>
              </w:rPr>
            </w:pPr>
            <w:r>
              <w:rPr>
                <w:rFonts w:hint="eastAsia" w:ascii="仿宋" w:hAnsi="仿宋" w:eastAsia="仿宋"/>
                <w:bCs/>
                <w:color w:val="auto"/>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是否允许采购进口产品</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sym w:font="Wingdings" w:char="00A8"/>
            </w:r>
            <w:r>
              <w:rPr>
                <w:rFonts w:hint="eastAsia" w:ascii="仿宋" w:hAnsi="仿宋" w:eastAsia="仿宋"/>
                <w:bCs/>
                <w:color w:val="auto"/>
                <w:szCs w:val="21"/>
                <w:highlight w:val="none"/>
              </w:rPr>
              <w:t>本项目不允许采购进口产品。</w:t>
            </w:r>
          </w:p>
          <w:p>
            <w:pPr>
              <w:spacing w:line="400" w:lineRule="exact"/>
              <w:jc w:val="left"/>
              <w:rPr>
                <w:rFonts w:hint="eastAsia" w:ascii="仿宋" w:hAnsi="仿宋" w:eastAsia="仿宋" w:cs="仿宋"/>
                <w:color w:val="auto"/>
                <w:szCs w:val="21"/>
                <w:highlight w:val="none"/>
              </w:rPr>
            </w:pPr>
            <w:r>
              <w:rPr>
                <w:rFonts w:hint="eastAsia" w:ascii="仿宋" w:hAnsi="仿宋" w:eastAsia="仿宋"/>
                <w:bCs/>
                <w:color w:val="auto"/>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项目属性与核心产品</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☐A货物类，单一产品或核心产品为：</w:t>
            </w:r>
            <w:r>
              <w:rPr>
                <w:rFonts w:hint="eastAsia" w:ascii="仿宋" w:hAnsi="仿宋" w:eastAsia="仿宋"/>
                <w:bCs/>
                <w:color w:val="auto"/>
                <w:szCs w:val="21"/>
                <w:highlight w:val="none"/>
                <w:u w:val="single"/>
              </w:rPr>
              <w:t xml:space="preserve">    /    </w:t>
            </w:r>
            <w:r>
              <w:rPr>
                <w:rFonts w:hint="eastAsia" w:ascii="仿宋" w:hAnsi="仿宋" w:eastAsia="仿宋"/>
                <w:bCs/>
                <w:color w:val="auto"/>
                <w:szCs w:val="21"/>
                <w:highlight w:val="none"/>
              </w:rPr>
              <w:t>。</w:t>
            </w:r>
          </w:p>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报价评审得分最高的同品牌供应商获得中标人推荐资格；评审得分和报价评审得分均相同的，由采购人或评标委员会采取随机抽取方式确定，其他同品牌供应商不作为中标候选人。</w:t>
            </w:r>
          </w:p>
          <w:p>
            <w:pPr>
              <w:spacing w:line="400" w:lineRule="exact"/>
              <w:jc w:val="left"/>
              <w:rPr>
                <w:rFonts w:hint="eastAsia" w:ascii="仿宋" w:hAnsi="仿宋" w:eastAsia="仿宋" w:cs="仿宋"/>
                <w:color w:val="auto"/>
                <w:szCs w:val="21"/>
                <w:highlight w:val="none"/>
              </w:rPr>
            </w:pPr>
            <w:r>
              <w:rPr>
                <w:rFonts w:hint="eastAsia" w:ascii="仿宋" w:hAnsi="仿宋" w:eastAsia="仿宋"/>
                <w:bCs/>
                <w:color w:val="auto"/>
                <w:szCs w:val="21"/>
                <w:highlight w:val="none"/>
              </w:rPr>
              <w:sym w:font="Wingdings" w:char="F0FE"/>
            </w:r>
            <w:r>
              <w:rPr>
                <w:rFonts w:hint="eastAsia" w:ascii="仿宋" w:hAnsi="仿宋" w:eastAsia="仿宋"/>
                <w:bCs/>
                <w:color w:val="auto"/>
                <w:szCs w:val="21"/>
                <w:highlight w:val="none"/>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采购标的对应的中小企业划分标准所属行业</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pacing w:line="400" w:lineRule="exact"/>
              <w:jc w:val="left"/>
              <w:rPr>
                <w:rFonts w:hint="eastAsia" w:ascii="仿宋" w:hAnsi="仿宋" w:eastAsia="仿宋" w:cs="仿宋"/>
                <w:color w:val="auto"/>
                <w:szCs w:val="21"/>
                <w:highlight w:val="none"/>
              </w:rPr>
            </w:pPr>
            <w:r>
              <w:rPr>
                <w:rFonts w:hint="eastAsia" w:ascii="仿宋" w:hAnsi="仿宋" w:eastAsia="仿宋"/>
                <w:bCs/>
                <w:color w:val="auto"/>
                <w:szCs w:val="21"/>
                <w:highlight w:val="none"/>
              </w:rPr>
              <w:t>标项</w:t>
            </w:r>
            <w:r>
              <w:rPr>
                <w:rFonts w:hint="eastAsia" w:ascii="仿宋" w:hAnsi="仿宋" w:eastAsia="仿宋" w:cs="Times New Roman"/>
                <w:bCs/>
                <w:color w:val="auto"/>
                <w:szCs w:val="21"/>
                <w:highlight w:val="none"/>
              </w:rPr>
              <w:t>1</w:t>
            </w:r>
            <w:r>
              <w:rPr>
                <w:rFonts w:hint="eastAsia" w:ascii="仿宋" w:hAnsi="仿宋" w:eastAsia="仿宋" w:cs="Times New Roman"/>
                <w:bCs/>
                <w:color w:val="auto"/>
                <w:szCs w:val="21"/>
                <w:highlight w:val="none"/>
                <w:lang w:val="en-US" w:eastAsia="zh-CN"/>
              </w:rPr>
              <w:t>功能性照明设施维修养护管理服务</w:t>
            </w:r>
            <w:r>
              <w:rPr>
                <w:rFonts w:hint="eastAsia" w:ascii="仿宋" w:hAnsi="仿宋" w:eastAsia="仿宋"/>
                <w:bCs/>
                <w:color w:val="auto"/>
                <w:szCs w:val="21"/>
                <w:highlight w:val="none"/>
              </w:rPr>
              <w:t>，属于</w:t>
            </w:r>
            <w:r>
              <w:rPr>
                <w:rFonts w:hint="eastAsia" w:ascii="仿宋" w:hAnsi="仿宋" w:eastAsia="仿宋"/>
                <w:bCs/>
                <w:color w:val="auto"/>
                <w:szCs w:val="21"/>
                <w:highlight w:val="none"/>
                <w:u w:val="single"/>
              </w:rPr>
              <w:t xml:space="preserve">  其他未列明行业  </w:t>
            </w:r>
            <w:r>
              <w:rPr>
                <w:rFonts w:hint="eastAsia" w:ascii="仿宋" w:hAnsi="仿宋" w:eastAsia="仿宋"/>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节能产品、环境标志产品</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pacing w:line="400" w:lineRule="exact"/>
              <w:jc w:val="left"/>
              <w:rPr>
                <w:rFonts w:hint="eastAsia" w:ascii="仿宋" w:hAnsi="仿宋" w:eastAsia="仿宋" w:cs="MS Mincho"/>
                <w:bCs/>
                <w:color w:val="auto"/>
                <w:szCs w:val="21"/>
                <w:highlight w:val="none"/>
              </w:rPr>
            </w:pPr>
            <w:r>
              <w:rPr>
                <w:rFonts w:hint="eastAsia" w:ascii="仿宋" w:hAnsi="仿宋" w:eastAsia="仿宋"/>
                <w:bCs/>
                <w:color w:val="auto"/>
                <w:szCs w:val="21"/>
                <w:highlight w:val="none"/>
              </w:rPr>
              <w:sym w:font="Wingdings" w:char="00FE"/>
            </w:r>
            <w:r>
              <w:rPr>
                <w:rFonts w:hint="eastAsia" w:ascii="仿宋" w:hAnsi="仿宋" w:eastAsia="仿宋"/>
                <w:bCs/>
                <w:color w:val="auto"/>
                <w:szCs w:val="21"/>
                <w:highlight w:val="none"/>
              </w:rPr>
              <w:t>无。</w:t>
            </w:r>
          </w:p>
          <w:p>
            <w:pPr>
              <w:spacing w:line="400" w:lineRule="exact"/>
              <w:jc w:val="left"/>
              <w:rPr>
                <w:rFonts w:hint="eastAsia" w:ascii="仿宋" w:hAnsi="仿宋" w:eastAsia="仿宋"/>
                <w:bCs/>
                <w:color w:val="auto"/>
                <w:szCs w:val="21"/>
                <w:highlight w:val="none"/>
              </w:rPr>
            </w:pPr>
            <w:r>
              <w:rPr>
                <w:rFonts w:hint="eastAsia" w:ascii="仿宋" w:hAnsi="MS Mincho" w:eastAsia="MS Mincho" w:cs="MS Mincho"/>
                <w:bCs/>
                <w:color w:val="auto"/>
                <w:szCs w:val="21"/>
                <w:highlight w:val="none"/>
              </w:rPr>
              <w:t>☐</w:t>
            </w:r>
            <w:r>
              <w:rPr>
                <w:rFonts w:hint="eastAsia" w:ascii="仿宋" w:hAnsi="仿宋" w:eastAsia="仿宋"/>
                <w:bCs/>
                <w:color w:val="auto"/>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38" w:type="dxa"/>
            <w:tcBorders>
              <w:top w:val="single" w:color="auto" w:sz="4" w:space="0"/>
              <w:left w:val="single" w:color="000000" w:sz="8" w:space="0"/>
              <w:right w:val="single" w:color="000000" w:sz="2" w:space="0"/>
            </w:tcBorders>
            <w:noWrap w:val="0"/>
            <w:vAlign w:val="center"/>
          </w:tcPr>
          <w:p>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0" w:type="auto"/>
            <w:tcBorders>
              <w:top w:val="single" w:color="000000" w:sz="8" w:space="0"/>
              <w:left w:val="single" w:color="000000" w:sz="2" w:space="0"/>
              <w:right w:val="single" w:color="000000" w:sz="8" w:space="0"/>
            </w:tcBorders>
            <w:noWrap w:val="0"/>
            <w:vAlign w:val="center"/>
          </w:tcPr>
          <w:p>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中小企业信用融资</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供应商中标后也可在“政采云”平台申请政采贷：操作路径：登录政采云平台- 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jc w:val="center"/>
        </w:trPr>
        <w:tc>
          <w:tcPr>
            <w:tcW w:w="738" w:type="dxa"/>
            <w:tcBorders>
              <w:top w:val="single" w:color="auto" w:sz="4" w:space="0"/>
              <w:left w:val="single" w:color="000000" w:sz="8" w:space="0"/>
              <w:right w:val="single" w:color="000000" w:sz="2" w:space="0"/>
            </w:tcBorders>
            <w:noWrap w:val="0"/>
            <w:vAlign w:val="center"/>
          </w:tcPr>
          <w:p>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0" w:type="auto"/>
            <w:tcBorders>
              <w:top w:val="single" w:color="000000" w:sz="8" w:space="0"/>
              <w:left w:val="single" w:color="000000" w:sz="2" w:space="0"/>
              <w:right w:val="single" w:color="000000" w:sz="8" w:space="0"/>
            </w:tcBorders>
            <w:noWrap w:val="0"/>
            <w:vAlign w:val="center"/>
          </w:tcPr>
          <w:p>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中标服务费</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☐无。</w:t>
            </w:r>
          </w:p>
          <w:p>
            <w:pPr>
              <w:spacing w:line="400" w:lineRule="exact"/>
              <w:jc w:val="left"/>
              <w:rPr>
                <w:rFonts w:hint="eastAsia" w:ascii="仿宋" w:hAnsi="仿宋" w:eastAsia="仿宋"/>
                <w:bCs/>
                <w:color w:val="auto"/>
                <w:szCs w:val="21"/>
                <w:highlight w:val="none"/>
              </w:rPr>
            </w:pPr>
            <w:r>
              <w:rPr>
                <w:rFonts w:hint="eastAsia" w:ascii="仿宋" w:hAnsi="仿宋" w:eastAsia="仿宋"/>
                <w:bCs/>
                <w:color w:val="auto"/>
                <w:szCs w:val="21"/>
                <w:highlight w:val="none"/>
              </w:rPr>
              <w:t>☐中标人向采购代理机构支付中标服务费</w:t>
            </w:r>
            <w:r>
              <w:rPr>
                <w:rFonts w:hint="eastAsia" w:ascii="仿宋" w:hAnsi="仿宋" w:eastAsia="仿宋"/>
                <w:bCs/>
                <w:color w:val="auto"/>
                <w:szCs w:val="21"/>
                <w:highlight w:val="none"/>
                <w:u w:val="single"/>
              </w:rPr>
              <w:t xml:space="preserve">      </w:t>
            </w:r>
            <w:r>
              <w:rPr>
                <w:rFonts w:hint="eastAsia" w:ascii="仿宋" w:hAnsi="仿宋" w:eastAsia="仿宋"/>
                <w:bCs/>
                <w:color w:val="auto"/>
                <w:szCs w:val="21"/>
                <w:highlight w:val="none"/>
              </w:rPr>
              <w:t>元。</w:t>
            </w:r>
          </w:p>
          <w:p>
            <w:pPr>
              <w:spacing w:line="400" w:lineRule="exact"/>
              <w:jc w:val="left"/>
              <w:rPr>
                <w:rFonts w:hint="eastAsia" w:ascii="仿宋" w:hAnsi="仿宋" w:eastAsia="仿宋" w:cs="仿宋"/>
                <w:snapToGrid w:val="0"/>
                <w:color w:val="auto"/>
                <w:kern w:val="28"/>
                <w:szCs w:val="21"/>
                <w:highlight w:val="none"/>
              </w:rPr>
            </w:pPr>
            <w:r>
              <w:rPr>
                <w:rFonts w:hint="eastAsia" w:ascii="仿宋" w:hAnsi="仿宋" w:eastAsia="仿宋"/>
                <w:bCs/>
                <w:color w:val="auto"/>
                <w:szCs w:val="21"/>
                <w:highlight w:val="none"/>
              </w:rPr>
              <w:sym w:font="Wingdings" w:char="00FE"/>
            </w:r>
            <w:r>
              <w:rPr>
                <w:rFonts w:hint="eastAsia" w:ascii="仿宋" w:hAnsi="仿宋" w:eastAsia="仿宋"/>
                <w:bCs/>
                <w:color w:val="auto"/>
                <w:szCs w:val="21"/>
                <w:highlight w:val="none"/>
              </w:rPr>
              <w:t>根据国家发改委发改办价格[2003]857号通知和原国家计委计价格[2002]1980号文件规定的</w:t>
            </w:r>
            <w:r>
              <w:rPr>
                <w:rFonts w:hint="eastAsia" w:ascii="仿宋" w:hAnsi="仿宋" w:eastAsia="仿宋"/>
                <w:bCs/>
                <w:color w:val="auto"/>
                <w:szCs w:val="21"/>
                <w:highlight w:val="none"/>
                <w:u w:val="single"/>
                <w:lang w:eastAsia="zh-CN"/>
              </w:rPr>
              <w:t>服务</w:t>
            </w:r>
            <w:r>
              <w:rPr>
                <w:rFonts w:hint="eastAsia" w:ascii="仿宋" w:hAnsi="仿宋" w:eastAsia="仿宋"/>
                <w:bCs/>
                <w:color w:val="auto"/>
                <w:szCs w:val="21"/>
                <w:highlight w:val="none"/>
              </w:rPr>
              <w:t>招标费率标准收取中标服务费，按照中标通知书确定的中标价，向中标供应商收取中标服务费。中标通知书发出后5个工作日内，中标人向采购代理机构支付中标服务费。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29" w:hRule="atLeast"/>
          <w:jc w:val="center"/>
        </w:trPr>
        <w:tc>
          <w:tcPr>
            <w:tcW w:w="738"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napToGrid w:val="0"/>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特别说明</w:t>
            </w:r>
          </w:p>
        </w:tc>
        <w:tc>
          <w:tcPr>
            <w:tcW w:w="0" w:type="auto"/>
            <w:tcBorders>
              <w:top w:val="single" w:color="000000" w:sz="8" w:space="0"/>
              <w:left w:val="single" w:color="000000" w:sz="2" w:space="0"/>
              <w:bottom w:val="single" w:color="000000" w:sz="8" w:space="0"/>
              <w:right w:val="single" w:color="000000" w:sz="8" w:space="0"/>
            </w:tcBorders>
            <w:noWrap w:val="0"/>
            <w:vAlign w:val="center"/>
          </w:tcPr>
          <w:p>
            <w:pPr>
              <w:spacing w:line="400" w:lineRule="exact"/>
              <w:jc w:val="left"/>
              <w:rPr>
                <w:rFonts w:hint="eastAsia" w:ascii="仿宋" w:hAnsi="仿宋" w:eastAsia="仿宋" w:cs="仿宋"/>
                <w:snapToGrid w:val="0"/>
                <w:color w:val="auto"/>
                <w:kern w:val="28"/>
                <w:szCs w:val="21"/>
                <w:highlight w:val="none"/>
              </w:rPr>
            </w:pPr>
            <w:r>
              <w:rPr>
                <w:rFonts w:hint="eastAsia" w:ascii="仿宋" w:hAnsi="仿宋" w:eastAsia="仿宋"/>
                <w:bCs/>
                <w:color w:val="auto"/>
                <w:szCs w:val="21"/>
                <w:highlight w:val="none"/>
              </w:rPr>
              <w:sym w:font="Wingdings" w:char="00FE"/>
            </w:r>
            <w:r>
              <w:rPr>
                <w:rFonts w:hint="eastAsia" w:ascii="仿宋" w:hAnsi="仿宋" w:eastAsia="仿宋"/>
                <w:bCs/>
                <w:color w:val="auto"/>
                <w:szCs w:val="21"/>
                <w:highlight w:val="none"/>
              </w:rPr>
              <w:t>公益一类事业单位不属于政府购买服务的承接主体，不得参与承接政府购买服务。</w:t>
            </w:r>
          </w:p>
        </w:tc>
      </w:tr>
    </w:tbl>
    <w:p>
      <w:pPr>
        <w:snapToGrid w:val="0"/>
        <w:spacing w:line="360" w:lineRule="auto"/>
        <w:jc w:val="center"/>
        <w:rPr>
          <w:rFonts w:hint="eastAsia" w:ascii="仿宋" w:hAnsi="仿宋" w:eastAsia="仿宋" w:cs="仿宋"/>
          <w:b/>
          <w:color w:val="auto"/>
          <w:sz w:val="32"/>
          <w:szCs w:val="20"/>
          <w:highlight w:val="none"/>
        </w:rPr>
      </w:pPr>
    </w:p>
    <w:bookmarkEnd w:id="10"/>
    <w:p>
      <w:pPr>
        <w:spacing w:before="120" w:beforeLines="50" w:after="120" w:afterLines="50" w:line="360" w:lineRule="auto"/>
        <w:jc w:val="center"/>
        <w:outlineLvl w:val="0"/>
        <w:rPr>
          <w:rFonts w:hint="eastAsia" w:ascii="仿宋" w:hAnsi="仿宋" w:eastAsia="仿宋" w:cs="仿宋"/>
          <w:b/>
          <w:color w:val="auto"/>
          <w:sz w:val="32"/>
          <w:szCs w:val="20"/>
          <w:highlight w:val="none"/>
        </w:rPr>
      </w:pPr>
      <w:bookmarkStart w:id="11" w:name="第三部分"/>
      <w:bookmarkStart w:id="12" w:name="_Toc164416483"/>
      <w:r>
        <w:rPr>
          <w:rFonts w:ascii="仿宋" w:hAnsi="仿宋" w:eastAsia="仿宋" w:cs="仿宋"/>
          <w:b/>
          <w:color w:val="auto"/>
          <w:sz w:val="32"/>
          <w:szCs w:val="20"/>
          <w:highlight w:val="none"/>
        </w:rPr>
        <w:br w:type="page"/>
      </w:r>
      <w:r>
        <w:rPr>
          <w:rFonts w:hint="eastAsia" w:ascii="仿宋" w:hAnsi="仿宋" w:eastAsia="仿宋" w:cs="仿宋"/>
          <w:b/>
          <w:color w:val="auto"/>
          <w:sz w:val="32"/>
          <w:szCs w:val="20"/>
          <w:highlight w:val="none"/>
        </w:rPr>
        <w:t>一、总则</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2.2“采购代理机构”系指招标公告中载明的本项目的采购代理机构。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2.7“▲”系指实质性要求条款；“</w:t>
      </w:r>
      <w:r>
        <w:rPr>
          <w:rFonts w:ascii="Wingdings" w:hAnsi="Wingdings" w:eastAsia="仿宋" w:cs="仿宋"/>
          <w:color w:val="auto"/>
          <w:kern w:val="0"/>
          <w:sz w:val="24"/>
          <w:highlight w:val="none"/>
        </w:rPr>
        <w:t></w:t>
      </w:r>
      <w:r>
        <w:rPr>
          <w:rFonts w:hint="eastAsia" w:ascii="仿宋" w:hAnsi="仿宋" w:eastAsia="仿宋" w:cs="仿宋"/>
          <w:color w:val="auto"/>
          <w:sz w:val="24"/>
          <w:highlight w:val="none"/>
        </w:rPr>
        <w:t>”系指适用本项目的要求；“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”系指不适用本项目的要求。</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采购项目需要落实的政府采购政策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3.2支持绿色发展</w:t>
      </w:r>
    </w:p>
    <w:p>
      <w:pPr>
        <w:spacing w:line="360" w:lineRule="auto"/>
        <w:ind w:firstLine="480" w:firstLineChars="200"/>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采购人拟采购的产品属于政府强制采购的节能产品品目清单范围的，供应商未按招标文件要求提供国家确定的认证机构出具的、处于有效期之内的节能产品认证证书的，投标无效。</w:t>
      </w:r>
      <w:r>
        <w:rPr>
          <w:rFonts w:hint="eastAsia" w:ascii="仿宋" w:hAnsi="仿宋" w:eastAsia="仿宋" w:cs="仿宋"/>
          <w:b/>
          <w:color w:val="auto"/>
          <w:sz w:val="24"/>
          <w:highlight w:val="none"/>
          <w:lang w:eastAsia="zh-CN"/>
        </w:rPr>
        <w:t>（本项目不适用）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highlight w:val="none"/>
        </w:rPr>
        <w:t>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3.3.2.3在服务采购项目中，服务由中小企业承接，即提供服务的人员为中小企业依照《中华人民共和国劳动民法典》订立劳动合同的从业人员。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highlight w:val="none"/>
        </w:rPr>
        <w:t>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仿宋"/>
          <w:b/>
          <w:color w:val="auto"/>
          <w:sz w:val="24"/>
          <w:highlight w:val="none"/>
          <w:lang w:eastAsia="zh-CN"/>
        </w:rPr>
        <w:t>（本项目不适用）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应按照招标文件格式要求提供《中小企业声明函》，</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3.4.3根据《关于促进自主创新进一步改进招标采购工作的意见》(甬资交管办〔2019〕1号)规定，若投标产品列入地级市及以上政府部门重点自主创新产品目录的，相应的资格审查和业绩评分视同完全满足（以投标文件中提供地级市及以上政府部门重点自主创新产品目录证明材料为准）。</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4.1关于分公司投标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除银行、保险、石油石化、电力、电信等特殊行业外。法人的分支机构由于不能独立承担民事责任，不能以分支机构的身份参加政府采购，只能以法人身份参加。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4.2关于知识产权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4.2.2投标报价应包含所有应向所有权人支付的专利权、商标权或其它知识产权的一切相关费用。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4.2.3系统软件、通用软件必须是具有在中国境内的合法使用权或版权的正版软件，涉及到第三方提出侵权或知识产权的起诉及支付版税等费用由</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承担所有责任及费用。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的风险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4.3.1</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应详细阅读招标文件中的全部内容和要求，按照招标文件的要求提交投标文件，没有按照招标文件要求提供投标文件和资料导致的风险由</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承担,并对所提供的全部资料的真实性承担法律责任。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4.3.2无论因何种原因导致本次采购活动终止致</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损失的，相关责任人均不承担任何责任。</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询问、质疑、投诉</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.1供应商询问</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.2供应商质疑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5.2.2.1对招标文件提出质疑的，质疑期限为供应商获得招标文件之日或者招标文件公告期限届满之日起计算。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5.2.2.2对采购过程提出质疑的，质疑期限为各采购程序环节结束之日起计算。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5.2.2.3对采购结果提出质疑的，质疑期限自采购结果公告期限届满之日起计算。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5.2.2.4对同一采购程序环节的质疑，供应商须一次性提出。</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.2.3</w:t>
      </w:r>
      <w:r>
        <w:rPr>
          <w:rFonts w:hint="eastAsia" w:ascii="仿宋" w:hAnsi="仿宋" w:eastAsia="仿宋" w:cs="仿宋"/>
          <w:color w:val="auto"/>
          <w:sz w:val="24"/>
          <w:highlight w:val="none"/>
        </w:rPr>
        <w:t>供应商提出质疑应当提交质疑函和必要的证明材料。质疑函应当包括下列内容：</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.2.3.1供应商的姓名或者名称、地址、邮编、联系人及联系电话；</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.2.3.2质疑项目的名称、编号；</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.2.3.3具体、明确的质疑事项和与质疑事项相关的请求；</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.2.3.4事实依据；</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.2.3.5必要的法律依据；</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.2.3.6提出质疑的日期。</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5.2.3.7对招标文件提出质疑的需要提供在政采云平台获取招标文件的截图。</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.5询问或者质疑事项可能影响采购结果的，采购人应当暂停签订合同，已经签订合同的，应当中止履行合同。</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.3供应商投诉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供应商投诉的事项不得超出已质疑事项的范围，基于质疑答复内容提出的投诉事项除外。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5.3.3供应商投诉应当有明确的请求和必要的证明材料。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5.3.5以联合体形式参加政府采购活动的，其投诉应当由组成联合体的所有供应商共同提出。</w:t>
      </w:r>
    </w:p>
    <w:p>
      <w:pPr>
        <w:spacing w:line="360" w:lineRule="auto"/>
        <w:ind w:firstLine="480" w:firstLineChars="200"/>
        <w:rPr>
          <w:rFonts w:hint="eastAsia" w:ascii="仿宋" w:hAnsi="仿宋" w:eastAsia="仿宋" w:cs="仿宋"/>
          <w:color w:val="auto"/>
          <w:sz w:val="18"/>
          <w:szCs w:val="18"/>
          <w:highlight w:val="none"/>
        </w:rPr>
      </w:pPr>
      <w:r>
        <w:rPr>
          <w:rFonts w:hint="eastAsia" w:ascii="仿宋" w:hAnsi="仿宋" w:eastAsia="仿宋" w:cs="仿宋"/>
          <w:color w:val="auto"/>
          <w:sz w:val="24"/>
          <w:highlight w:val="none"/>
        </w:rPr>
        <w:t>投诉书范本请到浙江政府采购网下载专区下载。</w:t>
      </w: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招标文件的构成</w:t>
      </w:r>
    </w:p>
    <w:p>
      <w:pPr>
        <w:pStyle w:val="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6.1招标文件包括下列文件及附件：</w:t>
      </w:r>
    </w:p>
    <w:p>
      <w:pPr>
        <w:pStyle w:val="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6.1.1招标公告；</w:t>
      </w:r>
    </w:p>
    <w:p>
      <w:pPr>
        <w:pStyle w:val="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6.1.2</w:t>
      </w:r>
      <w:r>
        <w:rPr>
          <w:rFonts w:hint="eastAsia" w:ascii="仿宋" w:hAnsi="仿宋" w:eastAsia="仿宋" w:cs="仿宋"/>
          <w:color w:val="auto"/>
          <w:sz w:val="24"/>
          <w:szCs w:val="24"/>
          <w:highlight w:val="none"/>
          <w:lang w:val="zh-CN"/>
        </w:rPr>
        <w:t>投标</w:t>
      </w:r>
      <w:r>
        <w:rPr>
          <w:rFonts w:hint="eastAsia" w:ascii="仿宋" w:hAnsi="仿宋" w:eastAsia="仿宋" w:cs="仿宋"/>
          <w:color w:val="auto"/>
          <w:sz w:val="24"/>
          <w:szCs w:val="24"/>
          <w:highlight w:val="none"/>
        </w:rPr>
        <w:t>须知；</w:t>
      </w:r>
    </w:p>
    <w:p>
      <w:pPr>
        <w:pStyle w:val="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6.1.3采购需求；</w:t>
      </w:r>
    </w:p>
    <w:p>
      <w:pPr>
        <w:pStyle w:val="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6.1.4评标办法；</w:t>
      </w:r>
    </w:p>
    <w:p>
      <w:pPr>
        <w:pStyle w:val="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6.1.5</w:t>
      </w:r>
      <w:r>
        <w:rPr>
          <w:rFonts w:hint="eastAsia" w:ascii="仿宋" w:hAnsi="仿宋" w:eastAsia="仿宋" w:cs="仿宋"/>
          <w:color w:val="auto"/>
          <w:sz w:val="24"/>
          <w:szCs w:val="24"/>
          <w:highlight w:val="none"/>
          <w:lang w:eastAsia="zh-CN"/>
        </w:rPr>
        <w:t>政府采购合同文本</w:t>
      </w:r>
      <w:r>
        <w:rPr>
          <w:rFonts w:hint="eastAsia" w:ascii="仿宋" w:hAnsi="仿宋" w:eastAsia="仿宋" w:cs="仿宋"/>
          <w:color w:val="auto"/>
          <w:sz w:val="24"/>
          <w:szCs w:val="24"/>
          <w:highlight w:val="none"/>
        </w:rPr>
        <w:t>；</w:t>
      </w:r>
    </w:p>
    <w:p>
      <w:pPr>
        <w:pStyle w:val="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6.1.6应提交的有关格式范例。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招标文件的澄清、修改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7.2更正公告为招标文件的组成部分，一经在网站发布，视同已通知所有招标文件的收受人，不再采用其它方式传达相关信息, 若因未能及时了解到上述网站上发布的相关信息而导致的一切后果自行承担。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7.3如更正公告有重新发布电子招标文件的，</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应下载最新发布的电子招标文件制作投标文件。</w:t>
      </w:r>
    </w:p>
    <w:p>
      <w:pPr>
        <w:spacing w:line="360" w:lineRule="auto"/>
        <w:ind w:firstLine="480" w:firstLineChars="200"/>
        <w:rPr>
          <w:rFonts w:hint="eastAsia" w:ascii="仿宋" w:hAnsi="仿宋" w:eastAsia="仿宋" w:cs="仿宋"/>
          <w:b/>
          <w:color w:val="auto"/>
          <w:sz w:val="30"/>
          <w:szCs w:val="20"/>
          <w:highlight w:val="none"/>
        </w:rPr>
      </w:pPr>
      <w:r>
        <w:rPr>
          <w:rFonts w:hint="eastAsia" w:ascii="仿宋" w:hAnsi="仿宋" w:eastAsia="仿宋" w:cs="仿宋"/>
          <w:color w:val="auto"/>
          <w:sz w:val="24"/>
          <w:highlight w:val="none"/>
        </w:rPr>
        <w:t>7.4已获取招标文件的潜在</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，若有问题需要澄清，应于投标截止时间前，以书面形式向采购代理机构提出。</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w:t>
      </w: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三、投标</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与采购有关的来往通知、函件和文件均应使用中文。</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9.1.1有效的企业法人营业执照（或事业法人登记证）、其他组织（个体工商户）的营业执照或者民办非企业单位登记证书；</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9.1.2符合参加政府采购活动应当具备的一般条件的承诺函(格式见第六部分)；</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9.1.3落实政府采购政策需满足的资格要求（</w:t>
      </w:r>
      <w:r>
        <w:rPr>
          <w:rFonts w:hint="eastAsia" w:ascii="仿宋" w:hAnsi="仿宋" w:eastAsia="仿宋" w:cs="仿宋"/>
          <w:color w:val="auto"/>
          <w:sz w:val="24"/>
          <w:highlight w:val="none"/>
          <w:lang w:val="en-US" w:eastAsia="zh-CN"/>
        </w:rPr>
        <w:t>必须提供满足下列清单之一</w:t>
      </w:r>
      <w:r>
        <w:rPr>
          <w:rFonts w:hint="eastAsia" w:ascii="仿宋" w:hAnsi="仿宋" w:eastAsia="仿宋" w:cs="仿宋"/>
          <w:color w:val="auto"/>
          <w:sz w:val="24"/>
          <w:highlight w:val="none"/>
        </w:rPr>
        <w:t>）；</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中小企业声明函；</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残疾人福利性单位声明函；</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3.3</w:t>
      </w:r>
      <w:r>
        <w:rPr>
          <w:rFonts w:hint="eastAsia" w:ascii="仿宋" w:hAnsi="仿宋" w:eastAsia="仿宋" w:cs="仿宋"/>
          <w:color w:val="auto"/>
          <w:sz w:val="24"/>
          <w:highlight w:val="none"/>
        </w:rPr>
        <w:t>监狱企业的证明文件；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9.1.4联合协议（如有）；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9.1.5分包意向协议（如有）；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9.1.6本项目的特定资格要求（如有）。</w:t>
      </w:r>
    </w:p>
    <w:p>
      <w:pPr>
        <w:snapToGrid w:val="0"/>
        <w:spacing w:line="360" w:lineRule="auto"/>
        <w:ind w:firstLine="480" w:firstLineChars="200"/>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9.2.1符合性自查表；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9.2.2投标函；</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9.2.3授权委托书或法定代表人（单位负责人、自然人本人）身份证明；</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9.2.4供应商情况表；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9.2.5距采购人最近或者能为本项目提供最优服务的网点情况表；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6评标标准相应的商务技术资料；</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9.2.7商务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9.2.8技术</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9.2.9同类业绩情况一览表；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9.2.10</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9.2.11其他资料（如有）。</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rPr>
        <w:t>9</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9.3.1开标一览表；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9.3.2投标报价明细表；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政府采购统计基础信息表；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其他资料（如有）。</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zh-CN"/>
        </w:rPr>
        <w:t>.1投标文件分为资格文件、商务技术文件、报价文件三部分。各供应商在编制投标文件时请按照招标文件第六部分规定的格式进行。</w:t>
      </w:r>
      <w:r>
        <w:rPr>
          <w:rFonts w:hint="eastAsia" w:ascii="仿宋" w:hAnsi="仿宋" w:eastAsia="仿宋" w:cs="仿宋"/>
          <w:color w:val="auto"/>
          <w:kern w:val="0"/>
          <w:sz w:val="24"/>
          <w:highlight w:val="none"/>
        </w:rPr>
        <w:t>未有规定格式的资料，</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kern w:val="0"/>
          <w:sz w:val="24"/>
          <w:highlight w:val="none"/>
        </w:rPr>
        <w:t>应自行编制，但至少须包含9.投标文件组成中的内容。</w:t>
      </w:r>
      <w:r>
        <w:rPr>
          <w:rFonts w:hint="eastAsia" w:ascii="仿宋" w:hAnsi="仿宋" w:eastAsia="仿宋" w:cs="仿宋"/>
          <w:color w:val="auto"/>
          <w:kern w:val="0"/>
          <w:sz w:val="24"/>
          <w:highlight w:val="none"/>
          <w:lang w:val="zh-CN"/>
        </w:rPr>
        <w:t>混乱的编排导致投标文件被误读或评标委员会查找不到有效文件是供应商的风险。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zh-CN"/>
        </w:rPr>
        <w:t>.2供应商进行电子投标应安装客户端软件—“政采云电子交易客户端”，并按照招标文件和电子交易平台的要求编制并加密投标文件。供应商未按规定加密的投标文件，电子交易平台将拒收并提示。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pPr>
        <w:pStyle w:val="33"/>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11.1投标文件按照招标文件第六部分格式要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▲供应商的投标文件未按照招标文件要求签署、盖章的，其投标无效</w:t>
      </w:r>
      <w:r>
        <w:rPr>
          <w:rFonts w:hint="eastAsia" w:ascii="仿宋" w:hAnsi="仿宋" w:eastAsia="仿宋" w:cs="仿宋"/>
          <w:color w:val="auto"/>
          <w:szCs w:val="24"/>
          <w:highlight w:val="none"/>
        </w:rPr>
        <w:t>。</w:t>
      </w:r>
    </w:p>
    <w:p>
      <w:pPr>
        <w:pStyle w:val="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11.2为确保网上操作合法、有效和安全，</w:t>
      </w:r>
      <w:r>
        <w:rPr>
          <w:rFonts w:hint="eastAsia" w:ascii="仿宋" w:hAnsi="仿宋" w:eastAsia="仿宋" w:cs="仿宋"/>
          <w:color w:val="auto"/>
          <w:kern w:val="0"/>
          <w:highlight w:val="none"/>
          <w:lang w:val="zh-CN"/>
        </w:rPr>
        <w:t>供应商</w:t>
      </w:r>
      <w:r>
        <w:rPr>
          <w:rFonts w:hint="eastAsia" w:ascii="仿宋" w:hAnsi="仿宋" w:eastAsia="仿宋" w:cs="仿宋"/>
          <w:color w:val="auto"/>
          <w:highlight w:val="none"/>
        </w:rPr>
        <w:t>应当在投标截止时间前完成在“政府采购云平台”的身份认证，确保在电子投标过程中能够对相关数据电文进行加密和使用电子签名。</w:t>
      </w:r>
    </w:p>
    <w:p>
      <w:pPr>
        <w:pStyle w:val="3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11.3招标文件对投标文件签署、盖章的要求适用于电子签名。</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投标文件的提交、补充、修改、撤回</w:t>
      </w:r>
    </w:p>
    <w:p>
      <w:pPr>
        <w:pStyle w:val="33"/>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pPr>
        <w:pStyle w:val="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12.3采购人、采购代理机构可以视情况延长投标文件提交的截止时间。在上述情况下，采购代理机构与</w:t>
      </w:r>
      <w:r>
        <w:rPr>
          <w:rFonts w:hint="eastAsia" w:ascii="仿宋" w:hAnsi="仿宋" w:eastAsia="仿宋" w:cs="仿宋"/>
          <w:color w:val="auto"/>
          <w:kern w:val="0"/>
          <w:highlight w:val="none"/>
          <w:lang w:val="zh-CN"/>
        </w:rPr>
        <w:t>供应商</w:t>
      </w:r>
      <w:r>
        <w:rPr>
          <w:rFonts w:hint="eastAsia" w:ascii="仿宋" w:hAnsi="仿宋" w:eastAsia="仿宋" w:cs="仿宋"/>
          <w:color w:val="auto"/>
          <w:szCs w:val="24"/>
          <w:highlight w:val="none"/>
        </w:rPr>
        <w:t>以前在投标截止期方面的全部权利、责任和义务，将适用于延长至新的投标截止期。</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投标有效期</w:t>
      </w:r>
    </w:p>
    <w:p>
      <w:pPr>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投标有效期为从提交投标文件的截止之日起90天。</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供应商的投标文件中承</w:t>
      </w:r>
      <w:r>
        <w:rPr>
          <w:rFonts w:hint="eastAsia" w:ascii="仿宋" w:hAnsi="仿宋" w:eastAsia="仿宋" w:cs="仿宋"/>
          <w:b/>
          <w:color w:val="auto"/>
          <w:sz w:val="24"/>
          <w:szCs w:val="21"/>
          <w:highlight w:val="none"/>
        </w:rPr>
        <w:t>诺的投标有效期少于招标文件中载明的投标有效期的，投标无效。</w:t>
      </w: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四、开标、资格审查与信用信息查询</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w:t>
      </w:r>
    </w:p>
    <w:p>
      <w:pPr>
        <w:pStyle w:val="28"/>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14.1采购代理机构按照招标文件规定的时间通过电子交易平台组织开标，所有</w:t>
      </w:r>
      <w:r>
        <w:rPr>
          <w:rFonts w:hint="eastAsia" w:ascii="仿宋" w:hAnsi="仿宋" w:eastAsia="仿宋" w:cs="仿宋"/>
          <w:color w:val="auto"/>
          <w:sz w:val="24"/>
          <w:highlight w:val="none"/>
          <w:lang w:val="zh-CN"/>
        </w:rPr>
        <w:t>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val="zh-CN"/>
        </w:rPr>
        <w:t>供应商</w:t>
      </w:r>
      <w:r>
        <w:rPr>
          <w:rFonts w:hint="eastAsia" w:ascii="仿宋" w:hAnsi="仿宋" w:eastAsia="仿宋" w:cs="仿宋"/>
          <w:color w:val="auto"/>
          <w:sz w:val="24"/>
          <w:highlight w:val="none"/>
        </w:rPr>
        <w:t>不足3家的，不得开标。</w:t>
      </w:r>
    </w:p>
    <w:p>
      <w:pPr>
        <w:pStyle w:val="28"/>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14.2开标时，电子交易平台按开标时间自动提取所有投标文件。采购代理机构依托电子交易平台发起开始解密指令，</w:t>
      </w:r>
      <w:r>
        <w:rPr>
          <w:rFonts w:hint="eastAsia" w:ascii="仿宋" w:hAnsi="仿宋" w:eastAsia="仿宋" w:cs="仿宋"/>
          <w:color w:val="auto"/>
          <w:sz w:val="24"/>
          <w:highlight w:val="none"/>
          <w:lang w:val="zh-CN"/>
        </w:rPr>
        <w:t>供应商</w:t>
      </w:r>
      <w:r>
        <w:rPr>
          <w:rFonts w:hint="eastAsia" w:ascii="仿宋" w:hAnsi="仿宋" w:eastAsia="仿宋" w:cs="仿宋"/>
          <w:color w:val="auto"/>
          <w:sz w:val="24"/>
          <w:highlight w:val="none"/>
        </w:rPr>
        <w:t>按照平台提示和招标文件的规定在半小时内完成在线解密。</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15.1开标后，采购人或采购代理机构依据法律法规和招标文件的规定，对供应商的资格条件进行审查。</w:t>
      </w:r>
    </w:p>
    <w:p>
      <w:pPr>
        <w:pStyle w:val="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15.</w:t>
      </w:r>
      <w:r>
        <w:rPr>
          <w:rFonts w:hint="eastAsia" w:ascii="仿宋" w:hAnsi="仿宋" w:eastAsia="仿宋" w:cs="仿宋"/>
          <w:color w:val="auto"/>
          <w:highlight w:val="none"/>
        </w:rPr>
        <w:t>2对未通过资格审查的供应商，采购人或采购代理机构告知其未通过的原因。</w:t>
      </w:r>
    </w:p>
    <w:p>
      <w:pPr>
        <w:pStyle w:val="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15.</w:t>
      </w:r>
      <w:r>
        <w:rPr>
          <w:rFonts w:hint="eastAsia" w:ascii="仿宋" w:hAnsi="仿宋" w:eastAsia="仿宋" w:cs="仿宋"/>
          <w:color w:val="auto"/>
          <w:highlight w:val="none"/>
        </w:rPr>
        <w:t>3合格供应商不足3家的，不再评标。</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w:t>
      </w:r>
    </w:p>
    <w:p>
      <w:pPr>
        <w:pStyle w:val="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pPr>
        <w:pStyle w:val="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16.2信用信息的使用规则：经查询列入失信被执行人名单、重大税收违法案件当事人名单</w:t>
      </w:r>
      <w:r>
        <w:rPr>
          <w:rFonts w:hint="eastAsia" w:ascii="仿宋" w:hAnsi="仿宋" w:eastAsia="仿宋" w:cs="仿宋"/>
          <w:color w:val="auto"/>
          <w:kern w:val="0"/>
          <w:szCs w:val="24"/>
          <w:highlight w:val="none"/>
          <w:lang w:eastAsia="zh-CN"/>
        </w:rPr>
        <w:t>（即重大税收违法失信主体）</w:t>
      </w:r>
      <w:r>
        <w:rPr>
          <w:rFonts w:hint="eastAsia" w:ascii="仿宋" w:hAnsi="仿宋" w:eastAsia="仿宋" w:cs="仿宋"/>
          <w:color w:val="auto"/>
          <w:kern w:val="0"/>
          <w:szCs w:val="24"/>
          <w:highlight w:val="none"/>
        </w:rPr>
        <w:t>、政府采购严重违法失信行为记录名单的</w:t>
      </w:r>
      <w:r>
        <w:rPr>
          <w:rFonts w:hint="eastAsia" w:ascii="仿宋" w:hAnsi="仿宋" w:eastAsia="仿宋" w:cs="仿宋"/>
          <w:color w:val="auto"/>
          <w:kern w:val="0"/>
          <w:szCs w:val="24"/>
          <w:highlight w:val="none"/>
          <w:lang w:val="zh-CN"/>
        </w:rPr>
        <w:t>供应商</w:t>
      </w:r>
      <w:r>
        <w:rPr>
          <w:rFonts w:hint="eastAsia" w:ascii="仿宋" w:hAnsi="仿宋" w:eastAsia="仿宋" w:cs="仿宋"/>
          <w:color w:val="auto"/>
          <w:kern w:val="0"/>
          <w:szCs w:val="24"/>
          <w:highlight w:val="none"/>
        </w:rPr>
        <w:t>将被拒绝参与政府采购活动。</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五、评标</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评标委员会</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17.1本次招标依法组建评标委员会。评标委员会由采购人代表和评审专家组成，评审专家从专家库随机抽取。</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17.2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pStyle w:val="33"/>
        <w:spacing w:before="0"/>
        <w:ind w:firstLine="48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17.3评审专家有下列情形之一的，应主动提出回避，采购当事人也可以要求该评审专家回避：</w:t>
      </w:r>
    </w:p>
    <w:p>
      <w:pPr>
        <w:pStyle w:val="33"/>
        <w:spacing w:before="0"/>
        <w:ind w:firstLine="48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17.3.1参加采购活动前3年内与供应商存在劳动关系；</w:t>
      </w:r>
    </w:p>
    <w:p>
      <w:pPr>
        <w:pStyle w:val="33"/>
        <w:spacing w:before="0"/>
        <w:ind w:firstLine="48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17.3.2参加采购活动前3年内担任供应商的董事、监事；</w:t>
      </w:r>
    </w:p>
    <w:p>
      <w:pPr>
        <w:pStyle w:val="33"/>
        <w:spacing w:before="0"/>
        <w:ind w:firstLine="48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17.3.3参加采购活动前3年内是供应商的控股股东或者实际控制人；</w:t>
      </w:r>
    </w:p>
    <w:p>
      <w:pPr>
        <w:pStyle w:val="33"/>
        <w:spacing w:before="0"/>
        <w:ind w:firstLine="48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17.3.4与供应商的法定代表人或者负责人有夫妻、直系血亲、三代以内旁系血亲或者近姻亲关系；</w:t>
      </w:r>
    </w:p>
    <w:p>
      <w:pPr>
        <w:pStyle w:val="33"/>
        <w:spacing w:before="0"/>
        <w:ind w:firstLine="48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17.3.5与供应商有其他可能影响政府采购活动公平、公正进行的关系。</w:t>
      </w:r>
    </w:p>
    <w:p>
      <w:pPr>
        <w:pStyle w:val="33"/>
        <w:spacing w:before="0"/>
        <w:ind w:firstLine="48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17.3.6</w:t>
      </w:r>
      <w:r>
        <w:rPr>
          <w:rFonts w:hint="eastAsia" w:ascii="仿宋" w:hAnsi="仿宋" w:eastAsia="仿宋" w:cs="仿宋"/>
          <w:color w:val="auto"/>
          <w:kern w:val="0"/>
          <w:szCs w:val="24"/>
          <w:highlight w:val="none"/>
        </w:rPr>
        <w:t>曾经参加过该采购项目招标文件的论证工作；</w:t>
      </w:r>
    </w:p>
    <w:p>
      <w:pPr>
        <w:pStyle w:val="33"/>
        <w:spacing w:before="0"/>
        <w:ind w:firstLine="48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17.3.7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17.4评标委员会判断投标文件的有效性、合格性和响应情况，仅依据投标人所递交一切文件的真实表述，不受与本项目无直接关联的外部信息、传言而影响自身的专业判断。</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17.5评委依法独立评审，并对评审意见承担个人责任。评委对需要共同认定的事项存在争议的，按照少数服从多数的原则做出结论。持不同意见的评委应当在评审报告上签署不同意见并说明理由，否则视为同意。</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评标委员会将根据招标文件和有关规定，履行评标工作职责，并按照评标方法及评分标准，全面衡量各</w:t>
      </w:r>
      <w:r>
        <w:rPr>
          <w:rFonts w:hint="eastAsia" w:ascii="仿宋" w:hAnsi="仿宋" w:eastAsia="仿宋" w:cs="仿宋"/>
          <w:color w:val="auto"/>
          <w:kern w:val="0"/>
          <w:highlight w:val="none"/>
          <w:lang w:val="zh-CN"/>
        </w:rPr>
        <w:t>供应商</w:t>
      </w:r>
      <w:r>
        <w:rPr>
          <w:rFonts w:hint="eastAsia" w:ascii="仿宋" w:hAnsi="仿宋" w:eastAsia="仿宋" w:cs="仿宋"/>
          <w:color w:val="auto"/>
          <w:kern w:val="0"/>
          <w:szCs w:val="24"/>
          <w:highlight w:val="none"/>
        </w:rPr>
        <w:t>对招标文件的响应情况。对实质上响应招标文件的</w:t>
      </w:r>
      <w:r>
        <w:rPr>
          <w:rFonts w:hint="eastAsia" w:ascii="仿宋" w:hAnsi="仿宋" w:eastAsia="仿宋" w:cs="仿宋"/>
          <w:color w:val="auto"/>
          <w:kern w:val="0"/>
          <w:highlight w:val="none"/>
          <w:lang w:val="zh-CN"/>
        </w:rPr>
        <w:t>供应商</w:t>
      </w:r>
      <w:r>
        <w:rPr>
          <w:rFonts w:hint="eastAsia" w:ascii="仿宋" w:hAnsi="仿宋" w:eastAsia="仿宋" w:cs="仿宋"/>
          <w:color w:val="auto"/>
          <w:kern w:val="0"/>
          <w:szCs w:val="24"/>
          <w:highlight w:val="none"/>
        </w:rPr>
        <w:t>，按照评审因素的量化指标推荐综合得分排名第一的为中标候选人。</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ascii="仿宋" w:hAnsi="仿宋" w:eastAsia="仿宋" w:cs="仿宋"/>
          <w:color w:val="auto"/>
          <w:kern w:val="0"/>
          <w:highlight w:val="none"/>
          <w:lang w:val="zh-CN"/>
        </w:rPr>
        <w:t>供应商</w:t>
      </w:r>
      <w:r>
        <w:rPr>
          <w:rFonts w:hint="eastAsia" w:ascii="仿宋" w:hAnsi="仿宋" w:eastAsia="仿宋" w:cs="仿宋"/>
          <w:color w:val="auto"/>
          <w:kern w:val="0"/>
          <w:szCs w:val="24"/>
          <w:highlight w:val="none"/>
        </w:rPr>
        <w:t>为排名第一的中标候选人。</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详见招标文件第四部分评标办法。</w:t>
      </w: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六、定标</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确定中标供应商</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本项目由评标委员会推荐1名中标候选人，采购人不得在评标委员会推荐的中标候选人以外确定中标候选人。</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中标通知与中标结果公告</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20.3中标结果公告期限为1个工作日。</w:t>
      </w: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合同授予</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合同主要条款详见第五部分</w:t>
      </w:r>
      <w:r>
        <w:rPr>
          <w:rFonts w:hint="eastAsia" w:ascii="仿宋" w:hAnsi="仿宋" w:eastAsia="仿宋" w:cs="仿宋"/>
          <w:color w:val="auto"/>
          <w:kern w:val="0"/>
          <w:szCs w:val="24"/>
          <w:highlight w:val="none"/>
          <w:lang w:eastAsia="zh-CN"/>
        </w:rPr>
        <w:t>政府采购合同文本</w:t>
      </w:r>
      <w:r>
        <w:rPr>
          <w:rFonts w:hint="eastAsia" w:ascii="仿宋" w:hAnsi="仿宋" w:eastAsia="仿宋" w:cs="仿宋"/>
          <w:color w:val="auto"/>
          <w:kern w:val="0"/>
          <w:szCs w:val="24"/>
          <w:highlight w:val="none"/>
        </w:rPr>
        <w:t>。</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合同的签订</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22.1采购人与中标供应商应当通过电子交易平台在中标通知书发出之日起三十日内，按照招标文件及中标供应商的投标文件确定的事项签订政府采购合同，并在合同签订之日起2个工作日内依法发布合同公告。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2</w:t>
      </w:r>
      <w:r>
        <w:rPr>
          <w:rFonts w:hint="eastAsia" w:ascii="仿宋" w:hAnsi="仿宋" w:eastAsia="仿宋" w:cs="仿宋"/>
          <w:color w:val="auto"/>
          <w:kern w:val="0"/>
          <w:szCs w:val="24"/>
          <w:highlight w:val="none"/>
        </w:rPr>
        <w:t>2</w:t>
      </w:r>
      <w:r>
        <w:rPr>
          <w:rFonts w:hint="eastAsia" w:ascii="仿宋" w:hAnsi="仿宋" w:eastAsia="仿宋" w:cs="仿宋"/>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22.3如签订合同并生效后，供应商无故拒绝或延期，除按照合同条款处理外，列入不良行为记录名单，并给予通报。</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22.4中标供应商拒绝与采购人签订合同的，列入不良行为记录名单，采购人、采购代理机构重新开展政府采购活动。</w:t>
      </w:r>
    </w:p>
    <w:p>
      <w:pPr>
        <w:pStyle w:val="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22.5采购合同由采购人与中标供应商根据招标文件、投标文件等内容通过政府采购电子交易平台在线签订，自动备案。</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政府采购合同文本</w:t>
      </w:r>
      <w:r>
        <w:rPr>
          <w:rFonts w:hint="eastAsia" w:ascii="仿宋" w:hAnsi="仿宋" w:eastAsia="仿宋" w:cs="仿宋"/>
          <w:color w:val="auto"/>
          <w:kern w:val="0"/>
          <w:sz w:val="24"/>
          <w:highlight w:val="none"/>
        </w:rPr>
        <w:t>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%。鼓励和支持供应商以银行、保险公司出具的保函形式提供履约保证金。采购人不得拒收履约保函。</w:t>
      </w: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电子交易活动的中止</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pPr>
        <w:pStyle w:val="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24.1电子交易平台发生故障而无法登录访问的；</w:t>
      </w:r>
    </w:p>
    <w:p>
      <w:pPr>
        <w:pStyle w:val="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24.2电子交易平台应用或数据库出现错误，不能进行正常操作的；</w:t>
      </w:r>
    </w:p>
    <w:p>
      <w:pPr>
        <w:pStyle w:val="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24.3电子交易平台发现严重安全漏洞，有潜在泄密危险的；</w:t>
      </w:r>
    </w:p>
    <w:p>
      <w:pPr>
        <w:pStyle w:val="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24.4病毒发作导致不能进行正常操作的；</w:t>
      </w:r>
    </w:p>
    <w:p>
      <w:pPr>
        <w:pStyle w:val="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24.5其他无法保证电子交易的公平、公正和安全的情况。</w:t>
      </w: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pPr>
        <w:numPr>
          <w:ilvl w:val="0"/>
          <w:numId w:val="2"/>
        </w:numPr>
        <w:adjustRightInd w:val="0"/>
        <w:snapToGrid w:val="0"/>
        <w:spacing w:before="120" w:beforeLines="50" w:line="360" w:lineRule="auto"/>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 w:val="24"/>
          <w:highlight w:val="none"/>
        </w:rPr>
        <w:t>25.2采购预算100万元（含）以上的采购项目履约完成后，采购人必须成立验收小组进行验收，并出具验收报告，作为财务货款支出的原始凭证。采购预算300万元（含）以上的采购项目履约完成后，未中标供应商可以参加项目验收活动，但不属于验收小组成员，中标供应商须积极配合未中标供应商参与项目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25.3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bookmarkStart w:id="14" w:name="_Hlt74730295"/>
      <w:bookmarkEnd w:id="14"/>
      <w:bookmarkStart w:id="15" w:name="_Hlt68072998"/>
      <w:bookmarkEnd w:id="15"/>
      <w:bookmarkStart w:id="16" w:name="_Hlt74714665"/>
      <w:bookmarkEnd w:id="16"/>
      <w:bookmarkStart w:id="17" w:name="_Hlt75236101"/>
      <w:bookmarkEnd w:id="17"/>
      <w:bookmarkStart w:id="18" w:name="_Hlt68072990"/>
      <w:bookmarkEnd w:id="18"/>
      <w:bookmarkStart w:id="19" w:name="_Hlt68403820"/>
      <w:bookmarkEnd w:id="19"/>
      <w:bookmarkStart w:id="20" w:name="_Hlt75236290"/>
      <w:bookmarkEnd w:id="20"/>
      <w:bookmarkStart w:id="21" w:name="_Hlt74729768"/>
      <w:bookmarkEnd w:id="21"/>
      <w:bookmarkStart w:id="22" w:name="_Hlt75236011"/>
      <w:bookmarkEnd w:id="22"/>
      <w:bookmarkStart w:id="23" w:name="_Hlt68057669"/>
      <w:bookmarkEnd w:id="23"/>
      <w:bookmarkStart w:id="24" w:name="_Hlt68073093"/>
      <w:bookmarkEnd w:id="24"/>
      <w:bookmarkStart w:id="25" w:name="_Hlt74707468"/>
      <w:bookmarkEnd w:id="25"/>
      <w:bookmarkStart w:id="26" w:name="第四部分"/>
    </w:p>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sz w:val="36"/>
          <w:szCs w:val="20"/>
          <w:highlight w:val="none"/>
        </w:rPr>
        <w:t>第三部分  采购需求</w:t>
      </w:r>
    </w:p>
    <w:p>
      <w:pPr>
        <w:spacing w:before="120" w:beforeLines="50" w:after="120" w:afterLines="50" w:line="500" w:lineRule="exac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rPr>
        <w:t>一、项目</w:t>
      </w:r>
      <w:r>
        <w:rPr>
          <w:rFonts w:hint="eastAsia" w:ascii="仿宋" w:hAnsi="仿宋" w:eastAsia="仿宋" w:cs="宋体"/>
          <w:b/>
          <w:color w:val="auto"/>
          <w:sz w:val="24"/>
          <w:highlight w:val="none"/>
          <w:lang w:val="en-US" w:eastAsia="zh-CN"/>
        </w:rPr>
        <w:t>背景</w:t>
      </w:r>
    </w:p>
    <w:p>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为进一步加强奉化城区功能性照明设施维修养护管理服务工作，切实提升城市形象。根据区政府相关工作要求，拟对奉化城区功能性照明设施维修养护管理服务项目进行公开招标采购。</w:t>
      </w:r>
    </w:p>
    <w:p>
      <w:pPr>
        <w:tabs>
          <w:tab w:val="left" w:pos="0"/>
        </w:tabs>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项目目标：对灯具设施、设备的清洁工作要求每季度不少于1次；亮灯率确保达到99%及以上。</w:t>
      </w:r>
    </w:p>
    <w:p>
      <w:pPr>
        <w:spacing w:before="120" w:beforeLines="50" w:after="120" w:afterLines="50" w:line="500" w:lineRule="exac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二、</w:t>
      </w:r>
      <w:r>
        <w:rPr>
          <w:rFonts w:hint="eastAsia" w:ascii="仿宋" w:hAnsi="仿宋" w:eastAsia="仿宋" w:cs="宋体"/>
          <w:b/>
          <w:color w:val="auto"/>
          <w:sz w:val="24"/>
          <w:highlight w:val="none"/>
          <w:lang w:eastAsia="zh-CN"/>
        </w:rPr>
        <w:t>执行的</w:t>
      </w:r>
      <w:r>
        <w:rPr>
          <w:rFonts w:hint="eastAsia" w:ascii="仿宋" w:hAnsi="仿宋" w:eastAsia="仿宋" w:cs="宋体"/>
          <w:b/>
          <w:color w:val="auto"/>
          <w:sz w:val="24"/>
          <w:highlight w:val="none"/>
        </w:rPr>
        <w:t>法规依据</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本项目维修养护管理服务应按照国家有关标准、规范进行。</w:t>
      </w:r>
    </w:p>
    <w:p>
      <w:pPr>
        <w:spacing w:before="120" w:beforeLines="50" w:after="120" w:afterLines="50" w:line="500" w:lineRule="exact"/>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rPr>
        <w:t>三、</w:t>
      </w:r>
      <w:r>
        <w:rPr>
          <w:rFonts w:hint="eastAsia" w:ascii="仿宋" w:hAnsi="仿宋" w:eastAsia="仿宋" w:cs="宋体"/>
          <w:b/>
          <w:color w:val="auto"/>
          <w:sz w:val="24"/>
          <w:highlight w:val="none"/>
          <w:lang w:eastAsia="zh-CN"/>
        </w:rPr>
        <w:t>项目</w:t>
      </w:r>
      <w:r>
        <w:rPr>
          <w:rFonts w:hint="eastAsia" w:ascii="仿宋" w:hAnsi="仿宋" w:eastAsia="仿宋" w:cs="宋体"/>
          <w:b/>
          <w:color w:val="auto"/>
          <w:sz w:val="24"/>
          <w:highlight w:val="none"/>
          <w:lang w:val="en-US" w:eastAsia="zh-CN"/>
        </w:rPr>
        <w:t>内容和要求</w:t>
      </w:r>
    </w:p>
    <w:p>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1、服务</w:t>
      </w:r>
      <w:r>
        <w:rPr>
          <w:rFonts w:hint="eastAsia" w:ascii="仿宋" w:hAnsi="仿宋" w:eastAsia="仿宋" w:cs="仿宋"/>
          <w:color w:val="auto"/>
          <w:kern w:val="0"/>
          <w:sz w:val="24"/>
          <w:highlight w:val="none"/>
          <w:lang w:val="en-US" w:eastAsia="zh-CN"/>
        </w:rPr>
        <w:t>内容清单</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对奉化区本级照明设施及路灯控制设备的管理、清洁、维修等所有养护工作</w:t>
      </w:r>
      <w:r>
        <w:rPr>
          <w:rFonts w:hint="eastAsia" w:ascii="仿宋" w:hAnsi="仿宋" w:eastAsia="仿宋" w:cs="仿宋"/>
          <w:color w:val="auto"/>
          <w:kern w:val="0"/>
          <w:sz w:val="24"/>
          <w:highlight w:val="none"/>
          <w:lang w:eastAsia="zh-CN"/>
        </w:rPr>
        <w:t>；</w:t>
      </w:r>
    </w:p>
    <w:tbl>
      <w:tblPr>
        <w:tblStyle w:val="14"/>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474"/>
        <w:gridCol w:w="1443"/>
        <w:gridCol w:w="221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7" w:type="dxa"/>
            <w:noWrap w:val="0"/>
            <w:vAlign w:val="center"/>
          </w:tcPr>
          <w:p>
            <w:pPr>
              <w:jc w:val="center"/>
              <w:rPr>
                <w:rFonts w:hint="eastAsia" w:ascii="仿宋" w:hAnsi="仿宋" w:eastAsia="仿宋"/>
                <w:b/>
                <w:color w:val="auto"/>
                <w:highlight w:val="none"/>
                <w:lang w:eastAsia="zh-CN"/>
              </w:rPr>
            </w:pPr>
            <w:r>
              <w:rPr>
                <w:rFonts w:hint="eastAsia" w:ascii="仿宋" w:hAnsi="仿宋" w:eastAsia="仿宋"/>
                <w:b/>
                <w:color w:val="auto"/>
                <w:highlight w:val="none"/>
                <w:lang w:val="en-US" w:eastAsia="zh-CN"/>
              </w:rPr>
              <w:t>序号</w:t>
            </w:r>
          </w:p>
        </w:tc>
        <w:tc>
          <w:tcPr>
            <w:tcW w:w="2474" w:type="dxa"/>
            <w:noWrap w:val="0"/>
            <w:vAlign w:val="center"/>
          </w:tcPr>
          <w:p>
            <w:pPr>
              <w:jc w:val="center"/>
              <w:rPr>
                <w:rFonts w:hint="default"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功能性照明设施类型</w:t>
            </w:r>
          </w:p>
        </w:tc>
        <w:tc>
          <w:tcPr>
            <w:tcW w:w="1443" w:type="dxa"/>
            <w:noWrap w:val="0"/>
            <w:vAlign w:val="center"/>
          </w:tcPr>
          <w:p>
            <w:pPr>
              <w:jc w:val="center"/>
              <w:rPr>
                <w:rFonts w:ascii="仿宋" w:hAnsi="仿宋" w:eastAsia="仿宋"/>
                <w:b/>
                <w:color w:val="auto"/>
                <w:highlight w:val="none"/>
              </w:rPr>
            </w:pPr>
            <w:r>
              <w:rPr>
                <w:rFonts w:hint="eastAsia" w:ascii="仿宋" w:hAnsi="仿宋" w:eastAsia="仿宋"/>
                <w:b/>
                <w:color w:val="auto"/>
                <w:highlight w:val="none"/>
              </w:rPr>
              <w:t>数量</w:t>
            </w:r>
          </w:p>
        </w:tc>
        <w:tc>
          <w:tcPr>
            <w:tcW w:w="2215" w:type="dxa"/>
            <w:noWrap w:val="0"/>
            <w:vAlign w:val="center"/>
          </w:tcPr>
          <w:p>
            <w:pPr>
              <w:jc w:val="center"/>
              <w:rPr>
                <w:rFonts w:hint="eastAsia" w:ascii="仿宋" w:hAnsi="仿宋" w:eastAsia="仿宋"/>
                <w:b/>
                <w:color w:val="auto"/>
                <w:highlight w:val="none"/>
                <w:lang w:eastAsia="zh-CN"/>
              </w:rPr>
            </w:pPr>
            <w:r>
              <w:rPr>
                <w:rFonts w:hint="eastAsia" w:ascii="仿宋" w:hAnsi="仿宋" w:eastAsia="仿宋"/>
                <w:b/>
                <w:color w:val="auto"/>
                <w:highlight w:val="none"/>
                <w:lang w:eastAsia="zh-CN"/>
              </w:rPr>
              <w:t>综合单价最高限价</w:t>
            </w:r>
          </w:p>
        </w:tc>
        <w:tc>
          <w:tcPr>
            <w:tcW w:w="1948" w:type="dxa"/>
            <w:noWrap w:val="0"/>
            <w:vAlign w:val="center"/>
          </w:tcPr>
          <w:p>
            <w:pPr>
              <w:jc w:val="center"/>
              <w:rPr>
                <w:rFonts w:hint="eastAsia" w:ascii="仿宋" w:hAnsi="仿宋" w:eastAsia="仿宋"/>
                <w:b/>
                <w:color w:val="auto"/>
                <w:highlight w:val="none"/>
                <w:lang w:eastAsia="zh-CN"/>
              </w:rPr>
            </w:pPr>
            <w:r>
              <w:rPr>
                <w:rFonts w:hint="eastAsia" w:ascii="仿宋" w:hAnsi="仿宋" w:eastAsia="仿宋"/>
                <w:b/>
                <w:color w:val="auto"/>
                <w:highlight w:val="none"/>
                <w:lang w:val="en-US" w:eastAsia="zh-CN"/>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noWrap w:val="0"/>
            <w:vAlign w:val="center"/>
          </w:tcPr>
          <w:p>
            <w:pPr>
              <w:jc w:val="center"/>
              <w:rPr>
                <w:rFonts w:ascii="仿宋" w:hAnsi="仿宋" w:eastAsia="仿宋"/>
                <w:color w:val="auto"/>
                <w:highlight w:val="none"/>
              </w:rPr>
            </w:pPr>
            <w:r>
              <w:rPr>
                <w:rFonts w:hint="eastAsia" w:ascii="仿宋" w:hAnsi="仿宋" w:eastAsia="仿宋"/>
                <w:color w:val="auto"/>
                <w:highlight w:val="none"/>
              </w:rPr>
              <w:t>1</w:t>
            </w:r>
          </w:p>
        </w:tc>
        <w:tc>
          <w:tcPr>
            <w:tcW w:w="247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LED路灯</w:t>
            </w:r>
          </w:p>
        </w:tc>
        <w:tc>
          <w:tcPr>
            <w:tcW w:w="1443"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4901柱</w:t>
            </w:r>
          </w:p>
        </w:tc>
        <w:tc>
          <w:tcPr>
            <w:tcW w:w="2215" w:type="dxa"/>
            <w:vMerge w:val="restart"/>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187元/柱</w:t>
            </w:r>
          </w:p>
        </w:tc>
        <w:tc>
          <w:tcPr>
            <w:tcW w:w="1948" w:type="dxa"/>
            <w:vMerge w:val="restart"/>
            <w:noWrap w:val="0"/>
            <w:vAlign w:val="center"/>
          </w:tcPr>
          <w:p>
            <w:pPr>
              <w:jc w:val="left"/>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路灯专用箱变及照明控制设备养护费用已包含路灯养护费用中，不再另行报价。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noWrap w:val="0"/>
            <w:vAlign w:val="center"/>
          </w:tcPr>
          <w:p>
            <w:pPr>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2</w:t>
            </w:r>
          </w:p>
        </w:tc>
        <w:tc>
          <w:tcPr>
            <w:tcW w:w="2474"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中杆照明</w:t>
            </w:r>
          </w:p>
        </w:tc>
        <w:tc>
          <w:tcPr>
            <w:tcW w:w="1443"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142柱</w:t>
            </w:r>
          </w:p>
        </w:tc>
        <w:tc>
          <w:tcPr>
            <w:tcW w:w="2215" w:type="dxa"/>
            <w:vMerge w:val="continue"/>
            <w:noWrap w:val="0"/>
            <w:vAlign w:val="center"/>
          </w:tcPr>
          <w:p>
            <w:pPr>
              <w:jc w:val="center"/>
              <w:rPr>
                <w:rFonts w:hint="eastAsia" w:ascii="仿宋" w:hAnsi="仿宋" w:eastAsia="仿宋" w:cs="Times New Roman"/>
                <w:color w:val="auto"/>
                <w:highlight w:val="none"/>
                <w:lang w:val="en-US" w:eastAsia="zh-CN"/>
              </w:rPr>
            </w:pPr>
          </w:p>
        </w:tc>
        <w:tc>
          <w:tcPr>
            <w:tcW w:w="1948" w:type="dxa"/>
            <w:vMerge w:val="continue"/>
            <w:noWrap w:val="0"/>
            <w:vAlign w:val="center"/>
          </w:tcPr>
          <w:p>
            <w:pPr>
              <w:jc w:val="center"/>
              <w:rPr>
                <w:rFonts w:hint="eastAsia" w:ascii="仿宋" w:hAnsi="仿宋" w:eastAsia="仿宋"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noWrap w:val="0"/>
            <w:vAlign w:val="center"/>
          </w:tcPr>
          <w:p>
            <w:pPr>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3</w:t>
            </w:r>
          </w:p>
        </w:tc>
        <w:tc>
          <w:tcPr>
            <w:tcW w:w="247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庭院路灯</w:t>
            </w:r>
          </w:p>
        </w:tc>
        <w:tc>
          <w:tcPr>
            <w:tcW w:w="1443"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390柱</w:t>
            </w:r>
          </w:p>
        </w:tc>
        <w:tc>
          <w:tcPr>
            <w:tcW w:w="2215" w:type="dxa"/>
            <w:vMerge w:val="continue"/>
            <w:noWrap w:val="0"/>
            <w:vAlign w:val="center"/>
          </w:tcPr>
          <w:p>
            <w:pPr>
              <w:jc w:val="center"/>
              <w:rPr>
                <w:rFonts w:hint="eastAsia" w:ascii="仿宋" w:hAnsi="仿宋" w:eastAsia="仿宋" w:cs="Times New Roman"/>
                <w:color w:val="auto"/>
                <w:highlight w:val="none"/>
                <w:lang w:val="en-US" w:eastAsia="zh-CN"/>
              </w:rPr>
            </w:pPr>
          </w:p>
        </w:tc>
        <w:tc>
          <w:tcPr>
            <w:tcW w:w="1948" w:type="dxa"/>
            <w:vMerge w:val="continue"/>
            <w:noWrap w:val="0"/>
            <w:vAlign w:val="center"/>
          </w:tcPr>
          <w:p>
            <w:pPr>
              <w:jc w:val="center"/>
              <w:rPr>
                <w:rFonts w:hint="eastAsia" w:ascii="仿宋" w:hAnsi="仿宋" w:eastAsia="仿宋"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noWrap w:val="0"/>
            <w:vAlign w:val="center"/>
          </w:tcPr>
          <w:p>
            <w:pPr>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4</w:t>
            </w:r>
          </w:p>
        </w:tc>
        <w:tc>
          <w:tcPr>
            <w:tcW w:w="247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马路弯路灯</w:t>
            </w:r>
          </w:p>
        </w:tc>
        <w:tc>
          <w:tcPr>
            <w:tcW w:w="1443"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1452柱</w:t>
            </w:r>
          </w:p>
        </w:tc>
        <w:tc>
          <w:tcPr>
            <w:tcW w:w="2215" w:type="dxa"/>
            <w:vMerge w:val="continue"/>
            <w:noWrap w:val="0"/>
            <w:vAlign w:val="center"/>
          </w:tcPr>
          <w:p>
            <w:pPr>
              <w:jc w:val="center"/>
              <w:rPr>
                <w:rFonts w:hint="eastAsia" w:ascii="仿宋" w:hAnsi="仿宋" w:eastAsia="仿宋" w:cs="Times New Roman"/>
                <w:color w:val="auto"/>
                <w:highlight w:val="none"/>
                <w:lang w:val="en-US" w:eastAsia="zh-CN"/>
              </w:rPr>
            </w:pPr>
          </w:p>
        </w:tc>
        <w:tc>
          <w:tcPr>
            <w:tcW w:w="1948" w:type="dxa"/>
            <w:vMerge w:val="continue"/>
            <w:noWrap w:val="0"/>
            <w:vAlign w:val="center"/>
          </w:tcPr>
          <w:p>
            <w:pPr>
              <w:jc w:val="center"/>
              <w:rPr>
                <w:rFonts w:hint="eastAsia" w:ascii="仿宋" w:hAnsi="仿宋" w:eastAsia="仿宋"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noWrap w:val="0"/>
            <w:vAlign w:val="center"/>
          </w:tcPr>
          <w:p>
            <w:pPr>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5</w:t>
            </w:r>
          </w:p>
        </w:tc>
        <w:tc>
          <w:tcPr>
            <w:tcW w:w="247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钠灯类路灯</w:t>
            </w:r>
          </w:p>
        </w:tc>
        <w:tc>
          <w:tcPr>
            <w:tcW w:w="1443"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2602柱</w:t>
            </w:r>
          </w:p>
        </w:tc>
        <w:tc>
          <w:tcPr>
            <w:tcW w:w="2215" w:type="dxa"/>
            <w:vMerge w:val="continue"/>
            <w:noWrap w:val="0"/>
            <w:vAlign w:val="center"/>
          </w:tcPr>
          <w:p>
            <w:pPr>
              <w:jc w:val="center"/>
              <w:rPr>
                <w:rFonts w:hint="eastAsia" w:ascii="仿宋" w:hAnsi="仿宋" w:eastAsia="仿宋" w:cs="Times New Roman"/>
                <w:color w:val="auto"/>
                <w:highlight w:val="none"/>
                <w:lang w:val="en-US" w:eastAsia="zh-CN"/>
              </w:rPr>
            </w:pPr>
          </w:p>
        </w:tc>
        <w:tc>
          <w:tcPr>
            <w:tcW w:w="1948" w:type="dxa"/>
            <w:vMerge w:val="continue"/>
            <w:noWrap w:val="0"/>
            <w:vAlign w:val="center"/>
          </w:tcPr>
          <w:p>
            <w:pPr>
              <w:jc w:val="center"/>
              <w:rPr>
                <w:rFonts w:hint="eastAsia" w:ascii="仿宋" w:hAnsi="仿宋" w:eastAsia="仿宋"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noWrap w:val="0"/>
            <w:vAlign w:val="center"/>
          </w:tcPr>
          <w:p>
            <w:pPr>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6</w:t>
            </w:r>
          </w:p>
        </w:tc>
        <w:tc>
          <w:tcPr>
            <w:tcW w:w="247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照明远程控制终端</w:t>
            </w:r>
          </w:p>
        </w:tc>
        <w:tc>
          <w:tcPr>
            <w:tcW w:w="1443"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485套</w:t>
            </w:r>
          </w:p>
        </w:tc>
        <w:tc>
          <w:tcPr>
            <w:tcW w:w="2215"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300元/套</w:t>
            </w:r>
          </w:p>
        </w:tc>
        <w:tc>
          <w:tcPr>
            <w:tcW w:w="1948" w:type="dxa"/>
            <w:vMerge w:val="continue"/>
            <w:noWrap w:val="0"/>
            <w:vAlign w:val="center"/>
          </w:tcPr>
          <w:p>
            <w:pPr>
              <w:jc w:val="center"/>
              <w:rPr>
                <w:rFonts w:hint="eastAsia" w:ascii="仿宋" w:hAnsi="仿宋" w:eastAsia="仿宋"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noWrap w:val="0"/>
            <w:vAlign w:val="center"/>
          </w:tcPr>
          <w:p>
            <w:pPr>
              <w:jc w:val="center"/>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7</w:t>
            </w:r>
          </w:p>
        </w:tc>
        <w:tc>
          <w:tcPr>
            <w:tcW w:w="247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照明控制设备</w:t>
            </w:r>
          </w:p>
        </w:tc>
        <w:tc>
          <w:tcPr>
            <w:tcW w:w="1443"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370台</w:t>
            </w:r>
          </w:p>
        </w:tc>
        <w:tc>
          <w:tcPr>
            <w:tcW w:w="2215"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w:t>
            </w:r>
          </w:p>
        </w:tc>
        <w:tc>
          <w:tcPr>
            <w:tcW w:w="1948" w:type="dxa"/>
            <w:vMerge w:val="continue"/>
            <w:noWrap w:val="0"/>
            <w:vAlign w:val="center"/>
          </w:tcPr>
          <w:p>
            <w:pPr>
              <w:jc w:val="center"/>
              <w:rPr>
                <w:rFonts w:hint="eastAsia" w:ascii="仿宋" w:hAnsi="仿宋" w:eastAsia="仿宋" w:cs="Times New Roman"/>
                <w:color w:val="auto"/>
                <w:highlight w:val="none"/>
                <w:lang w:val="en-US" w:eastAsia="zh-CN"/>
              </w:rPr>
            </w:pPr>
          </w:p>
        </w:tc>
      </w:tr>
    </w:tbl>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注：上表数量为现有数据资料统计的暂定数，最终根据奉化城区园林、照明设施数字化普查项目的普查结果的数量结合中标综合单价，按实结算。</w:t>
      </w:r>
    </w:p>
    <w:p>
      <w:pPr>
        <w:tabs>
          <w:tab w:val="left" w:pos="0"/>
        </w:tabs>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结算原则：若最终普查数量超过上表总数量9972柱（套）的，按照上表总数量9972柱（套）的中标金额进行结算。若最终普查数量未达到上表总数量9972柱（套）的，按照中标综合单价结合最终普查数量，按实结算。（投标文件内提供承诺书）。</w:t>
      </w:r>
    </w:p>
    <w:p>
      <w:pPr>
        <w:tabs>
          <w:tab w:val="left" w:pos="0"/>
        </w:tabs>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在维修养护管理服务期间中标人所使用的钠灯灯具零部件推荐品牌为：亚明、欧司朗或飞利浦（说明：推荐品牌仅供参考，维修养护管理服务期间使用的产品的品牌其质量性能指标及服务内容不应低于所推荐参考品牌之质量性能指标和服务内容）；所使用的LED灯具的芯片模组、驱动电源与原灯具相匹配，不得降低原灯具的标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▲3、清洁工作、亮灯率要求：对灯具设施、设备的清洁工作要求每季度不少于1次；亮灯率确保达到99%及以上。（投标文件内提供承诺书）。</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本项目投入的人员要求：须为本单位在职人员，且需满足近一年（2021年8月—2022年7月）投标人为其专职人员缴纳的社保证明、有专职人员相关证书，所有证明资料须编入商务技术文件内。具体拟派人员要求如下：</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4.1项目负责人：具有二级及以上机电工程建造师（含临时建造师）同时具有B类证书，1名。</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4.2班组负责人：具有二级及以上机电工程建造师（含临时建造师）同时具有B类证书，人数不少于2名。</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4.3班组成员司机岗位：具有行政主管部门颁发的特种设备作业人员证（作业项目为起重机作业Q2起重机司机），人数不少于2名。</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4.4安全员：具有C类证书的专职安全员（必须持有建筑业岗位证书和建筑业三类人员C证），人数不少于2名。</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4.5专业技术人员：</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4.5.1拟派人员具有应急管理部门或行政主管部门颁发的有效期内的特种作业电工操作证（类别：电工作业、准操项目：低压电工作业），同时具有有效期内的特种作业电工操作证（类别：高处作业、准操项目：高处安装、维护、拆除作业）的，人数不少于3名。</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4.5.2拟派人员具有应急管理部门或行政主管部门颁发的有效期内的特种作业电工操作证（类别：电工作业、准操项目：高压电工作业）或有效期内的国家能源局（原电监办）颁发的电工进网作业许可证（作业类别：高压），同时具有有效期内的特种作业电工操作证（类别：高处作业、准操项目：高处安装、维护、拆除作业）的，人数不少于3名。</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4.5.3拟派人员具有应急管理部门或行政主管部门颁发的有效期内的特种作业电工操作证（类别：电工作业、准操项目：电气试验作业）或有效期内的国家能源局（原电监办）颁发的电工进网作业许可证（作业类别：高试）的，人数不少于3名。</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上述人员要求的证明资料复印件编入商务技术文件中。</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5、本项目投入的车辆和工器具要求：应配备合同履行过程中应该用到的专业设备。具体配置方案由投标人自行在商务技术文件内详细说明。</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6、服务期限：3年（2022年10月1日起至2025年9月30日止），合同一年一签。</w:t>
      </w:r>
    </w:p>
    <w:p>
      <w:pPr>
        <w:spacing w:before="120" w:beforeLines="50" w:after="120" w:afterLines="50" w:line="500" w:lineRule="exac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eastAsia="zh-CN"/>
        </w:rPr>
        <w:t>四、项目维修养护管理服务要求</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1、在服务期限内，中标人应按照行业相应的作业标准和管理规定，精心组织、精心养护，确保所有设施、设备正常运作。</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2、对实施养护管理所需的一切劳动力、材料、设备和服务，按招标要求和投标承诺由中标人自行组织，并承担由此产生的一切费用。</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如所养护的设施、设备发生人为原因减小或损毁的（非偷盗），由中标人自主处理理赔事宜，并按规定及时补齐或修复，所需费用由中标人承担。如发生不可抗力或自然灾害所引起的设施缺损，经双方协商后确认费用承担方案。路灯专用变压器、路灯控制箱等设施设备损坏由供应商负责（除重大自然灾害外由业主负责）。（投标文件内提供承诺书）。</w:t>
      </w:r>
    </w:p>
    <w:p>
      <w:pPr>
        <w:tabs>
          <w:tab w:val="left" w:pos="0"/>
        </w:tabs>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▲4、若发生电缆等设施设备故障、偷盗等情况，维修费用全部由中标人承担。若发生不可抗力的破坏（如台风、地震等自然灾害）维修费用由业主承担。（投标文件内提供承诺书）。</w:t>
      </w:r>
    </w:p>
    <w:p>
      <w:pPr>
        <w:tabs>
          <w:tab w:val="left" w:pos="0"/>
        </w:tabs>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若发生需更换整灯头情况时（除重大自然灾害外由业主负责），包括但不限于应业主要求、应市民要求且查实需更换的、交通事故等其他所有情况，所产生的材料、人工等全部费用由中标人承担，且更换的整灯头必须与原道路上的照明灯头的规格、功率、形状相一致。（投标文件内提供承诺书）。</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说明：交通事故发生时中标人必须积极跟进事故进展，若存在肇事者责任的由中标人跟进要求其赔偿损失；若找不到肇事者，由中标人负责维修更换，费用自理。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6、中标人应按要求向业主提供有关养护管理计划及落实措施。</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7、中标人在搞好日常养护工作的同时，必须配合业主做好重大节庆日和重大活动的保障工作。</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8、在养护期限内，中标人所使用的专业人员、专业设备必须与投标承诺相一致，如有变更须经得业主单位同意。</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9、中标人必须为全体作业人员购买社保和人身意外保险、重视安全生产工作，确保不发生安全生产责任事故。如发生安全生产责任事故或交通事故，由中标人承担一切责任及损失。</w:t>
      </w:r>
    </w:p>
    <w:p>
      <w:pPr>
        <w:tabs>
          <w:tab w:val="left" w:pos="0"/>
        </w:tabs>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10、中标人必须为本项目购买公众责任险。因养护的设施设备造成公众意外，中标人须积极联系保险公司并妥善处理。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▲11、在养护期内，如有新移交的路灯需要中标人进行养护，养护费用按照同类型灯具的中标价的70%进行结算。（投标文件内提供承诺书）。</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12、如遇政府改造等政策问题：路灯拆除后，拆除部分的路灯不涉及养护，此部分路灯的养护经费按照（养护天数×中标单价×数量/365）结算；节能改造后，养护经费为同类型路灯原中标价的40%。上述条件供应商应无条件接受。（投标文件内提供承诺书）。</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▲13、维修养护作业时，白天进行线路检查维护等工作，夜间进行路灯亮灯巡检及更换不亮灯具或灯头，不得在白天作业时亮灯作业维修灯具或灯头。（投标文件内提供承诺书）。</w:t>
      </w:r>
    </w:p>
    <w:p>
      <w:pPr>
        <w:tabs>
          <w:tab w:val="left" w:pos="0"/>
        </w:tabs>
        <w:spacing w:line="360" w:lineRule="auto"/>
        <w:ind w:firstLine="48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特别说明：本项目维修养护管理服务应按照国家有关标准、规范和采购人有关要求进行。上述内容只对维修养护管理服务进行了一般性的规定，对于上述内容中未包含或未明确而在国家规范执行标准内的内容，均在中标人服务范围之内。</w:t>
      </w:r>
    </w:p>
    <w:p>
      <w:pPr>
        <w:spacing w:before="120" w:beforeLines="50" w:after="120" w:afterLines="50" w:line="500" w:lineRule="exac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eastAsia="zh-CN"/>
        </w:rPr>
        <w:t>五</w:t>
      </w:r>
      <w:r>
        <w:rPr>
          <w:rFonts w:hint="eastAsia" w:ascii="仿宋" w:hAnsi="仿宋" w:eastAsia="仿宋" w:cs="宋体"/>
          <w:b/>
          <w:color w:val="auto"/>
          <w:sz w:val="24"/>
          <w:highlight w:val="none"/>
        </w:rPr>
        <w:t>、</w:t>
      </w:r>
      <w:r>
        <w:rPr>
          <w:rFonts w:hint="eastAsia" w:ascii="仿宋" w:hAnsi="仿宋" w:eastAsia="仿宋" w:cs="宋体"/>
          <w:b/>
          <w:color w:val="auto"/>
          <w:sz w:val="24"/>
          <w:highlight w:val="none"/>
          <w:lang w:val="en-US" w:eastAsia="zh-CN"/>
        </w:rPr>
        <w:t>功能性照明设施数量汇总表</w:t>
      </w:r>
    </w:p>
    <w:p>
      <w:pPr>
        <w:keepNext w:val="0"/>
        <w:keepLines w:val="0"/>
        <w:pageBreakBefore w:val="0"/>
        <w:widowControl w:val="0"/>
        <w:tabs>
          <w:tab w:val="left" w:pos="0"/>
        </w:tabs>
        <w:kinsoku/>
        <w:wordWrap/>
        <w:overflowPunct/>
        <w:topLinePunct w:val="0"/>
        <w:autoSpaceDE/>
        <w:autoSpaceDN/>
        <w:bidi w:val="0"/>
        <w:adjustRightInd/>
        <w:snapToGrid/>
        <w:spacing w:before="157" w:beforeLines="50" w:after="157" w:afterLines="50" w:line="360" w:lineRule="auto"/>
        <w:jc w:val="center"/>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Times New Roman"/>
          <w:b/>
          <w:color w:val="auto"/>
          <w:sz w:val="24"/>
          <w:szCs w:val="32"/>
          <w:highlight w:val="none"/>
          <w:lang w:val="en-US" w:eastAsia="zh-CN"/>
        </w:rPr>
        <w:t>宁波市奉化区路灯数量统计表（LED）</w:t>
      </w:r>
    </w:p>
    <w:tbl>
      <w:tblPr>
        <w:tblStyle w:val="14"/>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1438"/>
        <w:gridCol w:w="2121"/>
        <w:gridCol w:w="595"/>
        <w:gridCol w:w="636"/>
        <w:gridCol w:w="636"/>
        <w:gridCol w:w="568"/>
        <w:gridCol w:w="805"/>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92" w:type="dxa"/>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序号</w:t>
            </w:r>
          </w:p>
        </w:tc>
        <w:tc>
          <w:tcPr>
            <w:tcW w:w="1438" w:type="dxa"/>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路名</w:t>
            </w:r>
          </w:p>
        </w:tc>
        <w:tc>
          <w:tcPr>
            <w:tcW w:w="2121" w:type="dxa"/>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起止</w:t>
            </w:r>
          </w:p>
        </w:tc>
        <w:tc>
          <w:tcPr>
            <w:tcW w:w="595" w:type="dxa"/>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单位</w:t>
            </w:r>
          </w:p>
        </w:tc>
        <w:tc>
          <w:tcPr>
            <w:tcW w:w="636" w:type="dxa"/>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单挑</w:t>
            </w:r>
          </w:p>
        </w:tc>
        <w:tc>
          <w:tcPr>
            <w:tcW w:w="636" w:type="dxa"/>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双挑</w:t>
            </w:r>
          </w:p>
        </w:tc>
        <w:tc>
          <w:tcPr>
            <w:tcW w:w="568" w:type="dxa"/>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三挑</w:t>
            </w:r>
          </w:p>
        </w:tc>
        <w:tc>
          <w:tcPr>
            <w:tcW w:w="805" w:type="dxa"/>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灯头数</w:t>
            </w:r>
          </w:p>
        </w:tc>
        <w:tc>
          <w:tcPr>
            <w:tcW w:w="1964" w:type="dxa"/>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灯泡（W）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大成东路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高速出口-西邬</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50</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2*120（LED)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天峰路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新消防队-中山东路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天峰路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聚晖路-何家</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50</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中山东路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南山路-中山桥</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27</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180+120(LED)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中山东路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中山桥-桃源路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中山东路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桃源路-金钟路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56</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112</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126+95（LED灯)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惠政东路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广平路-新丰路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茗山路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长汀路-大成路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27</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27</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茗山路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大成路-惠政西路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47</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47</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茗山北路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长汀路-南山北路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39</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120（LED灯）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居敬路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中山路-大成路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27</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27</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庄山路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南山路-中塔路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河头路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大成路-九九乐园</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41</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82</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100+50(LED)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河头路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中山路-大成路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35</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240+100（LED）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法兴路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河头路-九九乐园</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望悠路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茗山路-河头路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54</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17</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清风路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望悠路-大成路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新夜宵城</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南侧-北侧</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28</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95+80（LED)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斗门北路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中山路-大成路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44</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桥东岸路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南站-黄泥坎</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45</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45</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桥东岸路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秀水菜场-兴奉桥</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22</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江滨东岸</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兴奉桥-惠政桥</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23</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桥东岸路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惠政桥-中山桥</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36</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桥西岸路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中山桥-县江桥</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江滨西岸</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县江桥-江滨幼儿园</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33</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33</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26</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江滨西岸</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江滨幼儿园-黄泥坎</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46</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27</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官亭路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长岭路-广平路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28</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前方路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金钟路-新丰路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29</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金钟路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南郊广场-仁湖公园</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314</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628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30</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江拔线</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大张村-南苑E家</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151</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302</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31</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阳光茗都南边</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茗山路-清风路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78</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奉南村</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33</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南门社区</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34</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滨江路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汇城路-百川路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26</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35</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百川路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滨江路-长汀路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36</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西坞高速口</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150，150+80（LED）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37</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金钟路东站前</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38</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四匹马岳林路</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39</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城基路东关小区</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40</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本堂路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大成路-法兴路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28</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41</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塘河路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西直路-西锦路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上畸线</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肖镇隧道-畸山</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95</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43</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弥勒大道</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西河路-溪口中心东路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197</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394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44</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火车站前路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金海路-火车站</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37</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2*240+240（LED）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45</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沿海中线</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下陈-西岙</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376</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376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46</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金海路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站前路-桐焦司工业区</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44</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47</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沿海中线</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西岙-湖头岭</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160</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48</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沿海中线</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浙江船厂段</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57</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2*240（LED）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49</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三横开发区</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盛源路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71</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71</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50</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金海路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桐焦司-同山村</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122</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51</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金海路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同山村-沿海中线</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82</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200+100（LED）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52</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绿城西南侧</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开源路-仁湖路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60</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200+100（LED）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53</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综合商贸城</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法兴路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22</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54</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汇源路</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55</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汇泉路</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30</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56</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汇盛路</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57</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西锦路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塘河路-三溪路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58</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中山东路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金钟路-机场南路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139</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278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59</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金水东庭</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北边道路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60</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义门路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桥东岸路-桃源路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61</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溆浦路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大成路-长汀路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48</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62</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桥西岸路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金钟路-大成路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118</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236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63</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斗门路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大成路-长汀路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48</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64</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中园路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桥东岸路-斗门北路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29</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65</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中园路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斗门路-金钟路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29</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66</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桃林路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云集路口往北</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67</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桃林路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弥勒大道-云集路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37</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68</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云集路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桃林路-云集小区</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69</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汇城路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金钟路-山水桃源前</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70</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瑞峰路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金海路-明化路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71</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长汀路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西河路-东环线</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413</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826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200+100（LED）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72</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中塔路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中山路-东门口</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84</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73</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奉钱线</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白杜加油站-福泉路交叉口</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94</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74</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汇城南路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四明路-山水桃源</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126</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252</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200+120（LED）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75</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南山北路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茗山路-金钟路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57</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57</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76</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法兴路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溆浦路-本堂路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77</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竹园路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桥东岸路-桃源路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23</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78</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前方路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桥东岸路-新丰路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39</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79</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大田路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前方路-义门路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桃源路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岳林路-前方路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54</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81</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本堂路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法兴路-长汀路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82</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中山西路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南山路-大成路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128</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240+100（LED）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83</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长岭路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大成路-中山路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23</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23</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84</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清泉路</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85</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园林管理处对出</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86</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岳林东路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金钟路-园峰路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70</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87</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仁湖路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长汀云庐段</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88</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锦奉大道</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大成路-宝化路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72</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100（LED）+200+100（LED）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89</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锦屏南路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宝化路-南泉路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90</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惠政西路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中塔路-锦屏北路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240+80（LED）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小计</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1672</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3229</w:t>
            </w:r>
          </w:p>
        </w:tc>
        <w:tc>
          <w:tcPr>
            <w:tcW w:w="56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0</w:t>
            </w: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8130</w:t>
            </w:r>
          </w:p>
        </w:tc>
        <w:tc>
          <w:tcPr>
            <w:tcW w:w="1964" w:type="dxa"/>
            <w:noWrap w:val="0"/>
            <w:vAlign w:val="center"/>
          </w:tcPr>
          <w:p>
            <w:pPr>
              <w:jc w:val="center"/>
              <w:rPr>
                <w:rFonts w:hint="eastAsia" w:ascii="仿宋" w:hAnsi="仿宋" w:eastAsia="仿宋" w:cs="Times New Roman"/>
                <w:color w:val="auto"/>
                <w:highlight w:val="none"/>
                <w:lang w:val="en-US" w:eastAsia="zh-CN"/>
              </w:rPr>
            </w:pPr>
          </w:p>
        </w:tc>
      </w:tr>
    </w:tbl>
    <w:p>
      <w:pPr>
        <w:keepNext w:val="0"/>
        <w:keepLines w:val="0"/>
        <w:pageBreakBefore w:val="0"/>
        <w:widowControl w:val="0"/>
        <w:tabs>
          <w:tab w:val="left" w:pos="0"/>
        </w:tabs>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Times New Roman"/>
          <w:b/>
          <w:color w:val="auto"/>
          <w:sz w:val="24"/>
          <w:szCs w:val="32"/>
          <w:highlight w:val="none"/>
          <w:lang w:val="en-US" w:eastAsia="zh-CN"/>
        </w:rPr>
      </w:pPr>
      <w:r>
        <w:rPr>
          <w:rFonts w:hint="eastAsia" w:ascii="仿宋" w:hAnsi="仿宋" w:eastAsia="仿宋" w:cs="Times New Roman"/>
          <w:b/>
          <w:color w:val="auto"/>
          <w:sz w:val="24"/>
          <w:szCs w:val="32"/>
          <w:highlight w:val="none"/>
          <w:lang w:val="en-US" w:eastAsia="zh-CN"/>
        </w:rPr>
        <w:t>宁波市奉化区路灯数量统计表（钠灯）</w:t>
      </w:r>
    </w:p>
    <w:tbl>
      <w:tblPr>
        <w:tblStyle w:val="14"/>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1438"/>
        <w:gridCol w:w="2121"/>
        <w:gridCol w:w="595"/>
        <w:gridCol w:w="636"/>
        <w:gridCol w:w="636"/>
        <w:gridCol w:w="568"/>
        <w:gridCol w:w="805"/>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b/>
                <w:color w:val="auto"/>
                <w:highlight w:val="none"/>
                <w:lang w:val="en-US" w:eastAsia="zh-CN"/>
              </w:rPr>
              <w:t>序号</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b/>
                <w:color w:val="auto"/>
                <w:highlight w:val="none"/>
                <w:lang w:val="en-US" w:eastAsia="zh-CN"/>
              </w:rPr>
              <w:t>路名</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b/>
                <w:color w:val="auto"/>
                <w:highlight w:val="none"/>
                <w:lang w:val="en-US" w:eastAsia="zh-CN"/>
              </w:rPr>
              <w:t>起止</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b/>
                <w:color w:val="auto"/>
                <w:highlight w:val="none"/>
                <w:lang w:val="en-US" w:eastAsia="zh-CN"/>
              </w:rPr>
              <w:t>单位</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b/>
                <w:color w:val="auto"/>
                <w:highlight w:val="none"/>
                <w:lang w:val="en-US" w:eastAsia="zh-CN"/>
              </w:rPr>
              <w:t>单挑</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b/>
                <w:color w:val="auto"/>
                <w:highlight w:val="none"/>
                <w:lang w:val="en-US" w:eastAsia="zh-CN"/>
              </w:rPr>
              <w:t>双挑</w:t>
            </w:r>
          </w:p>
        </w:tc>
        <w:tc>
          <w:tcPr>
            <w:tcW w:w="56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b/>
                <w:color w:val="auto"/>
                <w:highlight w:val="none"/>
                <w:lang w:val="en-US" w:eastAsia="zh-CN"/>
              </w:rPr>
              <w:t>三挑</w:t>
            </w: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b/>
                <w:color w:val="auto"/>
                <w:highlight w:val="none"/>
                <w:lang w:val="en-US" w:eastAsia="zh-CN"/>
              </w:rPr>
              <w:t>灯头数</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b/>
                <w:color w:val="auto"/>
                <w:highlight w:val="none"/>
                <w:lang w:val="en-US" w:eastAsia="zh-CN"/>
              </w:rPr>
              <w:t>灯泡（W）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kern w:val="2"/>
                <w:sz w:val="21"/>
                <w:szCs w:val="24"/>
                <w:highlight w:val="none"/>
                <w:lang w:val="en-US" w:eastAsia="zh-CN" w:bidi="ar-SA"/>
              </w:rPr>
            </w:pPr>
            <w:r>
              <w:rPr>
                <w:rFonts w:hint="eastAsia" w:ascii="仿宋" w:hAnsi="仿宋" w:eastAsia="仿宋" w:cs="Times New Roman"/>
                <w:color w:val="auto"/>
                <w:highlight w:val="none"/>
                <w:lang w:val="en-US" w:eastAsia="zh-CN"/>
              </w:rPr>
              <w:t>1</w:t>
            </w:r>
          </w:p>
        </w:tc>
        <w:tc>
          <w:tcPr>
            <w:tcW w:w="1438" w:type="dxa"/>
            <w:noWrap w:val="0"/>
            <w:vAlign w:val="center"/>
          </w:tcPr>
          <w:p>
            <w:pPr>
              <w:jc w:val="center"/>
              <w:rPr>
                <w:rFonts w:hint="eastAsia" w:ascii="仿宋" w:hAnsi="仿宋" w:eastAsia="仿宋" w:cs="Times New Roman"/>
                <w:color w:val="auto"/>
                <w:kern w:val="2"/>
                <w:sz w:val="21"/>
                <w:szCs w:val="24"/>
                <w:highlight w:val="none"/>
                <w:lang w:val="en-US" w:eastAsia="zh-CN" w:bidi="ar-SA"/>
              </w:rPr>
            </w:pPr>
            <w:r>
              <w:rPr>
                <w:rFonts w:hint="eastAsia" w:ascii="仿宋" w:hAnsi="仿宋" w:eastAsia="仿宋" w:cs="Times New Roman"/>
                <w:color w:val="auto"/>
                <w:highlight w:val="none"/>
                <w:lang w:val="en-US" w:eastAsia="zh-CN"/>
              </w:rPr>
              <w:t>白水路</w:t>
            </w:r>
          </w:p>
        </w:tc>
        <w:tc>
          <w:tcPr>
            <w:tcW w:w="2121" w:type="dxa"/>
            <w:noWrap w:val="0"/>
            <w:vAlign w:val="center"/>
          </w:tcPr>
          <w:p>
            <w:pPr>
              <w:jc w:val="center"/>
              <w:rPr>
                <w:rFonts w:hint="eastAsia" w:ascii="仿宋" w:hAnsi="仿宋" w:eastAsia="仿宋" w:cs="Times New Roman"/>
                <w:color w:val="auto"/>
                <w:kern w:val="2"/>
                <w:sz w:val="21"/>
                <w:szCs w:val="24"/>
                <w:highlight w:val="none"/>
                <w:lang w:val="en-US" w:eastAsia="zh-CN" w:bidi="ar-SA"/>
              </w:rPr>
            </w:pPr>
          </w:p>
        </w:tc>
        <w:tc>
          <w:tcPr>
            <w:tcW w:w="595" w:type="dxa"/>
            <w:noWrap w:val="0"/>
            <w:vAlign w:val="center"/>
          </w:tcPr>
          <w:p>
            <w:pPr>
              <w:jc w:val="center"/>
              <w:rPr>
                <w:rFonts w:hint="eastAsia" w:ascii="仿宋" w:hAnsi="仿宋" w:eastAsia="仿宋" w:cs="Times New Roman"/>
                <w:color w:val="auto"/>
                <w:kern w:val="2"/>
                <w:sz w:val="21"/>
                <w:szCs w:val="24"/>
                <w:highlight w:val="none"/>
                <w:lang w:val="en-US" w:eastAsia="zh-CN" w:bidi="ar-SA"/>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kern w:val="2"/>
                <w:sz w:val="21"/>
                <w:szCs w:val="24"/>
                <w:highlight w:val="none"/>
                <w:lang w:val="en-US" w:eastAsia="zh-CN" w:bidi="ar-SA"/>
              </w:rPr>
            </w:pPr>
            <w:r>
              <w:rPr>
                <w:rFonts w:hint="eastAsia" w:ascii="仿宋" w:hAnsi="仿宋" w:eastAsia="仿宋" w:cs="Times New Roman"/>
                <w:color w:val="auto"/>
                <w:highlight w:val="none"/>
                <w:lang w:val="en-US" w:eastAsia="zh-CN"/>
              </w:rPr>
              <w:t>8</w:t>
            </w:r>
          </w:p>
        </w:tc>
        <w:tc>
          <w:tcPr>
            <w:tcW w:w="636" w:type="dxa"/>
            <w:noWrap w:val="0"/>
            <w:vAlign w:val="center"/>
          </w:tcPr>
          <w:p>
            <w:pPr>
              <w:jc w:val="center"/>
              <w:rPr>
                <w:rFonts w:hint="eastAsia" w:ascii="仿宋" w:hAnsi="仿宋" w:eastAsia="仿宋" w:cs="Times New Roman"/>
                <w:color w:val="auto"/>
                <w:kern w:val="2"/>
                <w:sz w:val="21"/>
                <w:szCs w:val="24"/>
                <w:highlight w:val="none"/>
                <w:lang w:val="en-US" w:eastAsia="zh-CN" w:bidi="ar-SA"/>
              </w:rPr>
            </w:pPr>
          </w:p>
        </w:tc>
        <w:tc>
          <w:tcPr>
            <w:tcW w:w="568" w:type="dxa"/>
            <w:noWrap w:val="0"/>
            <w:vAlign w:val="center"/>
          </w:tcPr>
          <w:p>
            <w:pPr>
              <w:jc w:val="center"/>
              <w:rPr>
                <w:rFonts w:hint="eastAsia" w:ascii="仿宋" w:hAnsi="仿宋" w:eastAsia="仿宋" w:cs="Times New Roman"/>
                <w:color w:val="auto"/>
                <w:kern w:val="2"/>
                <w:sz w:val="21"/>
                <w:szCs w:val="24"/>
                <w:highlight w:val="none"/>
                <w:lang w:val="en-US" w:eastAsia="zh-CN" w:bidi="ar-SA"/>
              </w:rPr>
            </w:pPr>
          </w:p>
        </w:tc>
        <w:tc>
          <w:tcPr>
            <w:tcW w:w="805" w:type="dxa"/>
            <w:noWrap w:val="0"/>
            <w:vAlign w:val="center"/>
          </w:tcPr>
          <w:p>
            <w:pPr>
              <w:jc w:val="center"/>
              <w:rPr>
                <w:rFonts w:hint="eastAsia" w:ascii="仿宋" w:hAnsi="仿宋" w:eastAsia="仿宋" w:cs="Times New Roman"/>
                <w:color w:val="auto"/>
                <w:kern w:val="2"/>
                <w:sz w:val="21"/>
                <w:szCs w:val="24"/>
                <w:highlight w:val="none"/>
                <w:lang w:val="en-US" w:eastAsia="zh-CN" w:bidi="ar-SA"/>
              </w:rPr>
            </w:pPr>
            <w:r>
              <w:rPr>
                <w:rFonts w:hint="eastAsia" w:ascii="仿宋" w:hAnsi="仿宋" w:eastAsia="仿宋" w:cs="Times New Roman"/>
                <w:color w:val="auto"/>
                <w:highlight w:val="none"/>
                <w:lang w:val="en-US" w:eastAsia="zh-CN"/>
              </w:rPr>
              <w:t>8</w:t>
            </w:r>
          </w:p>
        </w:tc>
        <w:tc>
          <w:tcPr>
            <w:tcW w:w="1964" w:type="dxa"/>
            <w:noWrap w:val="0"/>
            <w:vAlign w:val="center"/>
          </w:tcPr>
          <w:p>
            <w:pPr>
              <w:jc w:val="center"/>
              <w:rPr>
                <w:rFonts w:hint="eastAsia" w:ascii="仿宋" w:hAnsi="仿宋" w:eastAsia="仿宋" w:cs="Times New Roman"/>
                <w:color w:val="auto"/>
                <w:kern w:val="2"/>
                <w:sz w:val="21"/>
                <w:szCs w:val="24"/>
                <w:highlight w:val="none"/>
                <w:lang w:val="en-US" w:eastAsia="zh-CN" w:bidi="ar-SA"/>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宝华路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锦屏南路-金地寺</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60</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250+150（钠灯）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长春路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长高压走廊-广平路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60</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炒货市场后小区</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城建路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南山路-红墙外弄</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城南三区</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东门路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锦屏北路-城里头</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东门路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南山路-广平路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东升路</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斗门北路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长汀路-桥东岸路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22</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斗门路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岳林路-中山路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奉南路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锦屏北路-南大路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奉南路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锦屏南路-西溪村</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奉南路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南大路-奉化高级中学</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福兴路</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高压走廊两边</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西苑路-大成路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28</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17</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官亭小区</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31</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31</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广济路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大成路-中山路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28</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广平路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大成路-南山路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60</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河头小区</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河头小区</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22</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华星国际后面</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23</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江拔线</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江口-溪口大张村</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180</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360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金峰路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岳林东路-奉港中学门口</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36</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72</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250+150（钠灯）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金海路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金钟路-东环线</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99</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250+150（钠灯）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26</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金晖路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金峰路-金钟路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27</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居敬社区对出</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28</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居敬社区对出</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17</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17</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29</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凉河小区</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30</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凉河小区</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31</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茗山小区</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南大路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锦溪花园对出</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33</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桥东岸路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中山桥-大成桥</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34</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桥东岸路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大成桥-长汀桥</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250+150（钠灯）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35</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桥东岸路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长汀桥-金钟路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65</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250+150（钠灯）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36</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桥西岸路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大成桥-中山桥</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37</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桥西岸路</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2*250（钠灯）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38</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仁湖路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南山路-长汀村</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39</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三横开发区</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722</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722</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40</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三溪路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东方外国语学校-三溪</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41</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十亩地路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中山东路-岳林东路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250+150（钠灯）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桃源路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大成路-中山路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41</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82</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2*250（钠灯）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43</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天峰路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大成东路-新消防队</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250+150（钠灯）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44</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望悠路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南山路-茗山路河两边</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45</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西河路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大成路-四明西路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188</w:t>
            </w: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564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46</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西直路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技工学校-奉南路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40</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250+150（钠灯）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47</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香山美邸西北侧道路</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48</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新丰路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岳林东路-南山路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49</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新丰路</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50</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新丰路</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33</w:t>
            </w: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99</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2*250+150（钠灯）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51</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新湖路</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52</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新潘新村</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53</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甬临线</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金钟路-鱼头山</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36</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78</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250+2*250（钠灯）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54</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甬临线</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南郊广场-孙家</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143</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286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2*250（钠灯）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55</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甬临线</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孙家-下陈</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210</w:t>
            </w: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420</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2*250（钠灯）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56</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原奉白路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金钟路-中山东路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57</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岳林东路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县江桥-新丰路</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36</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58</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岳林路</w:t>
            </w:r>
          </w:p>
        </w:tc>
        <w:tc>
          <w:tcPr>
            <w:tcW w:w="2121"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南山路-县江桥</w:t>
            </w: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26</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26</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59</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竹园路</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60</w:t>
            </w: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北街村</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636" w:type="dxa"/>
            <w:noWrap w:val="0"/>
            <w:vAlign w:val="center"/>
          </w:tcPr>
          <w:p>
            <w:pPr>
              <w:jc w:val="center"/>
              <w:rPr>
                <w:rFonts w:hint="eastAsia" w:ascii="仿宋" w:hAnsi="仿宋" w:eastAsia="仿宋" w:cs="Times New Roman"/>
                <w:color w:val="auto"/>
                <w:highlight w:val="none"/>
                <w:lang w:val="en-US" w:eastAsia="zh-CN"/>
              </w:rPr>
            </w:pPr>
          </w:p>
        </w:tc>
        <w:tc>
          <w:tcPr>
            <w:tcW w:w="568" w:type="dxa"/>
            <w:noWrap w:val="0"/>
            <w:vAlign w:val="center"/>
          </w:tcPr>
          <w:p>
            <w:pPr>
              <w:jc w:val="center"/>
              <w:rPr>
                <w:rFonts w:hint="eastAsia" w:ascii="仿宋" w:hAnsi="仿宋" w:eastAsia="仿宋" w:cs="Times New Roman"/>
                <w:color w:val="auto"/>
                <w:highlight w:val="none"/>
                <w:lang w:val="en-US" w:eastAsia="zh-CN"/>
              </w:rPr>
            </w:pP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64"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150（金卤灯泡）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noWrap w:val="0"/>
            <w:vAlign w:val="center"/>
          </w:tcPr>
          <w:p>
            <w:pPr>
              <w:jc w:val="center"/>
              <w:rPr>
                <w:rFonts w:hint="eastAsia" w:ascii="仿宋" w:hAnsi="仿宋" w:eastAsia="仿宋" w:cs="Times New Roman"/>
                <w:color w:val="auto"/>
                <w:highlight w:val="none"/>
                <w:lang w:val="en-US" w:eastAsia="zh-CN"/>
              </w:rPr>
            </w:pPr>
          </w:p>
        </w:tc>
        <w:tc>
          <w:tcPr>
            <w:tcW w:w="143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小计</w:t>
            </w:r>
          </w:p>
        </w:tc>
        <w:tc>
          <w:tcPr>
            <w:tcW w:w="2121" w:type="dxa"/>
            <w:noWrap w:val="0"/>
            <w:vAlign w:val="center"/>
          </w:tcPr>
          <w:p>
            <w:pPr>
              <w:jc w:val="center"/>
              <w:rPr>
                <w:rFonts w:hint="eastAsia" w:ascii="仿宋" w:hAnsi="仿宋" w:eastAsia="仿宋" w:cs="Times New Roman"/>
                <w:color w:val="auto"/>
                <w:highlight w:val="none"/>
                <w:lang w:val="en-US" w:eastAsia="zh-CN"/>
              </w:rPr>
            </w:pPr>
          </w:p>
        </w:tc>
        <w:tc>
          <w:tcPr>
            <w:tcW w:w="595" w:type="dxa"/>
            <w:noWrap w:val="0"/>
            <w:vAlign w:val="center"/>
          </w:tcPr>
          <w:p>
            <w:pPr>
              <w:jc w:val="center"/>
              <w:rPr>
                <w:rFonts w:hint="eastAsia" w:ascii="仿宋" w:hAnsi="仿宋" w:eastAsia="仿宋" w:cs="Times New Roman"/>
                <w:color w:val="auto"/>
                <w:highlight w:val="none"/>
                <w:lang w:val="en-US" w:eastAsia="zh-CN"/>
              </w:rPr>
            </w:pP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1378</w:t>
            </w:r>
          </w:p>
        </w:tc>
        <w:tc>
          <w:tcPr>
            <w:tcW w:w="636"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1003</w:t>
            </w:r>
          </w:p>
        </w:tc>
        <w:tc>
          <w:tcPr>
            <w:tcW w:w="568"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221</w:t>
            </w:r>
          </w:p>
        </w:tc>
        <w:tc>
          <w:tcPr>
            <w:tcW w:w="805"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4047</w:t>
            </w:r>
          </w:p>
        </w:tc>
        <w:tc>
          <w:tcPr>
            <w:tcW w:w="1964" w:type="dxa"/>
            <w:noWrap w:val="0"/>
            <w:vAlign w:val="center"/>
          </w:tcPr>
          <w:p>
            <w:pPr>
              <w:jc w:val="center"/>
              <w:rPr>
                <w:rFonts w:hint="eastAsia" w:ascii="仿宋" w:hAnsi="仿宋" w:eastAsia="仿宋" w:cs="Times New Roman"/>
                <w:color w:val="auto"/>
                <w:highlight w:val="none"/>
                <w:lang w:val="en-US" w:eastAsia="zh-CN"/>
              </w:rPr>
            </w:pPr>
          </w:p>
        </w:tc>
      </w:tr>
    </w:tbl>
    <w:p>
      <w:pPr>
        <w:keepNext w:val="0"/>
        <w:keepLines w:val="0"/>
        <w:pageBreakBefore w:val="0"/>
        <w:widowControl w:val="0"/>
        <w:tabs>
          <w:tab w:val="left" w:pos="0"/>
        </w:tabs>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Times New Roman"/>
          <w:b/>
          <w:color w:val="auto"/>
          <w:sz w:val="24"/>
          <w:szCs w:val="32"/>
          <w:highlight w:val="none"/>
          <w:lang w:val="en-US" w:eastAsia="zh-CN"/>
        </w:rPr>
      </w:pPr>
      <w:r>
        <w:rPr>
          <w:rFonts w:hint="eastAsia" w:ascii="仿宋" w:hAnsi="仿宋" w:eastAsia="仿宋" w:cs="Times New Roman"/>
          <w:b/>
          <w:color w:val="auto"/>
          <w:sz w:val="24"/>
          <w:szCs w:val="32"/>
          <w:highlight w:val="none"/>
          <w:lang w:val="en-US" w:eastAsia="zh-CN"/>
        </w:rPr>
        <w:t>宁波市奉化区高杆灯数量统计表（中杆照明）</w:t>
      </w:r>
    </w:p>
    <w:tbl>
      <w:tblPr>
        <w:tblStyle w:val="14"/>
        <w:tblW w:w="9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380"/>
        <w:gridCol w:w="2832"/>
        <w:gridCol w:w="690"/>
        <w:gridCol w:w="690"/>
        <w:gridCol w:w="930"/>
        <w:gridCol w:w="1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序号</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名称</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位置</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单位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灯头数</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灯型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河头路长春路十字路口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茗山路长春路十字路口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庄山路茗山路十字路口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中山路桃源路十字路口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岳林东路桃源路十字路口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岳林东路新丰路十字路口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岳林路金钟路十字路口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新丰路义门路十字路口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新丰路惠政西路三岔路口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新丰路南山路三岔路口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奉南路山溪路十字路口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四明西路西河路三岔路口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3*250（金卤灯泡）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江滨西岸惠政路十字路口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江滨西岸中山路十字路口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江滨西岸大成路十字路口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江滨幼儿园对出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江滨东岸金钟路三岔路口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江滨东岸大成路十字路口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江滨东岸中山路十字路口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江滨东岸岳林路十字路口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江滨东岸惠政路十字路口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江滨东岸南山路十字路口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江滨东岸步行桥旁边小广场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公园路锦屏北路十字路口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3*250（金卤灯泡）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岳林路广平路十字路口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中山路金钟路十字路口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中山路南山路十字路口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中山路河头路十字路口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3*150（LED）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大成西路西河路三岔路口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大成路西河路十字路口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大成路南山路十字路口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大成路金钟路十字路口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大成路东环线十字路口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3*250（金卤灯泡）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老波导三岔路口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罗蒙大厦对出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4*250（金卤灯泡）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奉化影剧院对出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4*250（金卤灯泡）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西河路农批市场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奉化高级中学门口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4*250（金卤灯泡）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西坞高速出口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4*250（金卤灯泡）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新丰路原粮油市场对出</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大成路西河路路口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4*250（金卤灯泡）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甬临及江拔线</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八挑高杆灯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甬临及江拔线</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火车站前路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十挑高杆灯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火车站前路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10*250（LED）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望悠路与清风路口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3*400（钠灯）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二挑中杆灯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金海路（莼湖快捷通道）</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2*400（LED）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四挑中杆灯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金钟路与开源路交叉口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汇城路与滨江路交叉口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4*400,2*400,2*400（钠灯）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四挑高杆灯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长汀路（西河路-东环线）</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76</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4*400（LED）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10米中华灯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中塔路（中山路-东门口）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68</w:t>
            </w:r>
          </w:p>
        </w:tc>
        <w:tc>
          <w:tcPr>
            <w:tcW w:w="1978"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9*30W+8*60W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12米中华灯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中塔路（中山路-东门口）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136</w:t>
            </w:r>
          </w:p>
        </w:tc>
        <w:tc>
          <w:tcPr>
            <w:tcW w:w="1978"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9*30W+8*60W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15米中杆灯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汇城南路（四明路-山水桃源）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1978"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4*300（LED）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15米中杆灯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中山东路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978"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4*300（LED）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15米高杆灯</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锦奉大道（大成路-宝化路）</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1978"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3*180（LED）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小计</w:t>
            </w:r>
          </w:p>
        </w:tc>
        <w:tc>
          <w:tcPr>
            <w:tcW w:w="2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667</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r>
    </w:tbl>
    <w:p>
      <w:pPr>
        <w:keepNext w:val="0"/>
        <w:keepLines w:val="0"/>
        <w:pageBreakBefore w:val="0"/>
        <w:widowControl w:val="0"/>
        <w:tabs>
          <w:tab w:val="left" w:pos="0"/>
        </w:tabs>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Times New Roman"/>
          <w:b/>
          <w:color w:val="auto"/>
          <w:sz w:val="24"/>
          <w:szCs w:val="32"/>
          <w:highlight w:val="none"/>
          <w:lang w:val="en-US" w:eastAsia="zh-CN"/>
        </w:rPr>
      </w:pPr>
      <w:r>
        <w:rPr>
          <w:rFonts w:hint="eastAsia" w:ascii="仿宋" w:hAnsi="仿宋" w:eastAsia="仿宋" w:cs="Times New Roman"/>
          <w:b/>
          <w:color w:val="auto"/>
          <w:sz w:val="24"/>
          <w:szCs w:val="32"/>
          <w:highlight w:val="none"/>
          <w:lang w:val="en-US" w:eastAsia="zh-CN"/>
        </w:rPr>
        <w:t>宁波市奉化区庭院灯数量统计表（庭院路灯）</w:t>
      </w:r>
    </w:p>
    <w:tbl>
      <w:tblPr>
        <w:tblStyle w:val="14"/>
        <w:tblW w:w="95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8"/>
        <w:gridCol w:w="2106"/>
        <w:gridCol w:w="1648"/>
        <w:gridCol w:w="744"/>
        <w:gridCol w:w="1095"/>
        <w:gridCol w:w="804"/>
        <w:gridCol w:w="970"/>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序号</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名称</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路段</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单位</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灯型</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数量</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灯头数</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惠政西路</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南山路-中塔路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公园路</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广平路-中山公园</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57</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57</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150（金卤灯泡）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锦屏北路</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惠政西路-体育场路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小湖桥</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湖四周</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40（节能灯泡）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小湖桥新村</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双挑庭院灯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2*40（节能灯泡）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西苑路</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中山路-中塔路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150（钠灯）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新村桥桥上</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双挑庭院灯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11（节能灯泡）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惠政桥桥上</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双挑庭院灯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20（节能灯泡）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江滨西岸</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街面房后面</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双挑庭院灯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36</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2*11（节能灯泡）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河头小区</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40（节能灯泡）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居敬社区对出</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双挑庭院灯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2*40（节能灯泡）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城南一区</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40（节能灯泡）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大田小区</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40（节能灯泡）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小湖桥新村</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40（节能灯泡）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原二招小区内</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双挑庭院灯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2*40（节能灯泡）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原儿童公园</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锦屏街道强人花园内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庭院灯</w:t>
            </w:r>
          </w:p>
        </w:tc>
        <w:tc>
          <w:tcPr>
            <w:tcW w:w="8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81（汞灯泡）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广济公园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35</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阳光小区</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居敬80幢-茗山路154幢附近</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65</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40（节能灯）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惠政丽都西侧</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35</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35</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30（LED)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南山北路</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仁湖公园旁</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庭院灯</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57</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57</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40（LED）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小计</w:t>
            </w:r>
          </w:p>
        </w:tc>
        <w:tc>
          <w:tcPr>
            <w:tcW w:w="16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390</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437</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r>
    </w:tbl>
    <w:p>
      <w:pPr>
        <w:keepNext w:val="0"/>
        <w:keepLines w:val="0"/>
        <w:pageBreakBefore w:val="0"/>
        <w:widowControl w:val="0"/>
        <w:tabs>
          <w:tab w:val="left" w:pos="0"/>
        </w:tabs>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Times New Roman"/>
          <w:b/>
          <w:color w:val="auto"/>
          <w:sz w:val="24"/>
          <w:szCs w:val="32"/>
          <w:highlight w:val="none"/>
          <w:lang w:val="en-US" w:eastAsia="zh-CN"/>
        </w:rPr>
      </w:pPr>
      <w:r>
        <w:rPr>
          <w:rFonts w:hint="eastAsia" w:ascii="仿宋" w:hAnsi="仿宋" w:eastAsia="仿宋" w:cs="Times New Roman"/>
          <w:b/>
          <w:color w:val="auto"/>
          <w:sz w:val="24"/>
          <w:szCs w:val="32"/>
          <w:highlight w:val="none"/>
          <w:lang w:val="en-US" w:eastAsia="zh-CN"/>
        </w:rPr>
        <w:t>宁波市奉化区大刀板及马路弯数量统计表（马路弯路灯）</w:t>
      </w:r>
    </w:p>
    <w:tbl>
      <w:tblPr>
        <w:tblStyle w:val="14"/>
        <w:tblW w:w="9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0"/>
        <w:gridCol w:w="2205"/>
        <w:gridCol w:w="1950"/>
        <w:gridCol w:w="930"/>
        <w:gridCol w:w="930"/>
        <w:gridCol w:w="930"/>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序号</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名称</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位置</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大刀板</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马路弯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灯头数</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灯型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西环路小区内</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河头小区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凉河小区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凉河小区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居敬小区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居敬社区对出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中塔小区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中塔小区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春晖小区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春晖小区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庄山塔水小区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37</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庄山塔水小区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春晖路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庄山路-中山路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茗山小区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茗山小区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步行二区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17</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光明小区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光明小区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王家潭小区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王家潭小区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正明新二村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正明新二村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23</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城南一区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城南一区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17</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城南一区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26</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西街老小区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27</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西街老小区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28</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城基路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锦屏南路-朝阳路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29</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奉中菜场附近老小区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奉中菜场附近老小区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31</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朝阳路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东门路-体育场路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西锦村老小区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33</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西锦村老小区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17</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34</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东门新二村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35</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东门新一村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36</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东门新一村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37</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东关村老小区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38</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东关村老小区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39</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体育场路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原儿童公园-凤山</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体育场路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41</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芦荻弄北门小区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芦荻弄北门小区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43</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方新碶路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广平路-城基路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44</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奉南路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锦屏南路-西溪村</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57</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45</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广平路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南山路-桑园新村</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46</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南街</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47</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方新碶新村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48</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锦屏南路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奉南路-城基路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49</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南大路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锦屏南路-宝化路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北街村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51</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北街村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光明社区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53</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光明社区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54</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大田小区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55</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福星路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兴丰路-桃源路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56</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义门路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桃源路-新丰路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57</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大田路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岳林东路-义门路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58</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东升路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大田菜场-义门路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59</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新潘新村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新潘新村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61</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金沙路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南山路-金钟路</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清泉新村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63</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清泉新村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64</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勤丰新村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65</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勤丰新村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66</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小湖桥新村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67</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小湖桥新村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17</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68</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炒货市场后面小区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69</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原二招小区内</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70</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江滨东岸</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街面房后面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71</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长春路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72</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南大路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宝化路-西溪村</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73</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南泉路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74</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阳光社区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75</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正明村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民主社区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新民社区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78</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锦屏街道</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南溪社区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青松路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塔水村</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长岭小区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东升社区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花园社区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长岭社区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清泉小区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凤山</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奉化中社区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东门社区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春晖社区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锦山社区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南泉路旁边</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80（汞灯泡）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县江两岸桥下壁灯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70(LED)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奉钱线</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200（LED）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 xml:space="preserve"> </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小  计</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603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849</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p>
        </w:tc>
      </w:tr>
    </w:tbl>
    <w:p>
      <w:pPr>
        <w:keepNext w:val="0"/>
        <w:keepLines w:val="0"/>
        <w:pageBreakBefore w:val="0"/>
        <w:widowControl w:val="0"/>
        <w:tabs>
          <w:tab w:val="left" w:pos="0"/>
        </w:tabs>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Times New Roman"/>
          <w:b/>
          <w:color w:val="auto"/>
          <w:sz w:val="24"/>
          <w:szCs w:val="32"/>
          <w:highlight w:val="none"/>
          <w:lang w:val="en-US" w:eastAsia="zh-CN"/>
        </w:rPr>
      </w:pPr>
    </w:p>
    <w:p>
      <w:pPr>
        <w:keepNext w:val="0"/>
        <w:keepLines w:val="0"/>
        <w:pageBreakBefore w:val="0"/>
        <w:widowControl w:val="0"/>
        <w:tabs>
          <w:tab w:val="left" w:pos="0"/>
        </w:tabs>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Times New Roman"/>
          <w:b/>
          <w:color w:val="auto"/>
          <w:sz w:val="24"/>
          <w:szCs w:val="32"/>
          <w:highlight w:val="none"/>
          <w:lang w:val="en-US" w:eastAsia="zh-CN"/>
        </w:rPr>
      </w:pPr>
      <w:r>
        <w:rPr>
          <w:rFonts w:hint="eastAsia" w:ascii="仿宋" w:hAnsi="仿宋" w:eastAsia="仿宋" w:cs="Times New Roman"/>
          <w:b/>
          <w:color w:val="auto"/>
          <w:sz w:val="24"/>
          <w:szCs w:val="32"/>
          <w:highlight w:val="none"/>
          <w:lang w:val="en-US" w:eastAsia="zh-CN"/>
        </w:rPr>
        <w:t>宁波市奉化区照明远程控制终端数量统计表</w:t>
      </w:r>
    </w:p>
    <w:tbl>
      <w:tblPr>
        <w:tblStyle w:val="14"/>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885"/>
        <w:gridCol w:w="3591"/>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75" w:type="dxa"/>
            <w:noWrap/>
            <w:vAlign w:val="center"/>
          </w:tcPr>
          <w:p>
            <w:pPr>
              <w:jc w:val="center"/>
              <w:rPr>
                <w:rFonts w:hint="eastAsia" w:ascii="仿宋" w:hAnsi="仿宋" w:eastAsia="仿宋" w:cs="Times New Roman"/>
                <w:b/>
                <w:color w:val="auto"/>
                <w:highlight w:val="none"/>
                <w:lang w:val="en-US" w:eastAsia="zh-CN"/>
              </w:rPr>
            </w:pPr>
            <w:r>
              <w:rPr>
                <w:rFonts w:hint="default" w:ascii="仿宋" w:hAnsi="仿宋" w:eastAsia="仿宋" w:cs="Times New Roman"/>
                <w:b/>
                <w:color w:val="auto"/>
                <w:highlight w:val="none"/>
                <w:lang w:val="en-US" w:eastAsia="zh-CN"/>
              </w:rPr>
              <w:t>序号</w:t>
            </w:r>
          </w:p>
        </w:tc>
        <w:tc>
          <w:tcPr>
            <w:tcW w:w="2885" w:type="dxa"/>
            <w:noWrap/>
            <w:vAlign w:val="center"/>
          </w:tcPr>
          <w:p>
            <w:pPr>
              <w:jc w:val="center"/>
              <w:rPr>
                <w:rFonts w:hint="default" w:ascii="仿宋" w:hAnsi="仿宋" w:eastAsia="仿宋" w:cs="Times New Roman"/>
                <w:b/>
                <w:color w:val="auto"/>
                <w:highlight w:val="none"/>
                <w:lang w:val="en-US" w:eastAsia="zh-CN"/>
              </w:rPr>
            </w:pPr>
            <w:r>
              <w:rPr>
                <w:rFonts w:hint="default" w:ascii="仿宋" w:hAnsi="仿宋" w:eastAsia="仿宋" w:cs="Times New Roman"/>
                <w:b/>
                <w:color w:val="auto"/>
                <w:highlight w:val="none"/>
                <w:lang w:val="en-US" w:eastAsia="zh-CN"/>
              </w:rPr>
              <w:t>道路名称</w:t>
            </w:r>
          </w:p>
        </w:tc>
        <w:tc>
          <w:tcPr>
            <w:tcW w:w="3591" w:type="dxa"/>
            <w:noWrap/>
            <w:vAlign w:val="center"/>
          </w:tcPr>
          <w:p>
            <w:pPr>
              <w:jc w:val="center"/>
              <w:rPr>
                <w:rFonts w:hint="default" w:ascii="仿宋" w:hAnsi="仿宋" w:eastAsia="仿宋" w:cs="Times New Roman"/>
                <w:b/>
                <w:color w:val="auto"/>
                <w:highlight w:val="none"/>
                <w:lang w:val="en-US" w:eastAsia="zh-CN"/>
              </w:rPr>
            </w:pPr>
            <w:r>
              <w:rPr>
                <w:rFonts w:hint="default" w:ascii="仿宋" w:hAnsi="仿宋" w:eastAsia="仿宋" w:cs="Times New Roman"/>
                <w:b/>
                <w:color w:val="auto"/>
                <w:highlight w:val="none"/>
                <w:lang w:val="en-US" w:eastAsia="zh-CN"/>
              </w:rPr>
              <w:t>设备名称</w:t>
            </w:r>
          </w:p>
        </w:tc>
        <w:tc>
          <w:tcPr>
            <w:tcW w:w="1962" w:type="dxa"/>
            <w:noWrap/>
            <w:vAlign w:val="center"/>
          </w:tcPr>
          <w:p>
            <w:pPr>
              <w:jc w:val="center"/>
              <w:rPr>
                <w:rFonts w:hint="default" w:ascii="仿宋" w:hAnsi="仿宋" w:eastAsia="仿宋" w:cs="Times New Roman"/>
                <w:b/>
                <w:color w:val="auto"/>
                <w:highlight w:val="none"/>
                <w:lang w:val="en-US" w:eastAsia="zh-CN"/>
              </w:rPr>
            </w:pPr>
            <w:r>
              <w:rPr>
                <w:rFonts w:hint="default" w:ascii="仿宋" w:hAnsi="仿宋" w:eastAsia="仿宋" w:cs="Times New Roman"/>
                <w:b/>
                <w:color w:val="auto"/>
                <w:highlight w:val="none"/>
                <w:lang w:val="en-US" w:eastAsia="zh-CN"/>
              </w:rPr>
              <w:t>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大成路高速入口公园（常开）</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11660976557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金钟路（金沙路）公园</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15100574405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南郊广场</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14429568377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岳林禅寺</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岳林禅寺(大门边)</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02937814255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岳林禅寺</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岳林禅寺(大殿西北角</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09312169725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大成桥北</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大成桥北西一号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13092057067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大成桥北</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大成桥北西二号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11660976757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大成桥北</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大成桥北东一号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14428573203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大成桥北</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大成桥北东二号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01097995277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大成桥北</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大成桥北东三号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15183553523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大成东路一号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09312169735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大成东路二号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04783324935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大成东路三号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04783324945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大成东路四号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11745644615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大成东路六号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04783324975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大成东路七号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09312169305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大成东路八号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07299820355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大成东路五号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02937812925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大成东路高速入口南公园</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10318154703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中塔路6号（4号墙）</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16026828845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中塔路51号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16194603015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中塔路41-5</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16364321735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中塔路39-1C</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10576391565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中塔路7号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09485987295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中塔路七号(3号墙)</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16026828925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中塔路9号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16364321885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中塔路九号南边墙</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15186877035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中塔路建建超市</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11583237075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中塔路2号1号墙</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14852435745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与中山路交叉停车场旁</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15770943278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法院门口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11745644165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法院对面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12248700595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大成路与桃源路交叉口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15100574155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奉化区行政服务中心</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07299821655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大成路（奉化汽车东站</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09312170995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大成路欢乐城</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16526634395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欢乐城对面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12416982765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法院大门东</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09312169265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法院路对面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15100574015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大成路与斗门路交叉处</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11074568725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金钟小区西</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15100574035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时代望府公厕旁</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12416982485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时代望府西（半夜灯）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12416982515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金钟小区西2（半夜灯）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01511750555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RBD公园2号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18543840647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RBD公园1号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08986081927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金义2弄5幢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12341373707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绿都小区15幢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15438170165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绿都小区36幢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16276656725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50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桥西岸路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弥勒禅殿西（湖边）全夜灯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11745645065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51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机场南路与金海路交叉</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01511750945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52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机场南路（庄家畈）</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13171937465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53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机场南路（三标上）</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13171937585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54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机场南路（三标下）</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04783325995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55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机场路七标（四明路南</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13171937445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56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机场南路顺浦东路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11243461775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57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方桥站南东</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16444339055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58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方桥站南西</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17702722935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59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大成东路站南（北）</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16444340305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60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大成东路站南（南）</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12501750025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61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尼可海绵（北）</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13171937435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62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尼可海绵（南）没电</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19212643465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63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田之轨迹门口（中）</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18960922785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64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田之轨迹门口（东）</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11745645235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65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梁家墩村北（西）</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16444339125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66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梁家墩村北（中）</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12248700165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67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机场南路5标（江前路）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21313979888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68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机场南路二标地面路灯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07299819915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69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机场路二标（鄞奉江大桥北）</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14434648597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70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机场路六号路灯箱变</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18541206985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71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机场路高架南延</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机场路高架南延一标段</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04783325555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72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机场路高架南延</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机场路高架南延二标段</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18288935325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73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机场路高架南延</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机场路高架南延三标段</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11745644825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74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机场路高架南延</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机场路高架南延四标段</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04028141825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75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塔水路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塔水路80号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14596343293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76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塔水路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塔水路157号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10989311637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77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南山路（城基路）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06134673817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78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南山路（庄山路口）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14596343283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79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南山路（惠政西路）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15603043087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80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南山路（金钟路口）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16191184947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81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南山路（金沙路）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11912641047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82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南山路茗山路西北</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15100575325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83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南山路（太平洋广场拆</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15603042957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84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南山路（长汀路口）拆</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11408739797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85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大成路舒后村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86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大成路天峰路路口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11408740367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87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大成路（梅里达）</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14429568397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88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大成路法院对面拆</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15258349427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89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大成路257号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15438170125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90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大成路164号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17364590293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91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大成路（奉化中学）</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92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大成路（锦山明珠）</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13092057167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93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大成路东一村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12341373657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94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大成路1</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04028140895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95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大成路2</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16526633775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96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大成路3</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01511750925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97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大成路（龙溪桥）</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02937812935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98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大成路（法院对面）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04447737525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99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四明路3号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10151028747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四明路4号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09732582327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四明路5号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09396618607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四明路6号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14345206407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四明路2号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12834805187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四明路1号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15183553503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西河路4号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11918219777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西河路5号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00509389247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西河路6号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10906007227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西河路3号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09653648737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西河路2号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12834805127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西河路1号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16694490857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河头路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99公园***旁</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10318154753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河头路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河头路九九乐园</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10989312327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河头路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河头路45-7</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14429568767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河头路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河头路长春路口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17112930743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河头路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河头路51幢5号对面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17364590283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河头路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河头路长汀路交叉口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15603042987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下埠头</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11408739837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比亚迪门口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16694491297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金海隧道南</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12834805217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上横公交站</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16778378527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金海路（明化小区）</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11660977367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金海路（东）</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17364590943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金海路（斯张村）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17364590163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金海路（甬台温桥左）</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16694490837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金海路（火车站）</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15603042887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天峰路金海路口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11918219637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莼湖西环路灯3号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13763881707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莼湖西环路灯4号变</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16694490917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莼湖西环路灯1号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11918219767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莼湖西环路灯2号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11660977167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金海路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滨海社区</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17112931473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宝化路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宝化路（西直路）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16778377997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宝化路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宝化路（南溪家园）</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00509389187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宝化路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宝化路（南大路）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09653648677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西环路49-8号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14344692053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西环路（锦山别墅）</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10906007077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西环路4幢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10318154763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广平路189-4</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13092057097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广平路27-1</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15183553603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广平路257号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11912640587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广平路41-1对面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18543840727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广平小区14幢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14179652235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广平小区5幢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10318154673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广平小区8幢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14263543075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广平路与中山路口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00339005327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广平路与南山路口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10989311577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广平路锦江百货东</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14429568687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广平路与惠二路口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14428573263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广平路一幢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15438170145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惠政新村6幢拆</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15258349141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公园路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公园路9号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14428573463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公园路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公园路（人民医院）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02018376887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体育场路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体育场路75号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14429568677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体育场路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体育场路179号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10989311517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体育场路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体育场路126号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17112931083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体育场路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体育场路91弄11-</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14429568327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体育场路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体育场路市政府北</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15183554233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体育场路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体育场路79号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10318154693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体育场路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体育场路236号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17112931103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江滨西岸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滨江家苑对面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15183553533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江滨西岸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桥西岸路阳光水岸门口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17364590903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江滨西岸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桥西岸路县江至惠政</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15183553423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江滨西岸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中山桥庭院灯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16191184557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江滨西岸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龙溪桥南庭院灯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08986081897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江滨西岸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桥西岸路192号庭院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17112930893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江滨西岸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新村桥边西岸</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14428573733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江滨西岸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桥西岸路（长汀路）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09312169245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江滨西岸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兴奉桥西岸庭院灯没电</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14758024085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桥东岸路新村桥</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10906007557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惠政桥南（河东）</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17364590883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大成桥北（中央花园）</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18543840717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秀水家园南</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10906007237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惠政桥东（南）庭院灯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14428573133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桥东岸257幢东</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17112930813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秀水家苑西</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14512469313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江滨东岸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桥东岸路要德火锅</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14263543095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惠政路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惠政西路14-3</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10318154093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惠政路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惠政东路(时代瑞福)</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11074569615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岳林路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岳林广场</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15354066735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岳林路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岳林东路（桃园路口）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17112930793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岳林路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岳林东路223号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16276656495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岳林路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岳林西路38公管所对</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10318154103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岳林路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岳林公园（未用）</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15258348148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东门路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东门路82号拆</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15258349743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东门路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东门路61号拆</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13763881617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东门路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小路街6号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17112931513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东门路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东门路100-6号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15183553593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东门路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北门街1号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15603043047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东门路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东门路8号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02018376637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190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华信国际后门拆</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15257450499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191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中山路（岳林小学）</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15603043547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192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中山锦庭</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193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中山路长岭路口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17112930833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194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中山路加贝购物</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12834805837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195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中山路113号移动对</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10318154163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196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中山路115号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10318154193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197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中山路（瑞峰路东）</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16694491577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198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中山路（瑞峰路西）</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17364590823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199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高压走廊公园</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16526634455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200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茗山路156幢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10151029287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201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茗山路（香山美邸前）</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09653648747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202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茗山路（香山美邸北）</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09653648977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203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茗山路阳光5号对面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11918219647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204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茗山路与庄山路口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13092057437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205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茗山路广济公寓6幢西</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11918219857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206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11912641007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207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茗山路青松路口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08986081987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208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锦屏路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锦屏南路153幢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14429568797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209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锦屏路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锦屏南路（宝化路）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18288936205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210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锦屏路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锦屏南路14-2拆</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14758024420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211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锦屏路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锦屏南路城基路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10989311707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212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金峰路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金峰路奉港中学前</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16191184367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213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金峰路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金峰路上林华庭12幢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214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金峰路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金峰南路AED（奉港中学）</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11828316598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215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长岭路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长岭路8幢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06134674127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216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长岭路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长岭路79-11</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14596343573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217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长岭路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长岭路50幢居敬小学</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00509389237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218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长岭路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长岭路18幢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17364590253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219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长岭路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长岭路79号对面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10151028787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220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广济路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广济路（广济公寓4幢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11912641087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221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斗门路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斗门路与中园路交叉</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12081466377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222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斗门路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斗门北路（金钟小区北</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11660976587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223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斗门路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斗门路11幢1号拆</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10989311497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224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斗门路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斗门路岳林小学</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10906007587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225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前方路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前方路1号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16778378477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226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前方路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前方路2号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14596343853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227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前方路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前方路3号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17364590573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228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奉南路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奉南路（锦溪小学）</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14428573833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229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南大路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正名新二村七幢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11660976577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230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南大路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南大路592号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12341373607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231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南大路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南大路470号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14428573093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232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南大路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南大路（宝化路）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18543840437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233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南大路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南大路241号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12421910747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234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南大路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南大路21号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13763881687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235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凉河路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凉河路6幢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12421910367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236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凉河路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凉河路8幢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14512468693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237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凉河路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凉河路14幢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238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春晖路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春晖小区2弄6幢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06134673777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239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春晖路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春晖小区一弄7幢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16778378467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240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春晖路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春晖小区2弄4幢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06134674147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241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春晖路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春晖公园东门</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11660977117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242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居敬路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清风路(望悠路）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11326500537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243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居敬路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居敬路14幢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15603042927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244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居敬路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居敬路（大成路）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11408740307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245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居敬路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居敬路22幢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12341373697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246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城基路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城基路13号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12341373637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247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城基路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城基路37-12号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15183553543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248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城基路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城基路（南门站台）</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14428573823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249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城基路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城基路（正名新村1号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250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城基路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城基路83号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11408740537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251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城基路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正明新村13-2</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252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城基路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朱家弄38号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19632671725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253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三溪路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三溪路12号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10318154813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254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西溪路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西溪路3幢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17112931483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255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南街</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南街68号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12341373757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256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响铃路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响铃路5号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10318154143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257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北溪路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北溪路134-3号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10151029277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258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北溪路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北溪路37号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11408740347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259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金沙路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金沙路4号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10318154723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260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长春路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长春路（广平路）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17112930723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261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长春路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长春路居敬18幢前</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10989311687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262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长春路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长春路（西环路）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12836471937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263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庄山路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庄山路4弄3幢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11918219697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264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庄山路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庄山路4弄8幢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00509389347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265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庄山路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庄山路41号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11660976727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266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庄山路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庄山路实验小学门口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06134674217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267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庄山路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庄山2弄庄山市场</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17112931093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268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义门路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义门路在水一方</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05295800258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269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义门路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义门路89号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08654412917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270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义门路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义门路35幢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271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义门路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义门路建设弄9幢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16778378077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272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白水路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白水路3幢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14344691393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273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东升路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东升路8幢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10906007117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274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东升路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东升路50-8拆</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15258349046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275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城南三区</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城南三区10幢西</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15183554183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276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城南三区</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王家潭新村1幢东</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14596343333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277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红墙外弄</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红墙外弄67号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15183554173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278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西直路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西直路16幢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11912640497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279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湖桥卫生院前</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15018759415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280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勤丰新村7号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14934850935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281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新丰路与前方路口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14263543045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282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小湖桥新村6幢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20049560735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283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大田路7幢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10656663465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284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金钟小区</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16274850145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285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新潘新村30幢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10318154713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286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新潘新村9幢9号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10318154023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287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桥东岸</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勤丰新村18幢东</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10656663515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288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光明路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光明路6幢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00509389487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289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北街</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北街95-4</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14179652065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290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北街</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北街石步岭弄15号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15183553463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291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中塔路10号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16694490927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292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中塔路51号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06134674017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293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中塔路183-1号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14512468943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294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中塔路27-55号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16778741995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295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中塔禅寺（半夜灯）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11912802298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296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中山公园信号塔旁（半夜灯）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09815313388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297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中塔路63-1A</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14429568787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298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中山公园</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中山公园3号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08986082207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299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中山公园</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体育公园淡游山庄下</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12837980457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300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状元坊路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状元坊公厕旁</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14512468593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301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状元坊路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状元坊路155-1号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14344691373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302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状元坊路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状元坊路197号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16778378447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303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状元坊路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状元坊路（惠政路口）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00509389207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304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新丰路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新丰路（惠政路口）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14344691473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305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清泉路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清泉新村5幢1号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18543840867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306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清泉路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清泉路汽修厂门口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11918219967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307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长汀路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长汀路弥勒2苑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17364590193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308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长汀路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长汀路与桥西岸路口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11828458437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309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长汀路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长汀路(圆峰路口）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10151028717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310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桃源路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桃源路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11912641117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311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金钟路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金钟路153幢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16694491007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312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金钟路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金钟路（湖桥路）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01097995427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313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金钟路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金钟路（岳林东路）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17112930863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314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金钟路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金钟路（大成路）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14344691413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315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金钟路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金钟路（绿都小区）</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316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金钟路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金钟路（开源路）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11912641287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317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阳光茗都</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阳光茗都西</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15438170175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318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三横开发区</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开源路老毛物流旁</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11408740527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319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三横开发区</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开源路与汇盛路口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10151028927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320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三横开发区</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东江路与汇盛路口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16694490767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321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三横开发区</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开源路（汇泉路）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15603043437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322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三横开发区</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开源路318号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18543840597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323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三横开发区</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开源路（汇明路）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14429568777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324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三横开发区</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东江路（四明路）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17450191837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325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三横开发区</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东江路（汇源路）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09651659137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326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三横开发区</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龙津路（汇泉路）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11660976647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327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三横开发区</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四明路289号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16191184897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328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三横开发区</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开源路与汇丰路口拆</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10151028847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329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甬临线（秀水美食）</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330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甬临线（南山禅寺）</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02018377027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331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甬临线（楼家）</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14596343303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332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甬临线(尚田路口)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14428573243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333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甬临线（鑫盛机电）</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11660977407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334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甬临线（凯森线缆）</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10906007217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335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甬临线（大丰气体）</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14429568287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336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甬临线（玉锦南苑）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337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甬临线(大岙村）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338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甬临线（洛华机械）</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12834805157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339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甬临线（方门）</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11829822587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340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甬临线（下田塔）</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15603043117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341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甬临线（鹊岙村）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10318672577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342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甬临线（鸣雁村）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14429568727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343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甬临线（马夹岙村）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12083001807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344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甬临线（马夹岙村南）</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11660977107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345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甬临线（陆角山村内）</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10318154783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346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甬临线（下陈七洞桥）</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12834805167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347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南山北路(金钟路)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12081466317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348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南山北路(宝马4S店</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10151028797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349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南山北路（聚金路）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10989312267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350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南山北路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南山北路(江口城管局</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14765840607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351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s309(溪口客运站</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13092057107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352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s309（联胜村）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09653648717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353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s309（华盛路口）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13763881717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354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s309（后葛村）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17364590303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355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s309（和欣服饰）</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17112931413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356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s309（大埠村）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10151028917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357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s309（明化电镀厂</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11242872167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358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s309（柱石村）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10151029297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359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s309(奉灵路口)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10234792127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360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s309(新塔园艺场</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01097995387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361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s309（中宁机械）</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16778378507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362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s309（江口中学）</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13844492607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363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s309（气动智创产</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11745644995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364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s309联胜村岭下小</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01511750775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365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s309（状元岙路口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12416981895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366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s309（石善岙小区</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16526633495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367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s309（沙堤桃子市</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11745645005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368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s309（浙江佛学院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18288935475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369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s309（钟甘家）</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13086769527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370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s309（大埠食品拆</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16778377937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371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东环线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东环线（明华桥）</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17364590803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372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东环线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东环线康定大桥北没电</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13484281969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373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东环线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东环线（康亭村北）</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12752589107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374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东环线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东环线（下王北）</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14596343933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375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东环线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东环线（下王）拆</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10989312017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376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东环线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东环线（童桥）拆</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11660976627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377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弥勒大道（西圃线1号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17364590813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378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弥勒大道（西圃线2号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15183553553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379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弥勒大道（西圃线3号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16782998845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380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弥勒大道（隧道西）</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17112931363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381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弥勒大道（何应）</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14596343253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382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弥勒大道（集胜）</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17364590143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383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弥勒大道（下周家）</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15603043517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384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弥勒大道（虞家村）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14344691503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385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弥勒大道（剡溪大桥）</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00509389397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386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弥勒大道（世茂桃源）</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00758024033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387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上畸线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上畸线1号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15183553813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388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上畸线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上畸线2号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14596343263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389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上畸线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上畸线3号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10989312297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390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四明东路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四明东路（雪花啤酒)</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09653648757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391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四明东路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四明东路与开源路交叉</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14344692043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392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站前路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站前路(火车站)</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00509389367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393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仁湖路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仁湖路开源路交叉口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14182642257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394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溆浦路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溆浦路和法兴路交叉口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10151028897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395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浒溪线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浒溪线1号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04447736715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396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浒溪线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浒溪线2号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09312169295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397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浒溪线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浒溪线3号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04783326625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398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浒溪线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浒溪线4号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04028141635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399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浒溪线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浒溪线5号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04447736695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400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奉钱线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奉钱线1号下坞公交站</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02937814245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401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奉钱线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奉钱线2号（后王西坞</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11074568905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402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奉钱线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奉钱线3号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13171938505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403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奉钱线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奉钱线4号丽白线交叉</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04447736705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404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奉远路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奉远路(锦屏山庄)</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13011169887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405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沿海中线（白沙树）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12416983455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406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沿海中线78.2公里</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15100575305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407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沿海中线77.2公里</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10234791327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408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沿海中线4梧凤山隧道</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02937812725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409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沿海中线5桐照边防站</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18288936255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410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沿海中路河伯所村路口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13171938515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411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沿海中线7莼裘线交叉</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16526634465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412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沿海中线8</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15100574045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413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沿海中线黄贤64.7</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15100573755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414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沿海中线63公里处</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09312169745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415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滨海旅游区管委会</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07299820005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416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沿海中线和杨村路口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16526633785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417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沿海中线（东坑路口）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18288934455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418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沿海中线（徐家）</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12248701225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419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沿海中线望台山59公</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13171936975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420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沿海中线58公里处</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11074569645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421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沿海中线（里城路口）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04783325535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422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沿海中线55公里处</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04447736925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423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沿海中线19松岙老街</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02937814265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424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沿海中线松岙镇区路口</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11745644655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425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沿海中线21</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12248699915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426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沿海中线22</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12248699705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427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沿海中线23马松线</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11745645255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428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沿海中线松岙陵园站</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18288936245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429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沿海中线25宁王塘</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18288936225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430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沿海中线26岩家塘</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13171938495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431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沿海中线27湖头渡中</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10989312047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432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沿海中线28旭普机械</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11745645925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433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沿海中线29号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12248699975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434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云集小区</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云集村（桥边）</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07299819925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435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汇诚路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汇诚路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09312169545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436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汇诚路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汇诚路（牌门村公交站</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01431516388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437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汇诚路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汇诚路（六板桥西侧）</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15697659078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438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桐冒公路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桐冒公路六号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04783325175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439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桐冒公路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桐冒公路五号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07299820925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440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桐冒公路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桐冒公路四号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13171937455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441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桐冒公路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桐冒公路三号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09312169515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442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桐冒公路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桐冒公路二号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01511751135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443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桐冒公路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桐冒公路一号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01511751535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444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生态公路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生态公路连接线1号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07299821015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445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生态公路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生态公路连接线2号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09312169525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446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生态公路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生态公路连接线3号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13171936855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447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生态公路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生态公路连接线4号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11074568095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448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大张连接线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大张连接线1号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12248700105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449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大张连接线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大张连接线2号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12248700115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450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西环线（江拔线至滕头段）</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西环线江拔至滕头1号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02937813595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451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西环线（江拔线至滕头段）</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西环线江拔至滕头2号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13171936865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452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西环线（江拔线至滕头段）</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西环线江拔至滕头3号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11074568575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453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西环线（江拔线至滕头段）</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西环线江拔至滕头4号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11074568495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454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西环线一期</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西环线一期2号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18288936265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455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西环线一期</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西环线一期1号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07299820515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456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火车站</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火车站前广场</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04783326705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457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澄海路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澄海路北面</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09653648767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458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滨沙路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滨海大道与滨沙路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10318154183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459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滨沙路</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滨沙路与澄海路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12341373497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460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尚界线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广渡东</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05295801078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461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尚界线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广渡桥旁</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01852397568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462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尚界线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红盛织布厂</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01852397748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463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尚界线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楼岩**室</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05295800268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464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尚界线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许家村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09899194408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465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尚界线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中国电信旁</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05295801318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466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尚界线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上楼岩村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16872034278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467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尚界线</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许家D305线25号</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15697658398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468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南山路五号箱</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12080113237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469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南山路8-1号箱</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12082261155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470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南山路8-2号箱停电</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12501751645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471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南山路六号箱</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16612168945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472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南山路一号箱</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17031538245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473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兴奉桥点阵屏及投光灯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16444340275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474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南山路广平桥及兴奉桥柱灯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11243462345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475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奉化中学2</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17031538415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476</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奉化中学1</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14766038275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477</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西圃村</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14266541267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478</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武岭悦府1</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08138992847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479</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武岭悦府2</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14434648577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480</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武岭悦府3</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17034390047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481</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公交站</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12250120285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482</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武岭悦府4</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17031538395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483</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武岭悦府6</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15941511027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484</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臧山丽景</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12417882015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485</w:t>
            </w:r>
          </w:p>
        </w:tc>
        <w:tc>
          <w:tcPr>
            <w:tcW w:w="2885"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弥勒大道亮化</w:t>
            </w:r>
          </w:p>
        </w:tc>
        <w:tc>
          <w:tcPr>
            <w:tcW w:w="3591"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武岭悦府5</w:t>
            </w:r>
          </w:p>
        </w:tc>
        <w:tc>
          <w:tcPr>
            <w:tcW w:w="1962" w:type="dxa"/>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12250121115</w:t>
            </w:r>
          </w:p>
        </w:tc>
      </w:tr>
    </w:tbl>
    <w:p>
      <w:pPr>
        <w:keepNext w:val="0"/>
        <w:keepLines w:val="0"/>
        <w:pageBreakBefore w:val="0"/>
        <w:widowControl w:val="0"/>
        <w:tabs>
          <w:tab w:val="left" w:pos="0"/>
        </w:tabs>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Times New Roman"/>
          <w:b/>
          <w:color w:val="auto"/>
          <w:sz w:val="24"/>
          <w:szCs w:val="32"/>
          <w:highlight w:val="none"/>
          <w:lang w:val="en-US" w:eastAsia="zh-CN"/>
        </w:rPr>
      </w:pPr>
      <w:r>
        <w:rPr>
          <w:rFonts w:hint="eastAsia" w:ascii="仿宋" w:hAnsi="仿宋" w:eastAsia="仿宋" w:cs="Times New Roman"/>
          <w:b/>
          <w:color w:val="auto"/>
          <w:sz w:val="24"/>
          <w:szCs w:val="32"/>
          <w:highlight w:val="none"/>
          <w:lang w:val="en-US" w:eastAsia="zh-CN"/>
        </w:rPr>
        <w:t>宁波市奉化区照明控制设备数量统计表</w:t>
      </w:r>
    </w:p>
    <w:tbl>
      <w:tblPr>
        <w:tblStyle w:val="14"/>
        <w:tblW w:w="90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4"/>
        <w:gridCol w:w="3095"/>
        <w:gridCol w:w="1820"/>
        <w:gridCol w:w="3116"/>
      </w:tblGrid>
      <w:tr>
        <w:tblPrEx>
          <w:tblCellMar>
            <w:top w:w="0" w:type="dxa"/>
            <w:left w:w="108" w:type="dxa"/>
            <w:bottom w:w="0" w:type="dxa"/>
            <w:right w:w="108" w:type="dxa"/>
          </w:tblCellMar>
        </w:tblPrEx>
        <w:trPr>
          <w:trHeight w:val="397" w:hRule="atLeast"/>
          <w:tblHeader/>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序号</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地理位置</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箱体</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岳林路23号老消防队门口</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南山路——桥西岸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状元坊路155-1</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西一村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塔水路80#南边</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塔水村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塔水路157#北边</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塔水村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城基路83#前</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西锦村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三溪路12#</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西锦村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西直路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西锦村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城基路正明新村1幢北</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幼儿园——200号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城基路53#</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城南一区一带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城基路37-12#</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附近一带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城基路13#</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附近一带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城基路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附近一带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春晖路1弄5幢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春晖路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春晖路庄山5弄4幢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春晖路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惠政东路73#</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体育场路79号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79#</w:t>
            </w:r>
            <w:r>
              <w:rPr>
                <w:rFonts w:hint="eastAsia" w:ascii="仿宋" w:hAnsi="仿宋" w:eastAsia="仿宋" w:cs="Times New Roman"/>
                <w:color w:val="auto"/>
                <w:highlight w:val="none"/>
                <w:lang w:val="en-US" w:eastAsia="zh-CN"/>
              </w:rPr>
              <w:t>——朝阳路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体育场路71号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附近一带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体育场路儿童公园对面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附近一带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体育场路25#</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东门梅园弄一带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体育场路132#</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体育场路凤山一带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体育场路129#</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凤山西边段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公园路工商银行前</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南山路——中山组一带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公园路8#</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南山路——广平路一带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公园路26#</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公园路26#一带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响铃路5#</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响铃路一带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仁湖路20#变压器下</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仁湖路一带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西溪路3幢1#</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东门新2村一带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北门街1#</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北门街城里一带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朱家弄38#</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红墙处朱家弄38#一带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红墙处弄67#</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红墙处弄67#一带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南大路21#</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三眼井、南大路21#一带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正明新村13幢2#</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正明新村一带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西直路16幢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西锦路、西直路一带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奉南路锦溪小学前</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奉南路、奉南新一村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南大路241#</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城基路——南大路251#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南大路正明新村9幢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正明新二村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南大路470#</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南大路470#——西溪路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南大路与宝花路口</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宝花路与南大路450#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王家潭新村1幢东边</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王家潭新村一带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城南三区10幢西边</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城南一区前大路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锦屏南路268号对面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锦屏南路城南三区一带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锦屏南路城南三区2幢东边</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城南三区20幢前一带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锦屏南路153幢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锦屏南路153幢一带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锦屏南路151幢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锦屏南路、城基路段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长春路与广平路路口</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长春路——南山路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广平路257幢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立式</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257</w:t>
            </w:r>
            <w:r>
              <w:rPr>
                <w:rFonts w:hint="eastAsia" w:ascii="仿宋" w:hAnsi="仿宋" w:eastAsia="仿宋" w:cs="Times New Roman"/>
                <w:color w:val="auto"/>
                <w:highlight w:val="none"/>
                <w:lang w:val="en-US" w:eastAsia="zh-CN"/>
              </w:rPr>
              <w:t>幢以东一带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光明路6幢3号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附近一带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长春路居敬18幢前</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长春路、居敬小区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居敬路8幢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居敬路一带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居敬路14幢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居敬路一带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居敬路22幢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居敬路一带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长岭路79号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大成路——阳光名都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长岭路50幢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长岭小区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长岭路18幢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长岭路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河头路51幢5号对面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大成路——中山路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河头路与长春路路口</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大成路——中山路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长春路与西环路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长春路公园一带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西环路49-8号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附近一带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西苑路、锦山别墅南</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箱变</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西苑路一带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中塔路183-1号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西苑路一带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河头路45-7幢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河头小区南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大成路257幢东</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新立式</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河头小区北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庄山路4弄8幢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庄山小区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庄山4弄3幢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庄山小区南边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春晖2弄4幢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春晖小区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春晖小区2弄6幢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春晖小区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春晖小区1弄7幢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春晖小区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凉河路6幢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凉河小区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凉河路8幢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凉河小区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凉河路14幢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凉河小区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西环路4幢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西环路4幢一带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中塔路41-5号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中塔路石步岭一带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中塔路27-55号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石步岭一带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中塔路10号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中塔寺附近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惠政西路56号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惠政西路一带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北街石步岭弄15号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北街村委一带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北街95号-4</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附近一带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北溪路134号-3</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附近一带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北溪路37号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附近一带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广南商城1弄3幢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广南商城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庆登桥7-1号后面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立式</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原配电箱内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广平小区8幢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立式</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原配电箱内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广平小区14幢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立式</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广平小区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惠政西路14-3</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惠政路与状元坊路</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状元坊路一带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状元坊路后面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状元坊路后面厕所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惠政新村6号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惠政新村一带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锦屏南路14幢-2</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立式旧</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东门路与城基路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东门路82#</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东门口与锦屏南路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东门路100-6#</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朝阳路与锦屏南路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锦屏北路、医院行政楼门口</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锦屏北路——惠政路段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惠政路奉化剧院前</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剧院前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惠政西路52#东</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锦屏北路31幢后面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惠政路步行街新华书店门口</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立式</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步行街一带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锦屏北路与茗山路口</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茗山路——南山路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东门路8#</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城基路与方新7弄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西溪路3幢前</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东门新二村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小路街6#</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东门新一村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宝化路与南大路口东</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箱变</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西直路——锦屏路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西直路与宝化路口</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箱变</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西直路一带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西锦路南溪家苑前</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箱变</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西锦路段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庄山路41#</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庄山路与为民弄一带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茗山路与庄山路口</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旧立式</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中山路——惠政路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岳林路61#</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南山路与茗山路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茗山路广济公寓6幢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旧立式</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长春路与茗山路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茗山路阳光5号前</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大成路——长汀路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茗山路香山茗邸前</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箱变</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长汀路——茗山北路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广济路广济公寓4幢东边</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中山路与大成路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香山茗邸北边</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箱变</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围场边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茗山路156幢前</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新立式</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小区附近一带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桑园新村2幢后面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桑园新村一带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城南三区2幢西边</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城南三区内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锦山别墅大门左边</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锦山别墅内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锦山别墅217-33号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别墅西南角一带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体育场路91弄11-13号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新立式</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别墅内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南街68号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南街附近一带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广平小区5幢西边</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南山路-公园路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正明新村13幢-2</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正明新村一带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119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中山公园篮球场北</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中山公园范围内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长岭路79-11号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附近一带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新潘新村30幢变压器房内</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新潘小区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新潘新村9幢9号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新潘小区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兔场弄15幢东边</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兔场弄一带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清泉新村5幢1号前</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清泉新村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金沙路4号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金沙路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金沙路1号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新三相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南山路、南郊公园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清泉路汽修厂门口</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清泉路、新民新村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新民东村7幢1号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新民东村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129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勤丰新村18幢7号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勤丰新村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湖桥卫生院前</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湖桥村一带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小湖桥新村6幢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小湖桥村一带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新丰路与前方路口</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小湖桥村一带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前方路金色海滩浴场新湖路26幢前</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前方路一带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新湖路20幢8号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新湖路一带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前方路50号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前方路段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金钟路153幢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金钟路与前方新村小区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义门路35幢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义门路一带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新丰路2-3幢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新村路边小区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139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惠政东路133对面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惠政东路段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农场路25号后面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农场路一带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十亩地弄1号对面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十亩地弄一带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后方新村19幢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后方新村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前方新村48幢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前方新村段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前方新村31幢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前方新村段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后秧田路20号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后秧田弄前方村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义门路89号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义门路段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白水路3幢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白水路一带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大田路7幢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大田路一带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义门路建设弄9幢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义门路建设弄段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东升路8幢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东升路段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桃园路48幢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新立式</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桃园路段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桃园路华信国际东</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桃园路奉化中学前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153</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华信国际后面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立式</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奉化中学前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154</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岳林路69-3</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岳林路与桃园路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155</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岳林东路203幢东面</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岳林东路203幢一带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156</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东升路50幢-8</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耶稣堂后面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157</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斗门路11幢1号</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中山路——岳林路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158</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金钟小区25幢前</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新立式三相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长汀东路——斗门北路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159</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桥东岸257幢东</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附近一带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160</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桃园路99幢西</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师范小区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161</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岳林广场</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岳林广场内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162</w:t>
            </w:r>
          </w:p>
        </w:tc>
        <w:tc>
          <w:tcPr>
            <w:tcW w:w="3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岳林公园</w:t>
            </w:r>
          </w:p>
        </w:tc>
        <w:tc>
          <w:tcPr>
            <w:tcW w:w="18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岳林公园内</w:t>
            </w:r>
          </w:p>
        </w:tc>
      </w:tr>
    </w:tbl>
    <w:p>
      <w:pPr>
        <w:keepNext w:val="0"/>
        <w:keepLines w:val="0"/>
        <w:pageBreakBefore w:val="0"/>
        <w:widowControl w:val="0"/>
        <w:tabs>
          <w:tab w:val="left" w:pos="0"/>
        </w:tabs>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Times New Roman"/>
          <w:b/>
          <w:color w:val="auto"/>
          <w:sz w:val="24"/>
          <w:szCs w:val="32"/>
          <w:highlight w:val="none"/>
          <w:lang w:val="en-US" w:eastAsia="zh-CN"/>
        </w:rPr>
      </w:pPr>
      <w:r>
        <w:rPr>
          <w:rFonts w:hint="eastAsia" w:ascii="仿宋" w:hAnsi="仿宋" w:eastAsia="仿宋" w:cs="Times New Roman"/>
          <w:b/>
          <w:color w:val="auto"/>
          <w:sz w:val="24"/>
          <w:szCs w:val="32"/>
          <w:highlight w:val="none"/>
          <w:lang w:val="en-US" w:eastAsia="zh-CN"/>
        </w:rPr>
        <w:t>宁波市奉化区照明控制设备汇总表</w:t>
      </w:r>
    </w:p>
    <w:tbl>
      <w:tblPr>
        <w:tblStyle w:val="14"/>
        <w:tblW w:w="8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0"/>
        <w:gridCol w:w="4065"/>
        <w:gridCol w:w="1950"/>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序号</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路控箱统计</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数量</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新单相路控箱（柱上悬挂式）</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33</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单相路控箱（柱上悬挂式）</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101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三相路控箱（柱上悬挂式）</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新三相路控箱（柱上悬挂式）</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5</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5</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新立式三相路控箱</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6</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立式（旧）三相路控箱</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2</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7</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立式（旧）路控箱</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8</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新立式路控箱</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4</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9</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柱上变压器（内）</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箱变</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189</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p>
        </w:tc>
        <w:tc>
          <w:tcPr>
            <w:tcW w:w="40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合计</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r>
              <w:rPr>
                <w:rFonts w:hint="default" w:ascii="仿宋" w:hAnsi="仿宋" w:eastAsia="仿宋" w:cs="Times New Roman"/>
                <w:color w:val="auto"/>
                <w:highlight w:val="none"/>
                <w:lang w:val="en-US" w:eastAsia="zh-CN"/>
              </w:rPr>
              <w:t>370</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Times New Roman"/>
                <w:color w:val="auto"/>
                <w:highlight w:val="none"/>
                <w:lang w:val="en-US" w:eastAsia="zh-CN"/>
              </w:rPr>
            </w:pPr>
          </w:p>
        </w:tc>
      </w:tr>
    </w:tbl>
    <w:p>
      <w:pPr>
        <w:spacing w:before="120" w:beforeLines="50" w:after="120" w:afterLines="50" w:line="500" w:lineRule="exact"/>
        <w:rPr>
          <w:rFonts w:hint="default" w:ascii="仿宋" w:hAnsi="仿宋" w:eastAsia="仿宋" w:cs="宋体"/>
          <w:b/>
          <w:color w:val="auto"/>
          <w:sz w:val="24"/>
          <w:highlight w:val="none"/>
          <w:lang w:val="en-US"/>
        </w:rPr>
      </w:pPr>
      <w:r>
        <w:rPr>
          <w:rFonts w:hint="eastAsia" w:ascii="仿宋" w:hAnsi="仿宋" w:eastAsia="仿宋" w:cs="宋体"/>
          <w:b/>
          <w:color w:val="auto"/>
          <w:sz w:val="24"/>
          <w:highlight w:val="none"/>
          <w:lang w:val="en-US" w:eastAsia="zh-CN"/>
        </w:rPr>
        <w:t>六</w:t>
      </w:r>
      <w:r>
        <w:rPr>
          <w:rFonts w:hint="eastAsia" w:ascii="仿宋" w:hAnsi="仿宋" w:eastAsia="仿宋" w:cs="宋体"/>
          <w:b/>
          <w:color w:val="auto"/>
          <w:sz w:val="24"/>
          <w:highlight w:val="none"/>
        </w:rPr>
        <w:t>、</w:t>
      </w:r>
      <w:r>
        <w:rPr>
          <w:rFonts w:hint="eastAsia" w:ascii="仿宋" w:hAnsi="仿宋" w:eastAsia="仿宋" w:cs="宋体"/>
          <w:b/>
          <w:color w:val="auto"/>
          <w:sz w:val="24"/>
          <w:highlight w:val="none"/>
          <w:lang w:val="en-US" w:eastAsia="zh-CN"/>
        </w:rPr>
        <w:t>考核办法</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根据《奉化城区照明设施维护质量考核办法（暂行）》，对养护承包单位进行考核，具体考核细则详见附件一。</w:t>
      </w:r>
    </w:p>
    <w:p>
      <w:pPr>
        <w:spacing w:before="120" w:beforeLines="50" w:after="120" w:afterLines="50" w:line="500" w:lineRule="exact"/>
        <w:rPr>
          <w:rFonts w:ascii="仿宋" w:hAnsi="仿宋" w:eastAsia="仿宋" w:cs="宋体"/>
          <w:b/>
          <w:color w:val="auto"/>
          <w:sz w:val="24"/>
          <w:highlight w:val="none"/>
        </w:rPr>
      </w:pPr>
      <w:r>
        <w:rPr>
          <w:rFonts w:hint="eastAsia" w:ascii="仿宋" w:hAnsi="仿宋" w:eastAsia="仿宋" w:cs="宋体"/>
          <w:b/>
          <w:color w:val="auto"/>
          <w:sz w:val="24"/>
          <w:highlight w:val="none"/>
          <w:lang w:val="en-US" w:eastAsia="zh-CN"/>
        </w:rPr>
        <w:t>七</w:t>
      </w:r>
      <w:r>
        <w:rPr>
          <w:rFonts w:hint="eastAsia" w:ascii="仿宋" w:hAnsi="仿宋" w:eastAsia="仿宋" w:cs="宋体"/>
          <w:b/>
          <w:color w:val="auto"/>
          <w:sz w:val="24"/>
          <w:highlight w:val="none"/>
        </w:rPr>
        <w:t>、商务条款</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1、合同履约期限：</w:t>
      </w:r>
      <w:r>
        <w:rPr>
          <w:rFonts w:hint="eastAsia" w:ascii="仿宋" w:hAnsi="仿宋" w:eastAsia="仿宋" w:cs="仿宋"/>
          <w:color w:val="auto"/>
          <w:kern w:val="0"/>
          <w:sz w:val="24"/>
          <w:highlight w:val="none"/>
          <w:lang w:eastAsia="zh-CN"/>
        </w:rPr>
        <w:t>3年，合同一年一签，每年根据采购人考核情况及中标人的合同履行情况，经双方协商一致方可续签</w:t>
      </w:r>
      <w:r>
        <w:rPr>
          <w:rFonts w:hint="eastAsia" w:ascii="仿宋" w:hAnsi="仿宋" w:eastAsia="仿宋" w:cs="仿宋"/>
          <w:color w:val="auto"/>
          <w:kern w:val="0"/>
          <w:sz w:val="24"/>
          <w:highlight w:val="none"/>
        </w:rPr>
        <w:t>。</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2、合同履行地点：</w:t>
      </w:r>
      <w:r>
        <w:rPr>
          <w:rFonts w:hint="eastAsia" w:ascii="仿宋" w:hAnsi="仿宋" w:eastAsia="仿宋" w:cs="仿宋"/>
          <w:color w:val="auto"/>
          <w:kern w:val="0"/>
          <w:sz w:val="24"/>
          <w:highlight w:val="none"/>
          <w:lang w:eastAsia="zh-CN"/>
        </w:rPr>
        <w:t>奉化</w:t>
      </w:r>
      <w:r>
        <w:rPr>
          <w:rFonts w:hint="eastAsia" w:ascii="仿宋" w:hAnsi="仿宋" w:eastAsia="仿宋" w:cs="仿宋"/>
          <w:color w:val="auto"/>
          <w:kern w:val="0"/>
          <w:sz w:val="24"/>
          <w:highlight w:val="none"/>
          <w:lang w:val="en-US" w:eastAsia="zh-CN"/>
        </w:rPr>
        <w:t>城区及采购人指定地点</w:t>
      </w:r>
      <w:r>
        <w:rPr>
          <w:rFonts w:hint="eastAsia" w:ascii="仿宋" w:hAnsi="仿宋" w:eastAsia="仿宋" w:cs="仿宋"/>
          <w:color w:val="auto"/>
          <w:kern w:val="0"/>
          <w:sz w:val="24"/>
          <w:highlight w:val="none"/>
        </w:rPr>
        <w:t>。</w:t>
      </w:r>
    </w:p>
    <w:p>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b/>
          <w:color w:val="auto"/>
          <w:kern w:val="0"/>
          <w:sz w:val="24"/>
          <w:highlight w:val="none"/>
          <w:lang w:val="en-US" w:eastAsia="zh-CN"/>
        </w:rPr>
        <w:t>3</w:t>
      </w:r>
      <w:r>
        <w:rPr>
          <w:rFonts w:hint="eastAsia" w:ascii="仿宋" w:hAnsi="仿宋" w:eastAsia="仿宋" w:cs="仿宋"/>
          <w:b/>
          <w:color w:val="auto"/>
          <w:kern w:val="0"/>
          <w:sz w:val="24"/>
          <w:highlight w:val="none"/>
        </w:rPr>
        <w:t>、签订合同时间：</w:t>
      </w:r>
      <w:r>
        <w:rPr>
          <w:rFonts w:hint="eastAsia" w:ascii="仿宋" w:hAnsi="仿宋" w:eastAsia="仿宋" w:cs="仿宋"/>
          <w:color w:val="auto"/>
          <w:kern w:val="0"/>
          <w:sz w:val="24"/>
          <w:highlight w:val="none"/>
          <w:lang w:eastAsia="zh-CN"/>
        </w:rPr>
        <w:t>中标通知书发出后30天内。</w:t>
      </w:r>
    </w:p>
    <w:p>
      <w:pPr>
        <w:tabs>
          <w:tab w:val="left" w:pos="0"/>
        </w:tabs>
        <w:spacing w:line="360" w:lineRule="auto"/>
        <w:ind w:firstLine="48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4</w:t>
      </w:r>
      <w:r>
        <w:rPr>
          <w:rFonts w:hint="eastAsia" w:ascii="仿宋" w:hAnsi="仿宋" w:eastAsia="仿宋" w:cs="仿宋"/>
          <w:b/>
          <w:color w:val="auto"/>
          <w:kern w:val="0"/>
          <w:sz w:val="24"/>
          <w:highlight w:val="none"/>
        </w:rPr>
        <w:t>、付款方式：</w:t>
      </w:r>
    </w:p>
    <w:p>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合同签订生效以及具备实施条件后7个工作日内中标人向采购人提交合同金额40%的预付款保函后，采购人支付合同金额的40%作为预付款；</w:t>
      </w:r>
    </w:p>
    <w:p>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维修养护管理服务经费每</w:t>
      </w:r>
      <w:r>
        <w:rPr>
          <w:rFonts w:hint="eastAsia" w:ascii="仿宋" w:hAnsi="仿宋" w:eastAsia="仿宋" w:cs="仿宋"/>
          <w:color w:val="auto"/>
          <w:kern w:val="0"/>
          <w:sz w:val="24"/>
          <w:highlight w:val="none"/>
          <w:lang w:val="en-US" w:eastAsia="zh-CN"/>
        </w:rPr>
        <w:t>月</w:t>
      </w:r>
      <w:r>
        <w:rPr>
          <w:rFonts w:hint="eastAsia" w:ascii="仿宋" w:hAnsi="仿宋" w:eastAsia="仿宋" w:cs="仿宋"/>
          <w:color w:val="auto"/>
          <w:kern w:val="0"/>
          <w:sz w:val="24"/>
          <w:highlight w:val="none"/>
          <w:lang w:eastAsia="zh-CN"/>
        </w:rPr>
        <w:t>结算一次。每次结算先从预付款中扣回，待预付款金额全额扣回后，继续支付。维修养护管理服务经费每年分12个月拨付，第二个月初（一般为每月10日左右）支付前一个月合同价款的1/12，第13个月份结清当年养护经费（含调整费用）。</w:t>
      </w:r>
    </w:p>
    <w:p>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3）考核付款：</w:t>
      </w:r>
      <w:r>
        <w:rPr>
          <w:rFonts w:hint="eastAsia" w:ascii="仿宋" w:hAnsi="仿宋" w:eastAsia="仿宋" w:cs="仿宋"/>
          <w:color w:val="auto"/>
          <w:kern w:val="0"/>
          <w:sz w:val="24"/>
          <w:highlight w:val="none"/>
          <w:lang w:eastAsia="zh-CN"/>
        </w:rPr>
        <w:t>维修养护管理服务经费支付结合每月考核情况，具体方法为：</w:t>
      </w:r>
    </w:p>
    <w:p>
      <w:pPr>
        <w:tabs>
          <w:tab w:val="left" w:pos="0"/>
        </w:tabs>
        <w:spacing w:line="360" w:lineRule="auto"/>
        <w:ind w:firstLine="480"/>
        <w:rPr>
          <w:rFonts w:hint="eastAsia" w:ascii="仿宋" w:hAnsi="仿宋" w:eastAsia="仿宋" w:cs="仿宋"/>
          <w:color w:val="auto"/>
          <w:kern w:val="0"/>
          <w:sz w:val="24"/>
          <w:highlight w:val="none"/>
          <w:lang w:eastAsia="zh-CN"/>
        </w:rPr>
      </w:pPr>
      <w:r>
        <w:rPr>
          <w:rFonts w:hint="default" w:ascii="仿宋" w:hAnsi="仿宋" w:eastAsia="仿宋" w:cs="仿宋"/>
          <w:color w:val="auto"/>
          <w:kern w:val="0"/>
          <w:sz w:val="24"/>
          <w:highlight w:val="none"/>
          <w:lang w:eastAsia="zh-CN"/>
        </w:rPr>
        <w:t>①</w:t>
      </w:r>
      <w:r>
        <w:rPr>
          <w:rFonts w:hint="eastAsia" w:ascii="仿宋" w:hAnsi="仿宋" w:eastAsia="仿宋" w:cs="仿宋"/>
          <w:color w:val="auto"/>
          <w:kern w:val="0"/>
          <w:sz w:val="24"/>
          <w:highlight w:val="none"/>
          <w:lang w:eastAsia="zh-CN"/>
        </w:rPr>
        <w:t>月考核分在90分以上的为合格，全额拨付月</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lang w:eastAsia="zh-CN"/>
        </w:rPr>
        <w:t>经费；</w:t>
      </w:r>
    </w:p>
    <w:p>
      <w:pPr>
        <w:tabs>
          <w:tab w:val="left" w:pos="0"/>
        </w:tabs>
        <w:spacing w:line="360" w:lineRule="auto"/>
        <w:ind w:firstLine="480"/>
        <w:rPr>
          <w:rFonts w:hint="eastAsia" w:ascii="仿宋" w:hAnsi="仿宋" w:eastAsia="仿宋" w:cs="仿宋"/>
          <w:color w:val="auto"/>
          <w:kern w:val="0"/>
          <w:sz w:val="24"/>
          <w:highlight w:val="none"/>
          <w:lang w:eastAsia="zh-CN"/>
        </w:rPr>
      </w:pPr>
      <w:r>
        <w:rPr>
          <w:rFonts w:hint="default" w:ascii="仿宋" w:hAnsi="仿宋" w:eastAsia="仿宋" w:cs="仿宋"/>
          <w:color w:val="auto"/>
          <w:kern w:val="0"/>
          <w:sz w:val="24"/>
          <w:highlight w:val="none"/>
          <w:lang w:eastAsia="zh-CN"/>
        </w:rPr>
        <w:t>②</w:t>
      </w:r>
      <w:r>
        <w:rPr>
          <w:rFonts w:hint="eastAsia" w:ascii="仿宋" w:hAnsi="仿宋" w:eastAsia="仿宋" w:cs="仿宋"/>
          <w:color w:val="auto"/>
          <w:kern w:val="0"/>
          <w:sz w:val="24"/>
          <w:highlight w:val="none"/>
          <w:lang w:eastAsia="zh-CN"/>
        </w:rPr>
        <w:t>月考核分在90（含）-8</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分（含）之间的，</w:t>
      </w:r>
      <w:r>
        <w:rPr>
          <w:rFonts w:hint="eastAsia" w:ascii="仿宋" w:hAnsi="仿宋" w:eastAsia="仿宋" w:cs="仿宋"/>
          <w:color w:val="auto"/>
          <w:kern w:val="0"/>
          <w:sz w:val="24"/>
          <w:highlight w:val="none"/>
          <w:lang w:val="en-US" w:eastAsia="zh-CN"/>
        </w:rPr>
        <w:t>以90分为基准，</w:t>
      </w:r>
      <w:r>
        <w:rPr>
          <w:rFonts w:hint="eastAsia" w:ascii="仿宋" w:hAnsi="仿宋" w:eastAsia="仿宋" w:cs="仿宋"/>
          <w:color w:val="auto"/>
          <w:kern w:val="0"/>
          <w:sz w:val="24"/>
          <w:highlight w:val="none"/>
          <w:lang w:eastAsia="zh-CN"/>
        </w:rPr>
        <w:t>每下降1分扣月</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lang w:eastAsia="zh-CN"/>
        </w:rPr>
        <w:t>经费的5个百分点；</w:t>
      </w:r>
    </w:p>
    <w:p>
      <w:pPr>
        <w:tabs>
          <w:tab w:val="left" w:pos="0"/>
        </w:tabs>
        <w:spacing w:line="360" w:lineRule="auto"/>
        <w:ind w:firstLine="480"/>
        <w:rPr>
          <w:rFonts w:hint="eastAsia" w:ascii="仿宋" w:hAnsi="仿宋" w:eastAsia="仿宋" w:cs="仿宋"/>
          <w:color w:val="auto"/>
          <w:kern w:val="0"/>
          <w:sz w:val="24"/>
          <w:highlight w:val="none"/>
          <w:lang w:eastAsia="zh-CN"/>
        </w:rPr>
      </w:pPr>
      <w:r>
        <w:rPr>
          <w:rFonts w:hint="default" w:ascii="仿宋" w:hAnsi="仿宋" w:eastAsia="仿宋" w:cs="仿宋"/>
          <w:color w:val="auto"/>
          <w:kern w:val="0"/>
          <w:sz w:val="24"/>
          <w:highlight w:val="none"/>
          <w:lang w:eastAsia="zh-CN"/>
        </w:rPr>
        <w:t>③</w:t>
      </w:r>
      <w:r>
        <w:rPr>
          <w:rFonts w:hint="eastAsia" w:ascii="仿宋" w:hAnsi="仿宋" w:eastAsia="仿宋" w:cs="仿宋"/>
          <w:color w:val="auto"/>
          <w:kern w:val="0"/>
          <w:sz w:val="24"/>
          <w:highlight w:val="none"/>
          <w:lang w:eastAsia="zh-CN"/>
        </w:rPr>
        <w:t>考核分在85-8</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eastAsia="zh-CN"/>
        </w:rPr>
        <w:t>分（含）之间，</w:t>
      </w:r>
      <w:r>
        <w:rPr>
          <w:rFonts w:hint="eastAsia" w:ascii="仿宋" w:hAnsi="仿宋" w:eastAsia="仿宋" w:cs="仿宋"/>
          <w:color w:val="auto"/>
          <w:kern w:val="0"/>
          <w:sz w:val="24"/>
          <w:highlight w:val="none"/>
          <w:lang w:val="en-US" w:eastAsia="zh-CN"/>
        </w:rPr>
        <w:t>以90分为基准，</w:t>
      </w:r>
      <w:r>
        <w:rPr>
          <w:rFonts w:hint="eastAsia" w:ascii="仿宋" w:hAnsi="仿宋" w:eastAsia="仿宋" w:cs="仿宋"/>
          <w:color w:val="auto"/>
          <w:kern w:val="0"/>
          <w:sz w:val="24"/>
          <w:highlight w:val="none"/>
          <w:lang w:eastAsia="zh-CN"/>
        </w:rPr>
        <w:t>每下降1分扣月</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lang w:eastAsia="zh-CN"/>
        </w:rPr>
        <w:t>经费的10个百分点；</w:t>
      </w:r>
    </w:p>
    <w:p>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④考核分在80分及以下的，不予拨付月</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lang w:eastAsia="zh-CN"/>
        </w:rPr>
        <w:t>经费；</w:t>
      </w:r>
    </w:p>
    <w:p>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⑤考核分数有小数点的，以其整数作为考核拨款依据；根据考核评分结果核拨月</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lang w:eastAsia="zh-CN"/>
        </w:rPr>
        <w:t>经费。</w:t>
      </w:r>
    </w:p>
    <w:p>
      <w:pPr>
        <w:tabs>
          <w:tab w:val="left" w:pos="0"/>
        </w:tabs>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⑥</w:t>
      </w:r>
      <w:r>
        <w:rPr>
          <w:rFonts w:hint="eastAsia" w:ascii="仿宋" w:hAnsi="仿宋" w:eastAsia="仿宋" w:cs="仿宋"/>
          <w:color w:val="auto"/>
          <w:kern w:val="0"/>
          <w:sz w:val="24"/>
          <w:highlight w:val="none"/>
          <w:lang w:val="en-US" w:eastAsia="zh-CN"/>
        </w:rPr>
        <w:t>其他考核项：被媒体曝光处罚1000元/次，被我处巡查发现一次黑灯处罚500元/次，被市长电话举报查实的处罚500元/次。</w:t>
      </w:r>
    </w:p>
    <w:p>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⑦中标人的履约保证金视考核情况酌情退还；</w:t>
      </w:r>
    </w:p>
    <w:p>
      <w:pPr>
        <w:tabs>
          <w:tab w:val="left" w:pos="0"/>
        </w:tabs>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⑧当有连续2个月或全年累计达3个月考核不合格的，将取消中标单位照明设施设备维修养护管理服务资格，履约保证金不予退还。</w:t>
      </w:r>
    </w:p>
    <w:p>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每次付款前，中标人应开具正规、足额的发票，否则甲方有权拒绝付款。</w:t>
      </w:r>
    </w:p>
    <w:p>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在签订合同时，中标人明确表示无需预付款或者主动要求降低预付款比例的，以中标人意愿为准。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lang w:val="en-US" w:eastAsia="zh-CN"/>
        </w:rPr>
        <w:t>5</w:t>
      </w:r>
      <w:r>
        <w:rPr>
          <w:rFonts w:hint="eastAsia" w:ascii="仿宋" w:hAnsi="仿宋" w:eastAsia="仿宋" w:cs="仿宋"/>
          <w:b/>
          <w:color w:val="auto"/>
          <w:kern w:val="0"/>
          <w:sz w:val="24"/>
          <w:highlight w:val="none"/>
        </w:rPr>
        <w:t>、履约保证金：</w:t>
      </w:r>
      <w:r>
        <w:rPr>
          <w:rFonts w:hint="eastAsia" w:ascii="仿宋" w:hAnsi="仿宋" w:eastAsia="仿宋" w:cs="仿宋"/>
          <w:color w:val="auto"/>
          <w:kern w:val="0"/>
          <w:sz w:val="24"/>
          <w:highlight w:val="none"/>
        </w:rPr>
        <w:t>为保障本合同相关条款顺利履行，中标人应向采购人交纳履约保证金。</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.1履约保证金金额：</w:t>
      </w:r>
      <w:r>
        <w:rPr>
          <w:rFonts w:hint="eastAsia" w:ascii="仿宋" w:hAnsi="仿宋" w:eastAsia="仿宋" w:cs="仿宋"/>
          <w:color w:val="auto"/>
          <w:kern w:val="0"/>
          <w:sz w:val="24"/>
          <w:highlight w:val="none"/>
          <w:lang w:val="en-US" w:eastAsia="zh-CN"/>
        </w:rPr>
        <w:t>年</w:t>
      </w:r>
      <w:r>
        <w:rPr>
          <w:rFonts w:hint="eastAsia" w:ascii="仿宋" w:hAnsi="仿宋" w:eastAsia="仿宋" w:cs="仿宋"/>
          <w:color w:val="auto"/>
          <w:kern w:val="0"/>
          <w:sz w:val="24"/>
          <w:highlight w:val="none"/>
        </w:rPr>
        <w:t>合同总金额的</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.2履约保证金形式：电汇、转账支票（仅限于使用宁波大市区范围内的银行开具的支票）、银行保函、保险保单等；</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.3履约保证金提交时间：合同签订后15个工作日内；</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.4履约保证金的退还：在合同履行完毕，完成验收手续后一周内无息退还（如中标人未能履行合同规定的任何义务，采购人有权从履约保证金中得到相应补偿）；</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.5履约保证金在中标人履行合同规定义务期间必须保持有效，若发生履约保证金扣罚情形的，在扣罚后须补足履约保证金金额；</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6履约保证金不予退还或扣除情形：①因中标人原因导致本合同被解除的，中标人除承担相关责任外，采购人还将罚没成交供应商履约保证金。②中标人未能履行合同规定的任何义务给采购人造成直接或间接损失的，采购人有权直接从履约保证金中扣除。③中标人无正当理由拖延或拒绝履行合同规定的任何义务，经书面催告后在合理期限内仍不履行的，采购人有权扣除全部履约保证金，并另行追索违约赔偿金。④中标人提供的服务须和投标文件中所承诺的相符（合同中另有规定除外），如不符，并造成损失的，采购人有权从履约保证金中扣除。</w:t>
      </w:r>
    </w:p>
    <w:p>
      <w:pPr>
        <w:tabs>
          <w:tab w:val="left" w:pos="0"/>
        </w:tabs>
        <w:spacing w:line="360" w:lineRule="auto"/>
        <w:ind w:firstLine="48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rPr>
        <w:t>、合同终止：</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标人在合同有效期内，不得以任何理由终止合同，确有特殊情况的，须提前两个月向采购单位提出书面申请，经采购单位同意后，方可终止合同，同时酌情扣除履约保证金。因中标单位不能保证工作质量，或发生重大差错事故的，采购单位可有权终止协议，中标单位承担全部责任。</w:t>
      </w:r>
    </w:p>
    <w:p>
      <w:pPr>
        <w:tabs>
          <w:tab w:val="left" w:pos="0"/>
        </w:tabs>
        <w:spacing w:line="360" w:lineRule="auto"/>
        <w:ind w:firstLine="48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7</w:t>
      </w:r>
      <w:r>
        <w:rPr>
          <w:rFonts w:hint="eastAsia" w:ascii="仿宋" w:hAnsi="仿宋" w:eastAsia="仿宋" w:cs="仿宋"/>
          <w:b/>
          <w:color w:val="auto"/>
          <w:kern w:val="0"/>
          <w:sz w:val="24"/>
          <w:highlight w:val="none"/>
        </w:rPr>
        <w:t>、产品及服务质量保证：</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投标人保证所供的设备（主要指灯具、电缆）必须是出厂原装合格产品，如发生所供的设备与现场实际不符，采购人有权要求重新更换，由此产生的一切责任和后果由投标人承担。</w:t>
      </w:r>
    </w:p>
    <w:p>
      <w:pPr>
        <w:pStyle w:val="25"/>
        <w:rPr>
          <w:rFonts w:hint="eastAsia" w:ascii="仿宋" w:hAnsi="仿宋" w:eastAsia="仿宋" w:cs="仿宋"/>
          <w:color w:val="auto"/>
          <w:kern w:val="0"/>
          <w:sz w:val="24"/>
          <w:highlight w:val="none"/>
        </w:rPr>
      </w:pPr>
    </w:p>
    <w:p>
      <w:pPr>
        <w:spacing w:before="156" w:beforeLines="50" w:after="156" w:afterLines="50" w:line="500" w:lineRule="exact"/>
        <w:rPr>
          <w:rFonts w:hint="eastAsia" w:ascii="仿宋" w:hAnsi="仿宋" w:eastAsia="仿宋" w:cs="仿宋"/>
          <w:b/>
          <w:color w:val="auto"/>
          <w:kern w:val="0"/>
          <w:sz w:val="24"/>
          <w:highlight w:val="none"/>
        </w:rPr>
      </w:pPr>
      <w:r>
        <w:rPr>
          <w:rFonts w:hint="eastAsia" w:ascii="宋体" w:hAnsi="宋体" w:cs="宋体"/>
          <w:b/>
          <w:bCs/>
          <w:color w:val="auto"/>
          <w:kern w:val="0"/>
          <w:sz w:val="32"/>
          <w:szCs w:val="32"/>
          <w:highlight w:val="none"/>
        </w:rPr>
        <w:br w:type="page"/>
      </w:r>
      <w:r>
        <w:rPr>
          <w:rFonts w:hint="eastAsia" w:ascii="仿宋" w:hAnsi="仿宋" w:eastAsia="仿宋" w:cs="仿宋"/>
          <w:b/>
          <w:color w:val="auto"/>
          <w:kern w:val="0"/>
          <w:sz w:val="24"/>
          <w:highlight w:val="none"/>
        </w:rPr>
        <w:t>附件一</w:t>
      </w:r>
    </w:p>
    <w:p>
      <w:pPr>
        <w:tabs>
          <w:tab w:val="left" w:pos="0"/>
        </w:tabs>
        <w:spacing w:line="360" w:lineRule="auto"/>
        <w:ind w:firstLine="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奉化城区照明设施维护质量考核办法（暂行）</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第一条  </w:t>
      </w:r>
      <w:r>
        <w:rPr>
          <w:rFonts w:hint="eastAsia" w:ascii="仿宋" w:hAnsi="仿宋" w:eastAsia="仿宋" w:cs="仿宋"/>
          <w:color w:val="auto"/>
          <w:kern w:val="0"/>
          <w:sz w:val="24"/>
          <w:highlight w:val="none"/>
          <w:lang w:val="en-US" w:eastAsia="zh-CN"/>
        </w:rPr>
        <w:t>为加强我区城区照明设施维护管理，提高照明设施维护质量，根据《宁波市城市照明管理办法》、《奉化区城市照明设施管理暂行规定》及相关文件规定，结合本区实际情况，制订本办法。</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第二条  </w:t>
      </w:r>
      <w:r>
        <w:rPr>
          <w:rFonts w:hint="eastAsia" w:ascii="仿宋" w:hAnsi="仿宋" w:eastAsia="仿宋" w:cs="仿宋"/>
          <w:color w:val="auto"/>
          <w:kern w:val="0"/>
          <w:sz w:val="24"/>
          <w:highlight w:val="none"/>
          <w:lang w:val="en-US" w:eastAsia="zh-CN"/>
        </w:rPr>
        <w:t>区综合行政执法局主管本区照明设施维护的监督管理，区路灯管理服务处负责做好日常具体工作。</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第三条  </w:t>
      </w:r>
      <w:r>
        <w:rPr>
          <w:rFonts w:hint="eastAsia" w:ascii="仿宋" w:hAnsi="仿宋" w:eastAsia="仿宋" w:cs="仿宋"/>
          <w:color w:val="auto"/>
          <w:kern w:val="0"/>
          <w:sz w:val="24"/>
          <w:highlight w:val="none"/>
          <w:lang w:val="en-US" w:eastAsia="zh-CN"/>
        </w:rPr>
        <w:t xml:space="preserve">城区照明设施维护考核管理部门应当成立照明设施维护督查考核组，督查工作由区路灯管理服务处负责实施，每月考核不少于二次，每季一次公示考核成绩。    </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第四条  </w:t>
      </w:r>
      <w:r>
        <w:rPr>
          <w:rFonts w:hint="eastAsia" w:ascii="仿宋" w:hAnsi="仿宋" w:eastAsia="仿宋" w:cs="仿宋"/>
          <w:color w:val="auto"/>
          <w:kern w:val="0"/>
          <w:sz w:val="24"/>
          <w:highlight w:val="none"/>
          <w:lang w:val="en-US" w:eastAsia="zh-CN"/>
        </w:rPr>
        <w:t>城区照明设施维护以随机抽查、定期检查等二种方式评定维护质量，考核方式，采取夜间检查、查阅资料、市民调查等形式进行考核，并以其考核得分作为核拨照明设施维护经费的主要依据。</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第五条  </w:t>
      </w:r>
      <w:r>
        <w:rPr>
          <w:rFonts w:hint="eastAsia" w:ascii="仿宋" w:hAnsi="仿宋" w:eastAsia="仿宋" w:cs="仿宋"/>
          <w:color w:val="auto"/>
          <w:kern w:val="0"/>
          <w:sz w:val="24"/>
          <w:highlight w:val="none"/>
          <w:lang w:val="en-US" w:eastAsia="zh-CN"/>
        </w:rPr>
        <w:t>城区照明设施维护考核每月度评分一次，评分采取百分制。月考核分值构成：随机抽查+定期检查的平均值。月度考核得分在90分以上（不含90分）的为合格，90分以下（含90分）的为不合格。</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第六条  </w:t>
      </w:r>
      <w:r>
        <w:rPr>
          <w:rFonts w:hint="eastAsia" w:ascii="仿宋" w:hAnsi="仿宋" w:eastAsia="仿宋" w:cs="仿宋"/>
          <w:color w:val="auto"/>
          <w:kern w:val="0"/>
          <w:sz w:val="24"/>
          <w:highlight w:val="none"/>
          <w:lang w:val="en-US" w:eastAsia="zh-CN"/>
        </w:rPr>
        <w:t>城区照明设施维护考核内容、标准及评分方法：</w:t>
      </w:r>
      <w:r>
        <w:rPr>
          <w:rFonts w:hint="eastAsia" w:ascii="仿宋" w:hAnsi="仿宋" w:eastAsia="仿宋" w:cs="仿宋"/>
          <w:color w:val="auto"/>
          <w:kern w:val="0"/>
          <w:sz w:val="24"/>
          <w:highlight w:val="none"/>
          <w:lang w:val="en-US" w:eastAsia="zh-CN"/>
        </w:rPr>
        <w:tab/>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一、照明设施维护质量：更换照明设施相关配件，规格、型号必须合格，品牌、价格不低于原装产品。做好照明设施定期清扫保洁工作（每季度不少于1次）。标准分15分。评分方法：发现一处不合格扣2分。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二、照明设施亮灯率： 确保日常照明设施亮灯率达99%（发生故障处在正常维修时间内的除外）。标准分20分。评分方法：亮灯率为每周抽查一次，每月统计四次，每次统计结果低于99%扣5分。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三、照明设施日常巡查：每日开展照明设施状况巡查维修，夜间进行黑灯巡查维修，确保照明设施设备正常运行；同时将每日工作内容、每周巡查维护记录、每月工作小结台账资料报区路灯管理服务处。标准分15分。评分方法：每少巡查一次扣3分，每少一次巡查记录、维护记录、工作小结台账资料扣2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四、照明设施日常维修：对照明设施发生故障不亮，须在一小时内到现场进行检修；对因照明设施内部电路源器件损坏造成照明设施不亮时，必须当天（原则上在故障发生后一小时内）更换维修；对控制柜、电缆损坏或被盗造成照明设施不亮时，必须立即赶到现场进行检修且在不超过两日内进行恢复施工。标准分20分。评分方法：每发现一次不维修或未在规定的时间内维修扣5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五、照明设施正常按时运行：所有照明设施设施开启、关闭时间正常。特殊情况（因维修或调整时间）须向区路灯管理服务处提前通知。标准分5分。评分方法：发现1次不能在正常的时间内亮灯、关灯扣1分。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六、安全生产及文明施工：编制安全事故应急预案，年内无重大事故和安全生产事故发生。坚持文明施工，戴安全帽，着工作服。维护作业时，放置警示标志，作业人员配备必要的防坠落、防触电设备，作业完毕及时清理现场。标准分10分。评分方法：年内发生重大事故一次，取消维护资格；发生安全生产事故一次扣10分，二次以上取消维护资格；其他每发现一次扣2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七、及时处理市民、媒体、数字城管、区长电话反映的问题。设立照明设施问题举报电话；电话投诉记录、处理结果和反馈记录齐全。接到举报时须在2小时内组织人员到现场勘察，确定处理措施。一时难以在规定时间内解决的，应向举报人说明原因。标准分15分。评分方法：每发现一次对举报的问题没有及时处理或敷衍的扣5分，被政府督办及媒体暴光的每一次扣10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八、对市民反映且属实的照明设施管护上存在的问题（亮灯率、日常巡查、维修及时率等），将对照所涉及的考核内容及其标准予以扣分。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第七条  </w:t>
      </w:r>
      <w:r>
        <w:rPr>
          <w:rFonts w:hint="eastAsia" w:ascii="仿宋" w:hAnsi="仿宋" w:eastAsia="仿宋" w:cs="仿宋"/>
          <w:color w:val="auto"/>
          <w:kern w:val="0"/>
          <w:sz w:val="24"/>
          <w:highlight w:val="none"/>
          <w:lang w:val="en-US" w:eastAsia="zh-CN"/>
        </w:rPr>
        <w:t xml:space="preserve">城区照明设施考核结果应用： </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default" w:ascii="仿宋" w:hAnsi="仿宋" w:eastAsia="仿宋" w:cs="仿宋"/>
          <w:color w:val="auto"/>
          <w:kern w:val="0"/>
          <w:sz w:val="24"/>
          <w:highlight w:val="none"/>
          <w:lang w:val="en-US" w:eastAsia="zh-CN"/>
        </w:rPr>
        <w:t>①</w:t>
      </w:r>
      <w:r>
        <w:rPr>
          <w:rFonts w:hint="eastAsia" w:ascii="仿宋" w:hAnsi="仿宋" w:eastAsia="仿宋" w:cs="仿宋"/>
          <w:color w:val="auto"/>
          <w:kern w:val="0"/>
          <w:sz w:val="24"/>
          <w:highlight w:val="none"/>
          <w:lang w:val="en-US" w:eastAsia="zh-CN"/>
        </w:rPr>
        <w:t>月考核分在90分以上的为合格，全额拨付月服务经费；</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default" w:ascii="仿宋" w:hAnsi="仿宋" w:eastAsia="仿宋" w:cs="仿宋"/>
          <w:color w:val="auto"/>
          <w:kern w:val="0"/>
          <w:sz w:val="24"/>
          <w:highlight w:val="none"/>
          <w:lang w:val="en-US" w:eastAsia="zh-CN"/>
        </w:rPr>
        <w:t>②</w:t>
      </w:r>
      <w:r>
        <w:rPr>
          <w:rFonts w:hint="eastAsia" w:ascii="仿宋" w:hAnsi="仿宋" w:eastAsia="仿宋" w:cs="仿宋"/>
          <w:color w:val="auto"/>
          <w:kern w:val="0"/>
          <w:sz w:val="24"/>
          <w:highlight w:val="none"/>
          <w:lang w:val="en-US" w:eastAsia="zh-CN"/>
        </w:rPr>
        <w:t>月考核分在90（含）-85分（含）之间的，以90分为基准，每下降1分扣月服务经费的5个百分点；</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default" w:ascii="仿宋" w:hAnsi="仿宋" w:eastAsia="仿宋" w:cs="仿宋"/>
          <w:color w:val="auto"/>
          <w:kern w:val="0"/>
          <w:sz w:val="24"/>
          <w:highlight w:val="none"/>
          <w:lang w:val="en-US" w:eastAsia="zh-CN"/>
        </w:rPr>
        <w:t>③</w:t>
      </w:r>
      <w:r>
        <w:rPr>
          <w:rFonts w:hint="eastAsia" w:ascii="仿宋" w:hAnsi="仿宋" w:eastAsia="仿宋" w:cs="仿宋"/>
          <w:color w:val="auto"/>
          <w:kern w:val="0"/>
          <w:sz w:val="24"/>
          <w:highlight w:val="none"/>
          <w:lang w:val="en-US" w:eastAsia="zh-CN"/>
        </w:rPr>
        <w:t>考核分在85-80分（含）之间，以90分为基准，每下降1分扣月服务经费的10个百分点；</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④考核分在80分及以下的，不予拨付月服务经费；</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连续二个月或全年累计三个月考核不合格的，将取消中标单位照明设施维护资格；考核分数有小数点的，以其整数作为考核拨款依据；根据考核评分结果核拨月维护经费。</w:t>
      </w:r>
    </w:p>
    <w:p>
      <w:pPr>
        <w:tabs>
          <w:tab w:val="left" w:pos="0"/>
        </w:tabs>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其他考核项：被媒体曝光处罚1000元/次，被我处巡查发现一次黑灯处罚500元/次，被市长电话举报查实的处罚500元/次。</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第八条  </w:t>
      </w:r>
      <w:r>
        <w:rPr>
          <w:rFonts w:hint="eastAsia" w:ascii="仿宋" w:hAnsi="仿宋" w:eastAsia="仿宋" w:cs="仿宋"/>
          <w:color w:val="auto"/>
          <w:kern w:val="0"/>
          <w:sz w:val="24"/>
          <w:highlight w:val="none"/>
          <w:lang w:val="en-US" w:eastAsia="zh-CN"/>
        </w:rPr>
        <w:t>本办法由宁波市奉化区园林管理处（路灯管理服务处）负责解释。</w:t>
      </w:r>
    </w:p>
    <w:p>
      <w:pPr>
        <w:widowControl/>
        <w:spacing w:line="440" w:lineRule="atLeast"/>
        <w:jc w:val="center"/>
        <w:rPr>
          <w:rFonts w:hint="eastAsia" w:ascii="黑体" w:hAnsi="宋体" w:eastAsia="黑体" w:cs="宋体"/>
          <w:color w:val="auto"/>
          <w:kern w:val="0"/>
          <w:sz w:val="36"/>
          <w:szCs w:val="36"/>
          <w:highlight w:val="none"/>
        </w:rPr>
      </w:pPr>
    </w:p>
    <w:p>
      <w:pPr>
        <w:widowControl/>
        <w:spacing w:line="440" w:lineRule="atLeast"/>
        <w:jc w:val="center"/>
        <w:rPr>
          <w:rFonts w:hint="eastAsia" w:ascii="仿宋" w:hAnsi="仿宋" w:eastAsia="仿宋" w:cs="仿宋"/>
          <w:b/>
          <w:color w:val="auto"/>
          <w:kern w:val="0"/>
          <w:sz w:val="32"/>
          <w:szCs w:val="32"/>
          <w:highlight w:val="none"/>
        </w:rPr>
      </w:pPr>
      <w:r>
        <w:rPr>
          <w:rFonts w:hint="eastAsia" w:ascii="黑体" w:hAnsi="宋体" w:eastAsia="黑体" w:cs="宋体"/>
          <w:color w:val="auto"/>
          <w:kern w:val="0"/>
          <w:sz w:val="36"/>
          <w:szCs w:val="36"/>
          <w:highlight w:val="none"/>
        </w:rPr>
        <w:br w:type="page"/>
      </w:r>
      <w:r>
        <w:rPr>
          <w:rFonts w:hint="eastAsia" w:ascii="仿宋" w:hAnsi="仿宋" w:eastAsia="仿宋" w:cs="仿宋"/>
          <w:b/>
          <w:color w:val="auto"/>
          <w:kern w:val="0"/>
          <w:sz w:val="32"/>
          <w:szCs w:val="32"/>
          <w:highlight w:val="none"/>
        </w:rPr>
        <w:t>照明设施维护月度考核表</w:t>
      </w:r>
    </w:p>
    <w:tbl>
      <w:tblPr>
        <w:tblStyle w:val="14"/>
        <w:tblW w:w="10179" w:type="dxa"/>
        <w:tblInd w:w="-432" w:type="dxa"/>
        <w:tblLayout w:type="fixed"/>
        <w:tblCellMar>
          <w:top w:w="0" w:type="dxa"/>
          <w:left w:w="108" w:type="dxa"/>
          <w:bottom w:w="0" w:type="dxa"/>
          <w:right w:w="108" w:type="dxa"/>
        </w:tblCellMar>
      </w:tblPr>
      <w:tblGrid>
        <w:gridCol w:w="1800"/>
        <w:gridCol w:w="4860"/>
        <w:gridCol w:w="2700"/>
        <w:gridCol w:w="819"/>
      </w:tblGrid>
      <w:tr>
        <w:tblPrEx>
          <w:tblCellMar>
            <w:top w:w="0" w:type="dxa"/>
            <w:left w:w="108" w:type="dxa"/>
            <w:bottom w:w="0" w:type="dxa"/>
            <w:right w:w="108" w:type="dxa"/>
          </w:tblCellMar>
        </w:tblPrEx>
        <w:trPr>
          <w:trHeight w:val="537"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lang w:val="en-US" w:eastAsia="zh-CN"/>
              </w:rPr>
              <w:t>考核项目</w:t>
            </w:r>
          </w:p>
        </w:tc>
        <w:tc>
          <w:tcPr>
            <w:tcW w:w="486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lang w:val="en-US" w:eastAsia="zh-CN"/>
              </w:rPr>
              <w:t>考核要求</w:t>
            </w:r>
          </w:p>
        </w:tc>
        <w:tc>
          <w:tcPr>
            <w:tcW w:w="27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lang w:val="en-US" w:eastAsia="zh-CN"/>
              </w:rPr>
              <w:t>评分标准</w:t>
            </w:r>
          </w:p>
        </w:tc>
        <w:tc>
          <w:tcPr>
            <w:tcW w:w="819"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lang w:val="en-US" w:eastAsia="zh-CN"/>
              </w:rPr>
              <w:t>得分</w:t>
            </w:r>
          </w:p>
        </w:tc>
      </w:tr>
      <w:tr>
        <w:tblPrEx>
          <w:tblCellMar>
            <w:top w:w="0" w:type="dxa"/>
            <w:left w:w="108" w:type="dxa"/>
            <w:bottom w:w="0" w:type="dxa"/>
            <w:right w:w="108" w:type="dxa"/>
          </w:tblCellMar>
        </w:tblPrEx>
        <w:trPr>
          <w:trHeight w:val="1118"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照明设施</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维护质量</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（15分）</w:t>
            </w:r>
          </w:p>
        </w:tc>
        <w:tc>
          <w:tcPr>
            <w:tcW w:w="486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更换照明设施相关配件，规格、型号必须合格，品牌、价</w:t>
            </w:r>
            <w:r>
              <w:rPr>
                <w:rFonts w:hint="eastAsia" w:ascii="仿宋" w:hAnsi="仿宋" w:eastAsia="仿宋" w:cs="Times New Roman"/>
                <w:color w:val="auto"/>
                <w:highlight w:val="none"/>
                <w:lang w:val="en-US" w:eastAsia="zh-CN"/>
              </w:rPr>
              <w:t>格不低于原装产品。做好照明设施定期清扫保洁工作（每季度不少于1次）。</w:t>
            </w:r>
          </w:p>
        </w:tc>
        <w:tc>
          <w:tcPr>
            <w:tcW w:w="270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发现一处不合格扣2分</w:t>
            </w:r>
          </w:p>
        </w:tc>
        <w:tc>
          <w:tcPr>
            <w:tcW w:w="819"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p>
        </w:tc>
      </w:tr>
      <w:tr>
        <w:tblPrEx>
          <w:tblCellMar>
            <w:top w:w="0" w:type="dxa"/>
            <w:left w:w="108" w:type="dxa"/>
            <w:bottom w:w="0" w:type="dxa"/>
            <w:right w:w="108" w:type="dxa"/>
          </w:tblCellMar>
        </w:tblPrEx>
        <w:trPr>
          <w:trHeight w:val="1417"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照明设施</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亮灯率</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（20分）</w:t>
            </w:r>
          </w:p>
        </w:tc>
        <w:tc>
          <w:tcPr>
            <w:tcW w:w="486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日常照明设施亮灯率达99%。 </w:t>
            </w:r>
          </w:p>
        </w:tc>
        <w:tc>
          <w:tcPr>
            <w:tcW w:w="270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每周抽查一次，每月统计四次照明设施亮灯率情况。每次统计结果低于99%扣5分</w:t>
            </w:r>
          </w:p>
        </w:tc>
        <w:tc>
          <w:tcPr>
            <w:tcW w:w="819"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p>
        </w:tc>
      </w:tr>
      <w:tr>
        <w:tblPrEx>
          <w:tblCellMar>
            <w:top w:w="0" w:type="dxa"/>
            <w:left w:w="108" w:type="dxa"/>
            <w:bottom w:w="0" w:type="dxa"/>
            <w:right w:w="108" w:type="dxa"/>
          </w:tblCellMar>
        </w:tblPrEx>
        <w:trPr>
          <w:trHeight w:val="1267"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照明设施</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日常巡查</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（15分）</w:t>
            </w:r>
          </w:p>
        </w:tc>
        <w:tc>
          <w:tcPr>
            <w:tcW w:w="486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每日开展照明设施状况巡查维修，夜间进行黑灯巡查维修，确保照明设施设备正常运行；同时将每日工作内容、每周巡查维护记录、每月工作小结台账资料报区路灯管理服务处。</w:t>
            </w:r>
          </w:p>
        </w:tc>
        <w:tc>
          <w:tcPr>
            <w:tcW w:w="270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每少巡查一次扣3分，每少一次巡查记录、维护记录、工作小结台账资料扣2分</w:t>
            </w:r>
          </w:p>
        </w:tc>
        <w:tc>
          <w:tcPr>
            <w:tcW w:w="819"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p>
        </w:tc>
      </w:tr>
      <w:tr>
        <w:tblPrEx>
          <w:tblCellMar>
            <w:top w:w="0" w:type="dxa"/>
            <w:left w:w="108" w:type="dxa"/>
            <w:bottom w:w="0" w:type="dxa"/>
            <w:right w:w="108" w:type="dxa"/>
          </w:tblCellMar>
        </w:tblPrEx>
        <w:trPr>
          <w:trHeight w:val="2089"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照明设施</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日常维护</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（20分）</w:t>
            </w:r>
          </w:p>
        </w:tc>
        <w:tc>
          <w:tcPr>
            <w:tcW w:w="486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设施发生故障不亮，须在一小时内到现场进行检修；因照明设施内部电路源器件损坏造成照明设施不亮时，须当天（原则上在故障发生后一小时内）更换维修；控制柜、电缆损坏或被盗造成照明设施不亮时，须立即赶到现场进行检修且在不超过两日内进行恢复施工。</w:t>
            </w:r>
          </w:p>
        </w:tc>
        <w:tc>
          <w:tcPr>
            <w:tcW w:w="270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每发现一次不维修或未在规定的时间内维修扣5分</w:t>
            </w:r>
          </w:p>
        </w:tc>
        <w:tc>
          <w:tcPr>
            <w:tcW w:w="819"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p>
        </w:tc>
      </w:tr>
      <w:tr>
        <w:tblPrEx>
          <w:tblCellMar>
            <w:top w:w="0" w:type="dxa"/>
            <w:left w:w="108" w:type="dxa"/>
            <w:bottom w:w="0" w:type="dxa"/>
            <w:right w:w="108" w:type="dxa"/>
          </w:tblCellMar>
        </w:tblPrEx>
        <w:trPr>
          <w:trHeight w:val="1112"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照明设施</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正常运行</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（5分）</w:t>
            </w:r>
          </w:p>
        </w:tc>
        <w:tc>
          <w:tcPr>
            <w:tcW w:w="486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照明设施开启、关闭时间正常。特殊情况（因维修或调整时间）须向市路灯管理服务处提前通知。</w:t>
            </w:r>
          </w:p>
        </w:tc>
        <w:tc>
          <w:tcPr>
            <w:tcW w:w="270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发现1次不能在正常的时间内亮灯、关灯扣1分</w:t>
            </w:r>
          </w:p>
        </w:tc>
        <w:tc>
          <w:tcPr>
            <w:tcW w:w="819"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p>
        </w:tc>
      </w:tr>
      <w:tr>
        <w:tblPrEx>
          <w:tblCellMar>
            <w:top w:w="0" w:type="dxa"/>
            <w:left w:w="108" w:type="dxa"/>
            <w:bottom w:w="0" w:type="dxa"/>
            <w:right w:w="108" w:type="dxa"/>
          </w:tblCellMar>
        </w:tblPrEx>
        <w:trPr>
          <w:trHeight w:val="1570"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安全生产</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文明施工</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(10分)</w:t>
            </w:r>
          </w:p>
        </w:tc>
        <w:tc>
          <w:tcPr>
            <w:tcW w:w="486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编制安全事故应急预案，年内无重大事故和安全生产事故发生。坚持文明施工，戴安全帽，着工作服。维护作业时，放置警示标志，作业人员配备必要的防坠落、防触电设备，作业完毕及时清理现场。</w:t>
            </w:r>
          </w:p>
        </w:tc>
        <w:tc>
          <w:tcPr>
            <w:tcW w:w="270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年内发生重大事故一次，取消维护资格；发生安全生产事故一次扣10分，二次以上取消维护资格；其他每发现一次扣2分。</w:t>
            </w:r>
          </w:p>
        </w:tc>
        <w:tc>
          <w:tcPr>
            <w:tcW w:w="819"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p>
        </w:tc>
      </w:tr>
      <w:tr>
        <w:tblPrEx>
          <w:tblCellMar>
            <w:top w:w="0" w:type="dxa"/>
            <w:left w:w="108" w:type="dxa"/>
            <w:bottom w:w="0" w:type="dxa"/>
            <w:right w:w="108" w:type="dxa"/>
          </w:tblCellMar>
        </w:tblPrEx>
        <w:trPr>
          <w:trHeight w:val="1862"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处理市民反映的问题</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（15分）</w:t>
            </w:r>
          </w:p>
        </w:tc>
        <w:tc>
          <w:tcPr>
            <w:tcW w:w="486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设立照明设施问题举报电话；电话投诉记录、处理结果和反馈记录齐全。接到举报时须在2小时内组织人员到现场勘察，确定处理措施。一时难以在规定时间内解决的，应向举报人说明原因。</w:t>
            </w:r>
          </w:p>
        </w:tc>
        <w:tc>
          <w:tcPr>
            <w:tcW w:w="270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每发现一次对举报的问题没有及时处理或敷衍的扣5分。政府督办、媒体暴光每次扣10分</w:t>
            </w:r>
          </w:p>
        </w:tc>
        <w:tc>
          <w:tcPr>
            <w:tcW w:w="819"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p>
        </w:tc>
      </w:tr>
      <w:tr>
        <w:tblPrEx>
          <w:tblCellMar>
            <w:top w:w="0" w:type="dxa"/>
            <w:left w:w="108" w:type="dxa"/>
            <w:bottom w:w="0" w:type="dxa"/>
            <w:right w:w="108" w:type="dxa"/>
          </w:tblCellMar>
        </w:tblPrEx>
        <w:trPr>
          <w:trHeight w:val="706"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累计得分</w:t>
            </w:r>
          </w:p>
        </w:tc>
        <w:tc>
          <w:tcPr>
            <w:tcW w:w="4860" w:type="dxa"/>
            <w:tcBorders>
              <w:top w:val="single" w:color="000000" w:sz="4" w:space="0"/>
              <w:left w:val="nil"/>
              <w:bottom w:val="single" w:color="000000" w:sz="4" w:space="0"/>
              <w:right w:val="single" w:color="000000" w:sz="4" w:space="0"/>
            </w:tcBorders>
            <w:noWrap w:val="0"/>
            <w:vAlign w:val="top"/>
          </w:tcPr>
          <w:p>
            <w:pPr>
              <w:jc w:val="left"/>
              <w:rPr>
                <w:rFonts w:hint="eastAsia" w:ascii="仿宋" w:hAnsi="仿宋" w:eastAsia="仿宋" w:cs="Times New Roman"/>
                <w:color w:val="auto"/>
                <w:highlight w:val="none"/>
                <w:lang w:val="en-US" w:eastAsia="zh-CN"/>
              </w:rPr>
            </w:pPr>
          </w:p>
        </w:tc>
        <w:tc>
          <w:tcPr>
            <w:tcW w:w="270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p>
        </w:tc>
        <w:tc>
          <w:tcPr>
            <w:tcW w:w="819" w:type="dxa"/>
            <w:tcBorders>
              <w:top w:val="single" w:color="000000" w:sz="4" w:space="0"/>
              <w:left w:val="nil"/>
              <w:bottom w:val="single" w:color="000000" w:sz="4" w:space="0"/>
              <w:right w:val="single" w:color="000000" w:sz="4" w:space="0"/>
            </w:tcBorders>
            <w:noWrap w:val="0"/>
            <w:vAlign w:val="top"/>
          </w:tcPr>
          <w:p>
            <w:pPr>
              <w:jc w:val="left"/>
              <w:rPr>
                <w:rFonts w:hint="eastAsia" w:ascii="仿宋" w:hAnsi="仿宋" w:eastAsia="仿宋" w:cs="Times New Roman"/>
                <w:color w:val="auto"/>
                <w:highlight w:val="none"/>
                <w:lang w:val="en-US" w:eastAsia="zh-CN"/>
              </w:rPr>
            </w:pPr>
          </w:p>
        </w:tc>
      </w:tr>
    </w:tbl>
    <w:p>
      <w:pPr>
        <w:pStyle w:val="25"/>
        <w:rPr>
          <w:rFonts w:hint="eastAsia" w:ascii="仿宋" w:hAnsi="仿宋" w:eastAsia="仿宋" w:cs="仿宋"/>
          <w:color w:val="auto"/>
          <w:kern w:val="0"/>
          <w:sz w:val="24"/>
          <w:highlight w:val="none"/>
        </w:rPr>
      </w:pPr>
    </w:p>
    <w:p>
      <w:pPr>
        <w:tabs>
          <w:tab w:val="left" w:pos="0"/>
        </w:tabs>
        <w:spacing w:line="360" w:lineRule="auto"/>
        <w:ind w:firstLine="480"/>
        <w:rPr>
          <w:rFonts w:hint="eastAsia" w:ascii="仿宋" w:hAnsi="仿宋" w:eastAsia="仿宋" w:cs="仿宋"/>
          <w:color w:val="auto"/>
          <w:kern w:val="0"/>
          <w:sz w:val="24"/>
          <w:highlight w:val="none"/>
        </w:rPr>
      </w:pPr>
    </w:p>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sz w:val="36"/>
          <w:szCs w:val="20"/>
          <w:highlight w:val="none"/>
        </w:rPr>
        <w:t xml:space="preserve">第四部分   </w:t>
      </w:r>
      <w:bookmarkStart w:id="27" w:name="_Toc184310314"/>
      <w:bookmarkEnd w:id="27"/>
      <w:bookmarkStart w:id="28" w:name="_Toc184312071"/>
      <w:bookmarkEnd w:id="28"/>
      <w:bookmarkStart w:id="29" w:name="_Toc184308070"/>
      <w:bookmarkEnd w:id="29"/>
      <w:bookmarkStart w:id="30" w:name="_Toc184308094"/>
      <w:bookmarkEnd w:id="30"/>
      <w:bookmarkStart w:id="31" w:name="_Toc184312115"/>
      <w:bookmarkEnd w:id="31"/>
      <w:bookmarkStart w:id="32" w:name="_Toc184308050"/>
      <w:bookmarkEnd w:id="32"/>
      <w:bookmarkStart w:id="33" w:name="_Toc184314455"/>
      <w:bookmarkEnd w:id="33"/>
      <w:bookmarkStart w:id="34" w:name="_Toc184312096"/>
      <w:bookmarkEnd w:id="34"/>
      <w:bookmarkStart w:id="35" w:name="_Toc184308102"/>
      <w:bookmarkEnd w:id="35"/>
      <w:bookmarkStart w:id="36" w:name="_Toc184312095"/>
      <w:bookmarkEnd w:id="36"/>
      <w:bookmarkStart w:id="37" w:name="_Toc184313243"/>
      <w:bookmarkEnd w:id="37"/>
      <w:bookmarkStart w:id="38" w:name="_Toc184313266"/>
      <w:bookmarkEnd w:id="38"/>
      <w:bookmarkStart w:id="39" w:name="_Toc184308101"/>
      <w:bookmarkEnd w:id="39"/>
      <w:bookmarkStart w:id="40" w:name="_Toc184308105"/>
      <w:bookmarkEnd w:id="40"/>
      <w:bookmarkStart w:id="41" w:name="_Toc184313265"/>
      <w:bookmarkEnd w:id="41"/>
      <w:bookmarkStart w:id="42" w:name="_Toc184310296"/>
      <w:bookmarkEnd w:id="42"/>
      <w:bookmarkStart w:id="43" w:name="_Toc184310337"/>
      <w:bookmarkEnd w:id="43"/>
      <w:bookmarkStart w:id="44" w:name="_Toc184312070"/>
      <w:bookmarkEnd w:id="44"/>
      <w:bookmarkStart w:id="45" w:name="_Toc184308081"/>
      <w:bookmarkEnd w:id="45"/>
      <w:bookmarkStart w:id="46" w:name="_Toc184313259"/>
      <w:bookmarkEnd w:id="46"/>
      <w:bookmarkStart w:id="47" w:name="_Toc184310312"/>
      <w:bookmarkEnd w:id="47"/>
      <w:bookmarkStart w:id="48" w:name="_Toc184310310"/>
      <w:bookmarkEnd w:id="48"/>
      <w:bookmarkStart w:id="49" w:name="_Toc184314441"/>
      <w:bookmarkEnd w:id="49"/>
      <w:bookmarkStart w:id="50" w:name="_Toc184312069"/>
      <w:bookmarkEnd w:id="50"/>
      <w:bookmarkStart w:id="51" w:name="_Toc184313273"/>
      <w:bookmarkEnd w:id="51"/>
      <w:bookmarkStart w:id="52" w:name="_Toc184308056"/>
      <w:bookmarkEnd w:id="52"/>
      <w:bookmarkStart w:id="53" w:name="_Toc184310272"/>
      <w:bookmarkEnd w:id="53"/>
      <w:bookmarkStart w:id="54" w:name="_Toc184308106"/>
      <w:bookmarkEnd w:id="54"/>
      <w:bookmarkStart w:id="55" w:name="_Toc184308061"/>
      <w:bookmarkEnd w:id="55"/>
      <w:bookmarkStart w:id="56" w:name="_Toc184314473"/>
      <w:bookmarkEnd w:id="56"/>
      <w:bookmarkStart w:id="57" w:name="_Toc184312129"/>
      <w:bookmarkEnd w:id="57"/>
      <w:bookmarkStart w:id="58" w:name="_Toc184310297"/>
      <w:bookmarkEnd w:id="58"/>
      <w:bookmarkStart w:id="59" w:name="_Toc184312094"/>
      <w:bookmarkEnd w:id="59"/>
      <w:bookmarkStart w:id="60" w:name="_Toc184308088"/>
      <w:bookmarkEnd w:id="60"/>
      <w:bookmarkStart w:id="61" w:name="_Toc184310333"/>
      <w:bookmarkEnd w:id="61"/>
      <w:bookmarkStart w:id="62" w:name="_Toc184310295"/>
      <w:bookmarkEnd w:id="62"/>
      <w:bookmarkStart w:id="63" w:name="_Toc184314467"/>
      <w:bookmarkEnd w:id="63"/>
      <w:bookmarkStart w:id="64" w:name="_Toc184314469"/>
      <w:bookmarkEnd w:id="64"/>
      <w:bookmarkStart w:id="65" w:name="_Toc184314458"/>
      <w:bookmarkEnd w:id="65"/>
      <w:bookmarkStart w:id="66" w:name="_Toc184310325"/>
      <w:bookmarkEnd w:id="66"/>
      <w:bookmarkStart w:id="67" w:name="_Toc184314475"/>
      <w:bookmarkEnd w:id="67"/>
      <w:bookmarkStart w:id="68" w:name="_Toc184314444"/>
      <w:bookmarkEnd w:id="68"/>
      <w:bookmarkStart w:id="69" w:name="_Toc184313300"/>
      <w:bookmarkEnd w:id="69"/>
      <w:bookmarkStart w:id="70" w:name="_Toc184310284"/>
      <w:bookmarkEnd w:id="70"/>
      <w:bookmarkStart w:id="71" w:name="_Toc184314432"/>
      <w:bookmarkEnd w:id="71"/>
      <w:bookmarkStart w:id="72" w:name="_Toc184310283"/>
      <w:bookmarkEnd w:id="72"/>
      <w:bookmarkStart w:id="73" w:name="_Toc184308044"/>
      <w:bookmarkEnd w:id="73"/>
      <w:bookmarkStart w:id="74" w:name="_Toc184314465"/>
      <w:bookmarkEnd w:id="74"/>
      <w:bookmarkStart w:id="75" w:name="_Toc184308108"/>
      <w:bookmarkEnd w:id="75"/>
      <w:bookmarkStart w:id="76" w:name="_Toc184312086"/>
      <w:bookmarkEnd w:id="76"/>
      <w:bookmarkStart w:id="77" w:name="_Toc184314459"/>
      <w:bookmarkEnd w:id="77"/>
      <w:bookmarkStart w:id="78" w:name="_Toc184312127"/>
      <w:bookmarkEnd w:id="78"/>
      <w:bookmarkStart w:id="79" w:name="_Toc184308091"/>
      <w:bookmarkEnd w:id="79"/>
      <w:bookmarkStart w:id="80" w:name="_Toc184310278"/>
      <w:bookmarkEnd w:id="80"/>
      <w:bookmarkStart w:id="81" w:name="_Toc184314451"/>
      <w:bookmarkEnd w:id="81"/>
      <w:bookmarkStart w:id="82" w:name="_Toc184313281"/>
      <w:bookmarkEnd w:id="82"/>
      <w:bookmarkStart w:id="83" w:name="_Toc184313287"/>
      <w:bookmarkEnd w:id="83"/>
      <w:bookmarkStart w:id="84" w:name="_Toc184310341"/>
      <w:bookmarkEnd w:id="84"/>
      <w:bookmarkStart w:id="85" w:name="_Toc184310275"/>
      <w:bookmarkEnd w:id="85"/>
      <w:bookmarkStart w:id="86" w:name="_Toc184314452"/>
      <w:bookmarkEnd w:id="86"/>
      <w:bookmarkStart w:id="87" w:name="_Toc184308040"/>
      <w:bookmarkEnd w:id="87"/>
      <w:bookmarkStart w:id="88" w:name="_Toc184314448"/>
      <w:bookmarkEnd w:id="88"/>
      <w:bookmarkStart w:id="89" w:name="_Toc184313290"/>
      <w:bookmarkEnd w:id="89"/>
      <w:bookmarkStart w:id="90" w:name="_Toc184310344"/>
      <w:bookmarkEnd w:id="90"/>
      <w:bookmarkStart w:id="91" w:name="_Toc184313271"/>
      <w:bookmarkEnd w:id="91"/>
      <w:bookmarkStart w:id="92" w:name="_Toc184308062"/>
      <w:bookmarkEnd w:id="92"/>
      <w:bookmarkStart w:id="93" w:name="_Toc184314434"/>
      <w:bookmarkEnd w:id="93"/>
      <w:bookmarkStart w:id="94" w:name="_Toc184310290"/>
      <w:bookmarkEnd w:id="94"/>
      <w:bookmarkStart w:id="95" w:name="_Toc184308097"/>
      <w:bookmarkEnd w:id="95"/>
      <w:bookmarkStart w:id="96" w:name="_Toc184313241"/>
      <w:bookmarkEnd w:id="96"/>
      <w:bookmarkStart w:id="97" w:name="_Toc184310299"/>
      <w:bookmarkEnd w:id="97"/>
      <w:bookmarkStart w:id="98" w:name="_Toc184308090"/>
      <w:bookmarkEnd w:id="98"/>
      <w:bookmarkStart w:id="99" w:name="_Toc184308039"/>
      <w:bookmarkEnd w:id="99"/>
      <w:bookmarkStart w:id="100" w:name="_Toc184314462"/>
      <w:bookmarkEnd w:id="100"/>
      <w:bookmarkStart w:id="101" w:name="_Toc184312131"/>
      <w:bookmarkEnd w:id="101"/>
      <w:bookmarkStart w:id="102" w:name="_Toc184314418"/>
      <w:bookmarkEnd w:id="102"/>
      <w:bookmarkStart w:id="103" w:name="_Toc184308086"/>
      <w:bookmarkEnd w:id="103"/>
      <w:bookmarkStart w:id="104" w:name="_Toc184312079"/>
      <w:bookmarkEnd w:id="104"/>
      <w:bookmarkStart w:id="105" w:name="_Toc184310301"/>
      <w:bookmarkEnd w:id="105"/>
      <w:bookmarkStart w:id="106" w:name="_Toc184312139"/>
      <w:bookmarkEnd w:id="106"/>
      <w:bookmarkStart w:id="107" w:name="_Toc184312132"/>
      <w:bookmarkEnd w:id="107"/>
      <w:bookmarkStart w:id="108" w:name="_Toc184313267"/>
      <w:bookmarkEnd w:id="108"/>
      <w:bookmarkStart w:id="109" w:name="_Toc184314411"/>
      <w:bookmarkEnd w:id="109"/>
      <w:bookmarkStart w:id="110" w:name="_Toc184313280"/>
      <w:bookmarkEnd w:id="110"/>
      <w:bookmarkStart w:id="111" w:name="_Toc184310334"/>
      <w:bookmarkEnd w:id="111"/>
      <w:bookmarkStart w:id="112" w:name="_Toc184313258"/>
      <w:bookmarkEnd w:id="112"/>
      <w:bookmarkStart w:id="113" w:name="_Toc184314422"/>
      <w:bookmarkEnd w:id="113"/>
      <w:bookmarkStart w:id="114" w:name="_Toc184314453"/>
      <w:bookmarkEnd w:id="114"/>
      <w:bookmarkStart w:id="115" w:name="_Toc184310342"/>
      <w:bookmarkEnd w:id="115"/>
      <w:bookmarkStart w:id="116" w:name="_Toc184310293"/>
      <w:bookmarkEnd w:id="116"/>
      <w:bookmarkStart w:id="117" w:name="_Toc184313304"/>
      <w:bookmarkEnd w:id="117"/>
      <w:bookmarkStart w:id="118" w:name="_Toc184312126"/>
      <w:bookmarkEnd w:id="118"/>
      <w:bookmarkStart w:id="119" w:name="_Toc184312076"/>
      <w:bookmarkEnd w:id="119"/>
      <w:bookmarkStart w:id="120" w:name="_Toc184314468"/>
      <w:bookmarkEnd w:id="120"/>
      <w:bookmarkStart w:id="121" w:name="_Toc184308054"/>
      <w:bookmarkEnd w:id="121"/>
      <w:bookmarkStart w:id="122" w:name="_Toc184314410"/>
      <w:bookmarkEnd w:id="122"/>
      <w:bookmarkStart w:id="123" w:name="_Toc184314435"/>
      <w:bookmarkEnd w:id="123"/>
      <w:bookmarkStart w:id="124" w:name="_Toc184310304"/>
      <w:bookmarkEnd w:id="124"/>
      <w:bookmarkStart w:id="125" w:name="_Toc184312118"/>
      <w:bookmarkEnd w:id="125"/>
      <w:bookmarkStart w:id="126" w:name="_Toc184314429"/>
      <w:bookmarkEnd w:id="126"/>
      <w:bookmarkStart w:id="127" w:name="_Toc184312119"/>
      <w:bookmarkEnd w:id="127"/>
      <w:bookmarkStart w:id="128" w:name="_Toc184313310"/>
      <w:bookmarkEnd w:id="128"/>
      <w:bookmarkStart w:id="129" w:name="_Toc184313288"/>
      <w:bookmarkEnd w:id="129"/>
      <w:bookmarkStart w:id="130" w:name="_Toc184308045"/>
      <w:bookmarkEnd w:id="130"/>
      <w:bookmarkStart w:id="131" w:name="_Toc184314454"/>
      <w:bookmarkEnd w:id="131"/>
      <w:bookmarkStart w:id="132" w:name="_Toc184313249"/>
      <w:bookmarkEnd w:id="132"/>
      <w:bookmarkStart w:id="133" w:name="_Toc184313297"/>
      <w:bookmarkEnd w:id="133"/>
      <w:bookmarkStart w:id="134" w:name="_Toc184310330"/>
      <w:bookmarkEnd w:id="134"/>
      <w:bookmarkStart w:id="135" w:name="_Toc184313286"/>
      <w:bookmarkEnd w:id="135"/>
      <w:bookmarkStart w:id="136" w:name="_Toc184313245"/>
      <w:bookmarkEnd w:id="136"/>
      <w:bookmarkStart w:id="137" w:name="_Toc184310308"/>
      <w:bookmarkEnd w:id="137"/>
      <w:bookmarkStart w:id="138" w:name="_Toc184313255"/>
      <w:bookmarkEnd w:id="138"/>
      <w:bookmarkStart w:id="139" w:name="_Toc184308087"/>
      <w:bookmarkEnd w:id="139"/>
      <w:bookmarkStart w:id="140" w:name="_Toc184314480"/>
      <w:bookmarkEnd w:id="140"/>
      <w:bookmarkStart w:id="141" w:name="_Toc184308068"/>
      <w:bookmarkEnd w:id="141"/>
      <w:bookmarkStart w:id="142" w:name="_Toc184310316"/>
      <w:bookmarkEnd w:id="142"/>
      <w:bookmarkStart w:id="143" w:name="_Toc184312098"/>
      <w:bookmarkEnd w:id="143"/>
      <w:bookmarkStart w:id="144" w:name="_Toc184312120"/>
      <w:bookmarkEnd w:id="144"/>
      <w:bookmarkStart w:id="145" w:name="_Toc184314479"/>
      <w:bookmarkEnd w:id="145"/>
      <w:bookmarkStart w:id="146" w:name="_Toc184310298"/>
      <w:bookmarkEnd w:id="146"/>
      <w:bookmarkStart w:id="147" w:name="_Toc184314442"/>
      <w:bookmarkEnd w:id="147"/>
      <w:bookmarkStart w:id="148" w:name="_Toc184313283"/>
      <w:bookmarkEnd w:id="148"/>
      <w:bookmarkStart w:id="149" w:name="_Toc184310315"/>
      <w:bookmarkEnd w:id="149"/>
      <w:bookmarkStart w:id="150" w:name="_Toc184313264"/>
      <w:bookmarkEnd w:id="150"/>
      <w:bookmarkStart w:id="151" w:name="_Toc184308038"/>
      <w:bookmarkEnd w:id="151"/>
      <w:bookmarkStart w:id="152" w:name="_Toc184308051"/>
      <w:bookmarkEnd w:id="152"/>
      <w:bookmarkStart w:id="153" w:name="_Toc184310335"/>
      <w:bookmarkEnd w:id="153"/>
      <w:bookmarkStart w:id="154" w:name="_Toc184308049"/>
      <w:bookmarkEnd w:id="154"/>
      <w:bookmarkStart w:id="155" w:name="_Toc184310326"/>
      <w:bookmarkEnd w:id="155"/>
      <w:bookmarkStart w:id="156" w:name="_Toc184310340"/>
      <w:bookmarkEnd w:id="156"/>
      <w:bookmarkStart w:id="157" w:name="_Toc184313291"/>
      <w:bookmarkEnd w:id="157"/>
      <w:bookmarkStart w:id="158" w:name="_Toc184314460"/>
      <w:bookmarkEnd w:id="158"/>
      <w:bookmarkStart w:id="159" w:name="_Toc184310280"/>
      <w:bookmarkEnd w:id="159"/>
      <w:bookmarkStart w:id="160" w:name="_Toc184310288"/>
      <w:bookmarkEnd w:id="160"/>
      <w:bookmarkStart w:id="161" w:name="_Toc184312074"/>
      <w:bookmarkEnd w:id="161"/>
      <w:bookmarkStart w:id="162" w:name="_Toc184308089"/>
      <w:bookmarkEnd w:id="162"/>
      <w:bookmarkStart w:id="163" w:name="_Toc184310324"/>
      <w:bookmarkEnd w:id="163"/>
      <w:bookmarkStart w:id="164" w:name="_Toc184313295"/>
      <w:bookmarkEnd w:id="164"/>
      <w:bookmarkStart w:id="165" w:name="_Toc184308080"/>
      <w:bookmarkEnd w:id="165"/>
      <w:bookmarkStart w:id="166" w:name="_Toc184312081"/>
      <w:bookmarkEnd w:id="166"/>
      <w:bookmarkStart w:id="167" w:name="_Toc184308069"/>
      <w:bookmarkEnd w:id="167"/>
      <w:bookmarkStart w:id="168" w:name="_Toc184310285"/>
      <w:bookmarkEnd w:id="168"/>
      <w:bookmarkStart w:id="169" w:name="_Toc184312110"/>
      <w:bookmarkEnd w:id="169"/>
      <w:bookmarkStart w:id="170" w:name="_Toc184314450"/>
      <w:bookmarkEnd w:id="170"/>
      <w:bookmarkStart w:id="171" w:name="_Toc184312104"/>
      <w:bookmarkEnd w:id="171"/>
      <w:bookmarkStart w:id="172" w:name="_Toc184312093"/>
      <w:bookmarkEnd w:id="172"/>
      <w:bookmarkStart w:id="173" w:name="_Toc184314426"/>
      <w:bookmarkEnd w:id="173"/>
      <w:bookmarkStart w:id="174" w:name="_Toc184313262"/>
      <w:bookmarkEnd w:id="174"/>
      <w:bookmarkStart w:id="175" w:name="_Toc184312080"/>
      <w:bookmarkEnd w:id="175"/>
      <w:bookmarkStart w:id="176" w:name="_Toc184313303"/>
      <w:bookmarkEnd w:id="176"/>
      <w:bookmarkStart w:id="177" w:name="_Toc184313246"/>
      <w:bookmarkEnd w:id="177"/>
      <w:bookmarkStart w:id="178" w:name="_Toc184314456"/>
      <w:bookmarkEnd w:id="178"/>
      <w:bookmarkStart w:id="179" w:name="_Toc184308059"/>
      <w:bookmarkEnd w:id="179"/>
      <w:bookmarkStart w:id="180" w:name="_Toc184312108"/>
      <w:bookmarkEnd w:id="180"/>
      <w:bookmarkStart w:id="181" w:name="_Toc184310311"/>
      <w:bookmarkEnd w:id="181"/>
      <w:bookmarkStart w:id="182" w:name="_Toc184308077"/>
      <w:bookmarkEnd w:id="182"/>
      <w:bookmarkStart w:id="183" w:name="_Toc184312109"/>
      <w:bookmarkEnd w:id="183"/>
      <w:bookmarkStart w:id="184" w:name="_Toc184312075"/>
      <w:bookmarkEnd w:id="184"/>
      <w:bookmarkStart w:id="185" w:name="_Toc184314457"/>
      <w:bookmarkEnd w:id="185"/>
      <w:bookmarkStart w:id="186" w:name="_Toc184313276"/>
      <w:bookmarkEnd w:id="186"/>
      <w:bookmarkStart w:id="187" w:name="_Toc184313278"/>
      <w:bookmarkEnd w:id="187"/>
      <w:bookmarkStart w:id="188" w:name="_Toc184314419"/>
      <w:bookmarkEnd w:id="188"/>
      <w:bookmarkStart w:id="189" w:name="_Toc184308047"/>
      <w:bookmarkEnd w:id="189"/>
      <w:bookmarkStart w:id="190" w:name="_Toc184310327"/>
      <w:bookmarkEnd w:id="190"/>
      <w:bookmarkStart w:id="191" w:name="_Toc184312088"/>
      <w:bookmarkEnd w:id="191"/>
      <w:bookmarkStart w:id="192" w:name="_Toc184308084"/>
      <w:bookmarkEnd w:id="192"/>
      <w:bookmarkStart w:id="193" w:name="_Toc184312121"/>
      <w:bookmarkEnd w:id="193"/>
      <w:bookmarkStart w:id="194" w:name="_Toc184312122"/>
      <w:bookmarkEnd w:id="194"/>
      <w:bookmarkStart w:id="195" w:name="_Toc184312102"/>
      <w:bookmarkEnd w:id="195"/>
      <w:bookmarkStart w:id="196" w:name="_Toc184313284"/>
      <w:bookmarkEnd w:id="196"/>
      <w:bookmarkStart w:id="197" w:name="_Toc184313238"/>
      <w:bookmarkEnd w:id="197"/>
      <w:bookmarkStart w:id="198" w:name="_Toc184312103"/>
      <w:bookmarkEnd w:id="198"/>
      <w:bookmarkStart w:id="199" w:name="_Toc184313279"/>
      <w:bookmarkEnd w:id="199"/>
      <w:bookmarkStart w:id="200" w:name="_Toc184312113"/>
      <w:bookmarkEnd w:id="200"/>
      <w:bookmarkStart w:id="201" w:name="_Toc184314461"/>
      <w:bookmarkEnd w:id="201"/>
      <w:bookmarkStart w:id="202" w:name="_Toc184313308"/>
      <w:bookmarkEnd w:id="202"/>
      <w:bookmarkStart w:id="203" w:name="_Toc184313251"/>
      <w:bookmarkEnd w:id="203"/>
      <w:bookmarkStart w:id="204" w:name="_Toc184313272"/>
      <w:bookmarkEnd w:id="204"/>
      <w:bookmarkStart w:id="205" w:name="_Toc184313256"/>
      <w:bookmarkEnd w:id="205"/>
      <w:bookmarkStart w:id="206" w:name="_Toc184308063"/>
      <w:bookmarkEnd w:id="206"/>
      <w:bookmarkStart w:id="207" w:name="_Toc184308066"/>
      <w:bookmarkEnd w:id="207"/>
      <w:bookmarkStart w:id="208" w:name="_Toc184308095"/>
      <w:bookmarkEnd w:id="208"/>
      <w:bookmarkStart w:id="209" w:name="_Toc184312111"/>
      <w:bookmarkEnd w:id="209"/>
      <w:bookmarkStart w:id="210" w:name="_Toc184308065"/>
      <w:bookmarkEnd w:id="210"/>
      <w:bookmarkStart w:id="211" w:name="_Toc184310273"/>
      <w:bookmarkEnd w:id="211"/>
      <w:bookmarkStart w:id="212" w:name="_Toc184314438"/>
      <w:bookmarkEnd w:id="212"/>
      <w:bookmarkStart w:id="213" w:name="_Toc184313242"/>
      <w:bookmarkEnd w:id="213"/>
      <w:bookmarkStart w:id="214" w:name="_Toc184314428"/>
      <w:bookmarkEnd w:id="214"/>
      <w:bookmarkStart w:id="215" w:name="_Toc184313260"/>
      <w:bookmarkEnd w:id="215"/>
      <w:bookmarkStart w:id="216" w:name="_Toc184313309"/>
      <w:bookmarkEnd w:id="216"/>
      <w:bookmarkStart w:id="217" w:name="_Toc184310303"/>
      <w:bookmarkEnd w:id="217"/>
      <w:bookmarkStart w:id="218" w:name="_Toc184308076"/>
      <w:bookmarkEnd w:id="218"/>
      <w:bookmarkStart w:id="219" w:name="_Toc184313277"/>
      <w:bookmarkEnd w:id="219"/>
      <w:bookmarkStart w:id="220" w:name="_Toc184312078"/>
      <w:bookmarkEnd w:id="220"/>
      <w:bookmarkStart w:id="221" w:name="_Toc184308092"/>
      <w:bookmarkEnd w:id="221"/>
      <w:bookmarkStart w:id="222" w:name="_Toc184312114"/>
      <w:bookmarkEnd w:id="222"/>
      <w:bookmarkStart w:id="223" w:name="_Toc184308073"/>
      <w:bookmarkEnd w:id="223"/>
      <w:bookmarkStart w:id="224" w:name="_Toc184312123"/>
      <w:bookmarkEnd w:id="224"/>
      <w:bookmarkStart w:id="225" w:name="_Toc184310287"/>
      <w:bookmarkEnd w:id="225"/>
      <w:bookmarkStart w:id="226" w:name="_Toc184312138"/>
      <w:bookmarkEnd w:id="226"/>
      <w:bookmarkStart w:id="227" w:name="_Toc184313253"/>
      <w:bookmarkEnd w:id="227"/>
      <w:bookmarkStart w:id="228" w:name="_Toc184313244"/>
      <w:bookmarkEnd w:id="228"/>
      <w:bookmarkStart w:id="229" w:name="_Toc184310300"/>
      <w:bookmarkEnd w:id="229"/>
      <w:bookmarkStart w:id="230" w:name="_Toc184308103"/>
      <w:bookmarkEnd w:id="230"/>
      <w:bookmarkStart w:id="231" w:name="_Toc184314471"/>
      <w:bookmarkEnd w:id="231"/>
      <w:bookmarkStart w:id="232" w:name="_Toc184312077"/>
      <w:bookmarkEnd w:id="232"/>
      <w:bookmarkStart w:id="233" w:name="_Toc184310329"/>
      <w:bookmarkEnd w:id="233"/>
      <w:bookmarkStart w:id="234" w:name="_Toc184314463"/>
      <w:bookmarkEnd w:id="234"/>
      <w:bookmarkStart w:id="235" w:name="_Toc184314440"/>
      <w:bookmarkEnd w:id="235"/>
      <w:bookmarkStart w:id="236" w:name="_Toc184308107"/>
      <w:bookmarkEnd w:id="236"/>
      <w:bookmarkStart w:id="237" w:name="_Toc184313274"/>
      <w:bookmarkEnd w:id="237"/>
      <w:bookmarkStart w:id="238" w:name="_Toc184313292"/>
      <w:bookmarkEnd w:id="238"/>
      <w:bookmarkStart w:id="239" w:name="_Toc184308100"/>
      <w:bookmarkEnd w:id="239"/>
      <w:bookmarkStart w:id="240" w:name="_Toc184308085"/>
      <w:bookmarkEnd w:id="240"/>
      <w:bookmarkStart w:id="241" w:name="_Toc184312134"/>
      <w:bookmarkEnd w:id="241"/>
      <w:bookmarkStart w:id="242" w:name="_Toc184312128"/>
      <w:bookmarkEnd w:id="242"/>
      <w:bookmarkStart w:id="243" w:name="_Toc184314447"/>
      <w:bookmarkEnd w:id="243"/>
      <w:bookmarkStart w:id="244" w:name="_Toc184314424"/>
      <w:bookmarkEnd w:id="244"/>
      <w:bookmarkStart w:id="245" w:name="_Toc184310328"/>
      <w:bookmarkEnd w:id="245"/>
      <w:bookmarkStart w:id="246" w:name="_Toc184312099"/>
      <w:bookmarkEnd w:id="246"/>
      <w:bookmarkStart w:id="247" w:name="_Toc184308074"/>
      <w:bookmarkEnd w:id="247"/>
      <w:bookmarkStart w:id="248" w:name="_Toc184313247"/>
      <w:bookmarkEnd w:id="248"/>
      <w:bookmarkStart w:id="249" w:name="_Toc184313299"/>
      <w:bookmarkEnd w:id="249"/>
      <w:bookmarkStart w:id="250" w:name="_Toc184314413"/>
      <w:bookmarkEnd w:id="250"/>
      <w:bookmarkStart w:id="251" w:name="_Toc184313302"/>
      <w:bookmarkEnd w:id="251"/>
      <w:bookmarkStart w:id="252" w:name="_Toc184314436"/>
      <w:bookmarkEnd w:id="252"/>
      <w:bookmarkStart w:id="253" w:name="_Toc184312136"/>
      <w:bookmarkEnd w:id="253"/>
      <w:bookmarkStart w:id="254" w:name="_Toc184310323"/>
      <w:bookmarkEnd w:id="254"/>
      <w:bookmarkStart w:id="255" w:name="_Toc184310320"/>
      <w:bookmarkEnd w:id="255"/>
      <w:bookmarkStart w:id="256" w:name="_Toc184308083"/>
      <w:bookmarkEnd w:id="256"/>
      <w:bookmarkStart w:id="257" w:name="_Toc184314476"/>
      <w:bookmarkEnd w:id="257"/>
      <w:bookmarkStart w:id="258" w:name="_Toc184313254"/>
      <w:bookmarkEnd w:id="258"/>
      <w:bookmarkStart w:id="259" w:name="_Toc184310286"/>
      <w:bookmarkEnd w:id="259"/>
      <w:bookmarkStart w:id="260" w:name="_Toc184313261"/>
      <w:bookmarkEnd w:id="260"/>
      <w:bookmarkStart w:id="261" w:name="_Toc184312112"/>
      <w:bookmarkEnd w:id="261"/>
      <w:bookmarkStart w:id="262" w:name="_Toc184308043"/>
      <w:bookmarkEnd w:id="262"/>
      <w:bookmarkStart w:id="263" w:name="_Toc184314414"/>
      <w:bookmarkEnd w:id="263"/>
      <w:bookmarkStart w:id="264" w:name="_Toc184312130"/>
      <w:bookmarkEnd w:id="264"/>
      <w:bookmarkStart w:id="265" w:name="_Toc184310276"/>
      <w:bookmarkEnd w:id="265"/>
      <w:bookmarkStart w:id="266" w:name="_Toc184313250"/>
      <w:bookmarkEnd w:id="266"/>
      <w:bookmarkStart w:id="267" w:name="_Toc184312091"/>
      <w:bookmarkEnd w:id="267"/>
      <w:bookmarkStart w:id="268" w:name="_Toc184310322"/>
      <w:bookmarkEnd w:id="268"/>
      <w:bookmarkStart w:id="269" w:name="_Toc184312124"/>
      <w:bookmarkEnd w:id="269"/>
      <w:bookmarkStart w:id="270" w:name="_Toc184308042"/>
      <w:bookmarkEnd w:id="270"/>
      <w:bookmarkStart w:id="271" w:name="_Toc184312105"/>
      <w:bookmarkEnd w:id="271"/>
      <w:bookmarkStart w:id="272" w:name="_Toc184314430"/>
      <w:bookmarkEnd w:id="272"/>
      <w:bookmarkStart w:id="273" w:name="_Toc184310331"/>
      <w:bookmarkEnd w:id="273"/>
      <w:bookmarkStart w:id="274" w:name="_Toc184310306"/>
      <w:bookmarkEnd w:id="274"/>
      <w:bookmarkStart w:id="275" w:name="_Toc184312107"/>
      <w:bookmarkEnd w:id="275"/>
      <w:bookmarkStart w:id="276" w:name="_Toc184314425"/>
      <w:bookmarkEnd w:id="276"/>
      <w:bookmarkStart w:id="277" w:name="_Toc184308037"/>
      <w:bookmarkEnd w:id="277"/>
      <w:bookmarkStart w:id="278" w:name="_Toc184314412"/>
      <w:bookmarkEnd w:id="278"/>
      <w:bookmarkStart w:id="279" w:name="_Toc184314439"/>
      <w:bookmarkEnd w:id="279"/>
      <w:bookmarkStart w:id="280" w:name="_Toc184312133"/>
      <w:bookmarkEnd w:id="280"/>
      <w:bookmarkStart w:id="281" w:name="_Toc184313301"/>
      <w:bookmarkEnd w:id="281"/>
      <w:bookmarkStart w:id="282" w:name="_Toc184312106"/>
      <w:bookmarkEnd w:id="282"/>
      <w:bookmarkStart w:id="283" w:name="_Toc184314474"/>
      <w:bookmarkEnd w:id="283"/>
      <w:bookmarkStart w:id="284" w:name="_Toc184308067"/>
      <w:bookmarkEnd w:id="284"/>
      <w:bookmarkStart w:id="285" w:name="_Toc184313293"/>
      <w:bookmarkEnd w:id="285"/>
      <w:bookmarkStart w:id="286" w:name="_Toc184310279"/>
      <w:bookmarkEnd w:id="286"/>
      <w:bookmarkStart w:id="287" w:name="_Toc184314445"/>
      <w:bookmarkEnd w:id="287"/>
      <w:bookmarkStart w:id="288" w:name="_Toc184310282"/>
      <w:bookmarkEnd w:id="288"/>
      <w:bookmarkStart w:id="289" w:name="_Toc184308079"/>
      <w:bookmarkEnd w:id="289"/>
      <w:bookmarkStart w:id="290" w:name="_Toc184308075"/>
      <w:bookmarkEnd w:id="290"/>
      <w:bookmarkStart w:id="291" w:name="_Toc184312089"/>
      <w:bookmarkEnd w:id="291"/>
      <w:bookmarkStart w:id="292" w:name="_Toc184312090"/>
      <w:bookmarkEnd w:id="292"/>
      <w:bookmarkStart w:id="293" w:name="_Toc184310292"/>
      <w:bookmarkEnd w:id="293"/>
      <w:bookmarkStart w:id="294" w:name="_Toc184308046"/>
      <w:bookmarkEnd w:id="294"/>
      <w:bookmarkStart w:id="295" w:name="_Toc184313248"/>
      <w:bookmarkEnd w:id="295"/>
      <w:bookmarkStart w:id="296" w:name="_Toc184313298"/>
      <w:bookmarkEnd w:id="296"/>
      <w:bookmarkStart w:id="297" w:name="_Toc184314417"/>
      <w:bookmarkEnd w:id="297"/>
      <w:bookmarkStart w:id="298" w:name="_Toc184310305"/>
      <w:bookmarkEnd w:id="298"/>
      <w:bookmarkStart w:id="299" w:name="_Toc184313294"/>
      <w:bookmarkEnd w:id="299"/>
      <w:bookmarkStart w:id="300" w:name="_Toc184308053"/>
      <w:bookmarkEnd w:id="300"/>
      <w:bookmarkStart w:id="301" w:name="_Toc184310336"/>
      <w:bookmarkEnd w:id="301"/>
      <w:bookmarkStart w:id="302" w:name="_Toc184314464"/>
      <w:bookmarkEnd w:id="302"/>
      <w:bookmarkStart w:id="303" w:name="_Toc184310302"/>
      <w:bookmarkEnd w:id="303"/>
      <w:bookmarkStart w:id="304" w:name="_Toc184314437"/>
      <w:bookmarkEnd w:id="304"/>
      <w:bookmarkStart w:id="305" w:name="_Toc184314481"/>
      <w:bookmarkEnd w:id="305"/>
      <w:bookmarkStart w:id="306" w:name="_Toc184314470"/>
      <w:bookmarkEnd w:id="306"/>
      <w:bookmarkStart w:id="307" w:name="_Toc184312068"/>
      <w:bookmarkEnd w:id="307"/>
      <w:bookmarkStart w:id="308" w:name="_Toc184310291"/>
      <w:bookmarkEnd w:id="308"/>
      <w:bookmarkStart w:id="309" w:name="_Toc184310294"/>
      <w:bookmarkEnd w:id="309"/>
      <w:bookmarkStart w:id="310" w:name="_Toc184308099"/>
      <w:bookmarkEnd w:id="310"/>
      <w:bookmarkStart w:id="311" w:name="_Toc184310338"/>
      <w:bookmarkEnd w:id="311"/>
      <w:bookmarkStart w:id="312" w:name="_Toc184312092"/>
      <w:bookmarkEnd w:id="312"/>
      <w:bookmarkStart w:id="313" w:name="_Toc184313268"/>
      <w:bookmarkEnd w:id="313"/>
      <w:bookmarkStart w:id="314" w:name="_Toc184312100"/>
      <w:bookmarkEnd w:id="314"/>
      <w:bookmarkStart w:id="315" w:name="_Toc184308082"/>
      <w:bookmarkEnd w:id="315"/>
      <w:bookmarkStart w:id="316" w:name="_Toc184312125"/>
      <w:bookmarkEnd w:id="316"/>
      <w:bookmarkStart w:id="317" w:name="_Toc184314415"/>
      <w:bookmarkEnd w:id="317"/>
      <w:bookmarkStart w:id="318" w:name="_Toc184314449"/>
      <w:bookmarkEnd w:id="318"/>
      <w:bookmarkStart w:id="319" w:name="_Toc184313305"/>
      <w:bookmarkEnd w:id="319"/>
      <w:bookmarkStart w:id="320" w:name="_Toc184313296"/>
      <w:bookmarkEnd w:id="320"/>
      <w:bookmarkStart w:id="321" w:name="_Toc184308060"/>
      <w:bookmarkEnd w:id="321"/>
      <w:bookmarkStart w:id="322" w:name="_Toc184313240"/>
      <w:bookmarkEnd w:id="322"/>
      <w:bookmarkStart w:id="323" w:name="_Toc184313306"/>
      <w:bookmarkEnd w:id="323"/>
      <w:bookmarkStart w:id="324" w:name="_Toc184310343"/>
      <w:bookmarkEnd w:id="324"/>
      <w:bookmarkStart w:id="325" w:name="_Toc184308052"/>
      <w:bookmarkEnd w:id="325"/>
      <w:bookmarkStart w:id="326" w:name="_Toc184313289"/>
      <w:bookmarkEnd w:id="326"/>
      <w:bookmarkStart w:id="327" w:name="_Toc184312084"/>
      <w:bookmarkEnd w:id="327"/>
      <w:bookmarkStart w:id="328" w:name="_Toc184308036"/>
      <w:bookmarkEnd w:id="328"/>
      <w:bookmarkStart w:id="329" w:name="_Toc184310313"/>
      <w:bookmarkEnd w:id="329"/>
      <w:bookmarkStart w:id="330" w:name="_Toc184308096"/>
      <w:bookmarkEnd w:id="330"/>
      <w:bookmarkStart w:id="331" w:name="_Toc184308041"/>
      <w:bookmarkEnd w:id="331"/>
      <w:bookmarkStart w:id="332" w:name="_Toc184312085"/>
      <w:bookmarkEnd w:id="332"/>
      <w:bookmarkStart w:id="333" w:name="_Toc184308078"/>
      <w:bookmarkEnd w:id="333"/>
      <w:bookmarkStart w:id="334" w:name="_Toc184312067"/>
      <w:bookmarkEnd w:id="334"/>
      <w:bookmarkStart w:id="335" w:name="_Toc184314482"/>
      <w:bookmarkEnd w:id="335"/>
      <w:bookmarkStart w:id="336" w:name="_Toc184313270"/>
      <w:bookmarkEnd w:id="336"/>
      <w:bookmarkStart w:id="337" w:name="_Toc184308098"/>
      <w:bookmarkEnd w:id="337"/>
      <w:bookmarkStart w:id="338" w:name="_Toc184312073"/>
      <w:bookmarkEnd w:id="338"/>
      <w:bookmarkStart w:id="339" w:name="_Toc184313252"/>
      <w:bookmarkEnd w:id="339"/>
      <w:bookmarkStart w:id="340" w:name="_Toc184310332"/>
      <w:bookmarkEnd w:id="340"/>
      <w:bookmarkStart w:id="341" w:name="_Toc184308104"/>
      <w:bookmarkEnd w:id="341"/>
      <w:bookmarkStart w:id="342" w:name="_Toc184313257"/>
      <w:bookmarkEnd w:id="342"/>
      <w:bookmarkStart w:id="343" w:name="_Toc184313269"/>
      <w:bookmarkEnd w:id="343"/>
      <w:bookmarkStart w:id="344" w:name="_Toc184312082"/>
      <w:bookmarkEnd w:id="344"/>
      <w:bookmarkStart w:id="345" w:name="_Toc184308048"/>
      <w:bookmarkEnd w:id="345"/>
      <w:bookmarkStart w:id="346" w:name="_Toc184312135"/>
      <w:bookmarkEnd w:id="346"/>
      <w:bookmarkStart w:id="347" w:name="_Toc184310307"/>
      <w:bookmarkEnd w:id="347"/>
      <w:bookmarkStart w:id="348" w:name="_Toc184310289"/>
      <w:bookmarkEnd w:id="348"/>
      <w:bookmarkStart w:id="349" w:name="_Toc184310309"/>
      <w:bookmarkEnd w:id="349"/>
      <w:bookmarkStart w:id="350" w:name="_Toc184314472"/>
      <w:bookmarkEnd w:id="350"/>
      <w:bookmarkStart w:id="351" w:name="_Toc184314466"/>
      <w:bookmarkEnd w:id="351"/>
      <w:bookmarkStart w:id="352" w:name="_Toc184310321"/>
      <w:bookmarkEnd w:id="352"/>
      <w:bookmarkStart w:id="353" w:name="_Toc184312087"/>
      <w:bookmarkEnd w:id="353"/>
      <w:bookmarkStart w:id="354" w:name="_Toc184310339"/>
      <w:bookmarkEnd w:id="354"/>
      <w:bookmarkStart w:id="355" w:name="_Toc184313285"/>
      <w:bookmarkEnd w:id="355"/>
      <w:bookmarkStart w:id="356" w:name="_Toc184313282"/>
      <w:bookmarkEnd w:id="356"/>
      <w:bookmarkStart w:id="357" w:name="_Toc184314446"/>
      <w:bookmarkEnd w:id="357"/>
      <w:bookmarkStart w:id="358" w:name="_Toc184308093"/>
      <w:bookmarkEnd w:id="358"/>
      <w:bookmarkStart w:id="359" w:name="_Toc184310277"/>
      <w:bookmarkEnd w:id="359"/>
      <w:bookmarkStart w:id="360" w:name="_Toc184308071"/>
      <w:bookmarkEnd w:id="360"/>
      <w:bookmarkStart w:id="361" w:name="_Toc184312117"/>
      <w:bookmarkEnd w:id="361"/>
      <w:bookmarkStart w:id="362" w:name="_Toc184313307"/>
      <w:bookmarkEnd w:id="362"/>
      <w:bookmarkStart w:id="363" w:name="_Toc184314477"/>
      <w:bookmarkEnd w:id="363"/>
      <w:bookmarkStart w:id="364" w:name="_Toc184314420"/>
      <w:bookmarkEnd w:id="364"/>
      <w:bookmarkStart w:id="365" w:name="_Toc184314443"/>
      <w:bookmarkEnd w:id="365"/>
      <w:bookmarkStart w:id="366" w:name="_Toc184313239"/>
      <w:bookmarkEnd w:id="366"/>
      <w:bookmarkStart w:id="367" w:name="_Toc184313263"/>
      <w:bookmarkEnd w:id="367"/>
      <w:bookmarkStart w:id="368" w:name="_Toc184314423"/>
      <w:bookmarkEnd w:id="368"/>
      <w:bookmarkStart w:id="369" w:name="_Toc184314433"/>
      <w:bookmarkEnd w:id="369"/>
      <w:bookmarkStart w:id="370" w:name="_Toc184308064"/>
      <w:bookmarkEnd w:id="370"/>
      <w:bookmarkStart w:id="371" w:name="_Toc184313275"/>
      <w:bookmarkEnd w:id="371"/>
      <w:bookmarkStart w:id="372" w:name="_Toc184312097"/>
      <w:bookmarkEnd w:id="372"/>
      <w:bookmarkStart w:id="373" w:name="_Toc184314431"/>
      <w:bookmarkEnd w:id="373"/>
      <w:bookmarkStart w:id="374" w:name="_Toc184308058"/>
      <w:bookmarkEnd w:id="374"/>
      <w:bookmarkStart w:id="375" w:name="_Toc184310281"/>
      <w:bookmarkEnd w:id="375"/>
      <w:bookmarkStart w:id="376" w:name="_Toc184312101"/>
      <w:bookmarkEnd w:id="376"/>
      <w:bookmarkStart w:id="377" w:name="_Toc184310318"/>
      <w:bookmarkEnd w:id="377"/>
      <w:bookmarkStart w:id="378" w:name="_Toc184308055"/>
      <w:bookmarkEnd w:id="378"/>
      <w:bookmarkStart w:id="379" w:name="_Toc184314427"/>
      <w:bookmarkEnd w:id="379"/>
      <w:bookmarkStart w:id="380" w:name="_Toc184312083"/>
      <w:bookmarkEnd w:id="380"/>
      <w:bookmarkStart w:id="381" w:name="_Toc184314416"/>
      <w:bookmarkEnd w:id="381"/>
      <w:bookmarkStart w:id="382" w:name="_Toc184310274"/>
      <w:bookmarkEnd w:id="382"/>
      <w:bookmarkStart w:id="383" w:name="_Toc184314478"/>
      <w:bookmarkEnd w:id="383"/>
      <w:bookmarkStart w:id="384" w:name="_Toc184312137"/>
      <w:bookmarkEnd w:id="384"/>
      <w:bookmarkStart w:id="385" w:name="_Toc184310319"/>
      <w:bookmarkEnd w:id="385"/>
      <w:bookmarkStart w:id="386" w:name="_Toc184312072"/>
      <w:bookmarkEnd w:id="386"/>
      <w:bookmarkStart w:id="387" w:name="_Toc184314421"/>
      <w:bookmarkEnd w:id="387"/>
      <w:bookmarkStart w:id="388" w:name="_Toc184308057"/>
      <w:bookmarkEnd w:id="388"/>
      <w:bookmarkStart w:id="389" w:name="_Toc184308072"/>
      <w:bookmarkEnd w:id="389"/>
      <w:bookmarkStart w:id="390" w:name="_Toc184312116"/>
      <w:bookmarkEnd w:id="390"/>
      <w:bookmarkStart w:id="391" w:name="_Toc184310317"/>
      <w:bookmarkEnd w:id="391"/>
      <w:r>
        <w:rPr>
          <w:rFonts w:hint="eastAsia" w:ascii="仿宋" w:hAnsi="仿宋" w:eastAsia="仿宋" w:cs="仿宋"/>
          <w:b/>
          <w:color w:val="auto"/>
          <w:sz w:val="36"/>
          <w:szCs w:val="20"/>
          <w:highlight w:val="none"/>
        </w:rPr>
        <w:t>评标办法</w:t>
      </w: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14"/>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83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0" w:hRule="atLeast"/>
          <w:tblHeader/>
          <w:jc w:val="center"/>
        </w:trPr>
        <w:tc>
          <w:tcPr>
            <w:tcW w:w="1065" w:type="dxa"/>
            <w:tcBorders>
              <w:bottom w:val="single" w:color="auto" w:sz="4" w:space="0"/>
            </w:tcBorders>
            <w:noWrap w:val="0"/>
            <w:vAlign w:val="center"/>
          </w:tcPr>
          <w:p>
            <w:pPr>
              <w:spacing w:line="400" w:lineRule="exact"/>
              <w:jc w:val="center"/>
              <w:rPr>
                <w:rFonts w:hint="eastAsia" w:ascii="仿宋" w:hAnsi="仿宋" w:eastAsia="仿宋"/>
                <w:b/>
                <w:color w:val="auto"/>
                <w:szCs w:val="21"/>
                <w:highlight w:val="none"/>
              </w:rPr>
            </w:pPr>
            <w:r>
              <w:rPr>
                <w:rFonts w:hint="eastAsia" w:ascii="仿宋" w:hAnsi="仿宋" w:eastAsia="仿宋"/>
                <w:b/>
                <w:color w:val="auto"/>
                <w:szCs w:val="21"/>
                <w:highlight w:val="none"/>
              </w:rPr>
              <w:t>评审因素</w:t>
            </w:r>
          </w:p>
        </w:tc>
        <w:tc>
          <w:tcPr>
            <w:tcW w:w="8363" w:type="dxa"/>
            <w:noWrap w:val="0"/>
            <w:vAlign w:val="center"/>
          </w:tcPr>
          <w:p>
            <w:pPr>
              <w:spacing w:line="400" w:lineRule="exact"/>
              <w:jc w:val="center"/>
              <w:rPr>
                <w:rFonts w:hint="eastAsia" w:ascii="仿宋" w:hAnsi="仿宋" w:eastAsia="仿宋"/>
                <w:b/>
                <w:color w:val="auto"/>
                <w:szCs w:val="21"/>
                <w:highlight w:val="none"/>
              </w:rPr>
            </w:pPr>
            <w:r>
              <w:rPr>
                <w:rFonts w:hint="eastAsia" w:ascii="仿宋" w:hAnsi="仿宋" w:eastAsia="仿宋"/>
                <w:b/>
                <w:color w:val="auto"/>
                <w:szCs w:val="21"/>
                <w:highlight w:val="none"/>
              </w:rPr>
              <w:t>评分标准说明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38" w:hRule="atLeast"/>
          <w:jc w:val="center"/>
        </w:trPr>
        <w:tc>
          <w:tcPr>
            <w:tcW w:w="1065" w:type="dxa"/>
            <w:vMerge w:val="restart"/>
            <w:tcBorders>
              <w:top w:val="single" w:color="auto" w:sz="4" w:space="0"/>
            </w:tcBorders>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技术、资信分（</w:t>
            </w:r>
            <w:r>
              <w:rPr>
                <w:rFonts w:hint="eastAsia" w:ascii="仿宋" w:hAnsi="仿宋" w:eastAsia="仿宋"/>
                <w:color w:val="auto"/>
                <w:szCs w:val="21"/>
                <w:highlight w:val="none"/>
                <w:lang w:val="en-US" w:eastAsia="zh-CN"/>
              </w:rPr>
              <w:t>80</w:t>
            </w:r>
            <w:r>
              <w:rPr>
                <w:rFonts w:hint="eastAsia" w:ascii="仿宋" w:hAnsi="仿宋" w:eastAsia="仿宋"/>
                <w:color w:val="auto"/>
                <w:szCs w:val="21"/>
                <w:highlight w:val="none"/>
              </w:rPr>
              <w:t>分）</w:t>
            </w:r>
          </w:p>
        </w:tc>
        <w:tc>
          <w:tcPr>
            <w:tcW w:w="8363" w:type="dxa"/>
            <w:noWrap w:val="0"/>
            <w:vAlign w:val="center"/>
          </w:tcPr>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1、项目整体策划及设想（2分）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针对本项目的背景、目的，所要达到的目标进行整体策划及设想，评委根据投标人提供的项目整体策划及设想方案的适用性、合理性进行综合评议，满分2分。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29" w:hRule="atLeast"/>
          <w:jc w:val="center"/>
        </w:trPr>
        <w:tc>
          <w:tcPr>
            <w:tcW w:w="1065" w:type="dxa"/>
            <w:vMerge w:val="continue"/>
            <w:tcBorders>
              <w:top w:val="single" w:color="auto" w:sz="4" w:space="0"/>
            </w:tcBorders>
            <w:noWrap w:val="0"/>
            <w:vAlign w:val="center"/>
          </w:tcPr>
          <w:p>
            <w:pPr>
              <w:spacing w:line="400" w:lineRule="exact"/>
              <w:jc w:val="center"/>
              <w:rPr>
                <w:rFonts w:hint="eastAsia" w:ascii="仿宋" w:hAnsi="仿宋" w:eastAsia="仿宋"/>
                <w:color w:val="auto"/>
                <w:szCs w:val="21"/>
                <w:highlight w:val="none"/>
              </w:rPr>
            </w:pPr>
          </w:p>
        </w:tc>
        <w:tc>
          <w:tcPr>
            <w:tcW w:w="8363" w:type="dxa"/>
            <w:noWrap w:val="0"/>
            <w:vAlign w:val="center"/>
          </w:tcPr>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2、项目重难点分析及相应的解决方案（4分）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1）投标人对项目重难点分析全面性、把握到位程度进行综合评议，满分2分。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2）投标人对项目实施重难点分析结果提出的建议和解决措施是否合理，可操作性强进行行综合评议，满分2分。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63" w:hRule="atLeast"/>
          <w:jc w:val="center"/>
        </w:trPr>
        <w:tc>
          <w:tcPr>
            <w:tcW w:w="1065" w:type="dxa"/>
            <w:vMerge w:val="continue"/>
            <w:tcBorders>
              <w:top w:val="single" w:color="auto" w:sz="4" w:space="0"/>
            </w:tcBorders>
            <w:noWrap w:val="0"/>
            <w:vAlign w:val="center"/>
          </w:tcPr>
          <w:p>
            <w:pPr>
              <w:spacing w:line="400" w:lineRule="exact"/>
              <w:jc w:val="center"/>
              <w:rPr>
                <w:rFonts w:hint="eastAsia" w:ascii="仿宋" w:hAnsi="仿宋" w:eastAsia="仿宋"/>
                <w:color w:val="auto"/>
                <w:szCs w:val="21"/>
                <w:highlight w:val="none"/>
              </w:rPr>
            </w:pPr>
          </w:p>
        </w:tc>
        <w:tc>
          <w:tcPr>
            <w:tcW w:w="8363" w:type="dxa"/>
            <w:noWrap w:val="0"/>
            <w:vAlign w:val="center"/>
          </w:tcPr>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3、技术条款响应（20分）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完全符合招标文件第三部分采购需求之三项目内容和要求和四项目维修养护管理服务要求的得20分，每负偏离或不满足1条指标扣2分，扣完为止。标▲项不满足的作无效标处理。本项最高得20分，当扣减分数≥20分时，作无效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95" w:hRule="atLeast"/>
          <w:jc w:val="center"/>
        </w:trPr>
        <w:tc>
          <w:tcPr>
            <w:tcW w:w="1065" w:type="dxa"/>
            <w:vMerge w:val="continue"/>
            <w:tcBorders>
              <w:top w:val="single" w:color="auto" w:sz="4" w:space="0"/>
            </w:tcBorders>
            <w:noWrap w:val="0"/>
            <w:vAlign w:val="center"/>
          </w:tcPr>
          <w:p>
            <w:pPr>
              <w:spacing w:line="400" w:lineRule="exact"/>
              <w:jc w:val="center"/>
              <w:rPr>
                <w:rFonts w:hint="eastAsia" w:ascii="仿宋" w:hAnsi="仿宋" w:eastAsia="仿宋"/>
                <w:color w:val="auto"/>
                <w:szCs w:val="21"/>
                <w:highlight w:val="none"/>
              </w:rPr>
            </w:pPr>
          </w:p>
        </w:tc>
        <w:tc>
          <w:tcPr>
            <w:tcW w:w="8363" w:type="dxa"/>
            <w:noWrap w:val="0"/>
            <w:vAlign w:val="center"/>
          </w:tcPr>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4、人员配置方案（10分）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1）评委根据投标人提供的拟投入本项目的人员岗位设置、人员层次、工作经验、技能水平的</w:t>
            </w:r>
            <w:r>
              <w:rPr>
                <w:rFonts w:hint="eastAsia" w:ascii="仿宋" w:hAnsi="仿宋" w:eastAsia="仿宋" w:cs="Times New Roman"/>
                <w:color w:val="auto"/>
                <w:szCs w:val="21"/>
                <w:highlight w:val="none"/>
                <w:lang w:val="en-US" w:eastAsia="zh-CN"/>
              </w:rPr>
              <w:t>适用性、合理性、专业性</w:t>
            </w:r>
            <w:r>
              <w:rPr>
                <w:rFonts w:hint="eastAsia" w:ascii="仿宋" w:hAnsi="仿宋" w:eastAsia="仿宋" w:cs="Times New Roman"/>
                <w:color w:val="auto"/>
                <w:szCs w:val="21"/>
                <w:highlight w:val="none"/>
                <w:lang w:val="en-US" w:eastAsia="zh-CN"/>
              </w:rPr>
              <w:t>进行评议，每项内容0-1.5分，最高6分。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投标文件中提供人员的资格证书及其他人员专业技术职称证书复印件加盖公章。</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2）企业内部制度：根据投标人建立的项目管理组织机构是否合理、切合实际、组织分工明确、是否能满足维修养护管理服务要求进行综合评议，每项内容0-1分，最高4分。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55" w:hRule="atLeast"/>
          <w:jc w:val="center"/>
        </w:trPr>
        <w:tc>
          <w:tcPr>
            <w:tcW w:w="1065" w:type="dxa"/>
            <w:vMerge w:val="continue"/>
            <w:tcBorders>
              <w:top w:val="single" w:color="auto" w:sz="4" w:space="0"/>
            </w:tcBorders>
            <w:noWrap w:val="0"/>
            <w:vAlign w:val="center"/>
          </w:tcPr>
          <w:p>
            <w:pPr>
              <w:spacing w:line="400" w:lineRule="exact"/>
              <w:jc w:val="center"/>
              <w:rPr>
                <w:rFonts w:hint="eastAsia" w:ascii="仿宋" w:hAnsi="仿宋" w:eastAsia="仿宋"/>
                <w:color w:val="auto"/>
                <w:szCs w:val="21"/>
                <w:highlight w:val="none"/>
              </w:rPr>
            </w:pPr>
          </w:p>
        </w:tc>
        <w:tc>
          <w:tcPr>
            <w:tcW w:w="8363" w:type="dxa"/>
            <w:noWrap w:val="0"/>
            <w:vAlign w:val="center"/>
          </w:tcPr>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5、车辆及工器具配置（12分）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1）投标人为本项目配备专用路灯车，每配备1辆得3分，最高得6分；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注：须提供车辆行驶证，车辆所有人与投标人必须为同一单位，否则不得分，以上证明资料复印件编入商务技术文件中。</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2）投标人为本项目配备有：万用表、断线钳、绝缘电阻测试仪、直流电阻快速测速仪、全自动抗干扰介质损耗测试仪、直流高压发生器、接地电阻测试仪、互感器伏安特性测试仪，每个得0.5分，满分4分。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注：提供设备购置发票复印件编入商务技术文件中。</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3）投标人为本项目配备的其他相关设备、工器具的齐全性、功能性进行评议，满分2分；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以上所配备的车辆和设备必须编入商务技术文件，否则不得分。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5" w:hRule="atLeast"/>
          <w:jc w:val="center"/>
        </w:trPr>
        <w:tc>
          <w:tcPr>
            <w:tcW w:w="1065" w:type="dxa"/>
            <w:vMerge w:val="continue"/>
            <w:tcBorders>
              <w:top w:val="single" w:color="auto" w:sz="4" w:space="0"/>
            </w:tcBorders>
            <w:noWrap w:val="0"/>
            <w:vAlign w:val="center"/>
          </w:tcPr>
          <w:p>
            <w:pPr>
              <w:spacing w:line="400" w:lineRule="exact"/>
              <w:jc w:val="center"/>
              <w:rPr>
                <w:rFonts w:hint="eastAsia" w:ascii="仿宋" w:hAnsi="仿宋" w:eastAsia="仿宋"/>
                <w:color w:val="auto"/>
                <w:szCs w:val="21"/>
                <w:highlight w:val="none"/>
              </w:rPr>
            </w:pPr>
          </w:p>
        </w:tc>
        <w:tc>
          <w:tcPr>
            <w:tcW w:w="8363" w:type="dxa"/>
            <w:noWrap w:val="0"/>
            <w:vAlign w:val="center"/>
          </w:tcPr>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6、维修养护管理实施方案（10分）</w:t>
            </w:r>
          </w:p>
          <w:p>
            <w:pPr>
              <w:spacing w:line="400" w:lineRule="exact"/>
              <w:jc w:val="left"/>
              <w:rPr>
                <w:rFonts w:hint="default"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1）照明设施信息收集方案包括拟收集照明设施信息的全面性、与维修养护管理有关信息的全面性进行综合评议，满分2分。</w:t>
            </w:r>
          </w:p>
          <w:p>
            <w:pPr>
              <w:spacing w:line="400" w:lineRule="exact"/>
              <w:jc w:val="left"/>
              <w:rPr>
                <w:rFonts w:hint="default"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2）维修养护管理实施方案的合理性、专业性、针对性进行综合评议，满分2分。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3）维修养护管理台账资料：根据投标人提供的维修养护管理台账资料样式进行评议，维修养护管理台账资料内容详实，逻辑清晰，表述完整，综合评议，满分2分。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4）维修养护管理质量保障措施：根据投标人提供的项目实施质量保障措施内容的详细阐述进行评议，项目实施质量保障措施合理、专业、有针对性，综合评议，满分2分。</w:t>
            </w:r>
          </w:p>
          <w:p>
            <w:pPr>
              <w:spacing w:line="400" w:lineRule="exact"/>
              <w:jc w:val="left"/>
              <w:rPr>
                <w:rFonts w:hint="default"/>
                <w:color w:val="auto"/>
                <w:highlight w:val="none"/>
                <w:lang w:val="en-US" w:eastAsia="zh-CN"/>
              </w:rPr>
            </w:pPr>
            <w:r>
              <w:rPr>
                <w:rFonts w:hint="eastAsia" w:ascii="仿宋" w:hAnsi="仿宋" w:eastAsia="仿宋" w:cs="Times New Roman"/>
                <w:color w:val="auto"/>
                <w:szCs w:val="21"/>
                <w:highlight w:val="none"/>
                <w:lang w:val="en-US" w:eastAsia="zh-CN"/>
              </w:rPr>
              <w:t>5）照明设施防盗措施：根据投标人提供的照明设施防盗措施（含技术措施和管理措施）内容的详细阐述进行评议，防盗措施合理、专业、有针对性，综合评议，满分2分。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5" w:hRule="atLeast"/>
          <w:jc w:val="center"/>
        </w:trPr>
        <w:tc>
          <w:tcPr>
            <w:tcW w:w="1065" w:type="dxa"/>
            <w:vMerge w:val="continue"/>
            <w:tcBorders>
              <w:top w:val="single" w:color="auto" w:sz="4" w:space="0"/>
            </w:tcBorders>
            <w:noWrap w:val="0"/>
            <w:vAlign w:val="center"/>
          </w:tcPr>
          <w:p>
            <w:pPr>
              <w:spacing w:line="400" w:lineRule="exact"/>
              <w:jc w:val="center"/>
              <w:rPr>
                <w:rFonts w:hint="eastAsia" w:ascii="仿宋" w:hAnsi="仿宋" w:eastAsia="仿宋"/>
                <w:color w:val="auto"/>
                <w:szCs w:val="21"/>
                <w:highlight w:val="none"/>
              </w:rPr>
            </w:pPr>
          </w:p>
        </w:tc>
        <w:tc>
          <w:tcPr>
            <w:tcW w:w="8363" w:type="dxa"/>
            <w:noWrap w:val="0"/>
            <w:vAlign w:val="top"/>
          </w:tcPr>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7、安全管理方案（6分）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安全管理方案包括安全管理制度、安全责任落实措施、安全标准管理体系、安全教育和培训方案，每项内容0-1.5分。安全管理方案内容是否完善、合理、是否对项目开展具有较强针对性、操作性进行评审，满分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5" w:hRule="atLeast"/>
          <w:jc w:val="center"/>
        </w:trPr>
        <w:tc>
          <w:tcPr>
            <w:tcW w:w="1065" w:type="dxa"/>
            <w:vMerge w:val="continue"/>
            <w:tcBorders>
              <w:top w:val="single" w:color="auto" w:sz="4" w:space="0"/>
            </w:tcBorders>
            <w:noWrap w:val="0"/>
            <w:vAlign w:val="center"/>
          </w:tcPr>
          <w:p>
            <w:pPr>
              <w:spacing w:line="400" w:lineRule="exact"/>
              <w:jc w:val="center"/>
              <w:rPr>
                <w:rFonts w:hint="eastAsia" w:ascii="仿宋" w:hAnsi="仿宋" w:eastAsia="仿宋"/>
                <w:color w:val="auto"/>
                <w:szCs w:val="21"/>
                <w:highlight w:val="none"/>
              </w:rPr>
            </w:pPr>
          </w:p>
        </w:tc>
        <w:tc>
          <w:tcPr>
            <w:tcW w:w="8363" w:type="dxa"/>
            <w:noWrap w:val="0"/>
            <w:vAlign w:val="center"/>
          </w:tcPr>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8、零配件仓储及配备（9分）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1）零配件供应（6分）：评委根据投标人针对本项目所需的零配件配置预案包括零配件种类、品牌、数量、规格型号，每项内容0-1.5分，进行评议，满分6分；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2）零配件仓储（3分）：评委根据投标人针对本项目所配置的零配件仓储场地，面积≥200平方的得3分，200 平方＞面积≥100平方的得2分，面积＜100平方的得1分。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注：自有产权的提供产权证明，租赁的提供租赁协议，复印件编入商务技术文件中。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2" w:hRule="atLeast"/>
          <w:jc w:val="center"/>
        </w:trPr>
        <w:tc>
          <w:tcPr>
            <w:tcW w:w="1065" w:type="dxa"/>
            <w:vMerge w:val="continue"/>
            <w:tcBorders>
              <w:top w:val="single" w:color="auto" w:sz="4" w:space="0"/>
            </w:tcBorders>
            <w:noWrap w:val="0"/>
            <w:vAlign w:val="center"/>
          </w:tcPr>
          <w:p>
            <w:pPr>
              <w:spacing w:line="400" w:lineRule="exact"/>
              <w:jc w:val="center"/>
              <w:rPr>
                <w:rFonts w:hint="eastAsia" w:ascii="仿宋" w:hAnsi="仿宋" w:eastAsia="仿宋"/>
                <w:color w:val="auto"/>
                <w:szCs w:val="21"/>
                <w:highlight w:val="none"/>
              </w:rPr>
            </w:pPr>
          </w:p>
        </w:tc>
        <w:tc>
          <w:tcPr>
            <w:tcW w:w="8363" w:type="dxa"/>
            <w:noWrap w:val="0"/>
            <w:vAlign w:val="center"/>
          </w:tcPr>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9、企业实力（4分）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1）根据投标人企业综合实力、企业履约能力、企业荣誉的专业度进行评价，每项内容0-1分，最高3分。</w:t>
            </w:r>
          </w:p>
          <w:p>
            <w:pPr>
              <w:spacing w:line="400" w:lineRule="exact"/>
              <w:jc w:val="left"/>
              <w:rPr>
                <w:rFonts w:hint="default"/>
                <w:color w:val="auto"/>
                <w:highlight w:val="none"/>
                <w:lang w:val="en-US" w:eastAsia="zh-CN"/>
              </w:rPr>
            </w:pPr>
            <w:r>
              <w:rPr>
                <w:rFonts w:hint="eastAsia" w:ascii="仿宋" w:hAnsi="仿宋" w:eastAsia="仿宋" w:cs="Times New Roman"/>
                <w:color w:val="auto"/>
                <w:szCs w:val="21"/>
                <w:highlight w:val="none"/>
                <w:lang w:val="en-US" w:eastAsia="zh-CN"/>
              </w:rPr>
              <w:t>2）投标人同时具质量管理体系认证证书、环境管理体系认证证书和职业健康安全管理体系认证证书的得1分。提供证书复印件编入商务技术文件中。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44" w:hRule="atLeast"/>
          <w:jc w:val="center"/>
        </w:trPr>
        <w:tc>
          <w:tcPr>
            <w:tcW w:w="1065" w:type="dxa"/>
            <w:vMerge w:val="continue"/>
            <w:noWrap w:val="0"/>
            <w:vAlign w:val="center"/>
          </w:tcPr>
          <w:p>
            <w:pPr>
              <w:spacing w:line="400" w:lineRule="exact"/>
              <w:jc w:val="center"/>
              <w:rPr>
                <w:rFonts w:hint="eastAsia" w:ascii="仿宋" w:hAnsi="仿宋" w:eastAsia="仿宋"/>
                <w:color w:val="auto"/>
                <w:szCs w:val="21"/>
                <w:highlight w:val="none"/>
              </w:rPr>
            </w:pPr>
          </w:p>
        </w:tc>
        <w:tc>
          <w:tcPr>
            <w:tcW w:w="8363" w:type="dxa"/>
            <w:noWrap w:val="0"/>
            <w:vAlign w:val="center"/>
          </w:tcPr>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10、业绩（2分）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2019年1月1日以来（以合同签订时间为准），投标人具有照明设施维修养护管理服务业绩，每个得1分，最多得2分。</w:t>
            </w:r>
          </w:p>
          <w:p>
            <w:pPr>
              <w:spacing w:line="400" w:lineRule="exact"/>
              <w:jc w:val="left"/>
              <w:rPr>
                <w:rFonts w:hint="eastAsia"/>
                <w:color w:val="auto"/>
                <w:highlight w:val="none"/>
                <w:lang w:val="en-US" w:eastAsia="zh-CN"/>
              </w:rPr>
            </w:pPr>
            <w:r>
              <w:rPr>
                <w:rFonts w:hint="eastAsia" w:ascii="仿宋" w:hAnsi="仿宋" w:eastAsia="仿宋" w:cs="Times New Roman"/>
                <w:color w:val="auto"/>
                <w:szCs w:val="21"/>
                <w:highlight w:val="none"/>
                <w:lang w:val="en-US" w:eastAsia="zh-CN"/>
              </w:rPr>
              <w:t>注：需同时提供中标通知书、书面合同和合同期内至少一次的服务费发票，证明资料缺一不得分。若提供的证明资料无法体现评审要素的，需提供合同甲方出具的证明资料（需有合同甲方的签字及盖章）。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09" w:hRule="atLeast"/>
          <w:jc w:val="center"/>
        </w:trPr>
        <w:tc>
          <w:tcPr>
            <w:tcW w:w="1065" w:type="dxa"/>
            <w:vMerge w:val="continue"/>
            <w:noWrap w:val="0"/>
            <w:vAlign w:val="center"/>
          </w:tcPr>
          <w:p>
            <w:pPr>
              <w:spacing w:line="400" w:lineRule="exact"/>
              <w:jc w:val="center"/>
              <w:rPr>
                <w:rFonts w:hint="eastAsia" w:ascii="仿宋" w:hAnsi="仿宋" w:eastAsia="仿宋"/>
                <w:color w:val="auto"/>
                <w:szCs w:val="21"/>
                <w:highlight w:val="none"/>
              </w:rPr>
            </w:pPr>
          </w:p>
        </w:tc>
        <w:tc>
          <w:tcPr>
            <w:tcW w:w="8363" w:type="dxa"/>
            <w:noWrap w:val="0"/>
            <w:vAlign w:val="center"/>
          </w:tcPr>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11、政府采购政策（1分）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投标人是国家认定的不发达地区或少数民族地区企业的加1分。</w:t>
            </w:r>
          </w:p>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提供相关证明资料复印件编入商务技术文件。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11" w:hRule="atLeast"/>
          <w:jc w:val="center"/>
        </w:trPr>
        <w:tc>
          <w:tcPr>
            <w:tcW w:w="1065" w:type="dxa"/>
            <w:tcBorders>
              <w:top w:val="single" w:color="auto" w:sz="4" w:space="0"/>
            </w:tcBorders>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价格分（</w:t>
            </w:r>
            <w:r>
              <w:rPr>
                <w:rFonts w:hint="eastAsia" w:ascii="仿宋" w:hAnsi="仿宋" w:eastAsia="仿宋"/>
                <w:color w:val="auto"/>
                <w:szCs w:val="21"/>
                <w:highlight w:val="none"/>
                <w:lang w:val="en-US" w:eastAsia="zh-CN"/>
              </w:rPr>
              <w:t>20</w:t>
            </w:r>
            <w:r>
              <w:rPr>
                <w:rFonts w:hint="eastAsia" w:ascii="仿宋" w:hAnsi="仿宋" w:eastAsia="仿宋"/>
                <w:color w:val="auto"/>
                <w:szCs w:val="21"/>
                <w:highlight w:val="none"/>
              </w:rPr>
              <w:t>分）</w:t>
            </w:r>
          </w:p>
        </w:tc>
        <w:tc>
          <w:tcPr>
            <w:tcW w:w="8363" w:type="dxa"/>
            <w:tcBorders>
              <w:top w:val="single" w:color="auto" w:sz="6" w:space="0"/>
              <w:left w:val="single" w:color="auto" w:sz="6" w:space="0"/>
              <w:bottom w:val="single" w:color="auto" w:sz="6" w:space="0"/>
              <w:right w:val="single" w:color="auto" w:sz="6" w:space="0"/>
            </w:tcBorders>
            <w:noWrap w:val="0"/>
            <w:vAlign w:val="center"/>
          </w:tcPr>
          <w:p>
            <w:pPr>
              <w:pStyle w:val="25"/>
              <w:adjustRightInd w:val="0"/>
              <w:snapToGrid w:val="0"/>
              <w:spacing w:line="400" w:lineRule="exact"/>
              <w:ind w:firstLine="0" w:firstLineChars="0"/>
              <w:rPr>
                <w:rFonts w:hint="eastAsia" w:ascii="仿宋" w:hAnsi="仿宋" w:eastAsia="仿宋"/>
                <w:bCs/>
                <w:color w:val="auto"/>
                <w:sz w:val="21"/>
                <w:szCs w:val="21"/>
                <w:highlight w:val="none"/>
              </w:rPr>
            </w:pPr>
            <w:r>
              <w:rPr>
                <w:rFonts w:hint="eastAsia" w:ascii="仿宋" w:hAnsi="仿宋" w:eastAsia="仿宋"/>
                <w:bCs/>
                <w:color w:val="auto"/>
                <w:sz w:val="21"/>
                <w:szCs w:val="21"/>
                <w:highlight w:val="none"/>
              </w:rPr>
              <w:t>满足招标文件要求且参与评审价格最低为评标基准价，其价格分为满分。</w:t>
            </w:r>
          </w:p>
          <w:p>
            <w:pPr>
              <w:pStyle w:val="25"/>
              <w:adjustRightInd w:val="0"/>
              <w:snapToGrid w:val="0"/>
              <w:spacing w:line="400" w:lineRule="exact"/>
              <w:ind w:firstLine="0" w:firstLineChars="0"/>
              <w:rPr>
                <w:rFonts w:hint="eastAsia" w:ascii="仿宋" w:hAnsi="仿宋" w:eastAsia="仿宋"/>
                <w:bCs/>
                <w:color w:val="auto"/>
                <w:sz w:val="21"/>
                <w:szCs w:val="21"/>
                <w:highlight w:val="none"/>
              </w:rPr>
            </w:pPr>
            <w:r>
              <w:rPr>
                <w:rFonts w:hint="eastAsia" w:ascii="仿宋" w:hAnsi="仿宋" w:eastAsia="仿宋"/>
                <w:bCs/>
                <w:color w:val="auto"/>
                <w:sz w:val="21"/>
                <w:szCs w:val="21"/>
                <w:highlight w:val="none"/>
              </w:rPr>
              <w:t>其他投标人的价格分按照下列公式计算：</w:t>
            </w:r>
          </w:p>
          <w:p>
            <w:pPr>
              <w:pStyle w:val="25"/>
              <w:adjustRightInd w:val="0"/>
              <w:snapToGrid w:val="0"/>
              <w:spacing w:line="400" w:lineRule="exact"/>
              <w:ind w:firstLine="0" w:firstLineChars="0"/>
              <w:rPr>
                <w:rFonts w:hint="eastAsia" w:ascii="仿宋" w:hAnsi="仿宋" w:eastAsia="仿宋"/>
                <w:bCs/>
                <w:color w:val="auto"/>
                <w:sz w:val="21"/>
                <w:szCs w:val="21"/>
                <w:highlight w:val="none"/>
              </w:rPr>
            </w:pPr>
            <w:r>
              <w:rPr>
                <w:rFonts w:hint="eastAsia" w:ascii="仿宋" w:hAnsi="仿宋" w:eastAsia="仿宋"/>
                <w:bCs/>
                <w:color w:val="auto"/>
                <w:sz w:val="21"/>
                <w:szCs w:val="21"/>
                <w:highlight w:val="none"/>
              </w:rPr>
              <w:t>参与评审价格=</w:t>
            </w:r>
            <w:r>
              <w:rPr>
                <w:rFonts w:hint="eastAsia" w:ascii="仿宋" w:hAnsi="仿宋" w:eastAsia="仿宋"/>
                <w:bCs/>
                <w:color w:val="auto"/>
                <w:sz w:val="21"/>
                <w:szCs w:val="21"/>
                <w:highlight w:val="none"/>
                <w:lang w:val="en-US" w:eastAsia="zh-CN"/>
              </w:rPr>
              <w:t>通过报价评审且有效的</w:t>
            </w:r>
            <w:r>
              <w:rPr>
                <w:rFonts w:hint="eastAsia" w:ascii="仿宋" w:hAnsi="仿宋" w:eastAsia="仿宋"/>
                <w:bCs/>
                <w:color w:val="auto"/>
                <w:sz w:val="21"/>
                <w:szCs w:val="21"/>
                <w:highlight w:val="none"/>
              </w:rPr>
              <w:t>投标价格</w:t>
            </w:r>
          </w:p>
          <w:p>
            <w:pPr>
              <w:pStyle w:val="25"/>
              <w:adjustRightInd w:val="0"/>
              <w:snapToGrid w:val="0"/>
              <w:spacing w:line="400" w:lineRule="exact"/>
              <w:ind w:firstLine="0" w:firstLineChars="0"/>
              <w:rPr>
                <w:rFonts w:hint="eastAsia" w:ascii="仿宋" w:hAnsi="仿宋" w:eastAsia="仿宋"/>
                <w:bCs/>
                <w:color w:val="auto"/>
                <w:sz w:val="21"/>
                <w:szCs w:val="21"/>
                <w:highlight w:val="none"/>
              </w:rPr>
            </w:pPr>
            <w:r>
              <w:rPr>
                <w:rFonts w:hint="eastAsia" w:ascii="仿宋" w:hAnsi="仿宋" w:eastAsia="仿宋"/>
                <w:bCs/>
                <w:color w:val="auto"/>
                <w:sz w:val="21"/>
                <w:szCs w:val="21"/>
                <w:highlight w:val="none"/>
              </w:rPr>
              <w:t>价格分=（评标基准价/参与评审的价格）×</w:t>
            </w:r>
            <w:r>
              <w:rPr>
                <w:rFonts w:hint="eastAsia" w:ascii="仿宋" w:hAnsi="仿宋" w:eastAsia="仿宋"/>
                <w:bCs/>
                <w:color w:val="auto"/>
                <w:sz w:val="21"/>
                <w:szCs w:val="21"/>
                <w:highlight w:val="none"/>
                <w:lang w:val="en-US" w:eastAsia="zh-CN"/>
              </w:rPr>
              <w:t>2</w:t>
            </w:r>
            <w:r>
              <w:rPr>
                <w:rFonts w:hint="eastAsia" w:ascii="仿宋" w:hAnsi="仿宋" w:eastAsia="仿宋"/>
                <w:bCs/>
                <w:color w:val="auto"/>
                <w:sz w:val="21"/>
                <w:szCs w:val="21"/>
                <w:highlight w:val="none"/>
              </w:rPr>
              <w:t>0%×100</w:t>
            </w:r>
          </w:p>
          <w:p>
            <w:pPr>
              <w:pStyle w:val="25"/>
              <w:adjustRightInd w:val="0"/>
              <w:snapToGrid w:val="0"/>
              <w:spacing w:line="400" w:lineRule="exact"/>
              <w:ind w:firstLine="0" w:firstLineChars="0"/>
              <w:rPr>
                <w:rFonts w:hint="eastAsia" w:ascii="仿宋" w:hAnsi="仿宋" w:eastAsia="仿宋"/>
                <w:color w:val="auto"/>
                <w:sz w:val="21"/>
                <w:szCs w:val="21"/>
                <w:highlight w:val="none"/>
              </w:rPr>
            </w:pPr>
            <w:r>
              <w:rPr>
                <w:rFonts w:hint="eastAsia" w:ascii="仿宋" w:hAnsi="仿宋" w:eastAsia="仿宋"/>
                <w:bCs/>
                <w:color w:val="auto"/>
                <w:sz w:val="21"/>
                <w:szCs w:val="21"/>
                <w:highlight w:val="none"/>
              </w:rPr>
              <w:t>投标报价得分以四舍五入保留小数点后二位。</w:t>
            </w:r>
          </w:p>
        </w:tc>
      </w:tr>
    </w:tbl>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kern w:val="0"/>
          <w:sz w:val="24"/>
          <w:highlight w:val="none"/>
          <w:lang w:val="zh-CN"/>
        </w:rPr>
        <w:t>供应商</w:t>
      </w:r>
      <w:r>
        <w:rPr>
          <w:rFonts w:hint="eastAsia" w:ascii="仿宋" w:hAnsi="仿宋" w:eastAsia="仿宋" w:cs="仿宋"/>
          <w:color w:val="auto"/>
          <w:sz w:val="24"/>
          <w:highlight w:val="none"/>
        </w:rPr>
        <w:t>编制投标文件（商务技术文件部分）时，建议按此目录（序号和内容）提供评标标准相应的商务技术资料。</w:t>
      </w: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一、评标方法</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1.本项目采用综合评分法。</w:t>
      </w:r>
      <w:r>
        <w:rPr>
          <w:rFonts w:hint="eastAsia" w:ascii="仿宋" w:hAnsi="仿宋" w:eastAsia="仿宋" w:cs="仿宋"/>
          <w:color w:val="auto"/>
          <w:sz w:val="24"/>
          <w:highlight w:val="none"/>
        </w:rPr>
        <w:t>综合评分法，是指投标文件满足招标文件全部实质性要求，且按照评审因素的量化指标评审得分最高的供应商为中标候选人的评标方法。</w:t>
      </w: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二、评标标准</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sz w:val="24"/>
          <w:highlight w:val="none"/>
        </w:rPr>
        <w:t>见评标办法前附表。</w:t>
      </w: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三、评标程序</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3.1符合性审查。</w:t>
      </w:r>
      <w:r>
        <w:rPr>
          <w:rFonts w:hint="eastAsia" w:ascii="仿宋" w:hAnsi="仿宋" w:eastAsia="仿宋" w:cs="仿宋"/>
          <w:color w:val="auto"/>
          <w:sz w:val="24"/>
          <w:highlight w:val="none"/>
        </w:rPr>
        <w:t>评标委员会应当对符合资格的供应商的投标文件进行符合性审查，以确定其是否满足招标文件的实质性要求。不满足招标文件的实质性要求的，投标无效。</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3.2商务技术评审。</w:t>
      </w:r>
      <w:r>
        <w:rPr>
          <w:rFonts w:hint="eastAsia" w:ascii="仿宋" w:hAnsi="仿宋" w:eastAsia="仿宋" w:cs="仿宋"/>
          <w:color w:val="auto"/>
          <w:sz w:val="24"/>
          <w:highlight w:val="none"/>
        </w:rPr>
        <w:t>评标委员会应当按照招标文件中规定的评标方法和标准，对符合性审查合格的投标文件进行商务和技术评估。</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3.3汇总商务技术得分。</w:t>
      </w:r>
      <w:r>
        <w:rPr>
          <w:rFonts w:hint="eastAsia" w:ascii="仿宋" w:hAnsi="仿宋" w:eastAsia="仿宋" w:cs="仿宋"/>
          <w:color w:val="auto"/>
          <w:sz w:val="24"/>
          <w:highlight w:val="none"/>
        </w:rPr>
        <w:t>评标委员会各成员应当独立对每个供应商的商务和技术文件进行评价，并汇总商务技术得分情况。</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3.4报价评审。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3.4.1投标文件报价出现前后不一致的，按照下列规定修正：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3.4.1.1电子交易平台生成的开标记录表(报价表)内容与投标文件中开标一览表(报价表)不一致的，以投标文件中开标一览表(报价表)为准；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3.4.1.2投标文件中开标一览表(报价表)内容与投标文件中相应内容不一致的，以开标一览表(报价表)为准；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3.4.1.3大写金额和小写金额不一致的，以大写金额为准;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3.4.1.4单价金额小数点或者百分比有明显错位的，以开标一览表的总价为准，并修改单价;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3.4.1.5总价金额与按单价汇总金额不一致的，以单价金额计算结果为准；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3.4.1.6同时出现两种以上不一致的，按照3.4.1规定的顺序修正。修正后的报价按照财政部第87号令《政府采购货物和服务招标投标管理办法》第五十一条第二款的规定经供应商确认后产生约束力。</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3.4.2投标文件出现不是唯一的、有选择性投标报价的，投标无效。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3.4.3投标报价超过招标文件中规定的预算金额或者最高限价的，投标无效。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3.4.4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仿宋"/>
          <w:b/>
          <w:color w:val="auto"/>
          <w:sz w:val="24"/>
          <w:highlight w:val="none"/>
          <w:lang w:eastAsia="zh-CN"/>
        </w:rPr>
        <w:t>（本项目不适用）</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3.5编写评标报告。</w:t>
      </w:r>
      <w:r>
        <w:rPr>
          <w:rFonts w:hint="eastAsia" w:ascii="仿宋" w:hAnsi="仿宋" w:eastAsia="仿宋" w:cs="仿宋"/>
          <w:color w:val="auto"/>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四、评标中的其他事项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4.1投标澄清、说明或者补正。</w:t>
      </w:r>
      <w:r>
        <w:rPr>
          <w:rFonts w:hint="eastAsia" w:ascii="仿宋" w:hAnsi="仿宋" w:eastAsia="仿宋" w:cs="仿宋"/>
          <w:color w:val="auto"/>
          <w:sz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为半小时，供应商已经明确表示澄清说明或补正完毕的除外。供应商的澄清、说明或者补正不得超出投标文件的范围或者改变投标文件的实质性内容。</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4.2投标无效的情形。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没有响应采购文件实质性要求的投标将被视为无效投标。投标人不得通过修正或撤消不合要求的偏离或保留从而使其投标成为实质上响应的投标，但经评标委员会认定属于投标人疏忽、笔误所造成的差错，可允许其在评标结束之前进行</w:t>
      </w:r>
      <w:r>
        <w:rPr>
          <w:rFonts w:hint="eastAsia" w:ascii="仿宋" w:hAnsi="仿宋" w:eastAsia="仿宋" w:cs="仿宋"/>
          <w:color w:val="auto"/>
          <w:sz w:val="24"/>
          <w:highlight w:val="none"/>
          <w:lang w:eastAsia="zh-CN"/>
        </w:rPr>
        <w:t>必要的澄清、说明</w:t>
      </w:r>
      <w:r>
        <w:rPr>
          <w:rFonts w:hint="eastAsia" w:ascii="仿宋" w:hAnsi="仿宋" w:eastAsia="仿宋" w:cs="仿宋"/>
          <w:color w:val="auto"/>
          <w:sz w:val="24"/>
          <w:highlight w:val="none"/>
        </w:rPr>
        <w:t>或者补正</w:t>
      </w:r>
      <w:r>
        <w:rPr>
          <w:rFonts w:hint="eastAsia" w:ascii="仿宋" w:hAnsi="仿宋" w:eastAsia="仿宋" w:cs="仿宋"/>
          <w:color w:val="auto"/>
          <w:sz w:val="24"/>
          <w:highlight w:val="none"/>
          <w:lang w:eastAsia="zh-CN"/>
        </w:rPr>
        <w:t>，但不得超出投标文件的范围或者改变投标文件的实质性内容。</w:t>
      </w:r>
      <w:r>
        <w:rPr>
          <w:rFonts w:hint="eastAsia" w:ascii="仿宋" w:hAnsi="仿宋" w:eastAsia="仿宋" w:cs="仿宋"/>
          <w:color w:val="auto"/>
          <w:sz w:val="24"/>
          <w:highlight w:val="none"/>
        </w:rPr>
        <w:t>限期内不</w:t>
      </w:r>
      <w:r>
        <w:rPr>
          <w:rFonts w:hint="eastAsia" w:ascii="仿宋" w:hAnsi="仿宋" w:eastAsia="仿宋" w:cs="仿宋"/>
          <w:color w:val="auto"/>
          <w:sz w:val="24"/>
          <w:highlight w:val="none"/>
          <w:lang w:eastAsia="zh-CN"/>
        </w:rPr>
        <w:t>澄清说明</w:t>
      </w:r>
      <w:r>
        <w:rPr>
          <w:rFonts w:hint="eastAsia" w:ascii="仿宋" w:hAnsi="仿宋" w:eastAsia="仿宋" w:cs="仿宋"/>
          <w:color w:val="auto"/>
          <w:sz w:val="24"/>
          <w:highlight w:val="none"/>
        </w:rPr>
        <w:t>补正或经</w:t>
      </w:r>
      <w:r>
        <w:rPr>
          <w:rFonts w:hint="eastAsia" w:ascii="仿宋" w:hAnsi="仿宋" w:eastAsia="仿宋" w:cs="仿宋"/>
          <w:color w:val="auto"/>
          <w:sz w:val="24"/>
          <w:highlight w:val="none"/>
          <w:lang w:eastAsia="zh-CN"/>
        </w:rPr>
        <w:t>澄清说明</w:t>
      </w:r>
      <w:r>
        <w:rPr>
          <w:rFonts w:hint="eastAsia" w:ascii="仿宋" w:hAnsi="仿宋" w:eastAsia="仿宋" w:cs="仿宋"/>
          <w:color w:val="auto"/>
          <w:sz w:val="24"/>
          <w:highlight w:val="none"/>
        </w:rPr>
        <w:t>补正后仍不符合采购文件要求的，应认定其投标无效。投标人</w:t>
      </w:r>
      <w:r>
        <w:rPr>
          <w:rFonts w:hint="eastAsia" w:ascii="仿宋" w:hAnsi="仿宋" w:eastAsia="仿宋" w:cs="仿宋"/>
          <w:color w:val="auto"/>
          <w:sz w:val="24"/>
          <w:highlight w:val="none"/>
          <w:lang w:eastAsia="zh-CN"/>
        </w:rPr>
        <w:t>澄清说明</w:t>
      </w:r>
      <w:r>
        <w:rPr>
          <w:rFonts w:hint="eastAsia" w:ascii="仿宋" w:hAnsi="仿宋" w:eastAsia="仿宋" w:cs="仿宋"/>
          <w:color w:val="auto"/>
          <w:sz w:val="24"/>
          <w:highlight w:val="none"/>
        </w:rPr>
        <w:t>补正投标文件后，不影响评标委员会对其投标文件所作的评价和评分结果。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4.2.1在电子开评标时，如发现下列情形之一的，将被视为无效投标文件：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4.2.1.1电子投标文件解密失败的；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4.2.1.2投标文件未按招标文件要求加密、签字、盖章的；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4.2.2在资格审查、符合性审查和商务评审时，如发现下列情形之一的，将被视为无效投标文件：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4.2.2.1资格证明文件不全的或者不符合招标文件标明的资格要求的；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4.2.2.2投标文件未按招标文件要求签署、盖章的；</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4.2.2.3 投标代表人未能出具身份证明或身份证明与法定代表授权委托书不符的。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投标文件格式不规范、项目不齐全或者内容虚假的；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投标文件的实质性内容未使用中文表述、意思表述不明确、前后矛盾或者使用计量单位不符合招标文件要求的（经评标委员会认定并允许其当场更正的笔误除外）；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投标有效期、交货时间、质保期等商务条款不能满足招标文件要求的；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带“▲”的条款不能满足招标文件要求、未实质性响应招标文件要求或者投标文件有采购人不能接受的附加条件的；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单位负责人为同一人或者存在直接控股、管理关系的不同供应商参加同一合同项下的政府采购活动的；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为采购项目提供整体设计、规范编制或者项目管理、监理、检测等服务的供应商参加该采购项目的其他采购活动的；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商务技术文件中出现本项目投标报价或单价的。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4.2.3在技术评审时，如发现下列情形之一的，将被视为无效投标文件：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4.2.3.1未提供或未如实提供投标货物的技术参数，或者投标文件标明的响应或偏离与事实不符或虚假投标的；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4.2.3.2明显不符合招标文件要求的规格型号、质量标准，或者与招标文件中标“▲”的技术指标、主要功能项目发生实质性偏离的；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4.2.3.3允许偏离的技术、性能指标或辅助功能项目发生负偏离达</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项（含）以上的；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4.2.3.4投标技术方案不明确，存在一个或一个以上备选（替代）投标方案的；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4.2.3.5与其他参加本次投标供应商的投标文件（技术文件）的文字表述内容差错相同2处以上的；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4.2.3.6采购人拟采购的产品属于政府强制采购的节能产品品目清单范围的，供应商未按招标文件要求提供国家确定的认证机构出具的、处于有效期之内的节能产品认证证书的。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4.2.4在报价评审时，如发现下列情形之一的，投标文件将被视为无效：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4.2.4.1未采用人民币报价或者未按照招标文件标明的币种报价的；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4.2.4.2报价超出最高限价，或者超出采购预算金额的；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4.2.4.3投标报价具有选择性的；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4.2.4.4投标报价中出现缺项、漏项或被评标委员会认定为有可能影响产品质量或者不能诚信履约的且不能在合理的时间内证明其报价合理性的；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4.2.4.5供应商对根据修正原则修正后的报价不确认的。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4.2.5其他无效情形：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4.2.5.1不同供应商的投标文件出自同一终端设备或在相同Internet主机分配地址（相同IP地址）进行网上报名、投标的；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4.2.5.2法律、法规、规章（适用本市的）及省级以上规范性文件（适用本市的）规定的其他无效情形。</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5.废标。</w:t>
      </w:r>
      <w:r>
        <w:rPr>
          <w:rFonts w:hint="eastAsia" w:ascii="仿宋" w:hAnsi="仿宋" w:eastAsia="仿宋" w:cs="仿宋"/>
          <w:color w:val="auto"/>
          <w:sz w:val="24"/>
          <w:highlight w:val="none"/>
        </w:rPr>
        <w:t>根据《中华人民共和国政府采购法》第三十六条之规定，在采购中，出现下列情形之一的，应予废标：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5.1符合专业条件的供应商或者对招标文件作实质响应的供应商不足3家的；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5.2出现影响采购公正的违法、违规行为的；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5.3供应商的报价均超过了采购预算，采购人不能支付的；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5.4因重大变故，采购任务取消的。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废标后，采购代理机构应当将废标理由通知所有供应商。</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6.修改招标文件，重新组织采购活动。</w:t>
      </w:r>
      <w:r>
        <w:rPr>
          <w:rFonts w:hint="eastAsia" w:ascii="仿宋" w:hAnsi="仿宋" w:eastAsia="仿宋" w:cs="仿宋"/>
          <w:color w:val="auto"/>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7.重新开展采购。</w:t>
      </w:r>
      <w:r>
        <w:rPr>
          <w:rFonts w:hint="eastAsia" w:ascii="仿宋" w:hAnsi="仿宋" w:eastAsia="仿宋" w:cs="仿宋"/>
          <w:color w:val="auto"/>
          <w:sz w:val="24"/>
          <w:highlight w:val="none"/>
        </w:rPr>
        <w:t>有政府采购法第七十一条、第七十二条规定的违法行为之一，影响或者可能影响中标、成交结果的，依照下列规定处理：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7.1未确定中标或者中标人的，终止本次政府采购活动，重新开展政府采购活动。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7.2已确定中标或者中标人但尚未签订政府采购合同的，中标或者成交结果无效，重新开展政府采购活动。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7.3政府采购合同已签订但尚未履行的，撤销合同，重新开展政府采购活动。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7.4政府采购合同已经履行，给采购人、供应商造成损失的，由责任人承担赔偿责任。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26"/>
      <w:bookmarkStart w:id="392" w:name="第五部分"/>
      <w:bookmarkStart w:id="393" w:name="_Toc86217003"/>
    </w:p>
    <w:p>
      <w:pPr>
        <w:spacing w:line="360" w:lineRule="auto"/>
        <w:jc w:val="center"/>
        <w:outlineLvl w:val="0"/>
        <w:rPr>
          <w:rFonts w:hint="eastAsia" w:ascii="仿宋" w:hAnsi="仿宋" w:eastAsia="仿宋" w:cs="仿宋"/>
          <w:b/>
          <w:color w:val="auto"/>
          <w:sz w:val="36"/>
          <w:szCs w:val="20"/>
          <w:highlight w:val="none"/>
          <w:lang w:eastAsia="zh-CN"/>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sz w:val="36"/>
          <w:szCs w:val="20"/>
          <w:highlight w:val="none"/>
        </w:rPr>
        <w:t xml:space="preserve">第五部分   </w:t>
      </w:r>
      <w:r>
        <w:rPr>
          <w:rFonts w:hint="eastAsia" w:ascii="仿宋" w:hAnsi="仿宋" w:eastAsia="仿宋" w:cs="仿宋"/>
          <w:b/>
          <w:color w:val="auto"/>
          <w:sz w:val="36"/>
          <w:szCs w:val="20"/>
          <w:highlight w:val="none"/>
          <w:lang w:eastAsia="zh-CN"/>
        </w:rPr>
        <w:t>政府采购合同文本</w:t>
      </w:r>
    </w:p>
    <w:p>
      <w:pPr>
        <w:spacing w:line="360" w:lineRule="auto"/>
        <w:rPr>
          <w:rFonts w:hint="eastAsia" w:ascii="仿宋" w:hAnsi="仿宋" w:eastAsia="仿宋" w:cs="仿宋"/>
          <w:color w:val="auto"/>
          <w:sz w:val="24"/>
          <w:highlight w:val="none"/>
        </w:rPr>
      </w:pPr>
    </w:p>
    <w:p>
      <w:pPr>
        <w:pStyle w:val="2"/>
        <w:rPr>
          <w:rFonts w:hint="eastAsia"/>
          <w:color w:val="auto"/>
          <w:highlight w:val="none"/>
        </w:rPr>
      </w:pP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pStyle w:val="25"/>
        <w:ind w:firstLine="560"/>
        <w:rPr>
          <w:rFonts w:hint="eastAsia"/>
          <w:color w:val="auto"/>
          <w:highlight w:val="none"/>
        </w:rPr>
      </w:pPr>
    </w:p>
    <w:p>
      <w:pPr>
        <w:pStyle w:val="25"/>
        <w:ind w:firstLine="560"/>
        <w:rPr>
          <w:rFonts w:hint="eastAsia"/>
          <w:color w:val="auto"/>
          <w:highlight w:val="none"/>
        </w:rPr>
      </w:pPr>
    </w:p>
    <w:p>
      <w:pPr>
        <w:pStyle w:val="25"/>
        <w:ind w:firstLine="560"/>
        <w:rPr>
          <w:color w:val="auto"/>
          <w:highlight w:val="none"/>
        </w:rPr>
      </w:pPr>
    </w:p>
    <w:p>
      <w:pPr>
        <w:pStyle w:val="9"/>
        <w:snapToGrid w:val="0"/>
        <w:spacing w:before="156" w:after="156" w:line="720" w:lineRule="exact"/>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奉化城区功能性照明设施维修养护管理服务项目</w:t>
      </w:r>
    </w:p>
    <w:p>
      <w:pPr>
        <w:pStyle w:val="9"/>
        <w:snapToGrid w:val="0"/>
        <w:spacing w:before="156" w:after="156" w:line="720" w:lineRule="exact"/>
        <w:jc w:val="center"/>
        <w:rPr>
          <w:rFonts w:hint="eastAsia" w:ascii="仿宋" w:hAnsi="仿宋" w:eastAsia="仿宋"/>
          <w:b/>
          <w:color w:val="auto"/>
          <w:sz w:val="44"/>
          <w:szCs w:val="44"/>
          <w:highlight w:val="none"/>
        </w:rPr>
      </w:pPr>
    </w:p>
    <w:p>
      <w:pPr>
        <w:pStyle w:val="9"/>
        <w:snapToGrid w:val="0"/>
        <w:spacing w:before="156" w:after="156" w:line="720" w:lineRule="exact"/>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承包合同</w:t>
      </w:r>
    </w:p>
    <w:p>
      <w:pPr>
        <w:pStyle w:val="26"/>
        <w:spacing w:before="120"/>
        <w:rPr>
          <w:rFonts w:hint="eastAsia" w:ascii="仿宋" w:hAnsi="仿宋" w:eastAsia="仿宋" w:cs="仿宋"/>
          <w:color w:val="auto"/>
          <w:sz w:val="28"/>
          <w:szCs w:val="28"/>
          <w:highlight w:val="none"/>
        </w:rPr>
      </w:pPr>
    </w:p>
    <w:p>
      <w:pPr>
        <w:rPr>
          <w:color w:val="auto"/>
          <w:highlight w:val="none"/>
        </w:rPr>
      </w:pPr>
    </w:p>
    <w:p>
      <w:pPr>
        <w:spacing w:line="360" w:lineRule="auto"/>
        <w:rPr>
          <w:rFonts w:ascii="仿宋" w:hAnsi="仿宋" w:eastAsia="仿宋" w:cs="仿宋"/>
          <w:color w:val="auto"/>
          <w:sz w:val="28"/>
          <w:szCs w:val="28"/>
          <w:highlight w:val="none"/>
        </w:rPr>
      </w:pPr>
    </w:p>
    <w:p>
      <w:pPr>
        <w:spacing w:before="120" w:line="480" w:lineRule="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u w:val="single"/>
          <w:lang w:eastAsia="zh-CN"/>
        </w:rPr>
        <w:t>宁波市奉化区园林管理处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pPr>
        <w:spacing w:before="120" w:line="48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u w:val="single"/>
        </w:rPr>
        <w:t xml:space="preserve">                                       </w:t>
      </w:r>
    </w:p>
    <w:p>
      <w:pPr>
        <w:spacing w:before="120" w:line="480" w:lineRule="auto"/>
        <w:rPr>
          <w:rFonts w:ascii="仿宋" w:hAnsi="仿宋" w:eastAsia="仿宋" w:cs="仿宋"/>
          <w:color w:val="auto"/>
          <w:sz w:val="28"/>
          <w:szCs w:val="28"/>
          <w:highlight w:val="none"/>
        </w:rPr>
      </w:pPr>
    </w:p>
    <w:p>
      <w:pPr>
        <w:spacing w:before="120" w:line="48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签订地：</w:t>
      </w:r>
      <w:r>
        <w:rPr>
          <w:rFonts w:hint="eastAsia" w:ascii="仿宋" w:hAnsi="仿宋" w:eastAsia="仿宋" w:cs="仿宋"/>
          <w:color w:val="auto"/>
          <w:sz w:val="28"/>
          <w:szCs w:val="28"/>
          <w:highlight w:val="none"/>
          <w:u w:val="single"/>
        </w:rPr>
        <w:t xml:space="preserve">宁波奉化                             </w:t>
      </w:r>
    </w:p>
    <w:p>
      <w:pPr>
        <w:spacing w:before="120" w:line="48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签订日期：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Style w:val="9"/>
        <w:snapToGrid w:val="0"/>
        <w:spacing w:before="156" w:after="156" w:line="420" w:lineRule="exact"/>
        <w:jc w:val="center"/>
        <w:rPr>
          <w:rFonts w:hint="eastAsia" w:ascii="仿宋" w:hAnsi="仿宋" w:eastAsia="仿宋"/>
          <w:b/>
          <w:color w:val="auto"/>
          <w:sz w:val="28"/>
          <w:szCs w:val="28"/>
          <w:highlight w:val="none"/>
        </w:rPr>
      </w:pPr>
      <w:r>
        <w:rPr>
          <w:rFonts w:hint="eastAsia" w:ascii="仿宋" w:hAnsi="仿宋" w:eastAsia="仿宋" w:cs="仿宋"/>
          <w:color w:val="auto"/>
          <w:sz w:val="24"/>
          <w:highlight w:val="none"/>
          <w:u w:val="single"/>
          <w:lang w:val="zh-CN"/>
        </w:rPr>
        <w:br w:type="page"/>
      </w:r>
      <w:r>
        <w:rPr>
          <w:rFonts w:hint="eastAsia" w:ascii="仿宋" w:hAnsi="仿宋" w:eastAsia="仿宋"/>
          <w:b/>
          <w:color w:val="auto"/>
          <w:sz w:val="28"/>
          <w:szCs w:val="28"/>
          <w:highlight w:val="none"/>
          <w:lang w:eastAsia="zh-CN"/>
        </w:rPr>
        <w:t>奉化城区功能性照明设施维修养护管理服务项目</w:t>
      </w:r>
      <w:r>
        <w:rPr>
          <w:rFonts w:hint="eastAsia" w:ascii="仿宋" w:hAnsi="仿宋" w:eastAsia="仿宋"/>
          <w:b/>
          <w:color w:val="auto"/>
          <w:sz w:val="28"/>
          <w:szCs w:val="28"/>
          <w:highlight w:val="none"/>
        </w:rPr>
        <w:t>承包合同</w:t>
      </w:r>
    </w:p>
    <w:p>
      <w:pPr>
        <w:pStyle w:val="9"/>
        <w:snapToGrid w:val="0"/>
        <w:spacing w:before="156" w:after="156" w:line="420" w:lineRule="exact"/>
        <w:rPr>
          <w:rFonts w:hint="eastAsia" w:ascii="仿宋" w:hAnsi="仿宋" w:eastAsia="仿宋"/>
          <w:color w:val="auto"/>
          <w:highlight w:val="none"/>
        </w:rPr>
      </w:pPr>
    </w:p>
    <w:p>
      <w:pPr>
        <w:spacing w:line="360" w:lineRule="auto"/>
        <w:rPr>
          <w:rFonts w:ascii="仿宋" w:hAnsi="仿宋" w:eastAsia="仿宋"/>
          <w:b/>
          <w:color w:val="auto"/>
          <w:sz w:val="24"/>
          <w:highlight w:val="none"/>
          <w:u w:val="single"/>
        </w:rPr>
      </w:pPr>
      <w:r>
        <w:rPr>
          <w:rFonts w:hint="eastAsia" w:ascii="仿宋" w:hAnsi="仿宋" w:eastAsia="仿宋"/>
          <w:b/>
          <w:color w:val="auto"/>
          <w:sz w:val="24"/>
          <w:highlight w:val="none"/>
        </w:rPr>
        <w:t>甲方（发包人）：</w:t>
      </w:r>
      <w:r>
        <w:rPr>
          <w:rFonts w:hint="eastAsia" w:ascii="仿宋" w:hAnsi="仿宋" w:eastAsia="仿宋"/>
          <w:b/>
          <w:color w:val="auto"/>
          <w:sz w:val="24"/>
          <w:highlight w:val="none"/>
          <w:u w:val="thick"/>
          <w:lang w:eastAsia="zh-CN"/>
        </w:rPr>
        <w:t>宁波市奉化区园林管理处</w:t>
      </w:r>
      <w:r>
        <w:rPr>
          <w:rFonts w:hint="eastAsia" w:ascii="仿宋" w:hAnsi="仿宋" w:eastAsia="仿宋"/>
          <w:b/>
          <w:color w:val="auto"/>
          <w:sz w:val="24"/>
          <w:highlight w:val="none"/>
          <w:u w:val="thick"/>
        </w:rPr>
        <w:t xml:space="preserve">                   </w:t>
      </w:r>
      <w:r>
        <w:rPr>
          <w:rFonts w:hint="eastAsia" w:ascii="仿宋" w:hAnsi="仿宋" w:eastAsia="仿宋"/>
          <w:b/>
          <w:color w:val="auto"/>
          <w:sz w:val="24"/>
          <w:highlight w:val="none"/>
          <w:u w:val="thick"/>
          <w:lang w:val="en-US" w:eastAsia="zh-CN"/>
        </w:rPr>
        <w:t xml:space="preserve">    </w:t>
      </w:r>
      <w:r>
        <w:rPr>
          <w:rFonts w:hint="eastAsia" w:ascii="仿宋" w:hAnsi="仿宋" w:eastAsia="仿宋" w:cs="宋体"/>
          <w:bCs/>
          <w:color w:val="auto"/>
          <w:szCs w:val="21"/>
          <w:highlight w:val="none"/>
        </w:rPr>
        <w:t>（以下简称甲方）</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乙方（承包人）：</w:t>
      </w:r>
      <w:r>
        <w:rPr>
          <w:rFonts w:hint="eastAsia" w:ascii="仿宋" w:hAnsi="仿宋" w:eastAsia="仿宋"/>
          <w:b/>
          <w:color w:val="auto"/>
          <w:sz w:val="24"/>
          <w:highlight w:val="none"/>
          <w:u w:val="single"/>
        </w:rPr>
        <w:t xml:space="preserve">                                             </w:t>
      </w:r>
      <w:r>
        <w:rPr>
          <w:rFonts w:hint="eastAsia" w:ascii="仿宋" w:hAnsi="仿宋" w:eastAsia="仿宋" w:cs="宋体"/>
          <w:bCs/>
          <w:color w:val="auto"/>
          <w:szCs w:val="21"/>
          <w:highlight w:val="none"/>
        </w:rPr>
        <w:t>（以下简称乙方）</w:t>
      </w:r>
    </w:p>
    <w:p>
      <w:pPr>
        <w:spacing w:line="360" w:lineRule="auto"/>
        <w:ind w:firstLine="420" w:firstLineChars="200"/>
        <w:rPr>
          <w:rFonts w:hint="eastAsia" w:ascii="仿宋" w:hAnsi="仿宋" w:eastAsia="仿宋"/>
          <w:color w:val="auto"/>
          <w:szCs w:val="21"/>
          <w:highlight w:val="none"/>
        </w:rPr>
      </w:pP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t>2022</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u w:val="single"/>
          <w:lang w:eastAsia="zh-CN"/>
        </w:rPr>
        <w:t>宁波市奉化区园林管理处</w:t>
      </w:r>
      <w:r>
        <w:rPr>
          <w:rFonts w:hint="eastAsia" w:ascii="仿宋" w:hAnsi="仿宋" w:eastAsia="仿宋" w:cs="仿宋"/>
          <w:color w:val="auto"/>
          <w:sz w:val="24"/>
          <w:highlight w:val="none"/>
          <w:lang w:val="zh-CN"/>
        </w:rPr>
        <w:t>以</w:t>
      </w:r>
      <w:r>
        <w:rPr>
          <w:rFonts w:hint="eastAsia" w:ascii="仿宋" w:hAnsi="仿宋" w:eastAsia="仿宋" w:cs="仿宋"/>
          <w:color w:val="auto"/>
          <w:sz w:val="24"/>
          <w:highlight w:val="none"/>
          <w:u w:val="single"/>
          <w:lang w:val="zh-CN"/>
        </w:rPr>
        <w:t>公开招标方式</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奉化城区功能性照明设施维修养护管理服务项目</w:t>
      </w:r>
      <w:r>
        <w:rPr>
          <w:rFonts w:hint="eastAsia" w:ascii="仿宋" w:hAnsi="仿宋" w:eastAsia="仿宋" w:cs="仿宋"/>
          <w:color w:val="auto"/>
          <w:sz w:val="24"/>
          <w:highlight w:val="none"/>
          <w:lang w:val="zh-CN"/>
        </w:rPr>
        <w:t>进行了采购。经评标委员会评审，</w:t>
      </w:r>
      <w:r>
        <w:rPr>
          <w:rFonts w:hint="eastAsia" w:ascii="仿宋" w:hAnsi="仿宋" w:eastAsia="仿宋" w:cs="仿宋"/>
          <w:color w:val="auto"/>
          <w:sz w:val="24"/>
          <w:highlight w:val="none"/>
          <w:u w:val="single"/>
          <w:lang w:eastAsia="zh-CN"/>
        </w:rPr>
        <w:t>宁波市奉化区园林管理处</w:t>
      </w:r>
      <w:r>
        <w:rPr>
          <w:rFonts w:hint="eastAsia" w:ascii="仿宋" w:hAnsi="仿宋" w:eastAsia="仿宋" w:cs="仿宋"/>
          <w:color w:val="auto"/>
          <w:sz w:val="24"/>
          <w:highlight w:val="none"/>
          <w:lang w:val="zh-CN"/>
        </w:rPr>
        <w:t>确定，</w:t>
      </w:r>
      <w:r>
        <w:rPr>
          <w:rFonts w:hint="eastAsia" w:ascii="仿宋" w:hAnsi="仿宋" w:eastAsia="仿宋" w:cs="仿宋"/>
          <w:color w:val="auto"/>
          <w:sz w:val="24"/>
          <w:highlight w:val="none"/>
          <w:u w:val="single"/>
          <w:lang w:val="zh-CN"/>
        </w:rPr>
        <w:t xml:space="preserve">   （中标供应商名称）   </w:t>
      </w:r>
      <w:r>
        <w:rPr>
          <w:rFonts w:hint="eastAsia" w:ascii="仿宋" w:hAnsi="仿宋" w:eastAsia="仿宋" w:cs="仿宋"/>
          <w:color w:val="auto"/>
          <w:sz w:val="24"/>
          <w:highlight w:val="none"/>
          <w:lang w:val="zh-CN"/>
        </w:rPr>
        <w:t>为该项目中标供应商。现于中标通知书发出之日起三十日内，按照采购文件确定的事项签订本合同。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lang w:eastAsia="zh-CN"/>
        </w:rPr>
        <w:t>宁波市奉化区园林管理处</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adjustRightInd w:val="0"/>
        <w:spacing w:line="360" w:lineRule="auto"/>
        <w:ind w:firstLine="482" w:firstLineChars="200"/>
        <w:outlineLvl w:val="0"/>
        <w:rPr>
          <w:rFonts w:ascii="仿宋" w:hAnsi="仿宋" w:eastAsia="仿宋" w:cs="仿宋"/>
          <w:b/>
          <w:color w:val="auto"/>
          <w:sz w:val="24"/>
          <w:highlight w:val="none"/>
        </w:rPr>
      </w:pPr>
      <w:bookmarkStart w:id="394" w:name="_Toc3029"/>
      <w:bookmarkStart w:id="395" w:name="_Toc24059"/>
      <w:bookmarkStart w:id="396" w:name="_Toc2232"/>
      <w:r>
        <w:rPr>
          <w:rFonts w:hint="eastAsia" w:ascii="仿宋" w:hAnsi="仿宋" w:eastAsia="仿宋" w:cs="仿宋"/>
          <w:b/>
          <w:color w:val="auto"/>
          <w:sz w:val="24"/>
          <w:highlight w:val="none"/>
        </w:rPr>
        <w:t>1、定义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1.2“合同价”系指根据合同约定，中标供应商在完全履行合同义务后，采购人应支付给中标供应商的价格。</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1.3“服务”系指中标供应商根据合同约定应为采购人提供的一切服务。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1.4“甲方”系指与中标供应商签署合同的采购人；采购人委托采购代理机构代表其与乙方签订合同的，采购人的授权委托书作为合同附件。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1.6“现场”系指合同约定中标供应商为采购人提供服务的地点。</w:t>
      </w:r>
    </w:p>
    <w:p>
      <w:pP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2、合同组成部分</w:t>
      </w:r>
      <w:bookmarkEnd w:id="394"/>
      <w:bookmarkEnd w:id="395"/>
      <w:bookmarkEnd w:id="396"/>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2.1本合同及其补充合同、变更协议；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2.2中标通知书；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2.3投标文件（含澄清或者说明文件）；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2.4招标文件（含澄清或者修改文件）；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2.5其他相关采购文件。</w:t>
      </w:r>
    </w:p>
    <w:p>
      <w:pPr>
        <w:adjustRightInd w:val="0"/>
        <w:spacing w:line="360" w:lineRule="auto"/>
        <w:ind w:firstLine="482" w:firstLineChars="200"/>
        <w:outlineLvl w:val="0"/>
        <w:rPr>
          <w:rFonts w:ascii="仿宋" w:hAnsi="仿宋" w:eastAsia="仿宋" w:cs="仿宋"/>
          <w:b/>
          <w:color w:val="auto"/>
          <w:sz w:val="24"/>
          <w:highlight w:val="none"/>
        </w:rPr>
      </w:pPr>
      <w:bookmarkStart w:id="397" w:name="_Toc27126"/>
      <w:bookmarkStart w:id="398" w:name="_Toc21295"/>
      <w:bookmarkStart w:id="399" w:name="_Toc24300"/>
      <w:r>
        <w:rPr>
          <w:rFonts w:hint="eastAsia" w:ascii="仿宋" w:hAnsi="仿宋" w:eastAsia="仿宋" w:cs="仿宋"/>
          <w:b/>
          <w:color w:val="auto"/>
          <w:sz w:val="24"/>
          <w:highlight w:val="none"/>
        </w:rPr>
        <w:t>3、</w:t>
      </w:r>
      <w:bookmarkEnd w:id="397"/>
      <w:bookmarkEnd w:id="398"/>
      <w:bookmarkEnd w:id="399"/>
      <w:r>
        <w:rPr>
          <w:rFonts w:hint="eastAsia" w:ascii="仿宋" w:hAnsi="仿宋" w:eastAsia="仿宋" w:cs="仿宋"/>
          <w:b/>
          <w:color w:val="auto"/>
          <w:sz w:val="24"/>
          <w:highlight w:val="none"/>
        </w:rPr>
        <w:t>服务内容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3.1服务内容</w:t>
      </w:r>
      <w:r>
        <w:rPr>
          <w:rFonts w:ascii="仿宋" w:hAnsi="仿宋" w:eastAsia="仿宋" w:cs="仿宋"/>
          <w:color w:val="auto"/>
          <w:sz w:val="24"/>
          <w:highlight w:val="none"/>
        </w:rPr>
        <w:t>：</w:t>
      </w:r>
      <w:r>
        <w:rPr>
          <w:rFonts w:hint="eastAsia" w:ascii="仿宋" w:hAnsi="仿宋" w:eastAsia="仿宋" w:cs="仿宋"/>
          <w:color w:val="auto"/>
          <w:sz w:val="24"/>
          <w:highlight w:val="none"/>
          <w:u w:val="single"/>
          <w:lang w:eastAsia="zh-CN"/>
        </w:rPr>
        <w:t>奉化城区功能性照明设施维修养护管理服务项目主要服务内容为对</w:t>
      </w:r>
      <w:r>
        <w:rPr>
          <w:rFonts w:hint="eastAsia" w:ascii="仿宋" w:hAnsi="仿宋" w:eastAsia="仿宋" w:cs="仿宋"/>
          <w:color w:val="auto"/>
          <w:sz w:val="24"/>
          <w:highlight w:val="none"/>
          <w:u w:val="single"/>
          <w:lang w:val="en-US" w:eastAsia="zh-CN"/>
        </w:rPr>
        <w:t>奉化区本级照明设施及路灯控制设备的管理、清洁、维修等所有养护工作</w:t>
      </w:r>
      <w:r>
        <w:rPr>
          <w:rFonts w:hint="eastAsia" w:ascii="仿宋" w:hAnsi="仿宋" w:eastAsia="仿宋" w:cs="仿宋"/>
          <w:color w:val="auto"/>
          <w:sz w:val="24"/>
          <w:highlight w:val="none"/>
          <w:u w:val="single"/>
          <w:lang w:eastAsia="zh-CN"/>
        </w:rPr>
        <w:t>。具体详见乙方投标文件和甲方招标文件</w:t>
      </w:r>
      <w:r>
        <w:rPr>
          <w:rFonts w:hint="eastAsia" w:ascii="仿宋" w:hAnsi="仿宋" w:eastAsia="仿宋" w:cs="仿宋"/>
          <w:color w:val="auto"/>
          <w:sz w:val="24"/>
          <w:highlight w:val="none"/>
        </w:rPr>
        <w:t>；</w:t>
      </w:r>
    </w:p>
    <w:p>
      <w:pPr>
        <w:spacing w:line="360" w:lineRule="auto"/>
        <w:ind w:firstLine="480" w:firstLineChars="200"/>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rPr>
        <w:t>3.2服务要求与标准</w:t>
      </w:r>
      <w:r>
        <w:rPr>
          <w:rFonts w:ascii="仿宋" w:hAnsi="仿宋" w:eastAsia="仿宋" w:cs="仿宋"/>
          <w:color w:val="auto"/>
          <w:sz w:val="24"/>
          <w:highlight w:val="none"/>
        </w:rPr>
        <w:t>：</w:t>
      </w:r>
      <w:r>
        <w:rPr>
          <w:rFonts w:hint="eastAsia" w:ascii="仿宋" w:hAnsi="仿宋" w:eastAsia="仿宋" w:cs="仿宋"/>
          <w:color w:val="auto"/>
          <w:sz w:val="24"/>
          <w:highlight w:val="none"/>
          <w:u w:val="single"/>
        </w:rPr>
        <w:t>乙方必须按照国家有关标准、规范和甲方有关要求进行</w:t>
      </w:r>
      <w:r>
        <w:rPr>
          <w:rFonts w:hint="eastAsia" w:ascii="仿宋" w:hAnsi="仿宋" w:eastAsia="仿宋" w:cs="仿宋"/>
          <w:color w:val="auto"/>
          <w:sz w:val="24"/>
          <w:highlight w:val="none"/>
          <w:u w:val="single"/>
          <w:lang w:eastAsia="zh-CN"/>
        </w:rPr>
        <w:t>维修养护管理服务</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lang w:val="en-US" w:eastAsia="zh-CN"/>
        </w:rPr>
        <w:t>具体内容如下：</w:t>
      </w:r>
    </w:p>
    <w:p>
      <w:pPr>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3.2.1在维修养护管理服务期间乙方所使用的钠灯灯具零部件推荐品牌为：亚明、欧司朗或飞利浦（说明：推荐品牌仅供参考，维修养护管理服务期间使用的产品的品牌其质量性能指标及服务内容不应低于所推荐参考品牌之质量性能指标和服务内容）；所使用的LED灯具的芯片模组、驱动电源与原灯具相匹配，不得降低原灯具的标准。</w:t>
      </w:r>
    </w:p>
    <w:p>
      <w:pPr>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3.2.2清洁工作、亮灯率要求：对灯具设施、设备的清洁工作要求每季度不少于1次；亮灯率确保达到99%及以上。</w:t>
      </w:r>
    </w:p>
    <w:p>
      <w:pPr>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3.2.3在服务期限内，乙方应按照行业相应的作业标准和管理规定，精心组织、精心养护，确保所有设施、设备正常运作。</w:t>
      </w:r>
    </w:p>
    <w:p>
      <w:pPr>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3.2.4对实施养护管理所需的一切劳动力、材料、设备和服务，按招标要求和投标承诺由乙方自行组织，并承担由此产生的一切费用。</w:t>
      </w:r>
    </w:p>
    <w:p>
      <w:pPr>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3.2.5如所养护的设施、设备发生人为原因减小或损毁的（非偷盗），由乙方自主处理理赔事宜，并按规定及时补齐或修复，所需费用由乙方承担。如发生不可抗力或自然灾害所引起的设施缺损，经双方协商后确认费用承担方案。路灯专用变压器、路灯控制箱等设施设备损坏由供应商负责（除重大自然灾害外由甲方负责）。</w:t>
      </w:r>
    </w:p>
    <w:p>
      <w:pPr>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3.2.6若发生电缆等设施设备故障、偷盗等情况，维修费用全部由乙方承担。若发生不可抗力的破坏（如台风、地震等自然灾害）维修费用由甲方承担。</w:t>
      </w:r>
    </w:p>
    <w:p>
      <w:pPr>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3.2.7若发生需更换整灯头情况时（除重大自然灾害外由甲方负责），包括但不限于应业主要求、应市民要求且查实需更换的、交通事故等其他所有情况，所产生的材料、人工等全部费用由乙方承担，且更换的整灯头必须与原道路上的照明灯头一模一样。</w:t>
      </w:r>
    </w:p>
    <w:p>
      <w:pPr>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说明：交通事故发生时乙方必须积极跟进事故进展，若存在肇事者责任的由乙方跟进要求其赔偿损失；若找不到肇事者，由乙方负责维修更换，费用自理。</w:t>
      </w:r>
    </w:p>
    <w:p>
      <w:pPr>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3.2.8乙方应按要求向甲方提供有关养护管理计划及落实措施。</w:t>
      </w:r>
    </w:p>
    <w:p>
      <w:pPr>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3.2.9乙方在搞好日常养护工作的同时，必须配合甲方做好重大节庆日和重大活动的保障工作。</w:t>
      </w:r>
    </w:p>
    <w:p>
      <w:pPr>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3.2.10在养护期限内，乙方所使用的专业人员、专业设备必须与投标承诺相一致，如有变更须经得甲方同意。</w:t>
      </w:r>
    </w:p>
    <w:p>
      <w:pPr>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3.2.11乙方必须为全体作业人员购买社保和人身意外保险、重视安全生产工作，确保不发生安全生产责任事故。如发生安全生产责任事故或交通事故，由乙方承担一切责任及损失。</w:t>
      </w:r>
    </w:p>
    <w:p>
      <w:pPr>
        <w:spacing w:line="360" w:lineRule="auto"/>
        <w:ind w:firstLine="480" w:firstLineChars="20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3.2.12乙方必须为本项目购买公众责任险。因养护的设施设备造成公众意外，乙方须积极联系保险公司并妥善处理。</w:t>
      </w:r>
    </w:p>
    <w:p>
      <w:pPr>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3.2.13维修养护作业时，白天进行线路检查维护等工作，夜间进行路灯亮灯巡检及更换不亮灯具或灯头，不得在白天作业时亮灯作业维修灯具或灯头。</w:t>
      </w:r>
    </w:p>
    <w:p>
      <w:pPr>
        <w:spacing w:line="360" w:lineRule="auto"/>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3.3</w:t>
      </w:r>
      <w:r>
        <w:rPr>
          <w:rFonts w:hint="eastAsia" w:ascii="仿宋" w:hAnsi="仿宋" w:eastAsia="仿宋" w:cs="仿宋"/>
          <w:color w:val="auto"/>
          <w:sz w:val="24"/>
          <w:highlight w:val="none"/>
          <w:u w:val="none"/>
          <w:lang w:eastAsia="zh-CN"/>
        </w:rPr>
        <w:t>功能性照明设施</w:t>
      </w:r>
      <w:r>
        <w:rPr>
          <w:rFonts w:hint="eastAsia" w:ascii="仿宋" w:hAnsi="仿宋" w:eastAsia="仿宋" w:cs="仿宋"/>
          <w:color w:val="auto"/>
          <w:sz w:val="24"/>
          <w:highlight w:val="none"/>
          <w:u w:val="none"/>
          <w:lang w:val="en-US" w:eastAsia="zh-CN"/>
        </w:rPr>
        <w:t>数量及综合单价：</w:t>
      </w:r>
      <w:r>
        <w:rPr>
          <w:rFonts w:hint="eastAsia" w:ascii="仿宋" w:hAnsi="仿宋" w:eastAsia="仿宋" w:cs="仿宋"/>
          <w:color w:val="auto"/>
          <w:sz w:val="24"/>
          <w:highlight w:val="none"/>
          <w:u w:val="single"/>
          <w:lang w:val="en-US" w:eastAsia="zh-CN"/>
        </w:rPr>
        <w:t>暂定数量详见下表，具体数量以奉化城区园林、照明设施数字化普查项目的普查结果的数量为准</w:t>
      </w:r>
      <w:r>
        <w:rPr>
          <w:rFonts w:hint="eastAsia" w:ascii="仿宋" w:hAnsi="仿宋" w:eastAsia="仿宋" w:cs="仿宋"/>
          <w:color w:val="auto"/>
          <w:sz w:val="24"/>
          <w:highlight w:val="none"/>
          <w:u w:val="none"/>
          <w:lang w:val="en-US" w:eastAsia="zh-CN"/>
        </w:rPr>
        <w:t>。</w:t>
      </w:r>
    </w:p>
    <w:tbl>
      <w:tblPr>
        <w:tblStyle w:val="14"/>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370"/>
        <w:gridCol w:w="1547"/>
        <w:gridCol w:w="1326"/>
        <w:gridCol w:w="1673"/>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7" w:type="dxa"/>
            <w:noWrap w:val="0"/>
            <w:vAlign w:val="center"/>
          </w:tcPr>
          <w:p>
            <w:pPr>
              <w:jc w:val="center"/>
              <w:rPr>
                <w:rFonts w:hint="eastAsia" w:ascii="仿宋" w:hAnsi="仿宋" w:eastAsia="仿宋"/>
                <w:b/>
                <w:color w:val="auto"/>
                <w:highlight w:val="none"/>
                <w:lang w:eastAsia="zh-CN"/>
              </w:rPr>
            </w:pPr>
            <w:r>
              <w:rPr>
                <w:rFonts w:hint="eastAsia" w:ascii="仿宋" w:hAnsi="仿宋" w:eastAsia="仿宋"/>
                <w:b/>
                <w:color w:val="auto"/>
                <w:highlight w:val="none"/>
                <w:lang w:val="en-US" w:eastAsia="zh-CN"/>
              </w:rPr>
              <w:t>序号</w:t>
            </w:r>
          </w:p>
        </w:tc>
        <w:tc>
          <w:tcPr>
            <w:tcW w:w="2370" w:type="dxa"/>
            <w:noWrap w:val="0"/>
            <w:vAlign w:val="center"/>
          </w:tcPr>
          <w:p>
            <w:pPr>
              <w:jc w:val="center"/>
              <w:rPr>
                <w:rFonts w:hint="default" w:ascii="仿宋" w:hAnsi="仿宋" w:eastAsia="仿宋" w:cs="Times New Roman"/>
                <w:b/>
                <w:color w:val="auto"/>
                <w:highlight w:val="none"/>
                <w:lang w:val="en-US" w:eastAsia="zh-CN"/>
              </w:rPr>
            </w:pPr>
            <w:r>
              <w:rPr>
                <w:rFonts w:hint="eastAsia" w:ascii="仿宋" w:hAnsi="仿宋" w:eastAsia="仿宋" w:cs="Times New Roman"/>
                <w:b/>
                <w:color w:val="auto"/>
                <w:highlight w:val="none"/>
                <w:lang w:val="en-US" w:eastAsia="zh-CN"/>
              </w:rPr>
              <w:t>功能性照明设施类型</w:t>
            </w:r>
          </w:p>
        </w:tc>
        <w:tc>
          <w:tcPr>
            <w:tcW w:w="1547" w:type="dxa"/>
            <w:noWrap w:val="0"/>
            <w:vAlign w:val="center"/>
          </w:tcPr>
          <w:p>
            <w:pPr>
              <w:jc w:val="center"/>
              <w:rPr>
                <w:rFonts w:ascii="仿宋" w:hAnsi="仿宋" w:eastAsia="仿宋"/>
                <w:b/>
                <w:color w:val="auto"/>
                <w:highlight w:val="none"/>
              </w:rPr>
            </w:pPr>
            <w:r>
              <w:rPr>
                <w:rFonts w:hint="eastAsia" w:ascii="仿宋" w:hAnsi="仿宋" w:eastAsia="仿宋"/>
                <w:b/>
                <w:color w:val="auto"/>
                <w:highlight w:val="none"/>
                <w:lang w:val="en-US" w:eastAsia="zh-CN"/>
              </w:rPr>
              <w:t>暂定</w:t>
            </w:r>
            <w:r>
              <w:rPr>
                <w:rFonts w:hint="eastAsia" w:ascii="仿宋" w:hAnsi="仿宋" w:eastAsia="仿宋"/>
                <w:b/>
                <w:color w:val="auto"/>
                <w:highlight w:val="none"/>
              </w:rPr>
              <w:t>数量</w:t>
            </w:r>
          </w:p>
        </w:tc>
        <w:tc>
          <w:tcPr>
            <w:tcW w:w="1326" w:type="dxa"/>
            <w:noWrap w:val="0"/>
            <w:vAlign w:val="center"/>
          </w:tcPr>
          <w:p>
            <w:pPr>
              <w:jc w:val="center"/>
              <w:rPr>
                <w:rFonts w:hint="default" w:ascii="仿宋" w:hAnsi="仿宋" w:eastAsia="仿宋"/>
                <w:b/>
                <w:color w:val="auto"/>
                <w:highlight w:val="none"/>
                <w:lang w:val="en-US" w:eastAsia="zh-CN"/>
              </w:rPr>
            </w:pPr>
            <w:r>
              <w:rPr>
                <w:rFonts w:hint="eastAsia" w:ascii="仿宋" w:hAnsi="仿宋" w:eastAsia="仿宋"/>
                <w:b/>
                <w:color w:val="auto"/>
                <w:highlight w:val="none"/>
                <w:lang w:val="en-US" w:eastAsia="zh-CN"/>
              </w:rPr>
              <w:t>普查数量</w:t>
            </w:r>
          </w:p>
        </w:tc>
        <w:tc>
          <w:tcPr>
            <w:tcW w:w="1673" w:type="dxa"/>
            <w:noWrap w:val="0"/>
            <w:vAlign w:val="center"/>
          </w:tcPr>
          <w:p>
            <w:pPr>
              <w:jc w:val="center"/>
              <w:rPr>
                <w:rFonts w:hint="default" w:ascii="仿宋" w:hAnsi="仿宋" w:eastAsia="仿宋"/>
                <w:b/>
                <w:color w:val="auto"/>
                <w:highlight w:val="none"/>
                <w:lang w:val="en-US" w:eastAsia="zh-CN"/>
              </w:rPr>
            </w:pPr>
            <w:r>
              <w:rPr>
                <w:rFonts w:hint="eastAsia" w:ascii="仿宋" w:hAnsi="仿宋" w:eastAsia="仿宋"/>
                <w:b/>
                <w:color w:val="auto"/>
                <w:highlight w:val="none"/>
                <w:lang w:eastAsia="zh-CN"/>
              </w:rPr>
              <w:t>综合单价</w:t>
            </w:r>
            <w:r>
              <w:rPr>
                <w:rFonts w:hint="eastAsia" w:ascii="仿宋" w:hAnsi="仿宋" w:eastAsia="仿宋"/>
                <w:b/>
                <w:color w:val="auto"/>
                <w:highlight w:val="none"/>
                <w:lang w:val="en-US" w:eastAsia="zh-CN"/>
              </w:rPr>
              <w:t>报价</w:t>
            </w:r>
          </w:p>
        </w:tc>
        <w:tc>
          <w:tcPr>
            <w:tcW w:w="1927" w:type="dxa"/>
            <w:noWrap w:val="0"/>
            <w:vAlign w:val="center"/>
          </w:tcPr>
          <w:p>
            <w:pPr>
              <w:jc w:val="center"/>
              <w:rPr>
                <w:rFonts w:hint="eastAsia" w:ascii="仿宋" w:hAnsi="仿宋" w:eastAsia="仿宋"/>
                <w:b/>
                <w:color w:val="auto"/>
                <w:highlight w:val="none"/>
                <w:lang w:eastAsia="zh-CN"/>
              </w:rPr>
            </w:pPr>
            <w:r>
              <w:rPr>
                <w:rFonts w:hint="eastAsia" w:ascii="仿宋" w:hAnsi="仿宋" w:eastAsia="仿宋"/>
                <w:b/>
                <w:color w:val="auto"/>
                <w:highlight w:val="none"/>
                <w:lang w:val="en-US" w:eastAsia="zh-CN"/>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noWrap w:val="0"/>
            <w:vAlign w:val="center"/>
          </w:tcPr>
          <w:p>
            <w:pPr>
              <w:jc w:val="center"/>
              <w:rPr>
                <w:rFonts w:ascii="仿宋" w:hAnsi="仿宋" w:eastAsia="仿宋"/>
                <w:color w:val="auto"/>
                <w:highlight w:val="none"/>
              </w:rPr>
            </w:pPr>
            <w:r>
              <w:rPr>
                <w:rFonts w:hint="eastAsia" w:ascii="仿宋" w:hAnsi="仿宋" w:eastAsia="仿宋"/>
                <w:color w:val="auto"/>
                <w:highlight w:val="none"/>
              </w:rPr>
              <w:t>1</w:t>
            </w:r>
          </w:p>
        </w:tc>
        <w:tc>
          <w:tcPr>
            <w:tcW w:w="2370"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LED路灯</w:t>
            </w:r>
          </w:p>
        </w:tc>
        <w:tc>
          <w:tcPr>
            <w:tcW w:w="1547"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4901柱</w:t>
            </w:r>
          </w:p>
        </w:tc>
        <w:tc>
          <w:tcPr>
            <w:tcW w:w="1326" w:type="dxa"/>
            <w:noWrap w:val="0"/>
            <w:vAlign w:val="center"/>
          </w:tcPr>
          <w:p>
            <w:pPr>
              <w:jc w:val="center"/>
              <w:rPr>
                <w:rFonts w:hint="eastAsia" w:ascii="仿宋" w:hAnsi="仿宋" w:eastAsia="仿宋" w:cs="Times New Roman"/>
                <w:color w:val="auto"/>
                <w:highlight w:val="none"/>
                <w:lang w:val="en-US" w:eastAsia="zh-CN"/>
              </w:rPr>
            </w:pPr>
          </w:p>
        </w:tc>
        <w:tc>
          <w:tcPr>
            <w:tcW w:w="1673" w:type="dxa"/>
            <w:vMerge w:val="restart"/>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元/柱</w:t>
            </w:r>
          </w:p>
        </w:tc>
        <w:tc>
          <w:tcPr>
            <w:tcW w:w="1927" w:type="dxa"/>
            <w:vMerge w:val="restart"/>
            <w:noWrap w:val="0"/>
            <w:vAlign w:val="center"/>
          </w:tcPr>
          <w:p>
            <w:pPr>
              <w:jc w:val="left"/>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路灯专用箱变及照明控制设备养护费用已包含路灯养护费用中，不再另行报价。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noWrap w:val="0"/>
            <w:vAlign w:val="center"/>
          </w:tcPr>
          <w:p>
            <w:pPr>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2</w:t>
            </w:r>
          </w:p>
        </w:tc>
        <w:tc>
          <w:tcPr>
            <w:tcW w:w="2370"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中杆照明</w:t>
            </w:r>
          </w:p>
        </w:tc>
        <w:tc>
          <w:tcPr>
            <w:tcW w:w="1547"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142柱</w:t>
            </w:r>
          </w:p>
        </w:tc>
        <w:tc>
          <w:tcPr>
            <w:tcW w:w="1326" w:type="dxa"/>
            <w:noWrap w:val="0"/>
            <w:vAlign w:val="center"/>
          </w:tcPr>
          <w:p>
            <w:pPr>
              <w:jc w:val="center"/>
              <w:rPr>
                <w:rFonts w:hint="eastAsia" w:ascii="仿宋" w:hAnsi="仿宋" w:eastAsia="仿宋" w:cs="Times New Roman"/>
                <w:color w:val="auto"/>
                <w:highlight w:val="none"/>
                <w:lang w:val="en-US" w:eastAsia="zh-CN"/>
              </w:rPr>
            </w:pPr>
          </w:p>
        </w:tc>
        <w:tc>
          <w:tcPr>
            <w:tcW w:w="1673" w:type="dxa"/>
            <w:vMerge w:val="continue"/>
            <w:noWrap w:val="0"/>
            <w:vAlign w:val="center"/>
          </w:tcPr>
          <w:p>
            <w:pPr>
              <w:jc w:val="center"/>
              <w:rPr>
                <w:rFonts w:hint="eastAsia" w:ascii="仿宋" w:hAnsi="仿宋" w:eastAsia="仿宋" w:cs="Times New Roman"/>
                <w:color w:val="auto"/>
                <w:highlight w:val="none"/>
                <w:lang w:val="en-US" w:eastAsia="zh-CN"/>
              </w:rPr>
            </w:pPr>
          </w:p>
        </w:tc>
        <w:tc>
          <w:tcPr>
            <w:tcW w:w="1927" w:type="dxa"/>
            <w:vMerge w:val="continue"/>
            <w:noWrap w:val="0"/>
            <w:vAlign w:val="center"/>
          </w:tcPr>
          <w:p>
            <w:pPr>
              <w:jc w:val="center"/>
              <w:rPr>
                <w:rFonts w:hint="eastAsia" w:ascii="仿宋" w:hAnsi="仿宋" w:eastAsia="仿宋"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noWrap w:val="0"/>
            <w:vAlign w:val="center"/>
          </w:tcPr>
          <w:p>
            <w:pPr>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3</w:t>
            </w:r>
          </w:p>
        </w:tc>
        <w:tc>
          <w:tcPr>
            <w:tcW w:w="2370"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庭院路灯</w:t>
            </w:r>
          </w:p>
        </w:tc>
        <w:tc>
          <w:tcPr>
            <w:tcW w:w="1547"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390柱</w:t>
            </w:r>
          </w:p>
        </w:tc>
        <w:tc>
          <w:tcPr>
            <w:tcW w:w="1326" w:type="dxa"/>
            <w:noWrap w:val="0"/>
            <w:vAlign w:val="center"/>
          </w:tcPr>
          <w:p>
            <w:pPr>
              <w:jc w:val="center"/>
              <w:rPr>
                <w:rFonts w:hint="eastAsia" w:ascii="仿宋" w:hAnsi="仿宋" w:eastAsia="仿宋" w:cs="Times New Roman"/>
                <w:color w:val="auto"/>
                <w:highlight w:val="none"/>
                <w:lang w:val="en-US" w:eastAsia="zh-CN"/>
              </w:rPr>
            </w:pPr>
          </w:p>
        </w:tc>
        <w:tc>
          <w:tcPr>
            <w:tcW w:w="1673" w:type="dxa"/>
            <w:vMerge w:val="continue"/>
            <w:noWrap w:val="0"/>
            <w:vAlign w:val="center"/>
          </w:tcPr>
          <w:p>
            <w:pPr>
              <w:jc w:val="center"/>
              <w:rPr>
                <w:rFonts w:hint="eastAsia" w:ascii="仿宋" w:hAnsi="仿宋" w:eastAsia="仿宋" w:cs="Times New Roman"/>
                <w:color w:val="auto"/>
                <w:highlight w:val="none"/>
                <w:lang w:val="en-US" w:eastAsia="zh-CN"/>
              </w:rPr>
            </w:pPr>
          </w:p>
        </w:tc>
        <w:tc>
          <w:tcPr>
            <w:tcW w:w="1927" w:type="dxa"/>
            <w:vMerge w:val="continue"/>
            <w:noWrap w:val="0"/>
            <w:vAlign w:val="center"/>
          </w:tcPr>
          <w:p>
            <w:pPr>
              <w:jc w:val="center"/>
              <w:rPr>
                <w:rFonts w:hint="eastAsia" w:ascii="仿宋" w:hAnsi="仿宋" w:eastAsia="仿宋"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noWrap w:val="0"/>
            <w:vAlign w:val="center"/>
          </w:tcPr>
          <w:p>
            <w:pPr>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4</w:t>
            </w:r>
          </w:p>
        </w:tc>
        <w:tc>
          <w:tcPr>
            <w:tcW w:w="2370"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马路弯路灯</w:t>
            </w:r>
          </w:p>
        </w:tc>
        <w:tc>
          <w:tcPr>
            <w:tcW w:w="1547"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1452柱</w:t>
            </w:r>
          </w:p>
        </w:tc>
        <w:tc>
          <w:tcPr>
            <w:tcW w:w="1326" w:type="dxa"/>
            <w:noWrap w:val="0"/>
            <w:vAlign w:val="center"/>
          </w:tcPr>
          <w:p>
            <w:pPr>
              <w:jc w:val="center"/>
              <w:rPr>
                <w:rFonts w:hint="eastAsia" w:ascii="仿宋" w:hAnsi="仿宋" w:eastAsia="仿宋" w:cs="Times New Roman"/>
                <w:color w:val="auto"/>
                <w:highlight w:val="none"/>
                <w:lang w:val="en-US" w:eastAsia="zh-CN"/>
              </w:rPr>
            </w:pPr>
          </w:p>
        </w:tc>
        <w:tc>
          <w:tcPr>
            <w:tcW w:w="1673" w:type="dxa"/>
            <w:vMerge w:val="continue"/>
            <w:noWrap w:val="0"/>
            <w:vAlign w:val="center"/>
          </w:tcPr>
          <w:p>
            <w:pPr>
              <w:jc w:val="center"/>
              <w:rPr>
                <w:rFonts w:hint="eastAsia" w:ascii="仿宋" w:hAnsi="仿宋" w:eastAsia="仿宋" w:cs="Times New Roman"/>
                <w:color w:val="auto"/>
                <w:highlight w:val="none"/>
                <w:lang w:val="en-US" w:eastAsia="zh-CN"/>
              </w:rPr>
            </w:pPr>
          </w:p>
        </w:tc>
        <w:tc>
          <w:tcPr>
            <w:tcW w:w="1927" w:type="dxa"/>
            <w:vMerge w:val="continue"/>
            <w:noWrap w:val="0"/>
            <w:vAlign w:val="center"/>
          </w:tcPr>
          <w:p>
            <w:pPr>
              <w:jc w:val="center"/>
              <w:rPr>
                <w:rFonts w:hint="eastAsia" w:ascii="仿宋" w:hAnsi="仿宋" w:eastAsia="仿宋"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noWrap w:val="0"/>
            <w:vAlign w:val="center"/>
          </w:tcPr>
          <w:p>
            <w:pPr>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5</w:t>
            </w:r>
          </w:p>
        </w:tc>
        <w:tc>
          <w:tcPr>
            <w:tcW w:w="2370"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钠灯类路灯</w:t>
            </w:r>
          </w:p>
        </w:tc>
        <w:tc>
          <w:tcPr>
            <w:tcW w:w="1547"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2602柱</w:t>
            </w:r>
          </w:p>
        </w:tc>
        <w:tc>
          <w:tcPr>
            <w:tcW w:w="1326" w:type="dxa"/>
            <w:noWrap w:val="0"/>
            <w:vAlign w:val="center"/>
          </w:tcPr>
          <w:p>
            <w:pPr>
              <w:jc w:val="center"/>
              <w:rPr>
                <w:rFonts w:hint="eastAsia" w:ascii="仿宋" w:hAnsi="仿宋" w:eastAsia="仿宋" w:cs="Times New Roman"/>
                <w:color w:val="auto"/>
                <w:highlight w:val="none"/>
                <w:lang w:val="en-US" w:eastAsia="zh-CN"/>
              </w:rPr>
            </w:pPr>
          </w:p>
        </w:tc>
        <w:tc>
          <w:tcPr>
            <w:tcW w:w="1673" w:type="dxa"/>
            <w:vMerge w:val="continue"/>
            <w:noWrap w:val="0"/>
            <w:vAlign w:val="center"/>
          </w:tcPr>
          <w:p>
            <w:pPr>
              <w:jc w:val="center"/>
              <w:rPr>
                <w:rFonts w:hint="eastAsia" w:ascii="仿宋" w:hAnsi="仿宋" w:eastAsia="仿宋" w:cs="Times New Roman"/>
                <w:color w:val="auto"/>
                <w:highlight w:val="none"/>
                <w:lang w:val="en-US" w:eastAsia="zh-CN"/>
              </w:rPr>
            </w:pPr>
          </w:p>
        </w:tc>
        <w:tc>
          <w:tcPr>
            <w:tcW w:w="1927" w:type="dxa"/>
            <w:vMerge w:val="continue"/>
            <w:noWrap w:val="0"/>
            <w:vAlign w:val="center"/>
          </w:tcPr>
          <w:p>
            <w:pPr>
              <w:jc w:val="center"/>
              <w:rPr>
                <w:rFonts w:hint="eastAsia" w:ascii="仿宋" w:hAnsi="仿宋" w:eastAsia="仿宋"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noWrap w:val="0"/>
            <w:vAlign w:val="center"/>
          </w:tcPr>
          <w:p>
            <w:pPr>
              <w:jc w:val="center"/>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6</w:t>
            </w:r>
          </w:p>
        </w:tc>
        <w:tc>
          <w:tcPr>
            <w:tcW w:w="2370"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照明远程控制终端</w:t>
            </w:r>
          </w:p>
        </w:tc>
        <w:tc>
          <w:tcPr>
            <w:tcW w:w="1547"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485套</w:t>
            </w:r>
          </w:p>
        </w:tc>
        <w:tc>
          <w:tcPr>
            <w:tcW w:w="1326" w:type="dxa"/>
            <w:noWrap w:val="0"/>
            <w:vAlign w:val="center"/>
          </w:tcPr>
          <w:p>
            <w:pPr>
              <w:jc w:val="center"/>
              <w:rPr>
                <w:rFonts w:hint="eastAsia" w:ascii="仿宋" w:hAnsi="仿宋" w:eastAsia="仿宋" w:cs="Times New Roman"/>
                <w:color w:val="auto"/>
                <w:highlight w:val="none"/>
                <w:lang w:val="en-US" w:eastAsia="zh-CN"/>
              </w:rPr>
            </w:pPr>
          </w:p>
        </w:tc>
        <w:tc>
          <w:tcPr>
            <w:tcW w:w="1673"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元/套</w:t>
            </w:r>
          </w:p>
        </w:tc>
        <w:tc>
          <w:tcPr>
            <w:tcW w:w="1927" w:type="dxa"/>
            <w:vMerge w:val="continue"/>
            <w:noWrap w:val="0"/>
            <w:vAlign w:val="center"/>
          </w:tcPr>
          <w:p>
            <w:pPr>
              <w:jc w:val="center"/>
              <w:rPr>
                <w:rFonts w:hint="eastAsia" w:ascii="仿宋" w:hAnsi="仿宋" w:eastAsia="仿宋"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noWrap w:val="0"/>
            <w:vAlign w:val="center"/>
          </w:tcPr>
          <w:p>
            <w:pPr>
              <w:jc w:val="center"/>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7</w:t>
            </w:r>
          </w:p>
        </w:tc>
        <w:tc>
          <w:tcPr>
            <w:tcW w:w="2370"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照明控制设备</w:t>
            </w:r>
          </w:p>
        </w:tc>
        <w:tc>
          <w:tcPr>
            <w:tcW w:w="1547" w:type="dxa"/>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370台</w:t>
            </w:r>
          </w:p>
        </w:tc>
        <w:tc>
          <w:tcPr>
            <w:tcW w:w="1326" w:type="dxa"/>
            <w:noWrap w:val="0"/>
            <w:vAlign w:val="center"/>
          </w:tcPr>
          <w:p>
            <w:pPr>
              <w:jc w:val="center"/>
              <w:rPr>
                <w:rFonts w:hint="eastAsia" w:ascii="仿宋" w:hAnsi="仿宋" w:eastAsia="仿宋" w:cs="Times New Roman"/>
                <w:color w:val="auto"/>
                <w:highlight w:val="none"/>
                <w:lang w:val="en-US" w:eastAsia="zh-CN"/>
              </w:rPr>
            </w:pPr>
          </w:p>
        </w:tc>
        <w:tc>
          <w:tcPr>
            <w:tcW w:w="1673" w:type="dxa"/>
            <w:noWrap w:val="0"/>
            <w:vAlign w:val="center"/>
          </w:tcPr>
          <w:p>
            <w:pPr>
              <w:jc w:val="center"/>
              <w:rPr>
                <w:rFonts w:hint="default"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w:t>
            </w:r>
          </w:p>
        </w:tc>
        <w:tc>
          <w:tcPr>
            <w:tcW w:w="1927" w:type="dxa"/>
            <w:vMerge w:val="continue"/>
            <w:noWrap w:val="0"/>
            <w:vAlign w:val="center"/>
          </w:tcPr>
          <w:p>
            <w:pPr>
              <w:jc w:val="center"/>
              <w:rPr>
                <w:rFonts w:hint="eastAsia" w:ascii="仿宋" w:hAnsi="仿宋" w:eastAsia="仿宋" w:cs="Times New Roman"/>
                <w:color w:val="auto"/>
                <w:highlight w:val="none"/>
                <w:lang w:val="en-US" w:eastAsia="zh-CN"/>
              </w:rPr>
            </w:pPr>
          </w:p>
        </w:tc>
      </w:tr>
    </w:tbl>
    <w:p>
      <w:pPr>
        <w:adjustRightInd w:val="0"/>
        <w:spacing w:line="360" w:lineRule="auto"/>
        <w:ind w:firstLine="482" w:firstLineChars="200"/>
        <w:outlineLvl w:val="0"/>
        <w:rPr>
          <w:rFonts w:ascii="仿宋" w:hAnsi="仿宋" w:eastAsia="仿宋" w:cs="仿宋"/>
          <w:b/>
          <w:color w:val="auto"/>
          <w:sz w:val="24"/>
          <w:highlight w:val="none"/>
        </w:rPr>
      </w:pPr>
      <w:bookmarkStart w:id="400" w:name="_Toc21551"/>
      <w:bookmarkStart w:id="401" w:name="_Toc23292"/>
      <w:bookmarkStart w:id="402" w:name="_Toc21631"/>
      <w:r>
        <w:rPr>
          <w:rFonts w:hint="eastAsia" w:ascii="仿宋" w:hAnsi="仿宋" w:eastAsia="仿宋" w:cs="仿宋"/>
          <w:b/>
          <w:color w:val="auto"/>
          <w:sz w:val="24"/>
          <w:highlight w:val="none"/>
        </w:rPr>
        <w:t>4、价款</w:t>
      </w:r>
      <w:bookmarkEnd w:id="400"/>
      <w:bookmarkEnd w:id="401"/>
      <w:bookmarkEnd w:id="402"/>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.1</w:t>
      </w:r>
      <w:r>
        <w:rPr>
          <w:rFonts w:hint="eastAsia" w:ascii="仿宋" w:hAnsi="仿宋" w:eastAsia="仿宋"/>
          <w:color w:val="auto"/>
          <w:sz w:val="24"/>
          <w:highlight w:val="none"/>
        </w:rPr>
        <w:t>本合同</w:t>
      </w:r>
      <w:r>
        <w:rPr>
          <w:rFonts w:hint="eastAsia" w:ascii="仿宋" w:hAnsi="仿宋" w:eastAsia="仿宋"/>
          <w:color w:val="auto"/>
          <w:sz w:val="24"/>
          <w:highlight w:val="none"/>
          <w:lang w:eastAsia="zh-CN"/>
        </w:rPr>
        <w:t>综合单价</w:t>
      </w:r>
      <w:r>
        <w:rPr>
          <w:rFonts w:hint="eastAsia" w:ascii="仿宋" w:hAnsi="仿宋" w:eastAsia="仿宋"/>
          <w:color w:val="auto"/>
          <w:sz w:val="24"/>
          <w:highlight w:val="none"/>
          <w:lang w:val="en-US" w:eastAsia="zh-CN"/>
        </w:rPr>
        <w:t>详见上表</w:t>
      </w:r>
      <w:r>
        <w:rPr>
          <w:rFonts w:hint="eastAsia" w:ascii="仿宋" w:hAnsi="仿宋" w:eastAsia="仿宋"/>
          <w:color w:val="auto"/>
          <w:sz w:val="24"/>
          <w:highlight w:val="none"/>
        </w:rPr>
        <w:t>。</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olor w:val="auto"/>
          <w:sz w:val="24"/>
          <w:highlight w:val="none"/>
          <w:lang w:val="en-US" w:eastAsia="zh-CN"/>
        </w:rPr>
        <w:t>4.2本合同年度总价暂定（大写）：</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none"/>
          <w:lang w:val="en-US" w:eastAsia="zh-CN"/>
        </w:rPr>
        <w:t>；（小写）</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none"/>
          <w:lang w:val="en-US" w:eastAsia="zh-CN"/>
        </w:rPr>
        <w:t>。</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结算原则：若最终普查数量超过上表总数量9972柱（套）的，按照上表总数量9972柱（套）的中标金额进行结算。若最终普查数量未达到上表总数量9972柱（套）的，按照中标综合单价结合最终普查数量，按实结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合同期内价格说明：合同</w:t>
      </w:r>
      <w:r>
        <w:rPr>
          <w:rFonts w:hint="eastAsia" w:ascii="仿宋" w:hAnsi="仿宋" w:eastAsia="仿宋" w:cs="仿宋"/>
          <w:color w:val="auto"/>
          <w:sz w:val="24"/>
          <w:highlight w:val="none"/>
          <w:lang w:eastAsia="zh-CN"/>
        </w:rPr>
        <w:t>单价</w:t>
      </w:r>
      <w:r>
        <w:rPr>
          <w:rFonts w:ascii="仿宋" w:hAnsi="仿宋" w:eastAsia="仿宋" w:cs="仿宋"/>
          <w:color w:val="auto"/>
          <w:sz w:val="24"/>
          <w:highlight w:val="none"/>
        </w:rPr>
        <w:t>不因市场因素和政策因素的变动而调整</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合同模式：</w:t>
      </w:r>
      <w:r>
        <w:rPr>
          <w:rFonts w:hint="eastAsia" w:ascii="仿宋" w:hAnsi="仿宋" w:eastAsia="仿宋" w:cs="仿宋"/>
          <w:color w:val="auto"/>
          <w:sz w:val="24"/>
          <w:highlight w:val="none"/>
          <w:lang w:eastAsia="zh-CN"/>
        </w:rPr>
        <w:t>固定单价，可调总价</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Times New Roman"/>
          <w:color w:val="auto"/>
          <w:sz w:val="24"/>
          <w:highlight w:val="none"/>
          <w:u w:val="single"/>
          <w:lang w:val="en-US" w:eastAsia="zh-CN"/>
        </w:rPr>
      </w:pPr>
      <w:r>
        <w:rPr>
          <w:rFonts w:hint="eastAsia" w:ascii="仿宋" w:hAnsi="仿宋" w:eastAsia="仿宋" w:cs="Times New Roman"/>
          <w:color w:val="auto"/>
          <w:sz w:val="24"/>
          <w:highlight w:val="none"/>
          <w:u w:val="single"/>
          <w:lang w:val="en-US" w:eastAsia="zh-CN"/>
        </w:rPr>
        <w:t>4.6在养护期内，如有新移交的路灯需要乙方进行养护，养护费用按照同类型灯具的中标价的70%进行结算。</w:t>
      </w:r>
    </w:p>
    <w:p>
      <w:pPr>
        <w:spacing w:line="360" w:lineRule="auto"/>
        <w:ind w:firstLine="480" w:firstLineChars="200"/>
        <w:rPr>
          <w:rFonts w:hint="eastAsia" w:ascii="仿宋" w:hAnsi="仿宋" w:eastAsia="仿宋" w:cs="Times New Roman"/>
          <w:color w:val="auto"/>
          <w:sz w:val="24"/>
          <w:highlight w:val="none"/>
          <w:u w:val="single"/>
          <w:lang w:val="en-US" w:eastAsia="zh-CN"/>
        </w:rPr>
      </w:pPr>
      <w:r>
        <w:rPr>
          <w:rFonts w:hint="eastAsia" w:ascii="仿宋" w:hAnsi="仿宋" w:eastAsia="仿宋" w:cs="Times New Roman"/>
          <w:color w:val="auto"/>
          <w:sz w:val="24"/>
          <w:highlight w:val="none"/>
          <w:u w:val="single"/>
          <w:lang w:val="en-US" w:eastAsia="zh-CN"/>
        </w:rPr>
        <w:t>4.7如遇政府改造等政策问题：路灯拆除后，拆除部分的路灯不涉及养护，此部分路灯的养护经费按照（养护天数×中标单价×数量/365）结算；节能改造后，养护经费为同类型路灯原中标价的40%。</w:t>
      </w:r>
    </w:p>
    <w:p>
      <w:pPr>
        <w:adjustRightInd w:val="0"/>
        <w:spacing w:line="360" w:lineRule="auto"/>
        <w:ind w:firstLine="482" w:firstLineChars="200"/>
        <w:outlineLvl w:val="0"/>
        <w:rPr>
          <w:rFonts w:ascii="仿宋" w:hAnsi="仿宋" w:eastAsia="仿宋" w:cs="仿宋"/>
          <w:b/>
          <w:color w:val="auto"/>
          <w:sz w:val="24"/>
          <w:highlight w:val="none"/>
        </w:rPr>
      </w:pPr>
      <w:bookmarkStart w:id="403" w:name="_Toc22618"/>
      <w:bookmarkStart w:id="404" w:name="_Toc10340"/>
      <w:bookmarkStart w:id="405" w:name="_Toc1814"/>
      <w:r>
        <w:rPr>
          <w:rFonts w:hint="eastAsia" w:ascii="仿宋" w:hAnsi="仿宋" w:eastAsia="仿宋" w:cs="仿宋"/>
          <w:b/>
          <w:color w:val="auto"/>
          <w:sz w:val="24"/>
          <w:highlight w:val="none"/>
        </w:rPr>
        <w:t>5、付款</w:t>
      </w:r>
      <w:bookmarkEnd w:id="403"/>
      <w:bookmarkEnd w:id="404"/>
      <w:bookmarkEnd w:id="405"/>
      <w:r>
        <w:rPr>
          <w:rFonts w:hint="eastAsia" w:ascii="仿宋" w:hAnsi="仿宋" w:eastAsia="仿宋" w:cs="仿宋"/>
          <w:b/>
          <w:color w:val="auto"/>
          <w:sz w:val="24"/>
          <w:highlight w:val="none"/>
        </w:rPr>
        <w:t>方式、时间和条件</w:t>
      </w:r>
    </w:p>
    <w:p>
      <w:pPr>
        <w:pStyle w:val="29"/>
        <w:spacing w:before="0" w:beforeAutospacing="0" w:after="0" w:afterAutospacing="0" w:line="360" w:lineRule="auto"/>
        <w:ind w:firstLine="480"/>
        <w:rPr>
          <w:rFonts w:hint="eastAsia" w:ascii="仿宋" w:hAnsi="仿宋" w:eastAsia="仿宋" w:cs="仿宋"/>
          <w:color w:val="auto"/>
          <w:kern w:val="2"/>
          <w:highlight w:val="none"/>
          <w:u w:val="single"/>
        </w:rPr>
      </w:pPr>
      <w:bookmarkStart w:id="406" w:name="_Toc32071"/>
      <w:bookmarkStart w:id="407" w:name="_Toc2846"/>
      <w:bookmarkStart w:id="408" w:name="_Toc19304"/>
      <w:r>
        <w:rPr>
          <w:rFonts w:hint="eastAsia" w:ascii="仿宋" w:hAnsi="仿宋" w:eastAsia="仿宋" w:cs="仿宋"/>
          <w:color w:val="auto"/>
          <w:kern w:val="2"/>
          <w:highlight w:val="none"/>
        </w:rPr>
        <w:t>5.1资金支付的方式、时间和条件：</w:t>
      </w:r>
    </w:p>
    <w:p>
      <w:pPr>
        <w:pStyle w:val="29"/>
        <w:spacing w:before="0" w:beforeAutospacing="0" w:after="0" w:afterAutospacing="0" w:line="360" w:lineRule="auto"/>
        <w:ind w:firstLine="480"/>
        <w:rPr>
          <w:rFonts w:hint="eastAsia" w:ascii="仿宋" w:hAnsi="仿宋" w:eastAsia="仿宋" w:cs="仿宋"/>
          <w:color w:val="auto"/>
          <w:kern w:val="2"/>
          <w:highlight w:val="none"/>
          <w:u w:val="single"/>
          <w:lang w:eastAsia="zh-CN"/>
        </w:rPr>
      </w:pPr>
      <w:r>
        <w:rPr>
          <w:rFonts w:hint="eastAsia" w:ascii="仿宋" w:hAnsi="仿宋" w:eastAsia="仿宋" w:cs="仿宋"/>
          <w:color w:val="auto"/>
          <w:kern w:val="2"/>
          <w:highlight w:val="none"/>
          <w:u w:val="single"/>
          <w:lang w:val="en-US" w:eastAsia="zh-CN"/>
        </w:rPr>
        <w:t>1）</w:t>
      </w:r>
      <w:r>
        <w:rPr>
          <w:rFonts w:hint="eastAsia" w:ascii="仿宋" w:hAnsi="仿宋" w:eastAsia="仿宋" w:cs="仿宋"/>
          <w:color w:val="auto"/>
          <w:kern w:val="2"/>
          <w:highlight w:val="none"/>
          <w:u w:val="single"/>
          <w:lang w:eastAsia="zh-CN"/>
        </w:rPr>
        <w:t>合同签订生效以及具备实施条件后7个工作日内</w:t>
      </w:r>
      <w:r>
        <w:rPr>
          <w:rFonts w:hint="eastAsia" w:ascii="仿宋" w:hAnsi="仿宋" w:eastAsia="仿宋" w:cs="仿宋"/>
          <w:color w:val="auto"/>
          <w:kern w:val="2"/>
          <w:highlight w:val="none"/>
          <w:u w:val="single"/>
          <w:lang w:val="en-US" w:eastAsia="zh-CN"/>
        </w:rPr>
        <w:t>乙方</w:t>
      </w:r>
      <w:r>
        <w:rPr>
          <w:rFonts w:hint="eastAsia" w:ascii="仿宋" w:hAnsi="仿宋" w:eastAsia="仿宋" w:cs="仿宋"/>
          <w:color w:val="auto"/>
          <w:kern w:val="2"/>
          <w:highlight w:val="none"/>
          <w:u w:val="single"/>
          <w:lang w:eastAsia="zh-CN"/>
        </w:rPr>
        <w:t>向</w:t>
      </w:r>
      <w:r>
        <w:rPr>
          <w:rFonts w:hint="eastAsia" w:ascii="仿宋" w:hAnsi="仿宋" w:eastAsia="仿宋" w:cs="仿宋"/>
          <w:color w:val="auto"/>
          <w:kern w:val="2"/>
          <w:highlight w:val="none"/>
          <w:u w:val="single"/>
          <w:lang w:val="en-US" w:eastAsia="zh-CN"/>
        </w:rPr>
        <w:t>甲方</w:t>
      </w:r>
      <w:r>
        <w:rPr>
          <w:rFonts w:hint="eastAsia" w:ascii="仿宋" w:hAnsi="仿宋" w:eastAsia="仿宋" w:cs="仿宋"/>
          <w:color w:val="auto"/>
          <w:kern w:val="2"/>
          <w:highlight w:val="none"/>
          <w:u w:val="single"/>
          <w:lang w:eastAsia="zh-CN"/>
        </w:rPr>
        <w:t>提交合同金额40%的预付款保函后，</w:t>
      </w:r>
      <w:r>
        <w:rPr>
          <w:rFonts w:hint="eastAsia" w:ascii="仿宋" w:hAnsi="仿宋" w:eastAsia="仿宋" w:cs="仿宋"/>
          <w:color w:val="auto"/>
          <w:kern w:val="2"/>
          <w:highlight w:val="none"/>
          <w:u w:val="single"/>
          <w:lang w:val="en-US" w:eastAsia="zh-CN"/>
        </w:rPr>
        <w:t>甲方</w:t>
      </w:r>
      <w:r>
        <w:rPr>
          <w:rFonts w:hint="eastAsia" w:ascii="仿宋" w:hAnsi="仿宋" w:eastAsia="仿宋" w:cs="仿宋"/>
          <w:color w:val="auto"/>
          <w:kern w:val="2"/>
          <w:highlight w:val="none"/>
          <w:u w:val="single"/>
          <w:lang w:eastAsia="zh-CN"/>
        </w:rPr>
        <w:t>支付合同金额的40%作为预付款；</w:t>
      </w:r>
    </w:p>
    <w:p>
      <w:pPr>
        <w:pStyle w:val="29"/>
        <w:spacing w:before="0" w:beforeAutospacing="0" w:after="0" w:afterAutospacing="0" w:line="360" w:lineRule="auto"/>
        <w:ind w:firstLine="480"/>
        <w:rPr>
          <w:rFonts w:hint="eastAsia" w:ascii="仿宋" w:hAnsi="仿宋" w:eastAsia="仿宋" w:cs="仿宋"/>
          <w:color w:val="auto"/>
          <w:kern w:val="2"/>
          <w:highlight w:val="none"/>
          <w:u w:val="single"/>
          <w:lang w:eastAsia="zh-CN"/>
        </w:rPr>
      </w:pPr>
      <w:r>
        <w:rPr>
          <w:rFonts w:hint="eastAsia" w:ascii="仿宋" w:hAnsi="仿宋" w:eastAsia="仿宋" w:cs="仿宋"/>
          <w:color w:val="auto"/>
          <w:kern w:val="2"/>
          <w:highlight w:val="none"/>
          <w:u w:val="single"/>
          <w:lang w:val="en-US" w:eastAsia="zh-CN"/>
        </w:rPr>
        <w:t>2）</w:t>
      </w:r>
      <w:r>
        <w:rPr>
          <w:rFonts w:hint="eastAsia" w:ascii="仿宋" w:hAnsi="仿宋" w:eastAsia="仿宋" w:cs="仿宋"/>
          <w:color w:val="auto"/>
          <w:kern w:val="2"/>
          <w:highlight w:val="none"/>
          <w:u w:val="single"/>
          <w:lang w:eastAsia="zh-CN"/>
        </w:rPr>
        <w:t>维修养护管理服务经费每</w:t>
      </w:r>
      <w:r>
        <w:rPr>
          <w:rFonts w:hint="eastAsia" w:ascii="仿宋" w:hAnsi="仿宋" w:eastAsia="仿宋" w:cs="仿宋"/>
          <w:color w:val="auto"/>
          <w:kern w:val="2"/>
          <w:highlight w:val="none"/>
          <w:u w:val="single"/>
          <w:lang w:val="en-US" w:eastAsia="zh-CN"/>
        </w:rPr>
        <w:t>月</w:t>
      </w:r>
      <w:r>
        <w:rPr>
          <w:rFonts w:hint="eastAsia" w:ascii="仿宋" w:hAnsi="仿宋" w:eastAsia="仿宋" w:cs="仿宋"/>
          <w:color w:val="auto"/>
          <w:kern w:val="2"/>
          <w:highlight w:val="none"/>
          <w:u w:val="single"/>
          <w:lang w:eastAsia="zh-CN"/>
        </w:rPr>
        <w:t>结算一次。每次结算先从预付款中扣回，待预付款金额全额扣回后，继续支付。维修养护管理服务经费每年分12个月拨付，第二个月初（一般为每月10日左右）支付前一个月合同价款的1/12，第13个月份结清当年养护经费（含调整费用）。</w:t>
      </w:r>
    </w:p>
    <w:p>
      <w:pPr>
        <w:pStyle w:val="29"/>
        <w:spacing w:before="0" w:beforeAutospacing="0" w:after="0" w:afterAutospacing="0" w:line="360" w:lineRule="auto"/>
        <w:ind w:firstLine="480"/>
        <w:rPr>
          <w:rFonts w:hint="eastAsia" w:ascii="仿宋" w:hAnsi="仿宋" w:eastAsia="仿宋" w:cs="仿宋"/>
          <w:color w:val="auto"/>
          <w:kern w:val="2"/>
          <w:highlight w:val="none"/>
          <w:u w:val="single"/>
          <w:lang w:eastAsia="zh-CN"/>
        </w:rPr>
      </w:pPr>
      <w:r>
        <w:rPr>
          <w:rFonts w:hint="eastAsia" w:ascii="仿宋" w:hAnsi="仿宋" w:eastAsia="仿宋" w:cs="仿宋"/>
          <w:color w:val="auto"/>
          <w:kern w:val="2"/>
          <w:highlight w:val="none"/>
          <w:u w:val="single"/>
          <w:lang w:val="en-US" w:eastAsia="zh-CN"/>
        </w:rPr>
        <w:t>3）考核付款：</w:t>
      </w:r>
      <w:r>
        <w:rPr>
          <w:rFonts w:hint="eastAsia" w:ascii="仿宋" w:hAnsi="仿宋" w:eastAsia="仿宋" w:cs="仿宋"/>
          <w:color w:val="auto"/>
          <w:kern w:val="2"/>
          <w:highlight w:val="none"/>
          <w:u w:val="single"/>
          <w:lang w:eastAsia="zh-CN"/>
        </w:rPr>
        <w:t>维修养护管理服务经费支付结合每月考核情况，具体方法为：</w:t>
      </w:r>
    </w:p>
    <w:p>
      <w:pPr>
        <w:pStyle w:val="29"/>
        <w:spacing w:before="0" w:beforeAutospacing="0" w:after="0" w:afterAutospacing="0" w:line="360" w:lineRule="auto"/>
        <w:ind w:firstLine="480"/>
        <w:rPr>
          <w:rFonts w:hint="eastAsia" w:ascii="仿宋" w:hAnsi="仿宋" w:eastAsia="仿宋" w:cs="仿宋"/>
          <w:color w:val="auto"/>
          <w:kern w:val="2"/>
          <w:highlight w:val="none"/>
          <w:u w:val="single"/>
          <w:lang w:eastAsia="zh-CN"/>
        </w:rPr>
      </w:pPr>
      <w:r>
        <w:rPr>
          <w:rFonts w:hint="default" w:ascii="仿宋" w:hAnsi="仿宋" w:eastAsia="仿宋" w:cs="仿宋"/>
          <w:color w:val="auto"/>
          <w:kern w:val="2"/>
          <w:highlight w:val="none"/>
          <w:u w:val="single"/>
          <w:lang w:eastAsia="zh-CN"/>
        </w:rPr>
        <w:t>①</w:t>
      </w:r>
      <w:r>
        <w:rPr>
          <w:rFonts w:hint="eastAsia" w:ascii="仿宋" w:hAnsi="仿宋" w:eastAsia="仿宋" w:cs="仿宋"/>
          <w:color w:val="auto"/>
          <w:kern w:val="2"/>
          <w:highlight w:val="none"/>
          <w:u w:val="single"/>
          <w:lang w:eastAsia="zh-CN"/>
        </w:rPr>
        <w:t>月考核分在90分以上的为合格，全额拨付月</w:t>
      </w:r>
      <w:r>
        <w:rPr>
          <w:rFonts w:hint="eastAsia" w:ascii="仿宋" w:hAnsi="仿宋" w:eastAsia="仿宋" w:cs="仿宋"/>
          <w:color w:val="auto"/>
          <w:kern w:val="2"/>
          <w:highlight w:val="none"/>
          <w:u w:val="single"/>
          <w:lang w:val="en-US" w:eastAsia="zh-CN"/>
        </w:rPr>
        <w:t>服务</w:t>
      </w:r>
      <w:r>
        <w:rPr>
          <w:rFonts w:hint="eastAsia" w:ascii="仿宋" w:hAnsi="仿宋" w:eastAsia="仿宋" w:cs="仿宋"/>
          <w:color w:val="auto"/>
          <w:kern w:val="2"/>
          <w:highlight w:val="none"/>
          <w:u w:val="single"/>
          <w:lang w:eastAsia="zh-CN"/>
        </w:rPr>
        <w:t>经费；</w:t>
      </w:r>
    </w:p>
    <w:p>
      <w:pPr>
        <w:pStyle w:val="29"/>
        <w:spacing w:before="0" w:beforeAutospacing="0" w:after="0" w:afterAutospacing="0" w:line="360" w:lineRule="auto"/>
        <w:ind w:firstLine="480"/>
        <w:rPr>
          <w:rFonts w:hint="eastAsia" w:ascii="仿宋" w:hAnsi="仿宋" w:eastAsia="仿宋" w:cs="仿宋"/>
          <w:color w:val="auto"/>
          <w:kern w:val="2"/>
          <w:highlight w:val="none"/>
          <w:u w:val="single"/>
          <w:lang w:eastAsia="zh-CN"/>
        </w:rPr>
      </w:pPr>
      <w:r>
        <w:rPr>
          <w:rFonts w:hint="default" w:ascii="仿宋" w:hAnsi="仿宋" w:eastAsia="仿宋" w:cs="仿宋"/>
          <w:color w:val="auto"/>
          <w:kern w:val="2"/>
          <w:highlight w:val="none"/>
          <w:u w:val="single"/>
          <w:lang w:eastAsia="zh-CN"/>
        </w:rPr>
        <w:t>②</w:t>
      </w:r>
      <w:r>
        <w:rPr>
          <w:rFonts w:hint="eastAsia" w:ascii="仿宋" w:hAnsi="仿宋" w:eastAsia="仿宋" w:cs="仿宋"/>
          <w:color w:val="auto"/>
          <w:kern w:val="2"/>
          <w:highlight w:val="none"/>
          <w:u w:val="single"/>
          <w:lang w:eastAsia="zh-CN"/>
        </w:rPr>
        <w:t>月考核分在90（含）-8</w:t>
      </w:r>
      <w:r>
        <w:rPr>
          <w:rFonts w:hint="eastAsia" w:ascii="仿宋" w:hAnsi="仿宋" w:eastAsia="仿宋" w:cs="仿宋"/>
          <w:color w:val="auto"/>
          <w:kern w:val="2"/>
          <w:highlight w:val="none"/>
          <w:u w:val="single"/>
          <w:lang w:val="en-US" w:eastAsia="zh-CN"/>
        </w:rPr>
        <w:t>5</w:t>
      </w:r>
      <w:r>
        <w:rPr>
          <w:rFonts w:hint="eastAsia" w:ascii="仿宋" w:hAnsi="仿宋" w:eastAsia="仿宋" w:cs="仿宋"/>
          <w:color w:val="auto"/>
          <w:kern w:val="2"/>
          <w:highlight w:val="none"/>
          <w:u w:val="single"/>
          <w:lang w:eastAsia="zh-CN"/>
        </w:rPr>
        <w:t>分（含）之间的，</w:t>
      </w:r>
      <w:r>
        <w:rPr>
          <w:rFonts w:hint="eastAsia" w:ascii="仿宋" w:hAnsi="仿宋" w:eastAsia="仿宋" w:cs="仿宋"/>
          <w:color w:val="auto"/>
          <w:kern w:val="2"/>
          <w:highlight w:val="none"/>
          <w:u w:val="single"/>
          <w:lang w:val="en-US" w:eastAsia="zh-CN"/>
        </w:rPr>
        <w:t>以90分为基准，</w:t>
      </w:r>
      <w:r>
        <w:rPr>
          <w:rFonts w:hint="eastAsia" w:ascii="仿宋" w:hAnsi="仿宋" w:eastAsia="仿宋" w:cs="仿宋"/>
          <w:color w:val="auto"/>
          <w:kern w:val="2"/>
          <w:highlight w:val="none"/>
          <w:u w:val="single"/>
          <w:lang w:eastAsia="zh-CN"/>
        </w:rPr>
        <w:t>每下降1分扣月</w:t>
      </w:r>
      <w:r>
        <w:rPr>
          <w:rFonts w:hint="eastAsia" w:ascii="仿宋" w:hAnsi="仿宋" w:eastAsia="仿宋" w:cs="仿宋"/>
          <w:color w:val="auto"/>
          <w:kern w:val="2"/>
          <w:highlight w:val="none"/>
          <w:u w:val="single"/>
          <w:lang w:val="en-US" w:eastAsia="zh-CN"/>
        </w:rPr>
        <w:t>服务</w:t>
      </w:r>
      <w:r>
        <w:rPr>
          <w:rFonts w:hint="eastAsia" w:ascii="仿宋" w:hAnsi="仿宋" w:eastAsia="仿宋" w:cs="仿宋"/>
          <w:color w:val="auto"/>
          <w:kern w:val="2"/>
          <w:highlight w:val="none"/>
          <w:u w:val="single"/>
          <w:lang w:eastAsia="zh-CN"/>
        </w:rPr>
        <w:t>经费的5个百分点；</w:t>
      </w:r>
    </w:p>
    <w:p>
      <w:pPr>
        <w:pStyle w:val="29"/>
        <w:spacing w:before="0" w:beforeAutospacing="0" w:after="0" w:afterAutospacing="0" w:line="360" w:lineRule="auto"/>
        <w:ind w:firstLine="480"/>
        <w:rPr>
          <w:rFonts w:hint="eastAsia" w:ascii="仿宋" w:hAnsi="仿宋" w:eastAsia="仿宋" w:cs="仿宋"/>
          <w:color w:val="auto"/>
          <w:kern w:val="2"/>
          <w:highlight w:val="none"/>
          <w:u w:val="single"/>
          <w:lang w:eastAsia="zh-CN"/>
        </w:rPr>
      </w:pPr>
      <w:r>
        <w:rPr>
          <w:rFonts w:hint="default" w:ascii="仿宋" w:hAnsi="仿宋" w:eastAsia="仿宋" w:cs="仿宋"/>
          <w:color w:val="auto"/>
          <w:kern w:val="2"/>
          <w:highlight w:val="none"/>
          <w:u w:val="single"/>
          <w:lang w:eastAsia="zh-CN"/>
        </w:rPr>
        <w:t>③</w:t>
      </w:r>
      <w:r>
        <w:rPr>
          <w:rFonts w:hint="eastAsia" w:ascii="仿宋" w:hAnsi="仿宋" w:eastAsia="仿宋" w:cs="仿宋"/>
          <w:color w:val="auto"/>
          <w:kern w:val="2"/>
          <w:highlight w:val="none"/>
          <w:u w:val="single"/>
          <w:lang w:eastAsia="zh-CN"/>
        </w:rPr>
        <w:t>考核分在85-8</w:t>
      </w:r>
      <w:r>
        <w:rPr>
          <w:rFonts w:hint="eastAsia" w:ascii="仿宋" w:hAnsi="仿宋" w:eastAsia="仿宋" w:cs="仿宋"/>
          <w:color w:val="auto"/>
          <w:kern w:val="2"/>
          <w:highlight w:val="none"/>
          <w:u w:val="single"/>
          <w:lang w:val="en-US" w:eastAsia="zh-CN"/>
        </w:rPr>
        <w:t>0</w:t>
      </w:r>
      <w:r>
        <w:rPr>
          <w:rFonts w:hint="eastAsia" w:ascii="仿宋" w:hAnsi="仿宋" w:eastAsia="仿宋" w:cs="仿宋"/>
          <w:color w:val="auto"/>
          <w:kern w:val="2"/>
          <w:highlight w:val="none"/>
          <w:u w:val="single"/>
          <w:lang w:eastAsia="zh-CN"/>
        </w:rPr>
        <w:t>分（含）之间，</w:t>
      </w:r>
      <w:r>
        <w:rPr>
          <w:rFonts w:hint="eastAsia" w:ascii="仿宋" w:hAnsi="仿宋" w:eastAsia="仿宋" w:cs="仿宋"/>
          <w:color w:val="auto"/>
          <w:kern w:val="2"/>
          <w:highlight w:val="none"/>
          <w:u w:val="single"/>
          <w:lang w:val="en-US" w:eastAsia="zh-CN"/>
        </w:rPr>
        <w:t>以90分为基准，</w:t>
      </w:r>
      <w:r>
        <w:rPr>
          <w:rFonts w:hint="eastAsia" w:ascii="仿宋" w:hAnsi="仿宋" w:eastAsia="仿宋" w:cs="仿宋"/>
          <w:color w:val="auto"/>
          <w:kern w:val="2"/>
          <w:highlight w:val="none"/>
          <w:u w:val="single"/>
          <w:lang w:eastAsia="zh-CN"/>
        </w:rPr>
        <w:t>每下降1分扣月</w:t>
      </w:r>
      <w:r>
        <w:rPr>
          <w:rFonts w:hint="eastAsia" w:ascii="仿宋" w:hAnsi="仿宋" w:eastAsia="仿宋" w:cs="仿宋"/>
          <w:color w:val="auto"/>
          <w:kern w:val="2"/>
          <w:highlight w:val="none"/>
          <w:u w:val="single"/>
          <w:lang w:val="en-US" w:eastAsia="zh-CN"/>
        </w:rPr>
        <w:t>服务</w:t>
      </w:r>
      <w:r>
        <w:rPr>
          <w:rFonts w:hint="eastAsia" w:ascii="仿宋" w:hAnsi="仿宋" w:eastAsia="仿宋" w:cs="仿宋"/>
          <w:color w:val="auto"/>
          <w:kern w:val="2"/>
          <w:highlight w:val="none"/>
          <w:u w:val="single"/>
          <w:lang w:eastAsia="zh-CN"/>
        </w:rPr>
        <w:t>经费的10个百分点；</w:t>
      </w:r>
    </w:p>
    <w:p>
      <w:pPr>
        <w:pStyle w:val="29"/>
        <w:spacing w:before="0" w:beforeAutospacing="0" w:after="0" w:afterAutospacing="0" w:line="360" w:lineRule="auto"/>
        <w:ind w:firstLine="480"/>
        <w:rPr>
          <w:rFonts w:hint="eastAsia" w:ascii="仿宋" w:hAnsi="仿宋" w:eastAsia="仿宋" w:cs="仿宋"/>
          <w:color w:val="auto"/>
          <w:kern w:val="2"/>
          <w:highlight w:val="none"/>
          <w:u w:val="single"/>
          <w:lang w:eastAsia="zh-CN"/>
        </w:rPr>
      </w:pPr>
      <w:r>
        <w:rPr>
          <w:rFonts w:hint="eastAsia" w:ascii="仿宋" w:hAnsi="仿宋" w:eastAsia="仿宋" w:cs="仿宋"/>
          <w:color w:val="auto"/>
          <w:kern w:val="2"/>
          <w:highlight w:val="none"/>
          <w:u w:val="single"/>
          <w:lang w:eastAsia="zh-CN"/>
        </w:rPr>
        <w:t>④考核分在80分及以下的，不予拨付月</w:t>
      </w:r>
      <w:r>
        <w:rPr>
          <w:rFonts w:hint="eastAsia" w:ascii="仿宋" w:hAnsi="仿宋" w:eastAsia="仿宋" w:cs="仿宋"/>
          <w:color w:val="auto"/>
          <w:kern w:val="2"/>
          <w:highlight w:val="none"/>
          <w:u w:val="single"/>
          <w:lang w:val="en-US" w:eastAsia="zh-CN"/>
        </w:rPr>
        <w:t>服务</w:t>
      </w:r>
      <w:r>
        <w:rPr>
          <w:rFonts w:hint="eastAsia" w:ascii="仿宋" w:hAnsi="仿宋" w:eastAsia="仿宋" w:cs="仿宋"/>
          <w:color w:val="auto"/>
          <w:kern w:val="2"/>
          <w:highlight w:val="none"/>
          <w:u w:val="single"/>
          <w:lang w:eastAsia="zh-CN"/>
        </w:rPr>
        <w:t>经费；</w:t>
      </w:r>
    </w:p>
    <w:p>
      <w:pPr>
        <w:pStyle w:val="29"/>
        <w:spacing w:before="0" w:beforeAutospacing="0" w:after="0" w:afterAutospacing="0" w:line="360" w:lineRule="auto"/>
        <w:ind w:firstLine="480"/>
        <w:rPr>
          <w:rFonts w:hint="eastAsia" w:ascii="仿宋" w:hAnsi="仿宋" w:eastAsia="仿宋" w:cs="仿宋"/>
          <w:color w:val="auto"/>
          <w:kern w:val="2"/>
          <w:highlight w:val="none"/>
          <w:u w:val="single"/>
          <w:lang w:eastAsia="zh-CN"/>
        </w:rPr>
      </w:pPr>
      <w:r>
        <w:rPr>
          <w:rFonts w:hint="eastAsia" w:ascii="仿宋" w:hAnsi="仿宋" w:eastAsia="仿宋" w:cs="仿宋"/>
          <w:color w:val="auto"/>
          <w:kern w:val="2"/>
          <w:highlight w:val="none"/>
          <w:u w:val="single"/>
          <w:lang w:eastAsia="zh-CN"/>
        </w:rPr>
        <w:t>⑤考核分数有小数点的，以其整数作为考核拨款依据；根据考核评分结果核拨月</w:t>
      </w:r>
      <w:r>
        <w:rPr>
          <w:rFonts w:hint="eastAsia" w:ascii="仿宋" w:hAnsi="仿宋" w:eastAsia="仿宋" w:cs="仿宋"/>
          <w:color w:val="auto"/>
          <w:kern w:val="2"/>
          <w:highlight w:val="none"/>
          <w:u w:val="single"/>
          <w:lang w:val="en-US" w:eastAsia="zh-CN"/>
        </w:rPr>
        <w:t>服务</w:t>
      </w:r>
      <w:r>
        <w:rPr>
          <w:rFonts w:hint="eastAsia" w:ascii="仿宋" w:hAnsi="仿宋" w:eastAsia="仿宋" w:cs="仿宋"/>
          <w:color w:val="auto"/>
          <w:kern w:val="2"/>
          <w:highlight w:val="none"/>
          <w:u w:val="single"/>
          <w:lang w:eastAsia="zh-CN"/>
        </w:rPr>
        <w:t>经费。</w:t>
      </w:r>
    </w:p>
    <w:p>
      <w:pPr>
        <w:pStyle w:val="29"/>
        <w:spacing w:before="0" w:beforeAutospacing="0" w:after="0" w:afterAutospacing="0" w:line="360" w:lineRule="auto"/>
        <w:ind w:firstLine="480"/>
        <w:rPr>
          <w:rFonts w:hint="default" w:ascii="仿宋" w:hAnsi="仿宋" w:eastAsia="仿宋" w:cs="仿宋"/>
          <w:color w:val="auto"/>
          <w:kern w:val="2"/>
          <w:highlight w:val="none"/>
          <w:u w:val="single"/>
          <w:lang w:val="en-US" w:eastAsia="zh-CN"/>
        </w:rPr>
      </w:pPr>
      <w:r>
        <w:rPr>
          <w:rFonts w:hint="eastAsia" w:ascii="仿宋" w:hAnsi="仿宋" w:eastAsia="仿宋" w:cs="仿宋"/>
          <w:color w:val="auto"/>
          <w:kern w:val="2"/>
          <w:highlight w:val="none"/>
          <w:u w:val="single"/>
          <w:lang w:eastAsia="zh-CN"/>
        </w:rPr>
        <w:t>⑥</w:t>
      </w:r>
      <w:r>
        <w:rPr>
          <w:rFonts w:hint="eastAsia" w:ascii="仿宋" w:hAnsi="仿宋" w:eastAsia="仿宋" w:cs="仿宋"/>
          <w:color w:val="auto"/>
          <w:kern w:val="2"/>
          <w:highlight w:val="none"/>
          <w:u w:val="single"/>
          <w:lang w:val="en-US" w:eastAsia="zh-CN"/>
        </w:rPr>
        <w:t>其他考核项：被媒体曝光处罚1000元/次，被我处巡查发现一次黑灯处罚500元/次，被市长电话举报查实的处罚500元/次。</w:t>
      </w:r>
    </w:p>
    <w:p>
      <w:pPr>
        <w:pStyle w:val="29"/>
        <w:spacing w:before="0" w:beforeAutospacing="0" w:after="0" w:afterAutospacing="0" w:line="360" w:lineRule="auto"/>
        <w:ind w:firstLine="480"/>
        <w:rPr>
          <w:rFonts w:hint="eastAsia" w:ascii="仿宋" w:hAnsi="仿宋" w:eastAsia="仿宋" w:cs="仿宋"/>
          <w:color w:val="auto"/>
          <w:kern w:val="2"/>
          <w:highlight w:val="none"/>
          <w:u w:val="single"/>
          <w:lang w:eastAsia="zh-CN"/>
        </w:rPr>
      </w:pPr>
    </w:p>
    <w:p>
      <w:pPr>
        <w:pStyle w:val="29"/>
        <w:spacing w:before="0" w:beforeAutospacing="0" w:after="0" w:afterAutospacing="0" w:line="360" w:lineRule="auto"/>
        <w:ind w:firstLine="480"/>
        <w:rPr>
          <w:rFonts w:hint="eastAsia" w:ascii="仿宋" w:hAnsi="仿宋" w:eastAsia="仿宋" w:cs="仿宋"/>
          <w:color w:val="auto"/>
          <w:kern w:val="2"/>
          <w:highlight w:val="none"/>
          <w:u w:val="single"/>
          <w:lang w:eastAsia="zh-CN"/>
        </w:rPr>
      </w:pPr>
      <w:r>
        <w:rPr>
          <w:rFonts w:hint="eastAsia" w:ascii="仿宋" w:hAnsi="仿宋" w:eastAsia="仿宋" w:cs="仿宋"/>
          <w:color w:val="auto"/>
          <w:kern w:val="2"/>
          <w:highlight w:val="none"/>
          <w:u w:val="single"/>
          <w:lang w:eastAsia="zh-CN"/>
        </w:rPr>
        <w:t>⑦</w:t>
      </w:r>
      <w:r>
        <w:rPr>
          <w:rFonts w:hint="eastAsia" w:ascii="仿宋" w:hAnsi="仿宋" w:eastAsia="仿宋" w:cs="仿宋"/>
          <w:color w:val="auto"/>
          <w:kern w:val="2"/>
          <w:highlight w:val="none"/>
          <w:u w:val="single"/>
          <w:lang w:val="en-US" w:eastAsia="zh-CN"/>
        </w:rPr>
        <w:t>乙方</w:t>
      </w:r>
      <w:r>
        <w:rPr>
          <w:rFonts w:hint="eastAsia" w:ascii="仿宋" w:hAnsi="仿宋" w:eastAsia="仿宋" w:cs="仿宋"/>
          <w:color w:val="auto"/>
          <w:kern w:val="2"/>
          <w:highlight w:val="none"/>
          <w:u w:val="single"/>
          <w:lang w:eastAsia="zh-CN"/>
        </w:rPr>
        <w:t>的履约保证金视考核情况酌情退还；</w:t>
      </w:r>
    </w:p>
    <w:p>
      <w:pPr>
        <w:pStyle w:val="29"/>
        <w:spacing w:before="0" w:beforeAutospacing="0" w:after="0" w:afterAutospacing="0" w:line="360" w:lineRule="auto"/>
        <w:ind w:firstLine="480"/>
        <w:rPr>
          <w:rFonts w:hint="default" w:ascii="仿宋" w:hAnsi="仿宋" w:eastAsia="仿宋" w:cs="仿宋"/>
          <w:color w:val="auto"/>
          <w:kern w:val="2"/>
          <w:highlight w:val="none"/>
          <w:u w:val="single"/>
          <w:lang w:val="en-US" w:eastAsia="zh-CN"/>
        </w:rPr>
      </w:pPr>
      <w:r>
        <w:rPr>
          <w:rFonts w:hint="eastAsia" w:ascii="仿宋" w:hAnsi="仿宋" w:eastAsia="仿宋" w:cs="仿宋"/>
          <w:color w:val="auto"/>
          <w:kern w:val="2"/>
          <w:highlight w:val="none"/>
          <w:u w:val="single"/>
          <w:lang w:eastAsia="zh-CN"/>
        </w:rPr>
        <w:t>⑧当有连续2个月或全年累计达3个月考核不合格的，将取消</w:t>
      </w:r>
      <w:r>
        <w:rPr>
          <w:rFonts w:hint="eastAsia" w:ascii="仿宋" w:hAnsi="仿宋" w:eastAsia="仿宋" w:cs="仿宋"/>
          <w:color w:val="auto"/>
          <w:kern w:val="2"/>
          <w:highlight w:val="none"/>
          <w:u w:val="single"/>
          <w:lang w:val="en-US" w:eastAsia="zh-CN"/>
        </w:rPr>
        <w:t>乙方</w:t>
      </w:r>
      <w:r>
        <w:rPr>
          <w:rFonts w:hint="eastAsia" w:ascii="仿宋" w:hAnsi="仿宋" w:eastAsia="仿宋" w:cs="仿宋"/>
          <w:color w:val="auto"/>
          <w:kern w:val="2"/>
          <w:highlight w:val="none"/>
          <w:u w:val="single"/>
          <w:lang w:eastAsia="zh-CN"/>
        </w:rPr>
        <w:t>照明设施设备维修养护管理服务资格，履约保证金不予退还。</w:t>
      </w:r>
    </w:p>
    <w:p>
      <w:pPr>
        <w:pStyle w:val="29"/>
        <w:spacing w:before="0" w:beforeAutospacing="0" w:after="0" w:afterAutospacing="0" w:line="360" w:lineRule="auto"/>
        <w:ind w:firstLine="480"/>
        <w:rPr>
          <w:rFonts w:hint="eastAsia" w:ascii="仿宋" w:hAnsi="仿宋" w:eastAsia="仿宋" w:cs="仿宋"/>
          <w:color w:val="auto"/>
          <w:kern w:val="2"/>
          <w:highlight w:val="none"/>
          <w:u w:val="single"/>
        </w:rPr>
      </w:pPr>
      <w:r>
        <w:rPr>
          <w:rFonts w:hint="eastAsia" w:ascii="仿宋" w:hAnsi="仿宋" w:eastAsia="仿宋" w:cs="仿宋"/>
          <w:color w:val="auto"/>
          <w:kern w:val="2"/>
          <w:highlight w:val="none"/>
          <w:u w:val="single"/>
        </w:rPr>
        <w:t>每次付款前，乙方应开具正规、足额的发票，否则甲方有权拒绝付款。</w:t>
      </w:r>
    </w:p>
    <w:p>
      <w:pPr>
        <w:pStyle w:val="29"/>
        <w:spacing w:before="0" w:beforeAutospacing="0" w:after="0" w:afterAutospacing="0" w:line="360" w:lineRule="auto"/>
        <w:ind w:firstLine="480"/>
        <w:rPr>
          <w:rFonts w:ascii="仿宋" w:hAnsi="仿宋" w:eastAsia="仿宋" w:cs="仿宋"/>
          <w:color w:val="auto"/>
          <w:kern w:val="2"/>
          <w:highlight w:val="none"/>
          <w:u w:val="single"/>
        </w:rPr>
      </w:pPr>
      <w:r>
        <w:rPr>
          <w:rFonts w:hint="eastAsia" w:ascii="仿宋" w:hAnsi="仿宋" w:eastAsia="仿宋" w:cs="仿宋"/>
          <w:b/>
          <w:i/>
          <w:color w:val="auto"/>
          <w:highlight w:val="none"/>
          <w:u w:val="single"/>
        </w:rPr>
        <w:t>在签订合同时，乙方明确表示无需预付款或者主动要求降低预付款比例的，以乙方意愿为准。</w:t>
      </w:r>
    </w:p>
    <w:p>
      <w:pPr>
        <w:pStyle w:val="29"/>
        <w:spacing w:before="0" w:beforeAutospacing="0" w:after="0" w:afterAutospacing="0" w:line="360" w:lineRule="auto"/>
        <w:ind w:firstLine="480"/>
        <w:rPr>
          <w:rFonts w:ascii="仿宋" w:hAnsi="仿宋" w:eastAsia="仿宋" w:cs="仿宋"/>
          <w:color w:val="auto"/>
          <w:kern w:val="2"/>
          <w:highlight w:val="none"/>
        </w:rPr>
      </w:pPr>
      <w:r>
        <w:rPr>
          <w:rFonts w:hint="eastAsia" w:ascii="仿宋" w:hAnsi="仿宋" w:eastAsia="仿宋" w:cs="仿宋"/>
          <w:color w:val="auto"/>
          <w:kern w:val="2"/>
          <w:highlight w:val="none"/>
        </w:rPr>
        <w:t>5.2乙方收款账户：</w:t>
      </w:r>
    </w:p>
    <w:p>
      <w:pP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b/>
          <w:bCs/>
          <w:i/>
          <w:iCs/>
          <w:color w:val="auto"/>
          <w:sz w:val="24"/>
          <w:highlight w:val="none"/>
          <w:u w:val="single"/>
        </w:rPr>
        <w:t xml:space="preserve">                          </w:t>
      </w:r>
    </w:p>
    <w:p>
      <w:pP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开户名称：</w:t>
      </w:r>
      <w:r>
        <w:rPr>
          <w:rFonts w:hint="eastAsia" w:ascii="仿宋" w:hAnsi="仿宋" w:eastAsia="仿宋" w:cs="仿宋"/>
          <w:b/>
          <w:bCs/>
          <w:i/>
          <w:iCs/>
          <w:color w:val="auto"/>
          <w:sz w:val="24"/>
          <w:highlight w:val="none"/>
          <w:u w:val="single"/>
        </w:rPr>
        <w:t xml:space="preserve">                          </w:t>
      </w:r>
    </w:p>
    <w:p>
      <w:pPr>
        <w:autoSpaceDE w:val="0"/>
        <w:autoSpaceDN w:val="0"/>
        <w:spacing w:line="360" w:lineRule="auto"/>
        <w:ind w:left="1470" w:leftChars="700"/>
        <w:rPr>
          <w:rFonts w:ascii="仿宋" w:hAnsi="仿宋" w:eastAsia="仿宋" w:cs="仿宋"/>
          <w:color w:val="auto"/>
          <w:sz w:val="24"/>
          <w:highlight w:val="none"/>
          <w:lang w:val="zh-CN"/>
        </w:rPr>
      </w:pPr>
      <w:r>
        <w:rPr>
          <w:rFonts w:hint="eastAsia" w:ascii="仿宋" w:hAnsi="仿宋" w:eastAsia="仿宋" w:cs="仿宋"/>
          <w:color w:val="auto"/>
          <w:sz w:val="24"/>
          <w:highlight w:val="none"/>
        </w:rPr>
        <w:t>开户账号：</w:t>
      </w:r>
      <w:r>
        <w:rPr>
          <w:rFonts w:hint="eastAsia" w:ascii="仿宋" w:hAnsi="仿宋" w:eastAsia="仿宋" w:cs="仿宋"/>
          <w:b/>
          <w:bCs/>
          <w:i/>
          <w:iCs/>
          <w:color w:val="auto"/>
          <w:sz w:val="24"/>
          <w:highlight w:val="none"/>
          <w:u w:val="single"/>
        </w:rPr>
        <w:t xml:space="preserve">                          </w:t>
      </w:r>
    </w:p>
    <w:p>
      <w:pP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6、</w:t>
      </w:r>
      <w:bookmarkEnd w:id="406"/>
      <w:bookmarkEnd w:id="407"/>
      <w:bookmarkEnd w:id="408"/>
      <w:r>
        <w:rPr>
          <w:rFonts w:hint="eastAsia" w:ascii="仿宋" w:hAnsi="仿宋" w:eastAsia="仿宋" w:cs="仿宋"/>
          <w:b/>
          <w:color w:val="auto"/>
          <w:sz w:val="24"/>
          <w:highlight w:val="none"/>
        </w:rPr>
        <w:t>服务期限、地点和服务人员要求</w:t>
      </w:r>
    </w:p>
    <w:p>
      <w:pPr>
        <w:pStyle w:val="29"/>
        <w:spacing w:before="0" w:beforeAutospacing="0" w:after="0" w:afterAutospacing="0" w:line="360" w:lineRule="auto"/>
        <w:ind w:firstLine="480"/>
        <w:rPr>
          <w:rFonts w:hint="eastAsia" w:ascii="仿宋" w:hAnsi="仿宋" w:eastAsia="仿宋" w:cs="仿宋"/>
          <w:color w:val="auto"/>
          <w:kern w:val="2"/>
          <w:highlight w:val="none"/>
        </w:rPr>
      </w:pPr>
      <w:r>
        <w:rPr>
          <w:rFonts w:hint="eastAsia" w:ascii="仿宋" w:hAnsi="仿宋" w:eastAsia="仿宋" w:cs="仿宋"/>
          <w:color w:val="auto"/>
          <w:kern w:val="2"/>
          <w:highlight w:val="none"/>
        </w:rPr>
        <w:t>6.1服务期限：</w:t>
      </w:r>
      <w:r>
        <w:rPr>
          <w:rFonts w:hint="eastAsia" w:ascii="仿宋" w:hAnsi="仿宋" w:eastAsia="仿宋" w:cs="仿宋"/>
          <w:color w:val="auto"/>
          <w:kern w:val="2"/>
          <w:highlight w:val="none"/>
          <w:lang w:eastAsia="zh-CN"/>
        </w:rPr>
        <w:t>3年，合同一年一签，每年根据</w:t>
      </w:r>
      <w:r>
        <w:rPr>
          <w:rFonts w:hint="eastAsia" w:ascii="仿宋" w:hAnsi="仿宋" w:eastAsia="仿宋" w:cs="仿宋"/>
          <w:color w:val="auto"/>
          <w:kern w:val="2"/>
          <w:highlight w:val="none"/>
          <w:lang w:val="en-US" w:eastAsia="zh-CN"/>
        </w:rPr>
        <w:t>甲方</w:t>
      </w:r>
      <w:r>
        <w:rPr>
          <w:rFonts w:hint="eastAsia" w:ascii="仿宋" w:hAnsi="仿宋" w:eastAsia="仿宋" w:cs="仿宋"/>
          <w:color w:val="auto"/>
          <w:kern w:val="2"/>
          <w:highlight w:val="none"/>
          <w:lang w:eastAsia="zh-CN"/>
        </w:rPr>
        <w:t>考核情况及</w:t>
      </w:r>
      <w:r>
        <w:rPr>
          <w:rFonts w:hint="eastAsia" w:ascii="仿宋" w:hAnsi="仿宋" w:eastAsia="仿宋" w:cs="仿宋"/>
          <w:color w:val="auto"/>
          <w:kern w:val="2"/>
          <w:highlight w:val="none"/>
          <w:lang w:val="en-US" w:eastAsia="zh-CN"/>
        </w:rPr>
        <w:t>乙方</w:t>
      </w:r>
      <w:r>
        <w:rPr>
          <w:rFonts w:hint="eastAsia" w:ascii="仿宋" w:hAnsi="仿宋" w:eastAsia="仿宋" w:cs="仿宋"/>
          <w:color w:val="auto"/>
          <w:kern w:val="2"/>
          <w:highlight w:val="none"/>
          <w:lang w:eastAsia="zh-CN"/>
        </w:rPr>
        <w:t>的合同履行情况，经双方协商一致方可续签</w:t>
      </w:r>
      <w:r>
        <w:rPr>
          <w:rFonts w:hint="eastAsia" w:ascii="仿宋" w:hAnsi="仿宋" w:eastAsia="仿宋" w:cs="仿宋"/>
          <w:color w:val="auto"/>
          <w:kern w:val="2"/>
          <w:highlight w:val="none"/>
        </w:rPr>
        <w:t>。</w:t>
      </w:r>
    </w:p>
    <w:p>
      <w:pPr>
        <w:pStyle w:val="29"/>
        <w:spacing w:before="0" w:beforeAutospacing="0" w:after="0" w:afterAutospacing="0" w:line="360" w:lineRule="auto"/>
        <w:ind w:firstLine="480"/>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本合同第一年合同履行时间：2022年10月1日至2023年9月30日；</w:t>
      </w:r>
    </w:p>
    <w:p>
      <w:pPr>
        <w:pStyle w:val="29"/>
        <w:spacing w:before="0" w:beforeAutospacing="0" w:after="0" w:afterAutospacing="0" w:line="360" w:lineRule="auto"/>
        <w:ind w:firstLine="480"/>
        <w:rPr>
          <w:rFonts w:hint="default"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本合同第二年合同履行时间根据第一年合同履行情况，另定。</w:t>
      </w:r>
    </w:p>
    <w:p>
      <w:pPr>
        <w:pStyle w:val="29"/>
        <w:spacing w:before="0" w:beforeAutospacing="0" w:after="0" w:afterAutospacing="0" w:line="360" w:lineRule="auto"/>
        <w:ind w:firstLine="480"/>
        <w:rPr>
          <w:rFonts w:hint="default"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本合同第三年合同履行时间根据第二年合同履行情况，另定。</w:t>
      </w:r>
    </w:p>
    <w:p>
      <w:pPr>
        <w:pStyle w:val="29"/>
        <w:spacing w:before="0" w:beforeAutospacing="0" w:after="0" w:afterAutospacing="0" w:line="360" w:lineRule="auto"/>
        <w:ind w:firstLine="480"/>
        <w:rPr>
          <w:rFonts w:ascii="仿宋" w:hAnsi="仿宋" w:eastAsia="仿宋" w:cs="仿宋"/>
          <w:color w:val="auto"/>
          <w:kern w:val="2"/>
          <w:highlight w:val="none"/>
        </w:rPr>
      </w:pPr>
      <w:r>
        <w:rPr>
          <w:rFonts w:hint="eastAsia" w:ascii="仿宋" w:hAnsi="仿宋" w:eastAsia="仿宋" w:cs="仿宋"/>
          <w:color w:val="auto"/>
          <w:kern w:val="2"/>
          <w:highlight w:val="none"/>
        </w:rPr>
        <w:t>6.2服务地点：</w:t>
      </w:r>
      <w:r>
        <w:rPr>
          <w:rFonts w:hint="eastAsia" w:ascii="仿宋" w:hAnsi="仿宋" w:eastAsia="仿宋" w:cs="仿宋"/>
          <w:color w:val="auto"/>
          <w:kern w:val="2"/>
          <w:sz w:val="24"/>
          <w:szCs w:val="24"/>
          <w:highlight w:val="none"/>
          <w:u w:val="single"/>
          <w:lang w:val="en-US" w:eastAsia="zh-CN" w:bidi="ar-SA"/>
        </w:rPr>
        <w:t>奉化城区及甲方指定地点</w:t>
      </w:r>
      <w:r>
        <w:rPr>
          <w:rFonts w:hint="eastAsia" w:ascii="仿宋" w:hAnsi="仿宋" w:eastAsia="仿宋" w:cs="仿宋"/>
          <w:color w:val="auto"/>
          <w:kern w:val="2"/>
          <w:highlight w:val="none"/>
        </w:rPr>
        <w:t>。</w:t>
      </w:r>
    </w:p>
    <w:p>
      <w:pPr>
        <w:adjustRightInd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6.3服务人员：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人。具体名单详见乙方投标文件。</w:t>
      </w:r>
    </w:p>
    <w:p>
      <w:pP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7、技术规范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8、知识产权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9、包装和装运</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乙方提供产品及相关快递服务的具体包装要求应符合《商品包装政府采购需求标准（试行）》《快递包装政府采购需求标准（试行）》，并作为履约验收的内容，必要时甲方可以要求乙方在履约验收环节出具检测报告。（如有）</w:t>
      </w:r>
    </w:p>
    <w:p>
      <w:pP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10、履约保证金</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10.1招标文件要求乙方提交履约保证金的，乙方应按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方式（电汇、转账支票、银行保函、保险保单等非现金形式），在合同签订并生效后</w:t>
      </w:r>
      <w:r>
        <w:rPr>
          <w:rFonts w:hint="eastAsia" w:ascii="仿宋" w:hAnsi="仿宋" w:eastAsia="仿宋" w:cs="仿宋"/>
          <w:color w:val="auto"/>
          <w:sz w:val="24"/>
          <w:highlight w:val="none"/>
          <w:u w:val="single"/>
        </w:rPr>
        <w:t>15</w:t>
      </w:r>
      <w:r>
        <w:rPr>
          <w:rFonts w:hint="eastAsia" w:ascii="仿宋" w:hAnsi="仿宋" w:eastAsia="仿宋" w:cs="仿宋"/>
          <w:color w:val="auto"/>
          <w:sz w:val="24"/>
          <w:highlight w:val="none"/>
        </w:rPr>
        <w:t>个工作日内提交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的履约保证金。</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10.2履约保证金的退还：在合同履行完毕，完成验收手续后一周内无息退还（如乙方未能履行合同规定的任何义务，甲方有权从履约保证金中得到相应补偿）；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10.3履约保证金在乙方履行合同规定义务期间必须保持有效，若发生履约保证金扣罚情形的，在扣罚后须补足履约保证金金额；</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10.4履约保证金不予退还或扣除情形：①因乙方原因导致本合同被解除的，乙方除承担相关责任外，甲方还将罚没成交供应商履约保证金。②乙方未能履行合同规定的任何义务给甲方造成直接或间接损失的，甲方有权直接从履约保证金中扣除。③乙方无正当理由拖延或拒绝履行合同规定的任何义务，经书面催告后在合理期限内仍不履行的，甲方有权扣除全部履约保证金，并另行追索违约赔偿金。④乙方提供的服务须和投标文件中所承诺的相符（合同中另有规定除外），如不符，并造成损失的，甲方有权从履约保证金中扣除。</w:t>
      </w:r>
    </w:p>
    <w:p>
      <w:pPr>
        <w:adjustRightInd w:val="0"/>
        <w:spacing w:line="360" w:lineRule="auto"/>
        <w:ind w:firstLine="482" w:firstLineChars="200"/>
        <w:outlineLvl w:val="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11、定期</w:t>
      </w:r>
      <w:r>
        <w:rPr>
          <w:rFonts w:hint="eastAsia" w:ascii="仿宋" w:hAnsi="仿宋" w:eastAsia="仿宋" w:cs="仿宋"/>
          <w:b/>
          <w:color w:val="auto"/>
          <w:sz w:val="24"/>
          <w:highlight w:val="none"/>
          <w:lang w:eastAsia="zh-CN"/>
        </w:rPr>
        <w:t>检查</w:t>
      </w:r>
      <w:r>
        <w:rPr>
          <w:rFonts w:hint="eastAsia" w:ascii="仿宋" w:hAnsi="仿宋" w:eastAsia="仿宋" w:cs="仿宋"/>
          <w:b/>
          <w:color w:val="auto"/>
          <w:sz w:val="24"/>
          <w:highlight w:val="none"/>
        </w:rPr>
        <w:t>和问题反馈</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考核办法</w:t>
      </w:r>
      <w:r>
        <w:rPr>
          <w:rFonts w:hint="eastAsia" w:ascii="仿宋" w:hAnsi="仿宋" w:eastAsia="仿宋" w:cs="仿宋"/>
          <w:b/>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11.1甲方有权定期对乙方提供的服务履约情况进行检查，以确保乙方所提供的服务能够依约满足甲方之项目需求，但不得因履约检查妨碍乙方的正常工作，乙方应予积极配合；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11.2合同履行期间，甲方有权将履行过程中出现的问题反馈给乙方，双方当事人应以书面形式约定需要完善和改进的内容。</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11.3考核办法详见附件一。</w:t>
      </w:r>
    </w:p>
    <w:p>
      <w:pPr>
        <w:adjustRightInd w:val="0"/>
        <w:spacing w:line="360" w:lineRule="auto"/>
        <w:ind w:firstLine="482" w:firstLineChars="200"/>
        <w:outlineLvl w:val="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12、项目验收</w:t>
      </w:r>
    </w:p>
    <w:p>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期满或者履行完毕后，甲方应当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13、技术资料和保密义务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13.1乙方有权依据合同约定和项目需要，向甲方了解有关情况，调阅有关资料等，甲方应予积极配合；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13.2乙方有义务妥善保管和保护由甲方提供的前款信息和资料等；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14、质量保证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14.1乙方应建立和完善履行合同的内部质量保证体系，并提供相关内部规章制度给甲方，以便甲方进行监督检查；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15、履约的风险负担</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在履行合同时，乙方服务人员及设备的相关风险均由乙方自行承担。</w:t>
      </w:r>
    </w:p>
    <w:p>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16、延迟服务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服务的具体时间。</w:t>
      </w:r>
    </w:p>
    <w:p>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17、合同变更</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18、合同转让和分包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18.2乙方采取分包方式履行合同的，由乙方向分包供应商支付款项，但不得因分包影响履行合同义务。</w:t>
      </w:r>
    </w:p>
    <w:p>
      <w:pPr>
        <w:spacing w:line="360" w:lineRule="auto"/>
        <w:ind w:firstLine="482" w:firstLineChars="200"/>
        <w:outlineLvl w:val="0"/>
        <w:rPr>
          <w:rFonts w:ascii="仿宋" w:hAnsi="仿宋" w:eastAsia="仿宋" w:cs="仿宋"/>
          <w:b/>
          <w:color w:val="auto"/>
          <w:sz w:val="24"/>
          <w:highlight w:val="none"/>
        </w:rPr>
      </w:pPr>
      <w:bookmarkStart w:id="409" w:name="_Toc19554"/>
      <w:bookmarkStart w:id="410" w:name="_Toc21423"/>
      <w:bookmarkStart w:id="411" w:name="_Toc27250"/>
      <w:r>
        <w:rPr>
          <w:rFonts w:hint="eastAsia" w:ascii="仿宋" w:hAnsi="仿宋" w:eastAsia="仿宋" w:cs="仿宋"/>
          <w:b/>
          <w:color w:val="auto"/>
          <w:sz w:val="24"/>
          <w:highlight w:val="none"/>
        </w:rPr>
        <w:t>19、违约责任</w:t>
      </w:r>
      <w:bookmarkEnd w:id="409"/>
      <w:bookmarkEnd w:id="410"/>
      <w:bookmarkEnd w:id="411"/>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19.1除不可抗力外，如果乙方拒绝履行合同，或没有按照本合同约定的期限、标准和成果展现方式完成服务，那么甲方可要求乙方支付违约金，违约金按每日计合同总价的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color w:val="auto"/>
          <w:sz w:val="24"/>
          <w:highlight w:val="none"/>
          <w:u w:val="single"/>
        </w:rPr>
        <w:t>0.05</w:t>
      </w:r>
      <w:r>
        <w:rPr>
          <w:rFonts w:hint="eastAsia" w:ascii="仿宋" w:hAnsi="仿宋" w:eastAsia="仿宋" w:cs="仿宋"/>
          <w:color w:val="auto"/>
          <w:sz w:val="24"/>
          <w:highlight w:val="none"/>
        </w:rPr>
        <w:t>%，最高限额为本合同总价的</w:t>
      </w:r>
      <w:r>
        <w:rPr>
          <w:rFonts w:hint="eastAsia" w:ascii="仿宋" w:hAnsi="仿宋" w:eastAsia="仿宋" w:cs="仿宋"/>
          <w:color w:val="auto"/>
          <w:sz w:val="24"/>
          <w:highlight w:val="none"/>
          <w:u w:val="single"/>
        </w:rPr>
        <w:t>10</w:t>
      </w:r>
      <w:r>
        <w:rPr>
          <w:rFonts w:hint="eastAsia" w:ascii="仿宋" w:hAnsi="仿宋" w:eastAsia="仿宋" w:cs="仿宋"/>
          <w:color w:val="auto"/>
          <w:sz w:val="24"/>
          <w:highlight w:val="none"/>
        </w:rPr>
        <w:t>%；迟延完成服务的违约金计算数额达到前述最高限额之日起，甲方有权在要求乙方支付违约金的同时，书面通知乙方解除本合同；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19.2除不可抗力外，如果甲方没有按照本合同约定的付款方式付款，那么乙方可要求甲方支付违约金，违约金按每迟延付款一日的应付而未付款的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0.05</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10</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20、不可抗力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20.2因不可抗力致使不能实现合同目的的，当事人可以解除合同；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20.3因不可抗力致使合同有变更必要的，双方当事人应在不可抗力发生后</w:t>
      </w:r>
      <w:r>
        <w:rPr>
          <w:rFonts w:hint="eastAsia" w:ascii="仿宋" w:hAnsi="仿宋" w:eastAsia="仿宋" w:cs="仿宋"/>
          <w:color w:val="auto"/>
          <w:sz w:val="24"/>
          <w:highlight w:val="none"/>
          <w:u w:val="single"/>
        </w:rPr>
        <w:t>10</w:t>
      </w:r>
      <w:r>
        <w:rPr>
          <w:rFonts w:hint="eastAsia" w:ascii="仿宋" w:hAnsi="仿宋" w:eastAsia="仿宋" w:cs="仿宋"/>
          <w:color w:val="auto"/>
          <w:sz w:val="24"/>
          <w:highlight w:val="none"/>
        </w:rPr>
        <w:t>日内以书面形式变更合同；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20.4受不可抗力影响的一方在不可抗力发生后，应在</w:t>
      </w:r>
      <w:r>
        <w:rPr>
          <w:rFonts w:hint="eastAsia" w:ascii="仿宋" w:hAnsi="仿宋" w:eastAsia="仿宋" w:cs="仿宋"/>
          <w:color w:val="auto"/>
          <w:sz w:val="24"/>
          <w:highlight w:val="none"/>
          <w:u w:val="single"/>
        </w:rPr>
        <w:t>5</w:t>
      </w:r>
      <w:r>
        <w:rPr>
          <w:rFonts w:hint="eastAsia" w:ascii="仿宋" w:hAnsi="仿宋" w:eastAsia="仿宋" w:cs="仿宋"/>
          <w:color w:val="auto"/>
          <w:sz w:val="24"/>
          <w:highlight w:val="none"/>
        </w:rPr>
        <w:t>日内以书面形式通知对方当事人，并在</w:t>
      </w:r>
      <w:r>
        <w:rPr>
          <w:rFonts w:hint="eastAsia" w:ascii="仿宋" w:hAnsi="仿宋" w:eastAsia="仿宋" w:cs="仿宋"/>
          <w:color w:val="auto"/>
          <w:sz w:val="24"/>
          <w:highlight w:val="none"/>
          <w:u w:val="single"/>
        </w:rPr>
        <w:t>15</w:t>
      </w:r>
      <w:r>
        <w:rPr>
          <w:rFonts w:hint="eastAsia" w:ascii="仿宋" w:hAnsi="仿宋" w:eastAsia="仿宋" w:cs="仿宋"/>
          <w:color w:val="auto"/>
          <w:sz w:val="24"/>
          <w:highlight w:val="none"/>
        </w:rPr>
        <w:t>日内，将有关部门出具的证明文件送达对方当事人。</w:t>
      </w:r>
    </w:p>
    <w:p>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21、税费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22、乙方破产</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 w:hAnsi="仿宋" w:eastAsia="仿宋" w:cs="仿宋"/>
          <w:b/>
          <w:color w:val="auto"/>
          <w:sz w:val="24"/>
          <w:highlight w:val="none"/>
        </w:rPr>
      </w:pPr>
      <w:bookmarkStart w:id="412" w:name="_Toc16021"/>
      <w:bookmarkStart w:id="413" w:name="_Toc15583"/>
      <w:bookmarkStart w:id="414" w:name="_Toc28375"/>
      <w:r>
        <w:rPr>
          <w:rFonts w:hint="eastAsia" w:ascii="仿宋" w:hAnsi="仿宋" w:eastAsia="仿宋" w:cs="仿宋"/>
          <w:b/>
          <w:color w:val="auto"/>
          <w:sz w:val="24"/>
          <w:highlight w:val="none"/>
        </w:rPr>
        <w:t>23、合同争议的解决</w:t>
      </w:r>
      <w:bookmarkEnd w:id="412"/>
      <w:bookmarkEnd w:id="413"/>
      <w:bookmarkEnd w:id="414"/>
    </w:p>
    <w:p>
      <w:pP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本合同履行过程中发生的任何争议，双方当事人均可通过和解或者调解解决；不愿和解、调解或者和解、调解不成的，可以向宁波市奉化区人民法院提起诉讼。</w:t>
      </w:r>
    </w:p>
    <w:p>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24、合同中止、终止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24.1双方当事人不得擅自中止或者终止合同；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25、通知和送达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26、计量单位</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27、合同使用的文字和适用的法律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27.1合同使用汉语书就、变更和解释；</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27.2合同适用中华人民共和国法律。</w:t>
      </w:r>
    </w:p>
    <w:p>
      <w:pP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28、合同效力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本合同一式四份，甲乙双方各两份，每份均具有同等法律效力。本合同自双方当事人盖章或者签字时生效。</w:t>
      </w:r>
    </w:p>
    <w:p>
      <w:pPr>
        <w:pStyle w:val="25"/>
        <w:ind w:firstLine="560"/>
        <w:rPr>
          <w:rFonts w:hint="eastAsia"/>
          <w:color w:val="auto"/>
          <w:highlight w:val="none"/>
          <w:lang w:val="zh-CN"/>
        </w:rPr>
      </w:pPr>
    </w:p>
    <w:p>
      <w:pPr>
        <w:pStyle w:val="25"/>
        <w:ind w:firstLine="560"/>
        <w:rPr>
          <w:rFonts w:hint="eastAsia"/>
          <w:color w:val="auto"/>
          <w:highlight w:val="none"/>
          <w:lang w:val="zh-CN"/>
        </w:rPr>
      </w:pPr>
    </w:p>
    <w:p>
      <w:pPr>
        <w:pStyle w:val="25"/>
        <w:ind w:firstLine="560"/>
        <w:rPr>
          <w:rFonts w:hint="eastAsia"/>
          <w:color w:val="auto"/>
          <w:highlight w:val="none"/>
          <w:lang w:val="zh-CN"/>
        </w:rPr>
      </w:pPr>
    </w:p>
    <w:p>
      <w:pPr>
        <w:pStyle w:val="25"/>
        <w:ind w:firstLine="560"/>
        <w:rPr>
          <w:rFonts w:hint="eastAsia"/>
          <w:color w:val="auto"/>
          <w:highlight w:val="none"/>
          <w:lang w:val="zh-CN"/>
        </w:rPr>
      </w:pPr>
    </w:p>
    <w:p>
      <w:pPr>
        <w:pStyle w:val="25"/>
        <w:ind w:firstLine="560"/>
        <w:rPr>
          <w:color w:val="auto"/>
          <w:highlight w:val="none"/>
          <w:lang w:val="zh-CN"/>
        </w:rPr>
      </w:pPr>
    </w:p>
    <w:p>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甲方名称（公章）</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乙方名称（公章）</w:t>
      </w:r>
      <w:r>
        <w:rPr>
          <w:rFonts w:hint="eastAsia" w:ascii="仿宋" w:hAnsi="仿宋" w:eastAsia="仿宋" w:cs="仿宋"/>
          <w:color w:val="auto"/>
          <w:sz w:val="24"/>
          <w:highlight w:val="none"/>
          <w:lang w:val="zh-CN"/>
        </w:rPr>
        <w:t>：</w:t>
      </w:r>
    </w:p>
    <w:p>
      <w:pPr>
        <w:autoSpaceDE w:val="0"/>
        <w:autoSpaceDN w:val="0"/>
        <w:spacing w:line="360" w:lineRule="auto"/>
        <w:rPr>
          <w:rFonts w:ascii="仿宋" w:hAnsi="仿宋" w:eastAsia="仿宋" w:cs="仿宋"/>
          <w:color w:val="auto"/>
          <w:sz w:val="24"/>
          <w:highlight w:val="none"/>
          <w:lang w:val="zh-CN"/>
        </w:rPr>
      </w:pPr>
    </w:p>
    <w:p>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法定代表人或授权代表（签字）: </w:t>
      </w:r>
    </w:p>
    <w:p>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pStyle w:val="25"/>
        <w:spacing w:line="360" w:lineRule="auto"/>
        <w:ind w:firstLine="480"/>
        <w:rPr>
          <w:rFonts w:ascii="仿宋" w:hAnsi="仿宋" w:eastAsia="仿宋" w:cs="仿宋"/>
          <w:color w:val="auto"/>
          <w:sz w:val="24"/>
          <w:highlight w:val="none"/>
        </w:rPr>
      </w:pPr>
    </w:p>
    <w:p>
      <w:pPr>
        <w:pStyle w:val="25"/>
        <w:spacing w:line="360" w:lineRule="auto"/>
        <w:ind w:firstLine="480"/>
        <w:rPr>
          <w:rFonts w:ascii="仿宋" w:hAnsi="仿宋" w:eastAsia="仿宋" w:cs="仿宋"/>
          <w:color w:val="auto"/>
          <w:sz w:val="24"/>
          <w:highlight w:val="none"/>
        </w:rPr>
      </w:pPr>
    </w:p>
    <w:p>
      <w:pPr>
        <w:pStyle w:val="25"/>
        <w:spacing w:line="360" w:lineRule="auto"/>
        <w:ind w:firstLine="0" w:firstLineChars="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见证人（公章）：采购代理机构名称</w:t>
      </w:r>
    </w:p>
    <w:p>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住所：                             </w:t>
      </w:r>
    </w:p>
    <w:p>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r>
        <w:rPr>
          <w:rFonts w:hint="eastAsia" w:ascii="仿宋" w:hAnsi="仿宋" w:eastAsia="仿宋" w:cs="仿宋"/>
          <w:color w:val="auto"/>
          <w:sz w:val="24"/>
          <w:highlight w:val="none"/>
        </w:rPr>
        <w:t xml:space="preserve"> </w:t>
      </w:r>
    </w:p>
    <w:p>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w:t>
      </w:r>
    </w:p>
    <w:p>
      <w:pPr>
        <w:rPr>
          <w:rFonts w:hint="eastAsia"/>
          <w:color w:val="auto"/>
          <w:highlight w:val="none"/>
        </w:rPr>
      </w:pPr>
    </w:p>
    <w:p>
      <w:pPr>
        <w:spacing w:before="156" w:beforeLines="50" w:after="156" w:afterLines="50" w:line="500" w:lineRule="exac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r>
        <w:rPr>
          <w:rFonts w:hint="eastAsia" w:ascii="仿宋" w:hAnsi="仿宋" w:eastAsia="仿宋" w:cs="仿宋"/>
          <w:b/>
          <w:color w:val="auto"/>
          <w:kern w:val="0"/>
          <w:sz w:val="24"/>
          <w:highlight w:val="none"/>
        </w:rPr>
        <w:t>附件一</w:t>
      </w:r>
    </w:p>
    <w:p>
      <w:pPr>
        <w:tabs>
          <w:tab w:val="left" w:pos="0"/>
        </w:tabs>
        <w:spacing w:line="360" w:lineRule="auto"/>
        <w:ind w:firstLine="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奉化城区照明设施维护质量考核办法（暂行）</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第一条  </w:t>
      </w:r>
      <w:r>
        <w:rPr>
          <w:rFonts w:hint="eastAsia" w:ascii="仿宋" w:hAnsi="仿宋" w:eastAsia="仿宋" w:cs="仿宋"/>
          <w:color w:val="auto"/>
          <w:kern w:val="0"/>
          <w:sz w:val="24"/>
          <w:highlight w:val="none"/>
          <w:lang w:val="en-US" w:eastAsia="zh-CN"/>
        </w:rPr>
        <w:t>为加强我区城区照明设施维护管理，提高照明设施维护质量，根据《宁波市城市照明管理办法》、《奉化区城市照明设施管理暂行规定》及相关文件规定，结合本区实际情况，制订本办法。</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第二条  </w:t>
      </w:r>
      <w:r>
        <w:rPr>
          <w:rFonts w:hint="eastAsia" w:ascii="仿宋" w:hAnsi="仿宋" w:eastAsia="仿宋" w:cs="仿宋"/>
          <w:color w:val="auto"/>
          <w:kern w:val="0"/>
          <w:sz w:val="24"/>
          <w:highlight w:val="none"/>
          <w:lang w:val="en-US" w:eastAsia="zh-CN"/>
        </w:rPr>
        <w:t>区综合行政执法局主管本区照明设施维护的监督管理，区路灯管理服务处负责做好日常具体工作。</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第三条  </w:t>
      </w:r>
      <w:r>
        <w:rPr>
          <w:rFonts w:hint="eastAsia" w:ascii="仿宋" w:hAnsi="仿宋" w:eastAsia="仿宋" w:cs="仿宋"/>
          <w:color w:val="auto"/>
          <w:kern w:val="0"/>
          <w:sz w:val="24"/>
          <w:highlight w:val="none"/>
          <w:lang w:val="en-US" w:eastAsia="zh-CN"/>
        </w:rPr>
        <w:t xml:space="preserve">城区照明设施维护考核管理部门应当成立照明设施维护督查考核组，督查工作由区路灯管理服务处负责实施，每月考核不少于二次，每季一次公示考核成绩。    </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第四条  </w:t>
      </w:r>
      <w:r>
        <w:rPr>
          <w:rFonts w:hint="eastAsia" w:ascii="仿宋" w:hAnsi="仿宋" w:eastAsia="仿宋" w:cs="仿宋"/>
          <w:color w:val="auto"/>
          <w:kern w:val="0"/>
          <w:sz w:val="24"/>
          <w:highlight w:val="none"/>
          <w:lang w:val="en-US" w:eastAsia="zh-CN"/>
        </w:rPr>
        <w:t>城区照明设施维护以随机抽查、定期检查等二种方式评定维护质量，考核方式，采取夜间检查、查阅资料、市民调查等形式进行考核，并以其考核得分作为核拨照明设施维护经费的主要依据。</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第五条  </w:t>
      </w:r>
      <w:r>
        <w:rPr>
          <w:rFonts w:hint="eastAsia" w:ascii="仿宋" w:hAnsi="仿宋" w:eastAsia="仿宋" w:cs="仿宋"/>
          <w:color w:val="auto"/>
          <w:kern w:val="0"/>
          <w:sz w:val="24"/>
          <w:highlight w:val="none"/>
          <w:lang w:val="en-US" w:eastAsia="zh-CN"/>
        </w:rPr>
        <w:t>城区照明设施维护考核每月度评分一次，评分采取百分制。月考核分值构成：随机抽查+定期检查的平均值。月度考核得分在90分以上（不含90分）的为合格，90分以下（含90分）的为不合格。</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第六条  </w:t>
      </w:r>
      <w:r>
        <w:rPr>
          <w:rFonts w:hint="eastAsia" w:ascii="仿宋" w:hAnsi="仿宋" w:eastAsia="仿宋" w:cs="仿宋"/>
          <w:color w:val="auto"/>
          <w:kern w:val="0"/>
          <w:sz w:val="24"/>
          <w:highlight w:val="none"/>
          <w:lang w:val="en-US" w:eastAsia="zh-CN"/>
        </w:rPr>
        <w:t>城区照明设施维护考核内容、标准及评分方法：</w:t>
      </w:r>
      <w:r>
        <w:rPr>
          <w:rFonts w:hint="eastAsia" w:ascii="仿宋" w:hAnsi="仿宋" w:eastAsia="仿宋" w:cs="仿宋"/>
          <w:color w:val="auto"/>
          <w:kern w:val="0"/>
          <w:sz w:val="24"/>
          <w:highlight w:val="none"/>
          <w:lang w:val="en-US" w:eastAsia="zh-CN"/>
        </w:rPr>
        <w:tab/>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一、照明设施维护质量：更换照明设施相关配件，规格、型号必须合格，品牌、价格不低于原装产品。做好照明设施定期清扫保洁工作（每季度不少于1次）。标准分15分。评分方法：发现一处不合格扣2分。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二、照明设施亮灯率： 确保日常照明设施亮灯率达99%（发生故障处在正常维修时间内的除外）。标准分20分。评分方法：亮灯率为每周抽查一次，每月统计四次，每次统计结果低于99%扣5分。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三、照明设施日常巡查：每日开展照明设施状况巡查维修，夜间进行黑灯巡查维修，确保照明设施设备正常运行；同时将每日工作内容、每周巡查维护记录、每月工作小结台账资料报区路灯管理服务处。标准分15分。评分方法：每少巡查一次扣3分，每少一次巡查记录、维护记录、工作小结台账资料扣2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四、照明设施日常维修：对照明设施发生故障不亮，须在一小时内到现场进行检修；对因照明设施内部电路源器件损坏造成照明设施不亮时，必须当天（原则上在故障发生后一小时内）更换维修；对控制柜、电缆损坏或被盗造成照明设施不亮时，必须立即赶到现场进行检修且在不超过两日内进行恢复施工。标准分20分。评分方法：每发现一次不维修或未在规定的时间内维修扣5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五、照明设施正常按时运行：所有照明设施设施开启、关闭时间正常。特殊情况（因维修或调整时间）须向区路灯管理服务处提前通知。标准分5分。评分方法：发现1次不能在正常的时间内亮灯、关灯扣1分。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六、安全生产及文明施工：编制安全事故应急预案，年内无重大事故和安全生产事故发生。坚持文明施工，戴安全帽，着工作服。维护作业时，放置警示标志，作业人员配备必要的防坠落、防触电设备，作业完毕及时清理现场。标准分10分。评分方法：年内发生重大事故一次，取消维护资格；发生安全生产事故一次扣10分，二次以上取消维护资格；其他每发现一次扣2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七、及时处理市民、媒体、数字城管、区长电话反映的问题。设立照明设施问题举报电话；电话投诉记录、处理结果和反馈记录齐全。接到举报时须在2小时内组织人员到现场勘察，确定处理措施。一时难以在规定时间内解决的，应向举报人说明原因。标准分15分。评分方法：每发现一次对举报的问题没有及时处理或敷衍的扣5分，被政府督办及媒体暴光的每一次扣10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八、对市民反映且属实的照明设施管护上存在的问题（亮灯率、日常巡查、维修及时率等），将对照所涉及的考核内容及其标准予以扣分。</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第七条  </w:t>
      </w:r>
      <w:r>
        <w:rPr>
          <w:rFonts w:hint="eastAsia" w:ascii="仿宋" w:hAnsi="仿宋" w:eastAsia="仿宋" w:cs="仿宋"/>
          <w:color w:val="auto"/>
          <w:kern w:val="0"/>
          <w:sz w:val="24"/>
          <w:highlight w:val="none"/>
          <w:lang w:val="en-US" w:eastAsia="zh-CN"/>
        </w:rPr>
        <w:t xml:space="preserve">城区照明设施考核结果应用： </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default" w:ascii="仿宋" w:hAnsi="仿宋" w:eastAsia="仿宋" w:cs="仿宋"/>
          <w:color w:val="auto"/>
          <w:kern w:val="0"/>
          <w:sz w:val="24"/>
          <w:highlight w:val="none"/>
          <w:lang w:val="en-US" w:eastAsia="zh-CN"/>
        </w:rPr>
        <w:t>①</w:t>
      </w:r>
      <w:r>
        <w:rPr>
          <w:rFonts w:hint="eastAsia" w:ascii="仿宋" w:hAnsi="仿宋" w:eastAsia="仿宋" w:cs="仿宋"/>
          <w:color w:val="auto"/>
          <w:kern w:val="0"/>
          <w:sz w:val="24"/>
          <w:highlight w:val="none"/>
          <w:lang w:val="en-US" w:eastAsia="zh-CN"/>
        </w:rPr>
        <w:t>月考核分在90分以上的为合格，全额拨付月服务经费；</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default" w:ascii="仿宋" w:hAnsi="仿宋" w:eastAsia="仿宋" w:cs="仿宋"/>
          <w:color w:val="auto"/>
          <w:kern w:val="0"/>
          <w:sz w:val="24"/>
          <w:highlight w:val="none"/>
          <w:lang w:val="en-US" w:eastAsia="zh-CN"/>
        </w:rPr>
        <w:t>②</w:t>
      </w:r>
      <w:r>
        <w:rPr>
          <w:rFonts w:hint="eastAsia" w:ascii="仿宋" w:hAnsi="仿宋" w:eastAsia="仿宋" w:cs="仿宋"/>
          <w:color w:val="auto"/>
          <w:kern w:val="0"/>
          <w:sz w:val="24"/>
          <w:highlight w:val="none"/>
          <w:lang w:val="en-US" w:eastAsia="zh-CN"/>
        </w:rPr>
        <w:t>月考核分在90（含）-85分（含）之间的，以90分为基准，每下降1分扣月服务经费的5个百分点；</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default" w:ascii="仿宋" w:hAnsi="仿宋" w:eastAsia="仿宋" w:cs="仿宋"/>
          <w:color w:val="auto"/>
          <w:kern w:val="0"/>
          <w:sz w:val="24"/>
          <w:highlight w:val="none"/>
          <w:lang w:val="en-US" w:eastAsia="zh-CN"/>
        </w:rPr>
        <w:t>③</w:t>
      </w:r>
      <w:r>
        <w:rPr>
          <w:rFonts w:hint="eastAsia" w:ascii="仿宋" w:hAnsi="仿宋" w:eastAsia="仿宋" w:cs="仿宋"/>
          <w:color w:val="auto"/>
          <w:kern w:val="0"/>
          <w:sz w:val="24"/>
          <w:highlight w:val="none"/>
          <w:lang w:val="en-US" w:eastAsia="zh-CN"/>
        </w:rPr>
        <w:t>考核分在85-80分（含）之间，以90分为基准，每下降1分扣月服务经费的10个百分点；</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④考核分在80分及以下的，不予拨付月服务经费；</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连续二个月或全年累计三个月考核不合格的，将取消中标单位照明设施维护资格；考核分数有小数点的，以其整数作为考核拨款依据；根据考核评分结果核拨月维护经费。</w:t>
      </w:r>
    </w:p>
    <w:p>
      <w:pPr>
        <w:tabs>
          <w:tab w:val="left" w:pos="0"/>
        </w:tabs>
        <w:spacing w:line="360" w:lineRule="auto"/>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其他考核项：被媒体曝光处罚1000元/次，被我处巡查发现一次黑灯处罚500元/次，被市长电话举报查实的处罚500元/次。</w:t>
      </w:r>
    </w:p>
    <w:p>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 xml:space="preserve">第八条  </w:t>
      </w:r>
      <w:r>
        <w:rPr>
          <w:rFonts w:hint="eastAsia" w:ascii="仿宋" w:hAnsi="仿宋" w:eastAsia="仿宋" w:cs="仿宋"/>
          <w:color w:val="auto"/>
          <w:kern w:val="0"/>
          <w:sz w:val="24"/>
          <w:highlight w:val="none"/>
          <w:lang w:val="en-US" w:eastAsia="zh-CN"/>
        </w:rPr>
        <w:t>本办法由宁波市奉化区园林管理处（路灯管理服务处）负责解释。</w:t>
      </w:r>
    </w:p>
    <w:p>
      <w:pPr>
        <w:widowControl/>
        <w:spacing w:line="440" w:lineRule="atLeast"/>
        <w:jc w:val="center"/>
        <w:rPr>
          <w:rFonts w:hint="eastAsia" w:ascii="黑体" w:hAnsi="宋体" w:eastAsia="黑体" w:cs="宋体"/>
          <w:color w:val="auto"/>
          <w:kern w:val="0"/>
          <w:sz w:val="36"/>
          <w:szCs w:val="36"/>
          <w:highlight w:val="none"/>
        </w:rPr>
      </w:pPr>
    </w:p>
    <w:p>
      <w:pPr>
        <w:widowControl/>
        <w:spacing w:line="440" w:lineRule="atLeast"/>
        <w:jc w:val="center"/>
        <w:rPr>
          <w:rFonts w:hint="eastAsia" w:ascii="仿宋" w:hAnsi="仿宋" w:eastAsia="仿宋" w:cs="仿宋"/>
          <w:b/>
          <w:color w:val="auto"/>
          <w:kern w:val="0"/>
          <w:sz w:val="32"/>
          <w:szCs w:val="32"/>
          <w:highlight w:val="none"/>
        </w:rPr>
      </w:pPr>
      <w:r>
        <w:rPr>
          <w:rFonts w:hint="eastAsia" w:ascii="黑体" w:hAnsi="宋体" w:eastAsia="黑体" w:cs="宋体"/>
          <w:color w:val="auto"/>
          <w:kern w:val="0"/>
          <w:sz w:val="36"/>
          <w:szCs w:val="36"/>
          <w:highlight w:val="none"/>
        </w:rPr>
        <w:br w:type="page"/>
      </w:r>
      <w:r>
        <w:rPr>
          <w:rFonts w:hint="eastAsia" w:ascii="仿宋" w:hAnsi="仿宋" w:eastAsia="仿宋" w:cs="仿宋"/>
          <w:b/>
          <w:color w:val="auto"/>
          <w:kern w:val="0"/>
          <w:sz w:val="32"/>
          <w:szCs w:val="32"/>
          <w:highlight w:val="none"/>
        </w:rPr>
        <w:t>照明设施维护月度考核表</w:t>
      </w:r>
    </w:p>
    <w:tbl>
      <w:tblPr>
        <w:tblStyle w:val="14"/>
        <w:tblW w:w="10179" w:type="dxa"/>
        <w:tblInd w:w="-432" w:type="dxa"/>
        <w:tblLayout w:type="fixed"/>
        <w:tblCellMar>
          <w:top w:w="0" w:type="dxa"/>
          <w:left w:w="108" w:type="dxa"/>
          <w:bottom w:w="0" w:type="dxa"/>
          <w:right w:w="108" w:type="dxa"/>
        </w:tblCellMar>
      </w:tblPr>
      <w:tblGrid>
        <w:gridCol w:w="1800"/>
        <w:gridCol w:w="4860"/>
        <w:gridCol w:w="2700"/>
        <w:gridCol w:w="819"/>
      </w:tblGrid>
      <w:tr>
        <w:tblPrEx>
          <w:tblCellMar>
            <w:top w:w="0" w:type="dxa"/>
            <w:left w:w="108" w:type="dxa"/>
            <w:bottom w:w="0" w:type="dxa"/>
            <w:right w:w="108" w:type="dxa"/>
          </w:tblCellMar>
        </w:tblPrEx>
        <w:trPr>
          <w:trHeight w:val="537"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lang w:val="en-US" w:eastAsia="zh-CN"/>
              </w:rPr>
              <w:t>考核项目</w:t>
            </w:r>
          </w:p>
        </w:tc>
        <w:tc>
          <w:tcPr>
            <w:tcW w:w="486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lang w:val="en-US" w:eastAsia="zh-CN"/>
              </w:rPr>
              <w:t>考核要求</w:t>
            </w:r>
          </w:p>
        </w:tc>
        <w:tc>
          <w:tcPr>
            <w:tcW w:w="2700"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lang w:val="en-US" w:eastAsia="zh-CN"/>
              </w:rPr>
              <w:t>评分标准</w:t>
            </w:r>
          </w:p>
        </w:tc>
        <w:tc>
          <w:tcPr>
            <w:tcW w:w="819" w:type="dxa"/>
            <w:tcBorders>
              <w:top w:val="single" w:color="000000" w:sz="4" w:space="0"/>
              <w:left w:val="nil"/>
              <w:bottom w:val="single" w:color="000000" w:sz="4" w:space="0"/>
              <w:right w:val="single" w:color="000000" w:sz="4" w:space="0"/>
            </w:tcBorders>
            <w:noWrap w:val="0"/>
            <w:vAlign w:val="center"/>
          </w:tcPr>
          <w:p>
            <w:pPr>
              <w:jc w:val="center"/>
              <w:rPr>
                <w:rFonts w:hint="eastAsia" w:ascii="仿宋" w:hAnsi="仿宋" w:eastAsia="仿宋" w:cs="Times New Roman"/>
                <w:b/>
                <w:bCs/>
                <w:color w:val="auto"/>
                <w:highlight w:val="none"/>
                <w:lang w:val="en-US" w:eastAsia="zh-CN"/>
              </w:rPr>
            </w:pPr>
            <w:r>
              <w:rPr>
                <w:rFonts w:hint="eastAsia" w:ascii="仿宋" w:hAnsi="仿宋" w:eastAsia="仿宋" w:cs="Times New Roman"/>
                <w:b/>
                <w:bCs/>
                <w:color w:val="auto"/>
                <w:highlight w:val="none"/>
                <w:lang w:val="en-US" w:eastAsia="zh-CN"/>
              </w:rPr>
              <w:t>得分</w:t>
            </w:r>
          </w:p>
        </w:tc>
      </w:tr>
      <w:tr>
        <w:tblPrEx>
          <w:tblCellMar>
            <w:top w:w="0" w:type="dxa"/>
            <w:left w:w="108" w:type="dxa"/>
            <w:bottom w:w="0" w:type="dxa"/>
            <w:right w:w="108" w:type="dxa"/>
          </w:tblCellMar>
        </w:tblPrEx>
        <w:trPr>
          <w:trHeight w:val="1118"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照明设施</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维护质量</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（15分）</w:t>
            </w:r>
          </w:p>
        </w:tc>
        <w:tc>
          <w:tcPr>
            <w:tcW w:w="486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更换照明设施</w:t>
            </w:r>
            <w:r>
              <w:rPr>
                <w:rFonts w:hint="eastAsia" w:ascii="仿宋" w:hAnsi="仿宋" w:eastAsia="仿宋" w:cs="Times New Roman"/>
                <w:color w:val="auto"/>
                <w:highlight w:val="none"/>
                <w:lang w:val="en-US" w:eastAsia="zh-CN"/>
              </w:rPr>
              <w:t>相关配件，规格、型号必须合格，品牌、价格不低于原装产品。做好照明设施定期清扫保洁工作（每季度不少于1次）。</w:t>
            </w:r>
          </w:p>
        </w:tc>
        <w:tc>
          <w:tcPr>
            <w:tcW w:w="270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发现一处不合格扣2分</w:t>
            </w:r>
          </w:p>
        </w:tc>
        <w:tc>
          <w:tcPr>
            <w:tcW w:w="819"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p>
        </w:tc>
      </w:tr>
      <w:tr>
        <w:tblPrEx>
          <w:tblCellMar>
            <w:top w:w="0" w:type="dxa"/>
            <w:left w:w="108" w:type="dxa"/>
            <w:bottom w:w="0" w:type="dxa"/>
            <w:right w:w="108" w:type="dxa"/>
          </w:tblCellMar>
        </w:tblPrEx>
        <w:trPr>
          <w:trHeight w:val="1417"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照明设施</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亮灯率</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（20分）</w:t>
            </w:r>
          </w:p>
        </w:tc>
        <w:tc>
          <w:tcPr>
            <w:tcW w:w="486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日常照明设施亮灯率达99%。 </w:t>
            </w:r>
          </w:p>
        </w:tc>
        <w:tc>
          <w:tcPr>
            <w:tcW w:w="270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每周抽查一次，每月统计四次照明设施亮灯率情况。每次统计结果低于99%扣5分</w:t>
            </w:r>
          </w:p>
        </w:tc>
        <w:tc>
          <w:tcPr>
            <w:tcW w:w="819"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p>
        </w:tc>
      </w:tr>
      <w:tr>
        <w:trPr>
          <w:trHeight w:val="1267"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照明设施</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日常巡查</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（15分）</w:t>
            </w:r>
          </w:p>
        </w:tc>
        <w:tc>
          <w:tcPr>
            <w:tcW w:w="486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每日开展照明设施状况巡查维修，夜间进行黑灯巡查维修，确保照明设施设备正常运行；同时将每日工作内容、每周巡查维护记录、每月工作小结台账资料报区路灯管理服务处。</w:t>
            </w:r>
          </w:p>
        </w:tc>
        <w:tc>
          <w:tcPr>
            <w:tcW w:w="270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每少巡查一次扣3分，每少一次巡查记录、维护记录、工作小结台账资料扣2分</w:t>
            </w:r>
          </w:p>
        </w:tc>
        <w:tc>
          <w:tcPr>
            <w:tcW w:w="819"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p>
        </w:tc>
      </w:tr>
      <w:tr>
        <w:tblPrEx>
          <w:tblCellMar>
            <w:top w:w="0" w:type="dxa"/>
            <w:left w:w="108" w:type="dxa"/>
            <w:bottom w:w="0" w:type="dxa"/>
            <w:right w:w="108" w:type="dxa"/>
          </w:tblCellMar>
        </w:tblPrEx>
        <w:trPr>
          <w:trHeight w:val="2089"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照明设施</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日常维护</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（20分）</w:t>
            </w:r>
          </w:p>
        </w:tc>
        <w:tc>
          <w:tcPr>
            <w:tcW w:w="486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设施发生故障不亮，须在一小时内到现场进行检修；因照明设施内部电路源器件损坏造成照明设施不亮时，须当天（原则上在故障发生后一小时内）更换维修；控制柜、电缆损坏或被盗造成照明设施不亮时，须立即赶到现场进行检修且在不超过两日内进行恢复施工。</w:t>
            </w:r>
          </w:p>
        </w:tc>
        <w:tc>
          <w:tcPr>
            <w:tcW w:w="270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每发现一次不维修或未在规定的时间内维修扣5分</w:t>
            </w:r>
          </w:p>
        </w:tc>
        <w:tc>
          <w:tcPr>
            <w:tcW w:w="819"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p>
        </w:tc>
      </w:tr>
      <w:tr>
        <w:tblPrEx>
          <w:tblCellMar>
            <w:top w:w="0" w:type="dxa"/>
            <w:left w:w="108" w:type="dxa"/>
            <w:bottom w:w="0" w:type="dxa"/>
            <w:right w:w="108" w:type="dxa"/>
          </w:tblCellMar>
        </w:tblPrEx>
        <w:trPr>
          <w:trHeight w:val="1112"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照明设施</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正常运行</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（5分）</w:t>
            </w:r>
          </w:p>
        </w:tc>
        <w:tc>
          <w:tcPr>
            <w:tcW w:w="486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照明设施开启、关闭时间正常。特殊情况（因维修或调整时间）须向市路灯管理服务处提前通知。</w:t>
            </w:r>
          </w:p>
        </w:tc>
        <w:tc>
          <w:tcPr>
            <w:tcW w:w="270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发现1次不能在正常的时间内亮灯、关灯扣1分</w:t>
            </w:r>
          </w:p>
        </w:tc>
        <w:tc>
          <w:tcPr>
            <w:tcW w:w="819"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p>
        </w:tc>
      </w:tr>
      <w:tr>
        <w:tblPrEx>
          <w:tblCellMar>
            <w:top w:w="0" w:type="dxa"/>
            <w:left w:w="108" w:type="dxa"/>
            <w:bottom w:w="0" w:type="dxa"/>
            <w:right w:w="108" w:type="dxa"/>
          </w:tblCellMar>
        </w:tblPrEx>
        <w:trPr>
          <w:trHeight w:val="1570"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安全生产</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文明施工</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(10分)</w:t>
            </w:r>
          </w:p>
        </w:tc>
        <w:tc>
          <w:tcPr>
            <w:tcW w:w="486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编制安全事故应急预案，年内无重大事故和安全生产事故发生。坚持文明施工，戴安全帽，着工作服。维护作业时，放置警示标志，作业人员配备必要的防坠落、防触电设备，作业完毕及时清理现场。</w:t>
            </w:r>
          </w:p>
        </w:tc>
        <w:tc>
          <w:tcPr>
            <w:tcW w:w="270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年内发生重大事故一次，取消维护资格；发生安全生产事故一次扣10分，二次以上取消维护资格；其他每发现一次扣2分。</w:t>
            </w:r>
          </w:p>
        </w:tc>
        <w:tc>
          <w:tcPr>
            <w:tcW w:w="819"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p>
        </w:tc>
      </w:tr>
      <w:tr>
        <w:tblPrEx>
          <w:tblCellMar>
            <w:top w:w="0" w:type="dxa"/>
            <w:left w:w="108" w:type="dxa"/>
            <w:bottom w:w="0" w:type="dxa"/>
            <w:right w:w="108" w:type="dxa"/>
          </w:tblCellMar>
        </w:tblPrEx>
        <w:trPr>
          <w:trHeight w:val="1862"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处理市民反映的问题</w:t>
            </w:r>
          </w:p>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（15分）</w:t>
            </w:r>
          </w:p>
        </w:tc>
        <w:tc>
          <w:tcPr>
            <w:tcW w:w="486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设立照明设施问题举报电话；电话投诉记录、处理结果和反馈记录齐全。接到举报时须在2小时内组织人员到现场勘察，确定处理措施。一时难以在规定时间内解决的，应向举报人说明原因。</w:t>
            </w:r>
          </w:p>
        </w:tc>
        <w:tc>
          <w:tcPr>
            <w:tcW w:w="270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每发现一次对举报的问题没有及时处理或敷衍的扣5分。政府督办、媒体暴光每次扣10分</w:t>
            </w:r>
          </w:p>
        </w:tc>
        <w:tc>
          <w:tcPr>
            <w:tcW w:w="819"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p>
        </w:tc>
      </w:tr>
      <w:tr>
        <w:tblPrEx>
          <w:tblCellMar>
            <w:top w:w="0" w:type="dxa"/>
            <w:left w:w="108" w:type="dxa"/>
            <w:bottom w:w="0" w:type="dxa"/>
            <w:right w:w="108" w:type="dxa"/>
          </w:tblCellMar>
        </w:tblPrEx>
        <w:trPr>
          <w:trHeight w:val="706" w:hRule="atLeast"/>
        </w:trPr>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累计得分</w:t>
            </w:r>
          </w:p>
        </w:tc>
        <w:tc>
          <w:tcPr>
            <w:tcW w:w="4860" w:type="dxa"/>
            <w:tcBorders>
              <w:top w:val="single" w:color="000000" w:sz="4" w:space="0"/>
              <w:left w:val="nil"/>
              <w:bottom w:val="single" w:color="000000" w:sz="4" w:space="0"/>
              <w:right w:val="single" w:color="000000" w:sz="4" w:space="0"/>
            </w:tcBorders>
            <w:noWrap w:val="0"/>
            <w:vAlign w:val="top"/>
          </w:tcPr>
          <w:p>
            <w:pPr>
              <w:jc w:val="left"/>
              <w:rPr>
                <w:rFonts w:hint="eastAsia" w:ascii="仿宋" w:hAnsi="仿宋" w:eastAsia="仿宋" w:cs="Times New Roman"/>
                <w:color w:val="auto"/>
                <w:highlight w:val="none"/>
                <w:lang w:val="en-US" w:eastAsia="zh-CN"/>
              </w:rPr>
            </w:pPr>
          </w:p>
        </w:tc>
        <w:tc>
          <w:tcPr>
            <w:tcW w:w="2700" w:type="dxa"/>
            <w:tcBorders>
              <w:top w:val="single" w:color="000000" w:sz="4" w:space="0"/>
              <w:left w:val="nil"/>
              <w:bottom w:val="single" w:color="000000" w:sz="4" w:space="0"/>
              <w:right w:val="single" w:color="000000" w:sz="4" w:space="0"/>
            </w:tcBorders>
            <w:noWrap w:val="0"/>
            <w:vAlign w:val="center"/>
          </w:tcPr>
          <w:p>
            <w:pPr>
              <w:jc w:val="left"/>
              <w:rPr>
                <w:rFonts w:hint="eastAsia" w:ascii="仿宋" w:hAnsi="仿宋" w:eastAsia="仿宋" w:cs="Times New Roman"/>
                <w:color w:val="auto"/>
                <w:highlight w:val="none"/>
                <w:lang w:val="en-US" w:eastAsia="zh-CN"/>
              </w:rPr>
            </w:pPr>
          </w:p>
        </w:tc>
        <w:tc>
          <w:tcPr>
            <w:tcW w:w="819" w:type="dxa"/>
            <w:tcBorders>
              <w:top w:val="single" w:color="000000" w:sz="4" w:space="0"/>
              <w:left w:val="nil"/>
              <w:bottom w:val="single" w:color="000000" w:sz="4" w:space="0"/>
              <w:right w:val="single" w:color="000000" w:sz="4" w:space="0"/>
            </w:tcBorders>
            <w:noWrap w:val="0"/>
            <w:vAlign w:val="top"/>
          </w:tcPr>
          <w:p>
            <w:pPr>
              <w:jc w:val="left"/>
              <w:rPr>
                <w:rFonts w:hint="eastAsia" w:ascii="仿宋" w:hAnsi="仿宋" w:eastAsia="仿宋" w:cs="Times New Roman"/>
                <w:color w:val="auto"/>
                <w:highlight w:val="none"/>
                <w:lang w:val="en-US" w:eastAsia="zh-CN"/>
              </w:rPr>
            </w:pPr>
          </w:p>
        </w:tc>
      </w:tr>
    </w:tbl>
    <w:p>
      <w:pPr>
        <w:pStyle w:val="25"/>
        <w:rPr>
          <w:rFonts w:hint="eastAsia" w:ascii="仿宋" w:hAnsi="仿宋" w:eastAsia="仿宋" w:cs="仿宋"/>
          <w:color w:val="auto"/>
          <w:kern w:val="0"/>
          <w:sz w:val="24"/>
          <w:highlight w:val="none"/>
        </w:rPr>
      </w:pPr>
    </w:p>
    <w:p>
      <w:pPr>
        <w:spacing w:line="360" w:lineRule="auto"/>
        <w:ind w:firstLine="482" w:firstLineChars="200"/>
        <w:rPr>
          <w:rFonts w:hint="eastAsia" w:ascii="仿宋" w:hAnsi="仿宋" w:eastAsia="仿宋" w:cs="仿宋"/>
          <w:b/>
          <w:color w:val="auto"/>
          <w:kern w:val="0"/>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b/>
          <w:color w:val="auto"/>
          <w:sz w:val="36"/>
          <w:szCs w:val="20"/>
          <w:highlight w:val="none"/>
        </w:rPr>
      </w:pPr>
      <w:r>
        <w:rPr>
          <w:rFonts w:ascii="仿宋" w:hAnsi="仿宋" w:eastAsia="仿宋" w:cs="Arial"/>
          <w:snapToGrid w:val="0"/>
          <w:color w:val="auto"/>
          <w:sz w:val="24"/>
          <w:highlight w:val="none"/>
        </w:rPr>
        <w:br w:type="page"/>
      </w:r>
    </w:p>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r>
        <w:rPr>
          <w:rFonts w:hint="eastAsia" w:ascii="仿宋" w:hAnsi="仿宋" w:eastAsia="仿宋" w:cs="仿宋"/>
          <w:b/>
          <w:color w:val="auto"/>
          <w:sz w:val="36"/>
          <w:szCs w:val="20"/>
          <w:highlight w:val="none"/>
        </w:rPr>
        <w:t xml:space="preserve">   </w:t>
      </w:r>
      <w:bookmarkEnd w:id="393"/>
      <w:r>
        <w:rPr>
          <w:rFonts w:hint="eastAsia" w:ascii="仿宋" w:hAnsi="仿宋" w:eastAsia="仿宋" w:cs="仿宋"/>
          <w:b/>
          <w:color w:val="auto"/>
          <w:sz w:val="36"/>
          <w:szCs w:val="20"/>
          <w:highlight w:val="none"/>
        </w:rPr>
        <w:t>应提交的有关格式范例</w:t>
      </w:r>
    </w:p>
    <w:p>
      <w:pPr>
        <w:spacing w:line="360" w:lineRule="auto"/>
        <w:jc w:val="center"/>
        <w:rPr>
          <w:rFonts w:hint="eastAsia" w:ascii="仿宋" w:hAnsi="仿宋" w:eastAsia="仿宋" w:cs="仿宋"/>
          <w:b/>
          <w:color w:val="auto"/>
          <w:kern w:val="0"/>
          <w:sz w:val="36"/>
          <w:szCs w:val="36"/>
          <w:highlight w:val="none"/>
        </w:rPr>
      </w:pP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资格文件部分</w:t>
      </w: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目录</w:t>
      </w:r>
    </w:p>
    <w:p>
      <w:pPr>
        <w:spacing w:line="360" w:lineRule="auto"/>
        <w:jc w:val="center"/>
        <w:rPr>
          <w:rFonts w:hint="eastAsia" w:ascii="仿宋" w:hAnsi="仿宋" w:eastAsia="仿宋" w:cs="仿宋"/>
          <w:b/>
          <w:color w:val="auto"/>
          <w:kern w:val="0"/>
          <w:sz w:val="36"/>
          <w:szCs w:val="36"/>
          <w:highlight w:val="none"/>
        </w:rPr>
      </w:pP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1.有效的企业法人营业执照（或事业法人登记证）、其他组织（个体工商户）的营业执照或者民办非企业单位登记证书；</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2.符合参加政府采购活动应当具备的一般条件的承诺函；</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3.落实政府采购政策需满足的资格要求；（</w:t>
      </w:r>
      <w:r>
        <w:rPr>
          <w:rFonts w:hint="eastAsia" w:ascii="仿宋" w:hAnsi="仿宋" w:eastAsia="仿宋" w:cs="仿宋"/>
          <w:color w:val="auto"/>
          <w:sz w:val="28"/>
          <w:szCs w:val="28"/>
          <w:highlight w:val="none"/>
          <w:lang w:val="en-US" w:eastAsia="zh-CN"/>
        </w:rPr>
        <w:t>必须提供满足下列清单之一</w:t>
      </w:r>
      <w:r>
        <w:rPr>
          <w:rFonts w:hint="eastAsia" w:ascii="仿宋" w:hAnsi="仿宋" w:eastAsia="仿宋" w:cs="仿宋"/>
          <w:color w:val="auto"/>
          <w:sz w:val="28"/>
          <w:szCs w:val="28"/>
          <w:highlight w:val="none"/>
        </w:rPr>
        <w:t>）；</w:t>
      </w:r>
    </w:p>
    <w:p>
      <w:pPr>
        <w:adjustRightInd w:val="0"/>
        <w:snapToGrid w:val="0"/>
        <w:spacing w:line="360" w:lineRule="auto"/>
        <w:ind w:left="420" w:leftChars="200"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中小企业声明函；</w:t>
      </w:r>
    </w:p>
    <w:p>
      <w:pPr>
        <w:adjustRightInd w:val="0"/>
        <w:snapToGrid w:val="0"/>
        <w:spacing w:line="360" w:lineRule="auto"/>
        <w:ind w:left="420" w:leftChars="200"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color w:val="auto"/>
          <w:sz w:val="28"/>
          <w:szCs w:val="28"/>
          <w:highlight w:val="none"/>
        </w:rPr>
        <w:t>残疾人福利性单位声明函；</w:t>
      </w:r>
    </w:p>
    <w:p>
      <w:pPr>
        <w:adjustRightInd w:val="0"/>
        <w:snapToGrid w:val="0"/>
        <w:spacing w:line="360" w:lineRule="auto"/>
        <w:ind w:left="420" w:leftChars="200"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3.3</w:t>
      </w:r>
      <w:r>
        <w:rPr>
          <w:rFonts w:hint="eastAsia" w:ascii="仿宋" w:hAnsi="仿宋" w:eastAsia="仿宋" w:cs="仿宋"/>
          <w:color w:val="auto"/>
          <w:sz w:val="28"/>
          <w:szCs w:val="28"/>
          <w:highlight w:val="none"/>
        </w:rPr>
        <w:t>监狱企业的证明文件；</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4.联合协议（如有）；</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5.分包意向协议（如有）；</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6.本项目的特定资格要求（如有）。</w:t>
      </w: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宁波建兴招标有限公司/</w:t>
      </w:r>
      <w:r>
        <w:rPr>
          <w:rFonts w:hint="eastAsia" w:ascii="仿宋" w:hAnsi="仿宋" w:eastAsia="仿宋" w:cs="仿宋"/>
          <w:color w:val="auto"/>
          <w:sz w:val="24"/>
          <w:highlight w:val="none"/>
          <w:lang w:eastAsia="zh-CN"/>
        </w:rPr>
        <w:t>宁波市奉化区园林管理处</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eastAsia="zh-CN"/>
        </w:rPr>
        <w:t>奉化城区功能性照明设施维修养护管理服务项目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NBJX2022154G</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FHZFCG(2022)186D</w:t>
      </w:r>
      <w:r>
        <w:rPr>
          <w:rFonts w:hint="eastAsia" w:ascii="仿宋" w:hAnsi="仿宋" w:eastAsia="仿宋" w:cs="仿宋"/>
          <w:color w:val="auto"/>
          <w:sz w:val="24"/>
          <w:highlight w:val="none"/>
        </w:rPr>
        <w:t>】政府采购活动，郑重承诺：</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w:t>
      </w:r>
      <w:r>
        <w:rPr>
          <w:rFonts w:hint="eastAsia" w:ascii="仿宋" w:hAnsi="仿宋" w:eastAsia="仿宋" w:cs="仿宋"/>
          <w:color w:val="auto"/>
          <w:sz w:val="24"/>
          <w:highlight w:val="none"/>
          <w:lang w:eastAsia="zh-CN"/>
        </w:rPr>
        <w:t>（即重大税收违法失信主体）</w:t>
      </w:r>
      <w:r>
        <w:rPr>
          <w:rFonts w:hint="eastAsia" w:ascii="仿宋" w:hAnsi="仿宋" w:eastAsia="仿宋" w:cs="仿宋"/>
          <w:color w:val="auto"/>
          <w:sz w:val="24"/>
          <w:highlight w:val="none"/>
        </w:rPr>
        <w:t>、政府采购严重违法失信行为记录名单。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lang w:val="zh-CN"/>
        </w:rPr>
      </w:pPr>
    </w:p>
    <w:p>
      <w:pPr>
        <w:snapToGrid w:val="0"/>
        <w:spacing w:line="360" w:lineRule="auto"/>
        <w:ind w:firstLine="5520" w:firstLineChars="2300"/>
        <w:rPr>
          <w:rFonts w:hint="eastAsia" w:ascii="仿宋" w:hAnsi="仿宋" w:eastAsia="仿宋" w:cs="仿宋"/>
          <w:color w:val="auto"/>
          <w:kern w:val="0"/>
          <w:sz w:val="24"/>
          <w:highlight w:val="none"/>
          <w:lang w:val="zh-CN"/>
        </w:rPr>
      </w:pP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法定代表人（负责人）或其授权委托人（签名或印章）：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.专门面向中小企业，货物全部由符合政策要求的中小企业（或小微企业）制造或者服务全部由符合政策要求的中小企业（或小微企业）承接的，提供相应的中小企业声明函。</w:t>
      </w: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pPr>
        <w:pStyle w:val="25"/>
        <w:ind w:firstLine="560"/>
        <w:rPr>
          <w:rFonts w:hint="eastAsia"/>
          <w:color w:val="auto"/>
          <w:highlight w:val="none"/>
        </w:rPr>
      </w:pPr>
    </w:p>
    <w:p>
      <w:pPr>
        <w:widowControl/>
        <w:spacing w:line="360" w:lineRule="auto"/>
        <w:ind w:firstLine="120" w:firstLineChars="50"/>
        <w:jc w:val="left"/>
        <w:rPr>
          <w:rFonts w:hint="eastAsia" w:ascii="仿宋" w:hAnsi="仿宋" w:eastAsia="仿宋" w:cs="仿宋"/>
          <w:b/>
          <w:color w:val="auto"/>
          <w:sz w:val="24"/>
          <w:highlight w:val="none"/>
          <w:lang w:eastAsia="zh-CN"/>
        </w:rPr>
      </w:pPr>
    </w:p>
    <w:p>
      <w:pPr>
        <w:spacing w:before="120" w:beforeLines="50" w:after="120" w:afterLines="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kern w:val="0"/>
          <w:sz w:val="32"/>
          <w:szCs w:val="32"/>
          <w:highlight w:val="none"/>
          <w:lang w:val="zh-CN"/>
        </w:rPr>
        <w:t>中小企业声明函（服务）</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本公司郑重声明，</w:t>
      </w:r>
      <w:r>
        <w:rPr>
          <w:rFonts w:ascii="仿宋" w:hAnsi="仿宋" w:eastAsia="仿宋"/>
          <w:color w:val="auto"/>
          <w:sz w:val="24"/>
          <w:highlight w:val="none"/>
        </w:rPr>
        <w:t>根据《政府采购促进中小企业发展</w:t>
      </w:r>
      <w:r>
        <w:rPr>
          <w:rFonts w:hint="eastAsia" w:ascii="仿宋" w:hAnsi="仿宋" w:eastAsia="仿宋"/>
          <w:color w:val="auto"/>
          <w:sz w:val="24"/>
          <w:highlight w:val="none"/>
        </w:rPr>
        <w:t>管理</w:t>
      </w:r>
      <w:r>
        <w:rPr>
          <w:rFonts w:ascii="仿宋" w:hAnsi="仿宋" w:eastAsia="仿宋"/>
          <w:color w:val="auto"/>
          <w:sz w:val="24"/>
          <w:highlight w:val="none"/>
        </w:rPr>
        <w:t>办法》（财库</w:t>
      </w:r>
      <w:r>
        <w:rPr>
          <w:rFonts w:hint="eastAsia" w:ascii="仿宋" w:hAnsi="仿宋" w:eastAsia="仿宋"/>
          <w:color w:val="auto"/>
          <w:sz w:val="24"/>
          <w:highlight w:val="none"/>
        </w:rPr>
        <w:t>〔</w:t>
      </w:r>
      <w:r>
        <w:rPr>
          <w:rFonts w:ascii="仿宋" w:hAnsi="仿宋" w:eastAsia="仿宋"/>
          <w:color w:val="auto"/>
          <w:sz w:val="24"/>
          <w:highlight w:val="none"/>
        </w:rPr>
        <w:t>20</w:t>
      </w:r>
      <w:r>
        <w:rPr>
          <w:rFonts w:hint="eastAsia" w:ascii="仿宋" w:hAnsi="仿宋" w:eastAsia="仿宋"/>
          <w:color w:val="auto"/>
          <w:sz w:val="24"/>
          <w:highlight w:val="none"/>
        </w:rPr>
        <w:t>20〕46</w:t>
      </w:r>
      <w:r>
        <w:rPr>
          <w:rFonts w:ascii="仿宋" w:hAnsi="仿宋" w:eastAsia="仿宋"/>
          <w:color w:val="auto"/>
          <w:sz w:val="24"/>
          <w:highlight w:val="none"/>
        </w:rPr>
        <w:t>号）</w:t>
      </w:r>
      <w:r>
        <w:rPr>
          <w:rFonts w:hint="eastAsia" w:ascii="仿宋" w:hAnsi="仿宋" w:eastAsia="仿宋"/>
          <w:color w:val="auto"/>
          <w:sz w:val="24"/>
          <w:highlight w:val="none"/>
        </w:rPr>
        <w:t>的规定，本公司参加</w:t>
      </w:r>
      <w:r>
        <w:rPr>
          <w:rFonts w:hint="eastAsia" w:ascii="仿宋" w:hAnsi="仿宋" w:eastAsia="仿宋" w:cs="Times New Roman"/>
          <w:color w:val="auto"/>
          <w:sz w:val="24"/>
          <w:highlight w:val="none"/>
          <w:u w:val="single"/>
          <w:lang w:eastAsia="zh-CN"/>
        </w:rPr>
        <w:t>宁波市奉化区园林管理处</w:t>
      </w:r>
      <w:r>
        <w:rPr>
          <w:rFonts w:hint="eastAsia" w:ascii="仿宋" w:hAnsi="仿宋" w:eastAsia="仿宋"/>
          <w:color w:val="auto"/>
          <w:sz w:val="24"/>
          <w:highlight w:val="none"/>
        </w:rPr>
        <w:t>的</w:t>
      </w:r>
      <w:r>
        <w:rPr>
          <w:rFonts w:hint="eastAsia" w:ascii="仿宋" w:hAnsi="仿宋" w:eastAsia="仿宋" w:cs="Times New Roman"/>
          <w:color w:val="auto"/>
          <w:sz w:val="24"/>
          <w:highlight w:val="none"/>
          <w:u w:val="single"/>
          <w:lang w:eastAsia="zh-CN"/>
        </w:rPr>
        <w:t>奉化城区功能性照明设施维修养护管理服务项目</w:t>
      </w:r>
      <w:r>
        <w:rPr>
          <w:rFonts w:hint="eastAsia" w:ascii="仿宋" w:hAnsi="仿宋" w:eastAsia="仿宋"/>
          <w:color w:val="auto"/>
          <w:sz w:val="24"/>
          <w:highlight w:val="none"/>
        </w:rPr>
        <w:t>采购活动，服务全部由符合政策要求的中小企业承接。相关企业（含联合体中的中小企业、签订分包意向协议的中小企业）的具体情况如下：</w:t>
      </w:r>
    </w:p>
    <w:p>
      <w:pPr>
        <w:numPr>
          <w:ilvl w:val="0"/>
          <w:numId w:val="3"/>
        </w:numPr>
        <w:spacing w:line="360" w:lineRule="auto"/>
        <w:ind w:firstLine="480" w:firstLineChars="200"/>
        <w:rPr>
          <w:rFonts w:hint="eastAsia" w:ascii="仿宋" w:hAnsi="仿宋" w:eastAsia="仿宋"/>
          <w:color w:val="auto"/>
          <w:sz w:val="24"/>
          <w:highlight w:val="none"/>
        </w:rPr>
      </w:pPr>
      <w:r>
        <w:rPr>
          <w:rFonts w:hint="eastAsia" w:ascii="仿宋" w:hAnsi="仿宋" w:eastAsia="仿宋" w:cs="Times New Roman"/>
          <w:color w:val="auto"/>
          <w:sz w:val="24"/>
          <w:highlight w:val="none"/>
          <w:u w:val="single"/>
          <w:lang w:eastAsia="zh-CN"/>
        </w:rPr>
        <w:t>维修养护管理服务</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其他未列明行业</w:t>
      </w:r>
      <w:r>
        <w:rPr>
          <w:rFonts w:hint="eastAsia" w:ascii="仿宋" w:hAnsi="仿宋" w:eastAsia="仿宋"/>
          <w:color w:val="auto"/>
          <w:sz w:val="24"/>
          <w:highlight w:val="none"/>
        </w:rPr>
        <w:t>；承接企业为</w:t>
      </w:r>
      <w:r>
        <w:rPr>
          <w:rFonts w:hint="eastAsia" w:ascii="仿宋" w:hAnsi="仿宋" w:eastAsia="仿宋"/>
          <w:color w:val="auto"/>
          <w:sz w:val="24"/>
          <w:highlight w:val="none"/>
          <w:u w:val="single"/>
        </w:rPr>
        <w:t xml:space="preserve">   （</w:t>
      </w:r>
      <w:r>
        <w:rPr>
          <w:rFonts w:hint="eastAsia" w:ascii="仿宋" w:hAnsi="仿宋" w:eastAsia="仿宋"/>
          <w:i/>
          <w:color w:val="auto"/>
          <w:sz w:val="24"/>
          <w:highlight w:val="none"/>
          <w:u w:val="single"/>
        </w:rPr>
        <w:t>企业名称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hint="eastAsia" w:ascii="仿宋" w:hAnsi="仿宋" w:eastAsia="仿宋"/>
          <w:color w:val="auto"/>
          <w:sz w:val="24"/>
          <w:highlight w:val="none"/>
          <w:u w:val="single"/>
        </w:rPr>
        <w:t xml:space="preserve">  （</w:t>
      </w:r>
      <w:r>
        <w:rPr>
          <w:rFonts w:hint="eastAsia" w:ascii="仿宋" w:hAnsi="仿宋" w:eastAsia="仿宋"/>
          <w:i/>
          <w:color w:val="auto"/>
          <w:sz w:val="24"/>
          <w:highlight w:val="none"/>
          <w:u w:val="single"/>
        </w:rPr>
        <w:t>中型企业、小型企业、微型企业</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adjustRightInd w:val="0"/>
        <w:spacing w:line="360" w:lineRule="auto"/>
        <w:ind w:firstLine="2400" w:firstLineChars="1000"/>
        <w:jc w:val="left"/>
        <w:rPr>
          <w:rFonts w:hint="eastAsia" w:ascii="仿宋" w:hAnsi="仿宋" w:eastAsia="仿宋" w:cs="仿宋"/>
          <w:color w:val="auto"/>
          <w:sz w:val="24"/>
          <w:highlight w:val="none"/>
        </w:rPr>
      </w:pP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法定代表人（负责人）或其授权委托人（签名或印章）：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ind w:right="-283"/>
        <w:rPr>
          <w:rFonts w:hint="eastAsia" w:ascii="仿宋" w:hAnsi="仿宋" w:eastAsia="仿宋" w:cs="仿宋"/>
          <w:b/>
          <w:color w:val="auto"/>
          <w:sz w:val="24"/>
          <w:highlight w:val="none"/>
        </w:rPr>
      </w:pPr>
    </w:p>
    <w:p>
      <w:pPr>
        <w:spacing w:line="360" w:lineRule="auto"/>
        <w:ind w:right="-283"/>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pPr>
        <w:spacing w:line="360" w:lineRule="auto"/>
        <w:ind w:right="-283"/>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color w:val="auto"/>
          <w:highlight w:val="none"/>
        </w:rPr>
      </w:pPr>
    </w:p>
    <w:p>
      <w:pPr>
        <w:pStyle w:val="25"/>
        <w:ind w:left="0" w:leftChars="0" w:firstLine="0" w:firstLineChars="0"/>
        <w:rPr>
          <w:rFonts w:hint="eastAsia" w:ascii="仿宋" w:hAnsi="仿宋" w:eastAsia="仿宋" w:cs="仿宋"/>
          <w:b/>
          <w:color w:val="auto"/>
          <w:sz w:val="24"/>
          <w:highlight w:val="none"/>
          <w:lang w:eastAsia="zh-CN"/>
        </w:rPr>
      </w:pPr>
    </w:p>
    <w:p>
      <w:pPr>
        <w:pStyle w:val="25"/>
        <w:ind w:left="0" w:leftChars="0" w:firstLine="0" w:firstLineChars="0"/>
        <w:rPr>
          <w:rFonts w:hint="eastAsia" w:ascii="仿宋" w:hAnsi="仿宋" w:eastAsia="仿宋" w:cs="仿宋"/>
          <w:b/>
          <w:color w:val="auto"/>
          <w:sz w:val="24"/>
          <w:highlight w:val="none"/>
          <w:lang w:eastAsia="zh-CN"/>
        </w:rPr>
        <w:sectPr>
          <w:footerReference r:id="rId3" w:type="default"/>
          <w:pgSz w:w="11906" w:h="16838"/>
          <w:pgMar w:top="1418" w:right="1287" w:bottom="1134" w:left="1622" w:header="624" w:footer="624" w:gutter="0"/>
          <w:cols w:space="720" w:num="1"/>
          <w:docGrid w:linePitch="312" w:charSpace="0"/>
        </w:sectPr>
      </w:pPr>
    </w:p>
    <w:tbl>
      <w:tblPr>
        <w:tblStyle w:val="14"/>
        <w:tblW w:w="15301" w:type="dxa"/>
        <w:tblInd w:w="-176" w:type="dxa"/>
        <w:tblLayout w:type="fixed"/>
        <w:tblCellMar>
          <w:top w:w="0" w:type="dxa"/>
          <w:left w:w="108" w:type="dxa"/>
          <w:bottom w:w="0" w:type="dxa"/>
          <w:right w:w="108" w:type="dxa"/>
        </w:tblCellMar>
      </w:tblPr>
      <w:tblGrid>
        <w:gridCol w:w="1985"/>
        <w:gridCol w:w="1498"/>
        <w:gridCol w:w="1763"/>
        <w:gridCol w:w="1660"/>
        <w:gridCol w:w="1458"/>
        <w:gridCol w:w="1636"/>
        <w:gridCol w:w="1520"/>
        <w:gridCol w:w="1285"/>
        <w:gridCol w:w="1275"/>
        <w:gridCol w:w="1221"/>
      </w:tblGrid>
      <w:tr>
        <w:tblPrEx>
          <w:tblCellMar>
            <w:top w:w="0" w:type="dxa"/>
            <w:left w:w="108" w:type="dxa"/>
            <w:bottom w:w="0" w:type="dxa"/>
            <w:right w:w="108" w:type="dxa"/>
          </w:tblCellMar>
        </w:tblPrEx>
        <w:trPr>
          <w:trHeight w:val="420" w:hRule="atLeast"/>
        </w:trPr>
        <w:tc>
          <w:tcPr>
            <w:tcW w:w="15301" w:type="dxa"/>
            <w:gridSpan w:val="10"/>
            <w:tcBorders>
              <w:top w:val="nil"/>
              <w:left w:val="nil"/>
              <w:bottom w:val="nil"/>
              <w:right w:val="nil"/>
            </w:tcBorders>
            <w:noWrap w:val="0"/>
            <w:vAlign w:val="bottom"/>
          </w:tcPr>
          <w:p>
            <w:pPr>
              <w:widowControl/>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中型企业</w:t>
            </w:r>
          </w:p>
        </w:tc>
        <w:tc>
          <w:tcPr>
            <w:tcW w:w="4614"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微型企业</w:t>
            </w:r>
          </w:p>
        </w:tc>
      </w:tr>
      <w:tr>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仿宋" w:hAnsi="仿宋" w:eastAsia="仿宋" w:cs="宋体"/>
                <w:b/>
                <w:bCs/>
                <w:color w:val="auto"/>
                <w:kern w:val="0"/>
                <w:sz w:val="20"/>
                <w:szCs w:val="20"/>
                <w:highlight w:val="none"/>
              </w:rPr>
            </w:pPr>
          </w:p>
        </w:tc>
        <w:tc>
          <w:tcPr>
            <w:tcW w:w="1498" w:type="dxa"/>
            <w:tcBorders>
              <w:top w:val="nil"/>
              <w:left w:val="nil"/>
              <w:bottom w:val="single" w:color="auto" w:sz="4" w:space="0"/>
              <w:right w:val="single" w:color="auto" w:sz="4" w:space="0"/>
            </w:tcBorders>
            <w:noWrap w:val="0"/>
            <w:vAlign w:val="bottom"/>
          </w:tcPr>
          <w:p>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从业人员X（人）</w:t>
            </w:r>
          </w:p>
        </w:tc>
        <w:tc>
          <w:tcPr>
            <w:tcW w:w="1763"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营业收入Y</w:t>
            </w:r>
          </w:p>
          <w:p>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（万元）</w:t>
            </w:r>
          </w:p>
        </w:tc>
        <w:tc>
          <w:tcPr>
            <w:tcW w:w="1660" w:type="dxa"/>
            <w:tcBorders>
              <w:top w:val="nil"/>
              <w:left w:val="nil"/>
              <w:bottom w:val="single" w:color="auto" w:sz="4" w:space="0"/>
              <w:right w:val="single" w:color="auto" w:sz="8" w:space="0"/>
            </w:tcBorders>
            <w:noWrap w:val="0"/>
            <w:vAlign w:val="bottom"/>
          </w:tcPr>
          <w:p>
            <w:pPr>
              <w:widowControl/>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资产总额Z</w:t>
            </w:r>
          </w:p>
          <w:p>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（万元）</w:t>
            </w:r>
          </w:p>
        </w:tc>
        <w:tc>
          <w:tcPr>
            <w:tcW w:w="1458" w:type="dxa"/>
            <w:tcBorders>
              <w:top w:val="nil"/>
              <w:left w:val="nil"/>
              <w:bottom w:val="single" w:color="auto" w:sz="4" w:space="0"/>
              <w:right w:val="single" w:color="auto" w:sz="4" w:space="0"/>
            </w:tcBorders>
            <w:noWrap w:val="0"/>
            <w:vAlign w:val="bottom"/>
          </w:tcPr>
          <w:p>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从业人员X（人）</w:t>
            </w:r>
          </w:p>
        </w:tc>
        <w:tc>
          <w:tcPr>
            <w:tcW w:w="1636" w:type="dxa"/>
            <w:tcBorders>
              <w:top w:val="nil"/>
              <w:left w:val="nil"/>
              <w:bottom w:val="single" w:color="auto" w:sz="4" w:space="0"/>
              <w:right w:val="single" w:color="auto" w:sz="4" w:space="0"/>
            </w:tcBorders>
            <w:noWrap w:val="0"/>
            <w:vAlign w:val="bottom"/>
          </w:tcPr>
          <w:p>
            <w:pPr>
              <w:widowControl/>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营业收入Y</w:t>
            </w:r>
          </w:p>
          <w:p>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（万元）</w:t>
            </w:r>
          </w:p>
        </w:tc>
        <w:tc>
          <w:tcPr>
            <w:tcW w:w="1520" w:type="dxa"/>
            <w:tcBorders>
              <w:top w:val="nil"/>
              <w:left w:val="nil"/>
              <w:bottom w:val="single" w:color="auto" w:sz="4" w:space="0"/>
              <w:right w:val="single" w:color="auto" w:sz="8" w:space="0"/>
            </w:tcBorders>
            <w:noWrap w:val="0"/>
            <w:vAlign w:val="bottom"/>
          </w:tcPr>
          <w:p>
            <w:pPr>
              <w:widowControl/>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资产总额Z</w:t>
            </w:r>
          </w:p>
          <w:p>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（万元）</w:t>
            </w:r>
          </w:p>
        </w:tc>
        <w:tc>
          <w:tcPr>
            <w:tcW w:w="1285" w:type="dxa"/>
            <w:tcBorders>
              <w:top w:val="nil"/>
              <w:left w:val="nil"/>
              <w:bottom w:val="single" w:color="auto" w:sz="4" w:space="0"/>
              <w:right w:val="single" w:color="auto" w:sz="4" w:space="0"/>
            </w:tcBorders>
            <w:noWrap w:val="0"/>
            <w:vAlign w:val="bottom"/>
          </w:tcPr>
          <w:p>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从业人员X（人）</w:t>
            </w:r>
          </w:p>
        </w:tc>
        <w:tc>
          <w:tcPr>
            <w:tcW w:w="1275" w:type="dxa"/>
            <w:tcBorders>
              <w:top w:val="nil"/>
              <w:left w:val="nil"/>
              <w:bottom w:val="single" w:color="auto" w:sz="4" w:space="0"/>
              <w:right w:val="single" w:color="auto" w:sz="4" w:space="0"/>
            </w:tcBorders>
            <w:noWrap w:val="0"/>
            <w:vAlign w:val="bottom"/>
          </w:tcPr>
          <w:p>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营业收入Y（万元）</w:t>
            </w:r>
          </w:p>
        </w:tc>
        <w:tc>
          <w:tcPr>
            <w:tcW w:w="1221" w:type="dxa"/>
            <w:tcBorders>
              <w:top w:val="nil"/>
              <w:left w:val="nil"/>
              <w:bottom w:val="single" w:color="auto" w:sz="4" w:space="0"/>
              <w:right w:val="single" w:color="auto" w:sz="8" w:space="0"/>
            </w:tcBorders>
            <w:noWrap w:val="0"/>
            <w:vAlign w:val="bottom"/>
          </w:tcPr>
          <w:p>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资产总额Z（万元）</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1、农林牧渔业</w:t>
            </w:r>
          </w:p>
        </w:tc>
        <w:tc>
          <w:tcPr>
            <w:tcW w:w="149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p>
        </w:tc>
        <w:tc>
          <w:tcPr>
            <w:tcW w:w="1763"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500≤Y＜20000</w:t>
            </w:r>
          </w:p>
        </w:tc>
        <w:tc>
          <w:tcPr>
            <w:tcW w:w="166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p>
        </w:tc>
        <w:tc>
          <w:tcPr>
            <w:tcW w:w="1636"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50≤Y＜500</w:t>
            </w:r>
          </w:p>
        </w:tc>
        <w:tc>
          <w:tcPr>
            <w:tcW w:w="152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p>
        </w:tc>
        <w:tc>
          <w:tcPr>
            <w:tcW w:w="127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Y＜50</w:t>
            </w:r>
          </w:p>
        </w:tc>
        <w:tc>
          <w:tcPr>
            <w:tcW w:w="1221"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2、工业</w:t>
            </w:r>
          </w:p>
        </w:tc>
        <w:tc>
          <w:tcPr>
            <w:tcW w:w="149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2000≤Y＜40000</w:t>
            </w:r>
          </w:p>
        </w:tc>
        <w:tc>
          <w:tcPr>
            <w:tcW w:w="166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20≤X＜300</w:t>
            </w:r>
          </w:p>
        </w:tc>
        <w:tc>
          <w:tcPr>
            <w:tcW w:w="1636"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300≤Y＜2000</w:t>
            </w:r>
          </w:p>
        </w:tc>
        <w:tc>
          <w:tcPr>
            <w:tcW w:w="152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Y＜300</w:t>
            </w:r>
          </w:p>
        </w:tc>
        <w:tc>
          <w:tcPr>
            <w:tcW w:w="1221"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3、建筑业</w:t>
            </w:r>
          </w:p>
        </w:tc>
        <w:tc>
          <w:tcPr>
            <w:tcW w:w="149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p>
        </w:tc>
        <w:tc>
          <w:tcPr>
            <w:tcW w:w="1763"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6000≤Y＜80000</w:t>
            </w:r>
          </w:p>
        </w:tc>
        <w:tc>
          <w:tcPr>
            <w:tcW w:w="166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5000≤Z＜80000</w:t>
            </w:r>
          </w:p>
        </w:tc>
        <w:tc>
          <w:tcPr>
            <w:tcW w:w="145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p>
        </w:tc>
        <w:tc>
          <w:tcPr>
            <w:tcW w:w="1636"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300≤Y＜6000</w:t>
            </w:r>
          </w:p>
        </w:tc>
        <w:tc>
          <w:tcPr>
            <w:tcW w:w="152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300≤Z＜5000</w:t>
            </w:r>
          </w:p>
        </w:tc>
        <w:tc>
          <w:tcPr>
            <w:tcW w:w="128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p>
        </w:tc>
        <w:tc>
          <w:tcPr>
            <w:tcW w:w="127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Y＜300</w:t>
            </w:r>
          </w:p>
        </w:tc>
        <w:tc>
          <w:tcPr>
            <w:tcW w:w="1221"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Z＜300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4、批发业</w:t>
            </w:r>
          </w:p>
        </w:tc>
        <w:tc>
          <w:tcPr>
            <w:tcW w:w="149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20≤X＜200</w:t>
            </w:r>
          </w:p>
        </w:tc>
        <w:tc>
          <w:tcPr>
            <w:tcW w:w="1763"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5000≤Y＜40000</w:t>
            </w:r>
          </w:p>
        </w:tc>
        <w:tc>
          <w:tcPr>
            <w:tcW w:w="166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5≤X＜20</w:t>
            </w:r>
          </w:p>
        </w:tc>
        <w:tc>
          <w:tcPr>
            <w:tcW w:w="1636"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1000≤Y＜5000</w:t>
            </w:r>
          </w:p>
        </w:tc>
        <w:tc>
          <w:tcPr>
            <w:tcW w:w="152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X＜5</w:t>
            </w:r>
          </w:p>
        </w:tc>
        <w:tc>
          <w:tcPr>
            <w:tcW w:w="127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Y＜1000</w:t>
            </w:r>
          </w:p>
        </w:tc>
        <w:tc>
          <w:tcPr>
            <w:tcW w:w="1221"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5、零售业</w:t>
            </w:r>
          </w:p>
        </w:tc>
        <w:tc>
          <w:tcPr>
            <w:tcW w:w="149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50≤X＜300</w:t>
            </w:r>
          </w:p>
        </w:tc>
        <w:tc>
          <w:tcPr>
            <w:tcW w:w="1763"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500≤Y＜20000</w:t>
            </w:r>
          </w:p>
        </w:tc>
        <w:tc>
          <w:tcPr>
            <w:tcW w:w="166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10≤X＜50</w:t>
            </w:r>
          </w:p>
        </w:tc>
        <w:tc>
          <w:tcPr>
            <w:tcW w:w="1636"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100≤Y＜500</w:t>
            </w:r>
          </w:p>
        </w:tc>
        <w:tc>
          <w:tcPr>
            <w:tcW w:w="152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6、交通运输业</w:t>
            </w:r>
          </w:p>
        </w:tc>
        <w:tc>
          <w:tcPr>
            <w:tcW w:w="149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20≤X＜300</w:t>
            </w:r>
          </w:p>
        </w:tc>
        <w:tc>
          <w:tcPr>
            <w:tcW w:w="1636"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200≤Y＜3000</w:t>
            </w:r>
          </w:p>
        </w:tc>
        <w:tc>
          <w:tcPr>
            <w:tcW w:w="152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V＜200</w:t>
            </w:r>
          </w:p>
        </w:tc>
        <w:tc>
          <w:tcPr>
            <w:tcW w:w="1221"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7、仓储业</w:t>
            </w:r>
          </w:p>
        </w:tc>
        <w:tc>
          <w:tcPr>
            <w:tcW w:w="149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100≤X＜200</w:t>
            </w:r>
          </w:p>
        </w:tc>
        <w:tc>
          <w:tcPr>
            <w:tcW w:w="1763"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20≤X＜100</w:t>
            </w:r>
          </w:p>
        </w:tc>
        <w:tc>
          <w:tcPr>
            <w:tcW w:w="1636"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8、邮政业</w:t>
            </w:r>
          </w:p>
        </w:tc>
        <w:tc>
          <w:tcPr>
            <w:tcW w:w="149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2000≤Y＜30000</w:t>
            </w:r>
          </w:p>
        </w:tc>
        <w:tc>
          <w:tcPr>
            <w:tcW w:w="166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20≤X＜300</w:t>
            </w:r>
          </w:p>
        </w:tc>
        <w:tc>
          <w:tcPr>
            <w:tcW w:w="1636"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X＜20</w:t>
            </w:r>
          </w:p>
        </w:tc>
        <w:tc>
          <w:tcPr>
            <w:tcW w:w="127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9、住宿业</w:t>
            </w:r>
          </w:p>
        </w:tc>
        <w:tc>
          <w:tcPr>
            <w:tcW w:w="149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10、餐饮业</w:t>
            </w:r>
          </w:p>
        </w:tc>
        <w:tc>
          <w:tcPr>
            <w:tcW w:w="149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100≤Y＜2000</w:t>
            </w:r>
          </w:p>
        </w:tc>
        <w:tc>
          <w:tcPr>
            <w:tcW w:w="152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V＜100</w:t>
            </w:r>
          </w:p>
        </w:tc>
        <w:tc>
          <w:tcPr>
            <w:tcW w:w="1221"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11、信息传输业</w:t>
            </w:r>
          </w:p>
        </w:tc>
        <w:tc>
          <w:tcPr>
            <w:tcW w:w="149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100≤X＜2000</w:t>
            </w:r>
          </w:p>
        </w:tc>
        <w:tc>
          <w:tcPr>
            <w:tcW w:w="1763"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1000≤Y＜100000</w:t>
            </w:r>
          </w:p>
        </w:tc>
        <w:tc>
          <w:tcPr>
            <w:tcW w:w="166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1000≤Y＜10000</w:t>
            </w:r>
          </w:p>
        </w:tc>
        <w:tc>
          <w:tcPr>
            <w:tcW w:w="166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50≤Y＜1000</w:t>
            </w:r>
          </w:p>
        </w:tc>
        <w:tc>
          <w:tcPr>
            <w:tcW w:w="152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Y＜50</w:t>
            </w:r>
          </w:p>
        </w:tc>
        <w:tc>
          <w:tcPr>
            <w:tcW w:w="1221"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13、房地产开发经营</w:t>
            </w:r>
          </w:p>
        </w:tc>
        <w:tc>
          <w:tcPr>
            <w:tcW w:w="149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p>
        </w:tc>
        <w:tc>
          <w:tcPr>
            <w:tcW w:w="1763"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1000≤Y＜200000</w:t>
            </w:r>
          </w:p>
        </w:tc>
        <w:tc>
          <w:tcPr>
            <w:tcW w:w="166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5000≤Z＜10000</w:t>
            </w:r>
          </w:p>
        </w:tc>
        <w:tc>
          <w:tcPr>
            <w:tcW w:w="145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p>
        </w:tc>
        <w:tc>
          <w:tcPr>
            <w:tcW w:w="1636"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100≤Y＜1000</w:t>
            </w:r>
          </w:p>
        </w:tc>
        <w:tc>
          <w:tcPr>
            <w:tcW w:w="152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2000≤Z＜5000</w:t>
            </w:r>
          </w:p>
        </w:tc>
        <w:tc>
          <w:tcPr>
            <w:tcW w:w="128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p>
        </w:tc>
        <w:tc>
          <w:tcPr>
            <w:tcW w:w="127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Y＜100</w:t>
            </w:r>
          </w:p>
        </w:tc>
        <w:tc>
          <w:tcPr>
            <w:tcW w:w="1221"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Z＜2000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14、物业管理</w:t>
            </w:r>
          </w:p>
        </w:tc>
        <w:tc>
          <w:tcPr>
            <w:tcW w:w="149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300≤X＜1000</w:t>
            </w:r>
          </w:p>
        </w:tc>
        <w:tc>
          <w:tcPr>
            <w:tcW w:w="1763"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1000≤Y＜5000</w:t>
            </w:r>
          </w:p>
        </w:tc>
        <w:tc>
          <w:tcPr>
            <w:tcW w:w="166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45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100≤X＜300</w:t>
            </w:r>
          </w:p>
        </w:tc>
        <w:tc>
          <w:tcPr>
            <w:tcW w:w="1636"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500≤Y＜1000</w:t>
            </w:r>
          </w:p>
        </w:tc>
        <w:tc>
          <w:tcPr>
            <w:tcW w:w="152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28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X＜100</w:t>
            </w:r>
          </w:p>
        </w:tc>
        <w:tc>
          <w:tcPr>
            <w:tcW w:w="127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Y＜500</w:t>
            </w:r>
          </w:p>
        </w:tc>
        <w:tc>
          <w:tcPr>
            <w:tcW w:w="1221"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15、租赁和商务服务业</w:t>
            </w:r>
          </w:p>
        </w:tc>
        <w:tc>
          <w:tcPr>
            <w:tcW w:w="149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100≤X＜300</w:t>
            </w:r>
          </w:p>
        </w:tc>
        <w:tc>
          <w:tcPr>
            <w:tcW w:w="1763"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p>
        </w:tc>
        <w:tc>
          <w:tcPr>
            <w:tcW w:w="166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8000≤Z＜120000</w:t>
            </w:r>
          </w:p>
        </w:tc>
        <w:tc>
          <w:tcPr>
            <w:tcW w:w="1458"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10≤X＜100</w:t>
            </w:r>
          </w:p>
        </w:tc>
        <w:tc>
          <w:tcPr>
            <w:tcW w:w="1636"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p>
        </w:tc>
        <w:tc>
          <w:tcPr>
            <w:tcW w:w="1520"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100≤Z＜8000</w:t>
            </w:r>
          </w:p>
        </w:tc>
        <w:tc>
          <w:tcPr>
            <w:tcW w:w="128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X＜10</w:t>
            </w:r>
          </w:p>
        </w:tc>
        <w:tc>
          <w:tcPr>
            <w:tcW w:w="1275" w:type="dxa"/>
            <w:tcBorders>
              <w:top w:val="nil"/>
              <w:left w:val="nil"/>
              <w:bottom w:val="single" w:color="auto" w:sz="4"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p>
        </w:tc>
        <w:tc>
          <w:tcPr>
            <w:tcW w:w="1221" w:type="dxa"/>
            <w:tcBorders>
              <w:top w:val="nil"/>
              <w:left w:val="nil"/>
              <w:bottom w:val="single" w:color="auto" w:sz="4"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Z＜100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16、其他未列明行业</w:t>
            </w:r>
          </w:p>
        </w:tc>
        <w:tc>
          <w:tcPr>
            <w:tcW w:w="1498" w:type="dxa"/>
            <w:tcBorders>
              <w:top w:val="nil"/>
              <w:left w:val="nil"/>
              <w:bottom w:val="single" w:color="auto" w:sz="8"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100≤X＜300</w:t>
            </w:r>
          </w:p>
        </w:tc>
        <w:tc>
          <w:tcPr>
            <w:tcW w:w="1763" w:type="dxa"/>
            <w:tcBorders>
              <w:top w:val="nil"/>
              <w:left w:val="nil"/>
              <w:bottom w:val="single" w:color="auto" w:sz="8"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p>
        </w:tc>
        <w:tc>
          <w:tcPr>
            <w:tcW w:w="1660" w:type="dxa"/>
            <w:tcBorders>
              <w:top w:val="nil"/>
              <w:left w:val="nil"/>
              <w:bottom w:val="single" w:color="auto" w:sz="8"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458" w:type="dxa"/>
            <w:tcBorders>
              <w:top w:val="nil"/>
              <w:left w:val="nil"/>
              <w:bottom w:val="single" w:color="auto" w:sz="8"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10≤X＜100</w:t>
            </w:r>
          </w:p>
        </w:tc>
        <w:tc>
          <w:tcPr>
            <w:tcW w:w="1636" w:type="dxa"/>
            <w:tcBorders>
              <w:top w:val="nil"/>
              <w:left w:val="nil"/>
              <w:bottom w:val="single" w:color="auto" w:sz="8"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p>
        </w:tc>
        <w:tc>
          <w:tcPr>
            <w:tcW w:w="1520" w:type="dxa"/>
            <w:tcBorders>
              <w:top w:val="nil"/>
              <w:left w:val="nil"/>
              <w:bottom w:val="single" w:color="auto" w:sz="8"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c>
          <w:tcPr>
            <w:tcW w:w="1285" w:type="dxa"/>
            <w:tcBorders>
              <w:top w:val="nil"/>
              <w:left w:val="nil"/>
              <w:bottom w:val="single" w:color="auto" w:sz="8"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X＜10</w:t>
            </w:r>
          </w:p>
        </w:tc>
        <w:tc>
          <w:tcPr>
            <w:tcW w:w="1275" w:type="dxa"/>
            <w:tcBorders>
              <w:top w:val="nil"/>
              <w:left w:val="nil"/>
              <w:bottom w:val="single" w:color="auto" w:sz="8" w:space="0"/>
              <w:right w:val="single" w:color="auto" w:sz="4" w:space="0"/>
            </w:tcBorders>
            <w:noWrap w:val="0"/>
            <w:vAlign w:val="bottom"/>
          </w:tcPr>
          <w:p>
            <w:pPr>
              <w:widowControl/>
              <w:jc w:val="left"/>
              <w:rPr>
                <w:rFonts w:ascii="仿宋" w:hAnsi="仿宋" w:eastAsia="仿宋" w:cs="宋体"/>
                <w:color w:val="auto"/>
                <w:kern w:val="0"/>
                <w:sz w:val="20"/>
                <w:szCs w:val="20"/>
                <w:highlight w:val="none"/>
              </w:rPr>
            </w:pPr>
          </w:p>
        </w:tc>
        <w:tc>
          <w:tcPr>
            <w:tcW w:w="1221" w:type="dxa"/>
            <w:tcBorders>
              <w:top w:val="nil"/>
              <w:left w:val="nil"/>
              <w:bottom w:val="single" w:color="auto" w:sz="8" w:space="0"/>
              <w:right w:val="single" w:color="auto" w:sz="8" w:space="0"/>
            </w:tcBorders>
            <w:noWrap w:val="0"/>
            <w:vAlign w:val="bottom"/>
          </w:tcPr>
          <w:p>
            <w:pPr>
              <w:widowControl/>
              <w:jc w:val="left"/>
              <w:rPr>
                <w:rFonts w:ascii="仿宋" w:hAnsi="仿宋" w:eastAsia="仿宋" w:cs="宋体"/>
                <w:color w:val="auto"/>
                <w:kern w:val="0"/>
                <w:sz w:val="20"/>
                <w:szCs w:val="20"/>
                <w:highlight w:val="none"/>
              </w:rPr>
            </w:pPr>
          </w:p>
        </w:tc>
      </w:tr>
    </w:tbl>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说明：1、企业类型的划分以统计部门的统计数据为依据。</w:t>
      </w:r>
    </w:p>
    <w:p>
      <w:pPr>
        <w:widowControl/>
        <w:numPr>
          <w:ilvl w:val="0"/>
          <w:numId w:val="4"/>
        </w:numPr>
        <w:ind w:firstLine="600" w:firstLineChars="300"/>
        <w:jc w:val="left"/>
        <w:rPr>
          <w:rFonts w:hint="eastAsia" w:ascii="宋体" w:hAnsi="宋体" w:cs="宋体"/>
          <w:color w:val="auto"/>
          <w:kern w:val="0"/>
          <w:sz w:val="20"/>
          <w:highlight w:val="none"/>
        </w:rPr>
      </w:pPr>
      <w:r>
        <w:rPr>
          <w:rFonts w:hint="eastAsia" w:ascii="宋体" w:hAnsi="宋体" w:cs="宋体"/>
          <w:color w:val="auto"/>
          <w:kern w:val="0"/>
          <w:sz w:val="20"/>
          <w:highlight w:val="none"/>
        </w:rPr>
        <w:t>个体工商户和本规定以外的行业，参照本规定进行划型。</w:t>
      </w:r>
    </w:p>
    <w:p>
      <w:pPr>
        <w:widowControl/>
        <w:ind w:firstLine="600" w:firstLineChars="300"/>
        <w:jc w:val="left"/>
        <w:rPr>
          <w:rFonts w:ascii="宋体" w:hAnsi="宋体" w:cs="宋体"/>
          <w:color w:val="auto"/>
          <w:kern w:val="0"/>
          <w:sz w:val="20"/>
          <w:highlight w:val="none"/>
        </w:rPr>
      </w:pPr>
      <w:r>
        <w:rPr>
          <w:rFonts w:hint="eastAsia" w:ascii="宋体" w:hAnsi="宋体" w:cs="宋体"/>
          <w:color w:val="auto"/>
          <w:kern w:val="0"/>
          <w:sz w:val="20"/>
          <w:highlight w:val="none"/>
        </w:rPr>
        <w:t>3、本规定的中型企业标准上限即为大型企业标准的下限。</w:t>
      </w:r>
    </w:p>
    <w:p>
      <w:pPr>
        <w:pStyle w:val="25"/>
        <w:ind w:firstLine="560"/>
        <w:rPr>
          <w:rFonts w:hint="eastAsia"/>
          <w:color w:val="auto"/>
          <w:highlight w:val="none"/>
        </w:rPr>
        <w:sectPr>
          <w:footerReference r:id="rId5" w:type="first"/>
          <w:footerReference r:id="rId4" w:type="default"/>
          <w:pgSz w:w="16838" w:h="11906" w:orient="landscape"/>
          <w:pgMar w:top="1622" w:right="1418" w:bottom="1287" w:left="1134" w:header="624" w:footer="624" w:gutter="0"/>
          <w:cols w:space="720" w:num="1"/>
          <w:titlePg/>
          <w:docGrid w:linePitch="321" w:charSpace="0"/>
        </w:sectPr>
      </w:pPr>
    </w:p>
    <w:p>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残疾人福利性单位声明函</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olor w:val="auto"/>
          <w:sz w:val="24"/>
          <w:highlight w:val="none"/>
        </w:rPr>
      </w:pPr>
    </w:p>
    <w:p>
      <w:pPr>
        <w:spacing w:line="360" w:lineRule="auto"/>
        <w:ind w:firstLine="480" w:firstLineChars="200"/>
        <w:rPr>
          <w:rFonts w:hint="eastAsia" w:ascii="仿宋" w:hAnsi="仿宋" w:eastAsia="仿宋"/>
          <w:color w:val="auto"/>
          <w:sz w:val="24"/>
          <w:highlight w:val="none"/>
        </w:rPr>
      </w:pP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法定代表人（负责人）或其授权委托人（签名或印章）：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ind w:firstLine="643" w:firstLineChars="200"/>
        <w:jc w:val="left"/>
        <w:rPr>
          <w:rFonts w:hint="eastAsia" w:ascii="仿宋" w:hAnsi="仿宋" w:eastAsia="仿宋" w:cs="仿宋"/>
          <w:b/>
          <w:color w:val="auto"/>
          <w:sz w:val="32"/>
          <w:szCs w:val="32"/>
          <w:highlight w:val="none"/>
        </w:rPr>
      </w:pPr>
    </w:p>
    <w:p>
      <w:pPr>
        <w:pStyle w:val="25"/>
        <w:ind w:firstLine="560"/>
        <w:rPr>
          <w:rFonts w:hint="eastAsia"/>
          <w:color w:val="auto"/>
          <w:highlight w:val="none"/>
        </w:rPr>
      </w:pPr>
    </w:p>
    <w:p>
      <w:pPr>
        <w:pStyle w:val="25"/>
        <w:ind w:firstLine="560"/>
        <w:rPr>
          <w:rFonts w:hint="eastAsia"/>
          <w:color w:val="auto"/>
          <w:highlight w:val="none"/>
        </w:rPr>
      </w:pPr>
    </w:p>
    <w:p>
      <w:pPr>
        <w:pStyle w:val="25"/>
        <w:ind w:firstLine="560"/>
        <w:rPr>
          <w:rFonts w:hint="eastAsia"/>
          <w:color w:val="auto"/>
          <w:highlight w:val="none"/>
        </w:rPr>
      </w:pPr>
    </w:p>
    <w:p>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i/>
          <w:color w:val="auto"/>
          <w:kern w:val="0"/>
          <w:sz w:val="24"/>
          <w:highlight w:val="none"/>
          <w:u w:val="single"/>
        </w:rPr>
        <w:t>联合体所有成员名称</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lang w:eastAsia="zh-CN"/>
        </w:rPr>
        <w:t>奉化城区功能性照明设施维修养护管理服务项目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NBJX2022154G</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FHZFCG(2022)186D</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投标。</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w:t>
      </w:r>
      <w:r>
        <w:rPr>
          <w:rFonts w:hint="eastAsia" w:ascii="仿宋" w:hAnsi="仿宋" w:eastAsia="仿宋" w:cs="仿宋"/>
          <w:i/>
          <w:color w:val="auto"/>
          <w:kern w:val="0"/>
          <w:sz w:val="24"/>
          <w:highlight w:val="none"/>
          <w:u w:val="single"/>
        </w:rPr>
        <w:t>某联合体成员名称</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i/>
          <w:color w:val="auto"/>
          <w:kern w:val="0"/>
          <w:sz w:val="24"/>
          <w:highlight w:val="none"/>
          <w:u w:val="single"/>
        </w:rPr>
        <w:t>联合体其中一方成员名称</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i/>
          <w:color w:val="auto"/>
          <w:kern w:val="0"/>
          <w:sz w:val="24"/>
          <w:highlight w:val="none"/>
          <w:u w:val="single"/>
        </w:rPr>
        <w:t>联合体其中一方成员名称</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3240" w:firstLineChars="1350"/>
        <w:rPr>
          <w:rFonts w:hint="eastAsia" w:ascii="仿宋" w:hAnsi="仿宋" w:eastAsia="仿宋" w:cs="仿宋"/>
          <w:color w:val="auto"/>
          <w:kern w:val="0"/>
          <w:sz w:val="24"/>
          <w:highlight w:val="none"/>
          <w:lang w:val="zh-CN"/>
        </w:rPr>
      </w:pPr>
    </w:p>
    <w:p>
      <w:pPr>
        <w:snapToGrid w:val="0"/>
        <w:spacing w:line="360" w:lineRule="auto"/>
        <w:ind w:firstLine="3240" w:firstLineChars="1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3240" w:firstLineChars="1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3240" w:firstLineChars="1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jc w:val="center"/>
        <w:rPr>
          <w:rFonts w:hint="eastAsia" w:ascii="仿宋" w:hAnsi="仿宋" w:eastAsia="仿宋" w:cs="仿宋"/>
          <w:b/>
          <w:color w:val="auto"/>
          <w:kern w:val="0"/>
          <w:sz w:val="32"/>
          <w:szCs w:val="32"/>
          <w:highlight w:val="none"/>
          <w:lang w:val="zh-CN"/>
        </w:rPr>
      </w:pPr>
      <w:r>
        <w:rPr>
          <w:rFonts w:ascii="仿宋" w:hAnsi="仿宋" w:eastAsia="仿宋" w:cs="仿宋"/>
          <w:b/>
          <w:color w:val="auto"/>
          <w:sz w:val="24"/>
          <w:highlight w:val="none"/>
        </w:rPr>
        <w:br w:type="page"/>
      </w:r>
      <w:r>
        <w:rPr>
          <w:rFonts w:hint="eastAsia" w:ascii="仿宋" w:hAnsi="仿宋" w:eastAsia="仿宋" w:cs="仿宋"/>
          <w:b/>
          <w:color w:val="auto"/>
          <w:kern w:val="0"/>
          <w:sz w:val="32"/>
          <w:szCs w:val="32"/>
          <w:highlight w:val="none"/>
          <w:lang w:val="zh-CN"/>
        </w:rPr>
        <w:t>分包意向协议</w:t>
      </w:r>
    </w:p>
    <w:p>
      <w:pPr>
        <w:widowControl/>
        <w:spacing w:line="360" w:lineRule="auto"/>
        <w:ind w:firstLine="120" w:firstLineChar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i/>
          <w:color w:val="auto"/>
          <w:kern w:val="0"/>
          <w:sz w:val="24"/>
          <w:highlight w:val="none"/>
          <w:u w:val="single"/>
        </w:rPr>
        <w:t>投标人名称</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lang w:eastAsia="zh-CN"/>
        </w:rPr>
        <w:t>奉化城区功能性照明设施维修养护管理服务项目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NBJX2022154G</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FHZFCG(2022)186D</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w:t>
      </w:r>
      <w:r>
        <w:rPr>
          <w:rFonts w:hint="eastAsia" w:ascii="仿宋" w:hAnsi="仿宋" w:eastAsia="仿宋" w:cs="仿宋"/>
          <w:i/>
          <w:color w:val="auto"/>
          <w:kern w:val="0"/>
          <w:sz w:val="24"/>
          <w:highlight w:val="none"/>
          <w:u w:val="single"/>
        </w:rPr>
        <w:t>投标人名称</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w:t>
      </w:r>
      <w:r>
        <w:rPr>
          <w:rFonts w:hint="eastAsia" w:ascii="仿宋" w:hAnsi="仿宋" w:eastAsia="仿宋" w:cs="仿宋"/>
          <w:i/>
          <w:color w:val="auto"/>
          <w:kern w:val="0"/>
          <w:sz w:val="24"/>
          <w:highlight w:val="none"/>
          <w:u w:val="single"/>
        </w:rPr>
        <w:t>所有分包供应商名称</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i/>
          <w:color w:val="auto"/>
          <w:kern w:val="0"/>
          <w:sz w:val="24"/>
          <w:highlight w:val="none"/>
          <w:u w:val="single"/>
        </w:rPr>
        <w:t>投标人名称</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w:t>
      </w:r>
      <w:r>
        <w:rPr>
          <w:rFonts w:hint="eastAsia" w:ascii="仿宋" w:hAnsi="仿宋" w:eastAsia="仿宋" w:cs="仿宋"/>
          <w:i/>
          <w:color w:val="auto"/>
          <w:kern w:val="0"/>
          <w:sz w:val="24"/>
          <w:highlight w:val="none"/>
          <w:u w:val="single"/>
        </w:rPr>
        <w:t>某分包供应商名称</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w:t>
      </w:r>
      <w:r>
        <w:rPr>
          <w:rFonts w:hint="eastAsia" w:ascii="仿宋" w:hAnsi="仿宋" w:eastAsia="仿宋" w:cs="仿宋"/>
          <w:i/>
          <w:color w:val="auto"/>
          <w:kern w:val="0"/>
          <w:sz w:val="24"/>
          <w:highlight w:val="none"/>
          <w:u w:val="single"/>
        </w:rPr>
        <w:t>某分包供应商名称</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kern w:val="0"/>
          <w:sz w:val="24"/>
          <w:highlight w:val="none"/>
          <w:lang w:val="zh-CN"/>
        </w:rPr>
        <w:t>相应资质条件且不得再次分包；</w:t>
      </w:r>
    </w:p>
    <w:p>
      <w:pPr>
        <w:tabs>
          <w:tab w:val="left" w:pos="432"/>
        </w:tabs>
        <w:spacing w:line="360" w:lineRule="auto"/>
        <w:ind w:left="664" w:leftChars="316" w:firstLine="228" w:firstLineChars="95"/>
        <w:rPr>
          <w:rFonts w:hint="eastAsia" w:ascii="仿宋" w:hAnsi="仿宋" w:eastAsia="仿宋" w:cs="仿宋"/>
          <w:color w:val="auto"/>
          <w:highlight w:val="none"/>
        </w:rPr>
      </w:pPr>
      <w:r>
        <w:rPr>
          <w:rFonts w:hint="eastAsia" w:ascii="仿宋" w:hAnsi="仿宋" w:eastAsia="仿宋" w:cs="仿宋"/>
          <w:color w:val="auto"/>
          <w:kern w:val="0"/>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pStyle w:val="25"/>
        <w:ind w:firstLine="560"/>
        <w:rPr>
          <w:rFonts w:hint="eastAsia"/>
          <w:color w:val="auto"/>
          <w:highlight w:val="none"/>
          <w:lang w:val="zh-CN"/>
        </w:rPr>
      </w:pPr>
    </w:p>
    <w:p>
      <w:pPr>
        <w:pStyle w:val="25"/>
        <w:ind w:firstLine="560"/>
        <w:rPr>
          <w:rFonts w:hint="eastAsia"/>
          <w:color w:val="auto"/>
          <w:highlight w:val="none"/>
          <w:lang w:val="zh-CN"/>
        </w:rPr>
      </w:pPr>
    </w:p>
    <w:p>
      <w:pPr>
        <w:snapToGrid w:val="0"/>
        <w:spacing w:line="360" w:lineRule="auto"/>
        <w:ind w:left="5880" w:leftChars="28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snapToGrid w:val="0"/>
        <w:spacing w:line="360" w:lineRule="auto"/>
        <w:ind w:left="5880" w:leftChars="28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left="5880" w:leftChars="28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ind w:left="5880" w:leftChars="2800"/>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日期：  年  月   日</w:t>
      </w: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pStyle w:val="25"/>
        <w:ind w:firstLine="560"/>
        <w:rPr>
          <w:rFonts w:hint="eastAsia"/>
          <w:color w:val="auto"/>
          <w:highlight w:val="none"/>
        </w:rPr>
      </w:pPr>
    </w:p>
    <w:p>
      <w:pPr>
        <w:pStyle w:val="25"/>
        <w:ind w:firstLine="560"/>
        <w:rPr>
          <w:rFonts w:hint="eastAsia"/>
          <w:color w:val="auto"/>
          <w:highlight w:val="none"/>
        </w:rPr>
      </w:pPr>
    </w:p>
    <w:p>
      <w:pPr>
        <w:pStyle w:val="25"/>
        <w:ind w:firstLine="560"/>
        <w:rPr>
          <w:rFonts w:hint="eastAsia"/>
          <w:color w:val="auto"/>
          <w:highlight w:val="none"/>
        </w:rPr>
      </w:pPr>
    </w:p>
    <w:p>
      <w:pPr>
        <w:pStyle w:val="25"/>
        <w:ind w:firstLine="560"/>
        <w:rPr>
          <w:rFonts w:hint="eastAsia"/>
          <w:color w:val="auto"/>
          <w:highlight w:val="none"/>
        </w:rPr>
      </w:pPr>
    </w:p>
    <w:p>
      <w:pPr>
        <w:pStyle w:val="25"/>
        <w:ind w:firstLine="560"/>
        <w:rPr>
          <w:rFonts w:hint="eastAsia"/>
          <w:color w:val="auto"/>
          <w:highlight w:val="none"/>
        </w:rPr>
      </w:pPr>
    </w:p>
    <w:p>
      <w:pPr>
        <w:pStyle w:val="25"/>
        <w:ind w:firstLine="560"/>
        <w:rPr>
          <w:rFonts w:hint="eastAsia"/>
          <w:color w:val="auto"/>
          <w:highlight w:val="none"/>
        </w:rPr>
      </w:pP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ascii="仿宋" w:hAnsi="仿宋" w:eastAsia="仿宋" w:cs="仿宋"/>
          <w:b/>
          <w:color w:val="auto"/>
          <w:kern w:val="0"/>
          <w:sz w:val="36"/>
          <w:szCs w:val="36"/>
          <w:highlight w:val="none"/>
        </w:rPr>
        <w:br w:type="page"/>
      </w:r>
      <w:r>
        <w:rPr>
          <w:rFonts w:hint="eastAsia" w:ascii="仿宋" w:hAnsi="仿宋" w:eastAsia="仿宋" w:cs="仿宋"/>
          <w:b/>
          <w:color w:val="auto"/>
          <w:sz w:val="32"/>
          <w:szCs w:val="20"/>
          <w:highlight w:val="none"/>
        </w:rPr>
        <w:t>商务技术文件部分</w:t>
      </w: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目 录</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1.符合性自查表；</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2.投标函；</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3.授权委托书或法定代表人（单位负责人、自然人本人）身份证明；</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4.供应商情况表；</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5.距采购人最近或者能为本项目提供最优服务的网点情况表；</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6.评标标准相应的商务技术资料；</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7.商务</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表；</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8.技术</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表；</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9.同类业绩情况一览表；</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10.政府采购供应商廉洁自律承诺书；</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11.其他资料。</w:t>
      </w:r>
    </w:p>
    <w:p>
      <w:pPr>
        <w:numPr>
          <w:ilvl w:val="0"/>
          <w:numId w:val="5"/>
        </w:num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符合性自查表</w:t>
      </w:r>
    </w:p>
    <w:tbl>
      <w:tblPr>
        <w:tblStyle w:val="14"/>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379"/>
        <w:gridCol w:w="2354"/>
        <w:gridCol w:w="1185"/>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blHeader/>
          <w:jc w:val="center"/>
        </w:trPr>
        <w:tc>
          <w:tcPr>
            <w:tcW w:w="707" w:type="dxa"/>
            <w:noWrap w:val="0"/>
            <w:vAlign w:val="center"/>
          </w:tcPr>
          <w:p>
            <w:pPr>
              <w:spacing w:line="400" w:lineRule="exact"/>
              <w:jc w:val="center"/>
              <w:rPr>
                <w:rFonts w:hint="eastAsia" w:ascii="仿宋" w:hAnsi="仿宋" w:eastAsia="仿宋"/>
                <w:b/>
                <w:color w:val="auto"/>
                <w:szCs w:val="21"/>
                <w:highlight w:val="none"/>
              </w:rPr>
            </w:pPr>
            <w:r>
              <w:rPr>
                <w:rFonts w:hint="eastAsia" w:ascii="仿宋" w:hAnsi="仿宋" w:eastAsia="仿宋"/>
                <w:b/>
                <w:color w:val="auto"/>
                <w:szCs w:val="21"/>
                <w:highlight w:val="none"/>
              </w:rPr>
              <w:t>序号</w:t>
            </w:r>
          </w:p>
        </w:tc>
        <w:tc>
          <w:tcPr>
            <w:tcW w:w="4379" w:type="dxa"/>
            <w:noWrap w:val="0"/>
            <w:vAlign w:val="center"/>
          </w:tcPr>
          <w:p>
            <w:pPr>
              <w:spacing w:line="400" w:lineRule="exact"/>
              <w:jc w:val="center"/>
              <w:rPr>
                <w:rFonts w:hint="eastAsia" w:ascii="仿宋" w:hAnsi="仿宋" w:eastAsia="仿宋"/>
                <w:b/>
                <w:color w:val="auto"/>
                <w:szCs w:val="21"/>
                <w:highlight w:val="none"/>
              </w:rPr>
            </w:pPr>
            <w:r>
              <w:rPr>
                <w:rFonts w:hint="eastAsia" w:ascii="仿宋" w:hAnsi="仿宋" w:eastAsia="仿宋"/>
                <w:b/>
                <w:color w:val="auto"/>
                <w:szCs w:val="21"/>
                <w:highlight w:val="none"/>
              </w:rPr>
              <w:t>实质性要求</w:t>
            </w:r>
          </w:p>
        </w:tc>
        <w:tc>
          <w:tcPr>
            <w:tcW w:w="2354" w:type="dxa"/>
            <w:noWrap w:val="0"/>
            <w:vAlign w:val="center"/>
          </w:tcPr>
          <w:p>
            <w:pPr>
              <w:spacing w:line="400" w:lineRule="exact"/>
              <w:jc w:val="center"/>
              <w:rPr>
                <w:rFonts w:hint="eastAsia" w:ascii="仿宋" w:hAnsi="仿宋" w:eastAsia="仿宋"/>
                <w:b/>
                <w:color w:val="auto"/>
                <w:szCs w:val="21"/>
                <w:highlight w:val="none"/>
              </w:rPr>
            </w:pPr>
            <w:r>
              <w:rPr>
                <w:rFonts w:hint="eastAsia" w:ascii="仿宋" w:hAnsi="仿宋" w:eastAsia="仿宋"/>
                <w:b/>
                <w:color w:val="auto"/>
                <w:szCs w:val="21"/>
                <w:highlight w:val="none"/>
              </w:rPr>
              <w:t>需要提供的符合性审查资料</w:t>
            </w:r>
          </w:p>
        </w:tc>
        <w:tc>
          <w:tcPr>
            <w:tcW w:w="1185" w:type="dxa"/>
            <w:noWrap w:val="0"/>
            <w:vAlign w:val="center"/>
          </w:tcPr>
          <w:p>
            <w:pPr>
              <w:spacing w:line="400" w:lineRule="exact"/>
              <w:jc w:val="center"/>
              <w:rPr>
                <w:rFonts w:hint="eastAsia" w:ascii="仿宋" w:hAnsi="仿宋" w:eastAsia="仿宋"/>
                <w:b/>
                <w:color w:val="auto"/>
                <w:szCs w:val="21"/>
                <w:highlight w:val="none"/>
              </w:rPr>
            </w:pPr>
            <w:r>
              <w:rPr>
                <w:rFonts w:hint="eastAsia" w:ascii="仿宋" w:hAnsi="仿宋" w:eastAsia="仿宋"/>
                <w:b/>
                <w:color w:val="auto"/>
                <w:szCs w:val="21"/>
                <w:highlight w:val="none"/>
              </w:rPr>
              <w:t>自查结论</w:t>
            </w:r>
          </w:p>
        </w:tc>
        <w:tc>
          <w:tcPr>
            <w:tcW w:w="1607" w:type="dxa"/>
            <w:noWrap w:val="0"/>
            <w:vAlign w:val="center"/>
          </w:tcPr>
          <w:p>
            <w:pPr>
              <w:spacing w:line="400" w:lineRule="exact"/>
              <w:jc w:val="center"/>
              <w:rPr>
                <w:rFonts w:hint="eastAsia" w:ascii="仿宋" w:hAnsi="仿宋" w:eastAsia="仿宋"/>
                <w:b/>
                <w:color w:val="auto"/>
                <w:szCs w:val="21"/>
                <w:highlight w:val="none"/>
              </w:rPr>
            </w:pPr>
            <w:r>
              <w:rPr>
                <w:rFonts w:hint="eastAsia" w:ascii="仿宋" w:hAnsi="仿宋" w:eastAsia="仿宋"/>
                <w:b/>
                <w:color w:val="auto"/>
                <w:szCs w:val="21"/>
                <w:highlight w:val="none"/>
              </w:rPr>
              <w:t>投标文件中的</w:t>
            </w:r>
          </w:p>
          <w:p>
            <w:pPr>
              <w:spacing w:line="400" w:lineRule="exact"/>
              <w:jc w:val="center"/>
              <w:rPr>
                <w:rFonts w:hint="eastAsia" w:ascii="仿宋" w:hAnsi="仿宋" w:eastAsia="仿宋"/>
                <w:b/>
                <w:color w:val="auto"/>
                <w:szCs w:val="21"/>
                <w:highlight w:val="none"/>
              </w:rPr>
            </w:pPr>
            <w:r>
              <w:rPr>
                <w:rFonts w:hint="eastAsia" w:ascii="仿宋" w:hAnsi="仿宋" w:eastAsia="仿宋"/>
                <w:b/>
                <w:color w:val="auto"/>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1</w:t>
            </w:r>
          </w:p>
        </w:tc>
        <w:tc>
          <w:tcPr>
            <w:tcW w:w="4379"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投标文件按照招标文件要求签署、盖章。</w:t>
            </w:r>
          </w:p>
        </w:tc>
        <w:tc>
          <w:tcPr>
            <w:tcW w:w="2354"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需要使用电子签名或者签字盖章的投标文件的组成部分</w:t>
            </w:r>
          </w:p>
        </w:tc>
        <w:tc>
          <w:tcPr>
            <w:tcW w:w="1185"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□通过</w:t>
            </w:r>
          </w:p>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□不通过</w:t>
            </w:r>
          </w:p>
        </w:tc>
        <w:tc>
          <w:tcPr>
            <w:tcW w:w="1607" w:type="dxa"/>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见投标文件</w:t>
            </w:r>
          </w:p>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第</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2</w:t>
            </w:r>
          </w:p>
        </w:tc>
        <w:tc>
          <w:tcPr>
            <w:tcW w:w="4379"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投标文件中承诺的投标有效期不少于招标文件中载明的投标有效期。</w:t>
            </w:r>
          </w:p>
        </w:tc>
        <w:tc>
          <w:tcPr>
            <w:tcW w:w="2354"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投标函</w:t>
            </w:r>
          </w:p>
        </w:tc>
        <w:tc>
          <w:tcPr>
            <w:tcW w:w="1185"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□通过</w:t>
            </w:r>
          </w:p>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□不通过</w:t>
            </w:r>
          </w:p>
        </w:tc>
        <w:tc>
          <w:tcPr>
            <w:tcW w:w="1607" w:type="dxa"/>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见投标文件</w:t>
            </w:r>
          </w:p>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第</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3</w:t>
            </w:r>
          </w:p>
        </w:tc>
        <w:tc>
          <w:tcPr>
            <w:tcW w:w="4379"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投标文件满足招标文件的其它实质性要求。</w:t>
            </w:r>
          </w:p>
        </w:tc>
        <w:tc>
          <w:tcPr>
            <w:tcW w:w="2354"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招标文件其它实质性要求相应的材料（“▲”系指实质性要求条款，招标文件无其它实质性要求的，无需提供）</w:t>
            </w:r>
          </w:p>
        </w:tc>
        <w:tc>
          <w:tcPr>
            <w:tcW w:w="1185"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□通过</w:t>
            </w:r>
          </w:p>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□不通过</w:t>
            </w:r>
          </w:p>
        </w:tc>
        <w:tc>
          <w:tcPr>
            <w:tcW w:w="1607" w:type="dxa"/>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见投标文件</w:t>
            </w:r>
          </w:p>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第</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707" w:type="dxa"/>
            <w:noWrap w:val="0"/>
            <w:vAlign w:val="center"/>
          </w:tcPr>
          <w:p>
            <w:pPr>
              <w:spacing w:line="400" w:lineRule="exact"/>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3.1</w:t>
            </w:r>
          </w:p>
        </w:tc>
        <w:tc>
          <w:tcPr>
            <w:tcW w:w="4379" w:type="dxa"/>
            <w:noWrap w:val="0"/>
            <w:vAlign w:val="center"/>
          </w:tcPr>
          <w:p>
            <w:pPr>
              <w:spacing w:line="400" w:lineRule="exact"/>
              <w:jc w:val="lef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lang w:val="en-US" w:eastAsia="zh-CN"/>
              </w:rPr>
              <w:t>结算原</w:t>
            </w:r>
            <w:r>
              <w:rPr>
                <w:rFonts w:hint="eastAsia" w:ascii="仿宋" w:hAnsi="仿宋" w:eastAsia="仿宋" w:cs="Times New Roman"/>
                <w:color w:val="auto"/>
                <w:szCs w:val="21"/>
                <w:highlight w:val="none"/>
                <w:lang w:val="en-US" w:eastAsia="zh-CN"/>
              </w:rPr>
              <w:t>则：若最终普查数量超过上表总数量9972柱（套）的，按照上表总数量9972柱（套）的中标金额进行结算。若最终普查数量未达到上表总数量9972柱（套）的，按照中标综合单价结合最终普查数量，按实结算。</w:t>
            </w:r>
          </w:p>
        </w:tc>
        <w:tc>
          <w:tcPr>
            <w:tcW w:w="2354"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s="Times New Roman"/>
                <w:color w:val="auto"/>
                <w:szCs w:val="21"/>
                <w:highlight w:val="none"/>
              </w:rPr>
              <w:t>投标文件中须提供相关承诺书</w:t>
            </w:r>
          </w:p>
        </w:tc>
        <w:tc>
          <w:tcPr>
            <w:tcW w:w="1185"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□通过</w:t>
            </w:r>
          </w:p>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□不通过</w:t>
            </w:r>
          </w:p>
        </w:tc>
        <w:tc>
          <w:tcPr>
            <w:tcW w:w="1607" w:type="dxa"/>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见投标文件</w:t>
            </w:r>
          </w:p>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第</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07" w:type="dxa"/>
            <w:noWrap w:val="0"/>
            <w:vAlign w:val="center"/>
          </w:tcPr>
          <w:p>
            <w:pPr>
              <w:spacing w:line="400" w:lineRule="exact"/>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3.2</w:t>
            </w:r>
          </w:p>
        </w:tc>
        <w:tc>
          <w:tcPr>
            <w:tcW w:w="4379" w:type="dxa"/>
            <w:noWrap w:val="0"/>
            <w:vAlign w:val="center"/>
          </w:tcPr>
          <w:p>
            <w:pPr>
              <w:spacing w:line="400" w:lineRule="exact"/>
              <w:jc w:val="lef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lang w:val="en-US" w:eastAsia="zh-CN"/>
              </w:rPr>
              <w:t>清洁工作、亮灯率要求：对灯具设施、设备的清洁工作要求每季度不少于1次；亮灯率确保达到99%及以上。</w:t>
            </w:r>
          </w:p>
        </w:tc>
        <w:tc>
          <w:tcPr>
            <w:tcW w:w="2354" w:type="dxa"/>
            <w:noWrap w:val="0"/>
            <w:vAlign w:val="center"/>
          </w:tcPr>
          <w:p>
            <w:pPr>
              <w:spacing w:line="400" w:lineRule="exact"/>
              <w:jc w:val="lef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投标文件中须提供相关承诺书</w:t>
            </w:r>
          </w:p>
        </w:tc>
        <w:tc>
          <w:tcPr>
            <w:tcW w:w="1185"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□通过</w:t>
            </w:r>
          </w:p>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□不通过</w:t>
            </w:r>
          </w:p>
        </w:tc>
        <w:tc>
          <w:tcPr>
            <w:tcW w:w="1607" w:type="dxa"/>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见投标文件</w:t>
            </w:r>
          </w:p>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第</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707" w:type="dxa"/>
            <w:noWrap w:val="0"/>
            <w:vAlign w:val="center"/>
          </w:tcPr>
          <w:p>
            <w:pPr>
              <w:spacing w:line="400" w:lineRule="exact"/>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3.3</w:t>
            </w:r>
          </w:p>
        </w:tc>
        <w:tc>
          <w:tcPr>
            <w:tcW w:w="4379" w:type="dxa"/>
            <w:noWrap w:val="0"/>
            <w:vAlign w:val="center"/>
          </w:tcPr>
          <w:p>
            <w:pPr>
              <w:spacing w:line="400" w:lineRule="exact"/>
              <w:jc w:val="lef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lang w:val="en-US" w:eastAsia="zh-CN"/>
              </w:rPr>
              <w:t>如所养护的设施、设备发生人为原因减小或损毁的（非偷盗），由中标人自主处理理赔事宜，并按规定及时补齐或修复，所需费用由中标人承担。如</w:t>
            </w:r>
            <w:r>
              <w:rPr>
                <w:rFonts w:hint="eastAsia" w:ascii="仿宋" w:hAnsi="仿宋" w:eastAsia="仿宋" w:cs="Times New Roman"/>
                <w:color w:val="auto"/>
                <w:szCs w:val="21"/>
                <w:highlight w:val="none"/>
                <w:lang w:val="en-US" w:eastAsia="zh-CN"/>
              </w:rPr>
              <w:t>发生不可抗力或自然灾害所引起的设施缺损，经双方协商后确认费用承担方案。路灯专用变压器、路灯控制箱等设施设备损坏由供应商负责（除重大自然灾害外由业主负责）。</w:t>
            </w:r>
          </w:p>
        </w:tc>
        <w:tc>
          <w:tcPr>
            <w:tcW w:w="2354" w:type="dxa"/>
            <w:noWrap w:val="0"/>
            <w:vAlign w:val="center"/>
          </w:tcPr>
          <w:p>
            <w:pPr>
              <w:spacing w:line="400" w:lineRule="exact"/>
              <w:jc w:val="left"/>
              <w:rPr>
                <w:rFonts w:hint="eastAsia" w:ascii="仿宋" w:hAnsi="仿宋" w:eastAsia="仿宋"/>
                <w:color w:val="auto"/>
                <w:kern w:val="2"/>
                <w:sz w:val="21"/>
                <w:szCs w:val="21"/>
                <w:highlight w:val="none"/>
                <w:lang w:val="en-US" w:eastAsia="zh-CN" w:bidi="ar-SA"/>
              </w:rPr>
            </w:pPr>
            <w:r>
              <w:rPr>
                <w:rFonts w:hint="eastAsia" w:ascii="仿宋" w:hAnsi="仿宋" w:eastAsia="仿宋" w:cs="Times New Roman"/>
                <w:color w:val="auto"/>
                <w:szCs w:val="21"/>
                <w:highlight w:val="none"/>
              </w:rPr>
              <w:t>投标文件中须提供相关承诺书</w:t>
            </w:r>
          </w:p>
        </w:tc>
        <w:tc>
          <w:tcPr>
            <w:tcW w:w="1185"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□通过</w:t>
            </w:r>
          </w:p>
          <w:p>
            <w:pPr>
              <w:spacing w:line="400" w:lineRule="exact"/>
              <w:jc w:val="left"/>
              <w:rPr>
                <w:rFonts w:hint="eastAsia" w:ascii="仿宋" w:hAnsi="仿宋" w:eastAsia="仿宋"/>
                <w:color w:val="auto"/>
                <w:kern w:val="2"/>
                <w:sz w:val="21"/>
                <w:szCs w:val="21"/>
                <w:highlight w:val="none"/>
                <w:lang w:val="en-US" w:eastAsia="zh-CN" w:bidi="ar-SA"/>
              </w:rPr>
            </w:pPr>
            <w:r>
              <w:rPr>
                <w:rFonts w:hint="eastAsia" w:ascii="仿宋" w:hAnsi="仿宋" w:eastAsia="仿宋"/>
                <w:color w:val="auto"/>
                <w:szCs w:val="21"/>
                <w:highlight w:val="none"/>
              </w:rPr>
              <w:t>□不通过</w:t>
            </w:r>
          </w:p>
        </w:tc>
        <w:tc>
          <w:tcPr>
            <w:tcW w:w="1607" w:type="dxa"/>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见投标文件</w:t>
            </w:r>
          </w:p>
          <w:p>
            <w:pPr>
              <w:spacing w:line="400" w:lineRule="exact"/>
              <w:jc w:val="center"/>
              <w:rPr>
                <w:rFonts w:hint="eastAsia" w:ascii="仿宋" w:hAnsi="仿宋" w:eastAsia="仿宋"/>
                <w:color w:val="auto"/>
                <w:kern w:val="2"/>
                <w:sz w:val="21"/>
                <w:szCs w:val="21"/>
                <w:highlight w:val="none"/>
                <w:lang w:val="en-US" w:eastAsia="zh-CN" w:bidi="ar-SA"/>
              </w:rPr>
            </w:pPr>
            <w:r>
              <w:rPr>
                <w:rFonts w:hint="eastAsia" w:ascii="仿宋" w:hAnsi="仿宋" w:eastAsia="仿宋"/>
                <w:color w:val="auto"/>
                <w:szCs w:val="21"/>
                <w:highlight w:val="none"/>
              </w:rPr>
              <w:t>第</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07" w:type="dxa"/>
            <w:noWrap w:val="0"/>
            <w:vAlign w:val="center"/>
          </w:tcPr>
          <w:p>
            <w:pPr>
              <w:spacing w:line="400" w:lineRule="exact"/>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3.4</w:t>
            </w:r>
          </w:p>
        </w:tc>
        <w:tc>
          <w:tcPr>
            <w:tcW w:w="4379" w:type="dxa"/>
            <w:noWrap w:val="0"/>
            <w:vAlign w:val="center"/>
          </w:tcPr>
          <w:p>
            <w:pPr>
              <w:spacing w:line="400" w:lineRule="exact"/>
              <w:jc w:val="left"/>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lang w:val="en-US" w:eastAsia="zh-CN"/>
              </w:rPr>
              <w:t>若发生电缆等设施设备故障、偷盗等情况，维修费用全部由中标人承担。若发生不可抗力的破坏（如台风、地震等自然灾害）维修费用由业主承担。</w:t>
            </w:r>
          </w:p>
        </w:tc>
        <w:tc>
          <w:tcPr>
            <w:tcW w:w="2354" w:type="dxa"/>
            <w:noWrap w:val="0"/>
            <w:vAlign w:val="center"/>
          </w:tcPr>
          <w:p>
            <w:pPr>
              <w:spacing w:line="400" w:lineRule="exact"/>
              <w:jc w:val="left"/>
              <w:rPr>
                <w:rFonts w:hint="eastAsia" w:ascii="仿宋" w:hAnsi="仿宋" w:eastAsia="仿宋"/>
                <w:color w:val="auto"/>
                <w:kern w:val="2"/>
                <w:sz w:val="21"/>
                <w:szCs w:val="21"/>
                <w:highlight w:val="none"/>
                <w:lang w:val="en-US" w:eastAsia="zh-CN" w:bidi="ar-SA"/>
              </w:rPr>
            </w:pPr>
            <w:r>
              <w:rPr>
                <w:rFonts w:hint="eastAsia" w:ascii="仿宋" w:hAnsi="仿宋" w:eastAsia="仿宋" w:cs="Times New Roman"/>
                <w:color w:val="auto"/>
                <w:szCs w:val="21"/>
                <w:highlight w:val="none"/>
              </w:rPr>
              <w:t>投标文件中须提供相关承诺书</w:t>
            </w:r>
          </w:p>
        </w:tc>
        <w:tc>
          <w:tcPr>
            <w:tcW w:w="1185"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□通过</w:t>
            </w:r>
          </w:p>
          <w:p>
            <w:pPr>
              <w:spacing w:line="400" w:lineRule="exact"/>
              <w:jc w:val="left"/>
              <w:rPr>
                <w:rFonts w:hint="eastAsia" w:ascii="仿宋" w:hAnsi="仿宋" w:eastAsia="仿宋"/>
                <w:color w:val="auto"/>
                <w:kern w:val="2"/>
                <w:sz w:val="21"/>
                <w:szCs w:val="21"/>
                <w:highlight w:val="none"/>
                <w:lang w:val="en-US" w:eastAsia="zh-CN" w:bidi="ar-SA"/>
              </w:rPr>
            </w:pPr>
            <w:r>
              <w:rPr>
                <w:rFonts w:hint="eastAsia" w:ascii="仿宋" w:hAnsi="仿宋" w:eastAsia="仿宋"/>
                <w:color w:val="auto"/>
                <w:szCs w:val="21"/>
                <w:highlight w:val="none"/>
              </w:rPr>
              <w:t>□不通过</w:t>
            </w:r>
          </w:p>
        </w:tc>
        <w:tc>
          <w:tcPr>
            <w:tcW w:w="1607" w:type="dxa"/>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见投标文件</w:t>
            </w:r>
          </w:p>
          <w:p>
            <w:pPr>
              <w:spacing w:line="400" w:lineRule="exact"/>
              <w:jc w:val="center"/>
              <w:rPr>
                <w:rFonts w:hint="eastAsia" w:ascii="仿宋" w:hAnsi="仿宋" w:eastAsia="仿宋"/>
                <w:color w:val="auto"/>
                <w:kern w:val="2"/>
                <w:sz w:val="21"/>
                <w:szCs w:val="21"/>
                <w:highlight w:val="none"/>
                <w:lang w:val="en-US" w:eastAsia="zh-CN" w:bidi="ar-SA"/>
              </w:rPr>
            </w:pPr>
            <w:r>
              <w:rPr>
                <w:rFonts w:hint="eastAsia" w:ascii="仿宋" w:hAnsi="仿宋" w:eastAsia="仿宋"/>
                <w:color w:val="auto"/>
                <w:szCs w:val="21"/>
                <w:highlight w:val="none"/>
              </w:rPr>
              <w:t>第</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7" w:type="dxa"/>
            <w:noWrap w:val="0"/>
            <w:vAlign w:val="center"/>
          </w:tcPr>
          <w:p>
            <w:pPr>
              <w:spacing w:line="400" w:lineRule="exact"/>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3.5</w:t>
            </w:r>
          </w:p>
        </w:tc>
        <w:tc>
          <w:tcPr>
            <w:tcW w:w="4379" w:type="dxa"/>
            <w:noWrap w:val="0"/>
            <w:vAlign w:val="center"/>
          </w:tcPr>
          <w:p>
            <w:pPr>
              <w:spacing w:line="400" w:lineRule="exact"/>
              <w:jc w:val="lef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lang w:val="en-US" w:eastAsia="zh-CN"/>
              </w:rPr>
              <w:t>若发生需更换整灯头情况时（除重大自然灾害外由业主负责），包</w:t>
            </w:r>
            <w:r>
              <w:rPr>
                <w:rFonts w:hint="eastAsia" w:ascii="仿宋" w:hAnsi="仿宋" w:eastAsia="仿宋" w:cs="Times New Roman"/>
                <w:color w:val="auto"/>
                <w:szCs w:val="21"/>
                <w:highlight w:val="none"/>
                <w:lang w:val="en-US" w:eastAsia="zh-CN"/>
              </w:rPr>
              <w:t>括但不限于应业主要求、应市民要求且查实需更换的、交通事故等其他所有情况，所产生的材料、人工等全部费用由中标人承担，且更换的整灯头必须与原道路上的照明灯头一模一样。</w:t>
            </w:r>
          </w:p>
        </w:tc>
        <w:tc>
          <w:tcPr>
            <w:tcW w:w="2354" w:type="dxa"/>
            <w:noWrap w:val="0"/>
            <w:vAlign w:val="center"/>
          </w:tcPr>
          <w:p>
            <w:pPr>
              <w:spacing w:line="400" w:lineRule="exact"/>
              <w:jc w:val="left"/>
              <w:rPr>
                <w:rFonts w:hint="eastAsia" w:ascii="仿宋" w:hAnsi="仿宋" w:eastAsia="仿宋"/>
                <w:color w:val="auto"/>
                <w:kern w:val="2"/>
                <w:sz w:val="21"/>
                <w:szCs w:val="21"/>
                <w:highlight w:val="none"/>
                <w:lang w:val="en-US" w:eastAsia="zh-CN" w:bidi="ar-SA"/>
              </w:rPr>
            </w:pPr>
            <w:r>
              <w:rPr>
                <w:rFonts w:hint="eastAsia" w:ascii="仿宋" w:hAnsi="仿宋" w:eastAsia="仿宋" w:cs="Times New Roman"/>
                <w:color w:val="auto"/>
                <w:szCs w:val="21"/>
                <w:highlight w:val="none"/>
              </w:rPr>
              <w:t>投标文件中须提供相关承诺书</w:t>
            </w:r>
          </w:p>
        </w:tc>
        <w:tc>
          <w:tcPr>
            <w:tcW w:w="1185"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□通过</w:t>
            </w:r>
          </w:p>
          <w:p>
            <w:pPr>
              <w:spacing w:line="400" w:lineRule="exact"/>
              <w:jc w:val="left"/>
              <w:rPr>
                <w:rFonts w:hint="eastAsia" w:ascii="仿宋" w:hAnsi="仿宋" w:eastAsia="仿宋"/>
                <w:color w:val="auto"/>
                <w:kern w:val="2"/>
                <w:sz w:val="21"/>
                <w:szCs w:val="21"/>
                <w:highlight w:val="none"/>
                <w:lang w:val="en-US" w:eastAsia="zh-CN" w:bidi="ar-SA"/>
              </w:rPr>
            </w:pPr>
            <w:r>
              <w:rPr>
                <w:rFonts w:hint="eastAsia" w:ascii="仿宋" w:hAnsi="仿宋" w:eastAsia="仿宋"/>
                <w:color w:val="auto"/>
                <w:szCs w:val="21"/>
                <w:highlight w:val="none"/>
              </w:rPr>
              <w:t>□不通过</w:t>
            </w:r>
          </w:p>
        </w:tc>
        <w:tc>
          <w:tcPr>
            <w:tcW w:w="1607" w:type="dxa"/>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见投标文件</w:t>
            </w:r>
          </w:p>
          <w:p>
            <w:pPr>
              <w:spacing w:line="400" w:lineRule="exact"/>
              <w:jc w:val="center"/>
              <w:rPr>
                <w:rFonts w:hint="eastAsia" w:ascii="仿宋" w:hAnsi="仿宋" w:eastAsia="仿宋"/>
                <w:color w:val="auto"/>
                <w:kern w:val="2"/>
                <w:sz w:val="21"/>
                <w:szCs w:val="21"/>
                <w:highlight w:val="none"/>
                <w:lang w:val="en-US" w:eastAsia="zh-CN" w:bidi="ar-SA"/>
              </w:rPr>
            </w:pPr>
            <w:r>
              <w:rPr>
                <w:rFonts w:hint="eastAsia" w:ascii="仿宋" w:hAnsi="仿宋" w:eastAsia="仿宋"/>
                <w:color w:val="auto"/>
                <w:szCs w:val="21"/>
                <w:highlight w:val="none"/>
              </w:rPr>
              <w:t>第</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7" w:type="dxa"/>
            <w:noWrap w:val="0"/>
            <w:vAlign w:val="center"/>
          </w:tcPr>
          <w:p>
            <w:pPr>
              <w:spacing w:line="400" w:lineRule="exact"/>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3.6</w:t>
            </w:r>
          </w:p>
        </w:tc>
        <w:tc>
          <w:tcPr>
            <w:tcW w:w="4379" w:type="dxa"/>
            <w:noWrap w:val="0"/>
            <w:vAlign w:val="center"/>
          </w:tcPr>
          <w:p>
            <w:pPr>
              <w:spacing w:line="400" w:lineRule="exact"/>
              <w:jc w:val="lef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lang w:val="en-US" w:eastAsia="zh-CN"/>
              </w:rPr>
              <w:t>在养护期内，如有新移交的路灯需要中标人进行养护，养护费用按照同类型灯具的中标价的70%进行结算。</w:t>
            </w:r>
          </w:p>
        </w:tc>
        <w:tc>
          <w:tcPr>
            <w:tcW w:w="2354" w:type="dxa"/>
            <w:noWrap w:val="0"/>
            <w:vAlign w:val="center"/>
          </w:tcPr>
          <w:p>
            <w:pPr>
              <w:spacing w:line="400" w:lineRule="exact"/>
              <w:jc w:val="left"/>
              <w:rPr>
                <w:rFonts w:hint="eastAsia" w:ascii="仿宋" w:hAnsi="仿宋" w:eastAsia="仿宋"/>
                <w:color w:val="auto"/>
                <w:kern w:val="2"/>
                <w:sz w:val="21"/>
                <w:szCs w:val="21"/>
                <w:highlight w:val="none"/>
                <w:lang w:val="en-US" w:eastAsia="zh-CN" w:bidi="ar-SA"/>
              </w:rPr>
            </w:pPr>
            <w:r>
              <w:rPr>
                <w:rFonts w:hint="eastAsia" w:ascii="仿宋" w:hAnsi="仿宋" w:eastAsia="仿宋" w:cs="Times New Roman"/>
                <w:color w:val="auto"/>
                <w:szCs w:val="21"/>
                <w:highlight w:val="none"/>
              </w:rPr>
              <w:t>投标文件中须提供相关承诺书</w:t>
            </w:r>
          </w:p>
        </w:tc>
        <w:tc>
          <w:tcPr>
            <w:tcW w:w="1185"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□通过</w:t>
            </w:r>
          </w:p>
          <w:p>
            <w:pPr>
              <w:spacing w:line="400" w:lineRule="exact"/>
              <w:jc w:val="left"/>
              <w:rPr>
                <w:rFonts w:hint="eastAsia" w:ascii="仿宋" w:hAnsi="仿宋" w:eastAsia="仿宋"/>
                <w:color w:val="auto"/>
                <w:kern w:val="2"/>
                <w:sz w:val="21"/>
                <w:szCs w:val="21"/>
                <w:highlight w:val="none"/>
                <w:lang w:val="en-US" w:eastAsia="zh-CN" w:bidi="ar-SA"/>
              </w:rPr>
            </w:pPr>
            <w:r>
              <w:rPr>
                <w:rFonts w:hint="eastAsia" w:ascii="仿宋" w:hAnsi="仿宋" w:eastAsia="仿宋"/>
                <w:color w:val="auto"/>
                <w:szCs w:val="21"/>
                <w:highlight w:val="none"/>
              </w:rPr>
              <w:t>□不通过</w:t>
            </w:r>
          </w:p>
        </w:tc>
        <w:tc>
          <w:tcPr>
            <w:tcW w:w="1607" w:type="dxa"/>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见投标文件</w:t>
            </w:r>
          </w:p>
          <w:p>
            <w:pPr>
              <w:spacing w:line="400" w:lineRule="exact"/>
              <w:jc w:val="center"/>
              <w:rPr>
                <w:rFonts w:hint="eastAsia" w:ascii="仿宋" w:hAnsi="仿宋" w:eastAsia="仿宋"/>
                <w:color w:val="auto"/>
                <w:kern w:val="2"/>
                <w:sz w:val="21"/>
                <w:szCs w:val="21"/>
                <w:highlight w:val="none"/>
                <w:lang w:val="en-US" w:eastAsia="zh-CN" w:bidi="ar-SA"/>
              </w:rPr>
            </w:pPr>
            <w:r>
              <w:rPr>
                <w:rFonts w:hint="eastAsia" w:ascii="仿宋" w:hAnsi="仿宋" w:eastAsia="仿宋"/>
                <w:color w:val="auto"/>
                <w:szCs w:val="21"/>
                <w:highlight w:val="none"/>
              </w:rPr>
              <w:t>第</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7" w:type="dxa"/>
            <w:noWrap w:val="0"/>
            <w:vAlign w:val="center"/>
          </w:tcPr>
          <w:p>
            <w:pPr>
              <w:spacing w:line="400" w:lineRule="exact"/>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3.7</w:t>
            </w:r>
          </w:p>
        </w:tc>
        <w:tc>
          <w:tcPr>
            <w:tcW w:w="4379" w:type="dxa"/>
            <w:noWrap w:val="0"/>
            <w:vAlign w:val="center"/>
          </w:tcPr>
          <w:p>
            <w:pPr>
              <w:spacing w:line="400" w:lineRule="exact"/>
              <w:jc w:val="lef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lang w:val="en-US" w:eastAsia="zh-CN"/>
              </w:rPr>
              <w:t>如遇政府改造等政策问题：路灯拆除后，拆除部分的路灯不涉及养护，此部分路灯的养护经费按照（养护天数×中标单价×数量/365）结算；节能改造后，养护经费为同类型路灯原中标价的40%。上述条件供应商应无条件接受。</w:t>
            </w:r>
          </w:p>
        </w:tc>
        <w:tc>
          <w:tcPr>
            <w:tcW w:w="2354" w:type="dxa"/>
            <w:noWrap w:val="0"/>
            <w:vAlign w:val="center"/>
          </w:tcPr>
          <w:p>
            <w:pPr>
              <w:spacing w:line="400" w:lineRule="exact"/>
              <w:jc w:val="left"/>
              <w:rPr>
                <w:rFonts w:hint="eastAsia" w:ascii="仿宋" w:hAnsi="仿宋" w:eastAsia="仿宋"/>
                <w:color w:val="auto"/>
                <w:kern w:val="2"/>
                <w:sz w:val="21"/>
                <w:szCs w:val="21"/>
                <w:highlight w:val="none"/>
                <w:lang w:val="en-US" w:eastAsia="zh-CN" w:bidi="ar-SA"/>
              </w:rPr>
            </w:pPr>
            <w:r>
              <w:rPr>
                <w:rFonts w:hint="eastAsia" w:ascii="仿宋" w:hAnsi="仿宋" w:eastAsia="仿宋" w:cs="Times New Roman"/>
                <w:color w:val="auto"/>
                <w:szCs w:val="21"/>
                <w:highlight w:val="none"/>
              </w:rPr>
              <w:t>投标文件中须提供相关承诺书</w:t>
            </w:r>
          </w:p>
        </w:tc>
        <w:tc>
          <w:tcPr>
            <w:tcW w:w="1185"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□通过</w:t>
            </w:r>
          </w:p>
          <w:p>
            <w:pPr>
              <w:spacing w:line="400" w:lineRule="exact"/>
              <w:jc w:val="left"/>
              <w:rPr>
                <w:rFonts w:hint="eastAsia" w:ascii="仿宋" w:hAnsi="仿宋" w:eastAsia="仿宋"/>
                <w:color w:val="auto"/>
                <w:kern w:val="2"/>
                <w:sz w:val="21"/>
                <w:szCs w:val="21"/>
                <w:highlight w:val="none"/>
                <w:lang w:val="en-US" w:eastAsia="zh-CN" w:bidi="ar-SA"/>
              </w:rPr>
            </w:pPr>
            <w:r>
              <w:rPr>
                <w:rFonts w:hint="eastAsia" w:ascii="仿宋" w:hAnsi="仿宋" w:eastAsia="仿宋"/>
                <w:color w:val="auto"/>
                <w:szCs w:val="21"/>
                <w:highlight w:val="none"/>
              </w:rPr>
              <w:t>□不通过</w:t>
            </w:r>
          </w:p>
        </w:tc>
        <w:tc>
          <w:tcPr>
            <w:tcW w:w="1607" w:type="dxa"/>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见投标文件</w:t>
            </w:r>
          </w:p>
          <w:p>
            <w:pPr>
              <w:spacing w:line="400" w:lineRule="exact"/>
              <w:jc w:val="center"/>
              <w:rPr>
                <w:rFonts w:hint="eastAsia" w:ascii="仿宋" w:hAnsi="仿宋" w:eastAsia="仿宋"/>
                <w:color w:val="auto"/>
                <w:kern w:val="2"/>
                <w:sz w:val="21"/>
                <w:szCs w:val="21"/>
                <w:highlight w:val="none"/>
                <w:lang w:val="en-US" w:eastAsia="zh-CN" w:bidi="ar-SA"/>
              </w:rPr>
            </w:pPr>
            <w:r>
              <w:rPr>
                <w:rFonts w:hint="eastAsia" w:ascii="仿宋" w:hAnsi="仿宋" w:eastAsia="仿宋"/>
                <w:color w:val="auto"/>
                <w:szCs w:val="21"/>
                <w:highlight w:val="none"/>
              </w:rPr>
              <w:t>第</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7" w:type="dxa"/>
            <w:noWrap w:val="0"/>
            <w:vAlign w:val="center"/>
          </w:tcPr>
          <w:p>
            <w:pPr>
              <w:spacing w:line="400" w:lineRule="exact"/>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3.8</w:t>
            </w:r>
          </w:p>
        </w:tc>
        <w:tc>
          <w:tcPr>
            <w:tcW w:w="4379" w:type="dxa"/>
            <w:noWrap w:val="0"/>
            <w:vAlign w:val="center"/>
          </w:tcPr>
          <w:p>
            <w:pPr>
              <w:spacing w:line="400" w:lineRule="exact"/>
              <w:jc w:val="left"/>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lang w:val="en-US" w:eastAsia="zh-CN"/>
              </w:rPr>
              <w:t>维修养护作业时，白天进行线路检查维护等工作，夜间进行路灯亮灯巡检及更换不亮灯具或灯头，不得在白天作业时亮灯作业维修灯具或灯头。</w:t>
            </w:r>
          </w:p>
        </w:tc>
        <w:tc>
          <w:tcPr>
            <w:tcW w:w="2354" w:type="dxa"/>
            <w:noWrap w:val="0"/>
            <w:vAlign w:val="center"/>
          </w:tcPr>
          <w:p>
            <w:pPr>
              <w:spacing w:line="400" w:lineRule="exact"/>
              <w:jc w:val="left"/>
              <w:rPr>
                <w:rFonts w:hint="eastAsia" w:ascii="仿宋" w:hAnsi="仿宋" w:eastAsia="仿宋"/>
                <w:color w:val="auto"/>
                <w:kern w:val="2"/>
                <w:sz w:val="21"/>
                <w:szCs w:val="21"/>
                <w:highlight w:val="none"/>
                <w:lang w:val="en-US" w:eastAsia="zh-CN" w:bidi="ar-SA"/>
              </w:rPr>
            </w:pPr>
            <w:r>
              <w:rPr>
                <w:rFonts w:hint="eastAsia" w:ascii="仿宋" w:hAnsi="仿宋" w:eastAsia="仿宋" w:cs="Times New Roman"/>
                <w:color w:val="auto"/>
                <w:szCs w:val="21"/>
                <w:highlight w:val="none"/>
              </w:rPr>
              <w:t>投标文件中须提供相关承诺书</w:t>
            </w:r>
          </w:p>
        </w:tc>
        <w:tc>
          <w:tcPr>
            <w:tcW w:w="1185"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□通过</w:t>
            </w:r>
          </w:p>
          <w:p>
            <w:pPr>
              <w:spacing w:line="400" w:lineRule="exact"/>
              <w:jc w:val="left"/>
              <w:rPr>
                <w:rFonts w:hint="eastAsia" w:ascii="仿宋" w:hAnsi="仿宋" w:eastAsia="仿宋"/>
                <w:color w:val="auto"/>
                <w:kern w:val="2"/>
                <w:sz w:val="21"/>
                <w:szCs w:val="21"/>
                <w:highlight w:val="none"/>
                <w:lang w:val="en-US" w:eastAsia="zh-CN" w:bidi="ar-SA"/>
              </w:rPr>
            </w:pPr>
            <w:r>
              <w:rPr>
                <w:rFonts w:hint="eastAsia" w:ascii="仿宋" w:hAnsi="仿宋" w:eastAsia="仿宋"/>
                <w:color w:val="auto"/>
                <w:szCs w:val="21"/>
                <w:highlight w:val="none"/>
              </w:rPr>
              <w:t>□不通过</w:t>
            </w:r>
          </w:p>
        </w:tc>
        <w:tc>
          <w:tcPr>
            <w:tcW w:w="1607" w:type="dxa"/>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见投标文件</w:t>
            </w:r>
          </w:p>
          <w:p>
            <w:pPr>
              <w:spacing w:line="400" w:lineRule="exact"/>
              <w:jc w:val="center"/>
              <w:rPr>
                <w:rFonts w:hint="eastAsia" w:ascii="仿宋" w:hAnsi="仿宋" w:eastAsia="仿宋"/>
                <w:color w:val="auto"/>
                <w:kern w:val="2"/>
                <w:sz w:val="21"/>
                <w:szCs w:val="21"/>
                <w:highlight w:val="none"/>
                <w:lang w:val="en-US" w:eastAsia="zh-CN" w:bidi="ar-SA"/>
              </w:rPr>
            </w:pPr>
            <w:r>
              <w:rPr>
                <w:rFonts w:hint="eastAsia" w:ascii="仿宋" w:hAnsi="仿宋" w:eastAsia="仿宋"/>
                <w:color w:val="auto"/>
                <w:szCs w:val="21"/>
                <w:highlight w:val="none"/>
              </w:rPr>
              <w:t>第</w:t>
            </w:r>
            <w:r>
              <w:rPr>
                <w:rFonts w:hint="eastAsia" w:ascii="仿宋" w:hAnsi="仿宋" w:eastAsia="仿宋"/>
                <w:color w:val="auto"/>
                <w:szCs w:val="21"/>
                <w:highlight w:val="none"/>
                <w:u w:val="single"/>
              </w:rPr>
              <w:t xml:space="preserve">  </w:t>
            </w:r>
            <w:r>
              <w:rPr>
                <w:rFonts w:hint="eastAsia" w:ascii="仿宋" w:hAnsi="仿宋" w:eastAsia="仿宋"/>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4</w:t>
            </w:r>
          </w:p>
        </w:tc>
        <w:tc>
          <w:tcPr>
            <w:tcW w:w="4379"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投标文件没有招标文件中规定的其它无效投标条款的。</w:t>
            </w:r>
          </w:p>
        </w:tc>
        <w:tc>
          <w:tcPr>
            <w:tcW w:w="2354" w:type="dxa"/>
            <w:noWrap w:val="0"/>
            <w:vAlign w:val="center"/>
          </w:tcPr>
          <w:p>
            <w:pPr>
              <w:spacing w:line="400" w:lineRule="exact"/>
              <w:jc w:val="left"/>
              <w:rPr>
                <w:rFonts w:hint="eastAsia" w:ascii="仿宋" w:hAnsi="仿宋" w:eastAsia="仿宋"/>
                <w:color w:val="auto"/>
                <w:szCs w:val="21"/>
                <w:highlight w:val="none"/>
              </w:rPr>
            </w:pPr>
          </w:p>
        </w:tc>
        <w:tc>
          <w:tcPr>
            <w:tcW w:w="1185"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□通过</w:t>
            </w:r>
          </w:p>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□不通过</w:t>
            </w:r>
          </w:p>
        </w:tc>
        <w:tc>
          <w:tcPr>
            <w:tcW w:w="1607" w:type="dxa"/>
            <w:noWrap w:val="0"/>
            <w:vAlign w:val="center"/>
          </w:tcPr>
          <w:p>
            <w:pPr>
              <w:spacing w:line="400" w:lineRule="exact"/>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noWrap w:val="0"/>
            <w:vAlign w:val="center"/>
          </w:tcPr>
          <w:p>
            <w:pPr>
              <w:spacing w:line="40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5</w:t>
            </w:r>
          </w:p>
        </w:tc>
        <w:tc>
          <w:tcPr>
            <w:tcW w:w="4379"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按有关法律、法规、规章不属于投标无效的。</w:t>
            </w:r>
          </w:p>
        </w:tc>
        <w:tc>
          <w:tcPr>
            <w:tcW w:w="2354" w:type="dxa"/>
            <w:noWrap w:val="0"/>
            <w:vAlign w:val="center"/>
          </w:tcPr>
          <w:p>
            <w:pPr>
              <w:spacing w:line="400" w:lineRule="exact"/>
              <w:jc w:val="left"/>
              <w:rPr>
                <w:rFonts w:hint="eastAsia" w:ascii="仿宋" w:hAnsi="仿宋" w:eastAsia="仿宋"/>
                <w:color w:val="auto"/>
                <w:szCs w:val="21"/>
                <w:highlight w:val="none"/>
              </w:rPr>
            </w:pPr>
          </w:p>
        </w:tc>
        <w:tc>
          <w:tcPr>
            <w:tcW w:w="1185" w:type="dxa"/>
            <w:noWrap w:val="0"/>
            <w:vAlign w:val="center"/>
          </w:tcPr>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□通过</w:t>
            </w:r>
          </w:p>
          <w:p>
            <w:pPr>
              <w:spacing w:line="40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□不通过</w:t>
            </w:r>
          </w:p>
        </w:tc>
        <w:tc>
          <w:tcPr>
            <w:tcW w:w="1607" w:type="dxa"/>
            <w:noWrap w:val="0"/>
            <w:vAlign w:val="center"/>
          </w:tcPr>
          <w:p>
            <w:pPr>
              <w:spacing w:line="400" w:lineRule="exact"/>
              <w:jc w:val="center"/>
              <w:rPr>
                <w:rFonts w:hint="eastAsia" w:ascii="仿宋" w:hAnsi="仿宋" w:eastAsia="仿宋"/>
                <w:color w:val="auto"/>
                <w:szCs w:val="21"/>
                <w:highlight w:val="none"/>
              </w:rPr>
            </w:pPr>
          </w:p>
        </w:tc>
      </w:tr>
    </w:tbl>
    <w:p>
      <w:pPr>
        <w:snapToGrid w:val="0"/>
        <w:spacing w:line="36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24"/>
          <w:highlight w:val="none"/>
        </w:rPr>
        <w:t>备注：投标人自查表将作为投标投标人有效性审查的重要内容之一，投标投标人必须严格按照其内容及序列要求在投标文件中对应如实提供，对资格性证明文件的任何缺漏和不符合项将会直接导致投标无效！</w:t>
      </w:r>
    </w:p>
    <w:p>
      <w:pPr>
        <w:numPr>
          <w:ilvl w:val="0"/>
          <w:numId w:val="5"/>
        </w:num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宁波建兴招标有限公司/</w:t>
      </w:r>
      <w:r>
        <w:rPr>
          <w:rFonts w:hint="eastAsia" w:ascii="仿宋" w:hAnsi="仿宋" w:eastAsia="仿宋" w:cs="仿宋"/>
          <w:color w:val="auto"/>
          <w:sz w:val="24"/>
          <w:highlight w:val="none"/>
          <w:lang w:eastAsia="zh-CN"/>
        </w:rPr>
        <w:t>宁波市奉化区园林管理处</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eastAsia="zh-CN"/>
        </w:rPr>
        <w:t>奉化城区功能性照明设施维修养护管理服务项目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NBJX2022154G</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FHZFCG(2022)186D</w:t>
      </w:r>
      <w:r>
        <w:rPr>
          <w:rFonts w:hint="eastAsia" w:ascii="仿宋" w:hAnsi="仿宋" w:eastAsia="仿宋" w:cs="仿宋"/>
          <w:color w:val="auto"/>
          <w:sz w:val="24"/>
          <w:highlight w:val="none"/>
        </w:rPr>
        <w:t>】招标的有关活动，并对此项目进行投标。为此：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2.1.1有效的企业法人营业执照（或事业法人登记证）、其他组织（个体工商户）的营业执照或者民办非企业单位登记证书；</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2.1.2符合参加政府采购活动应当具备的一般条件的承诺函落实政府采购政策需满足的资格要求（如果有）；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color w:val="auto"/>
          <w:sz w:val="24"/>
          <w:highlight w:val="none"/>
          <w:lang w:val="en-US" w:eastAsia="zh-CN"/>
        </w:rPr>
        <w:t>必须提供满足下列清单之一</w:t>
      </w:r>
      <w:r>
        <w:rPr>
          <w:rFonts w:hint="eastAsia" w:ascii="仿宋" w:hAnsi="仿宋" w:eastAsia="仿宋" w:cs="仿宋"/>
          <w:color w:val="auto"/>
          <w:sz w:val="24"/>
          <w:highlight w:val="none"/>
        </w:rPr>
        <w:t>）</w:t>
      </w:r>
    </w:p>
    <w:p>
      <w:pPr>
        <w:snapToGrid w:val="0"/>
        <w:spacing w:line="360" w:lineRule="auto"/>
        <w:ind w:left="420" w:leftChars="20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2.1.3.1</w:t>
      </w:r>
      <w:r>
        <w:rPr>
          <w:rFonts w:hint="eastAsia" w:ascii="仿宋" w:hAnsi="仿宋" w:eastAsia="仿宋" w:cs="仿宋"/>
          <w:color w:val="auto"/>
          <w:sz w:val="24"/>
          <w:highlight w:val="none"/>
        </w:rPr>
        <w:t>中小企业声明函；</w:t>
      </w:r>
    </w:p>
    <w:p>
      <w:pPr>
        <w:snapToGrid w:val="0"/>
        <w:spacing w:line="360" w:lineRule="auto"/>
        <w:ind w:left="420" w:leftChars="20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2.1.3.2</w:t>
      </w:r>
      <w:r>
        <w:rPr>
          <w:rFonts w:hint="eastAsia" w:ascii="仿宋" w:hAnsi="仿宋" w:eastAsia="仿宋" w:cs="仿宋"/>
          <w:color w:val="auto"/>
          <w:sz w:val="24"/>
          <w:highlight w:val="none"/>
        </w:rPr>
        <w:t>残疾人福利性单位声明函；</w:t>
      </w:r>
    </w:p>
    <w:p>
      <w:pPr>
        <w:snapToGrid w:val="0"/>
        <w:spacing w:line="360" w:lineRule="auto"/>
        <w:ind w:left="420" w:leftChars="20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2.1.3.3</w:t>
      </w:r>
      <w:r>
        <w:rPr>
          <w:rFonts w:hint="eastAsia" w:ascii="仿宋" w:hAnsi="仿宋" w:eastAsia="仿宋" w:cs="仿宋"/>
          <w:color w:val="auto"/>
          <w:sz w:val="24"/>
          <w:highlight w:val="none"/>
        </w:rPr>
        <w:t>监狱企业的证明文件；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2.1.6本项目的特定资格要求。</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2.2.1符合性自查表；</w:t>
      </w:r>
    </w:p>
    <w:p>
      <w:pPr>
        <w:snapToGrid w:val="0"/>
        <w:spacing w:line="360" w:lineRule="auto"/>
        <w:ind w:left="420" w:leftChars="200" w:firstLine="480" w:firstLineChars="200"/>
        <w:rPr>
          <w:rFonts w:hint="eastAsia" w:ascii="仿宋" w:hAnsi="仿宋" w:eastAsia="仿宋" w:cs="仿宋"/>
          <w:color w:val="auto"/>
          <w:highlight w:val="none"/>
          <w:lang w:val="zh-CN"/>
        </w:rPr>
      </w:pPr>
      <w:r>
        <w:rPr>
          <w:rFonts w:hint="eastAsia" w:ascii="仿宋" w:hAnsi="仿宋" w:eastAsia="仿宋" w:cs="仿宋"/>
          <w:color w:val="auto"/>
          <w:sz w:val="24"/>
          <w:highlight w:val="none"/>
        </w:rPr>
        <w:t>2.2.2投标函；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2.2.4供应商情况表；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2.2.5距采购人最近或者能为本项目提供最优服务的网点情况表；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7商务</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8技术</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9同类业绩情况一览表；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2.2.10</w:t>
      </w:r>
      <w:r>
        <w:rPr>
          <w:rFonts w:hint="eastAsia" w:ascii="仿宋" w:hAnsi="仿宋" w:eastAsia="仿宋" w:cs="仿宋"/>
          <w:color w:val="auto"/>
          <w:sz w:val="24"/>
          <w:highlight w:val="none"/>
          <w:lang w:val="zh-CN"/>
        </w:rPr>
        <w:t>政府采购供应商廉洁自律承诺书；</w:t>
      </w:r>
    </w:p>
    <w:p>
      <w:pPr>
        <w:snapToGrid w:val="0"/>
        <w:spacing w:line="360" w:lineRule="auto"/>
        <w:ind w:left="420" w:lef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2.2.11其他资料。</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2.3.2投标报价明细表；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政府采购统计基础信息表。</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4.1在收到中标通知书后，在中标通知书规定的期限内与你方签订合同；</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4.2在签订合同时不向你方提出附加条件；</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4.3按照招标文件要求提交履约保证金；</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5、其他补充说明: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360" w:lineRule="auto"/>
        <w:ind w:firstLine="3600" w:firstLineChars="1500"/>
        <w:rPr>
          <w:rFonts w:hint="eastAsia" w:ascii="仿宋" w:hAnsi="仿宋" w:eastAsia="仿宋" w:cs="仿宋"/>
          <w:color w:val="auto"/>
          <w:sz w:val="24"/>
          <w:highlight w:val="none"/>
        </w:rPr>
      </w:pPr>
    </w:p>
    <w:p>
      <w:pPr>
        <w:spacing w:line="360" w:lineRule="auto"/>
        <w:ind w:firstLine="3600" w:firstLineChars="1500"/>
        <w:rPr>
          <w:rFonts w:hint="eastAsia" w:ascii="仿宋" w:hAnsi="仿宋" w:eastAsia="仿宋" w:cs="仿宋"/>
          <w:color w:val="auto"/>
          <w:sz w:val="24"/>
          <w:highlight w:val="none"/>
        </w:rPr>
      </w:pP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法定代表人（负责人）或其授权委托人（签名或印章）：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numPr>
          <w:ilvl w:val="0"/>
          <w:numId w:val="5"/>
        </w:numPr>
        <w:snapToGrid w:val="0"/>
        <w:spacing w:line="360" w:lineRule="auto"/>
        <w:jc w:val="center"/>
        <w:outlineLvl w:val="0"/>
        <w:rPr>
          <w:rFonts w:hint="eastAsia" w:ascii="仿宋" w:hAnsi="仿宋" w:eastAsia="仿宋" w:cs="仿宋"/>
          <w:b/>
          <w:color w:val="auto"/>
          <w:kern w:val="0"/>
          <w:sz w:val="32"/>
          <w:szCs w:val="32"/>
          <w:highlight w:val="none"/>
        </w:rPr>
      </w:pPr>
      <w:bookmarkStart w:id="415" w:name="_Toc14746861"/>
      <w:bookmarkStart w:id="416" w:name="_Toc479927873"/>
      <w:bookmarkStart w:id="417" w:name="_Toc488936100"/>
      <w:bookmarkStart w:id="418" w:name="_Toc110393361"/>
      <w:bookmarkStart w:id="419" w:name="_Toc483379796"/>
      <w:bookmarkStart w:id="420" w:name="_Toc225223761"/>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授权委托书或法定代表人（单位负责人、自然人本人）身份证明</w:t>
      </w:r>
    </w:p>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宁波建兴招标有限公司/</w:t>
      </w:r>
      <w:r>
        <w:rPr>
          <w:rFonts w:hint="eastAsia" w:ascii="仿宋" w:hAnsi="仿宋" w:eastAsia="仿宋" w:cs="仿宋"/>
          <w:color w:val="auto"/>
          <w:sz w:val="24"/>
          <w:highlight w:val="none"/>
          <w:lang w:eastAsia="zh-CN"/>
        </w:rPr>
        <w:t>宁波市奉化区园林管理处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奉化城区功能性照明设施维修养护管理服务项目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lang w:eastAsia="zh-CN"/>
        </w:rPr>
        <w:t>NBJX2022154G</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FHZFCG(2022)186D</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日止。</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pPr>
        <w:pStyle w:val="25"/>
        <w:ind w:firstLine="560"/>
        <w:rPr>
          <w:rFonts w:hint="eastAsia"/>
          <w:color w:val="auto"/>
          <w:highlight w:val="none"/>
          <w:lang w:val="zh-CN"/>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pPr>
        <w:snapToGrid w:val="0"/>
        <w:spacing w:line="360" w:lineRule="auto"/>
        <w:rPr>
          <w:rFonts w:hint="eastAsia" w:ascii="仿宋" w:hAnsi="仿宋" w:eastAsia="仿宋" w:cs="仿宋"/>
          <w:color w:val="auto"/>
          <w:sz w:val="24"/>
          <w:highlight w:val="none"/>
        </w:rPr>
      </w:pPr>
    </w:p>
    <w:p>
      <w:pPr>
        <w:pStyle w:val="25"/>
        <w:ind w:firstLine="560"/>
        <w:rPr>
          <w:rFonts w:hint="eastAsia"/>
          <w:color w:val="auto"/>
          <w:highlight w:val="none"/>
        </w:rPr>
      </w:pPr>
    </w:p>
    <w:p>
      <w:pPr>
        <w:pStyle w:val="25"/>
        <w:ind w:firstLine="560"/>
        <w:rPr>
          <w:rFonts w:hint="eastAsia"/>
          <w:color w:val="auto"/>
          <w:highlight w:val="none"/>
        </w:rPr>
      </w:pPr>
    </w:p>
    <w:p>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宁波建兴招标有限公司/</w:t>
      </w:r>
      <w:r>
        <w:rPr>
          <w:rFonts w:hint="eastAsia" w:ascii="仿宋" w:hAnsi="仿宋" w:eastAsia="仿宋" w:cs="仿宋"/>
          <w:color w:val="auto"/>
          <w:sz w:val="24"/>
          <w:highlight w:val="none"/>
          <w:lang w:eastAsia="zh-CN"/>
        </w:rPr>
        <w:t>宁波市奉化区园林管理处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eastAsia="zh-CN"/>
        </w:rPr>
        <w:t>奉化城区功能性照明设施维修养护管理服务项目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lang w:eastAsia="zh-CN"/>
        </w:rPr>
        <w:t>NBJX2022154G</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FHZFCG(2022)186D</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日止。</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ind w:firstLine="3675" w:firstLineChars="1750"/>
        <w:rPr>
          <w:rFonts w:hint="eastAsia" w:ascii="仿宋" w:hAnsi="仿宋" w:eastAsia="仿宋" w:cs="仿宋"/>
          <w:color w:val="auto"/>
          <w:highlight w:val="none"/>
        </w:rPr>
      </w:pPr>
    </w:p>
    <w:p>
      <w:pPr>
        <w:snapToGrid w:val="0"/>
        <w:spacing w:line="360" w:lineRule="auto"/>
        <w:ind w:firstLine="4200" w:firstLineChars="17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4200" w:firstLineChars="17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4200" w:firstLineChars="17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4200" w:firstLineChars="17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日</w:t>
      </w: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3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32"/>
              <w:adjustRightInd w:val="0"/>
              <w:spacing w:line="360" w:lineRule="auto"/>
              <w:rPr>
                <w:rFonts w:hint="eastAsia" w:ascii="仿宋" w:hAnsi="仿宋" w:eastAsia="仿宋" w:cs="仿宋"/>
                <w:bCs/>
                <w:color w:val="auto"/>
                <w:sz w:val="24"/>
                <w:highlight w:val="none"/>
              </w:rPr>
            </w:pPr>
          </w:p>
        </w:tc>
      </w:tr>
    </w:tbl>
    <w:p>
      <w:pPr>
        <w:adjustRightInd w:val="0"/>
        <w:spacing w:line="360" w:lineRule="auto"/>
        <w:jc w:val="left"/>
        <w:rPr>
          <w:rFonts w:hint="eastAsia" w:ascii="仿宋" w:hAnsi="仿宋" w:eastAsia="仿宋" w:cs="仿宋"/>
          <w:color w:val="auto"/>
          <w:kern w:val="0"/>
          <w:sz w:val="24"/>
          <w:highlight w:val="none"/>
          <w:lang w:val="zh-CN"/>
        </w:rPr>
      </w:pPr>
    </w:p>
    <w:p>
      <w:pPr>
        <w:adjustRightInd w:val="0"/>
        <w:spacing w:line="360" w:lineRule="auto"/>
        <w:jc w:val="left"/>
        <w:rPr>
          <w:rFonts w:hint="eastAsia" w:ascii="仿宋" w:hAnsi="仿宋" w:eastAsia="仿宋" w:cs="仿宋"/>
          <w:color w:val="auto"/>
          <w:kern w:val="0"/>
          <w:sz w:val="24"/>
          <w:highlight w:val="none"/>
          <w:lang w:val="zh-CN"/>
        </w:rPr>
      </w:pP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法定代表人（负责人）或其授权委托人（签名或印章）：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pStyle w:val="25"/>
        <w:ind w:firstLine="560"/>
        <w:rPr>
          <w:rFonts w:hint="eastAsia"/>
          <w:color w:val="auto"/>
          <w:highlight w:val="none"/>
        </w:rPr>
      </w:pPr>
    </w:p>
    <w:p>
      <w:pPr>
        <w:numPr>
          <w:ilvl w:val="0"/>
          <w:numId w:val="5"/>
        </w:num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投标人基本情况</w:t>
      </w:r>
      <w:bookmarkEnd w:id="415"/>
      <w:bookmarkEnd w:id="416"/>
      <w:bookmarkEnd w:id="417"/>
      <w:bookmarkEnd w:id="418"/>
      <w:bookmarkEnd w:id="419"/>
      <w:bookmarkEnd w:id="420"/>
      <w:r>
        <w:rPr>
          <w:rFonts w:hint="eastAsia" w:ascii="仿宋" w:hAnsi="仿宋" w:eastAsia="仿宋" w:cs="仿宋"/>
          <w:b/>
          <w:color w:val="auto"/>
          <w:kern w:val="0"/>
          <w:sz w:val="32"/>
          <w:szCs w:val="32"/>
          <w:highlight w:val="none"/>
        </w:rPr>
        <w:t>表</w:t>
      </w:r>
    </w:p>
    <w:tbl>
      <w:tblPr>
        <w:tblStyle w:val="14"/>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投标人名称</w:t>
            </w:r>
          </w:p>
        </w:tc>
        <w:tc>
          <w:tcPr>
            <w:tcW w:w="7647" w:type="dxa"/>
            <w:gridSpan w:val="5"/>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注册地址</w:t>
            </w:r>
          </w:p>
        </w:tc>
        <w:tc>
          <w:tcPr>
            <w:tcW w:w="2809" w:type="dxa"/>
            <w:gridSpan w:val="2"/>
            <w:noWrap w:val="0"/>
            <w:vAlign w:val="center"/>
          </w:tcPr>
          <w:p>
            <w:pPr>
              <w:jc w:val="center"/>
              <w:rPr>
                <w:rFonts w:hint="eastAsia" w:ascii="仿宋" w:hAnsi="仿宋" w:eastAsia="仿宋"/>
                <w:color w:val="auto"/>
                <w:szCs w:val="21"/>
                <w:highlight w:val="none"/>
              </w:rPr>
            </w:pPr>
          </w:p>
        </w:tc>
        <w:tc>
          <w:tcPr>
            <w:tcW w:w="1786"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成立时间</w:t>
            </w:r>
          </w:p>
        </w:tc>
        <w:tc>
          <w:tcPr>
            <w:tcW w:w="3052" w:type="dxa"/>
            <w:gridSpan w:val="2"/>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统一信用代码</w:t>
            </w:r>
          </w:p>
        </w:tc>
        <w:tc>
          <w:tcPr>
            <w:tcW w:w="2809" w:type="dxa"/>
            <w:gridSpan w:val="2"/>
            <w:noWrap w:val="0"/>
            <w:vAlign w:val="center"/>
          </w:tcPr>
          <w:p>
            <w:pPr>
              <w:jc w:val="center"/>
              <w:rPr>
                <w:rFonts w:hint="eastAsia" w:ascii="仿宋" w:hAnsi="仿宋" w:eastAsia="仿宋"/>
                <w:color w:val="auto"/>
                <w:szCs w:val="21"/>
                <w:highlight w:val="none"/>
              </w:rPr>
            </w:pPr>
          </w:p>
        </w:tc>
        <w:tc>
          <w:tcPr>
            <w:tcW w:w="1786"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注册资金</w:t>
            </w:r>
          </w:p>
        </w:tc>
        <w:tc>
          <w:tcPr>
            <w:tcW w:w="3052" w:type="dxa"/>
            <w:gridSpan w:val="2"/>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投标联系人姓名</w:t>
            </w:r>
          </w:p>
        </w:tc>
        <w:tc>
          <w:tcPr>
            <w:tcW w:w="1936" w:type="dxa"/>
            <w:noWrap w:val="0"/>
            <w:vAlign w:val="center"/>
          </w:tcPr>
          <w:p>
            <w:pPr>
              <w:jc w:val="center"/>
              <w:rPr>
                <w:rFonts w:hint="eastAsia" w:ascii="仿宋" w:hAnsi="仿宋" w:eastAsia="仿宋"/>
                <w:color w:val="auto"/>
                <w:szCs w:val="21"/>
                <w:highlight w:val="none"/>
              </w:rPr>
            </w:pPr>
          </w:p>
        </w:tc>
        <w:tc>
          <w:tcPr>
            <w:tcW w:w="873"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电话</w:t>
            </w:r>
          </w:p>
        </w:tc>
        <w:tc>
          <w:tcPr>
            <w:tcW w:w="1786" w:type="dxa"/>
            <w:noWrap w:val="0"/>
            <w:vAlign w:val="center"/>
          </w:tcPr>
          <w:p>
            <w:pPr>
              <w:jc w:val="center"/>
              <w:rPr>
                <w:rFonts w:hint="eastAsia" w:ascii="仿宋" w:hAnsi="仿宋" w:eastAsia="仿宋"/>
                <w:color w:val="auto"/>
                <w:szCs w:val="21"/>
                <w:highlight w:val="none"/>
              </w:rPr>
            </w:pPr>
          </w:p>
        </w:tc>
        <w:tc>
          <w:tcPr>
            <w:tcW w:w="1200"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手机</w:t>
            </w:r>
          </w:p>
        </w:tc>
        <w:tc>
          <w:tcPr>
            <w:tcW w:w="1852" w:type="dxa"/>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法定代表人姓名</w:t>
            </w:r>
          </w:p>
        </w:tc>
        <w:tc>
          <w:tcPr>
            <w:tcW w:w="1936" w:type="dxa"/>
            <w:noWrap w:val="0"/>
            <w:vAlign w:val="center"/>
          </w:tcPr>
          <w:p>
            <w:pPr>
              <w:jc w:val="center"/>
              <w:rPr>
                <w:rFonts w:hint="eastAsia" w:ascii="仿宋" w:hAnsi="仿宋" w:eastAsia="仿宋"/>
                <w:color w:val="auto"/>
                <w:szCs w:val="21"/>
                <w:highlight w:val="none"/>
              </w:rPr>
            </w:pPr>
          </w:p>
        </w:tc>
        <w:tc>
          <w:tcPr>
            <w:tcW w:w="873"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电话</w:t>
            </w:r>
          </w:p>
        </w:tc>
        <w:tc>
          <w:tcPr>
            <w:tcW w:w="1786" w:type="dxa"/>
            <w:noWrap w:val="0"/>
            <w:vAlign w:val="center"/>
          </w:tcPr>
          <w:p>
            <w:pPr>
              <w:jc w:val="center"/>
              <w:rPr>
                <w:rFonts w:hint="eastAsia" w:ascii="仿宋" w:hAnsi="仿宋" w:eastAsia="仿宋"/>
                <w:color w:val="auto"/>
                <w:szCs w:val="21"/>
                <w:highlight w:val="none"/>
              </w:rPr>
            </w:pPr>
          </w:p>
        </w:tc>
        <w:tc>
          <w:tcPr>
            <w:tcW w:w="1200"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手机</w:t>
            </w:r>
          </w:p>
        </w:tc>
        <w:tc>
          <w:tcPr>
            <w:tcW w:w="1852" w:type="dxa"/>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项目负责人姓名</w:t>
            </w:r>
          </w:p>
        </w:tc>
        <w:tc>
          <w:tcPr>
            <w:tcW w:w="1936" w:type="dxa"/>
            <w:noWrap w:val="0"/>
            <w:vAlign w:val="center"/>
          </w:tcPr>
          <w:p>
            <w:pPr>
              <w:jc w:val="center"/>
              <w:rPr>
                <w:rFonts w:hint="eastAsia" w:ascii="仿宋" w:hAnsi="仿宋" w:eastAsia="仿宋"/>
                <w:color w:val="auto"/>
                <w:szCs w:val="21"/>
                <w:highlight w:val="none"/>
              </w:rPr>
            </w:pPr>
          </w:p>
        </w:tc>
        <w:tc>
          <w:tcPr>
            <w:tcW w:w="873"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电话</w:t>
            </w:r>
          </w:p>
        </w:tc>
        <w:tc>
          <w:tcPr>
            <w:tcW w:w="1786" w:type="dxa"/>
            <w:noWrap w:val="0"/>
            <w:vAlign w:val="center"/>
          </w:tcPr>
          <w:p>
            <w:pPr>
              <w:jc w:val="center"/>
              <w:rPr>
                <w:rFonts w:hint="eastAsia" w:ascii="仿宋" w:hAnsi="仿宋" w:eastAsia="仿宋"/>
                <w:color w:val="auto"/>
                <w:szCs w:val="21"/>
                <w:highlight w:val="none"/>
              </w:rPr>
            </w:pPr>
          </w:p>
        </w:tc>
        <w:tc>
          <w:tcPr>
            <w:tcW w:w="1200"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技术职称</w:t>
            </w:r>
          </w:p>
        </w:tc>
        <w:tc>
          <w:tcPr>
            <w:tcW w:w="1852" w:type="dxa"/>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员工总人数：</w:t>
            </w:r>
          </w:p>
        </w:tc>
        <w:tc>
          <w:tcPr>
            <w:tcW w:w="1936" w:type="dxa"/>
            <w:vMerge w:val="restart"/>
            <w:noWrap w:val="0"/>
            <w:vAlign w:val="center"/>
          </w:tcPr>
          <w:p>
            <w:pPr>
              <w:jc w:val="center"/>
              <w:rPr>
                <w:rFonts w:hint="eastAsia" w:ascii="仿宋" w:hAnsi="仿宋" w:eastAsia="仿宋"/>
                <w:color w:val="auto"/>
                <w:szCs w:val="21"/>
                <w:highlight w:val="none"/>
              </w:rPr>
            </w:pPr>
          </w:p>
        </w:tc>
        <w:tc>
          <w:tcPr>
            <w:tcW w:w="873" w:type="dxa"/>
            <w:vMerge w:val="restart"/>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其中</w:t>
            </w:r>
          </w:p>
        </w:tc>
        <w:tc>
          <w:tcPr>
            <w:tcW w:w="1786"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高级职称</w:t>
            </w:r>
          </w:p>
        </w:tc>
        <w:tc>
          <w:tcPr>
            <w:tcW w:w="3052" w:type="dxa"/>
            <w:gridSpan w:val="2"/>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pPr>
              <w:jc w:val="center"/>
              <w:rPr>
                <w:rFonts w:hint="eastAsia" w:ascii="仿宋" w:hAnsi="仿宋" w:eastAsia="仿宋"/>
                <w:color w:val="auto"/>
                <w:szCs w:val="21"/>
                <w:highlight w:val="none"/>
              </w:rPr>
            </w:pPr>
          </w:p>
        </w:tc>
        <w:tc>
          <w:tcPr>
            <w:tcW w:w="1936" w:type="dxa"/>
            <w:vMerge w:val="continue"/>
            <w:noWrap w:val="0"/>
            <w:vAlign w:val="center"/>
          </w:tcPr>
          <w:p>
            <w:pPr>
              <w:jc w:val="center"/>
              <w:rPr>
                <w:rFonts w:hint="eastAsia" w:ascii="仿宋" w:hAnsi="仿宋" w:eastAsia="仿宋"/>
                <w:color w:val="auto"/>
                <w:szCs w:val="21"/>
                <w:highlight w:val="none"/>
              </w:rPr>
            </w:pPr>
          </w:p>
        </w:tc>
        <w:tc>
          <w:tcPr>
            <w:tcW w:w="873" w:type="dxa"/>
            <w:vMerge w:val="continue"/>
            <w:noWrap w:val="0"/>
            <w:vAlign w:val="center"/>
          </w:tcPr>
          <w:p>
            <w:pPr>
              <w:jc w:val="center"/>
              <w:rPr>
                <w:rFonts w:hint="eastAsia" w:ascii="仿宋" w:hAnsi="仿宋" w:eastAsia="仿宋"/>
                <w:color w:val="auto"/>
                <w:szCs w:val="21"/>
                <w:highlight w:val="none"/>
              </w:rPr>
            </w:pPr>
          </w:p>
        </w:tc>
        <w:tc>
          <w:tcPr>
            <w:tcW w:w="1786"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中级职称</w:t>
            </w:r>
          </w:p>
        </w:tc>
        <w:tc>
          <w:tcPr>
            <w:tcW w:w="3052" w:type="dxa"/>
            <w:gridSpan w:val="2"/>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pPr>
              <w:jc w:val="center"/>
              <w:rPr>
                <w:rFonts w:hint="eastAsia" w:ascii="仿宋" w:hAnsi="仿宋" w:eastAsia="仿宋"/>
                <w:color w:val="auto"/>
                <w:szCs w:val="21"/>
                <w:highlight w:val="none"/>
              </w:rPr>
            </w:pPr>
          </w:p>
        </w:tc>
        <w:tc>
          <w:tcPr>
            <w:tcW w:w="1936" w:type="dxa"/>
            <w:vMerge w:val="continue"/>
            <w:noWrap w:val="0"/>
            <w:vAlign w:val="center"/>
          </w:tcPr>
          <w:p>
            <w:pPr>
              <w:jc w:val="center"/>
              <w:rPr>
                <w:rFonts w:hint="eastAsia" w:ascii="仿宋" w:hAnsi="仿宋" w:eastAsia="仿宋"/>
                <w:color w:val="auto"/>
                <w:szCs w:val="21"/>
                <w:highlight w:val="none"/>
              </w:rPr>
            </w:pPr>
          </w:p>
        </w:tc>
        <w:tc>
          <w:tcPr>
            <w:tcW w:w="873" w:type="dxa"/>
            <w:vMerge w:val="continue"/>
            <w:noWrap w:val="0"/>
            <w:vAlign w:val="center"/>
          </w:tcPr>
          <w:p>
            <w:pPr>
              <w:jc w:val="center"/>
              <w:rPr>
                <w:rFonts w:hint="eastAsia" w:ascii="仿宋" w:hAnsi="仿宋" w:eastAsia="仿宋"/>
                <w:color w:val="auto"/>
                <w:szCs w:val="21"/>
                <w:highlight w:val="none"/>
              </w:rPr>
            </w:pPr>
          </w:p>
        </w:tc>
        <w:tc>
          <w:tcPr>
            <w:tcW w:w="1786"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各类注册人员</w:t>
            </w:r>
          </w:p>
        </w:tc>
        <w:tc>
          <w:tcPr>
            <w:tcW w:w="3052" w:type="dxa"/>
            <w:gridSpan w:val="2"/>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基本账户开户银行</w:t>
            </w:r>
          </w:p>
        </w:tc>
        <w:tc>
          <w:tcPr>
            <w:tcW w:w="7647" w:type="dxa"/>
            <w:gridSpan w:val="5"/>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基本账户账号</w:t>
            </w:r>
          </w:p>
        </w:tc>
        <w:tc>
          <w:tcPr>
            <w:tcW w:w="7647" w:type="dxa"/>
            <w:gridSpan w:val="5"/>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经营范围</w:t>
            </w:r>
          </w:p>
        </w:tc>
        <w:tc>
          <w:tcPr>
            <w:tcW w:w="7647" w:type="dxa"/>
            <w:gridSpan w:val="5"/>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备注</w:t>
            </w:r>
          </w:p>
        </w:tc>
        <w:tc>
          <w:tcPr>
            <w:tcW w:w="7647" w:type="dxa"/>
            <w:gridSpan w:val="5"/>
            <w:noWrap w:val="0"/>
            <w:vAlign w:val="center"/>
          </w:tcPr>
          <w:p>
            <w:pPr>
              <w:jc w:val="center"/>
              <w:rPr>
                <w:rFonts w:hint="eastAsia" w:ascii="仿宋" w:hAnsi="仿宋" w:eastAsia="仿宋"/>
                <w:color w:val="auto"/>
                <w:szCs w:val="21"/>
                <w:highlight w:val="none"/>
              </w:rPr>
            </w:pPr>
          </w:p>
        </w:tc>
      </w:tr>
    </w:tbl>
    <w:p>
      <w:pPr>
        <w:adjustRightInd w:val="0"/>
        <w:snapToGrid w:val="0"/>
        <w:spacing w:line="360" w:lineRule="auto"/>
        <w:ind w:firstLine="482" w:firstLineChars="200"/>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兹证明上述声明是真实、正确的，并提供了全部能提供的资料和数据，我们同意遵照贵方要求出示有关证明文件。</w:t>
      </w:r>
    </w:p>
    <w:p>
      <w:pPr>
        <w:adjustRightInd w:val="0"/>
        <w:spacing w:line="360" w:lineRule="auto"/>
        <w:ind w:firstLine="2400" w:firstLineChars="1000"/>
        <w:jc w:val="left"/>
        <w:rPr>
          <w:rFonts w:hint="eastAsia" w:ascii="仿宋" w:hAnsi="仿宋" w:eastAsia="仿宋" w:cs="仿宋"/>
          <w:color w:val="auto"/>
          <w:sz w:val="24"/>
          <w:highlight w:val="none"/>
        </w:rPr>
      </w:pPr>
    </w:p>
    <w:p>
      <w:pPr>
        <w:adjustRightInd w:val="0"/>
        <w:spacing w:line="360" w:lineRule="auto"/>
        <w:ind w:firstLine="2400" w:firstLineChars="1000"/>
        <w:jc w:val="left"/>
        <w:rPr>
          <w:rFonts w:hint="eastAsia" w:ascii="仿宋" w:hAnsi="仿宋" w:eastAsia="仿宋" w:cs="仿宋"/>
          <w:color w:val="auto"/>
          <w:sz w:val="24"/>
          <w:highlight w:val="none"/>
        </w:rPr>
      </w:pP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法定代表人（负责人）或其授权委托人（签名或印章）：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numPr>
          <w:ilvl w:val="0"/>
          <w:numId w:val="5"/>
        </w:num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距采购人最近或者能为本项目提供最优服务的网点情况表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3"/>
        <w:gridCol w:w="1624"/>
        <w:gridCol w:w="191"/>
        <w:gridCol w:w="1440"/>
        <w:gridCol w:w="889"/>
        <w:gridCol w:w="2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服务网点名称</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地址</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其中：投标人出资比例</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其中：技术人员数</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经营期限</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售后服务协议</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售后服务内容</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工作业绩</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服务承诺</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仿宋" w:hAnsi="仿宋" w:eastAsia="仿宋"/>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传 真</w:t>
            </w:r>
          </w:p>
        </w:tc>
        <w:tc>
          <w:tcPr>
            <w:tcW w:w="3489"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hint="eastAsia" w:ascii="仿宋" w:hAnsi="仿宋" w:eastAsia="仿宋"/>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联系电话</w:t>
            </w:r>
          </w:p>
        </w:tc>
        <w:tc>
          <w:tcPr>
            <w:tcW w:w="3489" w:type="dxa"/>
            <w:gridSpan w:val="2"/>
            <w:tcBorders>
              <w:top w:val="single" w:color="auto" w:sz="4" w:space="0"/>
              <w:left w:val="single" w:color="auto" w:sz="2"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r>
    </w:tbl>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法定代表人（负责人）或其授权委托人（签名或印章）：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numPr>
          <w:ilvl w:val="0"/>
          <w:numId w:val="5"/>
        </w:num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评标标准相应的商务技术资料</w:t>
      </w: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pStyle w:val="25"/>
        <w:ind w:firstLine="560"/>
        <w:rPr>
          <w:rFonts w:hint="eastAsia"/>
          <w:color w:val="auto"/>
          <w:highlight w:val="none"/>
        </w:rPr>
      </w:pPr>
    </w:p>
    <w:p>
      <w:pPr>
        <w:pStyle w:val="25"/>
        <w:ind w:firstLine="560"/>
        <w:rPr>
          <w:rFonts w:hint="eastAsia"/>
          <w:color w:val="auto"/>
          <w:highlight w:val="none"/>
          <w:lang w:val="zh-CN"/>
        </w:rPr>
      </w:pPr>
    </w:p>
    <w:p>
      <w:pPr>
        <w:numPr>
          <w:ilvl w:val="0"/>
          <w:numId w:val="5"/>
        </w:num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w:t>
      </w:r>
      <w:r>
        <w:rPr>
          <w:rFonts w:hint="eastAsia" w:ascii="仿宋" w:hAnsi="仿宋" w:eastAsia="仿宋" w:cs="仿宋"/>
          <w:b/>
          <w:color w:val="auto"/>
          <w:kern w:val="0"/>
          <w:sz w:val="32"/>
          <w:szCs w:val="32"/>
          <w:highlight w:val="none"/>
          <w:lang w:eastAsia="zh-CN"/>
        </w:rPr>
        <w:t>响应</w:t>
      </w:r>
      <w:r>
        <w:rPr>
          <w:rFonts w:hint="eastAsia" w:ascii="仿宋" w:hAnsi="仿宋" w:eastAsia="仿宋" w:cs="仿宋"/>
          <w:b/>
          <w:color w:val="auto"/>
          <w:kern w:val="0"/>
          <w:sz w:val="32"/>
          <w:szCs w:val="32"/>
          <w:highlight w:val="none"/>
        </w:rPr>
        <w:t>表</w:t>
      </w:r>
    </w:p>
    <w:tbl>
      <w:tblPr>
        <w:tblStyle w:val="1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3209"/>
        <w:gridCol w:w="3245"/>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序号</w:t>
            </w:r>
          </w:p>
        </w:tc>
        <w:tc>
          <w:tcPr>
            <w:tcW w:w="3209"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招标文件章节及具体内容</w:t>
            </w:r>
          </w:p>
        </w:tc>
        <w:tc>
          <w:tcPr>
            <w:tcW w:w="3245"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投标文件章节及具体内容</w:t>
            </w:r>
          </w:p>
        </w:tc>
        <w:tc>
          <w:tcPr>
            <w:tcW w:w="2096"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lang w:eastAsia="zh-CN"/>
              </w:rPr>
              <w:t>响应或</w:t>
            </w:r>
            <w:r>
              <w:rPr>
                <w:rFonts w:hint="eastAsia" w:ascii="仿宋" w:hAnsi="仿宋" w:eastAsia="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1</w:t>
            </w:r>
          </w:p>
        </w:tc>
        <w:tc>
          <w:tcPr>
            <w:tcW w:w="3209" w:type="dxa"/>
            <w:noWrap w:val="0"/>
            <w:vAlign w:val="center"/>
          </w:tcPr>
          <w:p>
            <w:pPr>
              <w:jc w:val="center"/>
              <w:rPr>
                <w:rFonts w:hint="eastAsia" w:ascii="仿宋" w:hAnsi="仿宋" w:eastAsia="仿宋"/>
                <w:color w:val="auto"/>
                <w:szCs w:val="21"/>
                <w:highlight w:val="none"/>
              </w:rPr>
            </w:pPr>
          </w:p>
        </w:tc>
        <w:tc>
          <w:tcPr>
            <w:tcW w:w="3245" w:type="dxa"/>
            <w:noWrap w:val="0"/>
            <w:vAlign w:val="center"/>
          </w:tcPr>
          <w:p>
            <w:pPr>
              <w:jc w:val="center"/>
              <w:rPr>
                <w:rFonts w:hint="eastAsia" w:ascii="仿宋" w:hAnsi="仿宋" w:eastAsia="仿宋"/>
                <w:color w:val="auto"/>
                <w:szCs w:val="21"/>
                <w:highlight w:val="none"/>
              </w:rPr>
            </w:pPr>
          </w:p>
        </w:tc>
        <w:tc>
          <w:tcPr>
            <w:tcW w:w="2096" w:type="dxa"/>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2</w:t>
            </w:r>
          </w:p>
        </w:tc>
        <w:tc>
          <w:tcPr>
            <w:tcW w:w="3209" w:type="dxa"/>
            <w:noWrap w:val="0"/>
            <w:vAlign w:val="center"/>
          </w:tcPr>
          <w:p>
            <w:pPr>
              <w:jc w:val="center"/>
              <w:rPr>
                <w:rFonts w:hint="eastAsia" w:ascii="仿宋" w:hAnsi="仿宋" w:eastAsia="仿宋"/>
                <w:color w:val="auto"/>
                <w:szCs w:val="21"/>
                <w:highlight w:val="none"/>
              </w:rPr>
            </w:pPr>
          </w:p>
        </w:tc>
        <w:tc>
          <w:tcPr>
            <w:tcW w:w="3245" w:type="dxa"/>
            <w:noWrap w:val="0"/>
            <w:vAlign w:val="center"/>
          </w:tcPr>
          <w:p>
            <w:pPr>
              <w:jc w:val="center"/>
              <w:rPr>
                <w:rFonts w:hint="eastAsia" w:ascii="仿宋" w:hAnsi="仿宋" w:eastAsia="仿宋"/>
                <w:color w:val="auto"/>
                <w:szCs w:val="21"/>
                <w:highlight w:val="none"/>
              </w:rPr>
            </w:pPr>
          </w:p>
        </w:tc>
        <w:tc>
          <w:tcPr>
            <w:tcW w:w="2096" w:type="dxa"/>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w:t>
            </w:r>
          </w:p>
        </w:tc>
        <w:tc>
          <w:tcPr>
            <w:tcW w:w="3209" w:type="dxa"/>
            <w:noWrap w:val="0"/>
            <w:vAlign w:val="center"/>
          </w:tcPr>
          <w:p>
            <w:pPr>
              <w:jc w:val="center"/>
              <w:rPr>
                <w:rFonts w:hint="eastAsia" w:ascii="仿宋" w:hAnsi="仿宋" w:eastAsia="仿宋"/>
                <w:color w:val="auto"/>
                <w:szCs w:val="21"/>
                <w:highlight w:val="none"/>
              </w:rPr>
            </w:pPr>
          </w:p>
        </w:tc>
        <w:tc>
          <w:tcPr>
            <w:tcW w:w="3245" w:type="dxa"/>
            <w:noWrap w:val="0"/>
            <w:vAlign w:val="center"/>
          </w:tcPr>
          <w:p>
            <w:pPr>
              <w:jc w:val="center"/>
              <w:rPr>
                <w:rFonts w:hint="eastAsia" w:ascii="仿宋" w:hAnsi="仿宋" w:eastAsia="仿宋"/>
                <w:color w:val="auto"/>
                <w:szCs w:val="21"/>
                <w:highlight w:val="none"/>
              </w:rPr>
            </w:pPr>
          </w:p>
        </w:tc>
        <w:tc>
          <w:tcPr>
            <w:tcW w:w="2096" w:type="dxa"/>
            <w:noWrap w:val="0"/>
            <w:vAlign w:val="center"/>
          </w:tcPr>
          <w:p>
            <w:pPr>
              <w:jc w:val="center"/>
              <w:rPr>
                <w:rFonts w:hint="eastAsia" w:ascii="仿宋" w:hAnsi="仿宋" w:eastAsia="仿宋"/>
                <w:color w:val="auto"/>
                <w:szCs w:val="21"/>
                <w:highlight w:val="none"/>
              </w:rPr>
            </w:pPr>
          </w:p>
        </w:tc>
      </w:tr>
    </w:tbl>
    <w:p>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投标人保证：除商务偏离表列出的偏离外，投标人响应招标文件的全部商务要求。</w:t>
      </w:r>
    </w:p>
    <w:p>
      <w:pPr>
        <w:adjustRightInd w:val="0"/>
        <w:spacing w:line="360" w:lineRule="auto"/>
        <w:ind w:firstLine="2400" w:firstLineChars="1000"/>
        <w:jc w:val="left"/>
        <w:rPr>
          <w:rFonts w:hint="eastAsia" w:ascii="仿宋" w:hAnsi="仿宋" w:eastAsia="仿宋" w:cs="仿宋"/>
          <w:color w:val="auto"/>
          <w:sz w:val="24"/>
          <w:highlight w:val="none"/>
        </w:rPr>
      </w:pP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法定代表人（负责人）或其授权委托人（签名或印章）：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pStyle w:val="25"/>
        <w:ind w:firstLine="560"/>
        <w:rPr>
          <w:rFonts w:hint="eastAsia"/>
          <w:color w:val="auto"/>
          <w:highlight w:val="none"/>
        </w:rPr>
      </w:pPr>
    </w:p>
    <w:p>
      <w:pPr>
        <w:pStyle w:val="25"/>
        <w:ind w:firstLine="560"/>
        <w:rPr>
          <w:rFonts w:hint="eastAsia"/>
          <w:color w:val="auto"/>
          <w:highlight w:val="none"/>
        </w:rPr>
      </w:pPr>
    </w:p>
    <w:p>
      <w:pPr>
        <w:numPr>
          <w:ilvl w:val="0"/>
          <w:numId w:val="5"/>
        </w:num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技术</w:t>
      </w:r>
      <w:r>
        <w:rPr>
          <w:rFonts w:hint="eastAsia" w:ascii="仿宋" w:hAnsi="仿宋" w:eastAsia="仿宋" w:cs="仿宋"/>
          <w:b/>
          <w:color w:val="auto"/>
          <w:kern w:val="0"/>
          <w:sz w:val="32"/>
          <w:szCs w:val="32"/>
          <w:highlight w:val="none"/>
          <w:lang w:eastAsia="zh-CN"/>
        </w:rPr>
        <w:t>响应</w:t>
      </w:r>
      <w:r>
        <w:rPr>
          <w:rFonts w:hint="eastAsia" w:ascii="仿宋" w:hAnsi="仿宋" w:eastAsia="仿宋" w:cs="仿宋"/>
          <w:b/>
          <w:color w:val="auto"/>
          <w:kern w:val="0"/>
          <w:sz w:val="32"/>
          <w:szCs w:val="32"/>
          <w:highlight w:val="none"/>
        </w:rPr>
        <w:t>表</w:t>
      </w:r>
    </w:p>
    <w:tbl>
      <w:tblPr>
        <w:tblStyle w:val="1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3209"/>
        <w:gridCol w:w="3245"/>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4"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序号</w:t>
            </w:r>
          </w:p>
        </w:tc>
        <w:tc>
          <w:tcPr>
            <w:tcW w:w="3209"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招标文件章节及具体内容</w:t>
            </w:r>
          </w:p>
        </w:tc>
        <w:tc>
          <w:tcPr>
            <w:tcW w:w="3245"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投标文件章节及具体内容</w:t>
            </w:r>
          </w:p>
        </w:tc>
        <w:tc>
          <w:tcPr>
            <w:tcW w:w="2096"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lang w:eastAsia="zh-CN"/>
              </w:rPr>
              <w:t>响应或</w:t>
            </w:r>
            <w:r>
              <w:rPr>
                <w:rFonts w:hint="eastAsia" w:ascii="仿宋" w:hAnsi="仿宋" w:eastAsia="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1</w:t>
            </w:r>
          </w:p>
        </w:tc>
        <w:tc>
          <w:tcPr>
            <w:tcW w:w="3209" w:type="dxa"/>
            <w:noWrap w:val="0"/>
            <w:vAlign w:val="center"/>
          </w:tcPr>
          <w:p>
            <w:pPr>
              <w:jc w:val="center"/>
              <w:rPr>
                <w:rFonts w:hint="eastAsia" w:ascii="仿宋" w:hAnsi="仿宋" w:eastAsia="仿宋"/>
                <w:color w:val="auto"/>
                <w:szCs w:val="21"/>
                <w:highlight w:val="none"/>
              </w:rPr>
            </w:pPr>
          </w:p>
        </w:tc>
        <w:tc>
          <w:tcPr>
            <w:tcW w:w="3245" w:type="dxa"/>
            <w:noWrap w:val="0"/>
            <w:vAlign w:val="center"/>
          </w:tcPr>
          <w:p>
            <w:pPr>
              <w:jc w:val="center"/>
              <w:rPr>
                <w:rFonts w:hint="eastAsia" w:ascii="仿宋" w:hAnsi="仿宋" w:eastAsia="仿宋"/>
                <w:color w:val="auto"/>
                <w:szCs w:val="21"/>
                <w:highlight w:val="none"/>
              </w:rPr>
            </w:pPr>
          </w:p>
        </w:tc>
        <w:tc>
          <w:tcPr>
            <w:tcW w:w="2096" w:type="dxa"/>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4"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2</w:t>
            </w:r>
          </w:p>
        </w:tc>
        <w:tc>
          <w:tcPr>
            <w:tcW w:w="3209" w:type="dxa"/>
            <w:noWrap w:val="0"/>
            <w:vAlign w:val="center"/>
          </w:tcPr>
          <w:p>
            <w:pPr>
              <w:jc w:val="center"/>
              <w:rPr>
                <w:rFonts w:hint="eastAsia" w:ascii="仿宋" w:hAnsi="仿宋" w:eastAsia="仿宋"/>
                <w:color w:val="auto"/>
                <w:szCs w:val="21"/>
                <w:highlight w:val="none"/>
              </w:rPr>
            </w:pPr>
          </w:p>
        </w:tc>
        <w:tc>
          <w:tcPr>
            <w:tcW w:w="3245" w:type="dxa"/>
            <w:noWrap w:val="0"/>
            <w:vAlign w:val="center"/>
          </w:tcPr>
          <w:p>
            <w:pPr>
              <w:jc w:val="center"/>
              <w:rPr>
                <w:rFonts w:hint="eastAsia" w:ascii="仿宋" w:hAnsi="仿宋" w:eastAsia="仿宋"/>
                <w:color w:val="auto"/>
                <w:szCs w:val="21"/>
                <w:highlight w:val="none"/>
              </w:rPr>
            </w:pPr>
          </w:p>
        </w:tc>
        <w:tc>
          <w:tcPr>
            <w:tcW w:w="2096" w:type="dxa"/>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4" w:type="dxa"/>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w:t>
            </w:r>
          </w:p>
        </w:tc>
        <w:tc>
          <w:tcPr>
            <w:tcW w:w="3209" w:type="dxa"/>
            <w:noWrap w:val="0"/>
            <w:vAlign w:val="center"/>
          </w:tcPr>
          <w:p>
            <w:pPr>
              <w:jc w:val="center"/>
              <w:rPr>
                <w:rFonts w:hint="eastAsia" w:ascii="仿宋" w:hAnsi="仿宋" w:eastAsia="仿宋"/>
                <w:color w:val="auto"/>
                <w:szCs w:val="21"/>
                <w:highlight w:val="none"/>
              </w:rPr>
            </w:pPr>
          </w:p>
        </w:tc>
        <w:tc>
          <w:tcPr>
            <w:tcW w:w="3245" w:type="dxa"/>
            <w:noWrap w:val="0"/>
            <w:vAlign w:val="center"/>
          </w:tcPr>
          <w:p>
            <w:pPr>
              <w:jc w:val="center"/>
              <w:rPr>
                <w:rFonts w:hint="eastAsia" w:ascii="仿宋" w:hAnsi="仿宋" w:eastAsia="仿宋"/>
                <w:color w:val="auto"/>
                <w:szCs w:val="21"/>
                <w:highlight w:val="none"/>
              </w:rPr>
            </w:pPr>
          </w:p>
        </w:tc>
        <w:tc>
          <w:tcPr>
            <w:tcW w:w="2096" w:type="dxa"/>
            <w:noWrap w:val="0"/>
            <w:vAlign w:val="center"/>
          </w:tcPr>
          <w:p>
            <w:pPr>
              <w:jc w:val="center"/>
              <w:rPr>
                <w:rFonts w:hint="eastAsia" w:ascii="仿宋" w:hAnsi="仿宋" w:eastAsia="仿宋"/>
                <w:color w:val="auto"/>
                <w:szCs w:val="21"/>
                <w:highlight w:val="none"/>
              </w:rPr>
            </w:pPr>
          </w:p>
        </w:tc>
      </w:tr>
    </w:tbl>
    <w:p>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投标人保证：除技术偏离表列出的偏离外，投标人响应招标文件的全部技术要求。</w:t>
      </w:r>
    </w:p>
    <w:p>
      <w:pPr>
        <w:adjustRightInd w:val="0"/>
        <w:spacing w:line="360" w:lineRule="auto"/>
        <w:ind w:firstLine="2400" w:firstLineChars="1000"/>
        <w:jc w:val="left"/>
        <w:rPr>
          <w:rFonts w:hint="eastAsia" w:ascii="仿宋" w:hAnsi="仿宋" w:eastAsia="仿宋" w:cs="仿宋"/>
          <w:color w:val="auto"/>
          <w:sz w:val="24"/>
          <w:highlight w:val="none"/>
        </w:rPr>
      </w:pP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法定代表人（负责人）或其授权委托人（签名或印章）：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rPr>
          <w:rFonts w:hint="eastAsia" w:ascii="仿宋" w:hAnsi="仿宋" w:eastAsia="仿宋" w:cs="仿宋"/>
          <w:b/>
          <w:color w:val="auto"/>
          <w:kern w:val="0"/>
          <w:sz w:val="32"/>
          <w:szCs w:val="32"/>
          <w:highlight w:val="none"/>
        </w:rPr>
      </w:pPr>
    </w:p>
    <w:p>
      <w:pPr>
        <w:numPr>
          <w:ilvl w:val="0"/>
          <w:numId w:val="5"/>
        </w:num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同类业绩情况一览表</w:t>
      </w:r>
    </w:p>
    <w:tbl>
      <w:tblPr>
        <w:tblStyle w:val="14"/>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5"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color w:val="auto"/>
                <w:szCs w:val="21"/>
                <w:highlight w:val="none"/>
              </w:rPr>
            </w:pPr>
            <w:r>
              <w:rPr>
                <w:rFonts w:hint="eastAsia" w:ascii="仿宋" w:hAnsi="仿宋" w:eastAsia="仿宋"/>
                <w:b/>
                <w:color w:val="auto"/>
                <w:szCs w:val="21"/>
                <w:highlight w:val="none"/>
              </w:rPr>
              <w:t>序号</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color w:val="auto"/>
                <w:szCs w:val="21"/>
                <w:highlight w:val="none"/>
              </w:rPr>
            </w:pPr>
            <w:r>
              <w:rPr>
                <w:rFonts w:hint="eastAsia" w:ascii="仿宋" w:hAnsi="仿宋" w:eastAsia="仿宋"/>
                <w:b/>
                <w:color w:val="auto"/>
                <w:szCs w:val="21"/>
                <w:highlight w:val="none"/>
              </w:rPr>
              <w:t>采购单位名称</w:t>
            </w:r>
          </w:p>
        </w:tc>
        <w:tc>
          <w:tcPr>
            <w:tcW w:w="1732"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color w:val="auto"/>
                <w:szCs w:val="21"/>
                <w:highlight w:val="none"/>
              </w:rPr>
            </w:pPr>
            <w:r>
              <w:rPr>
                <w:rFonts w:hint="eastAsia" w:ascii="仿宋" w:hAnsi="仿宋" w:eastAsia="仿宋"/>
                <w:b/>
                <w:color w:val="auto"/>
                <w:szCs w:val="21"/>
                <w:highlight w:val="none"/>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color w:val="auto"/>
                <w:szCs w:val="21"/>
                <w:highlight w:val="none"/>
              </w:rPr>
            </w:pPr>
            <w:r>
              <w:rPr>
                <w:rFonts w:hint="eastAsia" w:ascii="仿宋" w:hAnsi="仿宋" w:eastAsia="仿宋"/>
                <w:b/>
                <w:color w:val="auto"/>
                <w:szCs w:val="21"/>
                <w:highlight w:val="none"/>
              </w:rPr>
              <w:t>合同金额（万元）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color w:val="auto"/>
                <w:szCs w:val="21"/>
                <w:highlight w:val="none"/>
              </w:rPr>
            </w:pPr>
            <w:r>
              <w:rPr>
                <w:rFonts w:hint="eastAsia" w:ascii="仿宋" w:hAnsi="仿宋" w:eastAsia="仿宋"/>
                <w:b/>
                <w:color w:val="auto"/>
                <w:szCs w:val="21"/>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color w:val="auto"/>
                <w:szCs w:val="21"/>
                <w:highlight w:val="none"/>
              </w:rPr>
            </w:pPr>
            <w:r>
              <w:rPr>
                <w:rFonts w:hint="eastAsia" w:ascii="仿宋" w:hAnsi="仿宋" w:eastAsia="仿宋"/>
                <w:b/>
                <w:color w:val="auto"/>
                <w:szCs w:val="21"/>
                <w:highlight w:val="none"/>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1</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2</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3</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4</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1"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5</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Cs w:val="21"/>
                <w:highlight w:val="none"/>
              </w:rPr>
            </w:pPr>
          </w:p>
        </w:tc>
      </w:tr>
    </w:tbl>
    <w:p>
      <w:pPr>
        <w:spacing w:line="360" w:lineRule="auto"/>
        <w:jc w:val="left"/>
        <w:rPr>
          <w:rFonts w:hint="eastAsia" w:ascii="仿宋" w:hAnsi="仿宋" w:eastAsia="仿宋" w:cs="仿宋"/>
          <w:color w:val="auto"/>
          <w:kern w:val="0"/>
          <w:sz w:val="24"/>
          <w:highlight w:val="none"/>
        </w:rPr>
      </w:pPr>
    </w:p>
    <w:p>
      <w:pPr>
        <w:spacing w:line="360" w:lineRule="auto"/>
        <w:jc w:val="left"/>
        <w:rPr>
          <w:rFonts w:hint="eastAsia" w:ascii="仿宋" w:hAnsi="仿宋" w:eastAsia="仿宋" w:cs="仿宋"/>
          <w:color w:val="auto"/>
          <w:kern w:val="0"/>
          <w:sz w:val="24"/>
          <w:highlight w:val="none"/>
        </w:rPr>
      </w:pP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法定代表人（负责人）或其授权委托人（签名或印章）：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color w:val="auto"/>
          <w:highlight w:val="none"/>
        </w:rPr>
        <w:br w:type="page"/>
      </w:r>
      <w:r>
        <w:rPr>
          <w:rFonts w:hint="eastAsia" w:ascii="仿宋" w:hAnsi="仿宋" w:eastAsia="仿宋" w:cs="仿宋"/>
          <w:b/>
          <w:color w:val="auto"/>
          <w:kern w:val="0"/>
          <w:sz w:val="32"/>
          <w:szCs w:val="32"/>
          <w:highlight w:val="none"/>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宁波建兴招标有限公司/</w:t>
      </w:r>
      <w:r>
        <w:rPr>
          <w:rFonts w:hint="eastAsia" w:ascii="仿宋" w:hAnsi="仿宋" w:eastAsia="仿宋" w:cs="仿宋"/>
          <w:color w:val="auto"/>
          <w:sz w:val="24"/>
          <w:highlight w:val="none"/>
          <w:lang w:eastAsia="zh-CN"/>
        </w:rPr>
        <w:t>宁波市奉化区园林管理处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进行项目建设或其他经营活动，并通报奉化区财政局。由此引起的相应损失均由我单位承担。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法定代表人（负责人）或其授权委托人（签名或印章）：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jc w:val="left"/>
        <w:rPr>
          <w:rFonts w:hint="eastAsia" w:ascii="仿宋" w:hAnsi="仿宋" w:eastAsia="仿宋" w:cs="仿宋"/>
          <w:b/>
          <w:bCs/>
          <w:color w:val="auto"/>
          <w:sz w:val="24"/>
          <w:highlight w:val="none"/>
        </w:rPr>
      </w:pPr>
    </w:p>
    <w:p>
      <w:pPr>
        <w:spacing w:line="360" w:lineRule="auto"/>
        <w:jc w:val="left"/>
        <w:rPr>
          <w:rFonts w:hint="eastAsia" w:ascii="仿宋" w:hAnsi="仿宋" w:eastAsia="仿宋" w:cs="仿宋"/>
          <w:b/>
          <w:bCs/>
          <w:color w:val="auto"/>
          <w:sz w:val="24"/>
          <w:highlight w:val="none"/>
        </w:rPr>
        <w:sectPr>
          <w:footerReference r:id="rId7" w:type="first"/>
          <w:footerReference r:id="rId6" w:type="default"/>
          <w:pgSz w:w="11906" w:h="16838"/>
          <w:pgMar w:top="1276" w:right="1418" w:bottom="1247" w:left="1418" w:header="851" w:footer="992" w:gutter="0"/>
          <w:cols w:space="720" w:num="1"/>
          <w:titlePg/>
          <w:docGrid w:linePitch="312" w:charSpace="0"/>
        </w:sectPr>
      </w:pP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报价文件部分</w:t>
      </w:r>
    </w:p>
    <w:p>
      <w:pPr>
        <w:spacing w:before="120" w:beforeLines="50" w:after="120" w:afterLines="50"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目录</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1.开标一览表；</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2.投标报价明细表；</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.政府采购统计基础信息表；</w:t>
      </w:r>
    </w:p>
    <w:p>
      <w:pPr>
        <w:adjustRightInd w:val="0"/>
        <w:snapToGrid w:val="0"/>
        <w:spacing w:line="360" w:lineRule="auto"/>
        <w:ind w:left="420" w:leftChars="20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.其他资料（如有）。</w:t>
      </w:r>
    </w:p>
    <w:p>
      <w:pPr>
        <w:snapToGrid w:val="0"/>
        <w:spacing w:line="360" w:lineRule="auto"/>
        <w:ind w:right="480"/>
        <w:rPr>
          <w:rFonts w:hint="eastAsia" w:ascii="仿宋" w:hAnsi="仿宋" w:eastAsia="仿宋" w:cs="仿宋"/>
          <w:b/>
          <w:color w:val="auto"/>
          <w:kern w:val="0"/>
          <w:sz w:val="32"/>
          <w:szCs w:val="32"/>
          <w:highlight w:val="none"/>
        </w:rPr>
      </w:pPr>
    </w:p>
    <w:p>
      <w:pPr>
        <w:pStyle w:val="27"/>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pStyle w:val="27"/>
        <w:keepNext w:val="0"/>
        <w:pageBreakBefore w:val="0"/>
        <w:tabs>
          <w:tab w:val="clear" w:pos="720"/>
        </w:tabs>
        <w:snapToGrid w:val="0"/>
        <w:spacing w:before="120" w:after="12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w:t>
      </w:r>
    </w:p>
    <w:p>
      <w:pPr>
        <w:snapToGrid w:val="0"/>
        <w:spacing w:line="360" w:lineRule="auto"/>
        <w:rPr>
          <w:rFonts w:ascii="仿宋" w:hAnsi="仿宋" w:eastAsia="仿宋" w:cs="仿宋"/>
          <w:color w:val="auto"/>
          <w:kern w:val="0"/>
          <w:sz w:val="24"/>
          <w:highlight w:val="none"/>
          <w:u w:val="single"/>
        </w:rPr>
      </w:pPr>
      <w:r>
        <w:rPr>
          <w:rFonts w:hint="eastAsia" w:ascii="仿宋" w:hAnsi="仿宋" w:eastAsia="仿宋" w:cs="仿宋"/>
          <w:color w:val="auto"/>
          <w:sz w:val="24"/>
          <w:highlight w:val="none"/>
          <w:lang w:eastAsia="zh-CN"/>
        </w:rPr>
        <w:t>宁波市奉化区园林管理处</w:t>
      </w:r>
      <w:r>
        <w:rPr>
          <w:rFonts w:hint="eastAsia" w:ascii="仿宋" w:hAnsi="仿宋" w:eastAsia="仿宋" w:cs="仿宋"/>
          <w:color w:val="auto"/>
          <w:sz w:val="24"/>
          <w:highlight w:val="none"/>
        </w:rPr>
        <w:t>、宁波建兴招标有限公司</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奉化城区功能性照明设施维修养护管理服务项目</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NBJX2022154G</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FHZFCG(2022)186D</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before="120" w:beforeLines="50" w:after="120" w:afterLines="50"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p>
      <w:pPr>
        <w:spacing w:line="360" w:lineRule="auto"/>
        <w:jc w:val="righ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单位：人民币元</w:t>
      </w:r>
    </w:p>
    <w:tbl>
      <w:tblPr>
        <w:tblStyle w:val="14"/>
        <w:tblW w:w="14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313"/>
        <w:gridCol w:w="3852"/>
        <w:gridCol w:w="2666"/>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93" w:hRule="atLeast"/>
        </w:trPr>
        <w:tc>
          <w:tcPr>
            <w:tcW w:w="818" w:type="dxa"/>
            <w:noWrap w:val="0"/>
            <w:vAlign w:val="center"/>
          </w:tcPr>
          <w:p>
            <w:pPr>
              <w:pStyle w:val="35"/>
              <w:widowControl w:val="0"/>
              <w:numPr>
                <w:ilvl w:val="0"/>
                <w:numId w:val="0"/>
              </w:numPr>
              <w:spacing w:afterLines="0" w:line="400" w:lineRule="exact"/>
              <w:jc w:val="center"/>
              <w:rPr>
                <w:rFonts w:hint="eastAsia"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313" w:type="dxa"/>
            <w:noWrap w:val="0"/>
            <w:vAlign w:val="center"/>
          </w:tcPr>
          <w:p>
            <w:pPr>
              <w:pStyle w:val="35"/>
              <w:widowControl w:val="0"/>
              <w:numPr>
                <w:ilvl w:val="0"/>
                <w:numId w:val="0"/>
              </w:numPr>
              <w:spacing w:afterLines="0" w:line="400" w:lineRule="exact"/>
              <w:jc w:val="center"/>
              <w:rPr>
                <w:rFonts w:hint="eastAsia" w:ascii="仿宋" w:hAnsi="仿宋" w:eastAsia="仿宋"/>
                <w:b/>
                <w:color w:val="auto"/>
                <w:sz w:val="21"/>
                <w:szCs w:val="21"/>
                <w:highlight w:val="none"/>
              </w:rPr>
            </w:pPr>
            <w:r>
              <w:rPr>
                <w:rFonts w:hint="eastAsia" w:ascii="仿宋" w:hAnsi="仿宋" w:eastAsia="仿宋"/>
                <w:b/>
                <w:color w:val="auto"/>
                <w:sz w:val="21"/>
                <w:szCs w:val="21"/>
                <w:highlight w:val="none"/>
              </w:rPr>
              <w:t>名称</w:t>
            </w:r>
          </w:p>
        </w:tc>
        <w:tc>
          <w:tcPr>
            <w:tcW w:w="3852" w:type="dxa"/>
            <w:noWrap w:val="0"/>
            <w:vAlign w:val="center"/>
          </w:tcPr>
          <w:p>
            <w:pPr>
              <w:pStyle w:val="35"/>
              <w:widowControl w:val="0"/>
              <w:numPr>
                <w:ilvl w:val="0"/>
                <w:numId w:val="0"/>
              </w:numPr>
              <w:spacing w:afterLines="0" w:line="400" w:lineRule="exact"/>
              <w:jc w:val="center"/>
              <w:rPr>
                <w:rFonts w:hint="eastAsia" w:ascii="仿宋" w:hAnsi="仿宋" w:eastAsia="仿宋"/>
                <w:b/>
                <w:color w:val="auto"/>
                <w:sz w:val="21"/>
                <w:szCs w:val="21"/>
                <w:highlight w:val="none"/>
              </w:rPr>
            </w:pPr>
            <w:r>
              <w:rPr>
                <w:rFonts w:hint="eastAsia" w:ascii="仿宋" w:hAnsi="仿宋" w:eastAsia="仿宋"/>
                <w:b/>
                <w:color w:val="auto"/>
                <w:sz w:val="21"/>
                <w:szCs w:val="21"/>
                <w:highlight w:val="none"/>
              </w:rPr>
              <w:t>规格型号（或具体服务）</w:t>
            </w:r>
          </w:p>
        </w:tc>
        <w:tc>
          <w:tcPr>
            <w:tcW w:w="2666" w:type="dxa"/>
            <w:noWrap w:val="0"/>
            <w:vAlign w:val="center"/>
          </w:tcPr>
          <w:p>
            <w:pPr>
              <w:pStyle w:val="35"/>
              <w:widowControl w:val="0"/>
              <w:numPr>
                <w:ilvl w:val="0"/>
                <w:numId w:val="0"/>
              </w:numPr>
              <w:spacing w:afterLines="0" w:line="400" w:lineRule="exact"/>
              <w:jc w:val="center"/>
              <w:rPr>
                <w:rFonts w:hint="eastAsia" w:ascii="仿宋" w:hAnsi="仿宋" w:eastAsia="仿宋"/>
                <w:b/>
                <w:color w:val="auto"/>
                <w:sz w:val="21"/>
                <w:szCs w:val="21"/>
                <w:highlight w:val="none"/>
              </w:rPr>
            </w:pPr>
            <w:r>
              <w:rPr>
                <w:rFonts w:hint="eastAsia" w:ascii="仿宋" w:hAnsi="仿宋" w:eastAsia="仿宋"/>
                <w:b/>
                <w:color w:val="auto"/>
                <w:sz w:val="21"/>
                <w:szCs w:val="21"/>
                <w:highlight w:val="none"/>
              </w:rPr>
              <w:t>总价</w:t>
            </w:r>
          </w:p>
        </w:tc>
        <w:tc>
          <w:tcPr>
            <w:tcW w:w="3839" w:type="dxa"/>
            <w:noWrap w:val="0"/>
            <w:vAlign w:val="center"/>
          </w:tcPr>
          <w:p>
            <w:pPr>
              <w:pStyle w:val="35"/>
              <w:widowControl w:val="0"/>
              <w:numPr>
                <w:ilvl w:val="0"/>
                <w:numId w:val="0"/>
              </w:numPr>
              <w:spacing w:afterLines="0" w:line="400" w:lineRule="exact"/>
              <w:jc w:val="center"/>
              <w:rPr>
                <w:rFonts w:hint="eastAsia" w:ascii="仿宋" w:hAnsi="仿宋" w:eastAsia="仿宋"/>
                <w:b/>
                <w:color w:val="auto"/>
                <w:sz w:val="21"/>
                <w:szCs w:val="21"/>
                <w:highlight w:val="none"/>
              </w:rPr>
            </w:pPr>
            <w:r>
              <w:rPr>
                <w:rFonts w:hint="eastAsia" w:ascii="仿宋" w:hAnsi="仿宋" w:eastAsia="仿宋"/>
                <w:b/>
                <w:color w:val="auto"/>
                <w:sz w:val="21"/>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25" w:hRule="atLeast"/>
        </w:trPr>
        <w:tc>
          <w:tcPr>
            <w:tcW w:w="818" w:type="dxa"/>
            <w:noWrap w:val="0"/>
            <w:vAlign w:val="center"/>
          </w:tcPr>
          <w:p>
            <w:pPr>
              <w:pStyle w:val="35"/>
              <w:widowControl w:val="0"/>
              <w:numPr>
                <w:ilvl w:val="0"/>
                <w:numId w:val="0"/>
              </w:numPr>
              <w:spacing w:afterLines="0" w:line="400" w:lineRule="exact"/>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3313" w:type="dxa"/>
            <w:noWrap w:val="0"/>
            <w:vAlign w:val="center"/>
          </w:tcPr>
          <w:p>
            <w:pPr>
              <w:pStyle w:val="35"/>
              <w:widowControl w:val="0"/>
              <w:numPr>
                <w:ilvl w:val="0"/>
                <w:numId w:val="0"/>
              </w:numPr>
              <w:spacing w:afterLines="0" w:line="400" w:lineRule="exact"/>
              <w:jc w:val="cente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eastAsia="zh-CN"/>
              </w:rPr>
              <w:t>奉化城区功能性照明设施维修养护管理服务项目</w:t>
            </w:r>
          </w:p>
        </w:tc>
        <w:tc>
          <w:tcPr>
            <w:tcW w:w="3852" w:type="dxa"/>
            <w:noWrap w:val="0"/>
            <w:vAlign w:val="center"/>
          </w:tcPr>
          <w:p>
            <w:pPr>
              <w:pStyle w:val="35"/>
              <w:widowControl w:val="0"/>
              <w:numPr>
                <w:ilvl w:val="0"/>
                <w:numId w:val="0"/>
              </w:numPr>
              <w:spacing w:afterLines="0" w:line="400" w:lineRule="exact"/>
              <w:jc w:val="center"/>
              <w:rPr>
                <w:rFonts w:hint="eastAsia" w:ascii="仿宋" w:hAnsi="仿宋" w:eastAsia="仿宋" w:cs="Times New Roman"/>
                <w:color w:val="auto"/>
                <w:sz w:val="21"/>
                <w:szCs w:val="21"/>
                <w:highlight w:val="none"/>
                <w:lang w:eastAsia="zh-CN"/>
              </w:rPr>
            </w:pPr>
            <w:r>
              <w:rPr>
                <w:rFonts w:hint="eastAsia" w:ascii="仿宋" w:hAnsi="仿宋" w:eastAsia="仿宋"/>
                <w:color w:val="auto"/>
                <w:sz w:val="21"/>
                <w:szCs w:val="21"/>
                <w:highlight w:val="none"/>
                <w:lang w:eastAsia="zh-CN"/>
              </w:rPr>
              <w:t>奉化城区功能性照明设施维修养护管理服务</w:t>
            </w:r>
          </w:p>
        </w:tc>
        <w:tc>
          <w:tcPr>
            <w:tcW w:w="2666" w:type="dxa"/>
            <w:noWrap w:val="0"/>
            <w:vAlign w:val="center"/>
          </w:tcPr>
          <w:p>
            <w:pPr>
              <w:spacing w:line="360" w:lineRule="auto"/>
              <w:jc w:val="center"/>
              <w:rPr>
                <w:rFonts w:hint="eastAsia" w:ascii="仿宋" w:hAnsi="仿宋" w:eastAsia="仿宋" w:cs="仿宋"/>
                <w:color w:val="auto"/>
                <w:szCs w:val="21"/>
                <w:highlight w:val="none"/>
              </w:rPr>
            </w:pPr>
          </w:p>
        </w:tc>
        <w:tc>
          <w:tcPr>
            <w:tcW w:w="3839" w:type="dxa"/>
            <w:noWrap w:val="0"/>
            <w:vAlign w:val="center"/>
          </w:tcPr>
          <w:p>
            <w:pPr>
              <w:pStyle w:val="35"/>
              <w:widowControl w:val="0"/>
              <w:numPr>
                <w:ilvl w:val="0"/>
                <w:numId w:val="0"/>
              </w:numPr>
              <w:spacing w:afterLines="0" w:line="400" w:lineRule="exact"/>
              <w:jc w:val="center"/>
              <w:rPr>
                <w:rFonts w:hint="eastAsia" w:ascii="仿宋" w:hAnsi="仿宋" w:eastAsia="仿宋"/>
                <w:color w:val="auto"/>
                <w:sz w:val="21"/>
                <w:szCs w:val="21"/>
                <w:highlight w:val="none"/>
              </w:rPr>
            </w:pPr>
            <w:r>
              <w:rPr>
                <w:rFonts w:hint="eastAsia" w:ascii="仿宋" w:hAnsi="仿宋" w:eastAsia="仿宋"/>
                <w:color w:val="auto"/>
                <w:sz w:val="21"/>
                <w:szCs w:val="21"/>
                <w:highlight w:val="none"/>
                <w:lang w:eastAsia="zh-CN"/>
              </w:rPr>
              <w:t>3年，合同一年一签，每年根据采购人考核情况及中标人的合同履行情况，经双方协商一致方可续签</w:t>
            </w:r>
            <w:r>
              <w:rPr>
                <w:rFonts w:hint="eastAsia" w:ascii="仿宋" w:hAnsi="仿宋" w:eastAsia="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25" w:hRule="atLeast"/>
        </w:trPr>
        <w:tc>
          <w:tcPr>
            <w:tcW w:w="7983" w:type="dxa"/>
            <w:gridSpan w:val="3"/>
            <w:noWrap w:val="0"/>
            <w:vAlign w:val="center"/>
          </w:tcPr>
          <w:p>
            <w:pPr>
              <w:pStyle w:val="35"/>
              <w:widowControl w:val="0"/>
              <w:numPr>
                <w:ilvl w:val="0"/>
                <w:numId w:val="0"/>
              </w:numPr>
              <w:spacing w:afterLines="0" w:line="400" w:lineRule="exact"/>
              <w:jc w:val="center"/>
              <w:rPr>
                <w:rFonts w:hint="eastAsia" w:ascii="仿宋" w:hAnsi="仿宋" w:eastAsia="仿宋"/>
                <w:b/>
                <w:color w:val="auto"/>
                <w:sz w:val="21"/>
                <w:szCs w:val="21"/>
                <w:highlight w:val="none"/>
              </w:rPr>
            </w:pPr>
            <w:r>
              <w:rPr>
                <w:rFonts w:hint="eastAsia" w:ascii="仿宋" w:hAnsi="仿宋" w:eastAsia="仿宋"/>
                <w:b/>
                <w:color w:val="auto"/>
                <w:sz w:val="21"/>
                <w:szCs w:val="21"/>
                <w:highlight w:val="none"/>
              </w:rPr>
              <w:t>投标报价（小写）</w:t>
            </w:r>
          </w:p>
        </w:tc>
        <w:tc>
          <w:tcPr>
            <w:tcW w:w="6505" w:type="dxa"/>
            <w:gridSpan w:val="2"/>
            <w:noWrap w:val="0"/>
            <w:vAlign w:val="center"/>
          </w:tcPr>
          <w:p>
            <w:pPr>
              <w:pStyle w:val="35"/>
              <w:widowControl w:val="0"/>
              <w:numPr>
                <w:ilvl w:val="0"/>
                <w:numId w:val="0"/>
              </w:numPr>
              <w:spacing w:afterLines="0" w:line="400" w:lineRule="exact"/>
              <w:jc w:val="center"/>
              <w:rPr>
                <w:rFonts w:hint="eastAsia" w:ascii="仿宋" w:hAnsi="仿宋" w:eastAsia="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25" w:hRule="atLeast"/>
        </w:trPr>
        <w:tc>
          <w:tcPr>
            <w:tcW w:w="7983" w:type="dxa"/>
            <w:gridSpan w:val="3"/>
            <w:noWrap w:val="0"/>
            <w:vAlign w:val="center"/>
          </w:tcPr>
          <w:p>
            <w:pPr>
              <w:pStyle w:val="35"/>
              <w:widowControl w:val="0"/>
              <w:numPr>
                <w:ilvl w:val="0"/>
                <w:numId w:val="0"/>
              </w:numPr>
              <w:spacing w:afterLines="0" w:line="400" w:lineRule="exact"/>
              <w:jc w:val="center"/>
              <w:rPr>
                <w:rFonts w:hint="eastAsia" w:ascii="仿宋" w:hAnsi="仿宋" w:eastAsia="仿宋"/>
                <w:b/>
                <w:color w:val="auto"/>
                <w:sz w:val="21"/>
                <w:szCs w:val="21"/>
                <w:highlight w:val="none"/>
              </w:rPr>
            </w:pPr>
            <w:r>
              <w:rPr>
                <w:rFonts w:hint="eastAsia" w:ascii="仿宋" w:hAnsi="仿宋" w:eastAsia="仿宋"/>
                <w:b/>
                <w:color w:val="auto"/>
                <w:sz w:val="21"/>
                <w:szCs w:val="21"/>
                <w:highlight w:val="none"/>
              </w:rPr>
              <w:t>投标报价（大写）</w:t>
            </w:r>
          </w:p>
        </w:tc>
        <w:tc>
          <w:tcPr>
            <w:tcW w:w="6505" w:type="dxa"/>
            <w:gridSpan w:val="2"/>
            <w:noWrap w:val="0"/>
            <w:vAlign w:val="center"/>
          </w:tcPr>
          <w:p>
            <w:pPr>
              <w:pStyle w:val="35"/>
              <w:widowControl w:val="0"/>
              <w:numPr>
                <w:ilvl w:val="0"/>
                <w:numId w:val="0"/>
              </w:numPr>
              <w:spacing w:afterLines="0" w:line="400" w:lineRule="exact"/>
              <w:jc w:val="center"/>
              <w:rPr>
                <w:rFonts w:hint="eastAsia" w:ascii="仿宋" w:hAnsi="仿宋" w:eastAsia="仿宋"/>
                <w:color w:val="auto"/>
                <w:sz w:val="21"/>
                <w:szCs w:val="21"/>
                <w:highlight w:val="none"/>
              </w:rPr>
            </w:pPr>
          </w:p>
        </w:tc>
      </w:tr>
    </w:tbl>
    <w:p>
      <w:pPr>
        <w:spacing w:line="360" w:lineRule="auto"/>
        <w:ind w:left="-2" w:leftChars="-1"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注：1、投标人需按本表格式填写，不得自行更改。</w:t>
      </w:r>
    </w:p>
    <w:p>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2、有关本项目实施所涉及的一切费用均计入报价。</w:t>
      </w:r>
      <w:r>
        <w:rPr>
          <w:rFonts w:hint="eastAsia" w:ascii="仿宋" w:hAnsi="仿宋" w:eastAsia="仿宋" w:cs="仿宋"/>
          <w:b/>
          <w:color w:val="auto"/>
          <w:kern w:val="0"/>
          <w:szCs w:val="21"/>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Cs w:val="21"/>
          <w:highlight w:val="none"/>
          <w:lang w:val="zh-CN"/>
        </w:rPr>
        <w:t>，</w:t>
      </w:r>
      <w:r>
        <w:rPr>
          <w:rFonts w:hint="eastAsia" w:ascii="仿宋" w:hAnsi="仿宋" w:eastAsia="仿宋" w:cs="仿宋"/>
          <w:b/>
          <w:color w:val="auto"/>
          <w:kern w:val="0"/>
          <w:szCs w:val="21"/>
          <w:highlight w:val="none"/>
          <w:lang w:val="zh-CN"/>
        </w:rPr>
        <w:t>不得出现“0元”“免费赠送”等形式的无偿报价，</w:t>
      </w:r>
      <w:r>
        <w:rPr>
          <w:rFonts w:hint="eastAsia" w:ascii="仿宋" w:hAnsi="仿宋" w:eastAsia="仿宋" w:cs="仿宋"/>
          <w:b/>
          <w:color w:val="auto"/>
          <w:kern w:val="0"/>
          <w:szCs w:val="21"/>
          <w:highlight w:val="none"/>
        </w:rPr>
        <w:t>否则视为</w:t>
      </w:r>
      <w:r>
        <w:rPr>
          <w:rFonts w:hint="eastAsia" w:ascii="仿宋" w:hAnsi="仿宋" w:eastAsia="仿宋" w:cs="仿宋"/>
          <w:b/>
          <w:color w:val="auto"/>
          <w:szCs w:val="21"/>
          <w:highlight w:val="none"/>
        </w:rPr>
        <w:t>投标文件含有采购人不能接受的附加条件的，投标无效</w:t>
      </w:r>
      <w:r>
        <w:rPr>
          <w:rFonts w:hint="eastAsia" w:ascii="仿宋" w:hAnsi="仿宋" w:eastAsia="仿宋" w:cs="仿宋"/>
          <w:b/>
          <w:color w:val="auto"/>
          <w:kern w:val="0"/>
          <w:szCs w:val="21"/>
          <w:highlight w:val="none"/>
          <w:lang w:val="zh-CN"/>
        </w:rPr>
        <w:t>。</w:t>
      </w:r>
    </w:p>
    <w:p>
      <w:pPr>
        <w:snapToGrid w:val="0"/>
        <w:spacing w:line="360" w:lineRule="auto"/>
        <w:ind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3、以上表格要求细分项目及报价，在“规格型号（或具体服务）”一栏中，货物类项目填写规格型号（包括生产厂家或品牌、规格型号），服务类项目填写具体服务。</w:t>
      </w:r>
    </w:p>
    <w:p>
      <w:pPr>
        <w:snapToGrid w:val="0"/>
        <w:spacing w:line="360" w:lineRule="auto"/>
        <w:ind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djustRightInd w:val="0"/>
        <w:spacing w:line="360" w:lineRule="auto"/>
        <w:ind w:firstLine="3200" w:firstLineChars="1000"/>
        <w:jc w:val="left"/>
        <w:rPr>
          <w:rFonts w:hint="eastAsia" w:ascii="仿宋" w:hAnsi="仿宋" w:eastAsia="仿宋" w:cs="仿宋"/>
          <w:color w:val="auto"/>
          <w:sz w:val="32"/>
          <w:szCs w:val="32"/>
          <w:highlight w:val="none"/>
        </w:rPr>
      </w:pP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法定代表人（负责人）或其授权委托人（签名或印章）：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pStyle w:val="27"/>
        <w:keepNext w:val="0"/>
        <w:pageBreakBefore w:val="0"/>
        <w:tabs>
          <w:tab w:val="clear" w:pos="720"/>
        </w:tabs>
        <w:snapToGrid w:val="0"/>
        <w:spacing w:before="120" w:after="120"/>
        <w:ind w:firstLine="643"/>
        <w:jc w:val="left"/>
        <w:outlineLvl w:val="9"/>
        <w:rPr>
          <w:rFonts w:hint="eastAsia" w:ascii="仿宋" w:hAnsi="仿宋" w:eastAsia="仿宋" w:cs="仿宋"/>
          <w:color w:val="auto"/>
          <w:sz w:val="24"/>
          <w:highlight w:val="none"/>
        </w:rPr>
      </w:pPr>
    </w:p>
    <w:p>
      <w:pPr>
        <w:spacing w:line="360" w:lineRule="auto"/>
        <w:ind w:left="7560" w:leftChars="3600"/>
        <w:jc w:val="left"/>
        <w:rPr>
          <w:rFonts w:hint="eastAsia"/>
          <w:color w:val="auto"/>
          <w:highlight w:val="none"/>
        </w:rPr>
        <w:sectPr>
          <w:pgSz w:w="16838" w:h="11906" w:orient="landscape"/>
          <w:pgMar w:top="1418" w:right="1247" w:bottom="1418" w:left="1276" w:header="851" w:footer="992" w:gutter="0"/>
          <w:cols w:space="720" w:num="1"/>
          <w:titlePg/>
          <w:docGrid w:linePitch="312" w:charSpace="0"/>
        </w:sectPr>
      </w:pPr>
    </w:p>
    <w:p>
      <w:pPr>
        <w:pStyle w:val="27"/>
        <w:keepNext w:val="0"/>
        <w:pageBreakBefore w:val="0"/>
        <w:tabs>
          <w:tab w:val="clear" w:pos="720"/>
        </w:tabs>
        <w:snapToGrid w:val="0"/>
        <w:spacing w:before="120" w:after="12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二、投标报价明细表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147"/>
        <w:gridCol w:w="1660"/>
        <w:gridCol w:w="1962"/>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noWrap w:val="0"/>
            <w:vAlign w:val="center"/>
          </w:tcPr>
          <w:p>
            <w:pPr>
              <w:jc w:val="center"/>
              <w:outlineLvl w:val="1"/>
              <w:rPr>
                <w:rFonts w:hint="eastAsia" w:ascii="仿宋" w:hAnsi="仿宋" w:eastAsia="仿宋"/>
                <w:b/>
                <w:color w:val="auto"/>
                <w:spacing w:val="6"/>
                <w:szCs w:val="21"/>
                <w:highlight w:val="none"/>
              </w:rPr>
            </w:pPr>
            <w:bookmarkStart w:id="421" w:name="_Toc41391172"/>
            <w:bookmarkStart w:id="422" w:name="_Toc500967623"/>
            <w:bookmarkStart w:id="423" w:name="_Toc498625401"/>
            <w:bookmarkStart w:id="424" w:name="_Toc38447646"/>
            <w:r>
              <w:rPr>
                <w:rFonts w:hint="eastAsia" w:ascii="仿宋" w:hAnsi="仿宋" w:eastAsia="仿宋"/>
                <w:b/>
                <w:color w:val="auto"/>
                <w:spacing w:val="6"/>
                <w:szCs w:val="21"/>
                <w:highlight w:val="none"/>
              </w:rPr>
              <w:t>序号</w:t>
            </w:r>
            <w:bookmarkEnd w:id="421"/>
            <w:bookmarkEnd w:id="422"/>
            <w:bookmarkEnd w:id="423"/>
            <w:bookmarkEnd w:id="424"/>
          </w:p>
        </w:tc>
        <w:tc>
          <w:tcPr>
            <w:tcW w:w="3147" w:type="dxa"/>
            <w:noWrap w:val="0"/>
            <w:vAlign w:val="center"/>
          </w:tcPr>
          <w:p>
            <w:pPr>
              <w:jc w:val="center"/>
              <w:outlineLvl w:val="1"/>
              <w:rPr>
                <w:rFonts w:hint="eastAsia" w:ascii="仿宋" w:hAnsi="仿宋" w:eastAsia="仿宋"/>
                <w:b/>
                <w:color w:val="auto"/>
                <w:spacing w:val="6"/>
                <w:szCs w:val="21"/>
                <w:highlight w:val="none"/>
              </w:rPr>
            </w:pPr>
            <w:bookmarkStart w:id="425" w:name="_Toc500967624"/>
            <w:bookmarkStart w:id="426" w:name="_Toc498625402"/>
            <w:bookmarkStart w:id="427" w:name="_Toc41391173"/>
            <w:bookmarkStart w:id="428" w:name="_Toc38447647"/>
            <w:r>
              <w:rPr>
                <w:rFonts w:hint="eastAsia" w:ascii="仿宋" w:hAnsi="仿宋" w:eastAsia="仿宋" w:cs="Times New Roman"/>
                <w:b/>
                <w:color w:val="auto"/>
                <w:highlight w:val="none"/>
                <w:lang w:val="en-US" w:eastAsia="zh-CN"/>
              </w:rPr>
              <w:t>功能性照明设施类型</w:t>
            </w:r>
            <w:bookmarkEnd w:id="425"/>
            <w:bookmarkEnd w:id="426"/>
            <w:bookmarkEnd w:id="427"/>
            <w:bookmarkEnd w:id="428"/>
          </w:p>
        </w:tc>
        <w:tc>
          <w:tcPr>
            <w:tcW w:w="1660" w:type="dxa"/>
            <w:noWrap w:val="0"/>
            <w:vAlign w:val="center"/>
          </w:tcPr>
          <w:p>
            <w:pPr>
              <w:jc w:val="center"/>
              <w:outlineLvl w:val="1"/>
              <w:rPr>
                <w:rFonts w:hint="eastAsia" w:ascii="仿宋" w:hAnsi="仿宋" w:eastAsia="仿宋"/>
                <w:b/>
                <w:color w:val="auto"/>
                <w:spacing w:val="6"/>
                <w:szCs w:val="21"/>
                <w:highlight w:val="none"/>
              </w:rPr>
            </w:pPr>
            <w:bookmarkStart w:id="429" w:name="_Toc500967626"/>
            <w:bookmarkStart w:id="430" w:name="_Toc41391174"/>
            <w:bookmarkStart w:id="431" w:name="_Toc38447648"/>
            <w:bookmarkStart w:id="432" w:name="_Toc498625404"/>
            <w:r>
              <w:rPr>
                <w:rFonts w:hint="eastAsia" w:ascii="仿宋" w:hAnsi="仿宋" w:eastAsia="仿宋"/>
                <w:b/>
                <w:color w:val="auto"/>
                <w:spacing w:val="6"/>
                <w:szCs w:val="21"/>
                <w:highlight w:val="none"/>
                <w:lang w:val="en-US" w:eastAsia="zh-CN"/>
              </w:rPr>
              <w:t>暂定</w:t>
            </w:r>
            <w:r>
              <w:rPr>
                <w:rFonts w:hint="eastAsia" w:ascii="仿宋" w:hAnsi="仿宋" w:eastAsia="仿宋"/>
                <w:b/>
                <w:color w:val="auto"/>
                <w:spacing w:val="6"/>
                <w:szCs w:val="21"/>
                <w:highlight w:val="none"/>
              </w:rPr>
              <w:t>数量</w:t>
            </w:r>
            <w:bookmarkEnd w:id="429"/>
            <w:bookmarkEnd w:id="430"/>
            <w:bookmarkEnd w:id="431"/>
            <w:bookmarkEnd w:id="432"/>
          </w:p>
        </w:tc>
        <w:tc>
          <w:tcPr>
            <w:tcW w:w="1962" w:type="dxa"/>
            <w:noWrap w:val="0"/>
            <w:vAlign w:val="center"/>
          </w:tcPr>
          <w:p>
            <w:pPr>
              <w:jc w:val="center"/>
              <w:outlineLvl w:val="1"/>
              <w:rPr>
                <w:rFonts w:hint="eastAsia" w:ascii="仿宋" w:hAnsi="仿宋" w:eastAsia="仿宋"/>
                <w:b/>
                <w:color w:val="auto"/>
                <w:spacing w:val="6"/>
                <w:szCs w:val="21"/>
                <w:highlight w:val="none"/>
                <w:lang w:eastAsia="zh-CN"/>
              </w:rPr>
            </w:pPr>
            <w:r>
              <w:rPr>
                <w:rFonts w:hint="eastAsia" w:ascii="仿宋" w:hAnsi="仿宋" w:eastAsia="仿宋"/>
                <w:b/>
                <w:color w:val="auto"/>
                <w:spacing w:val="6"/>
                <w:szCs w:val="21"/>
                <w:highlight w:val="none"/>
                <w:lang w:eastAsia="zh-CN"/>
              </w:rPr>
              <w:t>综合单价报价</w:t>
            </w:r>
          </w:p>
        </w:tc>
        <w:tc>
          <w:tcPr>
            <w:tcW w:w="1651" w:type="dxa"/>
            <w:noWrap w:val="0"/>
            <w:vAlign w:val="center"/>
          </w:tcPr>
          <w:p>
            <w:pPr>
              <w:jc w:val="center"/>
              <w:outlineLvl w:val="1"/>
              <w:rPr>
                <w:rFonts w:hint="eastAsia" w:ascii="仿宋" w:hAnsi="仿宋" w:eastAsia="仿宋"/>
                <w:b/>
                <w:color w:val="auto"/>
                <w:spacing w:val="6"/>
                <w:szCs w:val="21"/>
                <w:highlight w:val="none"/>
                <w:lang w:eastAsia="zh-CN"/>
              </w:rPr>
            </w:pPr>
            <w:r>
              <w:rPr>
                <w:rFonts w:hint="eastAsia" w:ascii="仿宋" w:hAnsi="仿宋" w:eastAsia="仿宋"/>
                <w:b/>
                <w:color w:val="auto"/>
                <w:spacing w:val="6"/>
                <w:szCs w:val="21"/>
                <w:highlight w:val="no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noWrap w:val="0"/>
            <w:vAlign w:val="center"/>
          </w:tcPr>
          <w:p>
            <w:pPr>
              <w:jc w:val="center"/>
              <w:outlineLvl w:val="1"/>
              <w:rPr>
                <w:rFonts w:hint="eastAsia" w:ascii="仿宋" w:hAnsi="仿宋" w:eastAsia="仿宋"/>
                <w:color w:val="auto"/>
                <w:spacing w:val="6"/>
                <w:szCs w:val="21"/>
                <w:highlight w:val="none"/>
              </w:rPr>
            </w:pPr>
            <w:bookmarkStart w:id="433" w:name="_Toc38447652"/>
            <w:bookmarkStart w:id="434" w:name="_Toc500967633"/>
            <w:bookmarkStart w:id="435" w:name="_Toc498625411"/>
            <w:bookmarkStart w:id="436" w:name="_Toc41391178"/>
            <w:r>
              <w:rPr>
                <w:rFonts w:hint="eastAsia" w:ascii="仿宋" w:hAnsi="仿宋" w:eastAsia="仿宋"/>
                <w:color w:val="auto"/>
                <w:spacing w:val="6"/>
                <w:szCs w:val="21"/>
                <w:highlight w:val="none"/>
              </w:rPr>
              <w:t>1</w:t>
            </w:r>
            <w:bookmarkEnd w:id="433"/>
            <w:bookmarkEnd w:id="434"/>
            <w:bookmarkEnd w:id="435"/>
            <w:bookmarkEnd w:id="436"/>
          </w:p>
        </w:tc>
        <w:tc>
          <w:tcPr>
            <w:tcW w:w="3147" w:type="dxa"/>
            <w:noWrap w:val="0"/>
            <w:vAlign w:val="center"/>
          </w:tcPr>
          <w:p>
            <w:pPr>
              <w:jc w:val="center"/>
              <w:rPr>
                <w:rFonts w:ascii="仿宋" w:hAnsi="仿宋" w:eastAsia="仿宋"/>
                <w:color w:val="auto"/>
                <w:spacing w:val="6"/>
                <w:szCs w:val="21"/>
                <w:highlight w:val="none"/>
              </w:rPr>
            </w:pPr>
            <w:r>
              <w:rPr>
                <w:rFonts w:hint="eastAsia" w:ascii="仿宋" w:hAnsi="仿宋" w:eastAsia="仿宋" w:cs="Times New Roman"/>
                <w:color w:val="auto"/>
                <w:highlight w:val="none"/>
                <w:lang w:val="en-US" w:eastAsia="zh-CN"/>
              </w:rPr>
              <w:t>LED路灯</w:t>
            </w:r>
          </w:p>
        </w:tc>
        <w:tc>
          <w:tcPr>
            <w:tcW w:w="1660" w:type="dxa"/>
            <w:noWrap w:val="0"/>
            <w:vAlign w:val="center"/>
          </w:tcPr>
          <w:p>
            <w:pPr>
              <w:jc w:val="center"/>
              <w:rPr>
                <w:rFonts w:hint="default" w:ascii="仿宋" w:hAnsi="仿宋" w:eastAsia="仿宋"/>
                <w:color w:val="auto"/>
                <w:szCs w:val="21"/>
                <w:highlight w:val="none"/>
                <w:lang w:val="en-US" w:eastAsia="zh-CN"/>
              </w:rPr>
            </w:pPr>
            <w:r>
              <w:rPr>
                <w:rFonts w:hint="eastAsia" w:ascii="仿宋" w:hAnsi="仿宋" w:eastAsia="仿宋" w:cs="Times New Roman"/>
                <w:color w:val="auto"/>
                <w:highlight w:val="none"/>
                <w:lang w:val="en-US" w:eastAsia="zh-CN"/>
              </w:rPr>
              <w:t>4901柱</w:t>
            </w:r>
          </w:p>
        </w:tc>
        <w:tc>
          <w:tcPr>
            <w:tcW w:w="1962" w:type="dxa"/>
            <w:vMerge w:val="restart"/>
            <w:noWrap w:val="0"/>
            <w:vAlign w:val="center"/>
          </w:tcPr>
          <w:p>
            <w:pPr>
              <w:jc w:val="right"/>
              <w:outlineLvl w:val="1"/>
              <w:rPr>
                <w:rFonts w:hint="default" w:ascii="仿宋" w:hAnsi="仿宋" w:eastAsia="仿宋"/>
                <w:color w:val="auto"/>
                <w:spacing w:val="6"/>
                <w:szCs w:val="21"/>
                <w:highlight w:val="none"/>
                <w:lang w:val="en-US" w:eastAsia="zh-CN"/>
              </w:rPr>
            </w:pPr>
            <w:r>
              <w:rPr>
                <w:rFonts w:hint="eastAsia" w:ascii="仿宋" w:hAnsi="仿宋" w:eastAsia="仿宋"/>
                <w:color w:val="auto"/>
                <w:spacing w:val="6"/>
                <w:szCs w:val="21"/>
                <w:highlight w:val="none"/>
                <w:lang w:eastAsia="zh-CN"/>
              </w:rPr>
              <w:t>元</w:t>
            </w:r>
            <w:r>
              <w:rPr>
                <w:rFonts w:hint="eastAsia" w:ascii="仿宋" w:hAnsi="仿宋" w:eastAsia="仿宋"/>
                <w:color w:val="auto"/>
                <w:spacing w:val="6"/>
                <w:szCs w:val="21"/>
                <w:highlight w:val="none"/>
                <w:lang w:val="en-US" w:eastAsia="zh-CN"/>
              </w:rPr>
              <w:t>/</w:t>
            </w:r>
            <w:r>
              <w:rPr>
                <w:rFonts w:hint="eastAsia" w:ascii="仿宋" w:hAnsi="仿宋" w:eastAsia="仿宋" w:cs="Times New Roman"/>
                <w:color w:val="auto"/>
                <w:highlight w:val="none"/>
                <w:lang w:val="en-US" w:eastAsia="zh-CN"/>
              </w:rPr>
              <w:t>柱</w:t>
            </w:r>
          </w:p>
        </w:tc>
        <w:tc>
          <w:tcPr>
            <w:tcW w:w="1651" w:type="dxa"/>
            <w:noWrap w:val="0"/>
            <w:vAlign w:val="center"/>
          </w:tcPr>
          <w:p>
            <w:pPr>
              <w:jc w:val="right"/>
              <w:outlineLvl w:val="1"/>
              <w:rPr>
                <w:rFonts w:hint="eastAsia" w:ascii="仿宋" w:hAnsi="仿宋" w:eastAsia="仿宋"/>
                <w:color w:val="auto"/>
                <w:spacing w:val="6"/>
                <w:szCs w:val="21"/>
                <w:highlight w:val="none"/>
                <w:lang w:eastAsia="zh-CN"/>
              </w:rPr>
            </w:pPr>
            <w:r>
              <w:rPr>
                <w:rFonts w:hint="eastAsia" w:ascii="仿宋" w:hAnsi="仿宋" w:eastAsia="仿宋"/>
                <w:color w:val="auto"/>
                <w:spacing w:val="6"/>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noWrap w:val="0"/>
            <w:vAlign w:val="center"/>
          </w:tcPr>
          <w:p>
            <w:pPr>
              <w:jc w:val="center"/>
              <w:outlineLvl w:val="1"/>
              <w:rPr>
                <w:rFonts w:hint="eastAsia" w:ascii="仿宋" w:hAnsi="仿宋" w:eastAsia="仿宋"/>
                <w:color w:val="auto"/>
                <w:spacing w:val="6"/>
                <w:szCs w:val="21"/>
                <w:highlight w:val="none"/>
                <w:lang w:val="en-US" w:eastAsia="zh-CN"/>
              </w:rPr>
            </w:pPr>
            <w:r>
              <w:rPr>
                <w:rFonts w:hint="eastAsia" w:ascii="仿宋" w:hAnsi="仿宋" w:eastAsia="仿宋"/>
                <w:color w:val="auto"/>
                <w:spacing w:val="6"/>
                <w:szCs w:val="21"/>
                <w:highlight w:val="none"/>
                <w:lang w:val="en-US" w:eastAsia="zh-CN"/>
              </w:rPr>
              <w:t>2</w:t>
            </w:r>
          </w:p>
        </w:tc>
        <w:tc>
          <w:tcPr>
            <w:tcW w:w="3147" w:type="dxa"/>
            <w:noWrap w:val="0"/>
            <w:vAlign w:val="center"/>
          </w:tcPr>
          <w:p>
            <w:pPr>
              <w:jc w:val="center"/>
              <w:rPr>
                <w:rFonts w:hint="eastAsia" w:ascii="仿宋" w:hAnsi="仿宋" w:eastAsia="仿宋" w:cs="Times New Roman"/>
                <w:color w:val="auto"/>
                <w:sz w:val="21"/>
                <w:szCs w:val="21"/>
                <w:highlight w:val="none"/>
                <w:lang w:eastAsia="zh-CN"/>
              </w:rPr>
            </w:pPr>
            <w:r>
              <w:rPr>
                <w:rFonts w:hint="eastAsia" w:ascii="仿宋" w:hAnsi="仿宋" w:eastAsia="仿宋" w:cs="Times New Roman"/>
                <w:color w:val="auto"/>
                <w:highlight w:val="none"/>
                <w:lang w:val="en-US" w:eastAsia="zh-CN"/>
              </w:rPr>
              <w:t>中杆照明</w:t>
            </w:r>
          </w:p>
        </w:tc>
        <w:tc>
          <w:tcPr>
            <w:tcW w:w="1660" w:type="dxa"/>
            <w:noWrap w:val="0"/>
            <w:vAlign w:val="center"/>
          </w:tcPr>
          <w:p>
            <w:pPr>
              <w:jc w:val="center"/>
              <w:rPr>
                <w:rFonts w:hint="eastAsia" w:ascii="仿宋" w:hAnsi="仿宋" w:eastAsia="仿宋"/>
                <w:color w:val="auto"/>
                <w:szCs w:val="21"/>
                <w:highlight w:val="none"/>
                <w:lang w:val="en-US" w:eastAsia="zh-CN"/>
              </w:rPr>
            </w:pPr>
            <w:r>
              <w:rPr>
                <w:rFonts w:hint="eastAsia" w:ascii="仿宋" w:hAnsi="仿宋" w:eastAsia="仿宋" w:cs="Times New Roman"/>
                <w:color w:val="auto"/>
                <w:highlight w:val="none"/>
                <w:lang w:val="en-US" w:eastAsia="zh-CN"/>
              </w:rPr>
              <w:t>142柱</w:t>
            </w:r>
          </w:p>
        </w:tc>
        <w:tc>
          <w:tcPr>
            <w:tcW w:w="1962" w:type="dxa"/>
            <w:vMerge w:val="continue"/>
            <w:noWrap w:val="0"/>
            <w:vAlign w:val="center"/>
          </w:tcPr>
          <w:p>
            <w:pPr>
              <w:jc w:val="right"/>
              <w:outlineLvl w:val="1"/>
              <w:rPr>
                <w:rFonts w:hint="eastAsia" w:ascii="仿宋" w:hAnsi="仿宋" w:eastAsia="仿宋"/>
                <w:color w:val="auto"/>
                <w:spacing w:val="6"/>
                <w:szCs w:val="21"/>
                <w:highlight w:val="none"/>
                <w:lang w:eastAsia="zh-CN"/>
              </w:rPr>
            </w:pPr>
          </w:p>
        </w:tc>
        <w:tc>
          <w:tcPr>
            <w:tcW w:w="1651" w:type="dxa"/>
            <w:noWrap w:val="0"/>
            <w:vAlign w:val="center"/>
          </w:tcPr>
          <w:p>
            <w:pPr>
              <w:jc w:val="right"/>
              <w:outlineLvl w:val="1"/>
              <w:rPr>
                <w:rFonts w:hint="eastAsia" w:ascii="仿宋" w:hAnsi="仿宋" w:eastAsia="仿宋"/>
                <w:color w:val="auto"/>
                <w:spacing w:val="6"/>
                <w:szCs w:val="21"/>
                <w:highlight w:val="none"/>
                <w:lang w:eastAsia="zh-CN"/>
              </w:rPr>
            </w:pPr>
            <w:r>
              <w:rPr>
                <w:rFonts w:hint="eastAsia" w:ascii="仿宋" w:hAnsi="仿宋" w:eastAsia="仿宋"/>
                <w:color w:val="auto"/>
                <w:spacing w:val="6"/>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noWrap w:val="0"/>
            <w:vAlign w:val="center"/>
          </w:tcPr>
          <w:p>
            <w:pPr>
              <w:jc w:val="center"/>
              <w:outlineLvl w:val="1"/>
              <w:rPr>
                <w:rFonts w:hint="eastAsia" w:ascii="仿宋" w:hAnsi="仿宋" w:eastAsia="仿宋"/>
                <w:color w:val="auto"/>
                <w:spacing w:val="6"/>
                <w:szCs w:val="21"/>
                <w:highlight w:val="none"/>
                <w:lang w:val="en-US" w:eastAsia="zh-CN"/>
              </w:rPr>
            </w:pPr>
            <w:r>
              <w:rPr>
                <w:rFonts w:hint="eastAsia" w:ascii="仿宋" w:hAnsi="仿宋" w:eastAsia="仿宋"/>
                <w:color w:val="auto"/>
                <w:spacing w:val="6"/>
                <w:szCs w:val="21"/>
                <w:highlight w:val="none"/>
                <w:lang w:val="en-US" w:eastAsia="zh-CN"/>
              </w:rPr>
              <w:t>3</w:t>
            </w:r>
          </w:p>
        </w:tc>
        <w:tc>
          <w:tcPr>
            <w:tcW w:w="3147" w:type="dxa"/>
            <w:noWrap w:val="0"/>
            <w:vAlign w:val="center"/>
          </w:tcPr>
          <w:p>
            <w:pPr>
              <w:jc w:val="center"/>
              <w:rPr>
                <w:rFonts w:hint="eastAsia" w:ascii="仿宋" w:hAnsi="仿宋" w:eastAsia="仿宋" w:cs="Times New Roman"/>
                <w:color w:val="auto"/>
                <w:sz w:val="21"/>
                <w:szCs w:val="21"/>
                <w:highlight w:val="none"/>
                <w:lang w:eastAsia="zh-CN"/>
              </w:rPr>
            </w:pPr>
            <w:r>
              <w:rPr>
                <w:rFonts w:hint="eastAsia" w:ascii="仿宋" w:hAnsi="仿宋" w:eastAsia="仿宋" w:cs="Times New Roman"/>
                <w:color w:val="auto"/>
                <w:highlight w:val="none"/>
                <w:lang w:val="en-US" w:eastAsia="zh-CN"/>
              </w:rPr>
              <w:t>庭院路灯</w:t>
            </w:r>
          </w:p>
        </w:tc>
        <w:tc>
          <w:tcPr>
            <w:tcW w:w="1660" w:type="dxa"/>
            <w:noWrap w:val="0"/>
            <w:vAlign w:val="center"/>
          </w:tcPr>
          <w:p>
            <w:pPr>
              <w:jc w:val="center"/>
              <w:rPr>
                <w:rFonts w:hint="eastAsia" w:ascii="仿宋" w:hAnsi="仿宋" w:eastAsia="仿宋"/>
                <w:color w:val="auto"/>
                <w:szCs w:val="21"/>
                <w:highlight w:val="none"/>
                <w:lang w:val="en-US" w:eastAsia="zh-CN"/>
              </w:rPr>
            </w:pPr>
            <w:r>
              <w:rPr>
                <w:rFonts w:hint="eastAsia" w:ascii="仿宋" w:hAnsi="仿宋" w:eastAsia="仿宋" w:cs="Times New Roman"/>
                <w:color w:val="auto"/>
                <w:highlight w:val="none"/>
                <w:lang w:val="en-US" w:eastAsia="zh-CN"/>
              </w:rPr>
              <w:t>390柱</w:t>
            </w:r>
          </w:p>
        </w:tc>
        <w:tc>
          <w:tcPr>
            <w:tcW w:w="1962" w:type="dxa"/>
            <w:vMerge w:val="continue"/>
            <w:noWrap w:val="0"/>
            <w:vAlign w:val="center"/>
          </w:tcPr>
          <w:p>
            <w:pPr>
              <w:jc w:val="right"/>
              <w:outlineLvl w:val="1"/>
              <w:rPr>
                <w:rFonts w:hint="eastAsia" w:ascii="仿宋" w:hAnsi="仿宋" w:eastAsia="仿宋"/>
                <w:color w:val="auto"/>
                <w:spacing w:val="6"/>
                <w:szCs w:val="21"/>
                <w:highlight w:val="none"/>
                <w:lang w:eastAsia="zh-CN"/>
              </w:rPr>
            </w:pPr>
          </w:p>
        </w:tc>
        <w:tc>
          <w:tcPr>
            <w:tcW w:w="1651" w:type="dxa"/>
            <w:noWrap w:val="0"/>
            <w:vAlign w:val="center"/>
          </w:tcPr>
          <w:p>
            <w:pPr>
              <w:jc w:val="right"/>
              <w:outlineLvl w:val="1"/>
              <w:rPr>
                <w:rFonts w:hint="eastAsia" w:ascii="仿宋" w:hAnsi="仿宋" w:eastAsia="仿宋"/>
                <w:color w:val="auto"/>
                <w:spacing w:val="6"/>
                <w:szCs w:val="21"/>
                <w:highlight w:val="none"/>
                <w:lang w:eastAsia="zh-CN"/>
              </w:rPr>
            </w:pPr>
            <w:r>
              <w:rPr>
                <w:rFonts w:hint="eastAsia" w:ascii="仿宋" w:hAnsi="仿宋" w:eastAsia="仿宋"/>
                <w:color w:val="auto"/>
                <w:spacing w:val="6"/>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noWrap w:val="0"/>
            <w:vAlign w:val="center"/>
          </w:tcPr>
          <w:p>
            <w:pPr>
              <w:jc w:val="center"/>
              <w:outlineLvl w:val="1"/>
              <w:rPr>
                <w:rFonts w:hint="eastAsia" w:ascii="仿宋" w:hAnsi="仿宋" w:eastAsia="仿宋"/>
                <w:color w:val="auto"/>
                <w:spacing w:val="6"/>
                <w:szCs w:val="21"/>
                <w:highlight w:val="none"/>
                <w:lang w:val="en-US" w:eastAsia="zh-CN"/>
              </w:rPr>
            </w:pPr>
            <w:r>
              <w:rPr>
                <w:rFonts w:hint="eastAsia" w:ascii="仿宋" w:hAnsi="仿宋" w:eastAsia="仿宋"/>
                <w:color w:val="auto"/>
                <w:spacing w:val="6"/>
                <w:szCs w:val="21"/>
                <w:highlight w:val="none"/>
                <w:lang w:val="en-US" w:eastAsia="zh-CN"/>
              </w:rPr>
              <w:t>4</w:t>
            </w:r>
          </w:p>
        </w:tc>
        <w:tc>
          <w:tcPr>
            <w:tcW w:w="3147" w:type="dxa"/>
            <w:noWrap w:val="0"/>
            <w:vAlign w:val="center"/>
          </w:tcPr>
          <w:p>
            <w:pPr>
              <w:jc w:val="center"/>
              <w:rPr>
                <w:rFonts w:hint="eastAsia" w:ascii="仿宋" w:hAnsi="仿宋" w:eastAsia="仿宋" w:cs="Times New Roman"/>
                <w:color w:val="auto"/>
                <w:sz w:val="21"/>
                <w:szCs w:val="21"/>
                <w:highlight w:val="none"/>
                <w:lang w:eastAsia="zh-CN"/>
              </w:rPr>
            </w:pPr>
            <w:r>
              <w:rPr>
                <w:rFonts w:hint="eastAsia" w:ascii="仿宋" w:hAnsi="仿宋" w:eastAsia="仿宋" w:cs="Times New Roman"/>
                <w:color w:val="auto"/>
                <w:highlight w:val="none"/>
                <w:lang w:val="en-US" w:eastAsia="zh-CN"/>
              </w:rPr>
              <w:t>马路弯路灯</w:t>
            </w:r>
          </w:p>
        </w:tc>
        <w:tc>
          <w:tcPr>
            <w:tcW w:w="1660" w:type="dxa"/>
            <w:noWrap w:val="0"/>
            <w:vAlign w:val="center"/>
          </w:tcPr>
          <w:p>
            <w:pPr>
              <w:jc w:val="center"/>
              <w:rPr>
                <w:rFonts w:hint="eastAsia" w:ascii="仿宋" w:hAnsi="仿宋" w:eastAsia="仿宋"/>
                <w:color w:val="auto"/>
                <w:szCs w:val="21"/>
                <w:highlight w:val="none"/>
                <w:lang w:val="en-US" w:eastAsia="zh-CN"/>
              </w:rPr>
            </w:pPr>
            <w:r>
              <w:rPr>
                <w:rFonts w:hint="eastAsia" w:ascii="仿宋" w:hAnsi="仿宋" w:eastAsia="仿宋" w:cs="Times New Roman"/>
                <w:color w:val="auto"/>
                <w:highlight w:val="none"/>
                <w:lang w:val="en-US" w:eastAsia="zh-CN"/>
              </w:rPr>
              <w:t>1452柱</w:t>
            </w:r>
          </w:p>
        </w:tc>
        <w:tc>
          <w:tcPr>
            <w:tcW w:w="1962" w:type="dxa"/>
            <w:vMerge w:val="continue"/>
            <w:noWrap w:val="0"/>
            <w:vAlign w:val="center"/>
          </w:tcPr>
          <w:p>
            <w:pPr>
              <w:jc w:val="right"/>
              <w:outlineLvl w:val="1"/>
              <w:rPr>
                <w:rFonts w:hint="eastAsia" w:ascii="仿宋" w:hAnsi="仿宋" w:eastAsia="仿宋"/>
                <w:color w:val="auto"/>
                <w:spacing w:val="6"/>
                <w:szCs w:val="21"/>
                <w:highlight w:val="none"/>
                <w:lang w:eastAsia="zh-CN"/>
              </w:rPr>
            </w:pPr>
          </w:p>
        </w:tc>
        <w:tc>
          <w:tcPr>
            <w:tcW w:w="1651" w:type="dxa"/>
            <w:noWrap w:val="0"/>
            <w:vAlign w:val="center"/>
          </w:tcPr>
          <w:p>
            <w:pPr>
              <w:jc w:val="right"/>
              <w:outlineLvl w:val="1"/>
              <w:rPr>
                <w:rFonts w:hint="eastAsia" w:ascii="仿宋" w:hAnsi="仿宋" w:eastAsia="仿宋"/>
                <w:color w:val="auto"/>
                <w:spacing w:val="6"/>
                <w:szCs w:val="21"/>
                <w:highlight w:val="none"/>
                <w:lang w:eastAsia="zh-CN"/>
              </w:rPr>
            </w:pPr>
            <w:r>
              <w:rPr>
                <w:rFonts w:hint="eastAsia" w:ascii="仿宋" w:hAnsi="仿宋" w:eastAsia="仿宋"/>
                <w:color w:val="auto"/>
                <w:spacing w:val="6"/>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noWrap w:val="0"/>
            <w:vAlign w:val="center"/>
          </w:tcPr>
          <w:p>
            <w:pPr>
              <w:jc w:val="center"/>
              <w:outlineLvl w:val="1"/>
              <w:rPr>
                <w:rFonts w:hint="eastAsia" w:ascii="仿宋" w:hAnsi="仿宋" w:eastAsia="仿宋"/>
                <w:color w:val="auto"/>
                <w:spacing w:val="6"/>
                <w:szCs w:val="21"/>
                <w:highlight w:val="none"/>
                <w:lang w:val="en-US" w:eastAsia="zh-CN"/>
              </w:rPr>
            </w:pPr>
            <w:r>
              <w:rPr>
                <w:rFonts w:hint="eastAsia" w:ascii="仿宋" w:hAnsi="仿宋" w:eastAsia="仿宋"/>
                <w:color w:val="auto"/>
                <w:spacing w:val="6"/>
                <w:szCs w:val="21"/>
                <w:highlight w:val="none"/>
                <w:lang w:val="en-US" w:eastAsia="zh-CN"/>
              </w:rPr>
              <w:t>5</w:t>
            </w:r>
          </w:p>
        </w:tc>
        <w:tc>
          <w:tcPr>
            <w:tcW w:w="3147" w:type="dxa"/>
            <w:noWrap w:val="0"/>
            <w:vAlign w:val="center"/>
          </w:tcPr>
          <w:p>
            <w:pPr>
              <w:jc w:val="center"/>
              <w:rPr>
                <w:rFonts w:hint="eastAsia" w:ascii="仿宋" w:hAnsi="仿宋" w:eastAsia="仿宋" w:cs="Times New Roman"/>
                <w:color w:val="auto"/>
                <w:sz w:val="21"/>
                <w:szCs w:val="21"/>
                <w:highlight w:val="none"/>
                <w:lang w:eastAsia="zh-CN"/>
              </w:rPr>
            </w:pPr>
            <w:r>
              <w:rPr>
                <w:rFonts w:hint="eastAsia" w:ascii="仿宋" w:hAnsi="仿宋" w:eastAsia="仿宋" w:cs="Times New Roman"/>
                <w:color w:val="auto"/>
                <w:highlight w:val="none"/>
                <w:lang w:val="en-US" w:eastAsia="zh-CN"/>
              </w:rPr>
              <w:t>钠灯类路灯</w:t>
            </w:r>
          </w:p>
        </w:tc>
        <w:tc>
          <w:tcPr>
            <w:tcW w:w="1660" w:type="dxa"/>
            <w:noWrap w:val="0"/>
            <w:vAlign w:val="center"/>
          </w:tcPr>
          <w:p>
            <w:pPr>
              <w:jc w:val="center"/>
              <w:rPr>
                <w:rFonts w:hint="eastAsia" w:ascii="仿宋" w:hAnsi="仿宋" w:eastAsia="仿宋"/>
                <w:color w:val="auto"/>
                <w:szCs w:val="21"/>
                <w:highlight w:val="none"/>
                <w:lang w:val="en-US" w:eastAsia="zh-CN"/>
              </w:rPr>
            </w:pPr>
            <w:r>
              <w:rPr>
                <w:rFonts w:hint="eastAsia" w:ascii="仿宋" w:hAnsi="仿宋" w:eastAsia="仿宋" w:cs="Times New Roman"/>
                <w:color w:val="auto"/>
                <w:highlight w:val="none"/>
                <w:lang w:val="en-US" w:eastAsia="zh-CN"/>
              </w:rPr>
              <w:t>2602柱</w:t>
            </w:r>
          </w:p>
        </w:tc>
        <w:tc>
          <w:tcPr>
            <w:tcW w:w="1962" w:type="dxa"/>
            <w:vMerge w:val="continue"/>
            <w:noWrap w:val="0"/>
            <w:vAlign w:val="center"/>
          </w:tcPr>
          <w:p>
            <w:pPr>
              <w:jc w:val="right"/>
              <w:outlineLvl w:val="1"/>
              <w:rPr>
                <w:rFonts w:hint="eastAsia" w:ascii="仿宋" w:hAnsi="仿宋" w:eastAsia="仿宋"/>
                <w:color w:val="auto"/>
                <w:spacing w:val="6"/>
                <w:szCs w:val="21"/>
                <w:highlight w:val="none"/>
                <w:lang w:eastAsia="zh-CN"/>
              </w:rPr>
            </w:pPr>
          </w:p>
        </w:tc>
        <w:tc>
          <w:tcPr>
            <w:tcW w:w="1651" w:type="dxa"/>
            <w:noWrap w:val="0"/>
            <w:vAlign w:val="center"/>
          </w:tcPr>
          <w:p>
            <w:pPr>
              <w:jc w:val="right"/>
              <w:outlineLvl w:val="1"/>
              <w:rPr>
                <w:rFonts w:hint="eastAsia" w:ascii="仿宋" w:hAnsi="仿宋" w:eastAsia="仿宋"/>
                <w:color w:val="auto"/>
                <w:spacing w:val="6"/>
                <w:szCs w:val="21"/>
                <w:highlight w:val="none"/>
                <w:lang w:eastAsia="zh-CN"/>
              </w:rPr>
            </w:pPr>
            <w:r>
              <w:rPr>
                <w:rFonts w:hint="eastAsia" w:ascii="仿宋" w:hAnsi="仿宋" w:eastAsia="仿宋"/>
                <w:color w:val="auto"/>
                <w:spacing w:val="6"/>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noWrap w:val="0"/>
            <w:vAlign w:val="center"/>
          </w:tcPr>
          <w:p>
            <w:pPr>
              <w:jc w:val="center"/>
              <w:outlineLvl w:val="1"/>
              <w:rPr>
                <w:rFonts w:hint="eastAsia" w:ascii="仿宋" w:hAnsi="仿宋" w:eastAsia="仿宋"/>
                <w:color w:val="auto"/>
                <w:spacing w:val="6"/>
                <w:szCs w:val="21"/>
                <w:highlight w:val="none"/>
                <w:lang w:val="en-US" w:eastAsia="zh-CN"/>
              </w:rPr>
            </w:pPr>
            <w:r>
              <w:rPr>
                <w:rFonts w:hint="eastAsia" w:ascii="仿宋" w:hAnsi="仿宋" w:eastAsia="仿宋"/>
                <w:color w:val="auto"/>
                <w:spacing w:val="6"/>
                <w:szCs w:val="21"/>
                <w:highlight w:val="none"/>
                <w:lang w:val="en-US" w:eastAsia="zh-CN"/>
              </w:rPr>
              <w:t>6</w:t>
            </w:r>
          </w:p>
        </w:tc>
        <w:tc>
          <w:tcPr>
            <w:tcW w:w="3147" w:type="dxa"/>
            <w:noWrap w:val="0"/>
            <w:vAlign w:val="center"/>
          </w:tcPr>
          <w:p>
            <w:pPr>
              <w:jc w:val="center"/>
              <w:rPr>
                <w:rFonts w:hint="eastAsia" w:ascii="仿宋" w:hAnsi="仿宋" w:eastAsia="仿宋" w:cs="Times New Roman"/>
                <w:color w:val="auto"/>
                <w:sz w:val="21"/>
                <w:szCs w:val="21"/>
                <w:highlight w:val="none"/>
                <w:lang w:eastAsia="zh-CN"/>
              </w:rPr>
            </w:pPr>
            <w:r>
              <w:rPr>
                <w:rFonts w:hint="eastAsia" w:ascii="仿宋" w:hAnsi="仿宋" w:eastAsia="仿宋" w:cs="Times New Roman"/>
                <w:color w:val="auto"/>
                <w:highlight w:val="none"/>
                <w:lang w:val="en-US" w:eastAsia="zh-CN"/>
              </w:rPr>
              <w:t>照明远程控制终端</w:t>
            </w:r>
          </w:p>
        </w:tc>
        <w:tc>
          <w:tcPr>
            <w:tcW w:w="1660" w:type="dxa"/>
            <w:noWrap w:val="0"/>
            <w:vAlign w:val="center"/>
          </w:tcPr>
          <w:p>
            <w:pPr>
              <w:jc w:val="center"/>
              <w:rPr>
                <w:rFonts w:hint="eastAsia" w:ascii="仿宋" w:hAnsi="仿宋" w:eastAsia="仿宋"/>
                <w:color w:val="auto"/>
                <w:szCs w:val="21"/>
                <w:highlight w:val="none"/>
                <w:lang w:val="en-US" w:eastAsia="zh-CN"/>
              </w:rPr>
            </w:pPr>
            <w:r>
              <w:rPr>
                <w:rFonts w:hint="eastAsia" w:ascii="仿宋" w:hAnsi="仿宋" w:eastAsia="仿宋" w:cs="Times New Roman"/>
                <w:color w:val="auto"/>
                <w:highlight w:val="none"/>
                <w:lang w:val="en-US" w:eastAsia="zh-CN"/>
              </w:rPr>
              <w:t>485套</w:t>
            </w:r>
          </w:p>
        </w:tc>
        <w:tc>
          <w:tcPr>
            <w:tcW w:w="1962" w:type="dxa"/>
            <w:noWrap w:val="0"/>
            <w:vAlign w:val="center"/>
          </w:tcPr>
          <w:p>
            <w:pPr>
              <w:jc w:val="right"/>
              <w:outlineLvl w:val="1"/>
              <w:rPr>
                <w:rFonts w:hint="default" w:ascii="仿宋" w:hAnsi="仿宋" w:eastAsia="仿宋"/>
                <w:color w:val="auto"/>
                <w:spacing w:val="6"/>
                <w:szCs w:val="21"/>
                <w:highlight w:val="none"/>
                <w:lang w:val="en-US" w:eastAsia="zh-CN"/>
              </w:rPr>
            </w:pPr>
            <w:r>
              <w:rPr>
                <w:rFonts w:hint="eastAsia" w:ascii="仿宋" w:hAnsi="仿宋" w:eastAsia="仿宋"/>
                <w:color w:val="auto"/>
                <w:spacing w:val="6"/>
                <w:szCs w:val="21"/>
                <w:highlight w:val="none"/>
                <w:lang w:eastAsia="zh-CN"/>
              </w:rPr>
              <w:t>元</w:t>
            </w:r>
            <w:r>
              <w:rPr>
                <w:rFonts w:hint="eastAsia" w:ascii="仿宋" w:hAnsi="仿宋" w:eastAsia="仿宋"/>
                <w:color w:val="auto"/>
                <w:spacing w:val="6"/>
                <w:szCs w:val="21"/>
                <w:highlight w:val="none"/>
                <w:lang w:val="en-US" w:eastAsia="zh-CN"/>
              </w:rPr>
              <w:t>/套</w:t>
            </w:r>
          </w:p>
        </w:tc>
        <w:tc>
          <w:tcPr>
            <w:tcW w:w="1651" w:type="dxa"/>
            <w:noWrap w:val="0"/>
            <w:vAlign w:val="center"/>
          </w:tcPr>
          <w:p>
            <w:pPr>
              <w:jc w:val="right"/>
              <w:outlineLvl w:val="1"/>
              <w:rPr>
                <w:rFonts w:hint="eastAsia" w:ascii="仿宋" w:hAnsi="仿宋" w:eastAsia="仿宋"/>
                <w:color w:val="auto"/>
                <w:spacing w:val="6"/>
                <w:szCs w:val="21"/>
                <w:highlight w:val="none"/>
                <w:lang w:eastAsia="zh-CN"/>
              </w:rPr>
            </w:pPr>
            <w:r>
              <w:rPr>
                <w:rFonts w:hint="eastAsia" w:ascii="仿宋" w:hAnsi="仿宋" w:eastAsia="仿宋"/>
                <w:color w:val="auto"/>
                <w:spacing w:val="6"/>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noWrap w:val="0"/>
            <w:vAlign w:val="center"/>
          </w:tcPr>
          <w:p>
            <w:pPr>
              <w:jc w:val="center"/>
              <w:outlineLvl w:val="1"/>
              <w:rPr>
                <w:rFonts w:hint="eastAsia" w:ascii="仿宋" w:hAnsi="仿宋" w:eastAsia="仿宋"/>
                <w:color w:val="auto"/>
                <w:spacing w:val="6"/>
                <w:szCs w:val="21"/>
                <w:highlight w:val="none"/>
                <w:lang w:val="en-US" w:eastAsia="zh-CN"/>
              </w:rPr>
            </w:pPr>
            <w:r>
              <w:rPr>
                <w:rFonts w:hint="eastAsia" w:ascii="仿宋" w:hAnsi="仿宋" w:eastAsia="仿宋"/>
                <w:color w:val="auto"/>
                <w:spacing w:val="6"/>
                <w:szCs w:val="21"/>
                <w:highlight w:val="none"/>
                <w:lang w:val="en-US" w:eastAsia="zh-CN"/>
              </w:rPr>
              <w:t>7</w:t>
            </w:r>
          </w:p>
        </w:tc>
        <w:tc>
          <w:tcPr>
            <w:tcW w:w="3147" w:type="dxa"/>
            <w:noWrap w:val="0"/>
            <w:vAlign w:val="center"/>
          </w:tcPr>
          <w:p>
            <w:pPr>
              <w:jc w:val="center"/>
              <w:rPr>
                <w:rFonts w:hint="eastAsia" w:ascii="仿宋" w:hAnsi="仿宋" w:eastAsia="仿宋" w:cs="Times New Roman"/>
                <w:color w:val="auto"/>
                <w:sz w:val="21"/>
                <w:szCs w:val="21"/>
                <w:highlight w:val="none"/>
                <w:lang w:eastAsia="zh-CN"/>
              </w:rPr>
            </w:pPr>
            <w:r>
              <w:rPr>
                <w:rFonts w:hint="eastAsia" w:ascii="仿宋" w:hAnsi="仿宋" w:eastAsia="仿宋" w:cs="Times New Roman"/>
                <w:color w:val="auto"/>
                <w:highlight w:val="none"/>
                <w:lang w:val="en-US" w:eastAsia="zh-CN"/>
              </w:rPr>
              <w:t>照明控制设备</w:t>
            </w:r>
          </w:p>
        </w:tc>
        <w:tc>
          <w:tcPr>
            <w:tcW w:w="1660" w:type="dxa"/>
            <w:noWrap w:val="0"/>
            <w:vAlign w:val="center"/>
          </w:tcPr>
          <w:p>
            <w:pPr>
              <w:jc w:val="center"/>
              <w:rPr>
                <w:rFonts w:hint="eastAsia" w:ascii="仿宋" w:hAnsi="仿宋" w:eastAsia="仿宋"/>
                <w:color w:val="auto"/>
                <w:szCs w:val="21"/>
                <w:highlight w:val="none"/>
                <w:lang w:val="en-US" w:eastAsia="zh-CN"/>
              </w:rPr>
            </w:pPr>
            <w:r>
              <w:rPr>
                <w:rFonts w:hint="eastAsia" w:ascii="仿宋" w:hAnsi="仿宋" w:eastAsia="仿宋" w:cs="Times New Roman"/>
                <w:color w:val="auto"/>
                <w:highlight w:val="none"/>
                <w:lang w:val="en-US" w:eastAsia="zh-CN"/>
              </w:rPr>
              <w:t>370台</w:t>
            </w:r>
          </w:p>
        </w:tc>
        <w:tc>
          <w:tcPr>
            <w:tcW w:w="1962" w:type="dxa"/>
            <w:noWrap w:val="0"/>
            <w:vAlign w:val="center"/>
          </w:tcPr>
          <w:p>
            <w:pPr>
              <w:jc w:val="center"/>
              <w:outlineLvl w:val="1"/>
              <w:rPr>
                <w:rFonts w:hint="default" w:ascii="仿宋" w:hAnsi="仿宋" w:eastAsia="仿宋"/>
                <w:color w:val="auto"/>
                <w:spacing w:val="6"/>
                <w:szCs w:val="21"/>
                <w:highlight w:val="none"/>
                <w:lang w:val="en-US" w:eastAsia="zh-CN"/>
              </w:rPr>
            </w:pPr>
            <w:r>
              <w:rPr>
                <w:rFonts w:hint="eastAsia" w:ascii="仿宋" w:hAnsi="仿宋" w:eastAsia="仿宋"/>
                <w:color w:val="auto"/>
                <w:spacing w:val="6"/>
                <w:szCs w:val="21"/>
                <w:highlight w:val="none"/>
                <w:lang w:val="en-US" w:eastAsia="zh-CN"/>
              </w:rPr>
              <w:t>/</w:t>
            </w:r>
          </w:p>
        </w:tc>
        <w:tc>
          <w:tcPr>
            <w:tcW w:w="1651" w:type="dxa"/>
            <w:noWrap w:val="0"/>
            <w:vAlign w:val="center"/>
          </w:tcPr>
          <w:p>
            <w:pPr>
              <w:jc w:val="center"/>
              <w:outlineLvl w:val="1"/>
              <w:rPr>
                <w:rFonts w:hint="eastAsia" w:ascii="仿宋" w:hAnsi="仿宋" w:eastAsia="仿宋"/>
                <w:color w:val="auto"/>
                <w:spacing w:val="6"/>
                <w:szCs w:val="21"/>
                <w:highlight w:val="none"/>
                <w:lang w:eastAsia="zh-CN"/>
              </w:rPr>
            </w:pPr>
            <w:r>
              <w:rPr>
                <w:rFonts w:hint="eastAsia" w:ascii="仿宋" w:hAnsi="仿宋" w:eastAsia="仿宋"/>
                <w:color w:val="auto"/>
                <w:spacing w:val="6"/>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5" w:type="dxa"/>
            <w:noWrap w:val="0"/>
            <w:vAlign w:val="center"/>
          </w:tcPr>
          <w:p>
            <w:pPr>
              <w:jc w:val="center"/>
              <w:outlineLvl w:val="1"/>
              <w:rPr>
                <w:rFonts w:hint="eastAsia" w:ascii="仿宋" w:hAnsi="仿宋" w:eastAsia="仿宋"/>
                <w:color w:val="auto"/>
                <w:spacing w:val="6"/>
                <w:szCs w:val="21"/>
                <w:highlight w:val="none"/>
                <w:lang w:eastAsia="zh-CN"/>
              </w:rPr>
            </w:pPr>
            <w:r>
              <w:rPr>
                <w:rFonts w:hint="eastAsia" w:ascii="仿宋" w:hAnsi="仿宋" w:eastAsia="仿宋"/>
                <w:color w:val="auto"/>
                <w:spacing w:val="6"/>
                <w:szCs w:val="21"/>
                <w:highlight w:val="none"/>
                <w:lang w:val="en-US" w:eastAsia="zh-CN"/>
              </w:rPr>
              <w:t>2</w:t>
            </w:r>
          </w:p>
        </w:tc>
        <w:tc>
          <w:tcPr>
            <w:tcW w:w="6769" w:type="dxa"/>
            <w:gridSpan w:val="3"/>
            <w:noWrap w:val="0"/>
            <w:vAlign w:val="center"/>
          </w:tcPr>
          <w:p>
            <w:pPr>
              <w:jc w:val="center"/>
              <w:outlineLvl w:val="1"/>
              <w:rPr>
                <w:rFonts w:hint="eastAsia" w:ascii="仿宋" w:hAnsi="仿宋" w:eastAsia="仿宋"/>
                <w:color w:val="auto"/>
                <w:spacing w:val="6"/>
                <w:szCs w:val="21"/>
                <w:highlight w:val="none"/>
              </w:rPr>
            </w:pPr>
            <w:bookmarkStart w:id="437" w:name="_Toc500967652"/>
            <w:bookmarkStart w:id="438" w:name="_Toc41391189"/>
            <w:bookmarkStart w:id="439" w:name="_Toc38447663"/>
            <w:r>
              <w:rPr>
                <w:rFonts w:hint="eastAsia" w:ascii="仿宋" w:hAnsi="仿宋" w:eastAsia="仿宋"/>
                <w:color w:val="auto"/>
                <w:spacing w:val="6"/>
                <w:szCs w:val="21"/>
                <w:highlight w:val="none"/>
              </w:rPr>
              <w:t>投标总价（元）</w:t>
            </w:r>
            <w:bookmarkEnd w:id="437"/>
            <w:bookmarkEnd w:id="438"/>
            <w:bookmarkEnd w:id="439"/>
          </w:p>
        </w:tc>
        <w:tc>
          <w:tcPr>
            <w:tcW w:w="1651" w:type="dxa"/>
            <w:noWrap w:val="0"/>
            <w:vAlign w:val="center"/>
          </w:tcPr>
          <w:p>
            <w:pPr>
              <w:jc w:val="center"/>
              <w:outlineLvl w:val="1"/>
              <w:rPr>
                <w:rFonts w:hint="eastAsia" w:ascii="仿宋" w:hAnsi="仿宋" w:eastAsia="仿宋"/>
                <w:color w:val="auto"/>
                <w:spacing w:val="6"/>
                <w:szCs w:val="21"/>
                <w:highlight w:val="none"/>
              </w:rPr>
            </w:pPr>
          </w:p>
        </w:tc>
      </w:tr>
    </w:tbl>
    <w:p>
      <w:pPr>
        <w:spacing w:line="360" w:lineRule="auto"/>
        <w:ind w:firstLine="480" w:firstLineChars="200"/>
        <w:rPr>
          <w:rFonts w:hint="eastAsia" w:ascii="仿宋" w:hAnsi="仿宋" w:eastAsia="仿宋"/>
          <w:color w:val="auto"/>
          <w:sz w:val="24"/>
          <w:highlight w:val="none"/>
        </w:rPr>
      </w:pPr>
    </w:p>
    <w:p>
      <w:pPr>
        <w:spacing w:line="360" w:lineRule="auto"/>
        <w:ind w:firstLine="480" w:firstLineChars="200"/>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备注：1、不同类型的功能性照明设施（除照明远程控制终端外）的综合单价报价必须一致，否则作无效标处理。</w:t>
      </w:r>
    </w:p>
    <w:p>
      <w:pPr>
        <w:spacing w:line="360" w:lineRule="auto"/>
        <w:ind w:firstLine="480" w:firstLineChars="200"/>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2、照明控制设备养护费用已包含不同类型的功能性照明设施养护费用中，不再另行报价。</w:t>
      </w:r>
    </w:p>
    <w:p>
      <w:pPr>
        <w:spacing w:line="360" w:lineRule="auto"/>
        <w:ind w:firstLine="480" w:firstLineChars="200"/>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3、投标人必须注意本招标文件约定的结算原则，根据结算原则进行合理报价。</w:t>
      </w:r>
    </w:p>
    <w:p>
      <w:pPr>
        <w:spacing w:line="360" w:lineRule="auto"/>
        <w:ind w:firstLine="480" w:firstLineChars="200"/>
        <w:rPr>
          <w:rFonts w:hint="eastAsia" w:ascii="仿宋" w:hAnsi="仿宋" w:eastAsia="仿宋" w:cs="Times New Roman"/>
          <w:color w:val="auto"/>
          <w:sz w:val="24"/>
          <w:highlight w:val="none"/>
          <w:lang w:val="en-US" w:eastAsia="zh-CN"/>
        </w:rPr>
      </w:pPr>
    </w:p>
    <w:p>
      <w:pPr>
        <w:pStyle w:val="25"/>
        <w:ind w:firstLine="560"/>
        <w:rPr>
          <w:rFonts w:hint="eastAsia"/>
          <w:color w:val="auto"/>
          <w:highlight w:val="none"/>
        </w:rPr>
      </w:pP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法定代表人（负责人）或其授权委托人（签名或印章）：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pStyle w:val="25"/>
        <w:ind w:firstLine="560"/>
        <w:rPr>
          <w:rFonts w:hint="eastAsia"/>
          <w:color w:val="auto"/>
          <w:highlight w:val="none"/>
        </w:rPr>
      </w:pPr>
    </w:p>
    <w:p>
      <w:pPr>
        <w:pStyle w:val="27"/>
        <w:keepNext w:val="0"/>
        <w:pageBreakBefore w:val="0"/>
        <w:tabs>
          <w:tab w:val="clear" w:pos="720"/>
        </w:tabs>
        <w:snapToGrid w:val="0"/>
        <w:spacing w:before="120" w:after="120"/>
        <w:outlineLvl w:val="9"/>
        <w:rPr>
          <w:rFonts w:hint="eastAsia" w:ascii="仿宋" w:hAnsi="仿宋" w:eastAsia="仿宋" w:cs="仿宋"/>
          <w:color w:val="auto"/>
          <w:sz w:val="24"/>
          <w:highlight w:val="none"/>
        </w:rPr>
        <w:sectPr>
          <w:footerReference r:id="rId14" w:type="first"/>
          <w:footerReference r:id="rId12" w:type="default"/>
          <w:footerReference r:id="rId13" w:type="even"/>
          <w:pgSz w:w="11906" w:h="16838"/>
          <w:pgMar w:top="1418" w:right="1287" w:bottom="1134" w:left="1622" w:header="624" w:footer="624" w:gutter="0"/>
          <w:cols w:space="720" w:num="1"/>
          <w:docGrid w:linePitch="312" w:charSpace="0"/>
        </w:sectPr>
      </w:pPr>
    </w:p>
    <w:p>
      <w:pPr>
        <w:pStyle w:val="27"/>
        <w:keepNext w:val="0"/>
        <w:pageBreakBefore w:val="0"/>
        <w:tabs>
          <w:tab w:val="clear" w:pos="720"/>
        </w:tabs>
        <w:snapToGrid w:val="0"/>
        <w:spacing w:before="120" w:after="120"/>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、政府采购统计基础信息表</w:t>
      </w:r>
    </w:p>
    <w:tbl>
      <w:tblPr>
        <w:tblStyle w:val="14"/>
        <w:tblW w:w="8537" w:type="dxa"/>
        <w:jc w:val="center"/>
        <w:tblLayout w:type="fixed"/>
        <w:tblCellMar>
          <w:top w:w="0" w:type="dxa"/>
          <w:left w:w="108" w:type="dxa"/>
          <w:bottom w:w="0" w:type="dxa"/>
          <w:right w:w="108" w:type="dxa"/>
        </w:tblCellMar>
      </w:tblPr>
      <w:tblGrid>
        <w:gridCol w:w="4998"/>
        <w:gridCol w:w="3539"/>
      </w:tblGrid>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采购人及采购项目名称</w:t>
            </w:r>
          </w:p>
        </w:tc>
        <w:tc>
          <w:tcPr>
            <w:tcW w:w="3539" w:type="dxa"/>
            <w:tcBorders>
              <w:top w:val="single" w:color="000000" w:sz="4" w:space="0"/>
              <w:left w:val="nil"/>
              <w:bottom w:val="single" w:color="000000" w:sz="4" w:space="0"/>
              <w:right w:val="single" w:color="000000" w:sz="4" w:space="0"/>
            </w:tcBorders>
            <w:noWrap w:val="0"/>
            <w:vAlign w:val="center"/>
          </w:tcPr>
          <w:p>
            <w:pPr>
              <w:adjustRightInd w:val="0"/>
              <w:spacing w:line="360" w:lineRule="auto"/>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投标单位名称</w:t>
            </w:r>
          </w:p>
        </w:tc>
        <w:tc>
          <w:tcPr>
            <w:tcW w:w="3539" w:type="dxa"/>
            <w:tcBorders>
              <w:top w:val="single" w:color="000000" w:sz="4" w:space="0"/>
              <w:left w:val="nil"/>
              <w:bottom w:val="single" w:color="000000" w:sz="4" w:space="0"/>
              <w:right w:val="single" w:color="000000" w:sz="4" w:space="0"/>
            </w:tcBorders>
            <w:noWrap w:val="0"/>
            <w:vAlign w:val="center"/>
          </w:tcPr>
          <w:p>
            <w:pPr>
              <w:adjustRightInd w:val="0"/>
              <w:spacing w:line="360" w:lineRule="auto"/>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投标单位是否为外商投资企业</w:t>
            </w:r>
          </w:p>
        </w:tc>
        <w:tc>
          <w:tcPr>
            <w:tcW w:w="3539" w:type="dxa"/>
            <w:tcBorders>
              <w:top w:val="single" w:color="000000" w:sz="4" w:space="0"/>
              <w:left w:val="nil"/>
              <w:bottom w:val="single" w:color="000000" w:sz="4" w:space="0"/>
              <w:right w:val="single" w:color="000000" w:sz="4" w:space="0"/>
            </w:tcBorders>
            <w:noWrap w:val="0"/>
            <w:vAlign w:val="center"/>
          </w:tcPr>
          <w:p>
            <w:pPr>
              <w:adjustRightInd w:val="0"/>
              <w:spacing w:line="360" w:lineRule="auto"/>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投标单位是否为宁波企业</w:t>
            </w:r>
          </w:p>
        </w:tc>
        <w:tc>
          <w:tcPr>
            <w:tcW w:w="3539" w:type="dxa"/>
            <w:tcBorders>
              <w:top w:val="single" w:color="000000" w:sz="4" w:space="0"/>
              <w:left w:val="nil"/>
              <w:bottom w:val="single" w:color="000000" w:sz="4" w:space="0"/>
              <w:right w:val="single" w:color="000000" w:sz="4" w:space="0"/>
            </w:tcBorders>
            <w:noWrap w:val="0"/>
            <w:vAlign w:val="center"/>
          </w:tcPr>
          <w:p>
            <w:pPr>
              <w:adjustRightInd w:val="0"/>
              <w:spacing w:line="360" w:lineRule="auto"/>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noWrap w:val="0"/>
            <w:vAlign w:val="center"/>
          </w:tcPr>
          <w:p>
            <w:pPr>
              <w:adjustRightInd w:val="0"/>
              <w:spacing w:line="360" w:lineRule="auto"/>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提供的货物是否本企业制造</w:t>
            </w:r>
          </w:p>
        </w:tc>
        <w:tc>
          <w:tcPr>
            <w:tcW w:w="3539" w:type="dxa"/>
            <w:tcBorders>
              <w:top w:val="single" w:color="000000" w:sz="4" w:space="0"/>
              <w:left w:val="nil"/>
              <w:bottom w:val="single" w:color="000000" w:sz="4" w:space="0"/>
              <w:right w:val="single" w:color="000000" w:sz="4" w:space="0"/>
            </w:tcBorders>
            <w:noWrap w:val="0"/>
            <w:vAlign w:val="center"/>
          </w:tcPr>
          <w:p>
            <w:pPr>
              <w:adjustRightInd w:val="0"/>
              <w:spacing w:line="360" w:lineRule="auto"/>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货物原产地国别</w:t>
            </w:r>
          </w:p>
        </w:tc>
        <w:tc>
          <w:tcPr>
            <w:tcW w:w="3539" w:type="dxa"/>
            <w:tcBorders>
              <w:top w:val="single" w:color="000000" w:sz="4" w:space="0"/>
              <w:left w:val="nil"/>
              <w:bottom w:val="single" w:color="000000" w:sz="4" w:space="0"/>
              <w:right w:val="single" w:color="000000" w:sz="4" w:space="0"/>
            </w:tcBorders>
            <w:noWrap w:val="0"/>
            <w:vAlign w:val="center"/>
          </w:tcPr>
          <w:p>
            <w:pPr>
              <w:adjustRightInd w:val="0"/>
              <w:spacing w:line="360" w:lineRule="auto"/>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noWrap w:val="0"/>
            <w:vAlign w:val="center"/>
          </w:tcPr>
          <w:p>
            <w:pPr>
              <w:adjustRightInd w:val="0"/>
              <w:spacing w:line="360" w:lineRule="auto"/>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noWrap w:val="0"/>
            <w:vAlign w:val="center"/>
          </w:tcPr>
          <w:p>
            <w:pPr>
              <w:adjustRightInd w:val="0"/>
              <w:spacing w:line="360" w:lineRule="auto"/>
              <w:rPr>
                <w:rFonts w:hint="eastAsia" w:ascii="仿宋" w:hAnsi="仿宋" w:eastAsia="仿宋" w:cs="仿宋"/>
                <w:color w:val="auto"/>
                <w:szCs w:val="21"/>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noWrap w:val="0"/>
            <w:vAlign w:val="center"/>
          </w:tcPr>
          <w:p>
            <w:pPr>
              <w:adjustRightInd w:val="0"/>
              <w:spacing w:line="360" w:lineRule="auto"/>
              <w:rPr>
                <w:rFonts w:hint="eastAsia" w:ascii="仿宋" w:hAnsi="仿宋" w:eastAsia="仿宋" w:cs="仿宋"/>
                <w:color w:val="auto"/>
                <w:szCs w:val="21"/>
                <w:highlight w:val="none"/>
              </w:rPr>
            </w:pPr>
          </w:p>
        </w:tc>
      </w:tr>
    </w:tbl>
    <w:p>
      <w:pPr>
        <w:adjustRightInd w:val="0"/>
        <w:spacing w:line="360" w:lineRule="auto"/>
        <w:jc w:val="left"/>
        <w:rPr>
          <w:rFonts w:hint="eastAsia" w:ascii="仿宋" w:hAnsi="仿宋" w:eastAsia="仿宋" w:cs="仿宋"/>
          <w:color w:val="auto"/>
          <w:sz w:val="24"/>
          <w:highlight w:val="none"/>
        </w:rPr>
      </w:pPr>
    </w:p>
    <w:p>
      <w:pPr>
        <w:adjustRightIn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备注：请各投标人务必填写此表作为投标文件的组成部分。</w:t>
      </w:r>
    </w:p>
    <w:p>
      <w:pPr>
        <w:adjustRightInd w:val="0"/>
        <w:spacing w:line="360" w:lineRule="auto"/>
        <w:jc w:val="left"/>
        <w:rPr>
          <w:rFonts w:hint="eastAsia" w:ascii="仿宋" w:hAnsi="仿宋" w:eastAsia="仿宋" w:cs="仿宋"/>
          <w:color w:val="auto"/>
          <w:sz w:val="24"/>
          <w:highlight w:val="none"/>
        </w:rPr>
      </w:pPr>
    </w:p>
    <w:p>
      <w:pPr>
        <w:adjustRightInd w:val="0"/>
        <w:spacing w:line="360" w:lineRule="auto"/>
        <w:jc w:val="left"/>
        <w:rPr>
          <w:rFonts w:hint="eastAsia" w:ascii="仿宋" w:hAnsi="仿宋" w:eastAsia="仿宋" w:cs="仿宋"/>
          <w:color w:val="auto"/>
          <w:sz w:val="24"/>
          <w:highlight w:val="none"/>
        </w:rPr>
      </w:pP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法定代表人（负责人）或其授权委托人（签名或印章）：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pPr>
        <w:adjustRightInd w:val="0"/>
        <w:spacing w:line="360" w:lineRule="auto"/>
        <w:ind w:firstLine="2400" w:firstLineChars="1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pStyle w:val="25"/>
        <w:ind w:firstLine="0" w:firstLineChars="0"/>
        <w:rPr>
          <w:color w:val="auto"/>
          <w:highlight w:val="none"/>
        </w:rPr>
      </w:pPr>
    </w:p>
    <w:sectPr>
      <w:footerReference r:id="rId1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auto"/>
    <w:pitch w:val="default"/>
    <w:sig w:usb0="A00002BF" w:usb1="68C7FCFB" w:usb2="00000010"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4384" behindDoc="0" locked="0" layoutInCell="1" allowOverlap="1">
              <wp:simplePos x="0" y="0"/>
              <wp:positionH relativeFrom="margin">
                <wp:posOffset>2369185</wp:posOffset>
              </wp:positionH>
              <wp:positionV relativeFrom="paragraph">
                <wp:posOffset>-28575</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75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78</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left:186.55pt;margin-top:-2.25pt;height:144pt;width:144pt;mso-position-horizontal-relative:margin;mso-wrap-style:none;z-index:251664384;mso-width-relative:page;mso-height-relative:page;" filled="f" stroked="f" coordsize="21600,21600" o:gfxdata="UEsDBAoAAAAAAIdO4kAAAAAAAAAAAAAAAAAEAAAAZHJzL1BLAwQUAAAACACHTuJAh1oArNcAAAAK AQAADwAAAGRycy9kb3ducmV2LnhtbE2PPU/DMBCGdyT+g3VIbK2ThqZRmkuHSixsFITE5sbXOKo/ IttNk3+PmWC8u0fvPW9zmI1mE/kwOIuQrzNgZDsnB9sjfH68ripgIQorhXaWEBYKcGgfHxpRS3e3 7zSdYs9SiA21QFAxjjXnoVNkRFi7kWy6XZw3IqbR91x6cU/hRvNNlpXciMGmD0qMdFTUXU83g7Cb vxyNgY70fZk6r4al0m8L4vNTnu2BRZrjHwy/+kkd2uR0djcrA9MIxa7IE4qwetkCS0BZ5mlxRthU xRZ42/D/FdofUEsDBBQAAAAIAIdO4kB26TnBxwEAAJoDAAAOAAAAZHJzL2Uyb0RvYy54bWytU02u 0zAQ3iNxB8t76rSLpypq+gSqHkJCgPTgAK5jN5b8J4/bpBeAG7Biw55z9RyMnaSFx+Yt2DjjmfE3 830z2dwP1pCTjKC9a+hyUVEinfCtdoeGfvn88GpNCSTuWm68kw09S6D325cvNn2o5cp33rQyEgRx UPehoV1KoWYMRCcth4UP0mFQ+Wh5wms8sDbyHtGtYauqumO9j22IXkgA9O7GIJ0Q43MAvVJayJ0X RytdGlGjNDwhJeh0ALot3SolRfqoFMhETEORaSonFkF7n0+23fD6EHnotJha4M9p4Qkny7XDoleo HU+cHKP+B8pqET14lRbCWzYSKYogi2X1RJvHjgdZuKDUEK6iw/+DFR9OnyLRbUPvKHHc4sAv379d fvy6/PxKlkWfPkCNaY8BE9Pwxg+4NVm37Ad0ZtqDijZ/kRDBOKp7vqorh0REfrRerdcVhgTG5gvi sNvzECG9ld6SbDQ04viKqvz0HtKYOqfkas4/aGPKCI37y4GY2cNuPWYrDfthanzv2zPy6XHyDXW4 6JSYdw6FzUsyG3E29rNxDFEfurJFuR6E18eETZTecoURdiqMIyvspvXKO/HnvWTdfqntb1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DcEAABbQ29u dGVudF9UeXBlc10ueG1sUEsBAhQACgAAAAAAh07iQAAAAAAAAAAAAAAAAAYAAAAAAAAAAAAQAAAA GQMAAF9yZWxzL1BLAQIUABQAAAAIAIdO4kCKFGY80QAAAJQBAAALAAAAAAAAAAEAIAAAAD0DAABf cmVscy8ucmVsc1BLAQIUAAoAAAAAAIdO4kAAAAAAAAAAAAAAAAAEAAAAAAAAAAAAEAAAAAAAAABk cnMvUEsBAhQAFAAAAAgAh07iQIdaAKzXAAAACgEAAA8AAAAAAAAAAQAgAAAAIgAAAGRycy9kb3du cmV2LnhtbFBLAQIUABQAAAAIAIdO4kB26TnBxwEAAJoDAAAOAAAAAAAAAAEAIAAAACYBAABkcnMv ZTJvRG9jLnhtbFBLBQYAAAAABgAGAFkBAABfBQAAAAA= ">
              <v:fill on="f" focussize="0,0"/>
              <v:stroke on="f"/>
              <v:imagedata o:title=""/>
              <o:lock v:ext="edit" aspectratio="f"/>
              <v:textbox inset="0mm,0mm,0mm,0mm" style="mso-fit-shape-to-text:t;">
                <w:txbxContent>
                  <w:p>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75</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78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w:t>
    </w:r>
    <w:r>
      <w:t xml:space="preserve"> 30 -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7456" behindDoc="0" locked="0" layoutInCell="1" allowOverlap="1">
              <wp:simplePos x="0" y="0"/>
              <wp:positionH relativeFrom="margin">
                <wp:posOffset>2369185</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lang/>
                            </w:rPr>
                            <w:t>78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lang/>
                            </w:rPr>
                            <w:t>78</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55pt;margin-top:0pt;height:144pt;width:144pt;mso-position-horizontal-relative:margin;mso-wrap-style:none;z-index:251667456;mso-width-relative:page;mso-height-relative:page;" filled="f" stroked="f" coordsize="21600,21600" o:gfxdata="UEsDBAoAAAAAAIdO4kAAAAAAAAAAAAAAAAAEAAAAZHJzL1BLAwQUAAAACACHTuJAewQcjdQAAAAI AQAADwAAAGRycy9kb3ducmV2LnhtbE2PMU/DMBSEdyT+g/WQ2KiTVkqjEKdDJRY2CkJic+PXOMJ+ jmw3Tf49jwnG053uvmsPi3dixpjGQArKTQECqQ9mpEHBx/vLUw0iZU1Gu0CoYMUEh+7+rtWNCTd6 w/mUB8EllBqtwOY8NVKm3qLXaRMmJPYuIXqdWcZBmqhvXO6d3BZFJb0eiResnvBosf8+Xb2C/fIZ cEp4xK/L3Ec7rrV7XZV6fCiLZxAZl/wXhl98RoeOmc7hSiYJp2C335UcVcCP2K6qkuVZwbauC5Bd K/8f6H4AUEsDBBQAAAAIAIdO4kAlkzSpyAEAAJkDAAAOAAAAZHJzL2Uyb0RvYy54bWytU82O0zAQ viPxDpbv1NkeUDdqulpULUJCgLTwAK5jN5b8J4/bpC8Ab8CJC3eeq8/B2Em6y3LZw16c8cz4m/m+ maxvBmvIUUbQ3jX0alFRIp3wrXb7hn77evdmRQkk7lpuvJMNPUmgN5vXr9Z9qOXSd960MhIEcVD3 oaFdSqFmDEQnLYeFD9JhUPloecJr3LM28h7RrWHLqnrLeh/bEL2QAOjdjkE6IcbnAHqltJBbLw5W ujSiRml4QkrQ6QB0U7pVSor0WSmQiZiGItNUTiyC9i6fbLPm9T7y0GkxtcCf08ITTpZrh0UvUFue ODlE/R+U1SJ68CothLdsJFIUQRZX1RNt7jseZOGCUkO4iA4vBys+Hb9EotuGXlPiuMWBn3/+OP/6 c/79nVxnefoANWbdB8xLwzs/4NLMfkBnZj2oaPMX+RCMo7ini7hySETkR6vlalVhSGBsviA+e3ge IqT30luSjYZGnF4RlR8/QhpT55Rczfk7bUyZoHH/OBAze1jufewxW2nYDROhnW9PyKfHwTfU4Z5T Yj441DXvyGzE2djNxiFEve/KEuV6EG4PCZsoveUKI+xUGCdW2E3blVfi8b1kPfxRm79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B7BByN1AAAAAgBAAAPAAAAAAAAAAEAIAAAACIAAABkcnMvZG93bnJl di54bWxQSwECFAAUAAAACACHTuJAJZM0qcgBAACZAwAADgAAAAAAAAABACAAAAAjAQAAZHJzL2Uy b0RvYy54bWxQSwUGAAAAAAYABgBZAQAAXQUAAAAA ">
              <v:fill on="f" focussize="0,0"/>
              <v:stroke on="f"/>
              <v:imagedata o:title=""/>
              <o:lock v:ext="edit" aspectratio="f"/>
              <v:textbox inset="0mm,0mm,0mm,0mm" style="mso-fit-shape-to-text:t;">
                <w:txbxContent>
                  <w:p>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lang/>
                      </w:rPr>
                      <w:t>78</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lang/>
                      </w:rPr>
                      <w:t>78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3UUJPckBAACaAwAADgAAAGRycy9lMm9Eb2MueG1srVPNjtMwEL4j8Q6W 79RpD1BFTVe7qhYhIUBaeADXsRtL/pPHbdIXgDfgxIU7z9XnYOwkXVgue+DijGfG38z3zWRzM1hD TjKC9q6hy0VFiXTCt9odGvrl8/2rNSWQuGu58U429CyB3mxfvtj0oZYr33nTykgQxEHdh4Z2KYWa MRCdtBwWPkiHQeWj5Qmv8cDayHtEt4atquo1631sQ/RCAqB3NwbphBifA+iV0kLuvDha6dKIGqXh CSlBpwPQbelWKSnSR6VAJmIaikxTObEI2vt8su2G14fIQ6fF1AJ/TgtPOFmuHRa9Qu144uQY9T9Q Vovowau0EN6ykUhRBFksqyfaPHQ8yMIFpYZwFR3+H6z4cPoUiW4b+oYSxy0O/PL92+XHr8vPr2S5 yvr0AWpMewiYmIY7P+DWzH5AZ6Y9qGjzFwkRjKO656u6ckhE5Efr1XpdYUhgbL4gPnt8HiKkt9Jb ko2GRhxfUZWf3kMaU+eUXM35e21MGaFxfzkQM3tY7n3sMVtp2A8Tob1vz8inx8k31OGiU2LeORQ2 L8lsxNnYz8YxRH3oyhblehBujwmbKL3lCiPsVBhHVthN65V34s97yXr8pb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dRQk9yQEAAJoDAAAOAAAAAAAAAAEAIAAAAB4BAABkcnMvZTJvRG9j LnhtbFBLBQYAAAAABgAGAFkBAABZBQAAAAA= ">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r>
      <w:rPr>
        <w:rFonts w:hint="eastAsia"/>
      </w:rPr>
      <w:t>85</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6432" behindDoc="0" locked="0" layoutInCell="1" allowOverlap="1">
              <wp:simplePos x="0" y="0"/>
              <wp:positionH relativeFrom="margin">
                <wp:posOffset>4048760</wp:posOffset>
              </wp:positionH>
              <wp:positionV relativeFrom="paragraph">
                <wp:posOffset>-119380</wp:posOffset>
              </wp:positionV>
              <wp:extent cx="972185" cy="147955"/>
              <wp:effectExtent l="0" t="0" r="0" b="0"/>
              <wp:wrapNone/>
              <wp:docPr id="8" name="文本框 1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76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78</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文本框 11" o:spid="_x0000_s1026" o:spt="202" type="#_x0000_t202" style="position:absolute;left:0pt;margin-left:318.8pt;margin-top:-9.4pt;height:11.65pt;width:76.55pt;mso-position-horizontal-relative:margin;mso-wrap-style:none;z-index:251666432;mso-width-relative:page;mso-height-relative:page;" filled="f" stroked="f" coordsize="21600,21600" o:gfxdata="UEsDBAoAAAAAAIdO4kAAAAAAAAAAAAAAAAAEAAAAZHJzL1BLAwQUAAAACACHTuJASDSpfNYAAAAJ AQAADwAAAGRycy9kb3ducmV2LnhtbE2Py07DMBBF90j8gzVI7Fo7PJIQ4nRRiQ07CkJi58bTOMKP yHbT5O8ZVrAczdG957a7xVk2Y0xj8BKKrQCGvg969IOEj/eXTQ0sZeW1ssGjhBUT7Lrrq1Y1Olz8 G86HPDAK8alREkzOU8N56g06lbZhQk+/U4hOZTrjwHVUFwp3lt8JUXKnRk8NRk24N9h/H85OQrV8 BpwS7vHrNPfRjGttX1cpb28K8Qws45L/YPjVJ3XoyOkYzl4nZiWU91VJqIRNUdMGIqonUQE7Snh4 BN61/P+C7gdQSwMEFAAAAAgAh07iQG3/5uDPAQAAmAMAAA4AAABkcnMvZTJvRG9jLnhtbK1TS27b MBDdF+gdCO5rWUbdJILlIIWRokDRFkhzAJoiLQL8gUNb8gXaG3TVTfc9l8/RISU5abrJIhtqODN6 M+/NcHXdG00OIoBytqblbE6JsNw1yu5qev/t9s0lJRCZbZh2VtT0KIBer1+/WnW+EgvXOt2IQBDE QtX5mrYx+qoogLfCMJg5LywGpQuGRbyGXdEE1iG60cViPn9XdC40PjguANC7GYJ0RAzPAXRSKi42 ju+NsHFADUKziJSgVR7oOncrpeDxi5QgItE1RaYxn1gE7W06i/WKVbvAfKv42AJ7TgtPOBmmLBY9 Q21YZGQf1H9QRvHgwMk4484UA5GsCLIo50+0uWuZF5kLSg3+LDq8HCz/fPgaiGpqimO3zODATz9/ nH79Of3+Tsoy6dN5qDDtzmNi7N+7Hrdm8gM6E+1eBpO+SIhgHNU9ntUVfSQcnVcXi/JySQnHUPn2 4mq5TCjFw88+QPwgnCHJqGnA4WVN2eETxCF1Skm1rLtVWucBavuPAzGTp0idDx0mK/bbfqSzdc0R 2XQ495paXHNK9EeLsqYVmYwwGdvJ2Pugdm3eoVQP/M0+YhO5t1RhgB0L48Ayu3G50kY8vueshwe1 /gt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INKl81gAAAAkBAAAPAAAAAAAAAAEAIAAAACIAAABk cnMvZG93bnJldi54bWxQSwECFAAUAAAACACHTuJAbf/m4M8BAACYAwAADgAAAAAAAAABACAAAAAl AQAAZHJzL2Uyb0RvYy54bWxQSwUGAAAAAAYABgBZAQAAZgUAAAAA ">
              <v:fill on="f" focussize="0,0"/>
              <v:stroke on="f"/>
              <v:imagedata o:title=""/>
              <o:lock v:ext="edit" aspectratio="f"/>
              <v:textbox inset="0mm,0mm,0mm,0mm" style="mso-fit-shape-to-text:t;">
                <w:txbxContent>
                  <w:p>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76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rPr>
                      <w:t>78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169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16990" cy="1828800"/>
                      </a:xfrm>
                      <a:prstGeom prst="rect">
                        <a:avLst/>
                      </a:prstGeom>
                      <a:noFill/>
                      <a:ln>
                        <a:noFill/>
                      </a:ln>
                    </wps:spPr>
                    <wps:txbx>
                      <w:txbxContent>
                        <w:p>
                          <w:pPr>
                            <w:pStyle w:val="11"/>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lang/>
                            </w:rPr>
                            <w:t>2</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lang/>
                            </w:rPr>
                            <w:t>78</w:t>
                          </w:r>
                          <w:r>
                            <w:rPr>
                              <w:rFonts w:ascii="仿宋" w:hAnsi="仿宋" w:eastAsia="仿宋"/>
                            </w:rPr>
                            <w:fldChar w:fldCharType="end"/>
                          </w:r>
                          <w:r>
                            <w:rPr>
                              <w:rFonts w:ascii="仿宋" w:hAnsi="仿宋" w:eastAsia="仿宋"/>
                            </w:rPr>
                            <w:t xml:space="preserve"> 页</w:t>
                          </w:r>
                        </w:p>
                      </w:txbxContent>
                    </wps:txbx>
                    <wps:bodyPr vert="horz" wrap="square" lIns="0" tIns="0" rIns="0" bIns="0" anchor="t" anchorCtr="0" upright="0">
                      <a:spAutoFit/>
                    </wps:bodyPr>
                  </wps:wsp>
                </a:graphicData>
              </a:graphic>
            </wp:anchor>
          </w:drawing>
        </mc:Choice>
        <mc:Fallback>
          <w:pict>
            <v:shape id="_x0000_s1026" o:spid="_x0000_s1026" o:spt="202" type="#_x0000_t202" style="position:absolute;left:0pt;margin-top:0pt;height:144pt;width:103.7pt;mso-position-horizontal:center;mso-position-horizontal-relative:margin;z-index:251659264;mso-width-relative:page;mso-height-relative:page;" filled="f" stroked="f" coordsize="21600,21600" o:gfxdata="UEsDBAoAAAAAAIdO4kAAAAAAAAAAAAAAAAAEAAAAZHJzL1BLAwQUAAAACACHTuJA4/GRk9IAAAAF AQAADwAAAGRycy9kb3ducmV2LnhtbE2PMU/EMAyFdyT+Q2QkFsQlqdBRStMbECxsHCxsuca0FYlT Nbm23K/HsMBiPetZ732ud2vwYsYpDZEM6I0CgdRGN1Bn4O316boEkbIlZ30kNPCFCXbN+VltKxcX esF5nzvBIZQqa6DPeaykTG2PwaZNHJHY+4hTsJnXqZNusguHBy8LpbYy2IG4obcjPvTYfu6PwcB2 fRyvnu+wWE6tn+n9pHVGbczlhVb3IDKu+e8YfvAZHRpmOsQjuSS8AX4k/072CnV7A+LAoiwVyKaW /+mbb1BLAwQUAAAACACHTuJATnXPqOQBAADAAwAADgAAAGRycy9lMm9Eb2MueG1srVPNjtMwEL4j 8Q6W7zRJkVbdqOkKqBYhIUBaeADXcRpL8Q8zTpPyAPAGnLhw57n6HIydtAvLZQ9ckvHMeOb7vhmv b0bTsYMC1M5WvFjknCkrXa3tvuKfPt4+W3GGQdhadM6qih8V8pvN0yfrwZdq6VrX1QoYFbFYDr7i bQi+zDKUrTICF84rS8HGgRGBjrDPahADVTddtszzq2xwUHtwUiGSdzsF+VwRHlPQNY2Wautkb5QN U1VQnQhECVvtkW8S2qZRMrxvGlSBdRUnpiF9qQnZu/jNNmtR7kH4VssZgngMhAecjNCWml5KbUUQ rAf9TymjJTh0TVhIZ7KJSFKEWBT5A23uWuFV4kJSo7+Ijv+vrHx3+ABM17QJnFlhaOCn799OP36d fn5lRZRn8FhS1p2nvDC+dGNMnf1Izsh6bMDEP/FhFCdxjxdx1RiYjJeeF1fX1xSSFCtWy9UqT/Jn 99c9YHitnGHRqDjQ9JKo4vAWA7Wk1HNK7Gbdre66NMHO/uWgxOjJIvYJY7TCuBtn4DtXH4kPPQPq 0zr4wtlAS1Bx/NwLUJx1byypHDfmbMDZ2J0NYSVdrXjgbDJfhWmzeg9636Zdi7DQv+gDYU0UIpCp +4yPBpuYzUsYN+fPc8q6f3ib31BLAwQKAAAAAACHTuJAAAAAAAAAAAAAAAAABgAAAF9yZWxzL1BL AwQUAAAACACHTuJAihRmPNEAAACUAQAACwAAAF9yZWxzLy5yZWxzpZDBasMwDIbvg72D0X1xmsMY o04vo9Br6R7A2IpjGltGMtn69vMOg2X0tqN+oe8T//7wmRa1IkukbGDX9aAwO/IxBwPvl+PTCyip Nnu7UEYDNxQ4jI8P+zMutrYjmWMR1ShZDMy1lletxc2YrHRUMLfNRJxsbSMHXay72oB66Ptnzb8Z MG6Y6uQN8MkPoC630sx/2Ck6JqGpdo6SpmmK7h5VB7Zlju7INuEbuUazHLAa8CwaB2pZ134EfV+/ +6fe00c+47rVfoeM649Xb7ocvwBQSwMEFAAAAAgAh07iQH7m5SD3AAAA4QEAABMAAABbQ29udGVu dF9UeXBlc10ueG1slZFBTsMwEEX3SNzB8hYlTrtACCXpgrRLQKgcYGRPEotkbHlMaG+Pk7YbRJFY 2jP/vye73BzGQUwY2Dqq5CovpEDSzljqKvm+32UPUnAEMjA4wkoekeWmvr0p90ePLFKauJJ9jP5R KdY9jsC580hp0rowQkzH0CkP+gM6VOuiuFfaUUSKWZw7ZF022MLnEMX2kK5PJgEHluLptDizKgne D1ZDTKZqIvODkp0JeUouO9xbz3dJQ6pfCfPkOuCce0lPE6xB8QohPsOYNJQJrIz7ooBT/nfJbDly 5trWasybwE2KveF0sbrWjmvXOP3f8u2SunSr5YPqb1BLAQIUABQAAAAIAIdO4kB+5uUg9wAAAOEB AAATAAAAAAAAAAEAIAAAAE8EAABbQ29udGVudF9UeXBlc10ueG1sUEsBAhQACgAAAAAAh07iQAAA AAAAAAAAAAAAAAYAAAAAAAAAAAAQAAAAMQMAAF9yZWxzL1BLAQIUABQAAAAIAIdO4kCKFGY80QAA AJQBAAALAAAAAAAAAAEAIAAAAFUDAABfcmVscy8ucmVsc1BLAQIUAAoAAAAAAIdO4kAAAAAAAAAA AAAAAAAEAAAAAAAAAAAAEAAAAAAAAABkcnMvUEsBAhQAFAAAAAgAh07iQOPxkZPSAAAABQEAAA8A AAAAAAAAAQAgAAAAIgAAAGRycy9kb3ducmV2LnhtbFBLAQIUABQAAAAIAIdO4kBOdc+o5AEAAMAD AAAOAAAAAAAAAAEAIAAAACEBAABkcnMvZTJvRG9jLnhtbFBLBQYAAAAABgAGAFkBAAB3BQAAAAA= ">
              <v:fill on="f" focussize="0,0"/>
              <v:stroke on="f"/>
              <v:imagedata o:title=""/>
              <o:lock v:ext="edit" aspectratio="f"/>
              <v:textbox inset="0mm,0mm,0mm,0mm" style="mso-fit-shape-to-text:t;">
                <w:txbxContent>
                  <w:p>
                    <w:pPr>
                      <w:pStyle w:val="11"/>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lang/>
                      </w:rPr>
                      <w:t>2</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lang/>
                      </w:rPr>
                      <w:t>78</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lang/>
                            </w:rPr>
                            <w:t>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lang/>
                            </w:rPr>
                            <w:t>78</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Aknl8cBAACZAwAADgAAAGRycy9lMm9Eb2MueG1srVPNjtMwEL4j8Q6W 79TZHFAVNV2BqkVICJAWHsB17MaS/+Rxm/QF4A04ceHOc/U5GDtJd1kue+DijGfG38z3zWRzO1pD TjKC9q6lN6uKEumE77Q7tPTrl7tXa0ogcddx451s6VkCvd2+fLEZQiNr33vTyUgQxEEzhJb2KYWG MRC9tBxWPkiHQeWj5Qmv8cC6yAdEt4bVVfWaDT52IXohAdC7m4J0RozPAfRKaSF3XhytdGlCjdLw hJSg1wHotnSrlBTpk1IgEzEtRaapnFgE7X0+2XbDm0PkoddiboE/p4UnnCzXDoteoXY8cXKM+h8o q0X04FVaCW/ZRKQogixuqifa3Pc8yMIFpYZwFR3+H6z4ePocie5aWlPiuMWBX358v/z8ffn1jdRZ niFAg1n3AfPS+NaPuDSLH9CZWY8q2vxFPgTjKO75Kq4cExH50bperysMCYwtF8RnD89DhPROekuy 0dKI0yui8tMHSFPqkpKrOX+njSkTNO4vB2JmD8u9Tz1mK437cSa0990Z+Qw4+JY63HNKzHuHuuYd WYy4GPvFOIaoD31ZolwPwptjwiZKb7nCBDsXxokVdvN25ZV4fC9ZD3/U9g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9Aknl8cBAACZAwAADgAAAAAAAAABACAAAAAeAQAAZHJzL2Uyb0RvYy54 bWxQSwUGAAAAAAYABgBZAQAAVwUAAAAA ">
              <v:fill on="f" focussize="0,0"/>
              <v:stroke on="f"/>
              <v:imagedata o:title=""/>
              <o:lock v:ext="edit" aspectratio="f"/>
              <v:textbox inset="0mm,0mm,0mm,0mm" style="mso-fit-shape-to-text:t;">
                <w:txbxContent>
                  <w:p>
                    <w:pPr>
                      <w:pStyle w:val="11"/>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lang/>
                      </w:rPr>
                      <w:t>1</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lang/>
                      </w:rPr>
                      <w:t>78</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lang/>
                            </w:rPr>
                            <w:t>73</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lang/>
                            </w:rPr>
                            <w:t>78</w:t>
                          </w:r>
                          <w:r>
                            <w:rPr>
                              <w:rFonts w:ascii="仿宋" w:hAnsi="仿宋" w:eastAsia="仿宋"/>
                            </w:rPr>
                            <w:fldChar w:fldCharType="end"/>
                          </w:r>
                          <w:r>
                            <w:rPr>
                              <w:rFonts w:ascii="仿宋" w:hAnsi="仿宋" w:eastAsia="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G+QoMkBAACZAwAADgAAAGRycy9lMm9Eb2MueG1srVPNjtMwEL4j8Q6W 79TZroSqqOlqUbUICQHSwgO4jt1Y8p88bpO+ALwBJy7cea4+B2Mn6S7LZQ97ccYz42/m+2ayvhms IUcZQXvX0KtFRYl0wrfa7Rv67evdmxUlkLhrufFONvQkgd5sXr9a96GWS99508pIEMRB3YeGdimF mjEQnbQcFj5Ih0Hlo+UJr3HP2sh7RLeGLavqLet9bEP0QgKgdzsG6YQYnwPoldJCbr04WOnSiBql 4QkpQacD0E3pVikp0melQCZiGopMUzmxCNq7fLLNmtf7yEOnxdQCf04LTzhZrh0WvUBteeLkEPV/ UFaL6MGrtBDespFIUQRZXFVPtLnveJCFC0oN4SI6vBys+HT8EoluG3pN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Eb5CgyQEAAJkDAAAOAAAAAAAAAAEAIAAAAB4BAABkcnMvZTJvRG9j LnhtbFBLBQYAAAAABgAGAFkBAABZBQAAAAA= ">
              <v:fill on="f" focussize="0,0"/>
              <v:stroke on="f"/>
              <v:imagedata o:title=""/>
              <o:lock v:ext="edit" aspectratio="f"/>
              <v:textbox inset="0mm,0mm,0mm,0mm" style="mso-fit-shape-to-text:t;">
                <w:txbxContent>
                  <w:p>
                    <w:pPr>
                      <w:pStyle w:val="11"/>
                      <w:rPr>
                        <w:rFonts w:ascii="仿宋" w:hAnsi="仿宋" w:eastAsia="仿宋"/>
                      </w:rPr>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lang/>
                      </w:rPr>
                      <w:t>73</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lang/>
                      </w:rPr>
                      <w:t>78</w:t>
                    </w:r>
                    <w:r>
                      <w:rPr>
                        <w:rFonts w:ascii="仿宋" w:hAnsi="仿宋" w:eastAsia="仿宋"/>
                      </w:rPr>
                      <w:fldChar w:fldCharType="end"/>
                    </w:r>
                    <w:r>
                      <w:rPr>
                        <w:rFonts w:ascii="仿宋" w:hAnsi="仿宋" w:eastAsia="仿宋"/>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lang/>
                            </w:rPr>
                            <w:t>72</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lang/>
                            </w:rPr>
                            <w:t>78</w:t>
                          </w:r>
                          <w:r>
                            <w:rPr>
                              <w:rFonts w:ascii="仿宋" w:hAnsi="仿宋" w:eastAsia="仿宋"/>
                            </w:rPr>
                            <w:fldChar w:fldCharType="end"/>
                          </w:r>
                          <w:r>
                            <w:rPr>
                              <w:rFonts w:ascii="仿宋" w:hAnsi="仿宋" w:eastAsia="仿宋"/>
                            </w:rPr>
                            <w:t xml:space="preserve"> </w:t>
                          </w:r>
                          <w: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F+UJskBAACZAwAADgAAAGRycy9lMm9Eb2MueG1srVPNjtMwEL4j8Q6W 79TZaoWqqOlqUbUICQHSwgO4jt1Y8p88bpO+ALwBJy7cea4+B2Mn6S7LZQ97ccYz42/m+2ayvhms IUcZQXvX0KtFRYl0wrfa7Rv67evdmxUlkLhrufFONvQkgd5sXr9a96GWS99508pIEMRB3YeGdimF mjEQnbQcFj5Ih0Hlo+UJr3HP2sh7RLeGLavqLet9bEP0QgKgdzsG6YQYnwPoldJCbr04WOnSiBql 4QkpQacD0E3pVikp0melQCZiGopMUzmxCNq7fLLNmtf7yEOnxdQCf04LTzhZrh0WvUBteeLkEPV/ UFaL6MGrtBDespFIUQRZXFVPtLnveJCFC0oN4SI6vBys+HT8EoluG3pN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UX5QmyQEAAJkDAAAOAAAAAAAAAAEAIAAAAB4BAABkcnMvZTJvRG9j LnhtbFBLBQYAAAAABgAGAFkBAABZBQAAAAA= ">
              <v:fill on="f" focussize="0,0"/>
              <v:stroke on="f"/>
              <v:imagedata o:title=""/>
              <o:lock v:ext="edit" aspectratio="f"/>
              <v:textbox inset="0mm,0mm,0mm,0mm" style="mso-fit-shape-to-text:t;">
                <w:txbxContent>
                  <w:p>
                    <w:pPr>
                      <w:pStyle w:val="11"/>
                    </w:pPr>
                    <w:r>
                      <w:rPr>
                        <w:rFonts w:ascii="仿宋" w:hAnsi="仿宋" w:eastAsia="仿宋"/>
                      </w:rPr>
                      <w:t xml:space="preserve">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lang/>
                      </w:rPr>
                      <w:t>72</w:t>
                    </w:r>
                    <w:r>
                      <w:rPr>
                        <w:rFonts w:ascii="仿宋" w:hAnsi="仿宋" w:eastAsia="仿宋"/>
                      </w:rPr>
                      <w:fldChar w:fldCharType="end"/>
                    </w:r>
                    <w:r>
                      <w:rPr>
                        <w:rFonts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lang/>
                      </w:rPr>
                      <w:t>78</w:t>
                    </w:r>
                    <w:r>
                      <w:rPr>
                        <w:rFonts w:ascii="仿宋" w:hAnsi="仿宋" w:eastAsia="仿宋"/>
                      </w:rPr>
                      <w:fldChar w:fldCharType="end"/>
                    </w:r>
                    <w:r>
                      <w:rPr>
                        <w:rFonts w:ascii="仿宋" w:hAnsi="仿宋" w:eastAsia="仿宋"/>
                      </w:rPr>
                      <w:t xml:space="preserve"> </w:t>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posOffset>2369185</wp:posOffset>
              </wp:positionH>
              <wp:positionV relativeFrom="paragraph">
                <wp:posOffset>-57150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lang/>
                            </w:rPr>
                            <w:t>74</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lang/>
                            </w:rPr>
                            <w:t>78</w:t>
                          </w:r>
                          <w:r>
                            <w:rPr>
                              <w:rFonts w:hint="eastAsia" w:ascii="仿宋" w:hAnsi="仿宋" w:eastAsia="仿宋" w:cs="仿宋"/>
                            </w:rPr>
                            <w:fldChar w:fldCharType="end"/>
                          </w:r>
                          <w:r>
                            <w:rPr>
                              <w:rFonts w:hint="eastAsia" w:ascii="仿宋" w:hAnsi="仿宋" w:eastAsia="仿宋" w:cs="仿宋"/>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55pt;margin-top:-4.5pt;height:144pt;width:144pt;mso-position-horizontal-relative:margin;mso-wrap-style:none;z-index:251663360;mso-width-relative:page;mso-height-relative:page;" filled="f" stroked="f" coordsize="21600,21600" o:gfxdata="UEsDBAoAAAAAAIdO4kAAAAAAAAAAAAAAAAAEAAAAZHJzL1BLAwQUAAAACACHTuJAskNwBtUAAAAK AQAADwAAAGRycy9kb3ducmV2LnhtbE2PPU/DMBCGd6T+B+sqsbVOWikpIZcOlVjYKAiJzY2vSYQ/ IttNk3/PMcF47z16P+rjbI2YKMTBO4R8m4Eg13o9uA7h4/1lcwARk3JaGe8IYaEIx2b1UKtK+7t7 o+mcOsEmLlYKoU9prKSMbU9Wxa0fyfHv6oNVic/QSR3Unc2tkbssK6RVg+OEXo106qn9Pt8sQjl/ ehojnejrOrWhH5aDeV0QH9d59gwi0Zz+YPitz9Wh4U4Xf3M6CoOwL/c5owibJ97EQFHkLFwQdiUr sqnl/wnND1BLAwQUAAAACACHTuJAJDkjEckBAACZAwAADgAAAGRycy9lMm9Eb2MueG1srVPNjtMw EL4j8Q6W79TZSouqqOlqUbUICQHSwgO4jt1Y8p88bpO+ALwBJy7cea4+B2Mn6S7LZQ97ccYz42/m +2ayvhmsIUcZQXvX0KtFRYl0wrfa7Rv67evdmxUlkLhrufFONvQkgd5sXr9a96GWS99508pIEMRB 3YeGdimFmjEQnbQcFj5Ih0Hlo+UJr3HP2sh7RLeGLavqLet9bEP0QgKgdzsG6YQYnwPoldJCbr04 WOnSiBql4QkpQacD0E3pVikp0melQCZiGopMUzmxCNq7fLLNmtf7yEOnxdQCf04LTzhZrh0WvUBt eeLkEPV/UFaL6MGrtBDespFIUQRZXFVPtLnveJCFC0oN4SI6vBys+HT8EoluG3pNieMWB37++eP8 68/593dyneXpA9SYdR8wLw3v/IBLM/sBnZn1oKLNX+RDMI7ini7iyiERkR+tlqtVhSGBsfmC+Ozh eYiQ3ktvSTYaGnF6RVR+/AhpTJ1TcjXn77QxZYLG/eNAzOxhufexx2ylYTdMhHa+PSGfHgffUId7 Ton54FDXvCOzEWdjNxuHEPW+K0uU60G4PSRsovSWK4ywU2GcWGE3bVdeicf3kvXwR23+Al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DcEAABbQ29u dGVudF9UeXBlc10ueG1sUEsBAhQACgAAAAAAh07iQAAAAAAAAAAAAAAAAAYAAAAAAAAAAAAQAAAA GQMAAF9yZWxzL1BLAQIUABQAAAAIAIdO4kCKFGY80QAAAJQBAAALAAAAAAAAAAEAIAAAAD0DAABf cmVscy8ucmVsc1BLAQIUAAoAAAAAAIdO4kAAAAAAAAAAAAAAAAAEAAAAAAAAAAAAEAAAAAAAAABk cnMvUEsBAhQAFAAAAAgAh07iQLJDcAbVAAAACgEAAA8AAAAAAAAAAQAgAAAAIgAAAGRycy9kb3du cmV2LnhtbFBLAQIUABQAAAAIAIdO4kAkOSMRyQEAAJkDAAAOAAAAAAAAAAEAIAAAACQBAABkcnMv ZTJvRG9jLnhtbFBLBQYAAAAABgAGAFkBAABfBQAAAAA= ">
              <v:fill on="f" focussize="0,0"/>
              <v:stroke on="f"/>
              <v:imagedata o:title=""/>
              <o:lock v:ext="edit" aspectratio="f"/>
              <v:textbox inset="0mm,0mm,0mm,0mm" style="mso-fit-shape-to-text:t;">
                <w:txbxContent>
                  <w:p>
                    <w:pPr>
                      <w:pStyle w:val="11"/>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lang/>
                      </w:rPr>
                      <w:t>74</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ascii="仿宋" w:hAnsi="仿宋" w:eastAsia="仿宋" w:cs="仿宋"/>
                        <w:lang/>
                      </w:rPr>
                      <w:t>78</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fldChar w:fldCharType="begin"/>
    </w:r>
    <w:r>
      <w:rPr>
        <w:rStyle w:val="18"/>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1">
    <w:nsid w:val="0945F259"/>
    <w:multiLevelType w:val="singleLevel"/>
    <w:tmpl w:val="0945F259"/>
    <w:lvl w:ilvl="0" w:tentative="0">
      <w:start w:val="1"/>
      <w:numFmt w:val="decimal"/>
      <w:suff w:val="nothing"/>
      <w:lvlText w:val="%1、"/>
      <w:lvlJc w:val="left"/>
    </w:lvl>
  </w:abstractNum>
  <w:abstractNum w:abstractNumId="2">
    <w:nsid w:val="0CB64857"/>
    <w:multiLevelType w:val="singleLevel"/>
    <w:tmpl w:val="0CB64857"/>
    <w:lvl w:ilvl="0" w:tentative="0">
      <w:start w:val="2"/>
      <w:numFmt w:val="decimal"/>
      <w:suff w:val="nothing"/>
      <w:lvlText w:val="%1、"/>
      <w:lvlJc w:val="left"/>
    </w:lvl>
  </w:abstractNum>
  <w:abstractNum w:abstractNumId="3">
    <w:nsid w:val="1A1BE98A"/>
    <w:multiLevelType w:val="singleLevel"/>
    <w:tmpl w:val="1A1BE98A"/>
    <w:lvl w:ilvl="0" w:tentative="0">
      <w:start w:val="1"/>
      <w:numFmt w:val="decimal"/>
      <w:pStyle w:val="35"/>
      <w:lvlText w:val="%1."/>
      <w:lvlJc w:val="left"/>
      <w:pPr>
        <w:ind w:left="425" w:hanging="425"/>
      </w:pPr>
      <w:rPr>
        <w:rFonts w:hint="default"/>
      </w:rPr>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MTgwNTljODk3OTE3MGJjYWFlYzg5ZDEyNmNlOGMifQ=="/>
  </w:docVars>
  <w:rsids>
    <w:rsidRoot w:val="00972338"/>
    <w:rsid w:val="00000102"/>
    <w:rsid w:val="000002BC"/>
    <w:rsid w:val="00010D4B"/>
    <w:rsid w:val="00026436"/>
    <w:rsid w:val="00033725"/>
    <w:rsid w:val="0003512C"/>
    <w:rsid w:val="00043E70"/>
    <w:rsid w:val="00060810"/>
    <w:rsid w:val="000678CF"/>
    <w:rsid w:val="00067B4A"/>
    <w:rsid w:val="00073D65"/>
    <w:rsid w:val="000A58E4"/>
    <w:rsid w:val="000B416D"/>
    <w:rsid w:val="000C58F6"/>
    <w:rsid w:val="000C7D6E"/>
    <w:rsid w:val="000E40FB"/>
    <w:rsid w:val="000F4D18"/>
    <w:rsid w:val="000F66AE"/>
    <w:rsid w:val="001020A4"/>
    <w:rsid w:val="00103686"/>
    <w:rsid w:val="00111742"/>
    <w:rsid w:val="00133AC0"/>
    <w:rsid w:val="001344FF"/>
    <w:rsid w:val="0016436A"/>
    <w:rsid w:val="00170BB4"/>
    <w:rsid w:val="00172EE8"/>
    <w:rsid w:val="001777A3"/>
    <w:rsid w:val="00177B88"/>
    <w:rsid w:val="00182B23"/>
    <w:rsid w:val="0018730F"/>
    <w:rsid w:val="001B47BF"/>
    <w:rsid w:val="001D0F19"/>
    <w:rsid w:val="001F6CAA"/>
    <w:rsid w:val="00201BFD"/>
    <w:rsid w:val="0022318B"/>
    <w:rsid w:val="0022635D"/>
    <w:rsid w:val="002300A4"/>
    <w:rsid w:val="00241BBF"/>
    <w:rsid w:val="002608DD"/>
    <w:rsid w:val="00264B6D"/>
    <w:rsid w:val="00272EF5"/>
    <w:rsid w:val="00276A4B"/>
    <w:rsid w:val="00280A96"/>
    <w:rsid w:val="00286A5F"/>
    <w:rsid w:val="00287F7E"/>
    <w:rsid w:val="00291557"/>
    <w:rsid w:val="00293B4F"/>
    <w:rsid w:val="00294591"/>
    <w:rsid w:val="002979E3"/>
    <w:rsid w:val="002C398D"/>
    <w:rsid w:val="002D24C0"/>
    <w:rsid w:val="002E1B7D"/>
    <w:rsid w:val="002F6A52"/>
    <w:rsid w:val="0030491C"/>
    <w:rsid w:val="00310ABC"/>
    <w:rsid w:val="003178B9"/>
    <w:rsid w:val="0032269F"/>
    <w:rsid w:val="003506C0"/>
    <w:rsid w:val="00387C28"/>
    <w:rsid w:val="00394E2D"/>
    <w:rsid w:val="0039632A"/>
    <w:rsid w:val="003B236D"/>
    <w:rsid w:val="003B29B1"/>
    <w:rsid w:val="003B31EF"/>
    <w:rsid w:val="003B3567"/>
    <w:rsid w:val="003C5675"/>
    <w:rsid w:val="003E3F43"/>
    <w:rsid w:val="003E6EE0"/>
    <w:rsid w:val="003E72A3"/>
    <w:rsid w:val="00430592"/>
    <w:rsid w:val="00433680"/>
    <w:rsid w:val="004454AC"/>
    <w:rsid w:val="004518C7"/>
    <w:rsid w:val="00453034"/>
    <w:rsid w:val="004638D5"/>
    <w:rsid w:val="00472FF8"/>
    <w:rsid w:val="00473757"/>
    <w:rsid w:val="00484945"/>
    <w:rsid w:val="00487201"/>
    <w:rsid w:val="00492762"/>
    <w:rsid w:val="00492D3F"/>
    <w:rsid w:val="00493248"/>
    <w:rsid w:val="004A065C"/>
    <w:rsid w:val="004F230A"/>
    <w:rsid w:val="00541AF8"/>
    <w:rsid w:val="00550760"/>
    <w:rsid w:val="005509BF"/>
    <w:rsid w:val="00551E60"/>
    <w:rsid w:val="005800EF"/>
    <w:rsid w:val="005A0EF5"/>
    <w:rsid w:val="005A33A1"/>
    <w:rsid w:val="005C5565"/>
    <w:rsid w:val="005D2BA1"/>
    <w:rsid w:val="005D3F66"/>
    <w:rsid w:val="005D52B0"/>
    <w:rsid w:val="005E0B5B"/>
    <w:rsid w:val="0060287E"/>
    <w:rsid w:val="00605279"/>
    <w:rsid w:val="00605A00"/>
    <w:rsid w:val="00611380"/>
    <w:rsid w:val="0061722C"/>
    <w:rsid w:val="00625913"/>
    <w:rsid w:val="00630553"/>
    <w:rsid w:val="006527C5"/>
    <w:rsid w:val="0067187C"/>
    <w:rsid w:val="00681D36"/>
    <w:rsid w:val="0068663D"/>
    <w:rsid w:val="006929D8"/>
    <w:rsid w:val="00693231"/>
    <w:rsid w:val="0069400C"/>
    <w:rsid w:val="006952C2"/>
    <w:rsid w:val="006A5509"/>
    <w:rsid w:val="006B0E2F"/>
    <w:rsid w:val="006D09FE"/>
    <w:rsid w:val="006D4E7A"/>
    <w:rsid w:val="006D5F0A"/>
    <w:rsid w:val="006D69DA"/>
    <w:rsid w:val="0070033D"/>
    <w:rsid w:val="00701985"/>
    <w:rsid w:val="00701E17"/>
    <w:rsid w:val="00703DC4"/>
    <w:rsid w:val="00707AA7"/>
    <w:rsid w:val="0071198F"/>
    <w:rsid w:val="00717403"/>
    <w:rsid w:val="007174D0"/>
    <w:rsid w:val="00731B84"/>
    <w:rsid w:val="007412C8"/>
    <w:rsid w:val="00744259"/>
    <w:rsid w:val="0075592A"/>
    <w:rsid w:val="00762359"/>
    <w:rsid w:val="00771DC5"/>
    <w:rsid w:val="00773A48"/>
    <w:rsid w:val="00775EDD"/>
    <w:rsid w:val="00777C86"/>
    <w:rsid w:val="007B5D34"/>
    <w:rsid w:val="007D298D"/>
    <w:rsid w:val="007E05E6"/>
    <w:rsid w:val="00806259"/>
    <w:rsid w:val="00814ADA"/>
    <w:rsid w:val="00814BCD"/>
    <w:rsid w:val="00821FFA"/>
    <w:rsid w:val="008941F1"/>
    <w:rsid w:val="008A1F39"/>
    <w:rsid w:val="008B5AD5"/>
    <w:rsid w:val="008C66CA"/>
    <w:rsid w:val="008E0F76"/>
    <w:rsid w:val="008E55B7"/>
    <w:rsid w:val="008F1680"/>
    <w:rsid w:val="00925613"/>
    <w:rsid w:val="0093194B"/>
    <w:rsid w:val="00940DFC"/>
    <w:rsid w:val="00942015"/>
    <w:rsid w:val="00942A2D"/>
    <w:rsid w:val="009514B5"/>
    <w:rsid w:val="009702C5"/>
    <w:rsid w:val="00972338"/>
    <w:rsid w:val="00982798"/>
    <w:rsid w:val="009832EE"/>
    <w:rsid w:val="00992D10"/>
    <w:rsid w:val="00996F9E"/>
    <w:rsid w:val="009B0CEA"/>
    <w:rsid w:val="009B3C55"/>
    <w:rsid w:val="009E16E0"/>
    <w:rsid w:val="009E183F"/>
    <w:rsid w:val="009E4449"/>
    <w:rsid w:val="009E577E"/>
    <w:rsid w:val="00A0444A"/>
    <w:rsid w:val="00A117ED"/>
    <w:rsid w:val="00A43C4F"/>
    <w:rsid w:val="00A50C7F"/>
    <w:rsid w:val="00A637C6"/>
    <w:rsid w:val="00A71DEF"/>
    <w:rsid w:val="00A81ED6"/>
    <w:rsid w:val="00A9589E"/>
    <w:rsid w:val="00AA17FA"/>
    <w:rsid w:val="00AA7AEF"/>
    <w:rsid w:val="00AC3033"/>
    <w:rsid w:val="00AC5DE0"/>
    <w:rsid w:val="00AC6400"/>
    <w:rsid w:val="00AC71BF"/>
    <w:rsid w:val="00AD0CB8"/>
    <w:rsid w:val="00AD3050"/>
    <w:rsid w:val="00AE6C10"/>
    <w:rsid w:val="00B012AE"/>
    <w:rsid w:val="00B04703"/>
    <w:rsid w:val="00B07B4B"/>
    <w:rsid w:val="00B07DCF"/>
    <w:rsid w:val="00B46B7F"/>
    <w:rsid w:val="00B616B9"/>
    <w:rsid w:val="00B70645"/>
    <w:rsid w:val="00B774EF"/>
    <w:rsid w:val="00B951B0"/>
    <w:rsid w:val="00BD178C"/>
    <w:rsid w:val="00BE2908"/>
    <w:rsid w:val="00BE7210"/>
    <w:rsid w:val="00BF55BA"/>
    <w:rsid w:val="00BF5CF6"/>
    <w:rsid w:val="00C06D7C"/>
    <w:rsid w:val="00C22C1C"/>
    <w:rsid w:val="00C37A2A"/>
    <w:rsid w:val="00C43C27"/>
    <w:rsid w:val="00C52A59"/>
    <w:rsid w:val="00C57DE9"/>
    <w:rsid w:val="00C71782"/>
    <w:rsid w:val="00C71BE9"/>
    <w:rsid w:val="00C73417"/>
    <w:rsid w:val="00C81879"/>
    <w:rsid w:val="00C976AA"/>
    <w:rsid w:val="00CA2502"/>
    <w:rsid w:val="00CA371F"/>
    <w:rsid w:val="00CB1699"/>
    <w:rsid w:val="00CB2A0A"/>
    <w:rsid w:val="00CD6E6B"/>
    <w:rsid w:val="00CE2F4C"/>
    <w:rsid w:val="00CF5715"/>
    <w:rsid w:val="00CF5C07"/>
    <w:rsid w:val="00D178A3"/>
    <w:rsid w:val="00D22B22"/>
    <w:rsid w:val="00D35CBD"/>
    <w:rsid w:val="00D41EEC"/>
    <w:rsid w:val="00D53F71"/>
    <w:rsid w:val="00D62DE6"/>
    <w:rsid w:val="00D819F3"/>
    <w:rsid w:val="00DC6CD9"/>
    <w:rsid w:val="00DD7621"/>
    <w:rsid w:val="00DE37E6"/>
    <w:rsid w:val="00E13431"/>
    <w:rsid w:val="00E13682"/>
    <w:rsid w:val="00E306AE"/>
    <w:rsid w:val="00E467C7"/>
    <w:rsid w:val="00E63934"/>
    <w:rsid w:val="00E7592C"/>
    <w:rsid w:val="00E86B81"/>
    <w:rsid w:val="00EA3E9E"/>
    <w:rsid w:val="00EB2F70"/>
    <w:rsid w:val="00EC397F"/>
    <w:rsid w:val="00EC5A9A"/>
    <w:rsid w:val="00EE1446"/>
    <w:rsid w:val="00EE1DCA"/>
    <w:rsid w:val="00EF46C9"/>
    <w:rsid w:val="00F030BF"/>
    <w:rsid w:val="00F055FE"/>
    <w:rsid w:val="00F154FE"/>
    <w:rsid w:val="00F16F8F"/>
    <w:rsid w:val="00F324F4"/>
    <w:rsid w:val="00F43915"/>
    <w:rsid w:val="00F541E8"/>
    <w:rsid w:val="00F62445"/>
    <w:rsid w:val="00F64157"/>
    <w:rsid w:val="00F76262"/>
    <w:rsid w:val="00F8067E"/>
    <w:rsid w:val="00F868FD"/>
    <w:rsid w:val="00F9522E"/>
    <w:rsid w:val="00FA1E9C"/>
    <w:rsid w:val="00FA45FB"/>
    <w:rsid w:val="00FD08C6"/>
    <w:rsid w:val="00FD7F81"/>
    <w:rsid w:val="00FE503C"/>
    <w:rsid w:val="00FF50D2"/>
    <w:rsid w:val="0137554F"/>
    <w:rsid w:val="01B90AD4"/>
    <w:rsid w:val="02263013"/>
    <w:rsid w:val="02B12465"/>
    <w:rsid w:val="030F0DF0"/>
    <w:rsid w:val="0325366F"/>
    <w:rsid w:val="0370118D"/>
    <w:rsid w:val="040F6D7B"/>
    <w:rsid w:val="0498492A"/>
    <w:rsid w:val="05B316B3"/>
    <w:rsid w:val="05EB743C"/>
    <w:rsid w:val="06277B8D"/>
    <w:rsid w:val="06486F0A"/>
    <w:rsid w:val="06800351"/>
    <w:rsid w:val="06B96A50"/>
    <w:rsid w:val="07591AEB"/>
    <w:rsid w:val="076B18B1"/>
    <w:rsid w:val="07921036"/>
    <w:rsid w:val="07A62D33"/>
    <w:rsid w:val="094D5939"/>
    <w:rsid w:val="09694018"/>
    <w:rsid w:val="0A01098F"/>
    <w:rsid w:val="0A764BB2"/>
    <w:rsid w:val="0AD23AA5"/>
    <w:rsid w:val="0BD141A1"/>
    <w:rsid w:val="0BD25035"/>
    <w:rsid w:val="0C0A3BBA"/>
    <w:rsid w:val="0CC21F32"/>
    <w:rsid w:val="0D797BCA"/>
    <w:rsid w:val="0DBF4B4E"/>
    <w:rsid w:val="0E406939"/>
    <w:rsid w:val="0E5F4DEB"/>
    <w:rsid w:val="10543678"/>
    <w:rsid w:val="108F11EB"/>
    <w:rsid w:val="11291EF4"/>
    <w:rsid w:val="11412771"/>
    <w:rsid w:val="114E2A15"/>
    <w:rsid w:val="115232BF"/>
    <w:rsid w:val="123E176E"/>
    <w:rsid w:val="128321A8"/>
    <w:rsid w:val="12E32F63"/>
    <w:rsid w:val="134B3E4A"/>
    <w:rsid w:val="13FF3EF7"/>
    <w:rsid w:val="14007F6F"/>
    <w:rsid w:val="14103A0E"/>
    <w:rsid w:val="14476C28"/>
    <w:rsid w:val="15570BDD"/>
    <w:rsid w:val="160B28B5"/>
    <w:rsid w:val="170D116C"/>
    <w:rsid w:val="17B412E1"/>
    <w:rsid w:val="17C94409"/>
    <w:rsid w:val="17F16729"/>
    <w:rsid w:val="18492C74"/>
    <w:rsid w:val="18544907"/>
    <w:rsid w:val="188803F5"/>
    <w:rsid w:val="19286B8B"/>
    <w:rsid w:val="1ADD6614"/>
    <w:rsid w:val="1B5A745E"/>
    <w:rsid w:val="1B6E08D2"/>
    <w:rsid w:val="1C5A76FC"/>
    <w:rsid w:val="1C5F3784"/>
    <w:rsid w:val="1C685D10"/>
    <w:rsid w:val="1CAA0ED5"/>
    <w:rsid w:val="1CFC4682"/>
    <w:rsid w:val="1D141B5D"/>
    <w:rsid w:val="1DF00C62"/>
    <w:rsid w:val="1EF65EF6"/>
    <w:rsid w:val="1F185A86"/>
    <w:rsid w:val="1F587CBF"/>
    <w:rsid w:val="1FDA7F57"/>
    <w:rsid w:val="20100AD6"/>
    <w:rsid w:val="20386C7C"/>
    <w:rsid w:val="21937289"/>
    <w:rsid w:val="22345115"/>
    <w:rsid w:val="228F3875"/>
    <w:rsid w:val="22FB2B87"/>
    <w:rsid w:val="23860CD3"/>
    <w:rsid w:val="23ED217F"/>
    <w:rsid w:val="245E07C6"/>
    <w:rsid w:val="25B70759"/>
    <w:rsid w:val="25D12A4A"/>
    <w:rsid w:val="267D1E25"/>
    <w:rsid w:val="26B02E2F"/>
    <w:rsid w:val="26DC33C9"/>
    <w:rsid w:val="27840C09"/>
    <w:rsid w:val="27A0273B"/>
    <w:rsid w:val="27B45345"/>
    <w:rsid w:val="27DD1A9D"/>
    <w:rsid w:val="280C5E8F"/>
    <w:rsid w:val="28324543"/>
    <w:rsid w:val="2871688D"/>
    <w:rsid w:val="288D6951"/>
    <w:rsid w:val="28C30F4C"/>
    <w:rsid w:val="2AE145DC"/>
    <w:rsid w:val="2B0A2A9E"/>
    <w:rsid w:val="2C412D2F"/>
    <w:rsid w:val="2D0F4D53"/>
    <w:rsid w:val="2DC55411"/>
    <w:rsid w:val="2DD074B6"/>
    <w:rsid w:val="2E7F6628"/>
    <w:rsid w:val="2F1578A4"/>
    <w:rsid w:val="2F7C7B89"/>
    <w:rsid w:val="306C11DC"/>
    <w:rsid w:val="30BE7780"/>
    <w:rsid w:val="30F42909"/>
    <w:rsid w:val="316D3DD0"/>
    <w:rsid w:val="31D07EFB"/>
    <w:rsid w:val="32543208"/>
    <w:rsid w:val="3316226B"/>
    <w:rsid w:val="33466E7C"/>
    <w:rsid w:val="33BA02F8"/>
    <w:rsid w:val="34014CC9"/>
    <w:rsid w:val="341C35FC"/>
    <w:rsid w:val="34224C16"/>
    <w:rsid w:val="35492DCC"/>
    <w:rsid w:val="35A65119"/>
    <w:rsid w:val="35D31047"/>
    <w:rsid w:val="37370181"/>
    <w:rsid w:val="39225081"/>
    <w:rsid w:val="398B4548"/>
    <w:rsid w:val="39FE23AD"/>
    <w:rsid w:val="3A203933"/>
    <w:rsid w:val="3AA0348E"/>
    <w:rsid w:val="3AE320A1"/>
    <w:rsid w:val="3BE13F53"/>
    <w:rsid w:val="3CA00DB9"/>
    <w:rsid w:val="3CC41BA5"/>
    <w:rsid w:val="3D203F0D"/>
    <w:rsid w:val="3D3848DA"/>
    <w:rsid w:val="3E567991"/>
    <w:rsid w:val="3E627606"/>
    <w:rsid w:val="3F263565"/>
    <w:rsid w:val="3F2F6B8F"/>
    <w:rsid w:val="3FB8452F"/>
    <w:rsid w:val="3FF214A4"/>
    <w:rsid w:val="402C2B10"/>
    <w:rsid w:val="40556AC9"/>
    <w:rsid w:val="40822146"/>
    <w:rsid w:val="40EC49F2"/>
    <w:rsid w:val="40EE4896"/>
    <w:rsid w:val="411F5F46"/>
    <w:rsid w:val="4256117C"/>
    <w:rsid w:val="425F5F31"/>
    <w:rsid w:val="42E4624A"/>
    <w:rsid w:val="42EB4C45"/>
    <w:rsid w:val="439A1BE4"/>
    <w:rsid w:val="44581805"/>
    <w:rsid w:val="44F13427"/>
    <w:rsid w:val="454E4597"/>
    <w:rsid w:val="456A30E6"/>
    <w:rsid w:val="45FB77CB"/>
    <w:rsid w:val="46B56083"/>
    <w:rsid w:val="4771226D"/>
    <w:rsid w:val="482F2E61"/>
    <w:rsid w:val="49837305"/>
    <w:rsid w:val="49845D29"/>
    <w:rsid w:val="4A3A7615"/>
    <w:rsid w:val="4A461243"/>
    <w:rsid w:val="4A6706EF"/>
    <w:rsid w:val="4A7A33BE"/>
    <w:rsid w:val="4AF56A77"/>
    <w:rsid w:val="4B4664CE"/>
    <w:rsid w:val="4B941071"/>
    <w:rsid w:val="4BB81D43"/>
    <w:rsid w:val="4BE923F4"/>
    <w:rsid w:val="4CB448AC"/>
    <w:rsid w:val="4D0E24D9"/>
    <w:rsid w:val="4DA01C46"/>
    <w:rsid w:val="4DE936B0"/>
    <w:rsid w:val="4E4C437E"/>
    <w:rsid w:val="4ECF7116"/>
    <w:rsid w:val="4F5C7625"/>
    <w:rsid w:val="4FA2342A"/>
    <w:rsid w:val="4FB54E8E"/>
    <w:rsid w:val="50B61691"/>
    <w:rsid w:val="50D7665D"/>
    <w:rsid w:val="514666EF"/>
    <w:rsid w:val="51516E38"/>
    <w:rsid w:val="518C785D"/>
    <w:rsid w:val="51EB634B"/>
    <w:rsid w:val="53036493"/>
    <w:rsid w:val="54B501BD"/>
    <w:rsid w:val="54C67B3F"/>
    <w:rsid w:val="54E168DA"/>
    <w:rsid w:val="56D83DF0"/>
    <w:rsid w:val="56E213FE"/>
    <w:rsid w:val="576926E6"/>
    <w:rsid w:val="577D06DB"/>
    <w:rsid w:val="588F6191"/>
    <w:rsid w:val="596A1695"/>
    <w:rsid w:val="5A083F82"/>
    <w:rsid w:val="5A715810"/>
    <w:rsid w:val="5A813E1E"/>
    <w:rsid w:val="5AE61C71"/>
    <w:rsid w:val="5B432AC3"/>
    <w:rsid w:val="5B9F7CF6"/>
    <w:rsid w:val="5D0E3E30"/>
    <w:rsid w:val="5D1155AB"/>
    <w:rsid w:val="5D2A561A"/>
    <w:rsid w:val="5DC704DE"/>
    <w:rsid w:val="5DD278D2"/>
    <w:rsid w:val="5E001A03"/>
    <w:rsid w:val="5E2809E6"/>
    <w:rsid w:val="5EA54320"/>
    <w:rsid w:val="5EC150E1"/>
    <w:rsid w:val="5FFB722C"/>
    <w:rsid w:val="606B23C2"/>
    <w:rsid w:val="60922355"/>
    <w:rsid w:val="616C52DB"/>
    <w:rsid w:val="620C7712"/>
    <w:rsid w:val="629A088E"/>
    <w:rsid w:val="62D0468A"/>
    <w:rsid w:val="63293771"/>
    <w:rsid w:val="637B5C20"/>
    <w:rsid w:val="639932C3"/>
    <w:rsid w:val="64547214"/>
    <w:rsid w:val="64582EC3"/>
    <w:rsid w:val="646C35BE"/>
    <w:rsid w:val="649410BE"/>
    <w:rsid w:val="65BA2DA7"/>
    <w:rsid w:val="669A0526"/>
    <w:rsid w:val="66C17C3B"/>
    <w:rsid w:val="66EF414A"/>
    <w:rsid w:val="6702212A"/>
    <w:rsid w:val="67086B6F"/>
    <w:rsid w:val="67623DCA"/>
    <w:rsid w:val="67D31EFE"/>
    <w:rsid w:val="689100EA"/>
    <w:rsid w:val="6895438F"/>
    <w:rsid w:val="68A17B63"/>
    <w:rsid w:val="68F27821"/>
    <w:rsid w:val="69AF24F6"/>
    <w:rsid w:val="69FF4345"/>
    <w:rsid w:val="6A8B35E2"/>
    <w:rsid w:val="6B395CD4"/>
    <w:rsid w:val="6BA75B7B"/>
    <w:rsid w:val="6BEA3616"/>
    <w:rsid w:val="6C1029BA"/>
    <w:rsid w:val="6C3304CF"/>
    <w:rsid w:val="6C97799E"/>
    <w:rsid w:val="6CC91B21"/>
    <w:rsid w:val="6D8B50A2"/>
    <w:rsid w:val="6E494C1C"/>
    <w:rsid w:val="6F283233"/>
    <w:rsid w:val="6F4F4AD5"/>
    <w:rsid w:val="70893AA1"/>
    <w:rsid w:val="70ED1EAC"/>
    <w:rsid w:val="70F97850"/>
    <w:rsid w:val="712B6C2E"/>
    <w:rsid w:val="71401BDB"/>
    <w:rsid w:val="71770865"/>
    <w:rsid w:val="71D75792"/>
    <w:rsid w:val="72030793"/>
    <w:rsid w:val="720A351C"/>
    <w:rsid w:val="725453F3"/>
    <w:rsid w:val="728C4044"/>
    <w:rsid w:val="733F2580"/>
    <w:rsid w:val="73534697"/>
    <w:rsid w:val="736A735B"/>
    <w:rsid w:val="739E5AB6"/>
    <w:rsid w:val="74241866"/>
    <w:rsid w:val="749E2F49"/>
    <w:rsid w:val="74C804E3"/>
    <w:rsid w:val="75161A3A"/>
    <w:rsid w:val="757B7870"/>
    <w:rsid w:val="75D206DA"/>
    <w:rsid w:val="762F2C12"/>
    <w:rsid w:val="76317CB6"/>
    <w:rsid w:val="76D2427B"/>
    <w:rsid w:val="773E3A17"/>
    <w:rsid w:val="77C76396"/>
    <w:rsid w:val="78001646"/>
    <w:rsid w:val="78CD701B"/>
    <w:rsid w:val="78F9378E"/>
    <w:rsid w:val="7904520D"/>
    <w:rsid w:val="79644194"/>
    <w:rsid w:val="79B12DF8"/>
    <w:rsid w:val="79B9683A"/>
    <w:rsid w:val="7A441264"/>
    <w:rsid w:val="7BAE72B6"/>
    <w:rsid w:val="7CC37BC7"/>
    <w:rsid w:val="7D0A3D17"/>
    <w:rsid w:val="7D823F98"/>
    <w:rsid w:val="7DDA593C"/>
    <w:rsid w:val="7E3A49DE"/>
    <w:rsid w:val="7E7C25E5"/>
    <w:rsid w:val="7F052582"/>
    <w:rsid w:val="7FF021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cs="Times New Roman"/>
      <w:lang w:val="zh-CN"/>
    </w:rPr>
  </w:style>
  <w:style w:type="paragraph" w:styleId="3">
    <w:name w:val="Body Text Indent"/>
    <w:basedOn w:val="1"/>
    <w:next w:val="1"/>
    <w:qFormat/>
    <w:uiPriority w:val="0"/>
    <w:pPr>
      <w:spacing w:line="480" w:lineRule="exact"/>
      <w:ind w:firstLine="480" w:firstLineChars="200"/>
    </w:pPr>
    <w:rPr>
      <w:rFonts w:ascii="宋体" w:hAnsi="宋体"/>
      <w:sz w:val="24"/>
    </w:r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Document Map"/>
    <w:basedOn w:val="1"/>
    <w:link w:val="20"/>
    <w:uiPriority w:val="0"/>
    <w:rPr>
      <w:rFonts w:ascii="宋体"/>
      <w:sz w:val="18"/>
      <w:szCs w:val="18"/>
    </w:rPr>
  </w:style>
  <w:style w:type="paragraph" w:styleId="7">
    <w:name w:val="Body Text"/>
    <w:basedOn w:val="1"/>
    <w:next w:val="8"/>
    <w:qFormat/>
    <w:uiPriority w:val="0"/>
    <w:pPr>
      <w:autoSpaceDE w:val="0"/>
      <w:autoSpaceDN w:val="0"/>
      <w:spacing w:line="360" w:lineRule="auto"/>
    </w:pPr>
    <w:rPr>
      <w:rFonts w:ascii="宋体" w:hAnsi="Arial" w:cs="Arial"/>
      <w:snapToGrid w:val="0"/>
      <w:sz w:val="24"/>
      <w:szCs w:val="21"/>
      <w:lang w:val="zh-CN"/>
    </w:rPr>
  </w:style>
  <w:style w:type="paragraph" w:styleId="8">
    <w:name w:val="Date"/>
    <w:basedOn w:val="1"/>
    <w:next w:val="1"/>
    <w:qFormat/>
    <w:uiPriority w:val="0"/>
    <w:pPr>
      <w:ind w:left="100" w:leftChars="2500"/>
    </w:pPr>
    <w:rPr>
      <w:rFonts w:ascii="宋体"/>
      <w:sz w:val="24"/>
      <w:szCs w:val="21"/>
      <w:lang w:val="zh-CN"/>
    </w:rPr>
  </w:style>
  <w:style w:type="paragraph" w:styleId="9">
    <w:name w:val="Plain Text"/>
    <w:basedOn w:val="1"/>
    <w:link w:val="21"/>
    <w:qFormat/>
    <w:uiPriority w:val="0"/>
    <w:rPr>
      <w:rFonts w:ascii="宋体" w:hAnsi="Courier New"/>
      <w:snapToGrid w:val="0"/>
      <w:szCs w:val="21"/>
    </w:rPr>
  </w:style>
  <w:style w:type="paragraph" w:styleId="10">
    <w:name w:val="Balloon Text"/>
    <w:basedOn w:val="1"/>
    <w:link w:val="22"/>
    <w:uiPriority w:val="0"/>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ind w:right="360"/>
    </w:pPr>
    <w:rPr>
      <w:rFonts w:ascii="仿宋_GB2312" w:eastAsia="仿宋_GB2312"/>
      <w:b/>
      <w:i/>
      <w:sz w:val="18"/>
      <w:szCs w:val="18"/>
      <w:u w:val="single"/>
    </w:rPr>
  </w:style>
  <w:style w:type="paragraph" w:styleId="1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table" w:styleId="15">
    <w:name w:val="Table Grid"/>
    <w:basedOn w:val="14"/>
    <w:qFormat/>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qFormat/>
    <w:uiPriority w:val="0"/>
    <w:rPr>
      <w:rFonts w:ascii="Arial" w:hAnsi="Arial" w:eastAsia="黑体" w:cs="Arial"/>
      <w:snapToGrid w:val="0"/>
      <w:kern w:val="0"/>
      <w:szCs w:val="21"/>
    </w:rPr>
  </w:style>
  <w:style w:type="character" w:styleId="19">
    <w:name w:val="Hyperlink"/>
    <w:qFormat/>
    <w:uiPriority w:val="99"/>
    <w:rPr>
      <w:rFonts w:ascii="Arial" w:hAnsi="Arial" w:eastAsia="黑体" w:cs="Arial"/>
      <w:snapToGrid w:val="0"/>
      <w:color w:val="000000"/>
      <w:kern w:val="0"/>
      <w:sz w:val="18"/>
      <w:szCs w:val="18"/>
      <w:u w:val="none"/>
    </w:rPr>
  </w:style>
  <w:style w:type="character" w:customStyle="1" w:styleId="20">
    <w:name w:val="文档结构图 Char"/>
    <w:basedOn w:val="16"/>
    <w:link w:val="6"/>
    <w:uiPriority w:val="0"/>
    <w:rPr>
      <w:rFonts w:ascii="宋体"/>
      <w:kern w:val="2"/>
      <w:sz w:val="18"/>
      <w:szCs w:val="18"/>
    </w:rPr>
  </w:style>
  <w:style w:type="character" w:customStyle="1" w:styleId="21">
    <w:name w:val="纯文本 Char"/>
    <w:link w:val="9"/>
    <w:qFormat/>
    <w:uiPriority w:val="0"/>
    <w:rPr>
      <w:rFonts w:ascii="宋体" w:hAnsi="Courier New" w:cs="Arial"/>
      <w:snapToGrid w:val="0"/>
      <w:kern w:val="2"/>
      <w:sz w:val="21"/>
      <w:szCs w:val="21"/>
    </w:rPr>
  </w:style>
  <w:style w:type="character" w:customStyle="1" w:styleId="22">
    <w:name w:val="批注框文本 Char"/>
    <w:link w:val="10"/>
    <w:uiPriority w:val="0"/>
    <w:rPr>
      <w:kern w:val="2"/>
      <w:sz w:val="18"/>
      <w:szCs w:val="18"/>
    </w:rPr>
  </w:style>
  <w:style w:type="character" w:customStyle="1" w:styleId="23">
    <w:name w:val="页脚 Char"/>
    <w:link w:val="11"/>
    <w:uiPriority w:val="99"/>
    <w:rPr>
      <w:kern w:val="2"/>
      <w:sz w:val="18"/>
      <w:szCs w:val="18"/>
    </w:rPr>
  </w:style>
  <w:style w:type="character" w:customStyle="1" w:styleId="24">
    <w:name w:val="页眉 Char"/>
    <w:link w:val="12"/>
    <w:uiPriority w:val="0"/>
    <w:rPr>
      <w:rFonts w:ascii="仿宋_GB2312" w:eastAsia="仿宋_GB2312"/>
      <w:b/>
      <w:i/>
      <w:kern w:val="2"/>
      <w:sz w:val="18"/>
      <w:szCs w:val="18"/>
      <w:u w:val="single"/>
    </w:rPr>
  </w:style>
  <w:style w:type="paragraph" w:customStyle="1" w:styleId="25">
    <w:name w:val="_Style 3"/>
    <w:basedOn w:val="1"/>
    <w:qFormat/>
    <w:uiPriority w:val="0"/>
    <w:pPr>
      <w:adjustRightInd/>
      <w:ind w:firstLine="420" w:firstLineChars="200"/>
    </w:pPr>
    <w:rPr>
      <w:rFonts w:eastAsia="仿宋_GB2312"/>
      <w:sz w:val="28"/>
    </w:rPr>
  </w:style>
  <w:style w:type="paragraph" w:customStyle="1" w:styleId="26">
    <w:name w:val="索引 11"/>
    <w:basedOn w:val="1"/>
    <w:next w:val="1"/>
    <w:qFormat/>
    <w:uiPriority w:val="99"/>
    <w:pPr>
      <w:adjustRightInd/>
      <w:spacing w:line="360" w:lineRule="auto"/>
    </w:pPr>
    <w:rPr>
      <w:rFonts w:ascii="仿宋_GB2312" w:eastAsia="仿宋_GB2312"/>
      <w:sz w:val="24"/>
      <w:szCs w:val="20"/>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lang w:val="en-US" w:eastAsia="zh-CN" w:bidi="ar-SA"/>
    </w:rPr>
  </w:style>
  <w:style w:type="paragraph" w:customStyle="1" w:styleId="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0">
    <w:name w:val="纯文本1"/>
    <w:basedOn w:val="1"/>
    <w:qFormat/>
    <w:uiPriority w:val="0"/>
    <w:pPr>
      <w:adjustRightInd/>
    </w:pPr>
    <w:rPr>
      <w:rFonts w:ascii="宋体" w:hAnsi="Courier New"/>
      <w:kern w:val="0"/>
      <w:sz w:val="20"/>
      <w:szCs w:val="20"/>
    </w:rPr>
  </w:style>
  <w:style w:type="paragraph" w:customStyle="1" w:styleId="31">
    <w:name w:val="正文_1_0"/>
    <w:qFormat/>
    <w:uiPriority w:val="0"/>
    <w:pPr>
      <w:widowControl w:val="0"/>
      <w:jc w:val="both"/>
    </w:pPr>
    <w:rPr>
      <w:rFonts w:ascii="Times New Roman" w:hAnsi="Times New Roman"/>
      <w:kern w:val="2"/>
      <w:sz w:val="21"/>
      <w:szCs w:val="24"/>
      <w:lang w:val="en-US" w:eastAsia="zh-CN" w:bidi="ar-SA"/>
    </w:rPr>
  </w:style>
  <w:style w:type="paragraph" w:customStyle="1" w:styleId="32">
    <w:name w:val="纯文本_0_0"/>
    <w:basedOn w:val="31"/>
    <w:qFormat/>
    <w:uiPriority w:val="0"/>
    <w:rPr>
      <w:rFonts w:ascii="宋体" w:hAnsi="Courier New"/>
      <w:szCs w:val="21"/>
    </w:rPr>
  </w:style>
  <w:style w:type="paragraph" w:customStyle="1" w:styleId="33">
    <w:name w:val="正文2"/>
    <w:basedOn w:val="1"/>
    <w:qFormat/>
    <w:uiPriority w:val="0"/>
    <w:pPr>
      <w:spacing w:before="156" w:line="360" w:lineRule="auto"/>
      <w:ind w:firstLine="510" w:firstLineChars="200"/>
    </w:pPr>
    <w:rPr>
      <w:sz w:val="24"/>
      <w:szCs w:val="20"/>
    </w:rPr>
  </w:style>
  <w:style w:type="paragraph" w:customStyle="1" w:styleId="3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5">
    <w:name w:val="正文段"/>
    <w:basedOn w:val="1"/>
    <w:uiPriority w:val="0"/>
    <w:pPr>
      <w:widowControl/>
      <w:numPr>
        <w:ilvl w:val="0"/>
        <w:numId w:val="1"/>
      </w:numPr>
      <w:tabs>
        <w:tab w:val="left" w:pos="1200"/>
      </w:tabs>
      <w:snapToGrid w:val="0"/>
      <w:spacing w:afterLines="50"/>
    </w:pPr>
    <w:rPr>
      <w:rFonts w:ascii="Times New Roman" w:hAnsi="Times New Roman"/>
      <w:kern w:val="0"/>
      <w:sz w:val="24"/>
      <w:szCs w:val="20"/>
    </w:rPr>
  </w:style>
  <w:style w:type="paragraph" w:customStyle="1" w:styleId="36">
    <w:name w:val="首行缩进"/>
    <w:basedOn w:val="3"/>
    <w:qFormat/>
    <w:uiPriority w:val="0"/>
    <w:pPr>
      <w:spacing w:line="400" w:lineRule="exact"/>
      <w:ind w:firstLine="200"/>
    </w:pPr>
    <w:rPr>
      <w:rFonts w:ascii="宋体" w:hAnsi="宋体"/>
      <w:sz w:val="21"/>
      <w:szCs w:val="21"/>
    </w:rPr>
  </w:style>
  <w:style w:type="paragraph" w:customStyle="1" w:styleId="37">
    <w:name w:val="p0"/>
    <w:basedOn w:val="1"/>
    <w:qFormat/>
    <w:uiPriority w:val="0"/>
    <w:pPr>
      <w:widowControl/>
    </w:pPr>
    <w:rPr>
      <w:rFonts w:ascii="Calibri" w:hAnsi="Calibri" w:eastAsia="宋体" w:cs="Times New Roman"/>
      <w:kern w:val="0"/>
      <w:szCs w:val="21"/>
    </w:rPr>
  </w:style>
  <w:style w:type="character" w:customStyle="1" w:styleId="38">
    <w:name w:val="font21"/>
    <w:basedOn w:val="16"/>
    <w:uiPriority w:val="0"/>
    <w:rPr>
      <w:rFonts w:hint="default" w:ascii="Times New Roman" w:hAnsi="Times New Roman" w:cs="Times New Roman"/>
      <w:color w:val="000000"/>
      <w:sz w:val="20"/>
      <w:szCs w:val="20"/>
      <w:u w:val="none"/>
    </w:rPr>
  </w:style>
  <w:style w:type="character" w:customStyle="1" w:styleId="39">
    <w:name w:val="font11"/>
    <w:basedOn w:val="16"/>
    <w:uiPriority w:val="0"/>
    <w:rPr>
      <w:rFonts w:hint="eastAsia" w:ascii="宋体" w:hAnsi="宋体" w:eastAsia="宋体" w:cs="宋体"/>
      <w:color w:val="000000"/>
      <w:sz w:val="20"/>
      <w:szCs w:val="20"/>
      <w:u w:val="none"/>
    </w:rPr>
  </w:style>
  <w:style w:type="character" w:customStyle="1" w:styleId="40">
    <w:name w:val="font51"/>
    <w:basedOn w:val="16"/>
    <w:uiPriority w:val="0"/>
    <w:rPr>
      <w:rFonts w:hint="eastAsia" w:ascii="宋体" w:hAnsi="宋体" w:eastAsia="宋体" w:cs="宋体"/>
      <w:color w:val="FF0000"/>
      <w:sz w:val="20"/>
      <w:szCs w:val="20"/>
      <w:u w:val="none"/>
    </w:rPr>
  </w:style>
  <w:style w:type="character" w:customStyle="1" w:styleId="41">
    <w:name w:val="font41"/>
    <w:basedOn w:val="16"/>
    <w:uiPriority w:val="0"/>
    <w:rPr>
      <w:rFonts w:hint="default" w:ascii="Times New Roman" w:hAnsi="Times New Roman" w:cs="Times New Roman"/>
      <w:color w:val="FF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theme/theme1.xml" Type="http://schemas.openxmlformats.org/officeDocument/2006/relationships/theme"/><Relationship Id="rId17" Target="../customXml/item1.xml" Type="http://schemas.openxmlformats.org/officeDocument/2006/relationships/customXml"/><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footer5.xml" Type="http://schemas.openxmlformats.org/officeDocument/2006/relationships/footer"/><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107</Pages>
  <Words>57927</Words>
  <Characters>69037</Characters>
  <Lines>357</Lines>
  <Paragraphs>100</Paragraphs>
  <TotalTime>72</TotalTime>
  <ScaleCrop>false</ScaleCrop>
  <LinksUpToDate>false</LinksUpToDate>
  <CharactersWithSpaces>70835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user</dc:creator>
  <cp:lastModifiedBy>WPS_1701756769</cp:lastModifiedBy>
  <cp:lastPrinted>2022-04-19T07:10:00Z</cp:lastPrinted>
  <dcterms:modified xsi:type="dcterms:W3CDTF">2024-02-23T04:38:38Z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3BE3F349800B4274A5DFF2F9CF581D4E_13</vt:lpwstr>
  </property>
</Properties>
</file>