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48"/>
          <w:szCs w:val="48"/>
          <w:highlight w:val="none"/>
        </w:rPr>
      </w:pPr>
    </w:p>
    <w:p>
      <w:pPr>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 </w:t>
      </w:r>
      <w:r>
        <w:rPr>
          <w:rFonts w:hint="eastAsia" w:ascii="宋体" w:hAnsi="宋体" w:eastAsia="宋体" w:cs="宋体"/>
          <w:sz w:val="48"/>
          <w:szCs w:val="48"/>
          <w:highlight w:val="none"/>
          <w:u w:val="single"/>
        </w:rPr>
        <w:t xml:space="preserve"> </w:t>
      </w:r>
      <w:r>
        <w:rPr>
          <w:rFonts w:hint="eastAsia" w:ascii="宋体" w:hAnsi="宋体" w:cs="宋体"/>
          <w:sz w:val="48"/>
          <w:szCs w:val="48"/>
          <w:highlight w:val="none"/>
          <w:u w:val="single"/>
          <w:lang w:eastAsia="zh-CN"/>
        </w:rPr>
        <w:t>奉化区东门路（锦屏南路-南山路）道路路灯工程</w:t>
      </w:r>
      <w:r>
        <w:rPr>
          <w:rFonts w:hint="eastAsia" w:ascii="宋体" w:hAnsi="宋体" w:eastAsia="宋体" w:cs="宋体"/>
          <w:sz w:val="48"/>
          <w:szCs w:val="48"/>
          <w:highlight w:val="none"/>
          <w:u w:val="single"/>
        </w:rPr>
        <w:t xml:space="preserve"> </w:t>
      </w:r>
    </w:p>
    <w:p>
      <w:pPr>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val="en-US" w:eastAsia="zh-CN"/>
        </w:rPr>
        <w:t>公开</w:t>
      </w:r>
      <w:r>
        <w:rPr>
          <w:rFonts w:hint="eastAsia" w:ascii="宋体" w:hAnsi="宋体" w:eastAsia="宋体" w:cs="宋体"/>
          <w:sz w:val="48"/>
          <w:szCs w:val="48"/>
          <w:highlight w:val="none"/>
        </w:rPr>
        <w:t>招标</w:t>
      </w:r>
      <w:r>
        <w:rPr>
          <w:rFonts w:hint="eastAsia" w:ascii="宋体" w:hAnsi="宋体" w:eastAsia="宋体" w:cs="宋体"/>
          <w:sz w:val="48"/>
          <w:szCs w:val="48"/>
          <w:highlight w:val="none"/>
          <w:lang w:val="en-US" w:eastAsia="zh-CN"/>
        </w:rPr>
        <w:t>采购</w:t>
      </w:r>
      <w:r>
        <w:rPr>
          <w:rFonts w:hint="eastAsia" w:ascii="宋体" w:hAnsi="宋体" w:eastAsia="宋体" w:cs="宋体"/>
          <w:sz w:val="48"/>
          <w:szCs w:val="48"/>
          <w:highlight w:val="none"/>
        </w:rPr>
        <w:t>文件</w:t>
      </w: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pPr>
        <w:snapToGrid w:val="0"/>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编号:</w:t>
      </w:r>
      <w:r>
        <w:rPr>
          <w:rFonts w:hint="eastAsia" w:ascii="宋体" w:hAnsi="宋体" w:eastAsia="宋体" w:cs="宋体"/>
          <w:highlight w:val="none"/>
        </w:rPr>
        <w:t xml:space="preserve"> </w:t>
      </w:r>
      <w:r>
        <w:rPr>
          <w:rFonts w:hint="eastAsia" w:ascii="宋体" w:hAnsi="宋体" w:eastAsia="宋体" w:cs="宋体"/>
          <w:sz w:val="30"/>
          <w:szCs w:val="30"/>
          <w:highlight w:val="none"/>
        </w:rPr>
        <w:t>FHGQZB(2022)</w:t>
      </w:r>
      <w:r>
        <w:rPr>
          <w:rFonts w:hint="eastAsia" w:ascii="宋体" w:hAnsi="宋体" w:cs="宋体"/>
          <w:sz w:val="30"/>
          <w:szCs w:val="30"/>
          <w:highlight w:val="none"/>
          <w:lang w:val="en-US" w:eastAsia="zh-CN"/>
        </w:rPr>
        <w:t>134</w:t>
      </w:r>
      <w:r>
        <w:rPr>
          <w:rFonts w:hint="eastAsia" w:ascii="宋体" w:hAnsi="宋体" w:eastAsia="宋体" w:cs="宋体"/>
          <w:sz w:val="30"/>
          <w:szCs w:val="30"/>
          <w:highlight w:val="none"/>
        </w:rPr>
        <w:t>D</w:t>
      </w:r>
    </w:p>
    <w:p>
      <w:pPr>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pPr>
        <w:spacing w:line="360" w:lineRule="auto"/>
        <w:jc w:val="center"/>
        <w:rPr>
          <w:rFonts w:hint="eastAsia" w:ascii="宋体" w:hAnsi="宋体" w:eastAsia="宋体" w:cs="宋体"/>
          <w:b/>
          <w:sz w:val="44"/>
          <w:szCs w:val="44"/>
          <w:highlight w:val="none"/>
        </w:rPr>
      </w:pPr>
    </w:p>
    <w:p>
      <w:pPr>
        <w:pStyle w:val="2"/>
        <w:ind w:firstLine="560"/>
        <w:rPr>
          <w:rFonts w:hint="eastAsia" w:ascii="宋体" w:hAnsi="宋体" w:eastAsia="宋体" w:cs="宋体"/>
          <w:highlight w:val="none"/>
        </w:rPr>
      </w:pPr>
    </w:p>
    <w:p>
      <w:pPr>
        <w:pStyle w:val="2"/>
        <w:ind w:firstLine="560"/>
        <w:rPr>
          <w:rFonts w:hint="eastAsia" w:ascii="宋体" w:hAnsi="宋体" w:eastAsia="宋体" w:cs="宋体"/>
          <w:highlight w:val="none"/>
        </w:rPr>
      </w:pPr>
    </w:p>
    <w:p>
      <w:pPr>
        <w:pStyle w:val="2"/>
        <w:ind w:firstLine="560"/>
        <w:rPr>
          <w:rFonts w:hint="eastAsia" w:ascii="宋体" w:hAnsi="宋体" w:eastAsia="宋体" w:cs="宋体"/>
          <w:highlight w:val="none"/>
        </w:rPr>
      </w:pPr>
    </w:p>
    <w:p>
      <w:pPr>
        <w:pStyle w:val="2"/>
        <w:ind w:firstLine="560"/>
        <w:rPr>
          <w:rFonts w:hint="eastAsia" w:ascii="宋体" w:hAnsi="宋体" w:eastAsia="宋体" w:cs="宋体"/>
          <w:highlight w:val="none"/>
        </w:rPr>
      </w:pPr>
    </w:p>
    <w:p>
      <w:pPr>
        <w:spacing w:line="360" w:lineRule="auto"/>
        <w:rPr>
          <w:rFonts w:hint="eastAsia" w:ascii="宋体" w:hAnsi="宋体" w:eastAsia="宋体" w:cs="宋体"/>
          <w:sz w:val="32"/>
          <w:szCs w:val="32"/>
          <w:highlight w:val="none"/>
        </w:rPr>
      </w:pPr>
    </w:p>
    <w:p>
      <w:pPr>
        <w:snapToGrid w:val="0"/>
        <w:spacing w:line="360" w:lineRule="auto"/>
        <w:ind w:firstLine="960" w:firstLineChars="300"/>
        <w:rPr>
          <w:rFonts w:hint="eastAsia" w:ascii="宋体" w:hAnsi="宋体" w:eastAsia="宋体" w:cs="宋体"/>
          <w:sz w:val="32"/>
          <w:szCs w:val="32"/>
          <w:highlight w:val="none"/>
        </w:rPr>
      </w:pPr>
      <w:r>
        <w:rPr>
          <w:rFonts w:hint="eastAsia" w:ascii="宋体" w:hAnsi="宋体" w:eastAsia="宋体" w:cs="宋体"/>
          <w:sz w:val="32"/>
          <w:szCs w:val="32"/>
          <w:highlight w:val="none"/>
        </w:rPr>
        <w:t>采购人：</w:t>
      </w:r>
      <w:r>
        <w:rPr>
          <w:rFonts w:hint="eastAsia" w:ascii="宋体" w:hAnsi="宋体" w:eastAsia="宋体" w:cs="宋体"/>
          <w:sz w:val="32"/>
          <w:szCs w:val="32"/>
          <w:highlight w:val="none"/>
          <w:lang w:val="en-US" w:eastAsia="zh-CN"/>
        </w:rPr>
        <w:t>宁波市奉化区锦山河建设投资有限公司</w:t>
      </w:r>
      <w:r>
        <w:rPr>
          <w:rFonts w:hint="eastAsia" w:ascii="宋体" w:hAnsi="宋体" w:eastAsia="宋体" w:cs="宋体"/>
          <w:sz w:val="32"/>
          <w:szCs w:val="32"/>
          <w:highlight w:val="none"/>
        </w:rPr>
        <w:t xml:space="preserve"> </w:t>
      </w:r>
    </w:p>
    <w:p>
      <w:pPr>
        <w:spacing w:line="360" w:lineRule="auto"/>
        <w:ind w:firstLine="960" w:firstLineChars="300"/>
        <w:rPr>
          <w:rFonts w:hint="eastAsia" w:ascii="宋体" w:hAnsi="宋体" w:eastAsia="宋体" w:cs="宋体"/>
          <w:bCs/>
          <w:sz w:val="32"/>
          <w:szCs w:val="32"/>
          <w:highlight w:val="none"/>
        </w:rPr>
      </w:pPr>
      <w:r>
        <w:rPr>
          <w:rFonts w:hint="eastAsia" w:ascii="宋体" w:hAnsi="宋体" w:eastAsia="宋体" w:cs="宋体"/>
          <w:bCs/>
          <w:sz w:val="32"/>
          <w:szCs w:val="32"/>
          <w:highlight w:val="none"/>
        </w:rPr>
        <w:t xml:space="preserve">采购代理机构：浙江天诚工程咨询有限公司 </w:t>
      </w:r>
    </w:p>
    <w:p>
      <w:pPr>
        <w:snapToGrid w:val="0"/>
        <w:spacing w:line="360" w:lineRule="auto"/>
        <w:jc w:val="center"/>
        <w:rPr>
          <w:rFonts w:hint="eastAsia" w:ascii="宋体" w:hAnsi="宋体" w:eastAsia="宋体" w:cs="宋体"/>
          <w:bCs/>
          <w:sz w:val="32"/>
          <w:szCs w:val="32"/>
          <w:highlight w:val="none"/>
        </w:rPr>
      </w:pPr>
    </w:p>
    <w:p>
      <w:pPr>
        <w:pStyle w:val="2"/>
        <w:rPr>
          <w:rFonts w:hint="eastAsia" w:ascii="宋体" w:hAnsi="宋体" w:eastAsia="宋体" w:cs="宋体"/>
          <w:highlight w:val="none"/>
        </w:rPr>
      </w:pPr>
    </w:p>
    <w:p>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二零二二年</w:t>
      </w:r>
      <w:r>
        <w:rPr>
          <w:rFonts w:hint="eastAsia" w:ascii="宋体" w:hAnsi="宋体" w:cs="宋体"/>
          <w:bCs/>
          <w:sz w:val="32"/>
          <w:szCs w:val="32"/>
          <w:highlight w:val="none"/>
          <w:lang w:val="en-US" w:eastAsia="zh-CN"/>
        </w:rPr>
        <w:t>六</w:t>
      </w:r>
      <w:r>
        <w:rPr>
          <w:rFonts w:hint="eastAsia" w:ascii="宋体" w:hAnsi="宋体" w:eastAsia="宋体" w:cs="宋体"/>
          <w:bCs/>
          <w:sz w:val="32"/>
          <w:szCs w:val="32"/>
          <w:highlight w:val="none"/>
        </w:rPr>
        <w:t>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投标须知</w:t>
      </w:r>
    </w:p>
    <w:p>
      <w:p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jc w:val="center"/>
        <w:outlineLvl w:val="0"/>
        <w:rPr>
          <w:rFonts w:hint="eastAsia" w:ascii="宋体" w:hAnsi="宋体" w:eastAsia="宋体" w:cs="宋体"/>
          <w:b/>
          <w:sz w:val="36"/>
          <w:szCs w:val="20"/>
          <w:highlight w:val="none"/>
        </w:rPr>
      </w:pPr>
      <w:bookmarkStart w:id="3" w:name="第一部分"/>
      <w:r>
        <w:rPr>
          <w:rFonts w:hint="eastAsia" w:ascii="宋体" w:hAnsi="宋体" w:eastAsia="宋体" w:cs="宋体"/>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奉化区东门路（锦屏南路-南山路）道路路灯工程</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xml:space="preserve">招标项目的潜在供应商应在政采云平台（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"https://www.zcygov.cn/）获取（下载）招标文件，并于2022年00月00日14点30分00秒" </w:instrText>
      </w:r>
      <w:r>
        <w:rPr>
          <w:rFonts w:hint="eastAsia" w:ascii="宋体" w:hAnsi="宋体" w:eastAsia="宋体" w:cs="宋体"/>
          <w:highlight w:val="none"/>
        </w:rPr>
        <w:fldChar w:fldCharType="separate"/>
      </w:r>
      <w:r>
        <w:rPr>
          <w:rStyle w:val="21"/>
          <w:rFonts w:hint="eastAsia" w:ascii="宋体" w:hAnsi="宋体" w:eastAsia="宋体" w:cs="宋体"/>
          <w:sz w:val="24"/>
          <w:szCs w:val="24"/>
          <w:highlight w:val="none"/>
        </w:rPr>
        <w:t>https://www.zcygov.cn/）获取（下载）招标文件，并于</w:t>
      </w:r>
      <w:r>
        <w:rPr>
          <w:rFonts w:hint="eastAsia" w:ascii="宋体" w:hAnsi="宋体" w:eastAsia="宋体" w:cs="宋体"/>
          <w:bCs/>
          <w:sz w:val="24"/>
          <w:highlight w:val="none"/>
        </w:rPr>
        <w:t>2022年</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日14点30分00秒</w:t>
      </w:r>
      <w:r>
        <w:rPr>
          <w:rStyle w:val="21"/>
          <w:rFonts w:hint="eastAsia" w:ascii="宋体" w:hAnsi="宋体" w:eastAsia="宋体" w:cs="宋体"/>
          <w:bCs/>
          <w:snapToGrid/>
          <w:kern w:val="2"/>
          <w:sz w:val="24"/>
          <w:szCs w:val="24"/>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eastAsia="宋体" w:cs="宋体"/>
          <w:sz w:val="24"/>
          <w:highlight w:val="none"/>
        </w:rPr>
        <w:t>FHGQZB(2022)</w:t>
      </w:r>
      <w:r>
        <w:rPr>
          <w:rFonts w:hint="eastAsia" w:ascii="宋体" w:hAnsi="宋体" w:cs="宋体"/>
          <w:sz w:val="24"/>
          <w:highlight w:val="none"/>
          <w:lang w:val="en-US" w:eastAsia="zh-CN"/>
        </w:rPr>
        <w:t>134</w:t>
      </w:r>
      <w:r>
        <w:rPr>
          <w:rFonts w:hint="eastAsia" w:ascii="宋体" w:hAnsi="宋体" w:eastAsia="宋体" w:cs="宋体"/>
          <w:sz w:val="24"/>
          <w:highlight w:val="none"/>
        </w:rPr>
        <w:t>D</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项目名称：</w:t>
      </w:r>
      <w:r>
        <w:rPr>
          <w:rFonts w:hint="eastAsia" w:ascii="宋体" w:hAnsi="宋体" w:cs="宋体"/>
          <w:b/>
          <w:sz w:val="24"/>
          <w:highlight w:val="none"/>
          <w:lang w:eastAsia="zh-CN"/>
        </w:rPr>
        <w:t>奉化区东门路（锦屏南路-南山路）道路路灯工程</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预算金额（元）：</w:t>
      </w:r>
      <w:r>
        <w:rPr>
          <w:rFonts w:hint="eastAsia" w:ascii="宋体" w:hAnsi="宋体" w:cs="宋体"/>
          <w:b/>
          <w:sz w:val="24"/>
          <w:highlight w:val="none"/>
          <w:lang w:eastAsia="zh-CN"/>
        </w:rPr>
        <w:t>1036090</w:t>
      </w:r>
      <w:r>
        <w:rPr>
          <w:rFonts w:hint="eastAsia" w:ascii="宋体" w:hAnsi="宋体" w:eastAsia="宋体" w:cs="宋体"/>
          <w:sz w:val="24"/>
          <w:highlight w:val="none"/>
          <w:lang w:val="en-US" w:eastAsia="zh-CN"/>
        </w:rPr>
        <w:t>元</w:t>
      </w:r>
    </w:p>
    <w:p>
      <w:pPr>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b/>
          <w:sz w:val="24"/>
          <w:highlight w:val="none"/>
        </w:rPr>
        <w:t>最高限价（元）：</w:t>
      </w:r>
      <w:r>
        <w:rPr>
          <w:rFonts w:hint="eastAsia" w:ascii="宋体" w:hAnsi="宋体" w:cs="宋体"/>
          <w:b/>
          <w:sz w:val="24"/>
          <w:highlight w:val="none"/>
          <w:lang w:eastAsia="zh-CN"/>
        </w:rPr>
        <w:t>980000</w:t>
      </w:r>
      <w:r>
        <w:rPr>
          <w:rFonts w:hint="eastAsia" w:ascii="宋体" w:hAnsi="宋体" w:eastAsia="宋体" w:cs="宋体"/>
          <w:sz w:val="24"/>
          <w:highlight w:val="none"/>
          <w:lang w:val="en-US" w:eastAsia="zh-CN"/>
        </w:rPr>
        <w:t>元</w:t>
      </w:r>
    </w:p>
    <w:p>
      <w:pPr>
        <w:pStyle w:val="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 xml:space="preserve">主要内容：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路灯工程</w:t>
      </w:r>
      <w:r>
        <w:rPr>
          <w:rFonts w:hint="eastAsia" w:ascii="宋体" w:hAnsi="宋体" w:eastAsia="宋体" w:cs="宋体"/>
          <w:color w:val="auto"/>
          <w:sz w:val="24"/>
          <w:highlight w:val="none"/>
          <w:u w:val="single"/>
        </w:rPr>
        <w:t xml:space="preserve"> </w:t>
      </w:r>
      <w:r>
        <w:rPr>
          <w:rFonts w:hint="eastAsia" w:ascii="宋体" w:hAnsi="宋体" w:eastAsia="宋体" w:cs="宋体"/>
          <w:bCs/>
          <w:snapToGrid/>
          <w:color w:val="auto"/>
          <w:kern w:val="2"/>
          <w:sz w:val="24"/>
          <w:szCs w:val="24"/>
          <w:highlight w:val="none"/>
        </w:rPr>
        <w:t>。详见招标文件第三部分采购需求。</w:t>
      </w:r>
    </w:p>
    <w:p>
      <w:pPr>
        <w:pStyle w:val="36"/>
        <w:ind w:firstLine="482"/>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eastAsia="宋体" w:cs="宋体"/>
          <w:highlight w:val="none"/>
        </w:rPr>
        <w:t xml:space="preserve"> </w:t>
      </w:r>
    </w:p>
    <w:p>
      <w:pPr>
        <w:pStyle w:val="6"/>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 xml:space="preserve">    2.落实政府采购政策需满足的资格要求：</w:t>
      </w:r>
      <w:r>
        <w:rPr>
          <w:rFonts w:hint="eastAsia" w:ascii="宋体" w:hAnsi="宋体" w:eastAsia="宋体" w:cs="宋体"/>
          <w:kern w:val="0"/>
          <w:sz w:val="24"/>
          <w:highlight w:val="none"/>
        </w:rPr>
        <w:sym w:font="Wingdings" w:char="F0FE"/>
      </w:r>
      <w:r>
        <w:rPr>
          <w:rFonts w:hint="eastAsia" w:ascii="宋体" w:hAnsi="宋体" w:eastAsia="宋体" w:cs="宋体"/>
          <w:sz w:val="24"/>
          <w:highlight w:val="none"/>
        </w:rPr>
        <w:t>无；</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3.本项目的特定资格要求：供应商具有住建部门颁发的城市及道路照明工程专业承包三级及以上资质</w:t>
      </w:r>
      <w:r>
        <w:rPr>
          <w:rFonts w:hint="eastAsia" w:ascii="宋体" w:hAnsi="宋体" w:cs="宋体"/>
          <w:sz w:val="24"/>
          <w:highlight w:val="none"/>
          <w:lang w:eastAsia="zh-CN"/>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/至2022年</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21</w:t>
      </w:r>
      <w:r>
        <w:rPr>
          <w:rFonts w:hint="eastAsia" w:ascii="宋体" w:hAnsi="宋体" w:eastAsia="宋体" w:cs="宋体"/>
          <w:sz w:val="24"/>
          <w:highlight w:val="none"/>
        </w:rPr>
        <w:t>日，每天上午00:00至12:00 ，下午12:00至23:59（北京时间）。</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政采云平台（https://www.zcygov.cn/）。</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供应商登录政采云平台https://www.zcygov.cn/在线申请获取招标文件（进入“项目采购”应用，在获取采购文件菜单中选择项目，申请获取招标文件）。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rPr>
        <w:t>2022年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日14点30分 （北京时间）。</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政采云平台（https://www.zcygov.cn/）。</w:t>
      </w:r>
    </w:p>
    <w:p>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rPr>
        <w:t>2022年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日14点30分。</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开标地点（线下）：</w:t>
      </w:r>
      <w:r>
        <w:rPr>
          <w:rFonts w:hint="eastAsia" w:ascii="宋体" w:hAnsi="宋体" w:eastAsia="宋体" w:cs="宋体"/>
          <w:bCs/>
          <w:sz w:val="24"/>
          <w:highlight w:val="none"/>
        </w:rPr>
        <w:t>宁波市奉化区公共资源交易中心开标厅</w:t>
      </w:r>
      <w:r>
        <w:rPr>
          <w:rFonts w:hint="eastAsia" w:ascii="宋体" w:hAnsi="宋体" w:eastAsia="宋体" w:cs="宋体"/>
          <w:bCs/>
          <w:sz w:val="24"/>
          <w:highlight w:val="none"/>
          <w:lang w:val="en-US" w:eastAsia="zh-CN"/>
        </w:rPr>
        <w:t>一</w:t>
      </w:r>
      <w:r>
        <w:rPr>
          <w:rFonts w:hint="eastAsia" w:ascii="宋体" w:hAnsi="宋体" w:eastAsia="宋体" w:cs="宋体"/>
          <w:bCs/>
          <w:sz w:val="24"/>
          <w:highlight w:val="none"/>
        </w:rPr>
        <w:t>（宁波市奉化区大成东路277号4楼）</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在开标前应确保成为浙江省政府采购网正式注册入库供应商，并完成CA数字证书办理。完成CA数字证书办理在资料齐全的情况下预计7个工作日左右，请各</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eastAsia="宋体" w:cs="宋体"/>
          <w:sz w:val="24"/>
          <w:highlight w:val="none"/>
          <w:lang w:val="en-US" w:eastAsia="zh-CN"/>
        </w:rPr>
        <w:t>宁波市奉化区锦山河建设投资有限公司</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址：宁波市奉化区大成东路275号(城投商务大厦11楼)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宋体" w:hAnsi="宋体" w:eastAsia="宋体" w:cs="宋体"/>
          <w:sz w:val="24"/>
          <w:highlight w:val="none"/>
          <w:lang w:val="en-US" w:eastAsia="zh-CN"/>
        </w:rPr>
        <w:t>莫先生</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w:t>
      </w:r>
      <w:r>
        <w:rPr>
          <w:rFonts w:hint="eastAsia" w:ascii="宋体" w:hAnsi="宋体" w:cs="宋体"/>
          <w:sz w:val="24"/>
          <w:highlight w:val="none"/>
          <w:lang w:val="en-US" w:eastAsia="zh-CN"/>
        </w:rPr>
        <w:t>0574-88957792</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cs="宋体"/>
          <w:sz w:val="24"/>
          <w:highlight w:val="none"/>
          <w:lang w:val="en-US" w:eastAsia="zh-CN"/>
        </w:rPr>
        <w:t>沈先生</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宋体" w:hAnsi="宋体" w:cs="宋体"/>
          <w:sz w:val="24"/>
          <w:highlight w:val="none"/>
          <w:lang w:val="en-US" w:eastAsia="zh-CN"/>
        </w:rPr>
        <w:t>0574-88957792</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eastAsia="宋体" w:cs="宋体"/>
          <w:sz w:val="24"/>
          <w:highlight w:val="none"/>
          <w:lang w:val="en-US" w:eastAsia="zh-CN"/>
        </w:rPr>
        <w:t>浙江天诚工程咨询有限公司</w:t>
      </w:r>
      <w:r>
        <w:rPr>
          <w:rFonts w:hint="eastAsia" w:ascii="宋体" w:hAnsi="宋体" w:eastAsia="宋体" w:cs="宋体"/>
          <w:sz w:val="24"/>
          <w:highlight w:val="none"/>
        </w:rPr>
        <w:t xml:space="preserve">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地    址：宁波市奉化区岳林街道天峰路66号山丘汇科创基地8号楼二楼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传    真：</w:t>
      </w:r>
      <w:r>
        <w:rPr>
          <w:rFonts w:hint="eastAsia" w:ascii="宋体" w:hAnsi="宋体" w:eastAsia="宋体" w:cs="宋体"/>
          <w:sz w:val="24"/>
          <w:highlight w:val="none"/>
          <w:lang w:val="en-US" w:eastAsia="zh-CN"/>
        </w:rPr>
        <w:t>0574-88913191</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eastAsia="宋体" w:cs="宋体"/>
          <w:sz w:val="24"/>
          <w:highlight w:val="none"/>
          <w:lang w:val="en-US" w:eastAsia="zh-CN"/>
        </w:rPr>
        <w:t>胡先生</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项目联系方式（询问）：</w:t>
      </w:r>
      <w:r>
        <w:rPr>
          <w:rFonts w:hint="eastAsia" w:ascii="宋体" w:hAnsi="宋体" w:eastAsia="宋体" w:cs="宋体"/>
          <w:sz w:val="24"/>
          <w:highlight w:val="none"/>
          <w:lang w:val="en-US" w:eastAsia="zh-CN"/>
        </w:rPr>
        <w:t>13429280817</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eastAsia="宋体" w:cs="宋体"/>
          <w:sz w:val="24"/>
          <w:highlight w:val="none"/>
          <w:lang w:val="en-US" w:eastAsia="zh-CN"/>
        </w:rPr>
        <w:t>毛女士</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宋体" w:hAnsi="宋体" w:eastAsia="宋体" w:cs="宋体"/>
          <w:sz w:val="24"/>
          <w:highlight w:val="none"/>
          <w:lang w:val="en-US" w:eastAsia="zh-CN"/>
        </w:rPr>
        <w:t>13515841343</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3.同级监督管理部门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eastAsia="宋体" w:cs="宋体"/>
          <w:bCs/>
          <w:sz w:val="24"/>
          <w:highlight w:val="none"/>
        </w:rPr>
        <w:t>宁波市奉化区国有资产管理中心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eastAsia="宋体" w:cs="宋体"/>
          <w:bCs/>
          <w:sz w:val="24"/>
          <w:highlight w:val="none"/>
        </w:rPr>
        <w:t>宁波市奉化区大成东路275号</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传    真： </w:t>
      </w:r>
      <w:r>
        <w:rPr>
          <w:rFonts w:hint="eastAsia" w:ascii="宋体" w:hAnsi="宋体" w:eastAsia="宋体" w:cs="宋体"/>
          <w:bCs/>
          <w:sz w:val="24"/>
          <w:highlight w:val="none"/>
        </w:rPr>
        <w:t>0574-89285446</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 系 人 ：</w:t>
      </w:r>
      <w:r>
        <w:rPr>
          <w:rFonts w:hint="eastAsia" w:ascii="宋体" w:hAnsi="宋体" w:eastAsia="宋体" w:cs="宋体"/>
          <w:bCs/>
          <w:sz w:val="24"/>
          <w:highlight w:val="none"/>
        </w:rPr>
        <w:t>竺女士</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监督投诉电话： </w:t>
      </w:r>
      <w:r>
        <w:rPr>
          <w:rFonts w:hint="eastAsia" w:ascii="宋体" w:hAnsi="宋体" w:eastAsia="宋体" w:cs="宋体"/>
          <w:bCs/>
          <w:sz w:val="24"/>
          <w:highlight w:val="none"/>
        </w:rPr>
        <w:t>0574-89285446</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 xml:space="preserve">                              </w:t>
      </w:r>
    </w:p>
    <w:p>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8"/>
      <w:r>
        <w:rPr>
          <w:rFonts w:hint="eastAsia" w:ascii="宋体" w:hAnsi="宋体" w:eastAsia="宋体" w:cs="宋体"/>
          <w:b/>
          <w:sz w:val="36"/>
          <w:szCs w:val="20"/>
          <w:highlight w:val="none"/>
        </w:rPr>
        <w:t xml:space="preserve"> 投标须知</w:t>
      </w:r>
      <w:bookmarkEnd w:id="9"/>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16"/>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10" w:firstLineChars="100"/>
              <w:jc w:val="left"/>
              <w:rPr>
                <w:rFonts w:hint="eastAsia" w:ascii="宋体" w:hAnsi="宋体" w:eastAsia="宋体" w:cs="宋体"/>
                <w:b/>
                <w:kern w:val="0"/>
                <w:sz w:val="21"/>
                <w:szCs w:val="21"/>
                <w:highlight w:val="none"/>
                <w:lang w:val="zh-CN"/>
              </w:rPr>
            </w:pPr>
            <w:r>
              <w:rPr>
                <w:rFonts w:hint="eastAsia" w:ascii="宋体" w:hAnsi="宋体" w:eastAsia="宋体" w:cs="宋体"/>
                <w:kern w:val="0"/>
                <w:sz w:val="21"/>
                <w:szCs w:val="21"/>
                <w:highlight w:val="none"/>
                <w:lang w:val="zh-CN"/>
              </w:rPr>
              <w:t>有关本项目实施所需的所有费用（含税费）均计入报价。</w:t>
            </w:r>
            <w:r>
              <w:rPr>
                <w:rFonts w:hint="eastAsia" w:ascii="宋体" w:hAnsi="宋体" w:eastAsia="宋体" w:cs="宋体"/>
                <w:sz w:val="21"/>
                <w:szCs w:val="21"/>
                <w:highlight w:val="none"/>
              </w:rPr>
              <w:t>开标一览表是报价的唯一载体</w:t>
            </w:r>
            <w:r>
              <w:rPr>
                <w:rFonts w:hint="eastAsia" w:ascii="宋体" w:hAnsi="宋体" w:eastAsia="宋体" w:cs="宋体"/>
                <w:kern w:val="0"/>
                <w:sz w:val="21"/>
                <w:szCs w:val="21"/>
                <w:highlight w:val="none"/>
                <w:lang w:val="zh-CN"/>
              </w:rPr>
              <w:t>。投标文件中价格全部采用人民币报价。招标文件未列明，而供应商认为必需的费用也需列入报价。</w:t>
            </w:r>
          </w:p>
          <w:p>
            <w:pPr>
              <w:snapToGrid w:val="0"/>
              <w:spacing w:line="360" w:lineRule="auto"/>
              <w:jc w:val="left"/>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投标报价出现下列情形的，投标无效：</w:t>
            </w:r>
          </w:p>
          <w:p>
            <w:pPr>
              <w:snapToGrid w:val="0"/>
              <w:spacing w:line="360" w:lineRule="auto"/>
              <w:ind w:firstLine="211" w:firstLineChars="100"/>
              <w:jc w:val="left"/>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投标文件出现不是唯一的、有选择性投标报价的；</w:t>
            </w:r>
          </w:p>
          <w:p>
            <w:pPr>
              <w:snapToGrid w:val="0"/>
              <w:spacing w:line="360" w:lineRule="auto"/>
              <w:ind w:firstLine="211" w:firstLineChars="100"/>
              <w:jc w:val="left"/>
              <w:rPr>
                <w:rFonts w:hint="eastAsia" w:ascii="宋体" w:hAnsi="宋体" w:eastAsia="宋体" w:cs="宋体"/>
                <w:kern w:val="0"/>
                <w:sz w:val="21"/>
                <w:szCs w:val="21"/>
                <w:highlight w:val="none"/>
                <w:lang w:val="zh-CN"/>
              </w:rPr>
            </w:pPr>
            <w:r>
              <w:rPr>
                <w:rFonts w:hint="eastAsia" w:ascii="宋体" w:hAnsi="宋体" w:eastAsia="宋体" w:cs="宋体"/>
                <w:b/>
                <w:kern w:val="0"/>
                <w:sz w:val="21"/>
                <w:szCs w:val="21"/>
                <w:highlight w:val="none"/>
                <w:lang w:val="zh-CN"/>
              </w:rPr>
              <w:t>投标报价超过招标文件中规定的预算金额或者最高限价的;</w:t>
            </w:r>
          </w:p>
          <w:p>
            <w:pPr>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1"/>
                <w:szCs w:val="21"/>
                <w:highlight w:val="none"/>
              </w:rPr>
              <w:t>;</w:t>
            </w:r>
          </w:p>
          <w:p>
            <w:pPr>
              <w:spacing w:line="360" w:lineRule="auto"/>
              <w:ind w:firstLine="211" w:firstLineChars="100"/>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供应商对根据修正原则修正后的报价不确认的</w:t>
            </w:r>
            <w:r>
              <w:rPr>
                <w:rFonts w:hint="eastAsia" w:ascii="宋体" w:hAnsi="宋体" w:eastAsia="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Style w:val="11"/>
              <w:spacing w:line="360" w:lineRule="auto"/>
              <w:jc w:val="center"/>
              <w:rPr>
                <w:rFonts w:hint="eastAsia" w:ascii="宋体" w:hAnsi="宋体" w:eastAsia="宋体" w:cs="宋体"/>
                <w:b/>
                <w:sz w:val="21"/>
                <w:szCs w:val="21"/>
                <w:highlight w:val="none"/>
              </w:rPr>
            </w:pPr>
            <w:r>
              <w:rPr>
                <w:rFonts w:hint="eastAsia" w:ascii="宋体" w:hAnsi="宋体" w:eastAsia="宋体" w:cs="宋体"/>
                <w:b/>
                <w:kern w:val="28"/>
                <w:sz w:val="21"/>
                <w:szCs w:val="21"/>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投标保证金：人民币</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18</w:t>
            </w:r>
            <w:r>
              <w:rPr>
                <w:rFonts w:hint="eastAsia" w:ascii="宋体" w:hAnsi="宋体" w:eastAsia="宋体" w:cs="宋体"/>
                <w:sz w:val="21"/>
                <w:szCs w:val="21"/>
                <w:highlight w:val="none"/>
                <w:u w:val="single"/>
                <w:lang w:val="en-US" w:eastAsia="zh-CN"/>
              </w:rPr>
              <w:t>000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元整。投标保证金须从投标人的基本账户转出以非现金方式交纳，形式：单位网银、转账支票、银行汇票或汇兑。</w:t>
            </w:r>
          </w:p>
          <w:p>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账户名：宁波市奉化区政务服务中心(区公共资源交易中心)</w:t>
            </w:r>
          </w:p>
          <w:p>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账号：231000003436009001464</w:t>
            </w:r>
          </w:p>
          <w:p>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开户行：宁波奉化农村商业银行股份有限公司锦屏支行</w:t>
            </w:r>
          </w:p>
          <w:p>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电话、传真：0574—88589092</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在2022年</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日下午16时前须足额缴纳（以实际到账时间为准），并在汇款信息或转账支票中注明项目名称。</w:t>
            </w:r>
          </w:p>
          <w:p>
            <w:pPr>
              <w:pStyle w:val="6"/>
              <w:spacing w:line="360" w:lineRule="auto"/>
              <w:ind w:firstLine="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投标保证金按规定时间到账，超时的作无效标处理。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22" w:firstLineChars="2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00FE"/>
            </w:r>
            <w:r>
              <w:rPr>
                <w:rFonts w:hint="eastAsia" w:ascii="宋体" w:hAnsi="宋体" w:eastAsia="宋体" w:cs="宋体"/>
                <w:kern w:val="0"/>
                <w:sz w:val="21"/>
                <w:szCs w:val="21"/>
                <w:highlight w:val="none"/>
              </w:rPr>
              <w:t>B</w:t>
            </w:r>
            <w:r>
              <w:rPr>
                <w:rFonts w:hint="eastAsia" w:ascii="宋体" w:hAnsi="宋体" w:eastAsia="宋体" w:cs="宋体"/>
                <w:sz w:val="21"/>
                <w:szCs w:val="21"/>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资格证明文件：见招标文件第二部分9.1。</w:t>
            </w:r>
          </w:p>
          <w:p>
            <w:pPr>
              <w:spacing w:line="360"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资格证明文件不全的或者不符合招标文件标明的资格要求的</w:t>
            </w:r>
            <w:r>
              <w:rPr>
                <w:rFonts w:hint="eastAsia" w:ascii="宋体" w:hAnsi="宋体" w:eastAsia="宋体" w:cs="宋体"/>
                <w:sz w:val="21"/>
                <w:szCs w:val="21"/>
                <w:highlight w:val="none"/>
                <w:lang w:val="zh-CN"/>
              </w:rPr>
              <w:t>，视为供应商不具备招标文件中规定的资格要求，投标无效。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sym w:font="Wingdings" w:char="00FE"/>
            </w:r>
            <w:r>
              <w:rPr>
                <w:rFonts w:hint="eastAsia" w:ascii="宋体" w:hAnsi="宋体" w:eastAsia="宋体" w:cs="宋体"/>
                <w:kern w:val="0"/>
                <w:sz w:val="21"/>
                <w:szCs w:val="21"/>
                <w:highlight w:val="none"/>
              </w:rPr>
              <w:t>A</w:t>
            </w:r>
            <w:r>
              <w:rPr>
                <w:rFonts w:hint="eastAsia" w:ascii="宋体" w:hAnsi="宋体" w:eastAsia="宋体" w:cs="宋体"/>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sym w:font="Wingdings" w:char="00FE"/>
            </w:r>
            <w:r>
              <w:rPr>
                <w:rFonts w:hint="eastAsia" w:ascii="宋体" w:hAnsi="宋体" w:eastAsia="宋体" w:cs="宋体"/>
                <w:kern w:val="0"/>
                <w:sz w:val="21"/>
                <w:szCs w:val="21"/>
                <w:highlight w:val="none"/>
              </w:rPr>
              <w:t>A</w:t>
            </w:r>
            <w:r>
              <w:rPr>
                <w:rFonts w:hint="eastAsia" w:ascii="宋体" w:hAnsi="宋体" w:eastAsia="宋体" w:cs="宋体"/>
                <w:sz w:val="21"/>
                <w:szCs w:val="21"/>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1"/>
                <w:szCs w:val="21"/>
                <w:highlight w:val="none"/>
              </w:rPr>
            </w:pPr>
            <w:r>
              <w:rPr>
                <w:rFonts w:hint="eastAsia" w:ascii="宋体" w:hAnsi="宋体" w:eastAsia="宋体" w:cs="宋体"/>
                <w:b/>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kern w:val="0"/>
                <w:sz w:val="21"/>
                <w:szCs w:val="21"/>
                <w:highlight w:val="none"/>
                <w:lang w:val="zh-CN"/>
              </w:rPr>
            </w:pPr>
            <w:r>
              <w:rPr>
                <w:rFonts w:hint="eastAsia" w:ascii="宋体" w:hAnsi="宋体" w:eastAsia="宋体" w:cs="宋体"/>
                <w:kern w:val="0"/>
                <w:sz w:val="21"/>
                <w:szCs w:val="21"/>
                <w:highlight w:val="none"/>
              </w:rPr>
              <w:sym w:font="Wingdings" w:char="00FE"/>
            </w:r>
            <w:r>
              <w:rPr>
                <w:rFonts w:hint="eastAsia" w:ascii="宋体" w:hAnsi="宋体" w:eastAsia="宋体" w:cs="宋体"/>
                <w:kern w:val="0"/>
                <w:sz w:val="21"/>
                <w:szCs w:val="21"/>
                <w:highlight w:val="none"/>
              </w:rPr>
              <w:t>A</w:t>
            </w:r>
            <w:r>
              <w:rPr>
                <w:rFonts w:hint="eastAsia" w:ascii="宋体" w:hAnsi="宋体" w:eastAsia="宋体" w:cs="宋体"/>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sz w:val="21"/>
                <w:szCs w:val="21"/>
                <w:highlight w:val="none"/>
              </w:rPr>
              <w:t>货物类，单一产品或</w:t>
            </w:r>
            <w:r>
              <w:rPr>
                <w:rFonts w:hint="eastAsia" w:ascii="宋体" w:hAnsi="宋体" w:eastAsia="宋体" w:cs="宋体"/>
                <w:kern w:val="0"/>
                <w:sz w:val="21"/>
                <w:szCs w:val="21"/>
                <w:highlight w:val="none"/>
              </w:rPr>
              <w:t>核心产品为：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路灯</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多家</w:t>
            </w:r>
            <w:r>
              <w:rPr>
                <w:rFonts w:hint="eastAsia" w:ascii="宋体" w:hAnsi="宋体" w:eastAsia="宋体" w:cs="宋体"/>
                <w:kern w:val="0"/>
                <w:sz w:val="21"/>
                <w:szCs w:val="21"/>
                <w:highlight w:val="none"/>
                <w:lang w:val="zh-CN"/>
              </w:rPr>
              <w:t>供应商</w:t>
            </w:r>
            <w:r>
              <w:rPr>
                <w:rFonts w:hint="eastAsia" w:ascii="宋体" w:hAnsi="宋体" w:eastAsia="宋体" w:cs="宋体"/>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eastAsia="宋体" w:cs="宋体"/>
                <w:kern w:val="0"/>
                <w:sz w:val="21"/>
                <w:szCs w:val="21"/>
                <w:highlight w:val="none"/>
                <w:lang w:val="zh-CN"/>
              </w:rPr>
              <w:t>供应商</w:t>
            </w:r>
            <w:r>
              <w:rPr>
                <w:rFonts w:hint="eastAsia" w:ascii="宋体" w:hAnsi="宋体" w:eastAsia="宋体" w:cs="宋体"/>
                <w:kern w:val="0"/>
                <w:sz w:val="21"/>
                <w:szCs w:val="21"/>
                <w:highlight w:val="none"/>
              </w:rPr>
              <w:t>参加同一合同项下投标的，按一家</w:t>
            </w:r>
            <w:r>
              <w:rPr>
                <w:rFonts w:hint="eastAsia" w:ascii="宋体" w:hAnsi="宋体" w:eastAsia="宋体" w:cs="宋体"/>
                <w:kern w:val="0"/>
                <w:sz w:val="21"/>
                <w:szCs w:val="21"/>
                <w:highlight w:val="none"/>
                <w:lang w:val="zh-CN"/>
              </w:rPr>
              <w:t>供应商</w:t>
            </w:r>
            <w:r>
              <w:rPr>
                <w:rFonts w:hint="eastAsia" w:ascii="宋体" w:hAnsi="宋体" w:eastAsia="宋体" w:cs="宋体"/>
                <w:kern w:val="0"/>
                <w:sz w:val="21"/>
                <w:szCs w:val="21"/>
                <w:highlight w:val="none"/>
              </w:rPr>
              <w:t>计算，评审后得分最高的同品牌</w:t>
            </w:r>
            <w:r>
              <w:rPr>
                <w:rFonts w:hint="eastAsia" w:ascii="宋体" w:hAnsi="宋体" w:eastAsia="宋体" w:cs="宋体"/>
                <w:kern w:val="0"/>
                <w:sz w:val="21"/>
                <w:szCs w:val="21"/>
                <w:highlight w:val="none"/>
                <w:lang w:val="zh-CN"/>
              </w:rPr>
              <w:t>供应商</w:t>
            </w:r>
            <w:r>
              <w:rPr>
                <w:rFonts w:hint="eastAsia" w:ascii="宋体" w:hAnsi="宋体" w:eastAsia="宋体" w:cs="宋体"/>
                <w:kern w:val="0"/>
                <w:sz w:val="21"/>
                <w:szCs w:val="21"/>
                <w:highlight w:val="none"/>
              </w:rPr>
              <w:t>获得中标人推荐资格；评审得分相同的，报价评审得分最高的同品牌</w:t>
            </w:r>
            <w:r>
              <w:rPr>
                <w:rFonts w:hint="eastAsia" w:ascii="宋体" w:hAnsi="宋体" w:eastAsia="宋体" w:cs="宋体"/>
                <w:kern w:val="0"/>
                <w:sz w:val="21"/>
                <w:szCs w:val="21"/>
                <w:highlight w:val="none"/>
                <w:lang w:val="zh-CN"/>
              </w:rPr>
              <w:t>供应商</w:t>
            </w:r>
            <w:r>
              <w:rPr>
                <w:rFonts w:hint="eastAsia" w:ascii="宋体" w:hAnsi="宋体" w:eastAsia="宋体" w:cs="宋体"/>
                <w:kern w:val="0"/>
                <w:sz w:val="21"/>
                <w:szCs w:val="21"/>
                <w:highlight w:val="none"/>
              </w:rPr>
              <w:t>获得中标人推荐资格；评审得分和报价评审得分均相同的，由采购人或评标委员会采取随机抽取方式确定，其他同品牌</w:t>
            </w:r>
            <w:r>
              <w:rPr>
                <w:rFonts w:hint="eastAsia" w:ascii="宋体" w:hAnsi="宋体" w:eastAsia="宋体" w:cs="宋体"/>
                <w:kern w:val="0"/>
                <w:sz w:val="21"/>
                <w:szCs w:val="21"/>
                <w:highlight w:val="none"/>
                <w:lang w:val="zh-CN"/>
              </w:rPr>
              <w:t>供应商</w:t>
            </w:r>
            <w:r>
              <w:rPr>
                <w:rFonts w:hint="eastAsia" w:ascii="宋体" w:hAnsi="宋体" w:eastAsia="宋体" w:cs="宋体"/>
                <w:kern w:val="0"/>
                <w:sz w:val="21"/>
                <w:szCs w:val="21"/>
                <w:highlight w:val="none"/>
              </w:rPr>
              <w:t>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标的：</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路灯</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，属于</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工业</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val="en-US" w:eastAsia="zh-CN"/>
              </w:rPr>
              <w:t>无。</w:t>
            </w:r>
          </w:p>
          <w:p>
            <w:p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FE"/>
            </w:r>
            <w:r>
              <w:rPr>
                <w:rFonts w:hint="eastAsia" w:ascii="宋体" w:hAnsi="宋体" w:eastAsia="宋体" w:cs="宋体"/>
                <w:sz w:val="21"/>
                <w:szCs w:val="21"/>
                <w:highlight w:val="none"/>
                <w:lang w:val="en-US" w:eastAsia="zh-CN"/>
              </w:rPr>
              <w:t>中标人向采购代理机构支付中标服务费</w:t>
            </w:r>
            <w:r>
              <w:rPr>
                <w:rFonts w:hint="eastAsia" w:ascii="宋体" w:hAnsi="宋体" w:eastAsia="宋体" w:cs="宋体"/>
                <w:sz w:val="21"/>
                <w:szCs w:val="21"/>
                <w:highlight w:val="none"/>
                <w:u w:val="single"/>
                <w:lang w:val="en-US" w:eastAsia="zh-CN"/>
              </w:rPr>
              <w:t>8330</w:t>
            </w:r>
            <w:r>
              <w:rPr>
                <w:rFonts w:hint="eastAsia" w:ascii="宋体" w:hAnsi="宋体" w:eastAsia="宋体" w:cs="宋体"/>
                <w:sz w:val="21"/>
                <w:szCs w:val="21"/>
                <w:highlight w:val="none"/>
                <w:lang w:val="en-US" w:eastAsia="zh-CN"/>
              </w:rPr>
              <w:t>元。</w:t>
            </w:r>
          </w:p>
          <w:p>
            <w:pPr>
              <w:spacing w:line="360" w:lineRule="auto"/>
              <w:rPr>
                <w:rFonts w:hint="eastAsia" w:ascii="宋体" w:hAnsi="宋体" w:eastAsia="宋体" w:cs="宋体"/>
                <w:snapToGrid w:val="0"/>
                <w:kern w:val="28"/>
                <w:sz w:val="21"/>
                <w:szCs w:val="21"/>
                <w:highlight w:val="none"/>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根据国家发改委发改办价格[2003]857号通知和原国家计委计价格[2002]1980号文件规定的货物招标费率标准收取中标服务费，按照中标通知书确定的中标总金额，向中标人收取招标服务费。中标人应在本公司发出中标通知书5个工作日内向本招标公司支付招标服务费。</w:t>
            </w:r>
          </w:p>
        </w:tc>
      </w:tr>
    </w:tbl>
    <w:p>
      <w:pPr>
        <w:snapToGrid w:val="0"/>
        <w:spacing w:line="360" w:lineRule="auto"/>
        <w:jc w:val="center"/>
        <w:rPr>
          <w:rFonts w:hint="eastAsia" w:ascii="宋体" w:hAnsi="宋体" w:eastAsia="宋体" w:cs="宋体"/>
          <w:b/>
          <w:sz w:val="32"/>
          <w:szCs w:val="20"/>
          <w:highlight w:val="none"/>
        </w:rPr>
      </w:pPr>
    </w:p>
    <w:bookmarkEnd w:id="10"/>
    <w:p>
      <w:pPr>
        <w:pStyle w:val="2"/>
        <w:rPr>
          <w:rFonts w:hint="eastAsia"/>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bookmarkStart w:id="11" w:name="第三部分"/>
      <w:bookmarkStart w:id="12" w:name="_Toc164416483"/>
    </w:p>
    <w:p>
      <w:pPr>
        <w:pStyle w:val="2"/>
        <w:ind w:left="0" w:leftChars="0" w:firstLine="0" w:firstLineChars="0"/>
        <w:rPr>
          <w:rFonts w:hint="eastAsia"/>
          <w:highlight w:val="none"/>
        </w:rPr>
      </w:pPr>
    </w:p>
    <w:p>
      <w:pPr>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适用范围</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”系指是指响应招标、参加投标竞争的法人、其他组织或者自然人。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2.6“电子交易平台”是指本项目采购活动所依托的采购云平台（https://www.zcygov.cn/）。</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r>
        <w:rPr>
          <w:rFonts w:hint="eastAsia" w:ascii="宋体" w:hAnsi="宋体" w:eastAsia="宋体" w:cs="宋体"/>
          <w:kern w:val="0"/>
          <w:sz w:val="21"/>
          <w:szCs w:val="21"/>
          <w:highlight w:val="none"/>
        </w:rPr>
        <w:sym w:font="Wingdings" w:char="F0FE"/>
      </w:r>
      <w:r>
        <w:rPr>
          <w:rFonts w:hint="eastAsia" w:ascii="宋体" w:hAnsi="宋体" w:eastAsia="宋体" w:cs="宋体"/>
          <w:sz w:val="24"/>
          <w:highlight w:val="none"/>
        </w:rPr>
        <w:t>” 系指适用本项目的要求，“</w:t>
      </w:r>
      <w:r>
        <w:rPr>
          <w:rFonts w:hint="eastAsia" w:ascii="宋体" w:hAnsi="宋体" w:eastAsia="宋体" w:cs="宋体"/>
          <w:kern w:val="0"/>
          <w:sz w:val="21"/>
          <w:szCs w:val="21"/>
          <w:highlight w:val="none"/>
        </w:rPr>
        <w:sym w:font="Wingdings" w:char="00A8"/>
      </w:r>
      <w:r>
        <w:rPr>
          <w:rFonts w:hint="eastAsia" w:ascii="宋体" w:hAnsi="宋体" w:eastAsia="宋体" w:cs="宋体"/>
          <w:sz w:val="24"/>
          <w:highlight w:val="none"/>
        </w:rPr>
        <w:t>” 系指不适用本项目的要求。</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采购项目需要落实的政府采购政策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w:t>
      </w:r>
      <w:r>
        <w:rPr>
          <w:rFonts w:hint="eastAsia" w:ascii="宋体" w:hAnsi="宋体" w:eastAsia="宋体" w:cs="宋体"/>
          <w:sz w:val="24"/>
          <w:highlight w:val="none"/>
          <w:lang w:eastAsia="zh-CN"/>
        </w:rPr>
        <w:t>监管部门</w:t>
      </w:r>
      <w:r>
        <w:rPr>
          <w:rFonts w:hint="eastAsia" w:ascii="宋体" w:hAnsi="宋体" w:eastAsia="宋体" w:cs="宋体"/>
          <w:sz w:val="24"/>
          <w:highlight w:val="none"/>
        </w:rPr>
        <w:t>提出申请并获得</w:t>
      </w:r>
      <w:r>
        <w:rPr>
          <w:rFonts w:hint="eastAsia" w:ascii="宋体" w:hAnsi="宋体" w:eastAsia="宋体" w:cs="宋体"/>
          <w:sz w:val="24"/>
          <w:highlight w:val="none"/>
          <w:lang w:eastAsia="zh-CN"/>
        </w:rPr>
        <w:t>监管部门</w:t>
      </w:r>
      <w:r>
        <w:rPr>
          <w:rFonts w:hint="eastAsia" w:ascii="宋体" w:hAnsi="宋体" w:eastAsia="宋体" w:cs="宋体"/>
          <w:sz w:val="24"/>
          <w:highlight w:val="none"/>
        </w:rPr>
        <w:t>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支持节能产品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应按照招标文件格式要求提供《中小企业声明函》，</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3.4支持创新发展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3.4.3根据《关于促进自主创新进一步改进招标采购工作的意见》(甬资交管办〔2019〕 1号)规定，若投标产品列入地级市及以上政府部门重点自主创新产品目录的，相应的资格审查和业绩评分</w:t>
      </w:r>
      <w:r>
        <w:rPr>
          <w:rFonts w:hint="eastAsia" w:ascii="宋体" w:hAnsi="宋体" w:eastAsia="宋体" w:cs="宋体"/>
          <w:color w:val="auto"/>
          <w:sz w:val="24"/>
          <w:highlight w:val="none"/>
          <w:lang w:val="en-US" w:eastAsia="zh-CN"/>
        </w:rPr>
        <w:t>视</w:t>
      </w:r>
      <w:r>
        <w:rPr>
          <w:rFonts w:hint="eastAsia" w:ascii="宋体" w:hAnsi="宋体" w:eastAsia="宋体" w:cs="宋体"/>
          <w:color w:val="auto"/>
          <w:sz w:val="24"/>
          <w:highlight w:val="none"/>
        </w:rPr>
        <w:t>同</w:t>
      </w:r>
      <w:r>
        <w:rPr>
          <w:rFonts w:hint="eastAsia" w:ascii="宋体" w:hAnsi="宋体" w:eastAsia="宋体" w:cs="宋体"/>
          <w:sz w:val="24"/>
          <w:highlight w:val="none"/>
        </w:rPr>
        <w:t>完全满足（以投标文件中提供地级市及以上政府部门重点自主创新产品目录证明材料为准）。</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特别说明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4.1关于分公司投标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除银行、保险、石油石化、电力、电信等特殊行业外。法人的分支机构由于不能独立承担民事责任，不能以分支机构的身份参加政府采购，只能以法人身份参加。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4.2关于知识产权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4.2.1 </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承担。</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 投标报价应包含所有应向所有权人支付的专利权、商标权或其它知识产权的一切相关费用。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4.2.3 系统软件、通用软件必须是具有在中国境内的合法使用权或版权的正版软件，涉及到第三方提出侵权或知识产权的起诉及支付版税等费用由</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承担所有责任及费用。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的风险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4.3.1 </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应详细阅读招标文件中的全部内容和要求，按照招标文件的要求提交投标文件，没有按照招标文件要求提供投标文件和资料导致的风险由</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承担,并对所提供的全部资料的真实性承担法律责任。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4.3.2 无论因何种原因导致本次采购活动终止致</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损失的，相关责任人均不承担任何责任。</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询问、质疑、投诉</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.1供应商询问</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.2供应商质疑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zh-CN"/>
        </w:rPr>
        <w:t>.2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zh-CN"/>
        </w:rPr>
        <w:t>.2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5.2.2.1对招标文件提出质疑的，质疑期限为供应商获得招标文件之日或者招标文件公告期限届满之日起计算。</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5.2.2.2对采购过程提出质疑的，质疑期限为各采购程序环节结束之日起计算。</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5.2.2.3对采购结果提出质疑的，质疑期限自采购结果公告期限届满之日起计算。</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5.2.2.4对同一采购程序环节的质疑，供应商须一次性提出。</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.2.3</w:t>
      </w:r>
      <w:r>
        <w:rPr>
          <w:rFonts w:hint="eastAsia" w:ascii="宋体" w:hAnsi="宋体" w:eastAsia="宋体" w:cs="宋体"/>
          <w:sz w:val="24"/>
          <w:highlight w:val="none"/>
        </w:rPr>
        <w:t>供应商提出质疑应当提交质疑函和必要的证明材料。质疑函应当包括下列内容：</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.2.3.1供应商的姓名或者名称、地址、邮编、联系人及联系电话；</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.2.3.2质疑项目的名称、编号；</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.2.3.3具体、明确的质疑事项和与质疑事项相关的请求；</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.2.3.4事实依据；</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.2.3.5必要的法律依据；</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.2.3.6提出质疑的日期。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5.2.3.7对招标文件提出质疑的需要提供在政采云平台获取招标文件的截图。</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质疑函范本请到浙江政府采购网下载专区下载。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zh-CN"/>
        </w:rPr>
        <w:t>.2</w:t>
      </w:r>
      <w:r>
        <w:rPr>
          <w:rFonts w:hint="eastAsia" w:ascii="宋体" w:hAnsi="宋体" w:eastAsia="宋体" w:cs="宋体"/>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zh-CN"/>
        </w:rPr>
        <w:t>.2</w:t>
      </w:r>
      <w:r>
        <w:rPr>
          <w:rFonts w:hint="eastAsia" w:ascii="宋体" w:hAnsi="宋体" w:eastAsia="宋体" w:cs="宋体"/>
          <w:sz w:val="24"/>
          <w:highlight w:val="none"/>
        </w:rPr>
        <w:t>.5询问或者质疑事项可能影响采购结果的，采购人应当暂停签订合同，已经签订合同的，应当中止履行合同。</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.3供应商投诉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w:t>
      </w:r>
      <w:r>
        <w:rPr>
          <w:rFonts w:hint="eastAsia" w:ascii="宋体" w:hAnsi="宋体" w:eastAsia="宋体" w:cs="宋体"/>
          <w:sz w:val="24"/>
          <w:highlight w:val="none"/>
          <w:lang w:val="zh-CN"/>
        </w:rPr>
        <w:t>2</w:t>
      </w:r>
      <w:r>
        <w:rPr>
          <w:rFonts w:hint="eastAsia" w:ascii="宋体" w:hAnsi="宋体" w:eastAsia="宋体" w:cs="宋体"/>
          <w:sz w:val="24"/>
          <w:highlight w:val="none"/>
        </w:rPr>
        <w:t>供应商投诉的事项不得超出已质疑事项的范围，基于质疑答复内容提出的投诉事项除外。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5.3.3供应商投诉应当有明确的请求和必要的证明材料。</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5.3.5 以联合体形式参加政府采购活动的，其投诉应当由组成联合体的所有供应商共同提出。</w:t>
      </w:r>
    </w:p>
    <w:p>
      <w:pPr>
        <w:spacing w:line="360" w:lineRule="auto"/>
        <w:ind w:firstLine="480" w:firstLineChars="200"/>
        <w:rPr>
          <w:rFonts w:hint="eastAsia" w:ascii="宋体" w:hAnsi="宋体" w:eastAsia="宋体" w:cs="宋体"/>
          <w:sz w:val="18"/>
          <w:szCs w:val="18"/>
          <w:highlight w:val="none"/>
        </w:rPr>
      </w:pPr>
      <w:r>
        <w:rPr>
          <w:rFonts w:hint="eastAsia" w:ascii="宋体" w:hAnsi="宋体" w:eastAsia="宋体" w:cs="宋体"/>
          <w:sz w:val="24"/>
          <w:highlight w:val="none"/>
        </w:rPr>
        <w:t>投诉书范本请到浙江政府采购网下载专区下载。</w:t>
      </w:r>
    </w:p>
    <w:p>
      <w:pPr>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招标文件的构成</w:t>
      </w:r>
    </w:p>
    <w:p>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招标文件包括下列文件及附件：</w:t>
      </w:r>
    </w:p>
    <w:p>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6.1.1 招标公告；</w:t>
      </w:r>
    </w:p>
    <w:p>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6.1.2 </w:t>
      </w:r>
      <w:r>
        <w:rPr>
          <w:rFonts w:hint="eastAsia" w:ascii="宋体" w:hAnsi="宋体" w:eastAsia="宋体" w:cs="宋体"/>
          <w:sz w:val="24"/>
          <w:szCs w:val="24"/>
          <w:highlight w:val="none"/>
          <w:lang w:val="zh-CN"/>
        </w:rPr>
        <w:t>投标</w:t>
      </w:r>
      <w:r>
        <w:rPr>
          <w:rFonts w:hint="eastAsia" w:ascii="宋体" w:hAnsi="宋体" w:eastAsia="宋体" w:cs="宋体"/>
          <w:sz w:val="24"/>
          <w:szCs w:val="24"/>
          <w:highlight w:val="none"/>
        </w:rPr>
        <w:t>须知；</w:t>
      </w:r>
    </w:p>
    <w:p>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 采购需求；</w:t>
      </w:r>
    </w:p>
    <w:p>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 评标办法；</w:t>
      </w:r>
    </w:p>
    <w:p>
      <w:pPr>
        <w:pStyle w:val="11"/>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6.1.5 拟签订的合同文本；</w:t>
      </w:r>
    </w:p>
    <w:p>
      <w:pPr>
        <w:pStyle w:val="11"/>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6.1.6 应提交的有关格式范例</w:t>
      </w:r>
      <w:r>
        <w:rPr>
          <w:rFonts w:hint="eastAsia" w:ascii="宋体" w:hAnsi="宋体" w:eastAsia="宋体" w:cs="宋体"/>
          <w:sz w:val="24"/>
          <w:szCs w:val="24"/>
          <w:highlight w:val="none"/>
          <w:lang w:val="en-US" w:eastAsia="zh-CN"/>
        </w:rPr>
        <w:t xml:space="preserve">； </w:t>
      </w:r>
    </w:p>
    <w:p>
      <w:pPr>
        <w:pStyle w:val="11"/>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6.1.7附件（如有）。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招标文件的澄清、修改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 如更正公告有重新发布电子招标文件的，</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应下载最新发布的电子招标文件制作投标文件。</w:t>
      </w:r>
    </w:p>
    <w:p>
      <w:pPr>
        <w:spacing w:line="360" w:lineRule="auto"/>
        <w:ind w:firstLine="480" w:firstLineChars="200"/>
        <w:rPr>
          <w:rFonts w:hint="eastAsia" w:ascii="宋体" w:hAnsi="宋体" w:eastAsia="宋体" w:cs="宋体"/>
          <w:b/>
          <w:sz w:val="30"/>
          <w:szCs w:val="20"/>
          <w:highlight w:val="none"/>
        </w:rPr>
      </w:pPr>
      <w:r>
        <w:rPr>
          <w:rFonts w:hint="eastAsia" w:ascii="宋体" w:hAnsi="宋体" w:eastAsia="宋体" w:cs="宋体"/>
          <w:sz w:val="24"/>
          <w:highlight w:val="none"/>
        </w:rPr>
        <w:t>7.4 已获取招标文件的潜在</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，若有问题需要澄清，应于投标截止时间前，以书面形式向采购代理机构提出。</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w:t>
      </w:r>
    </w:p>
    <w:p>
      <w:pPr>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br w:type="page"/>
      </w:r>
      <w:r>
        <w:rPr>
          <w:rFonts w:hint="eastAsia" w:ascii="宋体" w:hAnsi="宋体" w:eastAsia="宋体" w:cs="宋体"/>
          <w:b/>
          <w:sz w:val="30"/>
          <w:szCs w:val="20"/>
          <w:highlight w:val="none"/>
        </w:rPr>
        <w:t>三、投标</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投标文件的语言</w:t>
      </w:r>
    </w:p>
    <w:p>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与采购有关的来往通知、函件和文件均应使用中文。</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投标文件的组成</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9.1 </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9.1.1有效的企业法人营业执照（或事业法人登记证）、其他组织（个体工商户）的营业执照或者民办非企业单位登记证书；</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9.1.2符合参加政府采购活动应当具备的一般条件的承诺函(格式见第六部分)；</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9.1.3落实政府采购政策需满足的资格要求（如适用）；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9.1.4本项目的特定资格要求。</w:t>
      </w:r>
    </w:p>
    <w:p>
      <w:pPr>
        <w:snapToGrid w:val="0"/>
        <w:spacing w:line="360" w:lineRule="auto"/>
        <w:ind w:firstLine="480" w:firstLineChars="200"/>
        <w:rPr>
          <w:rFonts w:hint="eastAsia" w:ascii="宋体" w:hAnsi="宋体" w:eastAsia="宋体" w:cs="宋体"/>
          <w:b/>
          <w:bCs/>
          <w:sz w:val="24"/>
          <w:highlight w:val="none"/>
          <w:lang w:val="zh-CN"/>
        </w:rPr>
      </w:pPr>
      <w:r>
        <w:rPr>
          <w:rFonts w:hint="eastAsia" w:ascii="宋体" w:hAnsi="宋体" w:eastAsia="宋体" w:cs="宋体"/>
          <w:sz w:val="24"/>
          <w:highlight w:val="none"/>
        </w:rPr>
        <w:t>9</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9.2.1 符合性自查表；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9.2.2 投标函；</w:t>
      </w:r>
      <w:r>
        <w:rPr>
          <w:rFonts w:hint="eastAsia" w:ascii="宋体" w:hAnsi="宋体" w:eastAsia="宋体" w:cs="宋体"/>
          <w:sz w:val="24"/>
          <w:highlight w:val="none"/>
          <w:lang w:val="zh-CN"/>
        </w:rPr>
        <w:t xml:space="preserve">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9.2.3 授权委托书或法定代表人（单位负责人、自然人本人）身份证明；</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9.2.4 供应商情况表；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9.2.5 距采购人最近或者能为本项目提供最优服务的网点情况表；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6 评标标准相应的商务技术资料；</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9.2.7 商务偏离表；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9.2.8 技术偏离表；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9.2.9 同类业绩情况一览表；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9.2.10</w:t>
      </w:r>
      <w:r>
        <w:rPr>
          <w:rFonts w:hint="eastAsia" w:ascii="宋体" w:hAnsi="宋体" w:eastAsia="宋体" w:cs="宋体"/>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9.2.11其他资料（如有）。</w:t>
      </w:r>
    </w:p>
    <w:p>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rPr>
        <w:t>9</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 xml:space="preserve">3 </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9.3.1 开标一览表；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9.3.2 投标报价明细表；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9.3.3 中小企业声明函（如有）；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9.3.4 残疾人福利性单位声明函（如有）；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9.3.5 监狱企业的证明文件（如有）；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9.3.6 政府采购统计基础信息表；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9.3.7其他资料（如有）。</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投标文件的编制</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0</w:t>
      </w:r>
      <w:r>
        <w:rPr>
          <w:rFonts w:hint="eastAsia" w:ascii="宋体" w:hAnsi="宋体" w:eastAsia="宋体" w:cs="宋体"/>
          <w:kern w:val="0"/>
          <w:sz w:val="24"/>
          <w:highlight w:val="none"/>
          <w:lang w:val="zh-CN"/>
        </w:rPr>
        <w:t>.1投标文件分为资格文件、商务技术文件、报价文件三部分。各供应商在编制投标文件时请按照招标文件第六部分规定的格式进行。</w:t>
      </w:r>
      <w:r>
        <w:rPr>
          <w:rFonts w:hint="eastAsia" w:ascii="宋体" w:hAnsi="宋体" w:eastAsia="宋体" w:cs="宋体"/>
          <w:kern w:val="0"/>
          <w:sz w:val="24"/>
          <w:highlight w:val="none"/>
        </w:rPr>
        <w:t>未有规定格式的资料，</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应自行编制，但至少须包含9.投标文件组成中的内容。</w:t>
      </w:r>
      <w:r>
        <w:rPr>
          <w:rFonts w:hint="eastAsia" w:ascii="宋体" w:hAnsi="宋体" w:eastAsia="宋体" w:cs="宋体"/>
          <w:kern w:val="0"/>
          <w:sz w:val="24"/>
          <w:highlight w:val="none"/>
          <w:lang w:val="zh-CN"/>
        </w:rPr>
        <w:t>混乱的编排导致投标文件被误读或评标委员会查找不到有效文件是供应商的风险。</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0</w:t>
      </w:r>
      <w:r>
        <w:rPr>
          <w:rFonts w:hint="eastAsia" w:ascii="宋体" w:hAnsi="宋体" w:eastAsia="宋体" w:cs="宋体"/>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rPr>
        <w:t>0</w:t>
      </w:r>
      <w:r>
        <w:rPr>
          <w:rFonts w:hint="eastAsia" w:ascii="宋体" w:hAnsi="宋体" w:eastAsia="宋体" w:cs="宋体"/>
          <w:kern w:val="0"/>
          <w:sz w:val="24"/>
          <w:highlight w:val="none"/>
          <w:lang w:val="zh-CN"/>
        </w:rPr>
        <w:t>.3使用“政采云电子交易客户端”需要提前申领CA数字证书，申领流程请自行前往“浙江政府采购网-下载专区-电子交易客户端-CA驱动和申领流程”进行查阅。</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投标文件的签署、盖章</w:t>
      </w:r>
    </w:p>
    <w:p>
      <w:pPr>
        <w:pStyle w:val="36"/>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11.1投标文件按照招标文件第六部分格式要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▲供应商的投标文件未按照招标文件要求签署、盖章的，其投标无效</w:t>
      </w:r>
      <w:r>
        <w:rPr>
          <w:rFonts w:hint="eastAsia" w:ascii="宋体" w:hAnsi="宋体" w:eastAsia="宋体" w:cs="宋体"/>
          <w:szCs w:val="24"/>
          <w:highlight w:val="none"/>
        </w:rPr>
        <w:t>。</w:t>
      </w:r>
    </w:p>
    <w:p>
      <w:pPr>
        <w:pStyle w:val="36"/>
        <w:snapToGrid w:val="0"/>
        <w:spacing w:before="0"/>
        <w:ind w:firstLine="480"/>
        <w:rPr>
          <w:rFonts w:hint="eastAsia" w:ascii="宋体" w:hAnsi="宋体" w:eastAsia="宋体" w:cs="宋体"/>
          <w:highlight w:val="none"/>
        </w:rPr>
      </w:pPr>
      <w:r>
        <w:rPr>
          <w:rFonts w:hint="eastAsia" w:ascii="宋体" w:hAnsi="宋体" w:eastAsia="宋体" w:cs="宋体"/>
          <w:highlight w:val="none"/>
        </w:rPr>
        <w:t>11.2为确保网上操作合法、有效和安全，</w:t>
      </w:r>
      <w:r>
        <w:rPr>
          <w:rFonts w:hint="eastAsia" w:ascii="宋体" w:hAnsi="宋体" w:eastAsia="宋体" w:cs="宋体"/>
          <w:kern w:val="0"/>
          <w:highlight w:val="none"/>
          <w:lang w:val="zh-CN"/>
        </w:rPr>
        <w:t>供应商</w:t>
      </w:r>
      <w:r>
        <w:rPr>
          <w:rFonts w:hint="eastAsia" w:ascii="宋体" w:hAnsi="宋体" w:eastAsia="宋体" w:cs="宋体"/>
          <w:highlight w:val="none"/>
        </w:rPr>
        <w:t>应当在投标截止时间前完成在“政府采购云平台”的身份认证，确保在电子投标过程中能够对相关数据电文进行加密和使用电子签名。</w:t>
      </w:r>
    </w:p>
    <w:p>
      <w:pPr>
        <w:pStyle w:val="36"/>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11.3招标文件对投标文件签署、盖章的要求适用于电子签名。</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投标文件的提交、补充、修改、撤回</w:t>
      </w:r>
    </w:p>
    <w:p>
      <w:pPr>
        <w:pStyle w:val="36"/>
        <w:ind w:firstLine="480"/>
        <w:rPr>
          <w:rFonts w:hint="eastAsia" w:ascii="宋体" w:hAnsi="宋体" w:eastAsia="宋体" w:cs="宋体"/>
          <w:szCs w:val="24"/>
          <w:highlight w:val="none"/>
        </w:rPr>
      </w:pPr>
      <w:r>
        <w:rPr>
          <w:rFonts w:hint="eastAsia" w:ascii="宋体" w:hAnsi="宋体" w:eastAsia="宋体" w:cs="宋体"/>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6"/>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pPr>
        <w:pStyle w:val="36"/>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12.3采购人、采购代理机构可以视情况延长投标文件提交的截止时间。在上述情况下，采购代理机构与</w:t>
      </w:r>
      <w:r>
        <w:rPr>
          <w:rFonts w:hint="eastAsia" w:ascii="宋体" w:hAnsi="宋体" w:eastAsia="宋体" w:cs="宋体"/>
          <w:kern w:val="0"/>
          <w:highlight w:val="none"/>
          <w:lang w:val="zh-CN"/>
        </w:rPr>
        <w:t>供应商</w:t>
      </w:r>
      <w:r>
        <w:rPr>
          <w:rFonts w:hint="eastAsia" w:ascii="宋体" w:hAnsi="宋体" w:eastAsia="宋体" w:cs="宋体"/>
          <w:szCs w:val="24"/>
          <w:highlight w:val="none"/>
        </w:rPr>
        <w:t>以前在投标截止期方面的全部权利、责任和义务，将适用于延长至新的投标截止期。</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投标有效期</w:t>
      </w:r>
    </w:p>
    <w:p>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投标有效期为从提交投标文件的截止之日起90天。▲</w:t>
      </w:r>
      <w:r>
        <w:rPr>
          <w:rFonts w:hint="eastAsia" w:ascii="宋体" w:hAnsi="宋体" w:eastAsia="宋体" w:cs="宋体"/>
          <w:b/>
          <w:sz w:val="24"/>
          <w:szCs w:val="20"/>
          <w:highlight w:val="none"/>
        </w:rPr>
        <w:t>供应商的投标文件中承</w:t>
      </w:r>
      <w:r>
        <w:rPr>
          <w:rFonts w:hint="eastAsia" w:ascii="宋体" w:hAnsi="宋体" w:eastAsia="宋体" w:cs="宋体"/>
          <w:b/>
          <w:sz w:val="24"/>
          <w:szCs w:val="21"/>
          <w:highlight w:val="none"/>
        </w:rPr>
        <w:t>诺的投标有效期少于招标文件中载明的投标有效期的，投标无效。</w:t>
      </w:r>
    </w:p>
    <w:p>
      <w:pPr>
        <w:pStyle w:val="36"/>
        <w:spacing w:before="0"/>
        <w:ind w:firstLine="643"/>
        <w:rPr>
          <w:rFonts w:hint="eastAsia" w:ascii="宋体" w:hAnsi="宋体" w:eastAsia="宋体" w:cs="宋体"/>
          <w:b/>
          <w:sz w:val="32"/>
          <w:highlight w:val="none"/>
        </w:rPr>
      </w:pPr>
    </w:p>
    <w:p>
      <w:pPr>
        <w:pStyle w:val="36"/>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 xml:space="preserve">开标 </w:t>
      </w:r>
    </w:p>
    <w:p>
      <w:pPr>
        <w:pStyle w:val="31"/>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14.1采购代理机构按照招标文件规定的时间通过电子交易平台组织开标，所有</w:t>
      </w:r>
      <w:r>
        <w:rPr>
          <w:rFonts w:hint="eastAsia" w:ascii="宋体" w:hAnsi="宋体" w:eastAsia="宋体" w:cs="宋体"/>
          <w:sz w:val="24"/>
          <w:highlight w:val="none"/>
          <w:lang w:val="zh-CN"/>
        </w:rPr>
        <w:t>供应商</w:t>
      </w:r>
      <w:r>
        <w:rPr>
          <w:rFonts w:hint="eastAsia" w:ascii="宋体" w:hAnsi="宋体" w:eastAsia="宋体" w:cs="宋体"/>
          <w:sz w:val="24"/>
          <w:highlight w:val="none"/>
        </w:rPr>
        <w:t>均应当准时在线参加。</w:t>
      </w:r>
      <w:r>
        <w:rPr>
          <w:rFonts w:hint="eastAsia" w:ascii="宋体" w:hAnsi="宋体" w:eastAsia="宋体" w:cs="宋体"/>
          <w:sz w:val="24"/>
          <w:highlight w:val="none"/>
          <w:lang w:val="zh-CN"/>
        </w:rPr>
        <w:t>供应商</w:t>
      </w:r>
      <w:r>
        <w:rPr>
          <w:rFonts w:hint="eastAsia" w:ascii="宋体" w:hAnsi="宋体" w:eastAsia="宋体" w:cs="宋体"/>
          <w:sz w:val="24"/>
          <w:highlight w:val="none"/>
        </w:rPr>
        <w:t>不足3家的，不得开标。</w:t>
      </w:r>
    </w:p>
    <w:p>
      <w:pPr>
        <w:pStyle w:val="31"/>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14.2开标时，电子交易平台按开标时间自动提取所有投标文件。采购代理机构依托电子交易平台发起开始解密指令，</w:t>
      </w:r>
      <w:r>
        <w:rPr>
          <w:rFonts w:hint="eastAsia" w:ascii="宋体" w:hAnsi="宋体" w:eastAsia="宋体" w:cs="宋体"/>
          <w:sz w:val="24"/>
          <w:highlight w:val="none"/>
          <w:lang w:val="zh-CN"/>
        </w:rPr>
        <w:t>供应商</w:t>
      </w:r>
      <w:r>
        <w:rPr>
          <w:rFonts w:hint="eastAsia" w:ascii="宋体" w:hAnsi="宋体" w:eastAsia="宋体" w:cs="宋体"/>
          <w:sz w:val="24"/>
          <w:highlight w:val="none"/>
        </w:rPr>
        <w:t>按照平台提示和招标文件的规定在半小时内完成在线解密。</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资格审查</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15.1开标后，采购人或采购代理机构依据法律法规和招标文件的规定，对供应商的资格条件进行审查。</w:t>
      </w:r>
    </w:p>
    <w:p>
      <w:pPr>
        <w:pStyle w:val="36"/>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15.</w:t>
      </w:r>
      <w:r>
        <w:rPr>
          <w:rFonts w:hint="eastAsia" w:ascii="宋体" w:hAnsi="宋体" w:eastAsia="宋体" w:cs="宋体"/>
          <w:highlight w:val="none"/>
        </w:rPr>
        <w:t>2对未通过资格审查的供应商，采购人或采购代理机构告知其未通过的原因。</w:t>
      </w:r>
    </w:p>
    <w:p>
      <w:pPr>
        <w:pStyle w:val="36"/>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15.</w:t>
      </w:r>
      <w:r>
        <w:rPr>
          <w:rFonts w:hint="eastAsia" w:ascii="宋体" w:hAnsi="宋体" w:eastAsia="宋体" w:cs="宋体"/>
          <w:highlight w:val="none"/>
        </w:rPr>
        <w:t>3合格供应商不足3家的，不再评标。</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信用信息查询</w:t>
      </w:r>
    </w:p>
    <w:p>
      <w:pPr>
        <w:pStyle w:val="36"/>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16.1信用信息查询渠道及截止时间：采购代理机构将通过“信用中国”网站(www.creditchina.gov.cn)、中国政府采购网(www.ccgp.gov.cn)渠道查询供应商投标截止时间当天的信用记录。</w:t>
      </w:r>
    </w:p>
    <w:p>
      <w:pPr>
        <w:pStyle w:val="36"/>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16.2信用信息的使用规则：经查询列入失信被执行人名单、重大税收违法案件当事人名单、政府采购严重违法失信行为记录名单的</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将被拒绝参与政府采购活动。</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pPr>
        <w:snapToGrid w:val="0"/>
        <w:spacing w:line="360" w:lineRule="auto"/>
        <w:jc w:val="center"/>
        <w:outlineLvl w:val="0"/>
        <w:rPr>
          <w:rFonts w:hint="eastAsia" w:ascii="宋体" w:hAnsi="宋体" w:eastAsia="宋体" w:cs="宋体"/>
          <w:b/>
          <w:sz w:val="36"/>
          <w:szCs w:val="36"/>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bookmarkStart w:id="13" w:name="_Toc91899903"/>
      <w:r>
        <w:rPr>
          <w:rFonts w:hint="eastAsia" w:ascii="宋体" w:hAnsi="宋体" w:eastAsia="宋体" w:cs="宋体"/>
          <w:b/>
          <w:sz w:val="24"/>
          <w:highlight w:val="none"/>
        </w:rPr>
        <w:t>评标委员会</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17.1 本次招标依法组建评标委员会。评标委员会由采购人代表和评审专家组成，评审专家从专家库随机抽取。</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17.3 评审专家有下列情形之一的，受到邀请应主动提出回避，采购当事人也可以要求该评审专家回避：</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17.3.1 参加采购活动前三年内，与供应商存在劳动关系，或者担任过供应商的董事、监事，或者是供应商的控股股东或实际控制人；</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17.3.2 与供应商的法定代表人或者负责人有夫妻、直系血亲、三代以内旁系血亲或者近姻亲关系；</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17.3.3 任职单位与参加该采购项目供应商存在行政隶属关系；</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17.3.4 曾经参加过该采购项目的进口产品或招标文件、采购需求、采购方式的论证和咨询服务工作；</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17.3.5 是参加该采购项目供应商的上级主管部门、控股或参股单位的工作人员，或与该供应商存在其他经济利益关系；</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17.3.6 评标委员会成员之间具有配偶、近亲属关系等；</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17.3.7 法律、法规、规章规定应当回避以及其他可能影响政府采购活动公平、公正进行的关系。</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17.4 评标委员会判断投标文件的有效性、合格性和响应情况，仅依据投标人所递交一切文件的真实表述，不受与本项目无直接关联的外部信息、传言而影响自身的专业判断。</w:t>
      </w:r>
    </w:p>
    <w:p>
      <w:pPr>
        <w:pStyle w:val="36"/>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评标</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评标委员会将根据招标文件和有关规定，履行评标工作职责，并按照评标方法及评分标准，全面衡量各</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对招标文件的响应情况。对实质上响应招标文件的</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，按照评审因素的量化指标推荐综合得分排名第一的为中标候选人。</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为排名第一的中标候选人。</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详见招标文件第四部分评标办法。</w:t>
      </w:r>
    </w:p>
    <w:p>
      <w:pPr>
        <w:spacing w:line="360" w:lineRule="auto"/>
        <w:rPr>
          <w:rFonts w:hint="eastAsia" w:ascii="宋体" w:hAnsi="宋体" w:eastAsia="宋体" w:cs="宋体"/>
          <w:b/>
          <w:sz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确定中标供应商</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本项目由评标委员会推荐一个中标候选人，采购人不得在评标委员会推荐的中标候选人以外确定中标候选人。</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中标通知与中标结果公告</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20.3公告期限为1个工作日。</w:t>
      </w:r>
    </w:p>
    <w:p>
      <w:pPr>
        <w:snapToGrid w:val="0"/>
        <w:spacing w:line="360" w:lineRule="auto"/>
        <w:ind w:left="120" w:leftChars="57" w:firstLine="482" w:firstLineChars="150"/>
        <w:jc w:val="center"/>
        <w:rPr>
          <w:rFonts w:hint="eastAsia" w:ascii="宋体" w:hAnsi="宋体" w:eastAsia="宋体" w:cs="宋体"/>
          <w:b/>
          <w:sz w:val="32"/>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合同授予</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合同主要条款详见第五部分拟签订的合同文本。</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合同的签订</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lang w:val="zh-CN"/>
        </w:rPr>
        <w:t>2</w:t>
      </w:r>
      <w:r>
        <w:rPr>
          <w:rFonts w:hint="eastAsia" w:ascii="宋体" w:hAnsi="宋体" w:eastAsia="宋体" w:cs="宋体"/>
          <w:kern w:val="0"/>
          <w:szCs w:val="24"/>
          <w:highlight w:val="none"/>
        </w:rPr>
        <w:t>2</w:t>
      </w:r>
      <w:r>
        <w:rPr>
          <w:rFonts w:hint="eastAsia" w:ascii="宋体" w:hAnsi="宋体" w:eastAsia="宋体" w:cs="宋体"/>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22.3如签订合同并生效后，供应商无故拒绝或延期，除按照合同条款处理外，列入不良行为记录名单，并给予通报。</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22.4中标供应商拒绝与采购人签订合同的，列入不良行为记录名单，采购人、采购代理机构重新开展政府采购活动。</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22.5采购合同由采购人与中标供应商根据招标文件、投标文件等内容通过政府采购电子交易平台在线签订，自动备案。</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履约保证金</w:t>
      </w:r>
    </w:p>
    <w:p>
      <w:pPr>
        <w:tabs>
          <w:tab w:val="left" w:pos="0"/>
        </w:tabs>
        <w:spacing w:line="360" w:lineRule="auto"/>
        <w:ind w:firstLine="482"/>
        <w:rPr>
          <w:rFonts w:hint="eastAsia" w:ascii="宋体" w:hAnsi="宋体" w:eastAsia="宋体" w:cs="宋体"/>
          <w:b/>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。履约保证金的数额不得超过政府采购合同金额的2.5%。鼓励和支持供应商以银行、保险公司出具的保函形式提供履约保证金。</w:t>
      </w:r>
      <w:r>
        <w:rPr>
          <w:rFonts w:hint="eastAsia" w:ascii="宋体" w:hAnsi="宋体" w:eastAsia="宋体" w:cs="宋体"/>
          <w:b/>
          <w:sz w:val="24"/>
          <w:highlight w:val="none"/>
        </w:rPr>
        <w:t>采购人不得拒收履约保函。</w:t>
      </w:r>
    </w:p>
    <w:p>
      <w:pPr>
        <w:pStyle w:val="7"/>
        <w:rPr>
          <w:rFonts w:hint="eastAsia" w:ascii="宋体" w:hAnsi="宋体" w:eastAsia="宋体" w:cs="宋体"/>
          <w:highlight w:val="none"/>
        </w:rPr>
      </w:pPr>
    </w:p>
    <w:p>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电子交易活动的中止</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采购过程中出现以下情形，导致电子交易平台无法正常运行，或者无法保证电子交易的公平、公正和安全时，采购代理机构可中止电子交易活动：</w:t>
      </w:r>
    </w:p>
    <w:p>
      <w:pPr>
        <w:pStyle w:val="36"/>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24.1电子交易平台发生故障而无法登录访问的； </w:t>
      </w:r>
    </w:p>
    <w:p>
      <w:pPr>
        <w:pStyle w:val="36"/>
        <w:snapToGrid w:val="0"/>
        <w:spacing w:before="0"/>
        <w:ind w:firstLine="480"/>
        <w:rPr>
          <w:rFonts w:hint="eastAsia" w:ascii="宋体" w:hAnsi="宋体" w:eastAsia="宋体" w:cs="宋体"/>
          <w:highlight w:val="none"/>
        </w:rPr>
      </w:pPr>
      <w:r>
        <w:rPr>
          <w:rFonts w:hint="eastAsia" w:ascii="宋体" w:hAnsi="宋体" w:eastAsia="宋体" w:cs="宋体"/>
          <w:highlight w:val="none"/>
        </w:rPr>
        <w:t>24.2电子交易平台应用或数据库出现错误，不能进行正常操作的；</w:t>
      </w:r>
    </w:p>
    <w:p>
      <w:pPr>
        <w:pStyle w:val="36"/>
        <w:snapToGrid w:val="0"/>
        <w:spacing w:before="0"/>
        <w:ind w:firstLine="480"/>
        <w:rPr>
          <w:rFonts w:hint="eastAsia" w:ascii="宋体" w:hAnsi="宋体" w:eastAsia="宋体" w:cs="宋体"/>
          <w:highlight w:val="none"/>
        </w:rPr>
      </w:pPr>
      <w:r>
        <w:rPr>
          <w:rFonts w:hint="eastAsia" w:ascii="宋体" w:hAnsi="宋体" w:eastAsia="宋体" w:cs="宋体"/>
          <w:highlight w:val="none"/>
        </w:rPr>
        <w:t>24.3电子交易平台发现严重安全漏洞，有潜在泄密危险的；</w:t>
      </w:r>
    </w:p>
    <w:p>
      <w:pPr>
        <w:pStyle w:val="36"/>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24.4病毒发作导致不能进行正常操作的； </w:t>
      </w:r>
    </w:p>
    <w:p>
      <w:pPr>
        <w:pStyle w:val="36"/>
        <w:snapToGrid w:val="0"/>
        <w:spacing w:before="0"/>
        <w:ind w:firstLine="480"/>
        <w:rPr>
          <w:rFonts w:hint="eastAsia" w:ascii="宋体" w:hAnsi="宋体" w:eastAsia="宋体" w:cs="宋体"/>
          <w:highlight w:val="none"/>
        </w:rPr>
      </w:pPr>
      <w:r>
        <w:rPr>
          <w:rFonts w:hint="eastAsia" w:ascii="宋体" w:hAnsi="宋体" w:eastAsia="宋体" w:cs="宋体"/>
          <w:highlight w:val="none"/>
        </w:rPr>
        <w:t>24.5其他无法保证电子交易的公平、公正和安全的情况。</w:t>
      </w:r>
    </w:p>
    <w:p>
      <w:pPr>
        <w:tabs>
          <w:tab w:val="left" w:pos="0"/>
        </w:tabs>
        <w:spacing w:line="360" w:lineRule="auto"/>
        <w:ind w:firstLine="480"/>
        <w:rPr>
          <w:rFonts w:hint="eastAsia" w:ascii="宋体" w:hAnsi="宋体" w:eastAsia="宋体" w:cs="宋体"/>
          <w:sz w:val="24"/>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pPr>
        <w:numPr>
          <w:ilvl w:val="0"/>
          <w:numId w:val="1"/>
        </w:numPr>
        <w:adjustRightInd w:val="0"/>
        <w:snapToGrid w:val="0"/>
        <w:spacing w:before="120" w:beforeLines="50" w:line="360" w:lineRule="auto"/>
        <w:ind w:firstLine="482" w:firstLineChars="200"/>
        <w:jc w:val="left"/>
        <w:outlineLvl w:val="1"/>
        <w:rPr>
          <w:rFonts w:hint="eastAsia" w:ascii="宋体" w:hAnsi="宋体" w:eastAsia="宋体" w:cs="宋体"/>
          <w:b/>
          <w:sz w:val="24"/>
          <w:highlight w:val="none"/>
        </w:rPr>
      </w:pPr>
      <w:r>
        <w:rPr>
          <w:rFonts w:hint="eastAsia" w:ascii="宋体" w:hAnsi="宋体" w:eastAsia="宋体" w:cs="宋体"/>
          <w:b/>
          <w:sz w:val="24"/>
          <w:highlight w:val="none"/>
        </w:rPr>
        <w:t>验收</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宋体" w:hAnsi="宋体" w:eastAsia="宋体" w:cs="宋体"/>
          <w:kern w:val="0"/>
          <w:sz w:val="24"/>
          <w:highlight w:val="none"/>
          <w:lang w:eastAsia="zh-CN"/>
        </w:rPr>
        <w:t>监管部门</w:t>
      </w:r>
      <w:r>
        <w:rPr>
          <w:rFonts w:hint="eastAsia" w:ascii="宋体" w:hAnsi="宋体" w:eastAsia="宋体" w:cs="宋体"/>
          <w:kern w:val="0"/>
          <w:sz w:val="24"/>
          <w:highlight w:val="none"/>
        </w:rPr>
        <w:t>。</w:t>
      </w:r>
      <w:bookmarkEnd w:id="11"/>
      <w:bookmarkEnd w:id="12"/>
      <w:bookmarkEnd w:id="13"/>
      <w:bookmarkStart w:id="14" w:name="_Hlt74730295"/>
      <w:bookmarkEnd w:id="14"/>
      <w:bookmarkStart w:id="15" w:name="_Hlt74714665"/>
      <w:bookmarkEnd w:id="15"/>
      <w:bookmarkStart w:id="16" w:name="_Hlt74707468"/>
      <w:bookmarkEnd w:id="16"/>
      <w:bookmarkStart w:id="17" w:name="_Hlt68072990"/>
      <w:bookmarkEnd w:id="17"/>
      <w:bookmarkStart w:id="18" w:name="_Hlt75236101"/>
      <w:bookmarkEnd w:id="18"/>
      <w:bookmarkStart w:id="19" w:name="_Hlt68057669"/>
      <w:bookmarkEnd w:id="19"/>
      <w:bookmarkStart w:id="20" w:name="_Hlt68073093"/>
      <w:bookmarkEnd w:id="20"/>
      <w:bookmarkStart w:id="21" w:name="_Hlt74729768"/>
      <w:bookmarkEnd w:id="21"/>
      <w:bookmarkStart w:id="22" w:name="_Hlt75236011"/>
      <w:bookmarkEnd w:id="22"/>
      <w:bookmarkStart w:id="23" w:name="_Hlt68403820"/>
      <w:bookmarkEnd w:id="23"/>
      <w:bookmarkStart w:id="24" w:name="_Hlt68072998"/>
      <w:bookmarkEnd w:id="24"/>
      <w:bookmarkStart w:id="25" w:name="_Hlt75236290"/>
      <w:bookmarkEnd w:id="25"/>
      <w:bookmarkStart w:id="26" w:name="第四部分"/>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pPr>
        <w:tabs>
          <w:tab w:val="left" w:pos="0"/>
        </w:tabs>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第三部分   采购需求</w:t>
      </w:r>
    </w:p>
    <w:p>
      <w:pPr>
        <w:snapToGrid w:val="0"/>
        <w:spacing w:line="360" w:lineRule="auto"/>
        <w:ind w:left="120" w:leftChars="57" w:firstLine="482" w:firstLineChars="150"/>
        <w:jc w:val="center"/>
        <w:rPr>
          <w:rFonts w:hint="eastAsia" w:ascii="宋体" w:hAnsi="宋体" w:eastAsia="宋体" w:cs="宋体"/>
          <w:b/>
          <w:sz w:val="32"/>
          <w:highlight w:val="none"/>
        </w:rPr>
      </w:pPr>
      <w:bookmarkStart w:id="27" w:name="_Toc500353170"/>
      <w:r>
        <w:rPr>
          <w:rFonts w:hint="eastAsia" w:ascii="宋体" w:hAnsi="宋体" w:eastAsia="宋体" w:cs="宋体"/>
          <w:b/>
          <w:sz w:val="32"/>
          <w:highlight w:val="none"/>
        </w:rPr>
        <w:t>一、项目情况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50" w:line="360" w:lineRule="auto"/>
        <w:ind w:firstLine="420" w:firstLineChars="200"/>
        <w:jc w:val="left"/>
        <w:textAlignment w:val="auto"/>
        <w:outlineLvl w:val="1"/>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本项目为奉化区</w:t>
      </w:r>
      <w:r>
        <w:rPr>
          <w:rFonts w:hint="eastAsia" w:ascii="宋体" w:hAnsi="宋体" w:eastAsia="宋体" w:cs="宋体"/>
          <w:b w:val="0"/>
          <w:bCs/>
          <w:sz w:val="21"/>
          <w:szCs w:val="21"/>
          <w:highlight w:val="none"/>
          <w:lang w:val="en-US" w:eastAsia="zh-CN"/>
        </w:rPr>
        <w:t>东门路（锦屏南路-南山路）道路</w:t>
      </w:r>
      <w:r>
        <w:rPr>
          <w:rFonts w:hint="eastAsia" w:ascii="宋体" w:hAnsi="宋体" w:cs="宋体"/>
          <w:b w:val="0"/>
          <w:bCs/>
          <w:sz w:val="21"/>
          <w:szCs w:val="21"/>
          <w:highlight w:val="none"/>
          <w:lang w:val="en-US" w:eastAsia="zh-CN"/>
        </w:rPr>
        <w:t>路灯工程，道路建设长度约310.6米，宽度约34米，总用地面积为12548平方米，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50" w:line="360" w:lineRule="auto"/>
        <w:ind w:firstLine="420" w:firstLineChars="200"/>
        <w:jc w:val="left"/>
        <w:textAlignment w:val="auto"/>
        <w:outlineLvl w:val="1"/>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建设地点：东起南山路，西至锦屏南路</w:t>
      </w:r>
      <w:r>
        <w:rPr>
          <w:rFonts w:hint="eastAsia" w:ascii="宋体" w:hAnsi="宋体" w:eastAsia="宋体" w:cs="宋体"/>
          <w:b w:val="0"/>
          <w:bCs/>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beforeLines="50" w:line="360" w:lineRule="auto"/>
        <w:ind w:firstLine="420" w:firstLineChars="200"/>
        <w:jc w:val="left"/>
        <w:textAlignment w:val="auto"/>
        <w:outlineLvl w:val="1"/>
        <w:rPr>
          <w:rFonts w:hint="eastAsia" w:ascii="宋体" w:hAnsi="宋体" w:eastAsia="宋体" w:cs="宋体"/>
          <w:b/>
          <w:sz w:val="24"/>
          <w:highlight w:val="none"/>
        </w:rPr>
      </w:pPr>
      <w:r>
        <w:rPr>
          <w:rFonts w:hint="eastAsia" w:ascii="宋体" w:hAnsi="宋体" w:eastAsia="宋体" w:cs="宋体"/>
          <w:b w:val="0"/>
          <w:bCs/>
          <w:sz w:val="21"/>
          <w:szCs w:val="21"/>
          <w:highlight w:val="none"/>
          <w:lang w:val="en-US" w:eastAsia="zh-CN"/>
        </w:rPr>
        <w:t>本项目主要采购内容内容为道路12</w:t>
      </w:r>
      <w:r>
        <w:rPr>
          <w:rFonts w:hint="eastAsia" w:ascii="宋体" w:hAnsi="宋体" w:cs="宋体"/>
          <w:b w:val="0"/>
          <w:bCs/>
          <w:sz w:val="21"/>
          <w:szCs w:val="21"/>
          <w:highlight w:val="none"/>
          <w:lang w:val="en-US" w:eastAsia="zh-CN"/>
        </w:rPr>
        <w:t>米路</w:t>
      </w:r>
      <w:r>
        <w:rPr>
          <w:rFonts w:hint="eastAsia" w:ascii="宋体" w:hAnsi="宋体" w:eastAsia="宋体" w:cs="宋体"/>
          <w:b w:val="0"/>
          <w:bCs/>
          <w:sz w:val="21"/>
          <w:szCs w:val="21"/>
          <w:highlight w:val="none"/>
          <w:lang w:val="en-US" w:eastAsia="zh-CN"/>
        </w:rPr>
        <w:t>灯采购及安装，采购产品详细技术参数详见下表</w:t>
      </w:r>
    </w:p>
    <w:p>
      <w:pPr>
        <w:numPr>
          <w:ilvl w:val="0"/>
          <w:numId w:val="0"/>
        </w:numPr>
        <w:adjustRightInd w:val="0"/>
        <w:snapToGrid w:val="0"/>
        <w:spacing w:before="120" w:beforeLines="50" w:line="360" w:lineRule="auto"/>
        <w:ind w:leftChars="200"/>
        <w:jc w:val="center"/>
        <w:outlineLvl w:val="1"/>
        <w:rPr>
          <w:rFonts w:hint="eastAsia" w:ascii="宋体" w:hAnsi="宋体" w:eastAsia="宋体" w:cs="宋体"/>
          <w:b/>
          <w:sz w:val="24"/>
          <w:highlight w:val="none"/>
        </w:rPr>
      </w:pPr>
      <w:r>
        <w:rPr>
          <w:rFonts w:hint="eastAsia" w:ascii="宋体" w:hAnsi="宋体" w:eastAsia="宋体" w:cs="宋体"/>
          <w:b/>
          <w:sz w:val="32"/>
          <w:highlight w:val="none"/>
        </w:rPr>
        <w:t>二、技术要求</w:t>
      </w:r>
    </w:p>
    <w:p>
      <w:pPr>
        <w:numPr>
          <w:ilvl w:val="0"/>
          <w:numId w:val="0"/>
        </w:numPr>
        <w:adjustRightInd w:val="0"/>
        <w:snapToGrid w:val="0"/>
        <w:spacing w:before="120" w:beforeLines="50" w:line="360" w:lineRule="auto"/>
        <w:jc w:val="left"/>
        <w:outlineLvl w:val="1"/>
        <w:rPr>
          <w:rFonts w:hint="eastAsia" w:ascii="宋体" w:hAnsi="宋体" w:eastAsia="宋体" w:cs="宋体"/>
          <w:b/>
          <w:sz w:val="24"/>
          <w:highlight w:val="none"/>
        </w:rPr>
      </w:pP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一</w:t>
      </w:r>
      <w:r>
        <w:rPr>
          <w:rFonts w:hint="eastAsia" w:ascii="宋体" w:hAnsi="宋体" w:eastAsia="宋体" w:cs="宋体"/>
          <w:b/>
          <w:sz w:val="24"/>
          <w:highlight w:val="none"/>
          <w:lang w:eastAsia="zh-CN"/>
        </w:rPr>
        <w:t>）</w:t>
      </w:r>
      <w:r>
        <w:rPr>
          <w:rFonts w:hint="eastAsia" w:ascii="宋体" w:hAnsi="宋体" w:eastAsia="宋体" w:cs="宋体"/>
          <w:b/>
          <w:sz w:val="24"/>
          <w:highlight w:val="none"/>
        </w:rPr>
        <w:t>采购内容及技术要求</w:t>
      </w:r>
    </w:p>
    <w:tbl>
      <w:tblPr>
        <w:tblStyle w:val="16"/>
        <w:tblW w:w="9305"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65"/>
        <w:gridCol w:w="6675"/>
        <w:gridCol w:w="166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10" w:hRule="atLeast"/>
          <w:tblHeader/>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条款号</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招标规格</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000000"/>
                <w:kern w:val="1"/>
                <w:sz w:val="21"/>
                <w:szCs w:val="21"/>
                <w:highlight w:val="none"/>
              </w:rPr>
              <w:t>供应商响应情况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65" w:type="dxa"/>
            <w:tcBorders>
              <w:top w:val="single" w:color="auto" w:sz="4" w:space="0"/>
              <w:left w:val="single" w:color="auto" w:sz="4" w:space="0"/>
              <w:bottom w:val="single" w:color="auto" w:sz="2" w:space="0"/>
              <w:right w:val="single" w:color="auto" w:sz="2" w:space="0"/>
            </w:tcBorders>
            <w:noWrap w:val="0"/>
            <w:vAlign w:val="center"/>
          </w:tcPr>
          <w:p>
            <w:pPr>
              <w:spacing w:line="360" w:lineRule="auto"/>
              <w:jc w:val="center"/>
              <w:rPr>
                <w:rFonts w:hint="eastAsia" w:ascii="宋体" w:hAnsi="宋体" w:eastAsia="宋体" w:cs="宋体"/>
                <w:b/>
                <w:bCs/>
                <w:color w:val="000000"/>
                <w:kern w:val="1"/>
                <w:sz w:val="21"/>
                <w:szCs w:val="21"/>
                <w:highlight w:val="none"/>
                <w:lang w:val="en-US" w:eastAsia="zh-CN" w:bidi="ar-SA"/>
              </w:rPr>
            </w:pPr>
            <w:r>
              <w:rPr>
                <w:rFonts w:hint="eastAsia" w:ascii="宋体" w:hAnsi="宋体" w:eastAsia="宋体" w:cs="宋体"/>
                <w:b/>
                <w:bCs/>
                <w:color w:val="000000"/>
                <w:kern w:val="1"/>
                <w:sz w:val="21"/>
                <w:szCs w:val="21"/>
                <w:highlight w:val="none"/>
                <w:lang w:val="en-US" w:eastAsia="zh-CN" w:bidi="ar-SA"/>
              </w:rPr>
              <w:t>一</w:t>
            </w:r>
          </w:p>
        </w:tc>
        <w:tc>
          <w:tcPr>
            <w:tcW w:w="6675" w:type="dxa"/>
            <w:tcBorders>
              <w:top w:val="single" w:color="auto" w:sz="4" w:space="0"/>
              <w:left w:val="single" w:color="auto" w:sz="2" w:space="0"/>
              <w:bottom w:val="single" w:color="auto" w:sz="2" w:space="0"/>
              <w:right w:val="single" w:color="auto" w:sz="2" w:space="0"/>
            </w:tcBorders>
            <w:noWrap w:val="0"/>
            <w:vAlign w:val="center"/>
          </w:tcPr>
          <w:p>
            <w:pPr>
              <w:spacing w:line="360" w:lineRule="auto"/>
              <w:ind w:firstLine="211" w:firstLineChars="100"/>
              <w:jc w:val="both"/>
              <w:rPr>
                <w:rFonts w:hint="eastAsia" w:ascii="宋体" w:hAnsi="宋体" w:eastAsia="宋体" w:cs="宋体"/>
                <w:b/>
                <w:bCs/>
                <w:color w:val="000000"/>
                <w:kern w:val="1"/>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12米大型工艺路灯（22套）</w:t>
            </w:r>
          </w:p>
        </w:tc>
        <w:tc>
          <w:tcPr>
            <w:tcW w:w="1665" w:type="dxa"/>
            <w:tcBorders>
              <w:top w:val="single" w:color="auto" w:sz="4"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305" w:type="dxa"/>
            <w:gridSpan w:val="3"/>
            <w:tcBorders>
              <w:top w:val="single" w:color="auto" w:sz="4" w:space="0"/>
              <w:left w:val="single" w:color="auto" w:sz="4" w:space="0"/>
              <w:bottom w:val="single" w:color="auto" w:sz="2" w:space="0"/>
              <w:right w:val="single" w:color="auto" w:sz="4" w:space="0"/>
            </w:tcBorders>
            <w:noWrap w:val="0"/>
            <w:vAlign w:val="center"/>
          </w:tcPr>
          <w:p>
            <w:pPr>
              <w:ind w:firstLine="169" w:firstLineChars="100"/>
              <w:jc w:val="left"/>
              <w:rPr>
                <w:rFonts w:hint="eastAsia" w:ascii="宋体" w:hAnsi="宋体" w:eastAsia="宋体" w:cs="宋体"/>
                <w:w w:val="80"/>
                <w:sz w:val="21"/>
                <w:szCs w:val="21"/>
                <w:highlight w:val="none"/>
                <w:lang w:eastAsia="zh-CN"/>
              </w:rPr>
            </w:pPr>
            <w:r>
              <w:rPr>
                <w:rFonts w:hint="eastAsia" w:ascii="宋体" w:hAnsi="宋体" w:eastAsia="宋体" w:cs="宋体"/>
                <w:b/>
                <w:bCs/>
                <w:w w:val="80"/>
                <w:sz w:val="21"/>
                <w:szCs w:val="21"/>
                <w:highlight w:val="none"/>
                <w:lang w:eastAsia="zh-CN"/>
              </w:rPr>
              <w:t>灯头要求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1.1</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灯头采用板材模具成型，整体喷塑处理，表面光滑、强度高、耐腐蚀。</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18"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1.2</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kern w:val="0"/>
                <w:sz w:val="21"/>
                <w:szCs w:val="21"/>
                <w:highlight w:val="none"/>
                <w:lang w:eastAsia="zh-CN"/>
              </w:rPr>
              <w:t>主</w:t>
            </w:r>
            <w:r>
              <w:rPr>
                <w:rFonts w:hint="eastAsia" w:ascii="宋体" w:hAnsi="宋体" w:eastAsia="宋体" w:cs="宋体"/>
                <w:kern w:val="0"/>
                <w:sz w:val="21"/>
                <w:szCs w:val="21"/>
                <w:highlight w:val="none"/>
              </w:rPr>
              <w:t>光源采用模组式型材铝合金一体成型，表面氧化处理，散热性能优越。</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1.3</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sz w:val="21"/>
                <w:szCs w:val="21"/>
                <w:highlight w:val="none"/>
              </w:rPr>
              <w:t>透镜采用光学级PC材料，一体成型，科学配光，耐老化。</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auto"/>
                <w:kern w:val="0"/>
                <w:sz w:val="21"/>
                <w:szCs w:val="21"/>
                <w:highlight w:val="none"/>
              </w:rPr>
              <w:t>1.4</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auto"/>
                <w:kern w:val="1"/>
                <w:sz w:val="21"/>
                <w:szCs w:val="21"/>
                <w:highlight w:val="none"/>
                <w:lang w:val="en-US" w:eastAsia="zh-CN" w:bidi="ar-SA"/>
              </w:rPr>
            </w:pPr>
            <w:r>
              <w:rPr>
                <w:rFonts w:hint="eastAsia" w:ascii="宋体" w:hAnsi="宋体" w:eastAsia="宋体" w:cs="宋体"/>
                <w:kern w:val="0"/>
                <w:sz w:val="21"/>
                <w:szCs w:val="21"/>
                <w:highlight w:val="none"/>
              </w:rPr>
              <w:t>模组防</w:t>
            </w:r>
            <w:r>
              <w:rPr>
                <w:rFonts w:hint="eastAsia" w:ascii="宋体" w:hAnsi="宋体" w:eastAsia="宋体" w:cs="宋体"/>
                <w:kern w:val="0"/>
                <w:sz w:val="21"/>
                <w:szCs w:val="21"/>
                <w:highlight w:val="none"/>
                <w:lang w:eastAsia="zh-CN"/>
              </w:rPr>
              <w:t>水</w:t>
            </w:r>
            <w:r>
              <w:rPr>
                <w:rFonts w:hint="eastAsia" w:ascii="宋体" w:hAnsi="宋体" w:eastAsia="宋体" w:cs="宋体"/>
                <w:kern w:val="0"/>
                <w:sz w:val="21"/>
                <w:szCs w:val="21"/>
                <w:highlight w:val="none"/>
              </w:rPr>
              <w:t>等级IP</w:t>
            </w:r>
            <w:r>
              <w:rPr>
                <w:rFonts w:hint="eastAsia" w:ascii="宋体" w:hAnsi="宋体" w:eastAsia="宋体" w:cs="宋体"/>
                <w:kern w:val="0"/>
                <w:sz w:val="21"/>
                <w:szCs w:val="21"/>
                <w:highlight w:val="none"/>
                <w:lang w:val="en-US" w:eastAsia="zh-CN"/>
              </w:rPr>
              <w:t>X8</w:t>
            </w:r>
            <w:r>
              <w:rPr>
                <w:rFonts w:hint="eastAsia" w:ascii="宋体" w:hAnsi="宋体" w:eastAsia="宋体" w:cs="宋体"/>
                <w:kern w:val="0"/>
                <w:sz w:val="21"/>
                <w:szCs w:val="21"/>
                <w:highlight w:val="none"/>
              </w:rPr>
              <w:t>。</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auto"/>
                <w:kern w:val="0"/>
                <w:sz w:val="21"/>
                <w:szCs w:val="21"/>
                <w:highlight w:val="none"/>
              </w:rPr>
              <w:t>1.5</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auto"/>
                <w:kern w:val="1"/>
                <w:sz w:val="21"/>
                <w:szCs w:val="21"/>
                <w:highlight w:val="none"/>
                <w:lang w:val="en-US" w:eastAsia="zh-CN" w:bidi="ar-SA"/>
              </w:rPr>
            </w:pPr>
            <w:r>
              <w:rPr>
                <w:rFonts w:hint="eastAsia" w:ascii="宋体" w:hAnsi="宋体" w:eastAsia="宋体" w:cs="宋体"/>
                <w:kern w:val="0"/>
                <w:sz w:val="21"/>
                <w:szCs w:val="21"/>
                <w:highlight w:val="none"/>
              </w:rPr>
              <w:t>模组通过1000小时盐雾测试。</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▲1.6</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kern w:val="0"/>
                <w:sz w:val="21"/>
                <w:szCs w:val="21"/>
                <w:highlight w:val="none"/>
              </w:rPr>
              <w:t>模组尺寸：详见图纸（允许偏差±5%以内）。</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1.7</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主光源功率250W（4模组）+3*50W（单模组）。</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4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1.8</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主光源色温4000K±200K，显色指数Ra≥80，光效≥150lm/W。</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9"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9</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kern w:val="0"/>
                <w:sz w:val="21"/>
                <w:szCs w:val="21"/>
                <w:highlight w:val="none"/>
              </w:rPr>
              <w:t>模组光通量维持率：6000小时光通维持率≥96%。</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9"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1.10</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其它性能符合《道路照明用LED性能要求》GB/T24907-2010。</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6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auto"/>
                <w:kern w:val="1"/>
                <w:sz w:val="21"/>
                <w:szCs w:val="21"/>
                <w:highlight w:val="none"/>
                <w:lang w:val="en-US" w:eastAsia="zh-CN" w:bidi="ar-SA"/>
              </w:rPr>
            </w:pPr>
            <w:r>
              <w:rPr>
                <w:rFonts w:hint="eastAsia" w:ascii="宋体" w:hAnsi="宋体" w:eastAsia="宋体" w:cs="宋体"/>
                <w:color w:val="auto"/>
                <w:kern w:val="0"/>
                <w:sz w:val="21"/>
                <w:szCs w:val="21"/>
                <w:highlight w:val="none"/>
              </w:rPr>
              <w:t>▲1.1</w:t>
            </w:r>
            <w:r>
              <w:rPr>
                <w:rFonts w:hint="eastAsia" w:ascii="宋体" w:hAnsi="宋体" w:eastAsia="宋体" w:cs="宋体"/>
                <w:color w:val="auto"/>
                <w:kern w:val="0"/>
                <w:sz w:val="21"/>
                <w:szCs w:val="21"/>
                <w:highlight w:val="none"/>
                <w:lang w:val="en-US" w:eastAsia="zh-CN"/>
              </w:rPr>
              <w:t>1</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auto"/>
                <w:kern w:val="1"/>
                <w:sz w:val="21"/>
                <w:szCs w:val="21"/>
                <w:highlight w:val="none"/>
                <w:lang w:val="en-US" w:eastAsia="zh-CN" w:bidi="ar-SA"/>
              </w:rPr>
            </w:pPr>
            <w:r>
              <w:rPr>
                <w:rFonts w:hint="eastAsia" w:ascii="宋体" w:hAnsi="宋体" w:eastAsia="宋体" w:cs="宋体"/>
                <w:color w:val="auto"/>
                <w:kern w:val="0"/>
                <w:sz w:val="21"/>
                <w:szCs w:val="21"/>
                <w:highlight w:val="none"/>
              </w:rPr>
              <w:t>灯具尺寸：详见图纸（允许偏差±5%以内）。</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1.1</w:t>
            </w:r>
            <w:r>
              <w:rPr>
                <w:rFonts w:hint="eastAsia" w:ascii="宋体" w:hAnsi="宋体" w:eastAsia="宋体" w:cs="宋体"/>
                <w:color w:val="auto"/>
                <w:kern w:val="0"/>
                <w:sz w:val="21"/>
                <w:szCs w:val="21"/>
                <w:highlight w:val="none"/>
                <w:lang w:val="en-US" w:eastAsia="zh-CN"/>
              </w:rPr>
              <w:t>2</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灯具颜色依据业主要求。</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1.13</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防浪涌保护10KV（外置防雷器）。</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1.1</w:t>
            </w:r>
            <w:r>
              <w:rPr>
                <w:rFonts w:hint="eastAsia" w:ascii="宋体" w:hAnsi="宋体" w:eastAsia="宋体" w:cs="宋体"/>
                <w:color w:val="auto"/>
                <w:kern w:val="0"/>
                <w:sz w:val="21"/>
                <w:szCs w:val="21"/>
                <w:highlight w:val="none"/>
                <w:lang w:val="en-US" w:eastAsia="zh-CN"/>
              </w:rPr>
              <w:t>4</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灯具绝缘等级为 Class I。</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1.15</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装饰光源</w:t>
            </w:r>
            <w:r>
              <w:rPr>
                <w:rFonts w:hint="eastAsia" w:ascii="宋体" w:hAnsi="宋体" w:eastAsia="宋体" w:cs="宋体"/>
                <w:color w:val="auto"/>
                <w:kern w:val="0"/>
                <w:sz w:val="21"/>
                <w:szCs w:val="21"/>
                <w:highlight w:val="none"/>
                <w:lang w:val="en-US" w:eastAsia="zh-CN"/>
              </w:rPr>
              <w:t>4*30W（定制小模组）+4*30W（定制小模组）+1*16W。</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000000"/>
                <w:sz w:val="21"/>
                <w:szCs w:val="21"/>
                <w:highlight w:val="none"/>
              </w:rPr>
              <w:t>★</w:t>
            </w:r>
            <w:r>
              <w:rPr>
                <w:rFonts w:hint="eastAsia" w:ascii="宋体" w:hAnsi="宋体" w:eastAsia="宋体" w:cs="宋体"/>
                <w:color w:val="auto"/>
                <w:kern w:val="0"/>
                <w:sz w:val="21"/>
                <w:szCs w:val="21"/>
                <w:highlight w:val="none"/>
                <w:lang w:val="en-US" w:eastAsia="zh-CN"/>
              </w:rPr>
              <w:t>1.16</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主光源顶部4个灯罩，装饰光源底部4个灯罩采用大型模具一次成型，弧线平顺、造型美观，具有透光均匀、耐候性优越等特点。（提供实物照片图）</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88" w:hRule="atLeast"/>
        </w:trPr>
        <w:tc>
          <w:tcPr>
            <w:tcW w:w="9305" w:type="dxa"/>
            <w:gridSpan w:val="3"/>
            <w:tcBorders>
              <w:top w:val="single" w:color="auto" w:sz="4" w:space="0"/>
              <w:left w:val="single" w:color="auto" w:sz="4" w:space="0"/>
              <w:bottom w:val="single" w:color="auto" w:sz="2" w:space="0"/>
              <w:right w:val="single" w:color="auto" w:sz="4" w:space="0"/>
            </w:tcBorders>
            <w:noWrap w:val="0"/>
            <w:vAlign w:val="center"/>
          </w:tcPr>
          <w:p>
            <w:pPr>
              <w:ind w:firstLine="211" w:firstLineChars="100"/>
              <w:jc w:val="left"/>
              <w:rPr>
                <w:rFonts w:hint="eastAsia" w:ascii="宋体" w:hAnsi="宋体" w:eastAsia="宋体" w:cs="宋体"/>
                <w:w w:val="80"/>
                <w:sz w:val="21"/>
                <w:szCs w:val="21"/>
                <w:highlight w:val="none"/>
              </w:rPr>
            </w:pPr>
            <w:r>
              <w:rPr>
                <w:rFonts w:hint="eastAsia" w:ascii="宋体" w:hAnsi="宋体" w:eastAsia="宋体" w:cs="宋体"/>
                <w:b/>
                <w:bCs/>
                <w:color w:val="000000"/>
                <w:kern w:val="1"/>
                <w:sz w:val="21"/>
                <w:szCs w:val="21"/>
                <w:highlight w:val="none"/>
                <w:lang w:val="en-US" w:eastAsia="zh-CN" w:bidi="ar-SA"/>
              </w:rPr>
              <w:t>LED电源要求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2"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1.17</w:t>
            </w:r>
          </w:p>
        </w:tc>
        <w:tc>
          <w:tcPr>
            <w:tcW w:w="6675" w:type="dxa"/>
            <w:tcBorders>
              <w:top w:val="single" w:color="auto" w:sz="2" w:space="0"/>
              <w:left w:val="single" w:color="auto" w:sz="2" w:space="0"/>
              <w:bottom w:val="single" w:color="auto" w:sz="4" w:space="0"/>
              <w:right w:val="single" w:color="auto" w:sz="2" w:space="0"/>
            </w:tcBorders>
            <w:noWrap w:val="0"/>
            <w:vAlign w:val="center"/>
          </w:tcPr>
          <w:p>
            <w:pPr>
              <w:spacing w:line="360" w:lineRule="auto"/>
              <w:ind w:firstLine="210" w:firstLineChars="100"/>
              <w:jc w:val="left"/>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输入电压:AC90-305V。</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2"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1.18</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spacing w:line="360" w:lineRule="auto"/>
              <w:ind w:firstLine="210" w:firstLineChars="100"/>
              <w:jc w:val="left"/>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效率≥90%。</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2" w:space="0"/>
              <w:left w:val="single" w:color="auto" w:sz="4" w:space="0"/>
              <w:bottom w:val="single" w:color="auto" w:sz="2"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1.19</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spacing w:line="360" w:lineRule="auto"/>
              <w:ind w:firstLine="210" w:firstLineChars="100"/>
              <w:jc w:val="left"/>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功率因素≥0.95。</w:t>
            </w:r>
          </w:p>
        </w:tc>
        <w:tc>
          <w:tcPr>
            <w:tcW w:w="1665" w:type="dxa"/>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65" w:type="dxa"/>
            <w:tcBorders>
              <w:top w:val="single" w:color="auto" w:sz="4" w:space="0"/>
              <w:left w:val="single" w:color="auto" w:sz="4" w:space="0"/>
              <w:bottom w:val="single" w:color="auto" w:sz="2"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1.20</w:t>
            </w:r>
          </w:p>
        </w:tc>
        <w:tc>
          <w:tcPr>
            <w:tcW w:w="6675" w:type="dxa"/>
            <w:tcBorders>
              <w:top w:val="single" w:color="auto" w:sz="4" w:space="0"/>
              <w:left w:val="single" w:color="auto" w:sz="2" w:space="0"/>
              <w:bottom w:val="single" w:color="auto" w:sz="2" w:space="0"/>
              <w:right w:val="single" w:color="auto" w:sz="2" w:space="0"/>
            </w:tcBorders>
            <w:noWrap w:val="0"/>
            <w:vAlign w:val="center"/>
          </w:tcPr>
          <w:p>
            <w:pPr>
              <w:spacing w:line="360" w:lineRule="auto"/>
              <w:ind w:firstLine="210" w:firstLineChars="100"/>
              <w:jc w:val="left"/>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防护等级≥</w:t>
            </w:r>
            <w:r>
              <w:rPr>
                <w:rFonts w:hint="eastAsia" w:ascii="宋体" w:hAnsi="宋体" w:eastAsia="宋体" w:cs="宋体"/>
                <w:b w:val="0"/>
                <w:bCs w:val="0"/>
                <w:color w:val="auto"/>
                <w:kern w:val="1"/>
                <w:sz w:val="21"/>
                <w:szCs w:val="21"/>
                <w:highlight w:val="none"/>
                <w:lang w:val="en-US" w:eastAsia="zh-CN" w:bidi="ar-SA"/>
              </w:rPr>
              <w:t>IP67</w:t>
            </w:r>
            <w:r>
              <w:rPr>
                <w:rFonts w:hint="eastAsia" w:ascii="宋体" w:hAnsi="宋体" w:eastAsia="宋体" w:cs="宋体"/>
                <w:b w:val="0"/>
                <w:bCs w:val="0"/>
                <w:color w:val="000000"/>
                <w:kern w:val="1"/>
                <w:sz w:val="21"/>
                <w:szCs w:val="21"/>
                <w:highlight w:val="none"/>
                <w:lang w:val="en-US" w:eastAsia="zh-CN" w:bidi="ar-SA"/>
              </w:rPr>
              <w:t>。</w:t>
            </w:r>
          </w:p>
        </w:tc>
        <w:tc>
          <w:tcPr>
            <w:tcW w:w="1665" w:type="dxa"/>
            <w:tcBorders>
              <w:top w:val="single" w:color="auto" w:sz="4"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2"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1.21</w:t>
            </w:r>
          </w:p>
        </w:tc>
        <w:tc>
          <w:tcPr>
            <w:tcW w:w="6675" w:type="dxa"/>
            <w:tcBorders>
              <w:top w:val="single" w:color="auto" w:sz="4" w:space="0"/>
              <w:left w:val="single" w:color="auto" w:sz="2" w:space="0"/>
              <w:bottom w:val="single" w:color="auto" w:sz="2" w:space="0"/>
              <w:right w:val="single" w:color="auto" w:sz="2" w:space="0"/>
            </w:tcBorders>
            <w:noWrap w:val="0"/>
            <w:vAlign w:val="center"/>
          </w:tcPr>
          <w:p>
            <w:pPr>
              <w:spacing w:line="360" w:lineRule="auto"/>
              <w:ind w:firstLine="210" w:firstLineChars="100"/>
              <w:jc w:val="left"/>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输出方式:恒流输出。</w:t>
            </w:r>
          </w:p>
        </w:tc>
        <w:tc>
          <w:tcPr>
            <w:tcW w:w="1665" w:type="dxa"/>
            <w:tcBorders>
              <w:top w:val="single" w:color="auto" w:sz="4" w:space="0"/>
              <w:left w:val="single" w:color="auto" w:sz="2" w:space="0"/>
              <w:bottom w:val="single" w:color="auto" w:sz="2" w:space="0"/>
              <w:right w:val="single" w:color="auto" w:sz="4" w:space="0"/>
            </w:tcBorders>
            <w:noWrap w:val="0"/>
            <w:vAlign w:val="center"/>
          </w:tcPr>
          <w:p>
            <w:pPr>
              <w:jc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1.22</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spacing w:line="360" w:lineRule="auto"/>
              <w:ind w:firstLine="210" w:firstLineChars="100"/>
              <w:jc w:val="left"/>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工作环境温度:-20℃～65℃。</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1.23</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spacing w:line="360" w:lineRule="auto"/>
              <w:ind w:firstLine="210" w:firstLineChars="100"/>
              <w:jc w:val="left"/>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具有调光功能，支持0-10V/PWM。</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30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2054"/>
              </w:tabs>
              <w:ind w:firstLine="169" w:firstLineChars="100"/>
              <w:jc w:val="left"/>
              <w:rPr>
                <w:rFonts w:hint="eastAsia" w:ascii="宋体" w:hAnsi="宋体" w:eastAsia="宋体" w:cs="宋体"/>
                <w:w w:val="80"/>
                <w:sz w:val="21"/>
                <w:szCs w:val="21"/>
                <w:highlight w:val="none"/>
                <w:lang w:eastAsia="zh-CN"/>
              </w:rPr>
            </w:pPr>
            <w:r>
              <w:rPr>
                <w:rFonts w:hint="eastAsia" w:ascii="宋体" w:hAnsi="宋体" w:eastAsia="宋体" w:cs="宋体"/>
                <w:b/>
                <w:bCs/>
                <w:w w:val="80"/>
                <w:sz w:val="21"/>
                <w:szCs w:val="21"/>
                <w:highlight w:val="none"/>
                <w:lang w:eastAsia="zh-CN"/>
              </w:rPr>
              <w:t>灯杆要求</w:t>
            </w:r>
            <w:r>
              <w:rPr>
                <w:rFonts w:hint="eastAsia" w:ascii="宋体" w:hAnsi="宋体" w:eastAsia="宋体" w:cs="宋体"/>
                <w:w w:val="80"/>
                <w:sz w:val="21"/>
                <w:szCs w:val="21"/>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1.24</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left="210" w:leftChars="100" w:firstLine="0" w:firstLineChars="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矩形钢管组合灯杆，主杆4-50mm*100mm*3.75mm，无横向焊缝，焊缝平整无漏焊及焊接缺陷。</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1.25</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left="210" w:leftChars="100" w:firstLine="0" w:firstLineChars="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灯杆整体造型美观，表面光洁。</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1.26</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灯杆基础法兰盘采用Q235优质钢板φ600mm*25m（厚度），法兰与杆体之间焊接可靠、牢固，无焊接缺陷，通过螺栓安装在基础上。</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1.27</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电气检修门与杆体下节护板浑然一体，门边缝隙小于2mm，具备良好的防水性能。灯杆电气检修门内有接地及安装断路装置。</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1.28</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灯杆及加工部件整体热镀锌，表面光洁无明显色差，镀锌厚度符合国家标准。</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1.29</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灯杆表面静电喷塑处理，喷塑厚度符合国家标准。表面防紫外线，防腐抗酸碱，喷塑后表面色泽一致，无脱落现象。</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1.30</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防风等级≥</w:t>
            </w: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级，防震等级6级。</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val="0"/>
                <w:bCs w:val="0"/>
                <w:color w:val="000000"/>
                <w:kern w:val="1"/>
                <w:sz w:val="21"/>
                <w:szCs w:val="21"/>
                <w:highlight w:val="none"/>
                <w:lang w:val="en-US" w:eastAsia="zh-CN" w:bidi="ar-SA"/>
              </w:rPr>
              <w:t>1.31</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rPr>
              <w:t>使用寿命≥</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0年。</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二</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firstLine="211" w:firstLineChars="100"/>
              <w:jc w:val="left"/>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b/>
                <w:bCs/>
                <w:color w:val="auto"/>
                <w:kern w:val="0"/>
                <w:sz w:val="21"/>
                <w:szCs w:val="21"/>
                <w:highlight w:val="none"/>
              </w:rPr>
              <w:t>其它要求</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驱动器（参考品牌）：英飞特、明纬、飞利浦。</w:t>
            </w:r>
          </w:p>
          <w:p>
            <w:pPr>
              <w:widowControl/>
              <w:ind w:firstLine="210" w:firstLineChars="10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封装LED芯片（参考品牌）：欧司朗、科锐、飞利浦。</w:t>
            </w:r>
          </w:p>
          <w:p>
            <w:pPr>
              <w:widowControl/>
              <w:ind w:firstLine="210" w:firstLineChars="100"/>
              <w:jc w:val="left"/>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电缆品牌</w:t>
            </w:r>
            <w:r>
              <w:rPr>
                <w:rFonts w:hint="eastAsia" w:ascii="宋体" w:hAnsi="宋体" w:eastAsia="宋体" w:cs="宋体"/>
                <w:sz w:val="21"/>
                <w:szCs w:val="21"/>
                <w:highlight w:val="none"/>
              </w:rPr>
              <w:t>（参考品牌）</w:t>
            </w:r>
            <w:r>
              <w:rPr>
                <w:rFonts w:hint="eastAsia" w:ascii="宋体" w:hAnsi="宋体" w:eastAsia="宋体" w:cs="宋体"/>
                <w:sz w:val="21"/>
                <w:szCs w:val="21"/>
                <w:highlight w:val="none"/>
                <w:lang w:val="en-US" w:eastAsia="zh-CN"/>
              </w:rPr>
              <w:t>：宁波东方、宁波神雕、杭州中策</w:t>
            </w:r>
            <w:r>
              <w:rPr>
                <w:rFonts w:hint="eastAsia" w:ascii="宋体" w:hAnsi="宋体" w:cs="宋体"/>
                <w:sz w:val="21"/>
                <w:szCs w:val="21"/>
                <w:highlight w:val="none"/>
                <w:lang w:val="en-US" w:eastAsia="zh-CN"/>
              </w:rPr>
              <w:t>。</w:t>
            </w:r>
          </w:p>
          <w:p>
            <w:pPr>
              <w:widowControl/>
              <w:ind w:firstLine="210" w:firstLineChars="10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灯具品牌</w:t>
            </w:r>
            <w:r>
              <w:rPr>
                <w:rFonts w:hint="eastAsia" w:ascii="宋体" w:hAnsi="宋体" w:eastAsia="宋体" w:cs="宋体"/>
                <w:sz w:val="21"/>
                <w:szCs w:val="21"/>
                <w:highlight w:val="none"/>
              </w:rPr>
              <w:t>（参考品牌）</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济南</w:t>
            </w:r>
            <w:r>
              <w:rPr>
                <w:rFonts w:hint="eastAsia" w:ascii="宋体" w:hAnsi="宋体" w:cs="宋体"/>
                <w:color w:val="auto"/>
                <w:sz w:val="21"/>
                <w:szCs w:val="21"/>
                <w:highlight w:val="none"/>
                <w:lang w:val="en-US" w:eastAsia="zh-CN"/>
              </w:rPr>
              <w:t>华阳</w:t>
            </w:r>
            <w:r>
              <w:rPr>
                <w:rFonts w:hint="eastAsia" w:ascii="宋体" w:hAnsi="宋体" w:eastAsia="宋体" w:cs="宋体"/>
                <w:color w:val="auto"/>
                <w:sz w:val="21"/>
                <w:szCs w:val="21"/>
                <w:highlight w:val="none"/>
                <w:lang w:val="en-US" w:eastAsia="zh-CN"/>
              </w:rPr>
              <w:t>、浙江金缘、四川华体</w:t>
            </w:r>
            <w:r>
              <w:rPr>
                <w:rFonts w:hint="eastAsia" w:ascii="宋体" w:hAnsi="宋体" w:cs="宋体"/>
                <w:color w:val="auto"/>
                <w:sz w:val="21"/>
                <w:szCs w:val="21"/>
                <w:highlight w:val="none"/>
                <w:lang w:val="en-US" w:eastAsia="zh-CN"/>
              </w:rPr>
              <w:t>。</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left="210" w:leftChars="10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人员要求：</w:t>
            </w:r>
          </w:p>
          <w:p>
            <w:pPr>
              <w:widowControl/>
              <w:ind w:left="210" w:leftChars="10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本项目投入的人员要求：须为本单位在职人员，且需满足近三个月（不含开标日当月）投标人为其专职人员缴纳的社保证明、有专职人员相关证书，所有证明资料须编入</w:t>
            </w:r>
            <w:r>
              <w:rPr>
                <w:rFonts w:hint="eastAsia" w:ascii="宋体" w:hAnsi="宋体" w:cs="宋体"/>
                <w:sz w:val="21"/>
                <w:szCs w:val="21"/>
                <w:highlight w:val="none"/>
                <w:lang w:val="en-US" w:eastAsia="zh-CN"/>
              </w:rPr>
              <w:t>商务</w:t>
            </w:r>
            <w:r>
              <w:rPr>
                <w:rFonts w:hint="eastAsia" w:ascii="宋体" w:hAnsi="宋体" w:eastAsia="宋体" w:cs="宋体"/>
                <w:sz w:val="21"/>
                <w:szCs w:val="21"/>
                <w:highlight w:val="none"/>
              </w:rPr>
              <w:t>技术文件内。具体拟派人员要求如下：</w:t>
            </w:r>
          </w:p>
          <w:p>
            <w:pPr>
              <w:widowControl/>
              <w:ind w:left="210" w:leftChars="10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（1）项目负责人：具有二级及以上机电或市政工程建造师同时具有B类证书，1名。</w:t>
            </w:r>
          </w:p>
          <w:p>
            <w:pPr>
              <w:widowControl/>
              <w:ind w:left="210" w:leftChars="10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（2）安全员：具有C类证书的专职安全员（必须持有建筑业三类人员C证），人数不少于1名。</w:t>
            </w:r>
          </w:p>
          <w:p>
            <w:pPr>
              <w:widowControl/>
              <w:ind w:left="210" w:leftChars="10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（3）专业技术人员：拟派人员具有安监部门颁发的特种作业电工操作证（类别：电工作业、准操项目：低压电工作业），人数不少于2名。</w:t>
            </w:r>
          </w:p>
          <w:p>
            <w:pPr>
              <w:widowControl/>
              <w:ind w:left="210" w:leftChars="10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注：以上人员提供证书等相关证明材料，未提供或证明材料不全的作负偏离处理。</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22" w:hRule="atLeast"/>
        </w:trPr>
        <w:tc>
          <w:tcPr>
            <w:tcW w:w="965" w:type="dxa"/>
            <w:tcBorders>
              <w:top w:val="single" w:color="auto" w:sz="4" w:space="0"/>
              <w:left w:val="single" w:color="auto" w:sz="4"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val="0"/>
                <w:bCs w:val="0"/>
                <w:color w:val="000000"/>
                <w:kern w:val="1"/>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3</w:t>
            </w:r>
          </w:p>
        </w:tc>
        <w:tc>
          <w:tcPr>
            <w:tcW w:w="6675" w:type="dxa"/>
            <w:tcBorders>
              <w:top w:val="single" w:color="auto" w:sz="4" w:space="0"/>
              <w:left w:val="single" w:color="auto" w:sz="2" w:space="0"/>
              <w:bottom w:val="single" w:color="auto" w:sz="4" w:space="0"/>
              <w:right w:val="single" w:color="auto" w:sz="2" w:space="0"/>
            </w:tcBorders>
            <w:noWrap w:val="0"/>
            <w:vAlign w:val="center"/>
          </w:tcPr>
          <w:p>
            <w:pPr>
              <w:widowControl/>
              <w:ind w:firstLine="210" w:firstLineChars="100"/>
              <w:jc w:val="left"/>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标后中标单位须提供</w:t>
            </w:r>
            <w:r>
              <w:rPr>
                <w:rFonts w:hint="eastAsia" w:ascii="宋体" w:hAnsi="宋体" w:eastAsia="宋体" w:cs="宋体"/>
                <w:b w:val="0"/>
                <w:bCs w:val="0"/>
                <w:i w:val="0"/>
                <w:iCs w:val="0"/>
                <w:color w:val="000000"/>
                <w:kern w:val="0"/>
                <w:sz w:val="21"/>
                <w:szCs w:val="21"/>
                <w:highlight w:val="none"/>
                <w:u w:val="none"/>
                <w:lang w:val="en-US" w:eastAsia="zh-CN" w:bidi="ar"/>
              </w:rPr>
              <w:t>12米工艺路灯</w:t>
            </w:r>
            <w:r>
              <w:rPr>
                <w:rFonts w:hint="eastAsia" w:ascii="宋体" w:hAnsi="宋体" w:eastAsia="宋体" w:cs="宋体"/>
                <w:sz w:val="21"/>
                <w:szCs w:val="21"/>
                <w:highlight w:val="none"/>
                <w:lang w:val="en-US" w:eastAsia="zh-CN"/>
              </w:rPr>
              <w:t>灯头</w:t>
            </w:r>
            <w:r>
              <w:rPr>
                <w:rFonts w:hint="eastAsia" w:ascii="宋体" w:hAnsi="宋体" w:eastAsia="宋体" w:cs="宋体"/>
                <w:sz w:val="21"/>
                <w:szCs w:val="21"/>
                <w:highlight w:val="none"/>
              </w:rPr>
              <w:t>1套</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采购人对该样品进行封样</w:t>
            </w:r>
          </w:p>
        </w:tc>
        <w:tc>
          <w:tcPr>
            <w:tcW w:w="1665" w:type="dxa"/>
            <w:tcBorders>
              <w:top w:val="single" w:color="auto" w:sz="4" w:space="0"/>
              <w:left w:val="single" w:color="auto" w:sz="2"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w w:val="8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7" w:hRule="atLeast"/>
        </w:trPr>
        <w:tc>
          <w:tcPr>
            <w:tcW w:w="9305"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p>
          <w:p>
            <w:pPr>
              <w:pStyle w:val="2"/>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eastAsia="zh-CN"/>
              </w:rPr>
              <w:t>1、本招标文</w:t>
            </w:r>
            <w:r>
              <w:rPr>
                <w:rFonts w:hint="eastAsia" w:ascii="宋体" w:hAnsi="宋体" w:eastAsia="宋体" w:cs="宋体"/>
                <w:sz w:val="21"/>
                <w:szCs w:val="21"/>
                <w:highlight w:val="none"/>
                <w:lang w:eastAsia="zh-CN"/>
              </w:rPr>
              <w:t>件提供的“主要设备材料工程量清单”是本次项目的主要设备及材料清单，所提供的数量为参考数量。投标人的报价不止包含“主要设备材料工程量清单”表中所列设备及材料清单，还须包括完成图纸范围内所需要附件、配件、管线、辅助材料等，直至具备设计图纸所要求的完整功能；</w:t>
            </w:r>
          </w:p>
          <w:p>
            <w:pPr>
              <w:pStyle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2、本次项目“主要设备材料工程量清单”与图纸如有冲突，以图纸为准。图纸未有体现的，以清单为准，如有涉及设计签单则另行计算；</w:t>
            </w:r>
          </w:p>
          <w:p>
            <w:pPr>
              <w:pStyle w:val="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3、参考品牌仅供投标参考，不具限制性，投标产品非参考品牌的，必须在产品质量和性能上与参考品牌同档次或优于参考品牌，欢迎其他能满足本项目技术需求且性能与参考品牌相当的产品参与投标。</w:t>
            </w:r>
          </w:p>
          <w:p>
            <w:pPr>
              <w:rPr>
                <w:rFonts w:hint="eastAsia" w:ascii="宋体" w:hAnsi="宋体" w:eastAsia="宋体" w:cs="宋体"/>
                <w:w w:val="80"/>
                <w:sz w:val="21"/>
                <w:szCs w:val="21"/>
                <w:highlight w:val="none"/>
              </w:rPr>
            </w:pPr>
            <w:r>
              <w:rPr>
                <w:rFonts w:hint="eastAsia" w:ascii="宋体" w:hAnsi="宋体" w:eastAsia="宋体" w:cs="宋体"/>
                <w:sz w:val="21"/>
                <w:szCs w:val="21"/>
                <w:highlight w:val="none"/>
                <w:lang w:eastAsia="zh-CN"/>
              </w:rPr>
              <w:t>4、标★的技术参数为重要参数，投标文件中需提供国家认可的第三方检测单位（CMA或CNAS）出具的检测报告复印件，未提供检测报告或检测报告参数不满足的视作负偏离。</w:t>
            </w:r>
          </w:p>
        </w:tc>
      </w:tr>
    </w:tbl>
    <w:p>
      <w:pPr>
        <w:pStyle w:val="2"/>
        <w:ind w:left="0" w:leftChars="0" w:firstLine="0" w:firstLineChars="0"/>
        <w:rPr>
          <w:rFonts w:hint="eastAsia" w:ascii="宋体" w:hAnsi="宋体" w:eastAsia="宋体" w:cs="宋体"/>
          <w:b/>
          <w:sz w:val="32"/>
          <w:highlight w:val="none"/>
        </w:rPr>
      </w:pPr>
    </w:p>
    <w:p>
      <w:pPr>
        <w:pStyle w:val="2"/>
        <w:ind w:left="0" w:leftChars="0" w:firstLine="0" w:firstLineChars="0"/>
        <w:rPr>
          <w:rFonts w:hint="eastAsia" w:ascii="宋体" w:hAnsi="宋体" w:eastAsia="宋体" w:cs="宋体"/>
          <w:b/>
          <w:sz w:val="32"/>
          <w:highlight w:val="none"/>
        </w:rPr>
      </w:pPr>
    </w:p>
    <w:p>
      <w:pPr>
        <w:snapToGrid w:val="0"/>
        <w:spacing w:line="360" w:lineRule="auto"/>
        <w:jc w:val="both"/>
        <w:rPr>
          <w:rFonts w:hint="eastAsia" w:ascii="宋体" w:hAnsi="宋体" w:eastAsia="宋体" w:cs="宋体"/>
          <w:b/>
          <w:sz w:val="32"/>
          <w:highlight w:val="none"/>
        </w:rPr>
      </w:pPr>
      <w:r>
        <w:rPr>
          <w:rFonts w:hint="eastAsia" w:ascii="宋体" w:hAnsi="宋体" w:eastAsia="宋体" w:cs="宋体"/>
          <w:b/>
          <w:sz w:val="24"/>
          <w:highlight w:val="none"/>
          <w:lang w:val="en-US" w:eastAsia="zh-CN"/>
        </w:rPr>
        <w:t>（二）、</w:t>
      </w:r>
      <w:r>
        <w:rPr>
          <w:rFonts w:hint="eastAsia" w:ascii="宋体" w:hAnsi="宋体" w:eastAsia="宋体" w:cs="宋体"/>
          <w:b/>
          <w:sz w:val="24"/>
          <w:highlight w:val="none"/>
        </w:rPr>
        <w:t>灯具尺寸及样式图</w:t>
      </w:r>
    </w:p>
    <w:p>
      <w:pPr>
        <w:pStyle w:val="2"/>
        <w:numPr>
          <w:ilvl w:val="0"/>
          <w:numId w:val="0"/>
        </w:numPr>
        <w:rPr>
          <w:rFonts w:hint="eastAsia" w:ascii="宋体" w:hAnsi="宋体" w:eastAsia="宋体" w:cs="宋体"/>
          <w:b/>
          <w:bCs/>
          <w:sz w:val="21"/>
          <w:szCs w:val="21"/>
          <w:highlight w:val="none"/>
          <w:lang w:eastAsia="zh-CN"/>
        </w:rPr>
      </w:pPr>
    </w:p>
    <w:p>
      <w:pPr>
        <w:jc w:val="center"/>
        <w:rPr>
          <w:rFonts w:hint="eastAsia" w:ascii="宋体" w:hAnsi="宋体" w:cs="宋体"/>
          <w:b/>
          <w:bCs/>
          <w:i w:val="0"/>
          <w:iCs w:val="0"/>
          <w:color w:val="000000"/>
          <w:kern w:val="0"/>
          <w:sz w:val="21"/>
          <w:szCs w:val="21"/>
          <w:highlight w:val="none"/>
          <w:u w:val="none"/>
          <w:lang w:val="en-US" w:eastAsia="zh-CN" w:bidi="ar"/>
        </w:rPr>
      </w:pPr>
    </w:p>
    <w:p>
      <w:pPr>
        <w:jc w:val="center"/>
        <w:rPr>
          <w:rFonts w:hint="eastAsia" w:ascii="宋体" w:hAnsi="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12米大型工艺路灯灯头尺寸图</w:t>
      </w:r>
    </w:p>
    <w:p>
      <w:pPr>
        <w:pStyle w:val="2"/>
        <w:rPr>
          <w:rFonts w:hint="eastAsia" w:ascii="宋体" w:hAnsi="宋体" w:cs="宋体"/>
          <w:b/>
          <w:bCs/>
          <w:i w:val="0"/>
          <w:iCs w:val="0"/>
          <w:color w:val="000000"/>
          <w:kern w:val="0"/>
          <w:sz w:val="21"/>
          <w:szCs w:val="21"/>
          <w:highlight w:val="none"/>
          <w:u w:val="none"/>
          <w:lang w:val="en-US" w:eastAsia="zh-CN" w:bidi="ar"/>
        </w:rPr>
      </w:pPr>
      <w:r>
        <w:rPr>
          <w:highlight w:val="none"/>
        </w:rPr>
        <w:drawing>
          <wp:inline distT="0" distB="0" distL="114300" distR="114300">
            <wp:extent cx="2530475" cy="2230120"/>
            <wp:effectExtent l="0" t="0" r="3175" b="177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2530475" cy="2230120"/>
                    </a:xfrm>
                    <a:prstGeom prst="rect">
                      <a:avLst/>
                    </a:prstGeom>
                    <a:noFill/>
                    <a:ln>
                      <a:noFill/>
                    </a:ln>
                  </pic:spPr>
                </pic:pic>
              </a:graphicData>
            </a:graphic>
          </wp:inline>
        </w:drawing>
      </w:r>
      <w:r>
        <w:rPr>
          <w:highlight w:val="none"/>
        </w:rPr>
        <w:drawing>
          <wp:inline distT="0" distB="0" distL="114300" distR="114300">
            <wp:extent cx="2171065" cy="2160905"/>
            <wp:effectExtent l="0" t="0" r="635" b="1079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2171065" cy="2160905"/>
                    </a:xfrm>
                    <a:prstGeom prst="rect">
                      <a:avLst/>
                    </a:prstGeom>
                    <a:noFill/>
                    <a:ln>
                      <a:noFill/>
                    </a:ln>
                  </pic:spPr>
                </pic:pic>
              </a:graphicData>
            </a:graphic>
          </wp:inline>
        </w:drawing>
      </w:r>
    </w:p>
    <w:p>
      <w:pPr>
        <w:pStyle w:val="2"/>
        <w:rPr>
          <w:rFonts w:hint="eastAsia" w:ascii="宋体" w:hAnsi="宋体" w:cs="宋体"/>
          <w:b/>
          <w:bCs/>
          <w:i w:val="0"/>
          <w:iCs w:val="0"/>
          <w:color w:val="000000"/>
          <w:kern w:val="0"/>
          <w:sz w:val="21"/>
          <w:szCs w:val="21"/>
          <w:highlight w:val="none"/>
          <w:u w:val="none"/>
          <w:lang w:val="en-US" w:eastAsia="zh-CN" w:bidi="ar"/>
        </w:rPr>
      </w:pPr>
    </w:p>
    <w:p>
      <w:pPr>
        <w:pStyle w:val="2"/>
        <w:rPr>
          <w:rFonts w:hint="eastAsia" w:ascii="宋体" w:hAnsi="宋体" w:cs="宋体"/>
          <w:b/>
          <w:bCs/>
          <w:i w:val="0"/>
          <w:iCs w:val="0"/>
          <w:color w:val="000000"/>
          <w:kern w:val="0"/>
          <w:sz w:val="21"/>
          <w:szCs w:val="21"/>
          <w:highlight w:val="none"/>
          <w:u w:val="none"/>
          <w:lang w:val="en-US" w:eastAsia="zh-CN" w:bidi="ar"/>
        </w:rPr>
      </w:pPr>
    </w:p>
    <w:p>
      <w:pPr>
        <w:pStyle w:val="2"/>
        <w:ind w:firstLine="2530" w:firstLineChars="900"/>
        <w:rPr>
          <w:rFonts w:ascii="宋体" w:hAnsi="宋体" w:cs="宋体"/>
          <w:b/>
          <w:bCs/>
          <w:szCs w:val="21"/>
          <w:highlight w:val="none"/>
        </w:rPr>
      </w:pPr>
      <w:r>
        <w:rPr>
          <w:rFonts w:hint="eastAsia" w:ascii="宋体" w:hAnsi="宋体" w:cs="宋体"/>
          <w:b/>
          <w:bCs/>
          <w:szCs w:val="21"/>
          <w:highlight w:val="none"/>
        </w:rPr>
        <w:t>注：（长宽高满足招标文件要求±5%以内）</w:t>
      </w:r>
    </w:p>
    <w:p>
      <w:pPr>
        <w:pStyle w:val="2"/>
        <w:rPr>
          <w:rFonts w:hint="default" w:ascii="宋体" w:hAnsi="宋体" w:cs="宋体"/>
          <w:b/>
          <w:bCs/>
          <w:i w:val="0"/>
          <w:iCs w:val="0"/>
          <w:color w:val="000000"/>
          <w:kern w:val="0"/>
          <w:sz w:val="21"/>
          <w:szCs w:val="21"/>
          <w:highlight w:val="none"/>
          <w:u w:val="none"/>
          <w:lang w:val="en-US" w:eastAsia="zh-CN" w:bidi="ar"/>
        </w:rPr>
      </w:pPr>
    </w:p>
    <w:p>
      <w:pPr>
        <w:pStyle w:val="2"/>
        <w:rPr>
          <w:rFonts w:hint="default" w:ascii="宋体" w:hAnsi="宋体" w:cs="宋体"/>
          <w:b/>
          <w:bCs/>
          <w:i w:val="0"/>
          <w:iCs w:val="0"/>
          <w:color w:val="000000"/>
          <w:kern w:val="0"/>
          <w:sz w:val="21"/>
          <w:szCs w:val="21"/>
          <w:highlight w:val="none"/>
          <w:u w:val="none"/>
          <w:lang w:val="en-US" w:eastAsia="zh-CN" w:bidi="ar"/>
        </w:rPr>
      </w:pPr>
    </w:p>
    <w:p>
      <w:pPr>
        <w:pStyle w:val="2"/>
        <w:rPr>
          <w:rFonts w:hint="default" w:ascii="宋体" w:hAnsi="宋体" w:cs="宋体"/>
          <w:b/>
          <w:bCs/>
          <w:i w:val="0"/>
          <w:iCs w:val="0"/>
          <w:color w:val="000000"/>
          <w:kern w:val="0"/>
          <w:sz w:val="21"/>
          <w:szCs w:val="21"/>
          <w:highlight w:val="none"/>
          <w:u w:val="none"/>
          <w:lang w:val="en-US" w:eastAsia="zh-CN" w:bidi="ar"/>
        </w:rPr>
      </w:pPr>
    </w:p>
    <w:p>
      <w:pPr>
        <w:pStyle w:val="2"/>
        <w:rPr>
          <w:rFonts w:hint="default" w:ascii="宋体" w:hAnsi="宋体" w:cs="宋体"/>
          <w:b/>
          <w:bCs/>
          <w:i w:val="0"/>
          <w:iCs w:val="0"/>
          <w:color w:val="000000"/>
          <w:kern w:val="0"/>
          <w:sz w:val="21"/>
          <w:szCs w:val="21"/>
          <w:highlight w:val="none"/>
          <w:u w:val="none"/>
          <w:lang w:val="en-US" w:eastAsia="zh-CN" w:bidi="ar"/>
        </w:rPr>
      </w:pPr>
    </w:p>
    <w:p>
      <w:pPr>
        <w:pStyle w:val="2"/>
        <w:rPr>
          <w:rFonts w:hint="default" w:ascii="宋体" w:hAnsi="宋体" w:cs="宋体"/>
          <w:b/>
          <w:bCs/>
          <w:i w:val="0"/>
          <w:iCs w:val="0"/>
          <w:color w:val="000000"/>
          <w:kern w:val="0"/>
          <w:sz w:val="21"/>
          <w:szCs w:val="21"/>
          <w:highlight w:val="none"/>
          <w:u w:val="none"/>
          <w:lang w:val="en-US" w:eastAsia="zh-CN" w:bidi="ar"/>
        </w:rPr>
      </w:pPr>
    </w:p>
    <w:p>
      <w:pPr>
        <w:pStyle w:val="2"/>
        <w:rPr>
          <w:rFonts w:hint="default" w:ascii="宋体" w:hAnsi="宋体" w:cs="宋体"/>
          <w:b/>
          <w:bCs/>
          <w:i w:val="0"/>
          <w:iCs w:val="0"/>
          <w:color w:val="000000"/>
          <w:kern w:val="0"/>
          <w:sz w:val="21"/>
          <w:szCs w:val="21"/>
          <w:highlight w:val="none"/>
          <w:u w:val="none"/>
          <w:lang w:val="en-US" w:eastAsia="zh-CN" w:bidi="ar"/>
        </w:rPr>
      </w:pPr>
    </w:p>
    <w:p>
      <w:pPr>
        <w:pStyle w:val="2"/>
        <w:rPr>
          <w:rFonts w:hint="default" w:ascii="宋体" w:hAnsi="宋体" w:cs="宋体"/>
          <w:b/>
          <w:bCs/>
          <w:i w:val="0"/>
          <w:iCs w:val="0"/>
          <w:color w:val="000000"/>
          <w:kern w:val="0"/>
          <w:sz w:val="21"/>
          <w:szCs w:val="21"/>
          <w:highlight w:val="none"/>
          <w:u w:val="none"/>
          <w:lang w:val="en-US" w:eastAsia="zh-CN" w:bidi="ar"/>
        </w:rPr>
      </w:pPr>
    </w:p>
    <w:p>
      <w:pPr>
        <w:pStyle w:val="2"/>
        <w:rPr>
          <w:rFonts w:hint="default" w:ascii="宋体" w:hAnsi="宋体" w:cs="宋体"/>
          <w:b/>
          <w:bCs/>
          <w:i w:val="0"/>
          <w:iCs w:val="0"/>
          <w:color w:val="000000"/>
          <w:kern w:val="0"/>
          <w:sz w:val="21"/>
          <w:szCs w:val="21"/>
          <w:highlight w:val="none"/>
          <w:u w:val="none"/>
          <w:lang w:val="en-US" w:eastAsia="zh-CN" w:bidi="ar"/>
        </w:rPr>
      </w:pPr>
    </w:p>
    <w:p>
      <w:pPr>
        <w:pStyle w:val="2"/>
        <w:ind w:left="0" w:leftChars="0" w:firstLine="0" w:firstLineChars="0"/>
        <w:rPr>
          <w:rFonts w:hint="default" w:ascii="宋体" w:hAnsi="宋体" w:cs="宋体"/>
          <w:b/>
          <w:bCs/>
          <w:i w:val="0"/>
          <w:iCs w:val="0"/>
          <w:color w:val="000000"/>
          <w:kern w:val="0"/>
          <w:sz w:val="21"/>
          <w:szCs w:val="21"/>
          <w:highlight w:val="none"/>
          <w:u w:val="none"/>
          <w:lang w:val="en-US" w:eastAsia="zh-CN" w:bidi="ar"/>
        </w:rPr>
      </w:pPr>
    </w:p>
    <w:p>
      <w:pPr>
        <w:pStyle w:val="2"/>
        <w:ind w:left="0" w:leftChars="0" w:firstLine="0" w:firstLineChars="0"/>
        <w:rPr>
          <w:rFonts w:hint="default" w:ascii="宋体" w:hAnsi="宋体" w:cs="宋体"/>
          <w:b/>
          <w:bCs/>
          <w:i w:val="0"/>
          <w:iCs w:val="0"/>
          <w:color w:val="000000"/>
          <w:kern w:val="0"/>
          <w:sz w:val="21"/>
          <w:szCs w:val="21"/>
          <w:highlight w:val="none"/>
          <w:u w:val="none"/>
          <w:lang w:val="en-US" w:eastAsia="zh-CN" w:bidi="ar"/>
        </w:rPr>
      </w:pPr>
    </w:p>
    <w:p>
      <w:pPr>
        <w:pStyle w:val="2"/>
        <w:rPr>
          <w:rFonts w:hint="default" w:ascii="宋体" w:hAnsi="宋体" w:cs="宋体"/>
          <w:b/>
          <w:bCs/>
          <w:i w:val="0"/>
          <w:iCs w:val="0"/>
          <w:color w:val="000000"/>
          <w:kern w:val="0"/>
          <w:sz w:val="21"/>
          <w:szCs w:val="21"/>
          <w:highlight w:val="none"/>
          <w:u w:val="none"/>
          <w:lang w:val="en-US" w:eastAsia="zh-CN" w:bidi="ar"/>
        </w:rPr>
      </w:pPr>
    </w:p>
    <w:p>
      <w:pPr>
        <w:pStyle w:val="2"/>
        <w:ind w:left="0" w:leftChars="0" w:firstLine="0" w:firstLineChars="0"/>
        <w:rPr>
          <w:rFonts w:hint="default" w:ascii="宋体" w:hAnsi="宋体" w:cs="宋体"/>
          <w:b/>
          <w:bCs/>
          <w:i w:val="0"/>
          <w:iCs w:val="0"/>
          <w:color w:val="000000"/>
          <w:kern w:val="0"/>
          <w:sz w:val="21"/>
          <w:szCs w:val="21"/>
          <w:highlight w:val="none"/>
          <w:u w:val="none"/>
          <w:lang w:val="en-US" w:eastAsia="zh-CN" w:bidi="ar"/>
        </w:rPr>
      </w:pPr>
    </w:p>
    <w:p>
      <w:pPr>
        <w:pStyle w:val="2"/>
        <w:rPr>
          <w:rFonts w:hint="default" w:ascii="宋体" w:hAnsi="宋体" w:cs="宋体"/>
          <w:b/>
          <w:bCs/>
          <w:i w:val="0"/>
          <w:iCs w:val="0"/>
          <w:color w:val="000000"/>
          <w:kern w:val="0"/>
          <w:sz w:val="21"/>
          <w:szCs w:val="21"/>
          <w:highlight w:val="none"/>
          <w:u w:val="none"/>
          <w:lang w:val="en-US" w:eastAsia="zh-CN" w:bidi="ar"/>
        </w:rPr>
      </w:pPr>
    </w:p>
    <w:p>
      <w:pPr>
        <w:pStyle w:val="2"/>
        <w:jc w:val="center"/>
        <w:rPr>
          <w:rFonts w:hint="eastAsia"/>
          <w:b/>
          <w:bCs/>
          <w:highlight w:val="none"/>
        </w:rPr>
      </w:pPr>
      <w:r>
        <w:rPr>
          <w:rFonts w:hint="eastAsia"/>
          <w:b/>
          <w:bCs/>
          <w:highlight w:val="none"/>
          <w:lang w:val="en-US" w:eastAsia="zh-CN"/>
        </w:rPr>
        <w:t>光源</w:t>
      </w:r>
      <w:r>
        <w:rPr>
          <w:rFonts w:hint="eastAsia"/>
          <w:b/>
          <w:bCs/>
          <w:highlight w:val="none"/>
        </w:rPr>
        <w:t>模组尺寸图</w:t>
      </w:r>
    </w:p>
    <w:p>
      <w:pPr>
        <w:pStyle w:val="2"/>
        <w:jc w:val="center"/>
        <w:rPr>
          <w:highlight w:val="none"/>
        </w:rPr>
      </w:pPr>
      <w:r>
        <w:rPr>
          <w:highlight w:val="none"/>
        </w:rPr>
        <w:drawing>
          <wp:inline distT="0" distB="0" distL="114300" distR="114300">
            <wp:extent cx="5273040" cy="2631440"/>
            <wp:effectExtent l="0" t="0" r="3810" b="165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4"/>
                    <a:stretch>
                      <a:fillRect/>
                    </a:stretch>
                  </pic:blipFill>
                  <pic:spPr>
                    <a:xfrm>
                      <a:off x="0" y="0"/>
                      <a:ext cx="5273040" cy="2631440"/>
                    </a:xfrm>
                    <a:prstGeom prst="rect">
                      <a:avLst/>
                    </a:prstGeom>
                    <a:noFill/>
                    <a:ln>
                      <a:noFill/>
                    </a:ln>
                  </pic:spPr>
                </pic:pic>
              </a:graphicData>
            </a:graphic>
          </wp:inline>
        </w:drawing>
      </w:r>
    </w:p>
    <w:p>
      <w:pPr>
        <w:pStyle w:val="2"/>
        <w:ind w:firstLine="2530" w:firstLineChars="900"/>
        <w:rPr>
          <w:highlight w:val="none"/>
        </w:rPr>
      </w:pPr>
      <w:r>
        <w:rPr>
          <w:rFonts w:hint="eastAsia" w:ascii="宋体" w:hAnsi="宋体" w:cs="宋体"/>
          <w:b/>
          <w:bCs/>
          <w:szCs w:val="21"/>
          <w:highlight w:val="none"/>
        </w:rPr>
        <w:t>注：（长宽高满足招标文件要求±5%以内）</w:t>
      </w:r>
    </w:p>
    <w:p>
      <w:pPr>
        <w:pStyle w:val="2"/>
        <w:jc w:val="center"/>
        <w:rPr>
          <w:rFonts w:hint="eastAsia"/>
          <w:highlight w:val="none"/>
        </w:rPr>
      </w:pPr>
    </w:p>
    <w:p>
      <w:pPr>
        <w:pStyle w:val="2"/>
        <w:jc w:val="center"/>
        <w:rPr>
          <w:rFonts w:hint="eastAsia"/>
          <w:highlight w:val="none"/>
        </w:rPr>
      </w:pPr>
    </w:p>
    <w:p>
      <w:pPr>
        <w:pStyle w:val="2"/>
        <w:jc w:val="center"/>
        <w:rPr>
          <w:rFonts w:hint="eastAsia"/>
          <w:highlight w:val="none"/>
        </w:rPr>
      </w:pPr>
    </w:p>
    <w:p>
      <w:pPr>
        <w:pStyle w:val="2"/>
        <w:jc w:val="both"/>
        <w:rPr>
          <w:rFonts w:hint="eastAsia"/>
          <w:highlight w:val="none"/>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p>
    <w:p>
      <w:pPr>
        <w:pStyle w:val="2"/>
        <w:jc w:val="center"/>
        <w:rPr>
          <w:rFonts w:hint="eastAsia" w:ascii="宋体" w:hAnsi="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12米大型工艺路灯</w:t>
      </w:r>
    </w:p>
    <w:p>
      <w:pPr>
        <w:pStyle w:val="2"/>
        <w:jc w:val="center"/>
        <w:rPr>
          <w:rFonts w:hint="eastAsia" w:ascii="宋体" w:hAnsi="宋体" w:cs="宋体"/>
          <w:b/>
          <w:bCs/>
          <w:i w:val="0"/>
          <w:iCs w:val="0"/>
          <w:color w:val="000000"/>
          <w:kern w:val="0"/>
          <w:sz w:val="21"/>
          <w:szCs w:val="21"/>
          <w:highlight w:val="none"/>
          <w:u w:val="none"/>
          <w:lang w:val="en-US" w:eastAsia="zh-CN" w:bidi="ar"/>
        </w:rPr>
      </w:pPr>
      <w:r>
        <w:rPr>
          <w:highlight w:val="none"/>
        </w:rPr>
        <w:drawing>
          <wp:inline distT="0" distB="0" distL="114300" distR="114300">
            <wp:extent cx="2983230" cy="7567295"/>
            <wp:effectExtent l="0" t="0" r="7620" b="14605"/>
            <wp:docPr id="3" name="图片 4" descr="dd4252cd32697b145d1ea3c94575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dd4252cd32697b145d1ea3c94575e92"/>
                    <pic:cNvPicPr>
                      <a:picLocks noChangeAspect="1"/>
                    </pic:cNvPicPr>
                  </pic:nvPicPr>
                  <pic:blipFill>
                    <a:blip r:embed="rId15"/>
                    <a:stretch>
                      <a:fillRect/>
                    </a:stretch>
                  </pic:blipFill>
                  <pic:spPr>
                    <a:xfrm>
                      <a:off x="0" y="0"/>
                      <a:ext cx="2983230" cy="7567295"/>
                    </a:xfrm>
                    <a:prstGeom prst="rect">
                      <a:avLst/>
                    </a:prstGeom>
                    <a:noFill/>
                    <a:ln>
                      <a:noFill/>
                    </a:ln>
                  </pic:spPr>
                </pic:pic>
              </a:graphicData>
            </a:graphic>
          </wp:inline>
        </w:drawing>
      </w:r>
      <w:r>
        <w:rPr>
          <w:highlight w:val="none"/>
        </w:rPr>
        <w:drawing>
          <wp:inline distT="0" distB="0" distL="114300" distR="114300">
            <wp:extent cx="1691640" cy="1490345"/>
            <wp:effectExtent l="0" t="0" r="3810" b="146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6"/>
                    <a:stretch>
                      <a:fillRect/>
                    </a:stretch>
                  </pic:blipFill>
                  <pic:spPr>
                    <a:xfrm>
                      <a:off x="0" y="0"/>
                      <a:ext cx="1691640" cy="1490345"/>
                    </a:xfrm>
                    <a:prstGeom prst="rect">
                      <a:avLst/>
                    </a:prstGeom>
                    <a:noFill/>
                    <a:ln>
                      <a:noFill/>
                    </a:ln>
                  </pic:spPr>
                </pic:pic>
              </a:graphicData>
            </a:graphic>
          </wp:inline>
        </w:drawing>
      </w:r>
    </w:p>
    <w:p>
      <w:pPr>
        <w:pStyle w:val="2"/>
        <w:ind w:left="0" w:leftChars="0" w:firstLine="0" w:firstLineChars="0"/>
        <w:rPr>
          <w:rFonts w:hint="eastAsia" w:ascii="宋体" w:hAnsi="宋体" w:eastAsia="宋体" w:cs="宋体"/>
          <w:b/>
          <w:sz w:val="32"/>
          <w:highlight w:val="none"/>
        </w:rPr>
      </w:pPr>
    </w:p>
    <w:p>
      <w:pPr>
        <w:snapToGrid w:val="0"/>
        <w:spacing w:line="360" w:lineRule="auto"/>
        <w:jc w:val="both"/>
        <w:rPr>
          <w:rFonts w:hint="eastAsia" w:ascii="宋体" w:hAnsi="宋体" w:eastAsia="宋体" w:cs="宋体"/>
          <w:b/>
          <w:sz w:val="24"/>
          <w:highlight w:val="none"/>
          <w:lang w:val="en-US" w:eastAsia="zh-CN"/>
        </w:rPr>
      </w:pPr>
    </w:p>
    <w:p>
      <w:pPr>
        <w:pStyle w:val="2"/>
        <w:rPr>
          <w:rFonts w:hint="eastAsia" w:ascii="宋体" w:hAnsi="宋体" w:eastAsia="宋体" w:cs="宋体"/>
          <w:b/>
          <w:sz w:val="24"/>
          <w:highlight w:val="none"/>
          <w:lang w:val="en-US" w:eastAsia="zh-CN"/>
        </w:rPr>
      </w:pPr>
    </w:p>
    <w:p>
      <w:pPr>
        <w:pStyle w:val="2"/>
        <w:rPr>
          <w:rFonts w:hint="eastAsia" w:ascii="宋体" w:hAnsi="宋体" w:eastAsia="宋体" w:cs="宋体"/>
          <w:b/>
          <w:sz w:val="24"/>
          <w:highlight w:val="none"/>
          <w:lang w:val="en-US" w:eastAsia="zh-CN"/>
        </w:rPr>
      </w:pPr>
    </w:p>
    <w:p>
      <w:pPr>
        <w:snapToGrid w:val="0"/>
        <w:spacing w:line="360" w:lineRule="auto"/>
        <w:jc w:val="both"/>
        <w:rPr>
          <w:rFonts w:hint="eastAsia" w:ascii="宋体" w:hAnsi="宋体" w:eastAsia="宋体" w:cs="宋体"/>
          <w:b/>
          <w:sz w:val="32"/>
          <w:highlight w:val="none"/>
        </w:rPr>
      </w:pPr>
      <w:r>
        <w:rPr>
          <w:rFonts w:hint="eastAsia" w:ascii="宋体" w:hAnsi="宋体" w:eastAsia="宋体" w:cs="宋体"/>
          <w:b/>
          <w:sz w:val="24"/>
          <w:highlight w:val="none"/>
          <w:lang w:val="en-US" w:eastAsia="zh-CN"/>
        </w:rPr>
        <w:t>（三）、</w:t>
      </w:r>
      <w:r>
        <w:rPr>
          <w:rFonts w:hint="eastAsia" w:ascii="宋体" w:hAnsi="宋体" w:eastAsia="宋体" w:cs="宋体"/>
          <w:b/>
          <w:sz w:val="24"/>
          <w:highlight w:val="none"/>
        </w:rPr>
        <w:t>主要设备材料工程量清单</w:t>
      </w:r>
    </w:p>
    <w:tbl>
      <w:tblPr>
        <w:tblStyle w:val="16"/>
        <w:tblW w:w="9087" w:type="dxa"/>
        <w:tblInd w:w="93" w:type="dxa"/>
        <w:tblLayout w:type="fixed"/>
        <w:tblCellMar>
          <w:top w:w="0" w:type="dxa"/>
          <w:left w:w="108" w:type="dxa"/>
          <w:bottom w:w="0" w:type="dxa"/>
          <w:right w:w="108" w:type="dxa"/>
        </w:tblCellMar>
      </w:tblPr>
      <w:tblGrid>
        <w:gridCol w:w="824"/>
        <w:gridCol w:w="1475"/>
        <w:gridCol w:w="4379"/>
        <w:gridCol w:w="1134"/>
        <w:gridCol w:w="1275"/>
      </w:tblGrid>
      <w:tr>
        <w:tblPrEx>
          <w:tblCellMar>
            <w:top w:w="0" w:type="dxa"/>
            <w:left w:w="108" w:type="dxa"/>
            <w:bottom w:w="0" w:type="dxa"/>
            <w:right w:w="108" w:type="dxa"/>
          </w:tblCellMar>
        </w:tblPrEx>
        <w:trPr>
          <w:trHeight w:val="363" w:hRule="atLeast"/>
        </w:trPr>
        <w:tc>
          <w:tcPr>
            <w:tcW w:w="82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14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437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项目特征</w:t>
            </w:r>
          </w:p>
        </w:tc>
        <w:tc>
          <w:tcPr>
            <w:tcW w:w="1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计量单位</w:t>
            </w:r>
          </w:p>
        </w:tc>
        <w:tc>
          <w:tcPr>
            <w:tcW w:w="12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工程量</w:t>
            </w:r>
          </w:p>
        </w:tc>
      </w:tr>
      <w:tr>
        <w:tblPrEx>
          <w:tblCellMar>
            <w:top w:w="0" w:type="dxa"/>
            <w:left w:w="108" w:type="dxa"/>
            <w:bottom w:w="0" w:type="dxa"/>
            <w:right w:w="108" w:type="dxa"/>
          </w:tblCellMar>
        </w:tblPrEx>
        <w:trPr>
          <w:trHeight w:val="363" w:hRule="atLeast"/>
        </w:trPr>
        <w:tc>
          <w:tcPr>
            <w:tcW w:w="8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c>
          <w:tcPr>
            <w:tcW w:w="14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c>
          <w:tcPr>
            <w:tcW w:w="437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12" w:hRule="atLeast"/>
        </w:trPr>
        <w:tc>
          <w:tcPr>
            <w:tcW w:w="8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c>
          <w:tcPr>
            <w:tcW w:w="14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c>
          <w:tcPr>
            <w:tcW w:w="437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52"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12米工艺路灯</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详见技术要求</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22</w:t>
            </w:r>
          </w:p>
        </w:tc>
      </w:tr>
      <w:tr>
        <w:tblPrEx>
          <w:tblCellMar>
            <w:top w:w="0" w:type="dxa"/>
            <w:left w:w="108" w:type="dxa"/>
            <w:bottom w:w="0" w:type="dxa"/>
            <w:right w:w="108" w:type="dxa"/>
          </w:tblCellMar>
        </w:tblPrEx>
        <w:trPr>
          <w:trHeight w:val="752"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挖基坑土方</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挖掘机开挖基坑：</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1、基坑挖深2m内（工程土壤类别按三类土）</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2、基底以上20cm范围内人工辅助挖土</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314.62</w:t>
            </w:r>
          </w:p>
        </w:tc>
      </w:tr>
      <w:tr>
        <w:tblPrEx>
          <w:tblCellMar>
            <w:top w:w="0" w:type="dxa"/>
            <w:left w:w="108" w:type="dxa"/>
            <w:bottom w:w="0" w:type="dxa"/>
            <w:right w:w="108" w:type="dxa"/>
          </w:tblCellMar>
        </w:tblPrEx>
        <w:trPr>
          <w:trHeight w:val="605"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挖沟槽土方</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挖掘机开挖沟槽：</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1、沟槽挖深2m内（工程土壤类别按三类土）</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2、基底以上20cm范围内人工辅助挖土</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378.24</w:t>
            </w:r>
          </w:p>
        </w:tc>
      </w:tr>
      <w:tr>
        <w:tblPrEx>
          <w:tblCellMar>
            <w:top w:w="0" w:type="dxa"/>
            <w:left w:w="108" w:type="dxa"/>
            <w:bottom w:w="0" w:type="dxa"/>
            <w:right w:w="108" w:type="dxa"/>
          </w:tblCellMar>
        </w:tblPrEx>
        <w:trPr>
          <w:trHeight w:val="729"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回填方</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机械 填土夯实槽、坑</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550.74</w:t>
            </w:r>
          </w:p>
        </w:tc>
      </w:tr>
      <w:tr>
        <w:tblPrEx>
          <w:tblCellMar>
            <w:top w:w="0" w:type="dxa"/>
            <w:left w:w="108" w:type="dxa"/>
            <w:bottom w:w="0" w:type="dxa"/>
            <w:right w:w="108" w:type="dxa"/>
          </w:tblCellMar>
        </w:tblPrEx>
        <w:trPr>
          <w:trHeight w:val="692"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余方弃置</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装载机装松散土,自卸汽车运土方  运距暂定20km计算 结算时按实结算</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58.83</w:t>
            </w:r>
          </w:p>
        </w:tc>
      </w:tr>
      <w:tr>
        <w:tblPrEx>
          <w:tblCellMar>
            <w:top w:w="0" w:type="dxa"/>
            <w:left w:w="108" w:type="dxa"/>
            <w:bottom w:w="0" w:type="dxa"/>
            <w:right w:w="108" w:type="dxa"/>
          </w:tblCellMar>
        </w:tblPrEx>
        <w:trPr>
          <w:trHeight w:val="668"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混凝土基础</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路灯C30钢筋混凝土基础</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68.99</w:t>
            </w:r>
          </w:p>
        </w:tc>
      </w:tr>
      <w:tr>
        <w:tblPrEx>
          <w:tblCellMar>
            <w:top w:w="0" w:type="dxa"/>
            <w:left w:w="108" w:type="dxa"/>
            <w:bottom w:w="0" w:type="dxa"/>
            <w:right w:w="108" w:type="dxa"/>
          </w:tblCellMar>
        </w:tblPrEx>
        <w:trPr>
          <w:trHeight w:val="754"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混凝土垫层</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路灯基础C15素混凝土垫层</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5.63</w:t>
            </w:r>
          </w:p>
        </w:tc>
      </w:tr>
      <w:tr>
        <w:tblPrEx>
          <w:tblCellMar>
            <w:top w:w="0" w:type="dxa"/>
            <w:left w:w="108" w:type="dxa"/>
            <w:bottom w:w="0" w:type="dxa"/>
            <w:right w:w="108" w:type="dxa"/>
          </w:tblCellMar>
        </w:tblPrEx>
        <w:trPr>
          <w:trHeight w:val="755"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8</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水泥混凝土</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水泥混凝土路面 道路混凝土厚度（cm）20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151.82</w:t>
            </w:r>
          </w:p>
        </w:tc>
      </w:tr>
      <w:tr>
        <w:tblPrEx>
          <w:tblCellMar>
            <w:top w:w="0" w:type="dxa"/>
            <w:left w:w="108" w:type="dxa"/>
            <w:bottom w:w="0" w:type="dxa"/>
            <w:right w:w="108" w:type="dxa"/>
          </w:tblCellMar>
        </w:tblPrEx>
        <w:trPr>
          <w:trHeight w:val="675"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9</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预埋铁件</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路灯基础M27地脚螺栓</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t</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0.44</w:t>
            </w:r>
          </w:p>
        </w:tc>
      </w:tr>
      <w:tr>
        <w:tblPrEx>
          <w:tblCellMar>
            <w:top w:w="0" w:type="dxa"/>
            <w:left w:w="108" w:type="dxa"/>
            <w:bottom w:w="0" w:type="dxa"/>
            <w:right w:w="108" w:type="dxa"/>
          </w:tblCellMar>
        </w:tblPrEx>
        <w:trPr>
          <w:trHeight w:val="558"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预埋铁件</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铁件制安预埋铁件</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t</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0.697</w:t>
            </w:r>
          </w:p>
        </w:tc>
      </w:tr>
      <w:tr>
        <w:tblPrEx>
          <w:tblCellMar>
            <w:top w:w="0" w:type="dxa"/>
            <w:left w:w="108" w:type="dxa"/>
            <w:bottom w:w="0" w:type="dxa"/>
            <w:right w:w="108" w:type="dxa"/>
          </w:tblCellMar>
        </w:tblPrEx>
        <w:trPr>
          <w:trHeight w:val="90"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11</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砌筑井</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电缆井450*450*860：</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1、200厚片石垫层</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2、100厚C30混凝土底板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3、125厚井壁MU20实心砖M10水泥砂浆砌筑</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4、井口部分浇筑C30非泵送商品混凝土井圈制作安装模板</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5、0.55m长L50*50*5镀锌角钢预埋</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6、DMC窨井盖板600*600</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7、井内壁、井底采用20厚M10水泥砂浆抹面</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座</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22</w:t>
            </w:r>
          </w:p>
        </w:tc>
      </w:tr>
      <w:tr>
        <w:tblPrEx>
          <w:tblCellMar>
            <w:top w:w="0" w:type="dxa"/>
            <w:left w:w="108" w:type="dxa"/>
            <w:bottom w:w="0" w:type="dxa"/>
            <w:right w:w="108" w:type="dxa"/>
          </w:tblCellMar>
        </w:tblPrEx>
        <w:trPr>
          <w:trHeight w:val="310"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12</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配管</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2*PE50*4.6塑料套管敷设</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360°C30非泵送商品混凝土加固</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654</w:t>
            </w:r>
          </w:p>
        </w:tc>
      </w:tr>
      <w:tr>
        <w:tblPrEx>
          <w:tblCellMar>
            <w:top w:w="0" w:type="dxa"/>
            <w:left w:w="108" w:type="dxa"/>
            <w:bottom w:w="0" w:type="dxa"/>
            <w:right w:w="108" w:type="dxa"/>
          </w:tblCellMar>
        </w:tblPrEx>
        <w:trPr>
          <w:trHeight w:val="410"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13</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配管</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4*DN100*4镀锌钢管套管敷设</w:t>
            </w:r>
          </w:p>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360°C30非泵送商品混凝土加固</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42</w:t>
            </w:r>
          </w:p>
        </w:tc>
      </w:tr>
      <w:tr>
        <w:tblPrEx>
          <w:tblCellMar>
            <w:top w:w="0" w:type="dxa"/>
            <w:left w:w="108" w:type="dxa"/>
            <w:bottom w:w="0" w:type="dxa"/>
            <w:right w:w="108" w:type="dxa"/>
          </w:tblCellMar>
        </w:tblPrEx>
        <w:trPr>
          <w:trHeight w:val="615"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14</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电缆</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VV4*25+1*16电缆穿管敷设</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822</w:t>
            </w:r>
          </w:p>
        </w:tc>
      </w:tr>
      <w:tr>
        <w:tblPrEx>
          <w:tblCellMar>
            <w:top w:w="0" w:type="dxa"/>
            <w:left w:w="108" w:type="dxa"/>
            <w:bottom w:w="0" w:type="dxa"/>
            <w:right w:w="108" w:type="dxa"/>
          </w:tblCellMar>
        </w:tblPrEx>
        <w:trPr>
          <w:trHeight w:val="1087"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15</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电缆终端头</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干包式电力电缆终端头制作、安装 1kV以下（截面mm2以内）35~25mm2及以下三芯及以上铜芯电力电缆头敷设</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r>
      <w:tr>
        <w:tblPrEx>
          <w:tblCellMar>
            <w:top w:w="0" w:type="dxa"/>
            <w:left w:w="108" w:type="dxa"/>
            <w:bottom w:w="0" w:type="dxa"/>
            <w:right w:w="108" w:type="dxa"/>
          </w:tblCellMar>
        </w:tblPrEx>
        <w:trPr>
          <w:trHeight w:val="902"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16</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接地极</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2.5m高L50*5角钢接地极（热镀锌）</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根</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22</w:t>
            </w:r>
          </w:p>
        </w:tc>
      </w:tr>
      <w:tr>
        <w:tblPrEx>
          <w:tblCellMar>
            <w:top w:w="0" w:type="dxa"/>
            <w:left w:w="108" w:type="dxa"/>
            <w:bottom w:w="0" w:type="dxa"/>
            <w:right w:w="108" w:type="dxa"/>
          </w:tblCellMar>
        </w:tblPrEx>
        <w:trPr>
          <w:trHeight w:val="834"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17</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接地装置调试</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路灯接地装置调试</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系统</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
              </w:rPr>
              <w:t>22</w:t>
            </w:r>
          </w:p>
        </w:tc>
      </w:tr>
      <w:tr>
        <w:tblPrEx>
          <w:tblCellMar>
            <w:top w:w="0" w:type="dxa"/>
            <w:left w:w="108" w:type="dxa"/>
            <w:bottom w:w="0" w:type="dxa"/>
            <w:right w:w="108" w:type="dxa"/>
          </w:tblCellMar>
        </w:tblPrEx>
        <w:trPr>
          <w:trHeight w:val="834"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18</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接地母线</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-50*3.5扁钢接地母线敷设（热镀锌）</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26.4</w:t>
            </w:r>
          </w:p>
        </w:tc>
      </w:tr>
      <w:tr>
        <w:tblPrEx>
          <w:tblCellMar>
            <w:top w:w="0" w:type="dxa"/>
            <w:left w:w="108" w:type="dxa"/>
            <w:bottom w:w="0" w:type="dxa"/>
            <w:right w:w="108" w:type="dxa"/>
          </w:tblCellMar>
        </w:tblPrEx>
        <w:trPr>
          <w:trHeight w:val="834"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19</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现浇构件钢筋</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普通钢筋制作、安装 圆钢</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t</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0.546</w:t>
            </w:r>
          </w:p>
        </w:tc>
      </w:tr>
      <w:tr>
        <w:tblPrEx>
          <w:tblCellMar>
            <w:top w:w="0" w:type="dxa"/>
            <w:left w:w="108" w:type="dxa"/>
            <w:bottom w:w="0" w:type="dxa"/>
            <w:right w:w="108" w:type="dxa"/>
          </w:tblCellMar>
        </w:tblPrEx>
        <w:trPr>
          <w:trHeight w:val="834" w:hRule="atLeast"/>
        </w:trPr>
        <w:tc>
          <w:tcPr>
            <w:tcW w:w="8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20</w:t>
            </w:r>
          </w:p>
        </w:tc>
        <w:tc>
          <w:tcPr>
            <w:tcW w:w="14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现浇构件钢筋</w:t>
            </w:r>
          </w:p>
        </w:tc>
        <w:tc>
          <w:tcPr>
            <w:tcW w:w="43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普通钢筋制作、安装 带肋钢筋</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t</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1.646</w:t>
            </w:r>
          </w:p>
        </w:tc>
      </w:tr>
    </w:tbl>
    <w:p>
      <w:pPr>
        <w:numPr>
          <w:ilvl w:val="0"/>
          <w:numId w:val="0"/>
        </w:numPr>
        <w:adjustRightInd w:val="0"/>
        <w:snapToGrid w:val="0"/>
        <w:spacing w:before="120" w:beforeLines="50" w:line="360" w:lineRule="auto"/>
        <w:ind w:leftChars="200"/>
        <w:jc w:val="left"/>
        <w:outlineLvl w:val="1"/>
        <w:rPr>
          <w:rFonts w:hint="eastAsia" w:ascii="宋体" w:hAnsi="宋体" w:eastAsia="宋体" w:cs="宋体"/>
          <w:b/>
          <w:sz w:val="24"/>
          <w:highlight w:val="none"/>
        </w:rPr>
      </w:pPr>
    </w:p>
    <w:p>
      <w:pPr>
        <w:spacing w:line="240" w:lineRule="atLeast"/>
        <w:jc w:val="center"/>
        <w:rPr>
          <w:rFonts w:hint="eastAsia" w:ascii="宋体" w:hAnsi="宋体" w:eastAsia="宋体" w:cs="宋体"/>
          <w:b/>
          <w:sz w:val="32"/>
          <w:szCs w:val="32"/>
          <w:highlight w:val="none"/>
        </w:rPr>
      </w:pPr>
    </w:p>
    <w:bookmarkEnd w:id="27"/>
    <w:p>
      <w:pPr>
        <w:widowControl/>
        <w:jc w:val="left"/>
        <w:rPr>
          <w:rFonts w:hint="eastAsia" w:ascii="宋体" w:hAnsi="宋体" w:eastAsia="宋体" w:cs="宋体"/>
          <w:sz w:val="28"/>
          <w:highlight w:val="none"/>
        </w:rPr>
      </w:pPr>
      <w:r>
        <w:rPr>
          <w:rFonts w:hint="eastAsia" w:ascii="宋体" w:hAnsi="宋体" w:eastAsia="宋体" w:cs="宋体"/>
          <w:highlight w:val="none"/>
        </w:rPr>
        <w:br w:type="page"/>
      </w:r>
    </w:p>
    <w:p>
      <w:pPr>
        <w:widowControl/>
        <w:jc w:val="center"/>
        <w:rPr>
          <w:rFonts w:hint="eastAsia" w:ascii="宋体" w:hAnsi="宋体" w:eastAsia="宋体" w:cs="宋体"/>
          <w:b/>
          <w:sz w:val="32"/>
          <w:highlight w:val="none"/>
        </w:rPr>
      </w:pPr>
      <w:r>
        <w:rPr>
          <w:rFonts w:hint="eastAsia" w:ascii="宋体" w:hAnsi="宋体" w:eastAsia="宋体" w:cs="宋体"/>
          <w:b/>
          <w:sz w:val="32"/>
          <w:highlight w:val="none"/>
        </w:rPr>
        <w:t>三、商务要求</w:t>
      </w:r>
    </w:p>
    <w:tbl>
      <w:tblPr>
        <w:tblStyle w:val="16"/>
        <w:tblW w:w="0" w:type="auto"/>
        <w:tblInd w:w="0" w:type="dxa"/>
        <w:tblLayout w:type="fixed"/>
        <w:tblCellMar>
          <w:top w:w="0" w:type="dxa"/>
          <w:left w:w="108" w:type="dxa"/>
          <w:bottom w:w="0" w:type="dxa"/>
          <w:right w:w="108" w:type="dxa"/>
        </w:tblCellMar>
      </w:tblPr>
      <w:tblGrid>
        <w:gridCol w:w="1936"/>
        <w:gridCol w:w="7186"/>
      </w:tblGrid>
      <w:tr>
        <w:tblPrEx>
          <w:tblCellMar>
            <w:top w:w="0" w:type="dxa"/>
            <w:left w:w="108" w:type="dxa"/>
            <w:bottom w:w="0" w:type="dxa"/>
            <w:right w:w="108" w:type="dxa"/>
          </w:tblCellMar>
        </w:tblPrEx>
        <w:trPr>
          <w:trHeight w:val="35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要 求</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投标报价</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完成本项目的所有费用，包括设备费、备品备件费、专用工具费、人工差旅费、运输及保险费、安装调试及验收费用、售后服务费用、培训费、税费、中标服务费等一切费用。</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付款条件</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合同签订后支付合同</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金额</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0%</w:t>
            </w:r>
            <w:r>
              <w:rPr>
                <w:rFonts w:hint="eastAsia" w:ascii="宋体" w:hAnsi="宋体" w:cs="宋体"/>
                <w:kern w:val="0"/>
                <w:sz w:val="21"/>
                <w:szCs w:val="21"/>
                <w:highlight w:val="none"/>
                <w:lang w:val="en-US" w:eastAsia="zh-CN"/>
              </w:rPr>
              <w:t>预付款</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主要设备到安装现场后支付</w:t>
            </w:r>
            <w:r>
              <w:rPr>
                <w:rFonts w:hint="eastAsia" w:ascii="宋体" w:hAnsi="宋体" w:eastAsia="宋体" w:cs="宋体"/>
                <w:kern w:val="0"/>
                <w:sz w:val="21"/>
                <w:szCs w:val="21"/>
                <w:highlight w:val="none"/>
              </w:rPr>
              <w:t>合同</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金额的</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0%</w:t>
            </w:r>
            <w:r>
              <w:rPr>
                <w:rFonts w:hint="eastAsia" w:ascii="宋体" w:hAnsi="宋体" w:eastAsia="宋体" w:cs="宋体"/>
                <w:kern w:val="0"/>
                <w:sz w:val="21"/>
                <w:szCs w:val="21"/>
                <w:highlight w:val="none"/>
                <w:lang w:eastAsia="zh-CN"/>
              </w:rPr>
              <w:t>，</w:t>
            </w:r>
            <w:r>
              <w:rPr>
                <w:rFonts w:hint="eastAsia" w:ascii="宋体" w:hAnsi="宋体" w:cs="宋体"/>
                <w:kern w:val="0"/>
                <w:sz w:val="21"/>
                <w:szCs w:val="21"/>
                <w:highlight w:val="none"/>
                <w:lang w:val="en-US" w:eastAsia="zh-CN"/>
              </w:rPr>
              <w:t>工程安装完毕验收合格后支付至合同总金额的80%，审计完成后支付至审定价的95%，余款待质保期满后付清。</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履约保证金</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履约保证金形式：电汇或银行保函或保险公司保函</w:t>
            </w:r>
          </w:p>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履约保证金的收取及退还：</w:t>
            </w:r>
          </w:p>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按合同总金额的 </w:t>
            </w:r>
            <w:r>
              <w:rPr>
                <w:rFonts w:hint="eastAsia" w:ascii="宋体" w:hAnsi="宋体" w:eastAsia="宋体" w:cs="宋体"/>
                <w:kern w:val="0"/>
                <w:sz w:val="21"/>
                <w:szCs w:val="21"/>
                <w:highlight w:val="none"/>
                <w:u w:val="single"/>
                <w:lang w:val="en-US" w:eastAsia="zh-CN"/>
              </w:rPr>
              <w:t>2.5</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rPr>
              <w:t>计收，合同履行完毕（验收合格并交付使用）后5日内无息退还。</w:t>
            </w:r>
          </w:p>
        </w:tc>
      </w:tr>
      <w:tr>
        <w:tblPrEx>
          <w:tblCellMar>
            <w:top w:w="0" w:type="dxa"/>
            <w:left w:w="108" w:type="dxa"/>
            <w:bottom w:w="0" w:type="dxa"/>
            <w:right w:w="108" w:type="dxa"/>
          </w:tblCellMar>
        </w:tblPrEx>
        <w:trPr>
          <w:trHeight w:val="938" w:hRule="atLeast"/>
        </w:trPr>
        <w:tc>
          <w:tcPr>
            <w:tcW w:w="1936" w:type="dxa"/>
            <w:tcBorders>
              <w:top w:val="single" w:color="000000" w:sz="4" w:space="0"/>
              <w:left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交货时间及地点</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供货期</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签订合同后30日历天内完成供货</w:t>
            </w:r>
          </w:p>
          <w:p>
            <w:pPr>
              <w:tabs>
                <w:tab w:val="left" w:pos="0"/>
              </w:tabs>
              <w:adjustRightInd w:val="0"/>
              <w:snapToGrid w:val="0"/>
              <w:spacing w:line="360" w:lineRule="auto"/>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地点：奉化区东门路</w:t>
            </w:r>
          </w:p>
          <w:p>
            <w:pPr>
              <w:tabs>
                <w:tab w:val="left" w:pos="0"/>
              </w:tabs>
              <w:adjustRightInd w:val="0"/>
              <w:snapToGrid w:val="0"/>
              <w:spacing w:line="360" w:lineRule="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安装工期要求：与整体工程进度保持一致，</w:t>
            </w:r>
            <w:r>
              <w:rPr>
                <w:rFonts w:hint="eastAsia" w:ascii="宋体" w:hAnsi="宋体" w:eastAsia="宋体" w:cs="宋体"/>
                <w:kern w:val="0"/>
                <w:sz w:val="21"/>
                <w:szCs w:val="21"/>
                <w:highlight w:val="none"/>
              </w:rPr>
              <w:t>完成安装并验收合格</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产品及服务质量保证</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w:t>
            </w:r>
            <w:r>
              <w:rPr>
                <w:rFonts w:hint="eastAsia" w:ascii="宋体" w:hAnsi="宋体" w:eastAsia="宋体" w:cs="宋体"/>
                <w:kern w:val="0"/>
                <w:sz w:val="21"/>
                <w:szCs w:val="21"/>
                <w:highlight w:val="none"/>
                <w:lang w:val="zh-CN"/>
              </w:rPr>
              <w:t>供应商</w:t>
            </w:r>
            <w:r>
              <w:rPr>
                <w:rFonts w:hint="eastAsia" w:ascii="宋体" w:hAnsi="宋体" w:eastAsia="宋体" w:cs="宋体"/>
                <w:kern w:val="0"/>
                <w:sz w:val="21"/>
                <w:szCs w:val="21"/>
                <w:highlight w:val="none"/>
              </w:rPr>
              <w:t>保证所供的商品必须是出厂原装合格产品,如发生所供的商品与合同不符,采购人有权拒收或退货,由此产生的一切责任和后果由</w:t>
            </w:r>
            <w:r>
              <w:rPr>
                <w:rFonts w:hint="eastAsia" w:ascii="宋体" w:hAnsi="宋体" w:eastAsia="宋体" w:cs="宋体"/>
                <w:kern w:val="0"/>
                <w:sz w:val="21"/>
                <w:szCs w:val="21"/>
                <w:highlight w:val="none"/>
                <w:lang w:val="zh-CN"/>
              </w:rPr>
              <w:t>供应商</w:t>
            </w:r>
            <w:r>
              <w:rPr>
                <w:rFonts w:hint="eastAsia" w:ascii="宋体" w:hAnsi="宋体" w:eastAsia="宋体" w:cs="宋体"/>
                <w:kern w:val="0"/>
                <w:sz w:val="21"/>
                <w:szCs w:val="21"/>
                <w:highlight w:val="none"/>
              </w:rPr>
              <w:t>承担。质保期自货物验收合格之日起计。</w:t>
            </w:r>
          </w:p>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（二）在所供商品交付时，</w:t>
            </w:r>
            <w:r>
              <w:rPr>
                <w:rFonts w:hint="eastAsia" w:ascii="宋体" w:hAnsi="宋体" w:eastAsia="宋体" w:cs="宋体"/>
                <w:kern w:val="0"/>
                <w:sz w:val="21"/>
                <w:szCs w:val="21"/>
                <w:highlight w:val="none"/>
                <w:lang w:val="zh-CN"/>
              </w:rPr>
              <w:t>供应商</w:t>
            </w:r>
            <w:r>
              <w:rPr>
                <w:rFonts w:hint="eastAsia" w:ascii="宋体" w:hAnsi="宋体" w:eastAsia="宋体" w:cs="宋体"/>
                <w:kern w:val="0"/>
                <w:sz w:val="21"/>
                <w:szCs w:val="21"/>
                <w:highlight w:val="none"/>
              </w:rPr>
              <w:t>必须向采购人提供产品说明书、质量保证书、保修卡等必须具备的相关资料和必备附件。</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验收要求</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对中标人各项指标进行核对，如经校对发现与标书要求或投标文件不一致，则本项目作为验收不合格，采购人将不支付全额货款，投标单位将承担一切后果与责任。</w:t>
            </w:r>
          </w:p>
        </w:tc>
      </w:tr>
      <w:tr>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抽检</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为确保实际安装灯具与检测灯具及投标样品灯具重要光电参数（发光能效、显色指数、功率因数等）一致性，当路灯送至业主指定地点后，招标人将随机抽取不少于2套光源模组送至国家质量监督检测中心（上海或北京）进行检测，如测试参数不符合招标技术规格要求的，则全部灯具退还给中标人，所产生的相关费用由中标人全部承担。</w:t>
            </w:r>
          </w:p>
        </w:tc>
      </w:tr>
      <w:tr>
        <w:tblPrEx>
          <w:tblCellMar>
            <w:top w:w="0" w:type="dxa"/>
            <w:left w:w="108" w:type="dxa"/>
            <w:bottom w:w="0" w:type="dxa"/>
            <w:right w:w="108" w:type="dxa"/>
          </w:tblCellMar>
        </w:tblPrEx>
        <w:trPr>
          <w:trHeight w:val="547"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质保期</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1）验收合格之日起不少于24个月。</w:t>
            </w:r>
          </w:p>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2）质保期内更换的零部件质量保证：自更换之日起不少于24个月</w:t>
            </w:r>
          </w:p>
        </w:tc>
      </w:tr>
      <w:tr>
        <w:tblPrEx>
          <w:tblCellMar>
            <w:top w:w="0" w:type="dxa"/>
            <w:left w:w="108" w:type="dxa"/>
            <w:bottom w:w="0" w:type="dxa"/>
            <w:right w:w="108" w:type="dxa"/>
          </w:tblCellMar>
        </w:tblPrEx>
        <w:trPr>
          <w:trHeight w:val="468" w:hRule="atLeast"/>
        </w:trPr>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售后技术服务要求</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接到招标人通知后30分钟内响应，2小时内到达维修现场，一般问题12小时内修复，重大问题48小时内修复。一个月内出现二次及以上未及时响应或维修，甲方有权指定其他有维修能力的单位进行维修，所产生的所有费用由中标人支付。清洁工作、亮灯率要求：对灯具设施、设备的清洁工作要求每年不少于2次；亮灯率确保达到98%及以上。（投标文件内提供承诺书）。</w:t>
            </w:r>
          </w:p>
        </w:tc>
      </w:tr>
      <w:tr>
        <w:tblPrEx>
          <w:tblCellMar>
            <w:top w:w="0" w:type="dxa"/>
            <w:left w:w="108" w:type="dxa"/>
            <w:bottom w:w="0" w:type="dxa"/>
            <w:right w:w="108" w:type="dxa"/>
          </w:tblCellMar>
        </w:tblPrEx>
        <w:tc>
          <w:tcPr>
            <w:tcW w:w="193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合同终止</w:t>
            </w:r>
          </w:p>
        </w:tc>
        <w:tc>
          <w:tcPr>
            <w:tcW w:w="7186" w:type="dxa"/>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（一）未能使合同货物达到合同附件规定的技术性能和指标的；</w:t>
            </w:r>
          </w:p>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（二）未能在合同规定的期限（或采购人同意延长的最终期限）内提供全部或部分货物的；</w:t>
            </w:r>
          </w:p>
          <w:p>
            <w:pPr>
              <w:tabs>
                <w:tab w:val="left" w:pos="0"/>
              </w:tabs>
              <w:adjustRightInd w:val="0"/>
              <w:snapToGri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（三）未能履行合同规定的其它义务。</w:t>
            </w:r>
          </w:p>
        </w:tc>
      </w:tr>
    </w:tbl>
    <w:p>
      <w:pPr>
        <w:snapToGri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24"/>
          <w:highlight w:val="none"/>
        </w:rPr>
        <w:br w:type="page"/>
      </w:r>
      <w:r>
        <w:rPr>
          <w:rFonts w:hint="eastAsia" w:ascii="宋体" w:hAnsi="宋体" w:eastAsia="宋体" w:cs="宋体"/>
          <w:b/>
          <w:sz w:val="36"/>
          <w:szCs w:val="36"/>
          <w:highlight w:val="none"/>
        </w:rPr>
        <w:t xml:space="preserve">第四部分   </w:t>
      </w:r>
      <w:bookmarkStart w:id="28" w:name="_Toc184314413"/>
      <w:bookmarkEnd w:id="28"/>
      <w:bookmarkStart w:id="29" w:name="_Toc184314464"/>
      <w:bookmarkEnd w:id="29"/>
      <w:bookmarkStart w:id="30" w:name="_Toc184312095"/>
      <w:bookmarkEnd w:id="30"/>
      <w:bookmarkStart w:id="31" w:name="_Toc184308098"/>
      <w:bookmarkEnd w:id="31"/>
      <w:bookmarkStart w:id="32" w:name="_Toc184314412"/>
      <w:bookmarkEnd w:id="32"/>
      <w:bookmarkStart w:id="33" w:name="_Toc184312101"/>
      <w:bookmarkEnd w:id="33"/>
      <w:bookmarkStart w:id="34" w:name="_Toc184314468"/>
      <w:bookmarkEnd w:id="34"/>
      <w:bookmarkStart w:id="35" w:name="_Toc184313245"/>
      <w:bookmarkEnd w:id="35"/>
      <w:bookmarkStart w:id="36" w:name="_Toc184308043"/>
      <w:bookmarkEnd w:id="36"/>
      <w:bookmarkStart w:id="37" w:name="_Toc184313268"/>
      <w:bookmarkEnd w:id="37"/>
      <w:bookmarkStart w:id="38" w:name="_Toc184312133"/>
      <w:bookmarkEnd w:id="38"/>
      <w:bookmarkStart w:id="39" w:name="_Toc184312110"/>
      <w:bookmarkEnd w:id="39"/>
      <w:bookmarkStart w:id="40" w:name="_Toc184314481"/>
      <w:bookmarkEnd w:id="40"/>
      <w:bookmarkStart w:id="41" w:name="_Toc184312069"/>
      <w:bookmarkEnd w:id="41"/>
      <w:bookmarkStart w:id="42" w:name="_Toc184308080"/>
      <w:bookmarkEnd w:id="42"/>
      <w:bookmarkStart w:id="43" w:name="_Toc184308097"/>
      <w:bookmarkEnd w:id="43"/>
      <w:bookmarkStart w:id="44" w:name="_Toc184313289"/>
      <w:bookmarkEnd w:id="44"/>
      <w:bookmarkStart w:id="45" w:name="_Toc184312074"/>
      <w:bookmarkEnd w:id="45"/>
      <w:bookmarkStart w:id="46" w:name="_Toc184313296"/>
      <w:bookmarkEnd w:id="46"/>
      <w:bookmarkStart w:id="47" w:name="_Toc184308042"/>
      <w:bookmarkEnd w:id="47"/>
      <w:bookmarkStart w:id="48" w:name="_Toc184312077"/>
      <w:bookmarkEnd w:id="48"/>
      <w:bookmarkStart w:id="49" w:name="_Toc184308046"/>
      <w:bookmarkEnd w:id="49"/>
      <w:bookmarkStart w:id="50" w:name="_Toc184308047"/>
      <w:bookmarkEnd w:id="50"/>
      <w:bookmarkStart w:id="51" w:name="_Toc184312081"/>
      <w:bookmarkEnd w:id="51"/>
      <w:bookmarkStart w:id="52" w:name="_Toc184312122"/>
      <w:bookmarkEnd w:id="52"/>
      <w:bookmarkStart w:id="53" w:name="_Toc184312075"/>
      <w:bookmarkEnd w:id="53"/>
      <w:bookmarkStart w:id="54" w:name="_Toc184312128"/>
      <w:bookmarkEnd w:id="54"/>
      <w:bookmarkStart w:id="55" w:name="_Toc184314444"/>
      <w:bookmarkEnd w:id="55"/>
      <w:bookmarkStart w:id="56" w:name="_Toc184313249"/>
      <w:bookmarkEnd w:id="56"/>
      <w:bookmarkStart w:id="57" w:name="_Toc184312137"/>
      <w:bookmarkEnd w:id="57"/>
      <w:bookmarkStart w:id="58" w:name="_Toc184310333"/>
      <w:bookmarkEnd w:id="58"/>
      <w:bookmarkStart w:id="59" w:name="_Toc184310296"/>
      <w:bookmarkEnd w:id="59"/>
      <w:bookmarkStart w:id="60" w:name="_Toc184308095"/>
      <w:bookmarkEnd w:id="60"/>
      <w:bookmarkStart w:id="61" w:name="_Toc184312091"/>
      <w:bookmarkEnd w:id="61"/>
      <w:bookmarkStart w:id="62" w:name="_Toc184310295"/>
      <w:bookmarkEnd w:id="62"/>
      <w:bookmarkStart w:id="63" w:name="_Toc184310314"/>
      <w:bookmarkEnd w:id="63"/>
      <w:bookmarkStart w:id="64" w:name="_Toc184314453"/>
      <w:bookmarkEnd w:id="64"/>
      <w:bookmarkStart w:id="65" w:name="_Toc184308094"/>
      <w:bookmarkEnd w:id="65"/>
      <w:bookmarkStart w:id="66" w:name="_Toc184312124"/>
      <w:bookmarkEnd w:id="66"/>
      <w:bookmarkStart w:id="67" w:name="_Toc184312105"/>
      <w:bookmarkEnd w:id="67"/>
      <w:bookmarkStart w:id="68" w:name="_Toc184314445"/>
      <w:bookmarkEnd w:id="68"/>
      <w:bookmarkStart w:id="69" w:name="_Toc184313284"/>
      <w:bookmarkEnd w:id="69"/>
      <w:bookmarkStart w:id="70" w:name="_Toc184314477"/>
      <w:bookmarkEnd w:id="70"/>
      <w:bookmarkStart w:id="71" w:name="_Toc184310281"/>
      <w:bookmarkEnd w:id="71"/>
      <w:bookmarkStart w:id="72" w:name="_Toc184314441"/>
      <w:bookmarkEnd w:id="72"/>
      <w:bookmarkStart w:id="73" w:name="_Toc184314437"/>
      <w:bookmarkEnd w:id="73"/>
      <w:bookmarkStart w:id="74" w:name="_Toc184312125"/>
      <w:bookmarkEnd w:id="74"/>
      <w:bookmarkStart w:id="75" w:name="_Toc184312120"/>
      <w:bookmarkEnd w:id="75"/>
      <w:bookmarkStart w:id="76" w:name="_Toc184310326"/>
      <w:bookmarkEnd w:id="76"/>
      <w:bookmarkStart w:id="77" w:name="_Toc184312123"/>
      <w:bookmarkEnd w:id="77"/>
      <w:bookmarkStart w:id="78" w:name="_Toc184313309"/>
      <w:bookmarkEnd w:id="78"/>
      <w:bookmarkStart w:id="79" w:name="_Toc184308088"/>
      <w:bookmarkEnd w:id="79"/>
      <w:bookmarkStart w:id="80" w:name="_Toc184314456"/>
      <w:bookmarkEnd w:id="80"/>
      <w:bookmarkStart w:id="81" w:name="_Toc184310303"/>
      <w:bookmarkEnd w:id="81"/>
      <w:bookmarkStart w:id="82" w:name="_Toc184314446"/>
      <w:bookmarkEnd w:id="82"/>
      <w:bookmarkStart w:id="83" w:name="_Toc184308050"/>
      <w:bookmarkEnd w:id="83"/>
      <w:bookmarkStart w:id="84" w:name="_Toc184313265"/>
      <w:bookmarkEnd w:id="84"/>
      <w:bookmarkStart w:id="85" w:name="_Toc184312098"/>
      <w:bookmarkEnd w:id="85"/>
      <w:bookmarkStart w:id="86" w:name="_Toc184313276"/>
      <w:bookmarkEnd w:id="86"/>
      <w:bookmarkStart w:id="87" w:name="_Toc184308065"/>
      <w:bookmarkEnd w:id="87"/>
      <w:bookmarkStart w:id="88" w:name="_Toc184308052"/>
      <w:bookmarkEnd w:id="88"/>
      <w:bookmarkStart w:id="89" w:name="_Toc184310309"/>
      <w:bookmarkEnd w:id="89"/>
      <w:bookmarkStart w:id="90" w:name="_Toc184312078"/>
      <w:bookmarkEnd w:id="90"/>
      <w:bookmarkStart w:id="91" w:name="_Toc184308100"/>
      <w:bookmarkEnd w:id="91"/>
      <w:bookmarkStart w:id="92" w:name="_Toc184310304"/>
      <w:bookmarkEnd w:id="92"/>
      <w:bookmarkStart w:id="93" w:name="_Toc184313264"/>
      <w:bookmarkEnd w:id="93"/>
      <w:bookmarkStart w:id="94" w:name="_Toc184310289"/>
      <w:bookmarkEnd w:id="94"/>
      <w:bookmarkStart w:id="95" w:name="_Toc184312085"/>
      <w:bookmarkEnd w:id="95"/>
      <w:bookmarkStart w:id="96" w:name="_Toc184314452"/>
      <w:bookmarkEnd w:id="96"/>
      <w:bookmarkStart w:id="97" w:name="_Toc184310282"/>
      <w:bookmarkEnd w:id="97"/>
      <w:bookmarkStart w:id="98" w:name="_Toc184310272"/>
      <w:bookmarkEnd w:id="98"/>
      <w:bookmarkStart w:id="99" w:name="_Toc184314419"/>
      <w:bookmarkEnd w:id="99"/>
      <w:bookmarkStart w:id="100" w:name="_Toc184308036"/>
      <w:bookmarkEnd w:id="100"/>
      <w:bookmarkStart w:id="101" w:name="_Toc184310337"/>
      <w:bookmarkEnd w:id="101"/>
      <w:bookmarkStart w:id="102" w:name="_Toc184308091"/>
      <w:bookmarkEnd w:id="102"/>
      <w:bookmarkStart w:id="103" w:name="_Toc184314424"/>
      <w:bookmarkEnd w:id="103"/>
      <w:bookmarkStart w:id="104" w:name="_Toc184308082"/>
      <w:bookmarkEnd w:id="104"/>
      <w:bookmarkStart w:id="105" w:name="_Toc184308084"/>
      <w:bookmarkEnd w:id="105"/>
      <w:bookmarkStart w:id="106" w:name="_Toc184308089"/>
      <w:bookmarkEnd w:id="106"/>
      <w:bookmarkStart w:id="107" w:name="_Toc184310338"/>
      <w:bookmarkEnd w:id="107"/>
      <w:bookmarkStart w:id="108" w:name="_Toc184312118"/>
      <w:bookmarkEnd w:id="108"/>
      <w:bookmarkStart w:id="109" w:name="_Toc184312138"/>
      <w:bookmarkEnd w:id="109"/>
      <w:bookmarkStart w:id="110" w:name="_Toc184312119"/>
      <w:bookmarkEnd w:id="110"/>
      <w:bookmarkStart w:id="111" w:name="_Toc184314410"/>
      <w:bookmarkEnd w:id="111"/>
      <w:bookmarkStart w:id="112" w:name="_Toc184312100"/>
      <w:bookmarkEnd w:id="112"/>
      <w:bookmarkStart w:id="113" w:name="_Toc184310343"/>
      <w:bookmarkEnd w:id="113"/>
      <w:bookmarkStart w:id="114" w:name="_Toc184313298"/>
      <w:bookmarkEnd w:id="114"/>
      <w:bookmarkStart w:id="115" w:name="_Toc184308078"/>
      <w:bookmarkEnd w:id="115"/>
      <w:bookmarkStart w:id="116" w:name="_Toc184312103"/>
      <w:bookmarkEnd w:id="116"/>
      <w:bookmarkStart w:id="117" w:name="_Toc184312088"/>
      <w:bookmarkEnd w:id="117"/>
      <w:bookmarkStart w:id="118" w:name="_Toc184310301"/>
      <w:bookmarkEnd w:id="118"/>
      <w:bookmarkStart w:id="119" w:name="_Toc184314451"/>
      <w:bookmarkEnd w:id="119"/>
      <w:bookmarkStart w:id="120" w:name="_Toc184313288"/>
      <w:bookmarkEnd w:id="120"/>
      <w:bookmarkStart w:id="121" w:name="_Toc184312083"/>
      <w:bookmarkEnd w:id="121"/>
      <w:bookmarkStart w:id="122" w:name="_Toc184312104"/>
      <w:bookmarkEnd w:id="122"/>
      <w:bookmarkStart w:id="123" w:name="_Toc184313279"/>
      <w:bookmarkEnd w:id="123"/>
      <w:bookmarkStart w:id="124" w:name="_Toc184314421"/>
      <w:bookmarkEnd w:id="124"/>
      <w:bookmarkStart w:id="125" w:name="_Toc184312113"/>
      <w:bookmarkEnd w:id="125"/>
      <w:bookmarkStart w:id="126" w:name="_Toc184308073"/>
      <w:bookmarkEnd w:id="126"/>
      <w:bookmarkStart w:id="127" w:name="_Toc184313253"/>
      <w:bookmarkEnd w:id="127"/>
      <w:bookmarkStart w:id="128" w:name="_Toc184313261"/>
      <w:bookmarkEnd w:id="128"/>
      <w:bookmarkStart w:id="129" w:name="_Toc184312090"/>
      <w:bookmarkEnd w:id="129"/>
      <w:bookmarkStart w:id="130" w:name="_Toc184308102"/>
      <w:bookmarkEnd w:id="130"/>
      <w:bookmarkStart w:id="131" w:name="_Toc184310327"/>
      <w:bookmarkEnd w:id="131"/>
      <w:bookmarkStart w:id="132" w:name="_Toc184310302"/>
      <w:bookmarkEnd w:id="132"/>
      <w:bookmarkStart w:id="133" w:name="_Toc184314411"/>
      <w:bookmarkEnd w:id="133"/>
      <w:bookmarkStart w:id="134" w:name="_Toc184314432"/>
      <w:bookmarkEnd w:id="134"/>
      <w:bookmarkStart w:id="135" w:name="_Toc184313250"/>
      <w:bookmarkEnd w:id="135"/>
      <w:bookmarkStart w:id="136" w:name="_Toc184313305"/>
      <w:bookmarkEnd w:id="136"/>
      <w:bookmarkStart w:id="137" w:name="_Toc184310321"/>
      <w:bookmarkEnd w:id="137"/>
      <w:bookmarkStart w:id="138" w:name="_Toc184312129"/>
      <w:bookmarkEnd w:id="138"/>
      <w:bookmarkStart w:id="139" w:name="_Toc184308096"/>
      <w:bookmarkEnd w:id="139"/>
      <w:bookmarkStart w:id="140" w:name="_Toc184314416"/>
      <w:bookmarkEnd w:id="140"/>
      <w:bookmarkStart w:id="141" w:name="_Toc184313256"/>
      <w:bookmarkEnd w:id="141"/>
      <w:bookmarkStart w:id="142" w:name="_Toc184314471"/>
      <w:bookmarkEnd w:id="142"/>
      <w:bookmarkStart w:id="143" w:name="_Toc184313290"/>
      <w:bookmarkEnd w:id="143"/>
      <w:bookmarkStart w:id="144" w:name="_Toc184312071"/>
      <w:bookmarkEnd w:id="144"/>
      <w:bookmarkStart w:id="145" w:name="_Toc184313310"/>
      <w:bookmarkEnd w:id="145"/>
      <w:bookmarkStart w:id="146" w:name="_Toc184308048"/>
      <w:bookmarkEnd w:id="146"/>
      <w:bookmarkStart w:id="147" w:name="_Toc184314425"/>
      <w:bookmarkEnd w:id="147"/>
      <w:bookmarkStart w:id="148" w:name="_Toc184314415"/>
      <w:bookmarkEnd w:id="148"/>
      <w:bookmarkStart w:id="149" w:name="_Toc184313300"/>
      <w:bookmarkEnd w:id="149"/>
      <w:bookmarkStart w:id="150" w:name="_Toc184310294"/>
      <w:bookmarkEnd w:id="150"/>
      <w:bookmarkStart w:id="151" w:name="_Toc184308041"/>
      <w:bookmarkEnd w:id="151"/>
      <w:bookmarkStart w:id="152" w:name="_Toc184314476"/>
      <w:bookmarkEnd w:id="152"/>
      <w:bookmarkStart w:id="153" w:name="_Toc184310335"/>
      <w:bookmarkEnd w:id="153"/>
      <w:bookmarkStart w:id="154" w:name="_Toc184314435"/>
      <w:bookmarkEnd w:id="154"/>
      <w:bookmarkStart w:id="155" w:name="_Toc184310328"/>
      <w:bookmarkEnd w:id="155"/>
      <w:bookmarkStart w:id="156" w:name="_Toc184310290"/>
      <w:bookmarkEnd w:id="156"/>
      <w:bookmarkStart w:id="157" w:name="_Toc184312136"/>
      <w:bookmarkEnd w:id="157"/>
      <w:bookmarkStart w:id="158" w:name="_Toc184310336"/>
      <w:bookmarkEnd w:id="158"/>
      <w:bookmarkStart w:id="159" w:name="_Toc184313297"/>
      <w:bookmarkEnd w:id="159"/>
      <w:bookmarkStart w:id="160" w:name="_Toc184313278"/>
      <w:bookmarkEnd w:id="160"/>
      <w:bookmarkStart w:id="161" w:name="_Toc184310315"/>
      <w:bookmarkEnd w:id="161"/>
      <w:bookmarkStart w:id="162" w:name="_Toc184312093"/>
      <w:bookmarkEnd w:id="162"/>
      <w:bookmarkStart w:id="163" w:name="_Toc184314465"/>
      <w:bookmarkEnd w:id="163"/>
      <w:bookmarkStart w:id="164" w:name="_Toc184313272"/>
      <w:bookmarkEnd w:id="164"/>
      <w:bookmarkStart w:id="165" w:name="_Toc184313274"/>
      <w:bookmarkEnd w:id="165"/>
      <w:bookmarkStart w:id="166" w:name="_Toc184312096"/>
      <w:bookmarkEnd w:id="166"/>
      <w:bookmarkStart w:id="167" w:name="_Toc184312111"/>
      <w:bookmarkEnd w:id="167"/>
      <w:bookmarkStart w:id="168" w:name="_Toc184314469"/>
      <w:bookmarkEnd w:id="168"/>
      <w:bookmarkStart w:id="169" w:name="_Toc184313258"/>
      <w:bookmarkEnd w:id="169"/>
      <w:bookmarkStart w:id="170" w:name="_Toc184312108"/>
      <w:bookmarkEnd w:id="170"/>
      <w:bookmarkStart w:id="171" w:name="_Toc184310285"/>
      <w:bookmarkEnd w:id="171"/>
      <w:bookmarkStart w:id="172" w:name="_Toc184312139"/>
      <w:bookmarkEnd w:id="172"/>
      <w:bookmarkStart w:id="173" w:name="_Toc184314462"/>
      <w:bookmarkEnd w:id="173"/>
      <w:bookmarkStart w:id="174" w:name="_Toc184314417"/>
      <w:bookmarkEnd w:id="174"/>
      <w:bookmarkStart w:id="175" w:name="_Toc184310310"/>
      <w:bookmarkEnd w:id="175"/>
      <w:bookmarkStart w:id="176" w:name="_Toc184314433"/>
      <w:bookmarkEnd w:id="176"/>
      <w:bookmarkStart w:id="177" w:name="_Toc184310274"/>
      <w:bookmarkEnd w:id="177"/>
      <w:bookmarkStart w:id="178" w:name="_Toc184308107"/>
      <w:bookmarkEnd w:id="178"/>
      <w:bookmarkStart w:id="179" w:name="_Toc184310319"/>
      <w:bookmarkEnd w:id="179"/>
      <w:bookmarkStart w:id="180" w:name="_Toc184313243"/>
      <w:bookmarkEnd w:id="180"/>
      <w:bookmarkStart w:id="181" w:name="_Toc184312117"/>
      <w:bookmarkEnd w:id="181"/>
      <w:bookmarkStart w:id="182" w:name="_Toc184310286"/>
      <w:bookmarkEnd w:id="182"/>
      <w:bookmarkStart w:id="183" w:name="_Toc184313257"/>
      <w:bookmarkEnd w:id="183"/>
      <w:bookmarkStart w:id="184" w:name="_Toc184313302"/>
      <w:bookmarkEnd w:id="184"/>
      <w:bookmarkStart w:id="185" w:name="_Toc184314443"/>
      <w:bookmarkEnd w:id="185"/>
      <w:bookmarkStart w:id="186" w:name="_Toc184314474"/>
      <w:bookmarkEnd w:id="186"/>
      <w:bookmarkStart w:id="187" w:name="_Toc184313244"/>
      <w:bookmarkEnd w:id="187"/>
      <w:bookmarkStart w:id="188" w:name="_Toc184308106"/>
      <w:bookmarkEnd w:id="188"/>
      <w:bookmarkStart w:id="189" w:name="_Toc184310300"/>
      <w:bookmarkEnd w:id="189"/>
      <w:bookmarkStart w:id="190" w:name="_Toc184313281"/>
      <w:bookmarkEnd w:id="190"/>
      <w:bookmarkStart w:id="191" w:name="_Toc184313283"/>
      <w:bookmarkEnd w:id="191"/>
      <w:bookmarkStart w:id="192" w:name="_Toc184310276"/>
      <w:bookmarkEnd w:id="192"/>
      <w:bookmarkStart w:id="193" w:name="_Toc184313254"/>
      <w:bookmarkEnd w:id="193"/>
      <w:bookmarkStart w:id="194" w:name="_Toc184312072"/>
      <w:bookmarkEnd w:id="194"/>
      <w:bookmarkStart w:id="195" w:name="_Toc184314442"/>
      <w:bookmarkEnd w:id="195"/>
      <w:bookmarkStart w:id="196" w:name="_Toc184312126"/>
      <w:bookmarkEnd w:id="196"/>
      <w:bookmarkStart w:id="197" w:name="_Toc184310298"/>
      <w:bookmarkEnd w:id="197"/>
      <w:bookmarkStart w:id="198" w:name="_Toc184313247"/>
      <w:bookmarkEnd w:id="198"/>
      <w:bookmarkStart w:id="199" w:name="_Toc184308079"/>
      <w:bookmarkEnd w:id="199"/>
      <w:bookmarkStart w:id="200" w:name="_Toc184308038"/>
      <w:bookmarkEnd w:id="200"/>
      <w:bookmarkStart w:id="201" w:name="_Toc184308077"/>
      <w:bookmarkEnd w:id="201"/>
      <w:bookmarkStart w:id="202" w:name="_Toc184308071"/>
      <w:bookmarkEnd w:id="202"/>
      <w:bookmarkStart w:id="203" w:name="_Toc184313238"/>
      <w:bookmarkEnd w:id="203"/>
      <w:bookmarkStart w:id="204" w:name="_Toc184314461"/>
      <w:bookmarkEnd w:id="204"/>
      <w:bookmarkStart w:id="205" w:name="_Toc184313260"/>
      <w:bookmarkEnd w:id="205"/>
      <w:bookmarkStart w:id="206" w:name="_Toc184310311"/>
      <w:bookmarkEnd w:id="206"/>
      <w:bookmarkStart w:id="207" w:name="_Toc184312092"/>
      <w:bookmarkEnd w:id="207"/>
      <w:bookmarkStart w:id="208" w:name="_Toc184308059"/>
      <w:bookmarkEnd w:id="208"/>
      <w:bookmarkStart w:id="209" w:name="_Toc184314472"/>
      <w:bookmarkEnd w:id="209"/>
      <w:bookmarkStart w:id="210" w:name="_Toc184308074"/>
      <w:bookmarkEnd w:id="210"/>
      <w:bookmarkStart w:id="211" w:name="_Toc184308045"/>
      <w:bookmarkEnd w:id="211"/>
      <w:bookmarkStart w:id="212" w:name="_Toc184308069"/>
      <w:bookmarkEnd w:id="212"/>
      <w:bookmarkStart w:id="213" w:name="_Toc184314420"/>
      <w:bookmarkEnd w:id="213"/>
      <w:bookmarkStart w:id="214" w:name="_Toc184313275"/>
      <w:bookmarkEnd w:id="214"/>
      <w:bookmarkStart w:id="215" w:name="_Toc184314473"/>
      <w:bookmarkEnd w:id="215"/>
      <w:bookmarkStart w:id="216" w:name="_Toc184308105"/>
      <w:bookmarkEnd w:id="216"/>
      <w:bookmarkStart w:id="217" w:name="_Toc184313246"/>
      <w:bookmarkEnd w:id="217"/>
      <w:bookmarkStart w:id="218" w:name="_Toc184310339"/>
      <w:bookmarkEnd w:id="218"/>
      <w:bookmarkStart w:id="219" w:name="_Toc184312080"/>
      <w:bookmarkEnd w:id="219"/>
      <w:bookmarkStart w:id="220" w:name="_Toc184313295"/>
      <w:bookmarkEnd w:id="220"/>
      <w:bookmarkStart w:id="221" w:name="_Toc184310344"/>
      <w:bookmarkEnd w:id="221"/>
      <w:bookmarkStart w:id="222" w:name="_Toc184314426"/>
      <w:bookmarkEnd w:id="222"/>
      <w:bookmarkStart w:id="223" w:name="_Toc184314434"/>
      <w:bookmarkEnd w:id="223"/>
      <w:bookmarkStart w:id="224" w:name="_Toc184308076"/>
      <w:bookmarkEnd w:id="224"/>
      <w:bookmarkStart w:id="225" w:name="_Toc184313270"/>
      <w:bookmarkEnd w:id="225"/>
      <w:bookmarkStart w:id="226" w:name="_Toc184310283"/>
      <w:bookmarkEnd w:id="226"/>
      <w:bookmarkStart w:id="227" w:name="_Toc184312079"/>
      <w:bookmarkEnd w:id="227"/>
      <w:bookmarkStart w:id="228" w:name="_Toc184310313"/>
      <w:bookmarkEnd w:id="228"/>
      <w:bookmarkStart w:id="229" w:name="_Toc184310273"/>
      <w:bookmarkEnd w:id="229"/>
      <w:bookmarkStart w:id="230" w:name="_Toc184314414"/>
      <w:bookmarkEnd w:id="230"/>
      <w:bookmarkStart w:id="231" w:name="_Toc184310316"/>
      <w:bookmarkEnd w:id="231"/>
      <w:bookmarkStart w:id="232" w:name="_Toc184310318"/>
      <w:bookmarkEnd w:id="232"/>
      <w:bookmarkStart w:id="233" w:name="_Toc184313242"/>
      <w:bookmarkEnd w:id="233"/>
      <w:bookmarkStart w:id="234" w:name="_Toc184312076"/>
      <w:bookmarkEnd w:id="234"/>
      <w:bookmarkStart w:id="235" w:name="_Toc184308086"/>
      <w:bookmarkEnd w:id="235"/>
      <w:bookmarkStart w:id="236" w:name="_Toc184308083"/>
      <w:bookmarkEnd w:id="236"/>
      <w:bookmarkStart w:id="237" w:name="_Toc184310280"/>
      <w:bookmarkEnd w:id="237"/>
      <w:bookmarkStart w:id="238" w:name="_Toc184312114"/>
      <w:bookmarkEnd w:id="238"/>
      <w:bookmarkStart w:id="239" w:name="_Toc184310305"/>
      <w:bookmarkEnd w:id="239"/>
      <w:bookmarkStart w:id="240" w:name="_Toc184312087"/>
      <w:bookmarkEnd w:id="240"/>
      <w:bookmarkStart w:id="241" w:name="_Toc184313293"/>
      <w:bookmarkEnd w:id="241"/>
      <w:bookmarkStart w:id="242" w:name="_Toc184308044"/>
      <w:bookmarkEnd w:id="242"/>
      <w:bookmarkStart w:id="243" w:name="_Toc184308075"/>
      <w:bookmarkEnd w:id="243"/>
      <w:bookmarkStart w:id="244" w:name="_Toc184314480"/>
      <w:bookmarkEnd w:id="244"/>
      <w:bookmarkStart w:id="245" w:name="_Toc184314448"/>
      <w:bookmarkEnd w:id="245"/>
      <w:bookmarkStart w:id="246" w:name="_Toc184308056"/>
      <w:bookmarkEnd w:id="246"/>
      <w:bookmarkStart w:id="247" w:name="_Toc184310308"/>
      <w:bookmarkEnd w:id="247"/>
      <w:bookmarkStart w:id="248" w:name="_Toc184308090"/>
      <w:bookmarkEnd w:id="248"/>
      <w:bookmarkStart w:id="249" w:name="_Toc184310284"/>
      <w:bookmarkEnd w:id="249"/>
      <w:bookmarkStart w:id="250" w:name="_Toc184310312"/>
      <w:bookmarkEnd w:id="250"/>
      <w:bookmarkStart w:id="251" w:name="_Toc184312135"/>
      <w:bookmarkEnd w:id="251"/>
      <w:bookmarkStart w:id="252" w:name="_Toc184310287"/>
      <w:bookmarkEnd w:id="252"/>
      <w:bookmarkStart w:id="253" w:name="_Toc184312131"/>
      <w:bookmarkEnd w:id="253"/>
      <w:bookmarkStart w:id="254" w:name="_Toc184312132"/>
      <w:bookmarkEnd w:id="254"/>
      <w:bookmarkStart w:id="255" w:name="_Toc184312097"/>
      <w:bookmarkEnd w:id="255"/>
      <w:bookmarkStart w:id="256" w:name="_Toc184308063"/>
      <w:bookmarkEnd w:id="256"/>
      <w:bookmarkStart w:id="257" w:name="_Toc184313266"/>
      <w:bookmarkEnd w:id="257"/>
      <w:bookmarkStart w:id="258" w:name="_Toc184313269"/>
      <w:bookmarkEnd w:id="258"/>
      <w:bookmarkStart w:id="259" w:name="_Toc184313291"/>
      <w:bookmarkEnd w:id="259"/>
      <w:bookmarkStart w:id="260" w:name="_Toc184308060"/>
      <w:bookmarkEnd w:id="260"/>
      <w:bookmarkStart w:id="261" w:name="_Toc184313308"/>
      <w:bookmarkEnd w:id="261"/>
      <w:bookmarkStart w:id="262" w:name="_Toc184310292"/>
      <w:bookmarkEnd w:id="262"/>
      <w:bookmarkStart w:id="263" w:name="_Toc184310307"/>
      <w:bookmarkEnd w:id="263"/>
      <w:bookmarkStart w:id="264" w:name="_Toc184313240"/>
      <w:bookmarkEnd w:id="264"/>
      <w:bookmarkStart w:id="265" w:name="_Toc184310277"/>
      <w:bookmarkEnd w:id="265"/>
      <w:bookmarkStart w:id="266" w:name="_Toc184308087"/>
      <w:bookmarkEnd w:id="266"/>
      <w:bookmarkStart w:id="267" w:name="_Toc184313239"/>
      <w:bookmarkEnd w:id="267"/>
      <w:bookmarkStart w:id="268" w:name="_Toc184314479"/>
      <w:bookmarkEnd w:id="268"/>
      <w:bookmarkStart w:id="269" w:name="_Toc184310323"/>
      <w:bookmarkEnd w:id="269"/>
      <w:bookmarkStart w:id="270" w:name="_Toc184313273"/>
      <w:bookmarkEnd w:id="270"/>
      <w:bookmarkStart w:id="271" w:name="_Toc184313259"/>
      <w:bookmarkEnd w:id="271"/>
      <w:bookmarkStart w:id="272" w:name="_Toc184312112"/>
      <w:bookmarkEnd w:id="272"/>
      <w:bookmarkStart w:id="273" w:name="_Toc184308070"/>
      <w:bookmarkEnd w:id="273"/>
      <w:bookmarkStart w:id="274" w:name="_Toc184313248"/>
      <w:bookmarkEnd w:id="274"/>
      <w:bookmarkStart w:id="275" w:name="_Toc184313280"/>
      <w:bookmarkEnd w:id="275"/>
      <w:bookmarkStart w:id="276" w:name="_Toc184310324"/>
      <w:bookmarkEnd w:id="276"/>
      <w:bookmarkStart w:id="277" w:name="_Toc184314449"/>
      <w:bookmarkEnd w:id="277"/>
      <w:bookmarkStart w:id="278" w:name="_Toc184314418"/>
      <w:bookmarkEnd w:id="278"/>
      <w:bookmarkStart w:id="279" w:name="_Toc184308055"/>
      <w:bookmarkEnd w:id="279"/>
      <w:bookmarkStart w:id="280" w:name="_Toc184313307"/>
      <w:bookmarkEnd w:id="280"/>
      <w:bookmarkStart w:id="281" w:name="_Toc184308051"/>
      <w:bookmarkEnd w:id="281"/>
      <w:bookmarkStart w:id="282" w:name="_Toc184312115"/>
      <w:bookmarkEnd w:id="282"/>
      <w:bookmarkStart w:id="283" w:name="_Toc184313282"/>
      <w:bookmarkEnd w:id="283"/>
      <w:bookmarkStart w:id="284" w:name="_Toc184308066"/>
      <w:bookmarkEnd w:id="284"/>
      <w:bookmarkStart w:id="285" w:name="_Toc184313263"/>
      <w:bookmarkEnd w:id="285"/>
      <w:bookmarkStart w:id="286" w:name="_Toc184308054"/>
      <w:bookmarkEnd w:id="286"/>
      <w:bookmarkStart w:id="287" w:name="_Toc184310306"/>
      <w:bookmarkEnd w:id="287"/>
      <w:bookmarkStart w:id="288" w:name="_Toc184312073"/>
      <w:bookmarkEnd w:id="288"/>
      <w:bookmarkStart w:id="289" w:name="_Toc184308093"/>
      <w:bookmarkEnd w:id="289"/>
      <w:bookmarkStart w:id="290" w:name="_Toc184314422"/>
      <w:bookmarkEnd w:id="290"/>
      <w:bookmarkStart w:id="291" w:name="_Toc184312086"/>
      <w:bookmarkEnd w:id="291"/>
      <w:bookmarkStart w:id="292" w:name="_Toc184313267"/>
      <w:bookmarkEnd w:id="292"/>
      <w:bookmarkStart w:id="293" w:name="_Toc184310342"/>
      <w:bookmarkEnd w:id="293"/>
      <w:bookmarkStart w:id="294" w:name="_Toc184308072"/>
      <w:bookmarkEnd w:id="294"/>
      <w:bookmarkStart w:id="295" w:name="_Toc184310329"/>
      <w:bookmarkEnd w:id="295"/>
      <w:bookmarkStart w:id="296" w:name="_Toc184310288"/>
      <w:bookmarkEnd w:id="296"/>
      <w:bookmarkStart w:id="297" w:name="_Toc184313294"/>
      <w:bookmarkEnd w:id="297"/>
      <w:bookmarkStart w:id="298" w:name="_Toc184308104"/>
      <w:bookmarkEnd w:id="298"/>
      <w:bookmarkStart w:id="299" w:name="_Toc184312068"/>
      <w:bookmarkEnd w:id="299"/>
      <w:bookmarkStart w:id="300" w:name="_Toc184308099"/>
      <w:bookmarkEnd w:id="300"/>
      <w:bookmarkStart w:id="301" w:name="_Toc184312070"/>
      <w:bookmarkEnd w:id="301"/>
      <w:bookmarkStart w:id="302" w:name="_Toc184312067"/>
      <w:bookmarkEnd w:id="302"/>
      <w:bookmarkStart w:id="303" w:name="_Toc184314430"/>
      <w:bookmarkEnd w:id="303"/>
      <w:bookmarkStart w:id="304" w:name="_Toc184310279"/>
      <w:bookmarkEnd w:id="304"/>
      <w:bookmarkStart w:id="305" w:name="_Toc184313241"/>
      <w:bookmarkEnd w:id="305"/>
      <w:bookmarkStart w:id="306" w:name="_Toc184308067"/>
      <w:bookmarkEnd w:id="306"/>
      <w:bookmarkStart w:id="307" w:name="_Toc184314438"/>
      <w:bookmarkEnd w:id="307"/>
      <w:bookmarkStart w:id="308" w:name="_Toc184308101"/>
      <w:bookmarkEnd w:id="308"/>
      <w:bookmarkStart w:id="309" w:name="_Toc184312127"/>
      <w:bookmarkEnd w:id="309"/>
      <w:bookmarkStart w:id="310" w:name="_Toc184310278"/>
      <w:bookmarkEnd w:id="310"/>
      <w:bookmarkStart w:id="311" w:name="_Toc184310340"/>
      <w:bookmarkEnd w:id="311"/>
      <w:bookmarkStart w:id="312" w:name="_Toc184308061"/>
      <w:bookmarkEnd w:id="312"/>
      <w:bookmarkStart w:id="313" w:name="_Toc184312106"/>
      <w:bookmarkEnd w:id="313"/>
      <w:bookmarkStart w:id="314" w:name="_Toc184308040"/>
      <w:bookmarkEnd w:id="314"/>
      <w:bookmarkStart w:id="315" w:name="_Toc184313301"/>
      <w:bookmarkEnd w:id="315"/>
      <w:bookmarkStart w:id="316" w:name="_Toc184308049"/>
      <w:bookmarkEnd w:id="316"/>
      <w:bookmarkStart w:id="317" w:name="_Toc184313252"/>
      <w:bookmarkEnd w:id="317"/>
      <w:bookmarkStart w:id="318" w:name="_Toc184313255"/>
      <w:bookmarkEnd w:id="318"/>
      <w:bookmarkStart w:id="319" w:name="_Toc184310341"/>
      <w:bookmarkEnd w:id="319"/>
      <w:bookmarkStart w:id="320" w:name="_Toc184313277"/>
      <w:bookmarkEnd w:id="320"/>
      <w:bookmarkStart w:id="321" w:name="_Toc184314428"/>
      <w:bookmarkEnd w:id="321"/>
      <w:bookmarkStart w:id="322" w:name="_Toc184313292"/>
      <w:bookmarkEnd w:id="322"/>
      <w:bookmarkStart w:id="323" w:name="_Toc184310331"/>
      <w:bookmarkEnd w:id="323"/>
      <w:bookmarkStart w:id="324" w:name="_Toc184314458"/>
      <w:bookmarkEnd w:id="324"/>
      <w:bookmarkStart w:id="325" w:name="_Toc184314440"/>
      <w:bookmarkEnd w:id="325"/>
      <w:bookmarkStart w:id="326" w:name="_Toc184308108"/>
      <w:bookmarkEnd w:id="326"/>
      <w:bookmarkStart w:id="327" w:name="_Toc184310299"/>
      <w:bookmarkEnd w:id="327"/>
      <w:bookmarkStart w:id="328" w:name="_Toc184314429"/>
      <w:bookmarkEnd w:id="328"/>
      <w:bookmarkStart w:id="329" w:name="_Toc184314475"/>
      <w:bookmarkEnd w:id="329"/>
      <w:bookmarkStart w:id="330" w:name="_Toc184308039"/>
      <w:bookmarkEnd w:id="330"/>
      <w:bookmarkStart w:id="331" w:name="_Toc184314439"/>
      <w:bookmarkEnd w:id="331"/>
      <w:bookmarkStart w:id="332" w:name="_Toc184314466"/>
      <w:bookmarkEnd w:id="332"/>
      <w:bookmarkStart w:id="333" w:name="_Toc184314482"/>
      <w:bookmarkEnd w:id="333"/>
      <w:bookmarkStart w:id="334" w:name="_Toc184312084"/>
      <w:bookmarkEnd w:id="334"/>
      <w:bookmarkStart w:id="335" w:name="_Toc184314478"/>
      <w:bookmarkEnd w:id="335"/>
      <w:bookmarkStart w:id="336" w:name="_Toc184313299"/>
      <w:bookmarkEnd w:id="336"/>
      <w:bookmarkStart w:id="337" w:name="_Toc184308053"/>
      <w:bookmarkEnd w:id="337"/>
      <w:bookmarkStart w:id="338" w:name="_Toc184310297"/>
      <w:bookmarkEnd w:id="338"/>
      <w:bookmarkStart w:id="339" w:name="_Toc184308081"/>
      <w:bookmarkEnd w:id="339"/>
      <w:bookmarkStart w:id="340" w:name="_Toc184314467"/>
      <w:bookmarkEnd w:id="340"/>
      <w:bookmarkStart w:id="341" w:name="_Toc184314427"/>
      <w:bookmarkEnd w:id="341"/>
      <w:bookmarkStart w:id="342" w:name="_Toc184310275"/>
      <w:bookmarkEnd w:id="342"/>
      <w:bookmarkStart w:id="343" w:name="_Toc184313287"/>
      <w:bookmarkEnd w:id="343"/>
      <w:bookmarkStart w:id="344" w:name="_Toc184314457"/>
      <w:bookmarkEnd w:id="344"/>
      <w:bookmarkStart w:id="345" w:name="_Toc184310332"/>
      <w:bookmarkEnd w:id="345"/>
      <w:bookmarkStart w:id="346" w:name="_Toc184314454"/>
      <w:bookmarkEnd w:id="346"/>
      <w:bookmarkStart w:id="347" w:name="_Toc184313304"/>
      <w:bookmarkEnd w:id="347"/>
      <w:bookmarkStart w:id="348" w:name="_Toc184314470"/>
      <w:bookmarkEnd w:id="348"/>
      <w:bookmarkStart w:id="349" w:name="_Toc184314431"/>
      <w:bookmarkEnd w:id="349"/>
      <w:bookmarkStart w:id="350" w:name="_Toc184310291"/>
      <w:bookmarkEnd w:id="350"/>
      <w:bookmarkStart w:id="351" w:name="_Toc184313251"/>
      <w:bookmarkEnd w:id="351"/>
      <w:bookmarkStart w:id="352" w:name="_Toc184308068"/>
      <w:bookmarkEnd w:id="352"/>
      <w:bookmarkStart w:id="353" w:name="_Toc184308085"/>
      <w:bookmarkEnd w:id="353"/>
      <w:bookmarkStart w:id="354" w:name="_Toc184314447"/>
      <w:bookmarkEnd w:id="354"/>
      <w:bookmarkStart w:id="355" w:name="_Toc184312082"/>
      <w:bookmarkEnd w:id="355"/>
      <w:bookmarkStart w:id="356" w:name="_Toc184314423"/>
      <w:bookmarkEnd w:id="356"/>
      <w:bookmarkStart w:id="357" w:name="_Toc184308103"/>
      <w:bookmarkEnd w:id="357"/>
      <w:bookmarkStart w:id="358" w:name="_Toc184312109"/>
      <w:bookmarkEnd w:id="358"/>
      <w:bookmarkStart w:id="359" w:name="_Toc184314463"/>
      <w:bookmarkEnd w:id="359"/>
      <w:bookmarkStart w:id="360" w:name="_Toc184312102"/>
      <w:bookmarkEnd w:id="360"/>
      <w:bookmarkStart w:id="361" w:name="_Toc184308062"/>
      <w:bookmarkEnd w:id="361"/>
      <w:bookmarkStart w:id="362" w:name="_Toc184308037"/>
      <w:bookmarkEnd w:id="362"/>
      <w:bookmarkStart w:id="363" w:name="_Toc184312130"/>
      <w:bookmarkEnd w:id="363"/>
      <w:bookmarkStart w:id="364" w:name="_Toc184308092"/>
      <w:bookmarkEnd w:id="364"/>
      <w:bookmarkStart w:id="365" w:name="_Toc184312116"/>
      <w:bookmarkEnd w:id="365"/>
      <w:bookmarkStart w:id="366" w:name="_Toc184314460"/>
      <w:bookmarkEnd w:id="366"/>
      <w:bookmarkStart w:id="367" w:name="_Toc184313306"/>
      <w:bookmarkEnd w:id="367"/>
      <w:bookmarkStart w:id="368" w:name="_Toc184313286"/>
      <w:bookmarkEnd w:id="368"/>
      <w:bookmarkStart w:id="369" w:name="_Toc184310330"/>
      <w:bookmarkEnd w:id="369"/>
      <w:bookmarkStart w:id="370" w:name="_Toc184313285"/>
      <w:bookmarkEnd w:id="370"/>
      <w:bookmarkStart w:id="371" w:name="_Toc184310293"/>
      <w:bookmarkEnd w:id="371"/>
      <w:bookmarkStart w:id="372" w:name="_Toc184312107"/>
      <w:bookmarkEnd w:id="372"/>
      <w:bookmarkStart w:id="373" w:name="_Toc184310325"/>
      <w:bookmarkEnd w:id="373"/>
      <w:bookmarkStart w:id="374" w:name="_Toc184312121"/>
      <w:bookmarkEnd w:id="374"/>
      <w:bookmarkStart w:id="375" w:name="_Toc184312134"/>
      <w:bookmarkEnd w:id="375"/>
      <w:bookmarkStart w:id="376" w:name="_Toc184310320"/>
      <w:bookmarkEnd w:id="376"/>
      <w:bookmarkStart w:id="377" w:name="_Toc184314450"/>
      <w:bookmarkEnd w:id="377"/>
      <w:bookmarkStart w:id="378" w:name="_Toc184313303"/>
      <w:bookmarkEnd w:id="378"/>
      <w:bookmarkStart w:id="379" w:name="_Toc184313271"/>
      <w:bookmarkEnd w:id="379"/>
      <w:bookmarkStart w:id="380" w:name="_Toc184314455"/>
      <w:bookmarkEnd w:id="380"/>
      <w:bookmarkStart w:id="381" w:name="_Toc184312099"/>
      <w:bookmarkEnd w:id="381"/>
      <w:bookmarkStart w:id="382" w:name="_Toc184312089"/>
      <w:bookmarkEnd w:id="382"/>
      <w:bookmarkStart w:id="383" w:name="_Toc184308064"/>
      <w:bookmarkEnd w:id="383"/>
      <w:bookmarkStart w:id="384" w:name="_Toc184310322"/>
      <w:bookmarkEnd w:id="384"/>
      <w:bookmarkStart w:id="385" w:name="_Toc184308058"/>
      <w:bookmarkEnd w:id="385"/>
      <w:bookmarkStart w:id="386" w:name="_Toc184314436"/>
      <w:bookmarkEnd w:id="386"/>
      <w:bookmarkStart w:id="387" w:name="_Toc184313262"/>
      <w:bookmarkEnd w:id="387"/>
      <w:bookmarkStart w:id="388" w:name="_Toc184310334"/>
      <w:bookmarkEnd w:id="388"/>
      <w:bookmarkStart w:id="389" w:name="_Toc184308057"/>
      <w:bookmarkEnd w:id="389"/>
      <w:bookmarkStart w:id="390" w:name="_Toc184314459"/>
      <w:bookmarkEnd w:id="390"/>
      <w:bookmarkStart w:id="391" w:name="_Toc184310317"/>
      <w:bookmarkEnd w:id="391"/>
      <w:bookmarkStart w:id="392" w:name="_Toc184312094"/>
      <w:bookmarkEnd w:id="392"/>
      <w:r>
        <w:rPr>
          <w:rFonts w:hint="eastAsia" w:ascii="宋体" w:hAnsi="宋体" w:eastAsia="宋体" w:cs="宋体"/>
          <w:b/>
          <w:sz w:val="36"/>
          <w:szCs w:val="36"/>
          <w:highlight w:val="none"/>
        </w:rPr>
        <w:t>评标办法</w:t>
      </w:r>
    </w:p>
    <w:p>
      <w:pPr>
        <w:snapToGrid w:val="0"/>
        <w:spacing w:line="360" w:lineRule="auto"/>
        <w:jc w:val="center"/>
        <w:rPr>
          <w:rFonts w:hint="eastAsia" w:ascii="宋体" w:hAnsi="宋体" w:eastAsia="宋体" w:cs="宋体"/>
          <w:sz w:val="28"/>
          <w:highlight w:val="none"/>
        </w:rPr>
      </w:pPr>
      <w:r>
        <w:rPr>
          <w:rFonts w:hint="eastAsia" w:ascii="宋体" w:hAnsi="宋体" w:eastAsia="宋体" w:cs="宋体"/>
          <w:b/>
          <w:sz w:val="32"/>
          <w:szCs w:val="20"/>
          <w:highlight w:val="none"/>
        </w:rPr>
        <w:t>评标办法前附表</w:t>
      </w:r>
    </w:p>
    <w:tbl>
      <w:tblPr>
        <w:tblStyle w:val="16"/>
        <w:tblpPr w:leftFromText="180" w:rightFromText="180" w:vertAnchor="text" w:horzAnchor="page" w:tblpX="1762" w:tblpY="617"/>
        <w:tblOverlap w:val="never"/>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5" w:type="dxa"/>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highlight w:val="none"/>
              </w:rPr>
            </w:pPr>
            <w:r>
              <w:rPr>
                <w:rFonts w:hint="eastAsia"/>
                <w:highlight w:val="none"/>
              </w:rPr>
              <w:t>评分项目</w:t>
            </w:r>
          </w:p>
        </w:tc>
        <w:tc>
          <w:tcPr>
            <w:tcW w:w="7757"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highlight w:val="none"/>
              </w:rPr>
            </w:pPr>
            <w:r>
              <w:rPr>
                <w:rFonts w:hint="eastAsia"/>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restart"/>
            <w:tcBorders>
              <w:top w:val="single" w:color="auto" w:sz="4" w:space="0"/>
              <w:left w:val="single" w:color="auto" w:sz="4" w:space="0"/>
              <w:right w:val="single" w:color="auto" w:sz="4" w:space="0"/>
            </w:tcBorders>
            <w:noWrap w:val="0"/>
            <w:vAlign w:val="center"/>
          </w:tcPr>
          <w:p>
            <w:pPr>
              <w:bidi w:val="0"/>
              <w:rPr>
                <w:rFonts w:hint="eastAsia"/>
                <w:highlight w:val="none"/>
              </w:rPr>
            </w:pPr>
            <w:r>
              <w:rPr>
                <w:rFonts w:hint="eastAsia"/>
                <w:highlight w:val="none"/>
              </w:rPr>
              <w:t>资信技术分65分</w:t>
            </w:r>
          </w:p>
        </w:tc>
        <w:tc>
          <w:tcPr>
            <w:tcW w:w="7757" w:type="dxa"/>
            <w:tcBorders>
              <w:top w:val="single" w:color="auto" w:sz="4" w:space="0"/>
              <w:left w:val="single" w:color="auto" w:sz="4" w:space="0"/>
              <w:right w:val="single" w:color="auto" w:sz="4" w:space="0"/>
            </w:tcBorders>
            <w:noWrap w:val="0"/>
            <w:vAlign w:val="center"/>
          </w:tcPr>
          <w:p>
            <w:pPr>
              <w:bidi w:val="0"/>
              <w:rPr>
                <w:rFonts w:hint="eastAsia"/>
                <w:highlight w:val="none"/>
              </w:rPr>
            </w:pPr>
            <w:r>
              <w:rPr>
                <w:rFonts w:hint="eastAsia"/>
                <w:highlight w:val="none"/>
              </w:rPr>
              <w:t>1、技术响应情况（15分）</w:t>
            </w:r>
          </w:p>
          <w:p>
            <w:pPr>
              <w:bidi w:val="0"/>
              <w:rPr>
                <w:rFonts w:hint="eastAsia" w:eastAsia="宋体"/>
                <w:highlight w:val="none"/>
                <w:lang w:eastAsia="zh-CN"/>
              </w:rPr>
            </w:pPr>
            <w:r>
              <w:rPr>
                <w:rFonts w:hint="eastAsia"/>
                <w:highlight w:val="none"/>
              </w:rPr>
              <w:t>投标人根据采购文件（采购货物主要设备清单、技术要求）所列设备技术参数等选择最合适本采购项目设备进行投标，技术参数完全符合要求的得15分；一般技术参数负偏离的每条扣</w:t>
            </w:r>
            <w:r>
              <w:rPr>
                <w:rFonts w:hint="eastAsia"/>
                <w:highlight w:val="none"/>
                <w:lang w:val="en-US" w:eastAsia="zh-CN"/>
              </w:rPr>
              <w:t>1</w:t>
            </w:r>
            <w:r>
              <w:rPr>
                <w:rFonts w:hint="eastAsia"/>
                <w:highlight w:val="none"/>
              </w:rPr>
              <w:t>分；标★的技术参数为重要参数，有负偏离的每条扣</w:t>
            </w:r>
            <w:r>
              <w:rPr>
                <w:rFonts w:hint="eastAsia"/>
                <w:highlight w:val="none"/>
                <w:lang w:val="en-US" w:eastAsia="zh-CN"/>
              </w:rPr>
              <w:t>2</w:t>
            </w:r>
            <w:r>
              <w:rPr>
                <w:rFonts w:hint="eastAsia"/>
                <w:highlight w:val="none"/>
              </w:rPr>
              <w:t>分；扣完为止。标“▲”号的技术参数为实质性条款，任一负偏离将作无效标处理</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center"/>
          </w:tcPr>
          <w:p>
            <w:pPr>
              <w:bidi w:val="0"/>
              <w:rPr>
                <w:rFonts w:hint="eastAsia"/>
                <w:highlight w:val="none"/>
                <w:lang w:val="zh-TW"/>
              </w:rPr>
            </w:pPr>
            <w:r>
              <w:rPr>
                <w:rFonts w:hint="eastAsia"/>
                <w:highlight w:val="none"/>
                <w:lang w:val="zh-TW"/>
              </w:rPr>
              <w:t>2、产品质量（12分）</w:t>
            </w:r>
          </w:p>
          <w:p>
            <w:pPr>
              <w:bidi w:val="0"/>
              <w:rPr>
                <w:rFonts w:hint="eastAsia"/>
                <w:highlight w:val="none"/>
              </w:rPr>
            </w:pPr>
            <w:r>
              <w:rPr>
                <w:rFonts w:hint="eastAsia"/>
                <w:highlight w:val="none"/>
              </w:rPr>
              <w:t>①LE</w:t>
            </w:r>
            <w:r>
              <w:rPr>
                <w:rFonts w:hint="eastAsia"/>
                <w:highlight w:val="none"/>
                <w:lang w:val="en-US" w:eastAsia="zh-CN"/>
              </w:rPr>
              <w:t>D光源模组</w:t>
            </w:r>
            <w:r>
              <w:rPr>
                <w:rFonts w:hint="eastAsia"/>
                <w:highlight w:val="none"/>
              </w:rPr>
              <w:t>（2</w:t>
            </w:r>
            <w:r>
              <w:rPr>
                <w:rFonts w:hint="eastAsia"/>
                <w:highlight w:val="none"/>
                <w:lang w:val="en-US" w:eastAsia="zh-CN"/>
              </w:rPr>
              <w:t>5</w:t>
            </w:r>
            <w:r>
              <w:rPr>
                <w:rFonts w:hint="eastAsia"/>
                <w:highlight w:val="none"/>
              </w:rPr>
              <w:t>0W）：整灯光效≥1</w:t>
            </w:r>
            <w:r>
              <w:rPr>
                <w:rFonts w:hint="eastAsia"/>
                <w:highlight w:val="none"/>
                <w:lang w:val="en-US" w:eastAsia="zh-CN"/>
              </w:rPr>
              <w:t>75</w:t>
            </w:r>
            <w:r>
              <w:rPr>
                <w:rFonts w:hint="eastAsia"/>
                <w:highlight w:val="none"/>
              </w:rPr>
              <w:t>lm/W得6分，1</w:t>
            </w:r>
            <w:r>
              <w:rPr>
                <w:rFonts w:hint="eastAsia"/>
                <w:highlight w:val="none"/>
                <w:lang w:val="en-US" w:eastAsia="zh-CN"/>
              </w:rPr>
              <w:t>75</w:t>
            </w:r>
            <w:r>
              <w:rPr>
                <w:rFonts w:hint="eastAsia"/>
                <w:highlight w:val="none"/>
              </w:rPr>
              <w:t>﹥整灯光效≥1</w:t>
            </w:r>
            <w:r>
              <w:rPr>
                <w:rFonts w:hint="eastAsia"/>
                <w:highlight w:val="none"/>
                <w:lang w:val="en-US" w:eastAsia="zh-CN"/>
              </w:rPr>
              <w:t>70</w:t>
            </w:r>
            <w:r>
              <w:rPr>
                <w:rFonts w:hint="eastAsia"/>
                <w:highlight w:val="none"/>
              </w:rPr>
              <w:t>lm/W得3分，1</w:t>
            </w:r>
            <w:r>
              <w:rPr>
                <w:rFonts w:hint="eastAsia"/>
                <w:highlight w:val="none"/>
                <w:lang w:val="en-US" w:eastAsia="zh-CN"/>
              </w:rPr>
              <w:t>70</w:t>
            </w:r>
            <w:r>
              <w:rPr>
                <w:rFonts w:hint="eastAsia"/>
                <w:highlight w:val="none"/>
              </w:rPr>
              <w:t>﹥整灯光效≥1</w:t>
            </w:r>
            <w:r>
              <w:rPr>
                <w:rFonts w:hint="eastAsia"/>
                <w:highlight w:val="none"/>
                <w:lang w:val="en-US" w:eastAsia="zh-CN"/>
              </w:rPr>
              <w:t>5</w:t>
            </w:r>
            <w:r>
              <w:rPr>
                <w:rFonts w:hint="eastAsia"/>
                <w:highlight w:val="none"/>
              </w:rPr>
              <w:t>0lm/W得1分，其它不得分，此项最高得6分。</w:t>
            </w:r>
          </w:p>
          <w:p>
            <w:pPr>
              <w:bidi w:val="0"/>
              <w:rPr>
                <w:rFonts w:hint="eastAsia"/>
                <w:highlight w:val="none"/>
              </w:rPr>
            </w:pPr>
            <w:r>
              <w:rPr>
                <w:rFonts w:hint="eastAsia"/>
                <w:highlight w:val="none"/>
              </w:rPr>
              <w:t>②</w:t>
            </w:r>
            <w:r>
              <w:rPr>
                <w:rFonts w:hint="eastAsia"/>
                <w:highlight w:val="none"/>
                <w:lang w:val="en-US" w:eastAsia="zh-CN"/>
              </w:rPr>
              <w:t>LED光源模组</w:t>
            </w:r>
            <w:r>
              <w:rPr>
                <w:rFonts w:hint="eastAsia"/>
                <w:highlight w:val="none"/>
              </w:rPr>
              <w:t>（</w:t>
            </w:r>
            <w:r>
              <w:rPr>
                <w:rFonts w:hint="eastAsia"/>
                <w:highlight w:val="none"/>
                <w:lang w:val="en-US" w:eastAsia="zh-CN"/>
              </w:rPr>
              <w:t>5</w:t>
            </w:r>
            <w:r>
              <w:rPr>
                <w:rFonts w:hint="eastAsia"/>
                <w:highlight w:val="none"/>
              </w:rPr>
              <w:t>0W）：整灯光效≥1</w:t>
            </w:r>
            <w:r>
              <w:rPr>
                <w:rFonts w:hint="eastAsia"/>
                <w:highlight w:val="none"/>
                <w:lang w:val="en-US" w:eastAsia="zh-CN"/>
              </w:rPr>
              <w:t>85</w:t>
            </w:r>
            <w:r>
              <w:rPr>
                <w:rFonts w:hint="eastAsia"/>
                <w:highlight w:val="none"/>
              </w:rPr>
              <w:t>lm/W得6分，1</w:t>
            </w:r>
            <w:r>
              <w:rPr>
                <w:rFonts w:hint="eastAsia"/>
                <w:highlight w:val="none"/>
                <w:lang w:val="en-US" w:eastAsia="zh-CN"/>
              </w:rPr>
              <w:t>85</w:t>
            </w:r>
            <w:r>
              <w:rPr>
                <w:rFonts w:hint="eastAsia"/>
                <w:highlight w:val="none"/>
              </w:rPr>
              <w:t>﹥整灯光效≥1</w:t>
            </w:r>
            <w:r>
              <w:rPr>
                <w:rFonts w:hint="eastAsia"/>
                <w:highlight w:val="none"/>
                <w:lang w:val="en-US" w:eastAsia="zh-CN"/>
              </w:rPr>
              <w:t>80</w:t>
            </w:r>
            <w:r>
              <w:rPr>
                <w:rFonts w:hint="eastAsia"/>
                <w:highlight w:val="none"/>
              </w:rPr>
              <w:t>lm/W得3分，1</w:t>
            </w:r>
            <w:r>
              <w:rPr>
                <w:rFonts w:hint="eastAsia"/>
                <w:highlight w:val="none"/>
                <w:lang w:val="en-US" w:eastAsia="zh-CN"/>
              </w:rPr>
              <w:t>80</w:t>
            </w:r>
            <w:r>
              <w:rPr>
                <w:rFonts w:hint="eastAsia"/>
                <w:highlight w:val="none"/>
              </w:rPr>
              <w:t>﹥整灯光效≥150lm/W得1分，其它不得分，此项最高得6分。</w:t>
            </w:r>
          </w:p>
          <w:p>
            <w:pPr>
              <w:bidi w:val="0"/>
              <w:rPr>
                <w:rFonts w:hint="eastAsia"/>
                <w:highlight w:val="none"/>
                <w:lang w:val="zh-TW"/>
              </w:rPr>
            </w:pPr>
            <w:r>
              <w:rPr>
                <w:rFonts w:hint="eastAsia"/>
                <w:highlight w:val="none"/>
              </w:rPr>
              <w:t>（投标文件中提供</w:t>
            </w:r>
            <w:r>
              <w:rPr>
                <w:rFonts w:hint="eastAsia"/>
                <w:highlight w:val="none"/>
                <w:lang w:val="en-US" w:eastAsia="zh-CN"/>
              </w:rPr>
              <w:t>50W</w:t>
            </w:r>
            <w:r>
              <w:rPr>
                <w:rFonts w:hint="eastAsia"/>
                <w:highlight w:val="none"/>
              </w:rPr>
              <w:t>、</w:t>
            </w:r>
            <w:r>
              <w:rPr>
                <w:rFonts w:hint="eastAsia"/>
                <w:highlight w:val="none"/>
                <w:lang w:val="en-US" w:eastAsia="zh-CN"/>
              </w:rPr>
              <w:t>250</w:t>
            </w:r>
            <w:r>
              <w:rPr>
                <w:rFonts w:hint="eastAsia"/>
                <w:highlight w:val="none"/>
              </w:rPr>
              <w:t>W LED</w:t>
            </w:r>
            <w:r>
              <w:rPr>
                <w:rFonts w:hint="eastAsia"/>
                <w:highlight w:val="none"/>
                <w:lang w:val="en-US" w:eastAsia="zh-CN"/>
              </w:rPr>
              <w:t>光源模组</w:t>
            </w:r>
            <w:r>
              <w:rPr>
                <w:rFonts w:hint="eastAsia"/>
                <w:highlight w:val="none"/>
                <w:lang w:eastAsia="zh-CN"/>
              </w:rPr>
              <w:t>国家认可的第三方检测单位（CMA和CNAS）出具的检测报告复印件</w:t>
            </w:r>
            <w:r>
              <w:rPr>
                <w:rFonts w:hint="eastAsia"/>
                <w:highlight w:val="none"/>
                <w:lang w:val="en-US" w:eastAsia="zh-CN"/>
              </w:rPr>
              <w:t>并加盖投标人公章</w:t>
            </w:r>
            <w:r>
              <w:rPr>
                <w:rFonts w:hint="eastAsia"/>
                <w:highlight w:val="none"/>
              </w:rPr>
              <w:t>；报告中投标灯具需满足招标文件里的尺寸、结构、色温、显色指数技术要求，否则不予认可）。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center"/>
          </w:tcPr>
          <w:p>
            <w:pPr>
              <w:bidi w:val="0"/>
              <w:rPr>
                <w:rFonts w:hint="eastAsia"/>
                <w:highlight w:val="none"/>
                <w:lang w:val="en-US" w:eastAsia="zh-CN"/>
              </w:rPr>
            </w:pPr>
            <w:r>
              <w:rPr>
                <w:rFonts w:hint="eastAsia"/>
                <w:highlight w:val="none"/>
                <w:lang w:val="en-US" w:eastAsia="zh-CN"/>
              </w:rPr>
              <w:t>3、LED同款模组光衰寿命检测报告（5分）</w:t>
            </w:r>
          </w:p>
          <w:p>
            <w:pPr>
              <w:bidi w:val="0"/>
              <w:rPr>
                <w:rFonts w:hint="default"/>
                <w:highlight w:val="none"/>
                <w:lang w:val="en-US" w:eastAsia="zh-CN"/>
              </w:rPr>
            </w:pPr>
            <w:r>
              <w:rPr>
                <w:rFonts w:hint="eastAsia"/>
                <w:highlight w:val="none"/>
                <w:lang w:val="en-US" w:eastAsia="zh-CN"/>
              </w:rPr>
              <w:t>根据投标人提供的在满足技术要求的投标产品中所使用的LED同款模组，依据检测报告中LED模组6000小时光通维持率进行综合评议（0-5分）</w:t>
            </w:r>
          </w:p>
          <w:p>
            <w:pPr>
              <w:bidi w:val="0"/>
              <w:rPr>
                <w:rFonts w:hint="eastAsia" w:eastAsia="宋体"/>
                <w:highlight w:val="none"/>
                <w:lang w:val="en-US" w:eastAsia="zh-CN"/>
              </w:rPr>
            </w:pPr>
            <w:r>
              <w:rPr>
                <w:rFonts w:hint="eastAsia"/>
                <w:highlight w:val="none"/>
                <w:lang w:val="en-US" w:eastAsia="zh-CN"/>
              </w:rPr>
              <w:t>（投标文件中提供生产厂家LED模组国家认可的第三方检测单位（CMA和CNAS）出具的检测报告复印件并加盖投标人公章）。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center"/>
          </w:tcPr>
          <w:p>
            <w:pPr>
              <w:bidi w:val="0"/>
              <w:rPr>
                <w:rFonts w:hint="eastAsia"/>
                <w:highlight w:val="none"/>
                <w:lang w:val="zh-TW"/>
              </w:rPr>
            </w:pPr>
            <w:r>
              <w:rPr>
                <w:rFonts w:hint="eastAsia"/>
                <w:highlight w:val="none"/>
                <w:lang w:val="en-US" w:eastAsia="zh-CN"/>
              </w:rPr>
              <w:t>4</w:t>
            </w:r>
            <w:r>
              <w:rPr>
                <w:rFonts w:hint="eastAsia"/>
                <w:highlight w:val="none"/>
                <w:lang w:val="zh-TW"/>
              </w:rPr>
              <w:t>、投标产品制造商生产能力（</w:t>
            </w:r>
            <w:r>
              <w:rPr>
                <w:rFonts w:hint="eastAsia"/>
                <w:highlight w:val="none"/>
                <w:lang w:val="en-US" w:eastAsia="zh-CN"/>
              </w:rPr>
              <w:t>4</w:t>
            </w:r>
            <w:r>
              <w:rPr>
                <w:rFonts w:hint="eastAsia"/>
                <w:highlight w:val="none"/>
                <w:lang w:val="zh-TW"/>
              </w:rPr>
              <w:t>分）</w:t>
            </w:r>
          </w:p>
          <w:p>
            <w:pPr>
              <w:bidi w:val="0"/>
              <w:rPr>
                <w:rFonts w:hint="eastAsia"/>
                <w:highlight w:val="none"/>
                <w:lang w:val="zh-TW"/>
              </w:rPr>
            </w:pPr>
            <w:r>
              <w:rPr>
                <w:rFonts w:hint="eastAsia"/>
                <w:highlight w:val="none"/>
                <w:lang w:val="zh-TW"/>
              </w:rPr>
              <w:t>根据投标产品制造商专业生产设备、专业生产工具配备是否齐全，生产工艺流程、生产技术是否先进进行评议0-</w:t>
            </w:r>
            <w:r>
              <w:rPr>
                <w:rFonts w:hint="eastAsia"/>
                <w:highlight w:val="none"/>
                <w:lang w:val="en-US" w:eastAsia="zh-CN"/>
              </w:rPr>
              <w:t>4</w:t>
            </w:r>
            <w:r>
              <w:rPr>
                <w:rFonts w:hint="eastAsia"/>
                <w:highlight w:val="none"/>
                <w:lang w:val="zh-TW"/>
              </w:rPr>
              <w:t>分。（投标文件中提供设备、专业生产工具等发票和彩色照片等证明资料复印件</w:t>
            </w:r>
            <w:r>
              <w:rPr>
                <w:rFonts w:hint="eastAsia"/>
                <w:highlight w:val="none"/>
                <w:lang w:val="en-US" w:eastAsia="zh-CN"/>
              </w:rPr>
              <w:t>并加盖投标人公章</w:t>
            </w:r>
            <w:r>
              <w:rPr>
                <w:rFonts w:hint="eastAsia"/>
                <w:highlight w:val="none"/>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center"/>
          </w:tcPr>
          <w:p>
            <w:pPr>
              <w:bidi w:val="0"/>
              <w:rPr>
                <w:rFonts w:hint="eastAsia"/>
                <w:highlight w:val="none"/>
              </w:rPr>
            </w:pPr>
            <w:r>
              <w:rPr>
                <w:rFonts w:hint="eastAsia"/>
                <w:highlight w:val="none"/>
                <w:lang w:val="en-US" w:eastAsia="zh-CN"/>
              </w:rPr>
              <w:t>5</w:t>
            </w:r>
            <w:r>
              <w:rPr>
                <w:rFonts w:hint="eastAsia"/>
                <w:highlight w:val="none"/>
              </w:rPr>
              <w:t>、人员配备（</w:t>
            </w:r>
            <w:r>
              <w:rPr>
                <w:rFonts w:hint="eastAsia"/>
                <w:highlight w:val="none"/>
                <w:lang w:val="en-US" w:eastAsia="zh-CN"/>
              </w:rPr>
              <w:t>4</w:t>
            </w:r>
            <w:r>
              <w:rPr>
                <w:rFonts w:hint="eastAsia"/>
                <w:highlight w:val="none"/>
              </w:rPr>
              <w:t>分）</w:t>
            </w:r>
          </w:p>
          <w:p>
            <w:pPr>
              <w:bidi w:val="0"/>
              <w:rPr>
                <w:rFonts w:hint="eastAsia"/>
                <w:highlight w:val="none"/>
              </w:rPr>
            </w:pPr>
            <w:r>
              <w:rPr>
                <w:rFonts w:hint="eastAsia"/>
                <w:highlight w:val="none"/>
                <w:lang w:val="en-US" w:eastAsia="zh-CN"/>
              </w:rPr>
              <w:t>①</w:t>
            </w:r>
            <w:r>
              <w:rPr>
                <w:rFonts w:hint="eastAsia"/>
                <w:highlight w:val="none"/>
              </w:rPr>
              <w:t>根据投标人针对本项目人员配备</w:t>
            </w:r>
            <w:r>
              <w:rPr>
                <w:rFonts w:hint="eastAsia"/>
                <w:highlight w:val="none"/>
                <w:lang w:eastAsia="zh-CN"/>
              </w:rPr>
              <w:t>的</w:t>
            </w:r>
            <w:r>
              <w:rPr>
                <w:rFonts w:hint="eastAsia"/>
                <w:highlight w:val="none"/>
              </w:rPr>
              <w:t>项目负责人综合能力、工作经验进行评议</w:t>
            </w:r>
            <w:r>
              <w:rPr>
                <w:rFonts w:hint="eastAsia"/>
                <w:highlight w:val="none"/>
                <w:lang w:val="en-US" w:eastAsia="zh-CN"/>
              </w:rPr>
              <w:t>0-2分</w:t>
            </w:r>
            <w:r>
              <w:rPr>
                <w:rFonts w:hint="eastAsia"/>
                <w:highlight w:val="none"/>
              </w:rPr>
              <w:t>；</w:t>
            </w:r>
          </w:p>
          <w:p>
            <w:pPr>
              <w:bidi w:val="0"/>
              <w:rPr>
                <w:rFonts w:hint="eastAsia"/>
                <w:highlight w:val="none"/>
              </w:rPr>
            </w:pPr>
            <w:r>
              <w:rPr>
                <w:rFonts w:hint="eastAsia"/>
                <w:highlight w:val="none"/>
                <w:lang w:val="en-US" w:eastAsia="zh-CN"/>
              </w:rPr>
              <w:t>②</w:t>
            </w:r>
            <w:r>
              <w:rPr>
                <w:rFonts w:hint="eastAsia"/>
                <w:highlight w:val="none"/>
              </w:rPr>
              <w:t>根据投标人针对本项目人员配备</w:t>
            </w:r>
            <w:r>
              <w:rPr>
                <w:rFonts w:hint="eastAsia"/>
                <w:highlight w:val="none"/>
                <w:lang w:val="en-US" w:eastAsia="zh-CN"/>
              </w:rPr>
              <w:t>的其他人员</w:t>
            </w:r>
            <w:r>
              <w:rPr>
                <w:rFonts w:hint="eastAsia"/>
                <w:highlight w:val="none"/>
              </w:rPr>
              <w:t>综合能力、工作经验进行评议</w:t>
            </w:r>
            <w:r>
              <w:rPr>
                <w:rFonts w:hint="eastAsia"/>
                <w:highlight w:val="none"/>
                <w:lang w:val="en-US" w:eastAsia="zh-CN"/>
              </w:rPr>
              <w:t>0-2分</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center"/>
          </w:tcPr>
          <w:p>
            <w:pPr>
              <w:bidi w:val="0"/>
              <w:rPr>
                <w:rFonts w:hint="eastAsia"/>
                <w:highlight w:val="none"/>
              </w:rPr>
            </w:pPr>
            <w:r>
              <w:rPr>
                <w:rFonts w:hint="eastAsia"/>
                <w:highlight w:val="none"/>
                <w:lang w:val="en-US" w:eastAsia="zh-CN"/>
              </w:rPr>
              <w:t>6</w:t>
            </w:r>
            <w:r>
              <w:rPr>
                <w:rFonts w:hint="eastAsia"/>
                <w:highlight w:val="none"/>
              </w:rPr>
              <w:t>、供货期安排及保障措施（3分）</w:t>
            </w:r>
          </w:p>
          <w:p>
            <w:pPr>
              <w:bidi w:val="0"/>
              <w:rPr>
                <w:rFonts w:hint="eastAsia"/>
                <w:highlight w:val="none"/>
              </w:rPr>
            </w:pPr>
            <w:r>
              <w:rPr>
                <w:rFonts w:hint="eastAsia"/>
                <w:highlight w:val="none"/>
              </w:rPr>
              <w:t>根据投标人供货期安排的合理性（提供工期安排表）、供货期安排保障措施进行评议0-3分。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center"/>
          </w:tcPr>
          <w:p>
            <w:pPr>
              <w:bidi w:val="0"/>
              <w:rPr>
                <w:rFonts w:hint="eastAsia"/>
                <w:highlight w:val="none"/>
              </w:rPr>
            </w:pPr>
            <w:r>
              <w:rPr>
                <w:rFonts w:hint="eastAsia"/>
                <w:highlight w:val="none"/>
                <w:lang w:val="en-US" w:eastAsia="zh-CN"/>
              </w:rPr>
              <w:t>7</w:t>
            </w:r>
            <w:r>
              <w:rPr>
                <w:rFonts w:hint="eastAsia"/>
                <w:highlight w:val="none"/>
              </w:rPr>
              <w:t>、施工安装方案（</w:t>
            </w:r>
            <w:r>
              <w:rPr>
                <w:rFonts w:hint="eastAsia"/>
                <w:highlight w:val="none"/>
                <w:lang w:val="en-US" w:eastAsia="zh-CN"/>
              </w:rPr>
              <w:t>5</w:t>
            </w:r>
            <w:r>
              <w:rPr>
                <w:rFonts w:hint="eastAsia"/>
                <w:highlight w:val="none"/>
              </w:rPr>
              <w:t>分）</w:t>
            </w:r>
          </w:p>
          <w:p>
            <w:pPr>
              <w:bidi w:val="0"/>
              <w:rPr>
                <w:rFonts w:hint="eastAsia"/>
                <w:highlight w:val="none"/>
              </w:rPr>
            </w:pPr>
            <w:r>
              <w:rPr>
                <w:rFonts w:hint="eastAsia"/>
                <w:highlight w:val="none"/>
              </w:rPr>
              <w:t>根据投标人针对本项目拟定的</w:t>
            </w:r>
            <w:r>
              <w:rPr>
                <w:rFonts w:hint="eastAsia"/>
                <w:highlight w:val="none"/>
                <w:lang w:val="en-US" w:eastAsia="zh-CN"/>
              </w:rPr>
              <w:t>施工</w:t>
            </w:r>
            <w:r>
              <w:rPr>
                <w:rFonts w:hint="eastAsia"/>
                <w:highlight w:val="none"/>
              </w:rPr>
              <w:t>安装方案（包括</w:t>
            </w:r>
            <w:r>
              <w:rPr>
                <w:rFonts w:hint="eastAsia"/>
                <w:highlight w:val="none"/>
                <w:lang w:val="en-US" w:eastAsia="zh-CN"/>
              </w:rPr>
              <w:t>施工安装</w:t>
            </w:r>
            <w:r>
              <w:rPr>
                <w:rFonts w:hint="eastAsia"/>
                <w:highlight w:val="none"/>
              </w:rPr>
              <w:t>准备、保障措施、文明施工、安全措施等）进行评议0-</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top"/>
          </w:tcPr>
          <w:p>
            <w:pPr>
              <w:bidi w:val="0"/>
              <w:rPr>
                <w:rFonts w:hint="eastAsia"/>
                <w:highlight w:val="none"/>
              </w:rPr>
            </w:pPr>
            <w:r>
              <w:rPr>
                <w:rFonts w:hint="eastAsia"/>
                <w:highlight w:val="none"/>
                <w:lang w:val="en-US" w:eastAsia="zh-CN"/>
              </w:rPr>
              <w:t>8</w:t>
            </w:r>
            <w:r>
              <w:rPr>
                <w:rFonts w:hint="eastAsia"/>
                <w:highlight w:val="none"/>
              </w:rPr>
              <w:t>、售后服务（5分）</w:t>
            </w:r>
          </w:p>
          <w:p>
            <w:pPr>
              <w:bidi w:val="0"/>
              <w:rPr>
                <w:rFonts w:hint="eastAsia"/>
                <w:highlight w:val="none"/>
              </w:rPr>
            </w:pPr>
            <w:r>
              <w:rPr>
                <w:rFonts w:hint="eastAsia"/>
                <w:highlight w:val="none"/>
              </w:rPr>
              <w:t xml:space="preserve">根据投标人售后服务方案、售后服务响应速度（以投标人或其分支机构营业执照注册地作为依据）、质保承诺、备品备件、售后服务人员配备（人员需提供当地社保缴纳证明材料）进行评议0-5分。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top"/>
          </w:tcPr>
          <w:p>
            <w:pPr>
              <w:bidi w:val="0"/>
              <w:rPr>
                <w:rFonts w:hint="eastAsia"/>
                <w:highlight w:val="none"/>
              </w:rPr>
            </w:pPr>
            <w:r>
              <w:rPr>
                <w:rFonts w:hint="eastAsia"/>
                <w:highlight w:val="none"/>
                <w:lang w:val="en-US" w:eastAsia="zh-CN"/>
              </w:rPr>
              <w:t>9</w:t>
            </w:r>
            <w:r>
              <w:rPr>
                <w:rFonts w:hint="eastAsia"/>
                <w:highlight w:val="none"/>
              </w:rPr>
              <w:t>、履约能力（</w:t>
            </w:r>
            <w:r>
              <w:rPr>
                <w:rFonts w:hint="eastAsia"/>
                <w:highlight w:val="none"/>
                <w:lang w:val="en-US" w:eastAsia="zh-CN"/>
              </w:rPr>
              <w:t>3</w:t>
            </w:r>
            <w:r>
              <w:rPr>
                <w:rFonts w:hint="eastAsia"/>
                <w:highlight w:val="none"/>
              </w:rPr>
              <w:t>分）</w:t>
            </w:r>
          </w:p>
          <w:p>
            <w:pPr>
              <w:bidi w:val="0"/>
              <w:rPr>
                <w:rFonts w:hint="eastAsia"/>
                <w:highlight w:val="none"/>
              </w:rPr>
            </w:pPr>
            <w:r>
              <w:rPr>
                <w:rFonts w:hint="eastAsia"/>
                <w:highlight w:val="none"/>
              </w:rPr>
              <w:t>投标人自2019年1月1日来具有完成过同类（户外路灯照明）项目业绩的每个得</w:t>
            </w:r>
            <w:r>
              <w:rPr>
                <w:rFonts w:hint="eastAsia"/>
                <w:highlight w:val="none"/>
                <w:lang w:val="en-US" w:eastAsia="zh-CN"/>
              </w:rPr>
              <w:t>0.5</w:t>
            </w:r>
            <w:r>
              <w:rPr>
                <w:rFonts w:hint="eastAsia"/>
                <w:highlight w:val="none"/>
              </w:rPr>
              <w:t>分，最多得</w:t>
            </w:r>
            <w:r>
              <w:rPr>
                <w:rFonts w:hint="eastAsia"/>
                <w:highlight w:val="none"/>
                <w:lang w:val="en-US" w:eastAsia="zh-CN"/>
              </w:rPr>
              <w:t>3</w:t>
            </w:r>
            <w:r>
              <w:rPr>
                <w:rFonts w:hint="eastAsia"/>
                <w:highlight w:val="none"/>
              </w:rPr>
              <w:t>分。（投标文件中提供中标通知书、网上公示截图、合同、验收报告复印件</w:t>
            </w:r>
            <w:r>
              <w:rPr>
                <w:rFonts w:hint="eastAsia"/>
                <w:highlight w:val="none"/>
                <w:lang w:val="en-US" w:eastAsia="zh-CN"/>
              </w:rPr>
              <w:t>并加盖投标人公章</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top"/>
          </w:tcPr>
          <w:p>
            <w:pPr>
              <w:bidi w:val="0"/>
              <w:rPr>
                <w:rFonts w:hint="eastAsia"/>
                <w:highlight w:val="none"/>
              </w:rPr>
            </w:pPr>
            <w:r>
              <w:rPr>
                <w:rFonts w:hint="eastAsia"/>
                <w:highlight w:val="none"/>
                <w:lang w:val="en-US" w:eastAsia="zh-CN"/>
              </w:rPr>
              <w:t>10</w:t>
            </w:r>
            <w:r>
              <w:rPr>
                <w:rFonts w:hint="eastAsia"/>
                <w:highlight w:val="none"/>
              </w:rPr>
              <w:t>、企业实力（3分）</w:t>
            </w:r>
          </w:p>
          <w:p>
            <w:pPr>
              <w:bidi w:val="0"/>
              <w:rPr>
                <w:rFonts w:hint="eastAsia"/>
                <w:highlight w:val="none"/>
              </w:rPr>
            </w:pPr>
            <w:r>
              <w:rPr>
                <w:rFonts w:hint="eastAsia"/>
                <w:highlight w:val="none"/>
              </w:rPr>
              <w:t>投标人具有省级及以上政府部门颁发的荣誉证书每个得0.5分，具有地市级政府部门颁发的荣誉证书每个得0.25分，最多得3分。（投标文件中提供证书复印件</w:t>
            </w:r>
            <w:r>
              <w:rPr>
                <w:rFonts w:hint="eastAsia"/>
                <w:highlight w:val="none"/>
                <w:lang w:val="en-US" w:eastAsia="zh-CN"/>
              </w:rPr>
              <w:t>并加盖投标人公章</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top w:val="single" w:color="auto" w:sz="4" w:space="0"/>
              <w:left w:val="single" w:color="auto" w:sz="4" w:space="0"/>
              <w:right w:val="single" w:color="auto" w:sz="4" w:space="0"/>
            </w:tcBorders>
            <w:noWrap w:val="0"/>
            <w:vAlign w:val="top"/>
          </w:tcPr>
          <w:p>
            <w:pPr>
              <w:bidi w:val="0"/>
              <w:rPr>
                <w:rFonts w:hint="eastAsia"/>
                <w:highlight w:val="none"/>
              </w:rPr>
            </w:pPr>
            <w:r>
              <w:rPr>
                <w:rFonts w:hint="eastAsia"/>
                <w:highlight w:val="none"/>
                <w:lang w:val="en-US" w:eastAsia="zh-CN"/>
              </w:rPr>
              <w:t>11</w:t>
            </w:r>
            <w:r>
              <w:rPr>
                <w:rFonts w:hint="eastAsia"/>
                <w:highlight w:val="none"/>
              </w:rPr>
              <w:t>、样品（提供样品实物照片（正面、反面和侧面的细节图），样品实物照片外观和结构不符合招标文件要求的不得分）（</w:t>
            </w:r>
            <w:r>
              <w:rPr>
                <w:rFonts w:hint="eastAsia"/>
                <w:highlight w:val="none"/>
                <w:lang w:val="en-US" w:eastAsia="zh-CN"/>
              </w:rPr>
              <w:t>5</w:t>
            </w:r>
            <w:r>
              <w:rPr>
                <w:rFonts w:hint="eastAsia"/>
                <w:highlight w:val="none"/>
              </w:rPr>
              <w:t>分）</w:t>
            </w:r>
          </w:p>
          <w:p>
            <w:pPr>
              <w:bidi w:val="0"/>
              <w:rPr>
                <w:rFonts w:hint="default" w:eastAsia="宋体"/>
                <w:highlight w:val="none"/>
                <w:lang w:val="en-US" w:eastAsia="zh-CN"/>
              </w:rPr>
            </w:pPr>
            <w:r>
              <w:rPr>
                <w:rFonts w:hint="eastAsia"/>
                <w:highlight w:val="none"/>
              </w:rPr>
              <w:t>根据投标样品“</w:t>
            </w:r>
            <w:r>
              <w:rPr>
                <w:rFonts w:hint="eastAsia"/>
                <w:highlight w:val="none"/>
                <w:lang w:val="en-US" w:eastAsia="zh-CN"/>
              </w:rPr>
              <w:t>12米工艺路灯灯头</w:t>
            </w:r>
            <w:r>
              <w:rPr>
                <w:rFonts w:hint="eastAsia"/>
                <w:highlight w:val="none"/>
              </w:rPr>
              <w:t>”实物照片</w:t>
            </w:r>
            <w:r>
              <w:rPr>
                <w:rFonts w:hint="eastAsia"/>
                <w:highlight w:val="none"/>
                <w:lang w:val="en-US" w:eastAsia="zh-CN"/>
              </w:rPr>
              <w:t>针</w:t>
            </w:r>
            <w:r>
              <w:rPr>
                <w:rFonts w:hint="eastAsia"/>
                <w:highlight w:val="none"/>
              </w:rPr>
              <w:t>对</w:t>
            </w:r>
            <w:r>
              <w:rPr>
                <w:rFonts w:hint="eastAsia"/>
                <w:highlight w:val="none"/>
                <w:lang w:val="en-US" w:eastAsia="zh-CN"/>
              </w:rPr>
              <w:t>以下内容进行综合评议：</w:t>
            </w:r>
          </w:p>
          <w:p>
            <w:pPr>
              <w:bidi w:val="0"/>
              <w:rPr>
                <w:rFonts w:hint="default" w:eastAsia="宋体"/>
                <w:highlight w:val="none"/>
                <w:lang w:val="en-US" w:eastAsia="zh-CN"/>
              </w:rPr>
            </w:pPr>
            <w:r>
              <w:rPr>
                <w:rFonts w:hint="eastAsia"/>
                <w:highlight w:val="none"/>
              </w:rPr>
              <w:t>对</w:t>
            </w:r>
            <w:r>
              <w:rPr>
                <w:rFonts w:hint="eastAsia"/>
                <w:highlight w:val="none"/>
                <w:lang w:val="en-US" w:eastAsia="zh-CN"/>
              </w:rPr>
              <w:t>整体路灯灯头</w:t>
            </w:r>
            <w:r>
              <w:rPr>
                <w:rFonts w:hint="eastAsia"/>
                <w:highlight w:val="none"/>
              </w:rPr>
              <w:t>的样式、尺寸</w:t>
            </w:r>
            <w:r>
              <w:rPr>
                <w:rFonts w:hint="eastAsia"/>
                <w:highlight w:val="none"/>
                <w:lang w:val="en-US" w:eastAsia="zh-CN"/>
              </w:rPr>
              <w:t>进行评议，0-1分；</w:t>
            </w:r>
          </w:p>
          <w:p>
            <w:pPr>
              <w:bidi w:val="0"/>
              <w:rPr>
                <w:rFonts w:hint="eastAsia"/>
                <w:highlight w:val="none"/>
              </w:rPr>
            </w:pPr>
            <w:r>
              <w:rPr>
                <w:rFonts w:hint="eastAsia"/>
                <w:highlight w:val="none"/>
              </w:rPr>
              <w:t>对</w:t>
            </w:r>
            <w:r>
              <w:rPr>
                <w:rFonts w:hint="eastAsia"/>
                <w:highlight w:val="none"/>
                <w:lang w:val="en-US" w:eastAsia="zh-CN"/>
              </w:rPr>
              <w:t>样品</w:t>
            </w:r>
            <w:r>
              <w:rPr>
                <w:rFonts w:hint="eastAsia"/>
                <w:highlight w:val="none"/>
              </w:rPr>
              <w:t>的</w:t>
            </w:r>
            <w:r>
              <w:rPr>
                <w:rFonts w:hint="eastAsia"/>
                <w:highlight w:val="none"/>
                <w:lang w:val="en-US" w:eastAsia="zh-CN"/>
              </w:rPr>
              <w:t>整体</w:t>
            </w:r>
            <w:r>
              <w:rPr>
                <w:rFonts w:hint="eastAsia"/>
                <w:highlight w:val="none"/>
              </w:rPr>
              <w:t>美观度、</w:t>
            </w:r>
            <w:r>
              <w:rPr>
                <w:rFonts w:hint="eastAsia"/>
                <w:highlight w:val="none"/>
                <w:lang w:val="en-US" w:eastAsia="zh-CN"/>
              </w:rPr>
              <w:t>弧形平顺度、</w:t>
            </w:r>
            <w:r>
              <w:rPr>
                <w:rFonts w:hint="eastAsia"/>
                <w:highlight w:val="none"/>
              </w:rPr>
              <w:t>亮灯效果</w:t>
            </w:r>
            <w:r>
              <w:rPr>
                <w:rFonts w:hint="eastAsia"/>
                <w:highlight w:val="none"/>
                <w:lang w:val="en-US" w:eastAsia="zh-CN"/>
              </w:rPr>
              <w:t>进行评议，0-1分；</w:t>
            </w:r>
          </w:p>
          <w:p>
            <w:pPr>
              <w:bidi w:val="0"/>
              <w:rPr>
                <w:rFonts w:hint="default" w:eastAsia="宋体"/>
                <w:highlight w:val="none"/>
                <w:lang w:val="en-US" w:eastAsia="zh-CN"/>
              </w:rPr>
            </w:pPr>
            <w:r>
              <w:rPr>
                <w:rFonts w:hint="eastAsia"/>
                <w:highlight w:val="none"/>
              </w:rPr>
              <w:t>对</w:t>
            </w:r>
            <w:r>
              <w:rPr>
                <w:rFonts w:hint="eastAsia"/>
                <w:highlight w:val="none"/>
                <w:lang w:val="en-US" w:eastAsia="zh-CN"/>
              </w:rPr>
              <w:t>灯头及主光源</w:t>
            </w:r>
            <w:r>
              <w:rPr>
                <w:rFonts w:hint="eastAsia"/>
                <w:highlight w:val="none"/>
              </w:rPr>
              <w:t>的材质、</w:t>
            </w:r>
            <w:r>
              <w:rPr>
                <w:rFonts w:hint="eastAsia"/>
                <w:highlight w:val="none"/>
                <w:lang w:val="en-US" w:eastAsia="zh-CN"/>
              </w:rPr>
              <w:t>油漆、表面光滑度、透光度进行评议，0-1分</w:t>
            </w:r>
          </w:p>
          <w:p>
            <w:pPr>
              <w:bidi w:val="0"/>
              <w:rPr>
                <w:rFonts w:hint="default"/>
                <w:highlight w:val="none"/>
                <w:lang w:val="en-US" w:eastAsia="zh-CN"/>
              </w:rPr>
            </w:pPr>
            <w:r>
              <w:rPr>
                <w:rFonts w:hint="eastAsia"/>
                <w:highlight w:val="none"/>
                <w:lang w:val="en-US" w:eastAsia="zh-CN"/>
              </w:rPr>
              <w:t>对</w:t>
            </w:r>
            <w:r>
              <w:rPr>
                <w:rFonts w:hint="eastAsia"/>
                <w:highlight w:val="none"/>
                <w:lang w:eastAsia="zh-CN"/>
              </w:rPr>
              <w:t>模组</w:t>
            </w:r>
            <w:r>
              <w:rPr>
                <w:rFonts w:hint="eastAsia"/>
                <w:highlight w:val="none"/>
                <w:lang w:val="en-US" w:eastAsia="zh-CN"/>
              </w:rPr>
              <w:t>尺寸、光源效果进行评议，0-1分</w:t>
            </w:r>
          </w:p>
          <w:p>
            <w:pPr>
              <w:bidi w:val="0"/>
              <w:rPr>
                <w:rFonts w:hint="eastAsia"/>
                <w:highlight w:val="none"/>
              </w:rPr>
            </w:pPr>
            <w:r>
              <w:rPr>
                <w:rFonts w:hint="eastAsia"/>
                <w:highlight w:val="none"/>
                <w:lang w:val="en-US" w:eastAsia="zh-CN"/>
              </w:rPr>
              <w:t>对灯头及主光源工艺（一体成型）、</w:t>
            </w:r>
            <w:r>
              <w:rPr>
                <w:rFonts w:hint="eastAsia"/>
                <w:highlight w:val="none"/>
                <w:lang w:eastAsia="zh-CN"/>
              </w:rPr>
              <w:t>灯罩</w:t>
            </w:r>
            <w:r>
              <w:rPr>
                <w:rFonts w:hint="eastAsia"/>
                <w:highlight w:val="none"/>
                <w:lang w:val="en-US" w:eastAsia="zh-CN"/>
              </w:rPr>
              <w:t>工艺</w:t>
            </w:r>
            <w:r>
              <w:rPr>
                <w:rFonts w:hint="eastAsia"/>
                <w:highlight w:val="none"/>
              </w:rPr>
              <w:t>（</w:t>
            </w:r>
            <w:r>
              <w:rPr>
                <w:rFonts w:hint="eastAsia"/>
                <w:highlight w:val="none"/>
                <w:lang w:val="en-US" w:eastAsia="zh-CN"/>
              </w:rPr>
              <w:t>大型模具一次成型</w:t>
            </w:r>
            <w:r>
              <w:rPr>
                <w:rFonts w:hint="eastAsia"/>
                <w:highlight w:val="none"/>
              </w:rPr>
              <w:t>）</w:t>
            </w:r>
            <w:r>
              <w:rPr>
                <w:rFonts w:hint="eastAsia"/>
                <w:highlight w:val="none"/>
                <w:lang w:val="en-US" w:eastAsia="zh-CN"/>
              </w:rPr>
              <w:t>进行评议，0-1分</w:t>
            </w:r>
            <w:r>
              <w:rPr>
                <w:rFonts w:hint="eastAsia"/>
                <w:highlight w:val="none"/>
              </w:rPr>
              <w:t>。</w:t>
            </w:r>
          </w:p>
          <w:p>
            <w:pPr>
              <w:bidi w:val="0"/>
              <w:rPr>
                <w:rFonts w:hint="eastAsia"/>
                <w:highlight w:val="none"/>
                <w:lang w:eastAsia="zh-CN"/>
              </w:rPr>
            </w:pPr>
            <w:r>
              <w:rPr>
                <w:rFonts w:hint="eastAsia"/>
                <w:highlight w:val="none"/>
              </w:rPr>
              <w:t>（</w:t>
            </w:r>
            <w:r>
              <w:rPr>
                <w:rFonts w:hint="eastAsia"/>
                <w:highlight w:val="none"/>
                <w:lang w:val="en-US" w:eastAsia="zh-CN"/>
              </w:rPr>
              <w:t>投标人应针对评议内容</w:t>
            </w:r>
            <w:r>
              <w:rPr>
                <w:rFonts w:hint="eastAsia"/>
                <w:highlight w:val="none"/>
              </w:rPr>
              <w:t>提供相对应的实物</w:t>
            </w:r>
            <w:r>
              <w:rPr>
                <w:rFonts w:hint="eastAsia"/>
                <w:highlight w:val="none"/>
                <w:lang w:val="en-US" w:eastAsia="zh-CN"/>
              </w:rPr>
              <w:t>细节</w:t>
            </w:r>
            <w:r>
              <w:rPr>
                <w:rFonts w:hint="eastAsia"/>
                <w:highlight w:val="none"/>
              </w:rPr>
              <w:t>照片</w:t>
            </w:r>
            <w:r>
              <w:rPr>
                <w:rFonts w:hint="eastAsia"/>
                <w:highlight w:val="none"/>
                <w:lang w:eastAsia="zh-CN"/>
              </w:rPr>
              <w:t>，</w:t>
            </w:r>
            <w:r>
              <w:rPr>
                <w:rFonts w:hint="eastAsia"/>
                <w:highlight w:val="none"/>
                <w:lang w:val="en-US" w:eastAsia="zh-CN"/>
              </w:rPr>
              <w:t>未提供的本项不得分</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775" w:type="dxa"/>
            <w:vMerge w:val="continue"/>
            <w:tcBorders>
              <w:left w:val="single" w:color="auto" w:sz="4" w:space="0"/>
              <w:right w:val="single" w:color="auto" w:sz="4" w:space="0"/>
            </w:tcBorders>
            <w:noWrap w:val="0"/>
            <w:vAlign w:val="center"/>
          </w:tcPr>
          <w:p>
            <w:pPr>
              <w:bidi w:val="0"/>
              <w:rPr>
                <w:rFonts w:hint="eastAsia"/>
                <w:highlight w:val="none"/>
              </w:rPr>
            </w:pPr>
          </w:p>
        </w:tc>
        <w:tc>
          <w:tcPr>
            <w:tcW w:w="7757" w:type="dxa"/>
            <w:tcBorders>
              <w:left w:val="single" w:color="auto" w:sz="4" w:space="0"/>
              <w:right w:val="single" w:color="auto" w:sz="4" w:space="0"/>
            </w:tcBorders>
            <w:noWrap w:val="0"/>
            <w:vAlign w:val="center"/>
          </w:tcPr>
          <w:p>
            <w:pPr>
              <w:bidi w:val="0"/>
              <w:rPr>
                <w:rFonts w:hint="eastAsia"/>
                <w:highlight w:val="none"/>
              </w:rPr>
            </w:pPr>
            <w:r>
              <w:rPr>
                <w:rFonts w:hint="eastAsia"/>
                <w:highlight w:val="none"/>
                <w:lang w:val="en-US" w:eastAsia="zh-CN"/>
              </w:rPr>
              <w:t>12</w:t>
            </w:r>
            <w:r>
              <w:rPr>
                <w:rFonts w:hint="eastAsia"/>
                <w:highlight w:val="none"/>
              </w:rPr>
              <w:t>、政府采购政策加分（1分）</w:t>
            </w:r>
          </w:p>
          <w:p>
            <w:pPr>
              <w:bidi w:val="0"/>
              <w:rPr>
                <w:rFonts w:hint="eastAsia"/>
                <w:highlight w:val="none"/>
              </w:rPr>
            </w:pPr>
            <w:r>
              <w:rPr>
                <w:rFonts w:hint="eastAsia"/>
                <w:highlight w:val="none"/>
              </w:rPr>
              <w:t xml:space="preserve">①投标人是国家认定的不发达地区或少数民族地区企业的加0.5分。 </w:t>
            </w:r>
          </w:p>
          <w:p>
            <w:pPr>
              <w:bidi w:val="0"/>
              <w:rPr>
                <w:rFonts w:hint="eastAsia"/>
                <w:highlight w:val="none"/>
              </w:rPr>
            </w:pPr>
            <w:r>
              <w:rPr>
                <w:rFonts w:hint="eastAsia"/>
                <w:highlight w:val="none"/>
              </w:rPr>
              <w:t>②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5" w:type="dxa"/>
            <w:tcBorders>
              <w:left w:val="single" w:color="auto" w:sz="4" w:space="0"/>
              <w:right w:val="single" w:color="auto" w:sz="4" w:space="0"/>
            </w:tcBorders>
            <w:noWrap w:val="0"/>
            <w:vAlign w:val="top"/>
          </w:tcPr>
          <w:p>
            <w:pPr>
              <w:bidi w:val="0"/>
              <w:rPr>
                <w:rFonts w:hint="eastAsia"/>
                <w:highlight w:val="none"/>
              </w:rPr>
            </w:pPr>
            <w:r>
              <w:rPr>
                <w:rFonts w:hint="eastAsia"/>
                <w:highlight w:val="none"/>
              </w:rPr>
              <w:t>报价分35分</w:t>
            </w:r>
          </w:p>
        </w:tc>
        <w:tc>
          <w:tcPr>
            <w:tcW w:w="7757" w:type="dxa"/>
            <w:tcBorders>
              <w:left w:val="single" w:color="auto" w:sz="4" w:space="0"/>
              <w:right w:val="single" w:color="auto" w:sz="4" w:space="0"/>
            </w:tcBorders>
            <w:noWrap w:val="0"/>
            <w:vAlign w:val="center"/>
          </w:tcPr>
          <w:p>
            <w:pPr>
              <w:bidi w:val="0"/>
              <w:rPr>
                <w:rFonts w:hint="eastAsia"/>
                <w:highlight w:val="none"/>
              </w:rPr>
            </w:pPr>
            <w:r>
              <w:rPr>
                <w:rFonts w:hint="eastAsia"/>
                <w:highlight w:val="none"/>
              </w:rPr>
              <w:t>满足采购文件要求且参与评审价格最低为评标基准价，其价格分为满分，其余供应商的价格分以下列公式计算：</w:t>
            </w:r>
          </w:p>
          <w:p>
            <w:pPr>
              <w:bidi w:val="0"/>
              <w:rPr>
                <w:rFonts w:hint="eastAsia"/>
                <w:highlight w:val="none"/>
              </w:rPr>
            </w:pPr>
            <w:r>
              <w:rPr>
                <w:rFonts w:hint="eastAsia"/>
                <w:highlight w:val="none"/>
              </w:rPr>
              <w:t>投标报价得分=（评标基准价/参与评审的价格）×价格权值×100</w:t>
            </w:r>
          </w:p>
          <w:p>
            <w:pPr>
              <w:bidi w:val="0"/>
              <w:rPr>
                <w:rFonts w:hint="eastAsia"/>
                <w:highlight w:val="none"/>
              </w:rPr>
            </w:pPr>
            <w:r>
              <w:rPr>
                <w:rFonts w:hint="eastAsia"/>
                <w:highlight w:val="none"/>
              </w:rPr>
              <w:t>参与评审价格=投标价格×（1-价格折扣率）</w:t>
            </w:r>
          </w:p>
        </w:tc>
      </w:tr>
    </w:tbl>
    <w:p>
      <w:pPr>
        <w:widowControl/>
        <w:jc w:val="left"/>
        <w:rPr>
          <w:rFonts w:hint="eastAsia" w:ascii="宋体" w:hAnsi="宋体" w:eastAsia="宋体" w:cs="宋体"/>
          <w:sz w:val="28"/>
          <w:highlight w:val="none"/>
        </w:rPr>
      </w:pPr>
    </w:p>
    <w:p>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rPr>
        <w:t> </w:t>
      </w:r>
      <w:r>
        <w:rPr>
          <w:rFonts w:hint="eastAsia" w:ascii="宋体" w:hAnsi="宋体" w:eastAsia="宋体" w:cs="宋体"/>
          <w:b/>
          <w:sz w:val="24"/>
          <w:highlight w:val="none"/>
        </w:rPr>
        <w:t>备注：</w:t>
      </w: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编制投标文件（商务技术文件部分）时，建议按此目录（序号和内容）提供评标标准相应的商务技术资料。 </w:t>
      </w:r>
    </w:p>
    <w:p>
      <w:pPr>
        <w:pStyle w:val="2"/>
        <w:rPr>
          <w:rFonts w:hint="eastAsia" w:ascii="宋体" w:hAnsi="宋体" w:eastAsia="宋体" w:cs="宋体"/>
          <w:highlight w:val="none"/>
        </w:rPr>
        <w:sectPr>
          <w:pgSz w:w="11906" w:h="16838"/>
          <w:pgMar w:top="1276" w:right="1418" w:bottom="1247" w:left="1418" w:header="851" w:footer="992" w:gutter="0"/>
          <w:cols w:space="720" w:num="1"/>
          <w:titlePg/>
          <w:docGrid w:linePitch="312" w:charSpace="0"/>
        </w:sectPr>
      </w:pPr>
    </w:p>
    <w:p>
      <w:pPr>
        <w:pStyle w:val="2"/>
        <w:ind w:left="0" w:leftChars="0" w:firstLine="0" w:firstLineChars="0"/>
        <w:rPr>
          <w:rFonts w:hint="eastAsia" w:ascii="宋体" w:hAnsi="宋体" w:eastAsia="宋体" w:cs="宋体"/>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一、评标方法</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为中标候选人的评标方法。</w:t>
      </w: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二、评标标准</w:t>
      </w:r>
    </w:p>
    <w:p>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三、评标程序</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3.1 符合性审查。</w:t>
      </w:r>
      <w:r>
        <w:rPr>
          <w:rFonts w:hint="eastAsia" w:ascii="宋体" w:hAnsi="宋体" w:eastAsia="宋体" w:cs="宋体"/>
          <w:kern w:val="0"/>
          <w:sz w:val="24"/>
          <w:highlight w:val="none"/>
        </w:rPr>
        <w:t>评标委员会应当对符合资格的</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的投标文件进行符合性审查，以确定其是否满足招标文件的实质性要求。不满足招标文件的实质性要求的，投标无效。</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3.2 商务技术评审。</w:t>
      </w:r>
      <w:r>
        <w:rPr>
          <w:rFonts w:hint="eastAsia" w:ascii="宋体" w:hAnsi="宋体" w:eastAsia="宋体" w:cs="宋体"/>
          <w:kern w:val="0"/>
          <w:sz w:val="24"/>
          <w:highlight w:val="none"/>
        </w:rPr>
        <w:t>评标委员会应当按照招标文件中规定的评标方法和标准，对符合性审查合格的投标文件进行商务和技术评估。</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3.3 汇总商务技术得分。</w:t>
      </w:r>
      <w:r>
        <w:rPr>
          <w:rFonts w:hint="eastAsia" w:ascii="宋体" w:hAnsi="宋体" w:eastAsia="宋体" w:cs="宋体"/>
          <w:kern w:val="0"/>
          <w:sz w:val="24"/>
          <w:highlight w:val="none"/>
        </w:rPr>
        <w:t>评标委员会各成员应当独立对每个</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的商务和技术文件进行评价，并汇总商务技术得分情况。</w:t>
      </w:r>
    </w:p>
    <w:p>
      <w:pPr>
        <w:spacing w:line="360" w:lineRule="auto"/>
        <w:ind w:firstLine="482"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3.4 报价评审。</w:t>
      </w:r>
    </w:p>
    <w:p>
      <w:pPr>
        <w:pStyle w:val="36"/>
        <w:spacing w:before="0"/>
        <w:ind w:firstLine="480"/>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pPr>
        <w:pStyle w:val="36"/>
        <w:spacing w:before="0"/>
        <w:ind w:firstLine="480"/>
        <w:rPr>
          <w:rFonts w:hint="eastAsia" w:ascii="宋体" w:hAnsi="宋体" w:eastAsia="宋体" w:cs="宋体"/>
          <w:kern w:val="0"/>
          <w:highlight w:val="none"/>
        </w:rPr>
      </w:pPr>
      <w:r>
        <w:rPr>
          <w:rFonts w:hint="eastAsia" w:ascii="宋体" w:hAnsi="宋体" w:eastAsia="宋体" w:cs="宋体"/>
          <w:kern w:val="0"/>
          <w:highlight w:val="none"/>
        </w:rPr>
        <w:t>3.4.1.1电子交易平台生成的开标记录表(报价表)内容与投标文件中开标一览表(报价表)不一致的，以投标文件中开标一览表(报价表)为准；</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w:t>
      </w:r>
      <w:r>
        <w:rPr>
          <w:rFonts w:hint="eastAsia" w:ascii="宋体" w:hAnsi="宋体" w:eastAsia="宋体" w:cs="宋体"/>
          <w:kern w:val="0"/>
          <w:highlight w:val="none"/>
        </w:rPr>
        <w:t>投标文件中开标一览表(报价表)内容与投标文件中相应内容不一致的，以开标一览表(报价表)为准；</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 大写金额和小写金额不一致的，以大写金额为准;</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 单价金额小数点或者百分比有明显错位的，以开标一览表的总价为准，并修改单价;</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 总价金额与按单价汇总金额不一致的，以单价金额计算结果为准；</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确认后产生约束力。</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pPr>
        <w:pStyle w:val="3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的报价明显低于其他通过符合性审查</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的报价，有可能影响产品质量或者不能诚信履约的，应当要求其在30分钟内提供书面说明，必要时提交相关证明材料;</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不能证明其报价合理性的，评标委员会应当将其作为无效投标处理。</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pPr>
        <w:pStyle w:val="36"/>
        <w:spacing w:before="0"/>
        <w:ind w:firstLine="482"/>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4.1投标澄清、说明或者补正。</w:t>
      </w:r>
      <w:r>
        <w:rPr>
          <w:rFonts w:hint="eastAsia" w:ascii="宋体" w:hAnsi="宋体" w:eastAsia="宋体" w:cs="宋体"/>
          <w:kern w:val="0"/>
          <w:szCs w:val="24"/>
          <w:highlight w:val="none"/>
        </w:rPr>
        <w:t>对于投标文件中含义不明确、同类问题表述不一致或者有明显文字和计算错误的内容需要</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作出必要的澄清、说明或者补正的，评标委员会和</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通过电子交易平台交换数据电文，</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提交使用电子签名的相关数据电文或通过平台上传加盖公章的扫描件。给予</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提交澄清、说明或补正的时间不得少于半小时，</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已经明确表示澄清说明或补正完毕的除外。</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的澄清、说明或者补正不得超出投标文件的范围或者改变投标文件的实质性内容。</w:t>
      </w:r>
    </w:p>
    <w:p>
      <w:pPr>
        <w:pStyle w:val="9"/>
        <w:spacing w:line="360" w:lineRule="auto"/>
        <w:ind w:firstLine="482"/>
        <w:rPr>
          <w:rFonts w:hint="eastAsia" w:ascii="宋体" w:hAnsi="宋体" w:eastAsia="宋体" w:cs="宋体"/>
          <w:szCs w:val="21"/>
          <w:highlight w:val="none"/>
        </w:rPr>
      </w:pPr>
      <w:r>
        <w:rPr>
          <w:rFonts w:hint="eastAsia" w:ascii="宋体" w:hAnsi="宋体" w:eastAsia="宋体" w:cs="宋体"/>
          <w:b/>
          <w:kern w:val="0"/>
          <w:highlight w:val="none"/>
        </w:rPr>
        <w:t>4.2投标无效的情形。</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 没有响应招标文件实质性要求的投标将被视为无效投标。</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不得通过修正或撤消不合要求的偏离或保留从而使其投标成为实质上响应的投标，但经评标委员会认定属于</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修改、补正投标文件后，不影响评标委员会对其投标文件所作的评价和评分结果。</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 在电子开评标时，如发现下列情形之一的，将被视为无效投标文件：</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4.2.2.1电子投标文件解密失败的；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4.2.2.2投标文件未按招标文件要求加密、签字、盖章的；（投标文件中加盖</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公章部分均须CA签章。）</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 在资格审查、符合性审查和商务评审时，如发现下列情形之一的，将被视为无效投标文件：</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4.2.3.1 资格证明文件不全的或者不符合招标文件标明的资格要求的；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4.2.3.2 投标文件未按招标文件要求签署、盖章的；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4.2.3.3 投标文件格式不规范、项目不齐全或者内容虚假的；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4.2.3.4 投标文件的实质性内容未使用中文表述、意思表述不明确、前后矛盾或者使用计量单位不符合招标文件要求的（经评标委员会认定并允许其当场更正的笔误除外）；</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4.2.3.5 投标有效期、交货时间、质保期等商务条款不能满足招标文件要求的；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4.2.3.6 带“▲”的条款不能满足招标文件要求、未实质性响应招标文件要求或者投标文件有采购人不能接受的附加条件的；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4.2.3.7 单位负责人为同一人或者存在直接控股、管理关系的不同供应商参加同一合同项下的政府采购活动的；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4.2.3.8 为采购项目提供整体设计、规范编制或者项目管理、监理、检测等服务的供应商参加该采购项目的其他采购活动的；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4.2.3.9 商务技术文件中出现本项目投标报价或单价的。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4.3.在技术评审时，如发现下列情形之一的，将被视为无效投标文件：</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4.3.1未提供或未如实提供投标货物的技术参数，或者投标文件标明的响应或偏离与事实不符或虚假投标的；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4.3.2 明显不符合招标文件要求的规格型号、质量标准，或者与招标文件中标“▲”的技术指标、主要功能项目发生实质性偏离的；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4.3.3 允许偏离的技术、性能指标或辅助功能项目发生负偏离达/项（含）以上的；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4.3.4 投标技术方案不明确，存在一个或一个以上备选（替代）投标方案的；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4.3.5 与其他参加本次投标</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的投标文件（技术文件）的文字表述内容差错相同2处以上的；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4.4 在报价评审时，如发现下列情形之一的，投标文件将被视为无效：</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4.4.1 未采用人民币报价或者未按照招标文件标明的币种报价的；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4.4.2 报价超出最高限价，或者超出采购预算金额的；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4.4.3 投标报价具有选择性的；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4.4.4 投标报价中出现缺项、漏项或被评标委员会认定为有可能影响产品质量或者不能诚信履约的且不能在合理的时间内证明其报价合理性的；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4.4.5供应商对根据修正原则修正后的报价不确认的。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4.5其他无效情形：</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4.5.1 不同</w:t>
      </w:r>
      <w:r>
        <w:rPr>
          <w:rFonts w:hint="eastAsia" w:ascii="宋体" w:hAnsi="宋体" w:eastAsia="宋体" w:cs="宋体"/>
          <w:kern w:val="0"/>
          <w:sz w:val="24"/>
          <w:highlight w:val="none"/>
          <w:lang w:val="zh-CN"/>
        </w:rPr>
        <w:t>供应商</w:t>
      </w:r>
      <w:r>
        <w:rPr>
          <w:rFonts w:hint="eastAsia" w:ascii="宋体" w:hAnsi="宋体" w:eastAsia="宋体" w:cs="宋体"/>
          <w:kern w:val="0"/>
          <w:sz w:val="24"/>
          <w:highlight w:val="none"/>
        </w:rPr>
        <w:t>的投标文件出自同一终端设备或在相同Internet主机分配地址（相同IP地址）进行网上报名、投标的；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4.5.2 法律、法规、规章（适用本市的）及省级以上规范性文件（适用本市的）规定的其他无效情形。</w:t>
      </w:r>
    </w:p>
    <w:p>
      <w:pPr>
        <w:pStyle w:val="9"/>
        <w:snapToGrid w:val="0"/>
        <w:spacing w:line="360" w:lineRule="auto"/>
        <w:ind w:firstLine="482"/>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9"/>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pPr>
        <w:pStyle w:val="9"/>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pPr>
        <w:pStyle w:val="9"/>
        <w:snapToGrid w:val="0"/>
        <w:spacing w:line="360" w:lineRule="auto"/>
        <w:rPr>
          <w:rFonts w:hint="eastAsia" w:ascii="宋体" w:hAnsi="宋体" w:eastAsia="宋体" w:cs="宋体"/>
          <w:highlight w:val="none"/>
        </w:rPr>
      </w:pPr>
      <w:r>
        <w:rPr>
          <w:rFonts w:hint="eastAsia" w:ascii="宋体" w:hAnsi="宋体" w:eastAsia="宋体" w:cs="宋体"/>
          <w:highlight w:val="none"/>
        </w:rPr>
        <w:t>5.3</w:t>
      </w:r>
      <w:r>
        <w:rPr>
          <w:rFonts w:hint="eastAsia" w:ascii="宋体" w:hAnsi="宋体" w:eastAsia="宋体" w:cs="宋体"/>
          <w:kern w:val="0"/>
          <w:highlight w:val="none"/>
          <w:lang w:val="zh-CN"/>
        </w:rPr>
        <w:t>供应商</w:t>
      </w:r>
      <w:r>
        <w:rPr>
          <w:rFonts w:hint="eastAsia" w:ascii="宋体" w:hAnsi="宋体" w:eastAsia="宋体" w:cs="宋体"/>
          <w:highlight w:val="none"/>
        </w:rPr>
        <w:t>的报价均超过了采购预算，采购人不能支付的；</w:t>
      </w:r>
    </w:p>
    <w:p>
      <w:pPr>
        <w:pStyle w:val="9"/>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pPr>
        <w:pStyle w:val="9"/>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废标后，采购代理机构应当将废标理由通知所有</w:t>
      </w:r>
      <w:r>
        <w:rPr>
          <w:rFonts w:hint="eastAsia" w:ascii="宋体" w:hAnsi="宋体" w:eastAsia="宋体" w:cs="宋体"/>
          <w:kern w:val="0"/>
          <w:highlight w:val="none"/>
          <w:lang w:val="zh-CN"/>
        </w:rPr>
        <w:t>供应商</w:t>
      </w:r>
      <w:r>
        <w:rPr>
          <w:rFonts w:hint="eastAsia" w:ascii="宋体" w:hAnsi="宋体" w:eastAsia="宋体" w:cs="宋体"/>
          <w:highlight w:val="none"/>
        </w:rPr>
        <w:t>。</w:t>
      </w:r>
    </w:p>
    <w:p>
      <w:pPr>
        <w:pStyle w:val="9"/>
        <w:snapToGrid w:val="0"/>
        <w:spacing w:line="360" w:lineRule="auto"/>
        <w:ind w:firstLine="482"/>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adjustRightInd w:val="0"/>
        <w:snapToGrid w:val="0"/>
        <w:spacing w:line="360" w:lineRule="auto"/>
        <w:ind w:firstLine="482"/>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pPr>
        <w:pStyle w:val="9"/>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pPr>
        <w:pStyle w:val="9"/>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7.2已确定中标或者中标人但尚未签订政府采购合同的，中标或者成交结果无效，重新开展政府采购活动。</w:t>
      </w:r>
    </w:p>
    <w:p>
      <w:pPr>
        <w:pStyle w:val="9"/>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7.3政府采购合同已签订但尚未履行的，撤销合同，重新开展政府采购活动。</w:t>
      </w:r>
    </w:p>
    <w:p>
      <w:pPr>
        <w:pStyle w:val="9"/>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pPr>
        <w:pStyle w:val="9"/>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bookmarkEnd w:id="26"/>
      <w:bookmarkStart w:id="393" w:name="第五部分"/>
      <w:bookmarkStart w:id="394" w:name="_Toc86217003"/>
    </w:p>
    <w:p>
      <w:pPr>
        <w:spacing w:line="360" w:lineRule="auto"/>
        <w:rPr>
          <w:rFonts w:hint="eastAsia" w:ascii="宋体" w:hAnsi="宋体" w:eastAsia="宋体" w:cs="宋体"/>
          <w:b/>
          <w:sz w:val="36"/>
          <w:szCs w:val="36"/>
          <w:highlight w:val="none"/>
        </w:rPr>
      </w:pPr>
    </w:p>
    <w:p>
      <w:pPr>
        <w:pStyle w:val="9"/>
        <w:numPr>
          <w:ilvl w:val="0"/>
          <w:numId w:val="2"/>
        </w:numPr>
        <w:adjustRightInd w:val="0"/>
        <w:snapToGrid w:val="0"/>
        <w:spacing w:line="360" w:lineRule="auto"/>
        <w:ind w:firstLine="0" w:firstLine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r>
        <w:rPr>
          <w:rFonts w:hint="eastAsia" w:ascii="宋体" w:hAnsi="宋体" w:eastAsia="宋体" w:cs="宋体"/>
          <w:b/>
          <w:sz w:val="36"/>
          <w:szCs w:val="36"/>
          <w:highlight w:val="none"/>
        </w:rPr>
        <w:t>拟签订的合同文本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（此合同仅供参考。以最终采购人与中标人签订的合同条款为准进行公示，最终签订合同的主要条款不能与招标文件冲突）</w:t>
      </w:r>
    </w:p>
    <w:p>
      <w:pPr>
        <w:pStyle w:val="9"/>
        <w:adjustRightInd w:val="0"/>
        <w:snapToGrid w:val="0"/>
        <w:spacing w:line="360" w:lineRule="auto"/>
        <w:ind w:firstLine="0" w:firstLineChars="0"/>
        <w:rPr>
          <w:rFonts w:hint="eastAsia" w:ascii="宋体" w:hAnsi="宋体" w:eastAsia="宋体" w:cs="宋体"/>
          <w:b/>
          <w:sz w:val="36"/>
          <w:szCs w:val="36"/>
          <w:highlight w:val="none"/>
        </w:rPr>
      </w:pPr>
    </w:p>
    <w:p>
      <w:pPr>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pPr>
        <w:pStyle w:val="37"/>
        <w:ind w:left="0" w:leftChars="0" w:firstLine="0" w:firstLineChars="0"/>
        <w:rPr>
          <w:rFonts w:hint="eastAsia" w:ascii="宋体" w:hAnsi="宋体" w:eastAsia="宋体" w:cs="宋体"/>
          <w:szCs w:val="24"/>
          <w:highlight w:val="none"/>
        </w:rPr>
      </w:pPr>
    </w:p>
    <w:p>
      <w:pPr>
        <w:pStyle w:val="37"/>
        <w:rPr>
          <w:rFonts w:hint="eastAsia" w:ascii="宋体" w:hAnsi="宋体" w:eastAsia="宋体" w:cs="宋体"/>
          <w:szCs w:val="24"/>
          <w:highlight w:val="none"/>
        </w:rPr>
      </w:pPr>
    </w:p>
    <w:p>
      <w:pPr>
        <w:spacing w:before="120" w:line="360" w:lineRule="auto"/>
        <w:rPr>
          <w:rFonts w:hint="eastAsia" w:ascii="宋体" w:hAnsi="宋体" w:eastAsia="宋体" w:cs="宋体"/>
          <w:sz w:val="24"/>
          <w:highlight w:val="none"/>
        </w:rPr>
      </w:pPr>
    </w:p>
    <w:p>
      <w:pPr>
        <w:spacing w:before="120" w:line="360" w:lineRule="auto"/>
        <w:ind w:left="960" w:firstLine="720" w:firstLineChars="30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pStyle w:val="29"/>
        <w:spacing w:before="120"/>
        <w:rPr>
          <w:rFonts w:hint="eastAsia" w:ascii="宋体" w:hAnsi="宋体" w:eastAsia="宋体" w:cs="宋体"/>
          <w:szCs w:val="24"/>
          <w:highlight w:val="none"/>
        </w:rPr>
      </w:pPr>
    </w:p>
    <w:p>
      <w:pPr>
        <w:pStyle w:val="29"/>
        <w:spacing w:before="120"/>
        <w:rPr>
          <w:rFonts w:hint="eastAsia" w:ascii="宋体" w:hAnsi="宋体" w:eastAsia="宋体" w:cs="宋体"/>
          <w:szCs w:val="24"/>
          <w:highlight w:val="none"/>
        </w:rPr>
      </w:pPr>
    </w:p>
    <w:p>
      <w:pPr>
        <w:spacing w:line="360" w:lineRule="auto"/>
        <w:rPr>
          <w:rFonts w:hint="eastAsia" w:ascii="宋体" w:hAnsi="宋体" w:eastAsia="宋体" w:cs="宋体"/>
          <w:sz w:val="24"/>
          <w:highlight w:val="none"/>
        </w:rPr>
      </w:pPr>
    </w:p>
    <w:p>
      <w:pPr>
        <w:spacing w:before="120" w:line="480" w:lineRule="auto"/>
        <w:ind w:left="960" w:firstLine="720" w:firstLineChars="300"/>
        <w:rPr>
          <w:rFonts w:hint="eastAsia" w:ascii="宋体" w:hAnsi="宋体" w:eastAsia="宋体" w:cs="宋体"/>
          <w:sz w:val="24"/>
          <w:highlight w:val="non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pPr>
        <w:spacing w:before="120" w:line="480" w:lineRule="auto"/>
        <w:ind w:left="960" w:firstLine="720" w:firstLineChars="300"/>
        <w:rPr>
          <w:rFonts w:hint="eastAsia" w:ascii="宋体" w:hAnsi="宋体" w:eastAsia="宋体" w:cs="宋体"/>
          <w:sz w:val="24"/>
          <w:highlight w:val="non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pPr>
        <w:spacing w:before="120" w:line="480" w:lineRule="auto"/>
        <w:ind w:firstLine="1680" w:firstLineChars="700"/>
        <w:rPr>
          <w:rFonts w:hint="eastAsia" w:ascii="宋体" w:hAnsi="宋体" w:eastAsia="宋体" w:cs="宋体"/>
          <w:sz w:val="24"/>
          <w:highlight w:val="non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pPr>
        <w:spacing w:before="120" w:line="480" w:lineRule="auto"/>
        <w:ind w:firstLine="1680" w:firstLineChars="700"/>
        <w:rPr>
          <w:rFonts w:hint="eastAsia" w:ascii="宋体" w:hAnsi="宋体" w:eastAsia="宋体" w:cs="宋体"/>
          <w:sz w:val="24"/>
          <w:highlight w:val="none"/>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br w:type="page"/>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u w:val="single"/>
          <w:lang w:val="zh-CN"/>
        </w:rPr>
        <w:t xml:space="preserve">   （采购人）   </w:t>
      </w:r>
      <w:r>
        <w:rPr>
          <w:rFonts w:hint="eastAsia" w:ascii="宋体" w:hAnsi="宋体" w:eastAsia="宋体" w:cs="宋体"/>
          <w:sz w:val="24"/>
          <w:highlight w:val="none"/>
          <w:lang w:val="zh-CN"/>
        </w:rPr>
        <w:t>以</w:t>
      </w:r>
      <w:r>
        <w:rPr>
          <w:rFonts w:hint="eastAsia" w:ascii="宋体" w:hAnsi="宋体" w:eastAsia="宋体" w:cs="宋体"/>
          <w:sz w:val="24"/>
          <w:highlight w:val="none"/>
          <w:u w:val="single"/>
          <w:lang w:val="zh-CN"/>
        </w:rPr>
        <w:t xml:space="preserve">   （政府采购方式）  </w:t>
      </w:r>
      <w:r>
        <w:rPr>
          <w:rFonts w:hint="eastAsia" w:ascii="宋体" w:hAnsi="宋体" w:eastAsia="宋体" w:cs="宋体"/>
          <w:sz w:val="24"/>
          <w:highlight w:val="none"/>
          <w:lang w:val="zh-CN"/>
        </w:rPr>
        <w:t>对</w:t>
      </w:r>
      <w:r>
        <w:rPr>
          <w:rFonts w:hint="eastAsia" w:ascii="宋体" w:hAnsi="宋体" w:eastAsia="宋体" w:cs="宋体"/>
          <w:sz w:val="24"/>
          <w:highlight w:val="none"/>
          <w:u w:val="single"/>
          <w:lang w:val="zh-CN"/>
        </w:rPr>
        <w:t xml:space="preserve">   （同前页项目名称）   </w:t>
      </w:r>
      <w:r>
        <w:rPr>
          <w:rFonts w:hint="eastAsia" w:ascii="宋体" w:hAnsi="宋体" w:eastAsia="宋体" w:cs="宋体"/>
          <w:sz w:val="24"/>
          <w:highlight w:val="none"/>
          <w:lang w:val="zh-CN"/>
        </w:rPr>
        <w:t>项目进行了采购。经</w:t>
      </w:r>
      <w:r>
        <w:rPr>
          <w:rFonts w:hint="eastAsia" w:ascii="宋体" w:hAnsi="宋体" w:eastAsia="宋体" w:cs="宋体"/>
          <w:sz w:val="24"/>
          <w:highlight w:val="none"/>
          <w:u w:val="single"/>
          <w:lang w:val="zh-CN"/>
        </w:rPr>
        <w:t xml:space="preserve">   （相关评定主体名称）   </w:t>
      </w:r>
      <w:r>
        <w:rPr>
          <w:rFonts w:hint="eastAsia" w:ascii="宋体" w:hAnsi="宋体" w:eastAsia="宋体" w:cs="宋体"/>
          <w:sz w:val="24"/>
          <w:highlight w:val="none"/>
          <w:lang w:val="zh-CN"/>
        </w:rPr>
        <w:t>评定，</w:t>
      </w:r>
      <w:r>
        <w:rPr>
          <w:rFonts w:hint="eastAsia" w:ascii="宋体" w:hAnsi="宋体" w:eastAsia="宋体" w:cs="宋体"/>
          <w:sz w:val="24"/>
          <w:highlight w:val="none"/>
          <w:u w:val="single"/>
          <w:lang w:val="zh-CN"/>
        </w:rPr>
        <w:t xml:space="preserve">   （中标供应商名称）</w:t>
      </w:r>
      <w:r>
        <w:rPr>
          <w:rFonts w:hint="eastAsia" w:ascii="宋体" w:hAnsi="宋体" w:eastAsia="宋体" w:cs="宋体"/>
          <w:sz w:val="24"/>
          <w:highlight w:val="none"/>
          <w:lang w:val="zh-CN"/>
        </w:rPr>
        <w:t>为该项目中标供应商。现于中标通知书发出之日起三十日内，按照采购文件确定的事项签订本合同。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pPr>
        <w:adjustRightInd w:val="0"/>
        <w:spacing w:line="360" w:lineRule="auto"/>
        <w:ind w:firstLine="482" w:firstLineChars="200"/>
        <w:outlineLvl w:val="0"/>
        <w:rPr>
          <w:rFonts w:hint="eastAsia" w:ascii="宋体" w:hAnsi="宋体" w:eastAsia="宋体" w:cs="宋体"/>
          <w:b/>
          <w:sz w:val="24"/>
          <w:highlight w:val="none"/>
        </w:rPr>
      </w:pPr>
      <w:bookmarkStart w:id="395" w:name="_Toc3029"/>
      <w:bookmarkStart w:id="396" w:name="_Toc24059"/>
      <w:bookmarkStart w:id="397" w:name="_Toc2232"/>
      <w:r>
        <w:rPr>
          <w:rFonts w:hint="eastAsia" w:ascii="宋体" w:hAnsi="宋体" w:eastAsia="宋体" w:cs="宋体"/>
          <w:b/>
          <w:sz w:val="24"/>
          <w:highlight w:val="none"/>
        </w:rPr>
        <w:t>1 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 “合同”系指采购人和中标供应商签订的载明双方当事人所达成的协议，并包括所有的附件、附录和构成合同的其他文件。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 “合同价”系指根据合同约定，中标供应商在完全履行合同义务后，采购人应支付给中标供应商的价格。</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 “甲方”系指与中标供应商签署合同的采购人；采购人委托采购代理机构代表其与乙方签订合同的，采购人的授权委托书作为合同附件。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1.6 “现场”系指合同约定货物将要运至或者安装的地点。</w:t>
      </w:r>
    </w:p>
    <w:p>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 合同组成部分</w:t>
      </w:r>
      <w:bookmarkEnd w:id="395"/>
      <w:bookmarkEnd w:id="396"/>
      <w:bookmarkEnd w:id="397"/>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本合同及其补充合同、变更协议；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中标通知书；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投标文件（含澄清或者说明文件）；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招标文件（含澄清或者修改文件）；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 其他相关采购文件。</w:t>
      </w:r>
    </w:p>
    <w:p>
      <w:pPr>
        <w:adjustRightInd w:val="0"/>
        <w:spacing w:line="360" w:lineRule="auto"/>
        <w:ind w:firstLine="482" w:firstLineChars="200"/>
        <w:outlineLvl w:val="0"/>
        <w:rPr>
          <w:rFonts w:hint="eastAsia" w:ascii="宋体" w:hAnsi="宋体" w:eastAsia="宋体" w:cs="宋体"/>
          <w:b/>
          <w:sz w:val="24"/>
          <w:highlight w:val="none"/>
        </w:rPr>
      </w:pPr>
      <w:bookmarkStart w:id="398" w:name="_Toc24300"/>
      <w:bookmarkStart w:id="399" w:name="_Toc27126"/>
      <w:bookmarkStart w:id="400" w:name="_Toc21295"/>
      <w:r>
        <w:rPr>
          <w:rFonts w:hint="eastAsia" w:ascii="宋体" w:hAnsi="宋体" w:eastAsia="宋体" w:cs="宋体"/>
          <w:b/>
          <w:sz w:val="24"/>
          <w:highlight w:val="none"/>
        </w:rPr>
        <w:t>3 货物</w:t>
      </w:r>
      <w:bookmarkEnd w:id="398"/>
      <w:bookmarkEnd w:id="399"/>
      <w:bookmarkEnd w:id="400"/>
    </w:p>
    <w:tbl>
      <w:tblPr>
        <w:tblStyle w:val="16"/>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r>
    </w:tbl>
    <w:p>
      <w:pPr>
        <w:pStyle w:val="2"/>
        <w:ind w:firstLine="560"/>
        <w:rPr>
          <w:rFonts w:hint="eastAsia" w:ascii="宋体" w:hAnsi="宋体" w:eastAsia="宋体" w:cs="宋体"/>
          <w:highlight w:val="none"/>
        </w:rPr>
      </w:pPr>
    </w:p>
    <w:p>
      <w:pPr>
        <w:adjustRightInd w:val="0"/>
        <w:spacing w:line="360" w:lineRule="auto"/>
        <w:ind w:firstLine="482" w:firstLineChars="200"/>
        <w:outlineLvl w:val="0"/>
        <w:rPr>
          <w:rFonts w:hint="eastAsia" w:ascii="宋体" w:hAnsi="宋体" w:eastAsia="宋体" w:cs="宋体"/>
          <w:b/>
          <w:sz w:val="24"/>
          <w:highlight w:val="none"/>
        </w:rPr>
      </w:pPr>
      <w:bookmarkStart w:id="401" w:name="_Toc23292"/>
      <w:bookmarkStart w:id="402" w:name="_Toc21551"/>
      <w:bookmarkStart w:id="403" w:name="_Toc21631"/>
      <w:r>
        <w:rPr>
          <w:rFonts w:hint="eastAsia" w:ascii="宋体" w:hAnsi="宋体" w:eastAsia="宋体" w:cs="宋体"/>
          <w:b/>
          <w:sz w:val="24"/>
          <w:highlight w:val="none"/>
        </w:rPr>
        <w:t>4 价款</w:t>
      </w:r>
      <w:bookmarkEnd w:id="401"/>
      <w:bookmarkEnd w:id="402"/>
      <w:bookmarkEnd w:id="403"/>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200"/>
              <w:jc w:val="center"/>
              <w:rPr>
                <w:rFonts w:hint="eastAsia" w:ascii="宋体" w:hAnsi="宋体" w:eastAsia="宋体" w:cs="宋体"/>
                <w:sz w:val="24"/>
                <w:szCs w:val="24"/>
                <w:highlight w:val="none"/>
              </w:rPr>
            </w:pPr>
          </w:p>
        </w:tc>
      </w:tr>
    </w:tbl>
    <w:p>
      <w:pPr>
        <w:adjustRightInd w:val="0"/>
        <w:spacing w:line="360" w:lineRule="auto"/>
        <w:ind w:firstLine="482" w:firstLineChars="200"/>
        <w:outlineLvl w:val="0"/>
        <w:rPr>
          <w:rFonts w:hint="default" w:ascii="宋体" w:hAnsi="宋体" w:eastAsia="宋体" w:cs="宋体"/>
          <w:b/>
          <w:sz w:val="24"/>
          <w:highlight w:val="none"/>
          <w:lang w:val="en-US" w:eastAsia="zh-CN"/>
        </w:rPr>
      </w:pPr>
      <w:bookmarkStart w:id="404" w:name="_Toc22618"/>
      <w:bookmarkStart w:id="405" w:name="_Toc1814"/>
      <w:bookmarkStart w:id="406" w:name="_Toc10340"/>
      <w:r>
        <w:rPr>
          <w:rFonts w:hint="eastAsia" w:ascii="宋体" w:hAnsi="宋体" w:eastAsia="宋体" w:cs="宋体"/>
          <w:b/>
          <w:sz w:val="24"/>
          <w:highlight w:val="none"/>
        </w:rPr>
        <w:t>5 付款</w:t>
      </w:r>
      <w:bookmarkEnd w:id="404"/>
      <w:bookmarkEnd w:id="405"/>
      <w:bookmarkEnd w:id="406"/>
      <w:r>
        <w:rPr>
          <w:rFonts w:hint="eastAsia" w:ascii="宋体" w:hAnsi="宋体" w:eastAsia="宋体" w:cs="宋体"/>
          <w:b/>
          <w:sz w:val="24"/>
          <w:highlight w:val="none"/>
        </w:rPr>
        <w:t>方式</w:t>
      </w:r>
      <w:r>
        <w:rPr>
          <w:rFonts w:hint="eastAsia" w:ascii="宋体" w:hAnsi="宋体" w:cs="宋体"/>
          <w:b/>
          <w:sz w:val="24"/>
          <w:highlight w:val="none"/>
          <w:lang w:val="en-US" w:eastAsia="zh-CN"/>
        </w:rPr>
        <w:t>及变更</w:t>
      </w:r>
    </w:p>
    <w:p>
      <w:pPr>
        <w:pStyle w:val="32"/>
        <w:spacing w:before="0" w:beforeAutospacing="0" w:after="0" w:afterAutospacing="0" w:line="360" w:lineRule="auto"/>
        <w:ind w:firstLine="480"/>
        <w:rPr>
          <w:rFonts w:hint="eastAsia" w:ascii="宋体" w:hAnsi="宋体" w:eastAsia="宋体" w:cs="宋体"/>
          <w:b/>
          <w:bCs/>
          <w:i/>
          <w:iCs/>
          <w:kern w:val="2"/>
          <w:highlight w:val="none"/>
          <w:u w:val="single"/>
          <w:lang w:eastAsia="zh-CN"/>
        </w:rPr>
      </w:pPr>
      <w:bookmarkStart w:id="407" w:name="_Toc32071"/>
      <w:bookmarkStart w:id="408" w:name="_Toc19304"/>
      <w:bookmarkStart w:id="409" w:name="_Toc2846"/>
      <w:r>
        <w:rPr>
          <w:rFonts w:hint="eastAsia" w:ascii="宋体" w:hAnsi="宋体" w:eastAsia="宋体" w:cs="宋体"/>
          <w:kern w:val="2"/>
          <w:highlight w:val="none"/>
        </w:rPr>
        <w:t>5.1 资金支付的方式、时间和条件：</w:t>
      </w:r>
      <w:r>
        <w:rPr>
          <w:rFonts w:hint="eastAsia" w:ascii="宋体" w:hAnsi="宋体" w:eastAsia="宋体" w:cs="宋体"/>
          <w:b/>
          <w:bCs/>
          <w:i w:val="0"/>
          <w:iCs w:val="0"/>
          <w:kern w:val="2"/>
          <w:highlight w:val="none"/>
          <w:u w:val="single"/>
        </w:rPr>
        <w:t>合同签订后支付合同总金额10%预付款，主要设备到安装现场后支付合同总金额的40%，工程安装完毕验收合格后支付至合同总金额的80%，审计完成后支付至审定价的95%，余款</w:t>
      </w:r>
      <w:bookmarkStart w:id="422" w:name="_GoBack"/>
      <w:bookmarkEnd w:id="422"/>
      <w:r>
        <w:rPr>
          <w:rFonts w:hint="eastAsia" w:ascii="宋体" w:hAnsi="宋体" w:eastAsia="宋体" w:cs="宋体"/>
          <w:b/>
          <w:bCs/>
          <w:i w:val="0"/>
          <w:iCs w:val="0"/>
          <w:kern w:val="2"/>
          <w:highlight w:val="none"/>
          <w:u w:val="single"/>
        </w:rPr>
        <w:t>质保期满后付清</w:t>
      </w:r>
      <w:r>
        <w:rPr>
          <w:rFonts w:hint="eastAsia" w:cs="宋体"/>
          <w:b/>
          <w:bCs/>
          <w:i w:val="0"/>
          <w:iCs w:val="0"/>
          <w:kern w:val="2"/>
          <w:highlight w:val="none"/>
          <w:u w:val="single"/>
          <w:lang w:eastAsia="zh-CN"/>
        </w:rPr>
        <w:t>。</w:t>
      </w:r>
    </w:p>
    <w:p>
      <w:pPr>
        <w:pStyle w:val="32"/>
        <w:spacing w:before="0" w:beforeAutospacing="0" w:after="0" w:afterAutospacing="0" w:line="360" w:lineRule="auto"/>
        <w:ind w:firstLine="480"/>
        <w:rPr>
          <w:rFonts w:hint="eastAsia" w:ascii="宋体" w:hAnsi="宋体" w:eastAsia="宋体" w:cs="宋体"/>
          <w:kern w:val="2"/>
          <w:highlight w:val="none"/>
        </w:rPr>
      </w:pPr>
      <w:r>
        <w:rPr>
          <w:rFonts w:hint="eastAsia" w:ascii="宋体" w:hAnsi="宋体" w:eastAsia="宋体" w:cs="宋体"/>
          <w:kern w:val="2"/>
          <w:highlight w:val="none"/>
        </w:rPr>
        <w:t>5.2 乙方收款账户：</w:t>
      </w:r>
    </w:p>
    <w:p>
      <w:pPr>
        <w:autoSpaceDE w:val="0"/>
        <w:autoSpaceDN w:val="0"/>
        <w:spacing w:line="360" w:lineRule="auto"/>
        <w:ind w:left="1470" w:leftChars="700"/>
        <w:rPr>
          <w:rFonts w:hint="eastAsia" w:ascii="宋体" w:hAnsi="宋体" w:eastAsia="宋体" w:cs="宋体"/>
          <w:sz w:val="24"/>
          <w:highlight w:val="none"/>
        </w:rPr>
      </w:pPr>
      <w:r>
        <w:rPr>
          <w:rFonts w:hint="eastAsia" w:ascii="宋体" w:hAnsi="宋体" w:eastAsia="宋体" w:cs="宋体"/>
          <w:sz w:val="24"/>
          <w:highlight w:val="none"/>
        </w:rPr>
        <w:t>开户银行：</w:t>
      </w:r>
      <w:r>
        <w:rPr>
          <w:rFonts w:hint="eastAsia" w:ascii="宋体" w:hAnsi="宋体" w:eastAsia="宋体" w:cs="宋体"/>
          <w:b/>
          <w:bCs/>
          <w:i/>
          <w:iCs/>
          <w:sz w:val="24"/>
          <w:highlight w:val="none"/>
          <w:u w:val="single"/>
        </w:rPr>
        <w:t xml:space="preserve">                          </w:t>
      </w:r>
      <w:r>
        <w:rPr>
          <w:rFonts w:hint="eastAsia" w:ascii="宋体" w:hAnsi="宋体" w:eastAsia="宋体" w:cs="宋体"/>
          <w:sz w:val="24"/>
          <w:highlight w:val="none"/>
        </w:rPr>
        <w:t xml:space="preserve">                          </w:t>
      </w:r>
    </w:p>
    <w:p>
      <w:pPr>
        <w:autoSpaceDE w:val="0"/>
        <w:autoSpaceDN w:val="0"/>
        <w:spacing w:line="360" w:lineRule="auto"/>
        <w:ind w:left="1470" w:leftChars="700"/>
        <w:rPr>
          <w:rFonts w:hint="eastAsia" w:ascii="宋体" w:hAnsi="宋体" w:eastAsia="宋体" w:cs="宋体"/>
          <w:sz w:val="24"/>
          <w:highlight w:val="none"/>
        </w:rPr>
      </w:pPr>
      <w:r>
        <w:rPr>
          <w:rFonts w:hint="eastAsia" w:ascii="宋体" w:hAnsi="宋体" w:eastAsia="宋体" w:cs="宋体"/>
          <w:sz w:val="24"/>
          <w:highlight w:val="none"/>
        </w:rPr>
        <w:t>开户名称：</w:t>
      </w:r>
      <w:r>
        <w:rPr>
          <w:rFonts w:hint="eastAsia" w:ascii="宋体" w:hAnsi="宋体" w:eastAsia="宋体" w:cs="宋体"/>
          <w:b/>
          <w:bCs/>
          <w:i/>
          <w:iCs/>
          <w:sz w:val="24"/>
          <w:highlight w:val="none"/>
          <w:u w:val="single"/>
        </w:rPr>
        <w:t xml:space="preserve">                          </w:t>
      </w:r>
      <w:r>
        <w:rPr>
          <w:rFonts w:hint="eastAsia" w:ascii="宋体" w:hAnsi="宋体" w:eastAsia="宋体" w:cs="宋体"/>
          <w:sz w:val="24"/>
          <w:highlight w:val="none"/>
        </w:rPr>
        <w:t xml:space="preserve">                             </w:t>
      </w:r>
    </w:p>
    <w:p>
      <w:pPr>
        <w:autoSpaceDE w:val="0"/>
        <w:autoSpaceDN w:val="0"/>
        <w:spacing w:line="360" w:lineRule="auto"/>
        <w:ind w:left="1470" w:leftChars="700"/>
        <w:rPr>
          <w:rFonts w:hint="eastAsia" w:ascii="宋体" w:hAnsi="宋体" w:eastAsia="宋体" w:cs="宋体"/>
          <w:sz w:val="24"/>
          <w:highlight w:val="none"/>
          <w:lang w:val="zh-CN"/>
        </w:rPr>
      </w:pPr>
      <w:r>
        <w:rPr>
          <w:rFonts w:hint="eastAsia" w:ascii="宋体" w:hAnsi="宋体" w:eastAsia="宋体" w:cs="宋体"/>
          <w:sz w:val="24"/>
          <w:highlight w:val="none"/>
        </w:rPr>
        <w:t>开户账号：</w:t>
      </w:r>
      <w:r>
        <w:rPr>
          <w:rFonts w:hint="eastAsia" w:ascii="宋体" w:hAnsi="宋体" w:eastAsia="宋体" w:cs="宋体"/>
          <w:b/>
          <w:bCs/>
          <w:i/>
          <w:iCs/>
          <w:sz w:val="24"/>
          <w:highlight w:val="none"/>
          <w:u w:val="single"/>
        </w:rPr>
        <w:t xml:space="preserve">                          </w:t>
      </w:r>
      <w:r>
        <w:rPr>
          <w:rFonts w:hint="eastAsia" w:ascii="宋体" w:hAnsi="宋体" w:eastAsia="宋体" w:cs="宋体"/>
          <w:sz w:val="24"/>
          <w:highlight w:val="none"/>
          <w:lang w:val="zh-CN"/>
        </w:rPr>
        <w:t xml:space="preserve">      </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cs="宋体"/>
          <w:b w:val="0"/>
          <w:bCs/>
          <w:sz w:val="24"/>
          <w:highlight w:val="none"/>
          <w:lang w:val="en-US" w:eastAsia="zh-CN"/>
        </w:rPr>
        <w:t>5.3工程变更</w:t>
      </w:r>
      <w:r>
        <w:rPr>
          <w:rFonts w:hint="eastAsia" w:ascii="宋体" w:hAnsi="宋体" w:eastAsia="宋体" w:cs="宋体"/>
          <w:b w:val="0"/>
          <w:bCs/>
          <w:sz w:val="24"/>
          <w:highlight w:val="none"/>
        </w:rPr>
        <w:t>：</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cs="宋体"/>
          <w:b w:val="0"/>
          <w:bCs/>
          <w:sz w:val="24"/>
          <w:highlight w:val="none"/>
          <w:lang w:val="en-US" w:eastAsia="zh-CN"/>
        </w:rPr>
        <w:t>5.3</w:t>
      </w:r>
      <w:r>
        <w:rPr>
          <w:rFonts w:hint="eastAsia" w:ascii="宋体" w:hAnsi="宋体" w:eastAsia="宋体" w:cs="宋体"/>
          <w:b w:val="0"/>
          <w:bCs/>
          <w:sz w:val="24"/>
          <w:highlight w:val="none"/>
        </w:rPr>
        <w:t xml:space="preserve">.1 </w:t>
      </w:r>
      <w:r>
        <w:rPr>
          <w:rFonts w:hint="eastAsia" w:ascii="宋体" w:hAnsi="宋体" w:cs="宋体"/>
          <w:b w:val="0"/>
          <w:bCs/>
          <w:sz w:val="24"/>
          <w:highlight w:val="none"/>
          <w:lang w:val="en-US" w:eastAsia="zh-CN"/>
        </w:rPr>
        <w:t>其他变更</w:t>
      </w:r>
      <w:r>
        <w:rPr>
          <w:rFonts w:hint="eastAsia" w:ascii="宋体" w:hAnsi="宋体" w:eastAsia="宋体" w:cs="宋体"/>
          <w:b w:val="0"/>
          <w:bCs/>
          <w:sz w:val="24"/>
          <w:highlight w:val="none"/>
        </w:rPr>
        <w:t>：</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cs="宋体"/>
          <w:b w:val="0"/>
          <w:bCs/>
          <w:sz w:val="24"/>
          <w:highlight w:val="none"/>
          <w:lang w:val="en-US" w:eastAsia="zh-CN"/>
        </w:rPr>
        <w:t>5.3.1</w:t>
      </w:r>
      <w:r>
        <w:rPr>
          <w:rFonts w:hint="eastAsia" w:ascii="宋体" w:hAnsi="宋体" w:eastAsia="宋体" w:cs="宋体"/>
          <w:b w:val="0"/>
          <w:bCs/>
          <w:sz w:val="24"/>
          <w:highlight w:val="none"/>
        </w:rPr>
        <w:t>.1发生下列情况，项目的工程量可按实调整。</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rPr>
        <w:t>(1) 提出的变更所引起的工程项目或数量增减；</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cs="宋体"/>
          <w:b w:val="0"/>
          <w:bCs/>
          <w:sz w:val="24"/>
          <w:highlight w:val="none"/>
          <w:lang w:val="en-US" w:eastAsia="zh-CN"/>
        </w:rPr>
        <w:t>5.3</w:t>
      </w:r>
      <w:r>
        <w:rPr>
          <w:rFonts w:hint="eastAsia" w:ascii="宋体" w:hAnsi="宋体" w:eastAsia="宋体" w:cs="宋体"/>
          <w:b w:val="0"/>
          <w:bCs/>
          <w:sz w:val="24"/>
          <w:highlight w:val="none"/>
        </w:rPr>
        <w:t>.</w:t>
      </w:r>
      <w:r>
        <w:rPr>
          <w:rFonts w:hint="eastAsia" w:ascii="宋体" w:hAnsi="宋体" w:cs="宋体"/>
          <w:b w:val="0"/>
          <w:bCs/>
          <w:sz w:val="24"/>
          <w:highlight w:val="none"/>
          <w:lang w:val="en-US" w:eastAsia="zh-CN"/>
        </w:rPr>
        <w:t>2</w:t>
      </w:r>
      <w:r>
        <w:rPr>
          <w:rFonts w:hint="eastAsia" w:ascii="宋体" w:hAnsi="宋体" w:eastAsia="宋体" w:cs="宋体"/>
          <w:b w:val="0"/>
          <w:bCs/>
          <w:sz w:val="24"/>
          <w:highlight w:val="none"/>
        </w:rPr>
        <w:t>.确定变更价款</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cs="宋体"/>
          <w:b w:val="0"/>
          <w:bCs/>
          <w:sz w:val="24"/>
          <w:highlight w:val="none"/>
          <w:lang w:val="en-US" w:eastAsia="zh-CN"/>
        </w:rPr>
        <w:t>5.3</w:t>
      </w:r>
      <w:r>
        <w:rPr>
          <w:rFonts w:hint="eastAsia" w:ascii="宋体" w:hAnsi="宋体" w:eastAsia="宋体" w:cs="宋体"/>
          <w:b w:val="0"/>
          <w:bCs/>
          <w:sz w:val="24"/>
          <w:highlight w:val="none"/>
        </w:rPr>
        <w:t>.</w:t>
      </w:r>
      <w:r>
        <w:rPr>
          <w:rFonts w:hint="eastAsia" w:ascii="宋体" w:hAnsi="宋体" w:cs="宋体"/>
          <w:b w:val="0"/>
          <w:bCs/>
          <w:sz w:val="24"/>
          <w:highlight w:val="none"/>
          <w:lang w:val="en-US" w:eastAsia="zh-CN"/>
        </w:rPr>
        <w:t>2</w:t>
      </w:r>
      <w:r>
        <w:rPr>
          <w:rFonts w:hint="eastAsia" w:ascii="宋体" w:hAnsi="宋体" w:eastAsia="宋体" w:cs="宋体"/>
          <w:b w:val="0"/>
          <w:bCs/>
          <w:sz w:val="24"/>
          <w:highlight w:val="none"/>
        </w:rPr>
        <w:t>.1设计变更引起的新的工程项目，其相应单价的确定方法为：</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rPr>
        <w:t>(1)合同中有类似工程项目单价的，可以参照合同中类似项目的单价计算确定，相同的按就低原则执行；</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2</w:t>
      </w:r>
      <w:r>
        <w:rPr>
          <w:rFonts w:hint="eastAsia" w:ascii="宋体" w:hAnsi="宋体" w:cs="宋体"/>
          <w:b w:val="0"/>
          <w:bCs/>
          <w:sz w:val="24"/>
          <w:highlight w:val="none"/>
          <w:lang w:eastAsia="zh-CN"/>
        </w:rPr>
        <w:t>）</w:t>
      </w:r>
      <w:r>
        <w:rPr>
          <w:rFonts w:hint="eastAsia" w:ascii="宋体" w:hAnsi="宋体" w:eastAsia="宋体" w:cs="宋体"/>
          <w:b w:val="0"/>
          <w:bCs/>
          <w:sz w:val="24"/>
          <w:highlight w:val="none"/>
        </w:rPr>
        <w:t>合同中没有类似工程项目单价的按以下原则结算：</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rPr>
        <w:t>计价依据</w:t>
      </w:r>
      <w:r>
        <w:rPr>
          <w:rFonts w:hint="eastAsia" w:ascii="宋体" w:hAnsi="宋体" w:cs="宋体"/>
          <w:b w:val="0"/>
          <w:bCs/>
          <w:sz w:val="24"/>
          <w:highlight w:val="none"/>
          <w:lang w:eastAsia="zh-CN"/>
        </w:rPr>
        <w:t>：</w:t>
      </w:r>
      <w:r>
        <w:rPr>
          <w:rFonts w:hint="eastAsia" w:ascii="宋体" w:hAnsi="宋体" w:eastAsia="宋体" w:cs="宋体"/>
          <w:b w:val="0"/>
          <w:bCs/>
          <w:sz w:val="24"/>
          <w:highlight w:val="none"/>
        </w:rPr>
        <w:t>《浙江省建设工程计价规则（2018版）》</w:t>
      </w:r>
      <w:r>
        <w:rPr>
          <w:rFonts w:hint="eastAsia" w:ascii="宋体" w:hAnsi="宋体" w:cs="宋体"/>
          <w:b w:val="0"/>
          <w:bCs/>
          <w:sz w:val="24"/>
          <w:highlight w:val="none"/>
          <w:lang w:eastAsia="zh-CN"/>
        </w:rPr>
        <w:t>、</w:t>
      </w:r>
      <w:r>
        <w:rPr>
          <w:rFonts w:hint="eastAsia" w:ascii="宋体" w:hAnsi="宋体" w:eastAsia="宋体" w:cs="宋体"/>
          <w:b w:val="0"/>
          <w:bCs/>
          <w:sz w:val="24"/>
          <w:highlight w:val="none"/>
        </w:rPr>
        <w:t>《浙江省市政工程预算定额（2018版）》</w:t>
      </w:r>
      <w:r>
        <w:rPr>
          <w:rFonts w:hint="eastAsia" w:ascii="宋体" w:hAnsi="宋体" w:cs="宋体"/>
          <w:b w:val="0"/>
          <w:bCs/>
          <w:sz w:val="24"/>
          <w:highlight w:val="none"/>
          <w:lang w:eastAsia="zh-CN"/>
        </w:rPr>
        <w:t>、</w:t>
      </w:r>
      <w:r>
        <w:rPr>
          <w:rFonts w:hint="eastAsia" w:ascii="宋体" w:hAnsi="宋体" w:eastAsia="宋体" w:cs="宋体"/>
          <w:b w:val="0"/>
          <w:bCs/>
          <w:sz w:val="24"/>
          <w:highlight w:val="none"/>
        </w:rPr>
        <w:t>《建设工程工程量清单计价规范（GB50500-2013）》</w:t>
      </w:r>
      <w:r>
        <w:rPr>
          <w:rFonts w:hint="eastAsia" w:ascii="宋体" w:hAnsi="宋体" w:cs="宋体"/>
          <w:b w:val="0"/>
          <w:bCs/>
          <w:sz w:val="24"/>
          <w:highlight w:val="none"/>
          <w:lang w:eastAsia="zh-CN"/>
        </w:rPr>
        <w:t>、</w:t>
      </w:r>
      <w:r>
        <w:rPr>
          <w:rFonts w:hint="eastAsia" w:ascii="宋体" w:hAnsi="宋体" w:eastAsia="宋体" w:cs="宋体"/>
          <w:b w:val="0"/>
          <w:bCs/>
          <w:sz w:val="24"/>
          <w:highlight w:val="none"/>
        </w:rPr>
        <w:t>《浙江省房屋建筑与装饰工程预算定额（2018版）》</w:t>
      </w:r>
      <w:r>
        <w:rPr>
          <w:rFonts w:hint="eastAsia" w:ascii="宋体" w:hAnsi="宋体" w:cs="宋体"/>
          <w:b w:val="0"/>
          <w:bCs/>
          <w:sz w:val="24"/>
          <w:highlight w:val="none"/>
          <w:lang w:eastAsia="zh-CN"/>
        </w:rPr>
        <w:t>、</w:t>
      </w:r>
      <w:r>
        <w:rPr>
          <w:rFonts w:hint="eastAsia" w:ascii="宋体" w:hAnsi="宋体" w:eastAsia="宋体" w:cs="宋体"/>
          <w:b w:val="0"/>
          <w:bCs/>
          <w:sz w:val="24"/>
          <w:highlight w:val="none"/>
        </w:rPr>
        <w:t>《市政工程工程量计算规范（GB50857-2013）》</w:t>
      </w:r>
      <w:r>
        <w:rPr>
          <w:rFonts w:hint="eastAsia" w:ascii="宋体" w:hAnsi="宋体" w:cs="宋体"/>
          <w:b w:val="0"/>
          <w:bCs/>
          <w:sz w:val="24"/>
          <w:highlight w:val="none"/>
          <w:lang w:eastAsia="zh-CN"/>
        </w:rPr>
        <w:t>、</w:t>
      </w:r>
      <w:r>
        <w:rPr>
          <w:rFonts w:hint="eastAsia" w:ascii="宋体" w:hAnsi="宋体" w:eastAsia="宋体" w:cs="宋体"/>
          <w:b w:val="0"/>
          <w:bCs/>
          <w:sz w:val="24"/>
          <w:highlight w:val="none"/>
        </w:rPr>
        <w:t>现行浙江省、宁波市造价文件及其他有关造价依据。</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rPr>
        <w:t>人工市场信息价采用2022年3月份《宁波建设工程造价信息》（综合版）。材料市场信息价优先计取顺序为2022年3月份的《宁波建设工程造价信息（综合版奉化栏）》、《宁波建设工程造价信息建材商情版》、《浙江造价信息》除税信息价计取；无信息价部分结合相关文件并市场询价取定。</w:t>
      </w:r>
    </w:p>
    <w:p>
      <w:pPr>
        <w:adjustRightInd w:val="0"/>
        <w:spacing w:line="360" w:lineRule="auto"/>
        <w:ind w:firstLine="480" w:firstLineChars="200"/>
        <w:outlineLvl w:val="0"/>
        <w:rPr>
          <w:rFonts w:hint="default" w:ascii="宋体" w:hAnsi="宋体" w:cs="宋体"/>
          <w:b w:val="0"/>
          <w:bCs/>
          <w:sz w:val="24"/>
          <w:highlight w:val="none"/>
          <w:lang w:val="en-US" w:eastAsia="zh-CN"/>
        </w:rPr>
      </w:pPr>
      <w:r>
        <w:rPr>
          <w:rFonts w:hint="eastAsia" w:ascii="宋体" w:hAnsi="宋体" w:eastAsia="宋体" w:cs="宋体"/>
          <w:b w:val="0"/>
          <w:bCs/>
          <w:sz w:val="24"/>
          <w:highlight w:val="none"/>
        </w:rPr>
        <w:t>工程费用类别</w:t>
      </w:r>
      <w:r>
        <w:rPr>
          <w:rFonts w:hint="eastAsia" w:ascii="宋体" w:hAnsi="宋体" w:cs="宋体"/>
          <w:b w:val="0"/>
          <w:bCs/>
          <w:sz w:val="24"/>
          <w:highlight w:val="none"/>
          <w:lang w:eastAsia="zh-CN"/>
        </w:rPr>
        <w:t>：</w:t>
      </w:r>
      <w:r>
        <w:rPr>
          <w:rFonts w:hint="eastAsia" w:ascii="宋体" w:hAnsi="宋体" w:eastAsia="宋体" w:cs="宋体"/>
          <w:b w:val="0"/>
          <w:bCs/>
          <w:sz w:val="24"/>
          <w:highlight w:val="none"/>
        </w:rPr>
        <w:t>路灯工程费用类别按市政安装工程取费，其中：弹性区间费率按中值计取；安全文明施工基本费按“市区工程”中值费率计取，按《奉建【2022】28号》乘以系数1.15；规费费率按《浙江省建设工程计价规则（2018版）》取费标准的30%计取；关于增值税调整后我省建设工程计价依据增值税税率及有关计价调整的通知按浙建建【2019】92号（税率按9%）计取；不计取提前竣工增加费、二次搬运费、行车、行人干扰增加费、标化工地增加费、优质工程增加费等费用</w:t>
      </w:r>
      <w:r>
        <w:rPr>
          <w:rFonts w:hint="eastAsia" w:ascii="宋体" w:hAnsi="宋体" w:cs="宋体"/>
          <w:b w:val="0"/>
          <w:bCs/>
          <w:sz w:val="24"/>
          <w:highlight w:val="none"/>
          <w:lang w:eastAsia="zh-CN"/>
        </w:rPr>
        <w:t>。</w:t>
      </w:r>
    </w:p>
    <w:p>
      <w:pPr>
        <w:adjustRightInd w:val="0"/>
        <w:spacing w:line="360" w:lineRule="auto"/>
        <w:ind w:firstLine="480" w:firstLineChars="200"/>
        <w:outlineLvl w:val="0"/>
        <w:rPr>
          <w:rFonts w:hint="eastAsia" w:ascii="宋体" w:hAnsi="宋体" w:eastAsia="宋体" w:cs="宋体"/>
          <w:b w:val="0"/>
          <w:bCs/>
          <w:sz w:val="24"/>
          <w:highlight w:val="none"/>
        </w:rPr>
      </w:pPr>
      <w:r>
        <w:rPr>
          <w:rFonts w:hint="eastAsia" w:ascii="宋体" w:hAnsi="宋体" w:cs="宋体"/>
          <w:b w:val="0"/>
          <w:bCs/>
          <w:sz w:val="24"/>
          <w:highlight w:val="none"/>
          <w:lang w:val="en-US" w:eastAsia="zh-CN"/>
        </w:rPr>
        <w:t>重新组价单价</w:t>
      </w:r>
      <w:r>
        <w:rPr>
          <w:rFonts w:hint="eastAsia" w:ascii="宋体" w:hAnsi="宋体" w:eastAsia="宋体" w:cs="宋体"/>
          <w:b w:val="0"/>
          <w:bCs/>
          <w:sz w:val="24"/>
          <w:highlight w:val="none"/>
        </w:rPr>
        <w:t>按中标浮动率浮动。</w:t>
      </w:r>
    </w:p>
    <w:p>
      <w:pPr>
        <w:adjustRightInd w:val="0"/>
        <w:spacing w:line="360" w:lineRule="auto"/>
        <w:ind w:firstLine="480" w:firstLineChars="200"/>
        <w:outlineLvl w:val="0"/>
        <w:rPr>
          <w:rFonts w:hint="default" w:ascii="宋体" w:hAnsi="宋体" w:eastAsia="宋体" w:cs="宋体"/>
          <w:b w:val="0"/>
          <w:bCs/>
          <w:sz w:val="24"/>
          <w:highlight w:val="none"/>
          <w:lang w:val="en-US" w:eastAsia="zh-CN"/>
        </w:rPr>
      </w:pPr>
      <w:r>
        <w:rPr>
          <w:rFonts w:hint="eastAsia" w:ascii="宋体" w:hAnsi="宋体" w:cs="宋体"/>
          <w:b w:val="0"/>
          <w:bCs/>
          <w:sz w:val="24"/>
          <w:highlight w:val="none"/>
          <w:lang w:val="en-US" w:eastAsia="zh-CN"/>
        </w:rPr>
        <w:t>中标</w:t>
      </w:r>
      <w:r>
        <w:rPr>
          <w:rFonts w:hint="eastAsia" w:ascii="宋体" w:hAnsi="宋体" w:eastAsia="宋体" w:cs="宋体"/>
          <w:b w:val="0"/>
          <w:bCs/>
          <w:sz w:val="24"/>
          <w:highlight w:val="none"/>
        </w:rPr>
        <w:t>浮动率=（中标价/预算价（</w:t>
      </w:r>
      <w:r>
        <w:rPr>
          <w:rFonts w:hint="eastAsia" w:ascii="宋体" w:hAnsi="宋体" w:cs="宋体"/>
          <w:b w:val="0"/>
          <w:bCs/>
          <w:sz w:val="24"/>
          <w:highlight w:val="none"/>
          <w:lang w:val="en-US" w:eastAsia="zh-CN"/>
        </w:rPr>
        <w:t>1036090</w:t>
      </w:r>
      <w:r>
        <w:rPr>
          <w:rFonts w:hint="eastAsia" w:ascii="宋体" w:hAnsi="宋体" w:eastAsia="宋体" w:cs="宋体"/>
          <w:b w:val="0"/>
          <w:bCs/>
          <w:sz w:val="24"/>
          <w:highlight w:val="none"/>
        </w:rPr>
        <w:t>元）-1）*100%</w:t>
      </w:r>
    </w:p>
    <w:p>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6 货物交付期限、地点和方式</w:t>
      </w:r>
      <w:bookmarkEnd w:id="407"/>
      <w:bookmarkEnd w:id="408"/>
      <w:bookmarkEnd w:id="409"/>
    </w:p>
    <w:p>
      <w:pPr>
        <w:adjustRightIn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6.1 交付期限：</w:t>
      </w:r>
      <w:r>
        <w:rPr>
          <w:rFonts w:hint="eastAsia" w:ascii="宋体" w:hAnsi="宋体" w:eastAsia="宋体" w:cs="宋体"/>
          <w:b/>
          <w:i/>
          <w:highlight w:val="none"/>
          <w:u w:val="single"/>
        </w:rPr>
        <w:t xml:space="preserve">                   </w:t>
      </w:r>
    </w:p>
    <w:p>
      <w:p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交付地点：</w:t>
      </w:r>
      <w:r>
        <w:rPr>
          <w:rFonts w:hint="eastAsia" w:ascii="宋体" w:hAnsi="宋体" w:eastAsia="宋体" w:cs="宋体"/>
          <w:b/>
          <w:i/>
          <w:highlight w:val="none"/>
          <w:u w:val="single"/>
        </w:rPr>
        <w:t xml:space="preserve">                   </w:t>
      </w:r>
    </w:p>
    <w:p>
      <w:p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 交付方式：</w:t>
      </w:r>
      <w:r>
        <w:rPr>
          <w:rFonts w:hint="eastAsia" w:ascii="宋体" w:hAnsi="宋体" w:eastAsia="宋体" w:cs="宋体"/>
          <w:b/>
          <w:i/>
          <w:highlight w:val="none"/>
          <w:u w:val="single"/>
        </w:rPr>
        <w:t xml:space="preserve">                   </w:t>
      </w:r>
    </w:p>
    <w:p>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7 技术规范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8 知识产权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8.2具有知识产权的计算机软件等货物的知识产权归属，除合同另有规定外，归甲方所有。</w:t>
      </w:r>
    </w:p>
    <w:p>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9 包装和装运</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10 履约保证金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10.1 招标文件要求乙方提交履约保证金的，乙方应按</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方式（可以支票、汇票、本票或者银行保函等非现金形式），在合同签订并生效后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日内提交不超过合同金额2.5%的履约保证金。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10.2  履约保证金在</w:t>
      </w:r>
      <w:r>
        <w:rPr>
          <w:rFonts w:hint="eastAsia" w:ascii="宋体" w:hAnsi="宋体" w:eastAsia="宋体" w:cs="宋体"/>
          <w:b/>
          <w:i/>
          <w:highlight w:val="none"/>
          <w:u w:val="single"/>
        </w:rPr>
        <w:t xml:space="preserve">              </w:t>
      </w:r>
      <w:r>
        <w:rPr>
          <w:rFonts w:hint="eastAsia" w:ascii="宋体" w:hAnsi="宋体" w:eastAsia="宋体" w:cs="宋体"/>
          <w:sz w:val="24"/>
          <w:highlight w:val="none"/>
        </w:rPr>
        <w:t>（合同规定的履约时间）内不予退还。乙方在前述约定期间届满前能履行完合同约定义务事项的，甲方在前述约定期间届满之日起</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个工作日内，将履约保证金无息退还乙方。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11 履约检查和问题反馈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12 检验和验收</w:t>
      </w:r>
    </w:p>
    <w:p>
      <w:pPr>
        <w:tabs>
          <w:tab w:val="left" w:pos="360"/>
          <w:tab w:val="left" w:pos="540"/>
          <w:tab w:val="left" w:pos="108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12.1货物交付前，乙方应对货物的质量、数量等方面进行详细、全面的检验，并向甲方出具证明货物符合合同约定的文件；货物交付时，乙方在交付后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个工作日内组织验收，并可依法邀请相关方参加，验收应出具验收书。</w:t>
      </w:r>
    </w:p>
    <w:p>
      <w:pPr>
        <w:tabs>
          <w:tab w:val="left" w:pos="360"/>
          <w:tab w:val="left" w:pos="540"/>
          <w:tab w:val="left" w:pos="108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13 技术资料和保密义务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 乙方有权依据合同约定和项目需要，向甲方了解有关情况，调阅有关资料等，甲方应予积极配合；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 乙方有义务妥善保管和保护由甲方提供的前款信息和资料等；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14 质量保证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乙方应建立和完善履行合同的内部质量保证体系，并提供相关内部规章制度给甲方，以便甲方进行监督检查；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15 货物的风险负担</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货物在甲方未收货前出现的货物毁损、灭失的风险均由乙方承担。</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16 延迟交货</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17 合同变更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18 合同转让和分包</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18.2乙方采取分包方式履行合同的，甲方可直接向分包供应商支付款项。</w:t>
      </w:r>
    </w:p>
    <w:p>
      <w:pPr>
        <w:spacing w:line="360" w:lineRule="auto"/>
        <w:ind w:firstLine="482" w:firstLineChars="200"/>
        <w:outlineLvl w:val="0"/>
        <w:rPr>
          <w:rFonts w:hint="eastAsia" w:ascii="宋体" w:hAnsi="宋体" w:eastAsia="宋体" w:cs="宋体"/>
          <w:b/>
          <w:sz w:val="24"/>
          <w:highlight w:val="none"/>
        </w:rPr>
      </w:pPr>
      <w:bookmarkStart w:id="410" w:name="_Toc27250"/>
      <w:bookmarkStart w:id="411" w:name="_Toc19554"/>
      <w:bookmarkStart w:id="412" w:name="_Toc21423"/>
      <w:r>
        <w:rPr>
          <w:rFonts w:hint="eastAsia" w:ascii="宋体" w:hAnsi="宋体" w:eastAsia="宋体" w:cs="宋体"/>
          <w:b/>
          <w:sz w:val="24"/>
          <w:highlight w:val="none"/>
        </w:rPr>
        <w:t>19 违约责任</w:t>
      </w:r>
      <w:bookmarkEnd w:id="410"/>
      <w:bookmarkEnd w:id="411"/>
      <w:bookmarkEnd w:id="412"/>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19.1 除不可抗力外，如果乙方拒绝履行合同，或没有按照本合同约定的期限、地点和方式交付货物，那么甲方可要求乙方支付违约金，违约金按每日计合同总价的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%，最高限额为本合同总价的</w:t>
      </w:r>
      <w:r>
        <w:rPr>
          <w:rFonts w:hint="eastAsia" w:ascii="宋体" w:hAnsi="宋体" w:eastAsia="宋体" w:cs="宋体"/>
          <w:sz w:val="24"/>
          <w:highlight w:val="none"/>
          <w:u w:val="single"/>
        </w:rPr>
        <w:t xml:space="preserve"> 10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10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20 不可抗力</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20.2 因不可抗力致使不能实现合同目的的，当事人可以解除合同；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20.3 因不可抗力致使合同有变更必要的，双方当事人应在不可抗力发生后</w:t>
      </w:r>
      <w:r>
        <w:rPr>
          <w:rFonts w:hint="eastAsia" w:ascii="宋体" w:hAnsi="宋体" w:eastAsia="宋体" w:cs="宋体"/>
          <w:sz w:val="24"/>
          <w:highlight w:val="none"/>
          <w:u w:val="single"/>
        </w:rPr>
        <w:t xml:space="preserve"> 10 </w:t>
      </w:r>
      <w:r>
        <w:rPr>
          <w:rFonts w:hint="eastAsia" w:ascii="宋体" w:hAnsi="宋体" w:eastAsia="宋体" w:cs="宋体"/>
          <w:sz w:val="24"/>
          <w:highlight w:val="none"/>
        </w:rPr>
        <w:t>日内以书面形式变更合同；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20.4受不可抗力影响的一方在不可抗力发生后，应在</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日内以书面形式通知对方当事人，并在</w:t>
      </w:r>
      <w:r>
        <w:rPr>
          <w:rFonts w:hint="eastAsia" w:ascii="宋体" w:hAnsi="宋体" w:eastAsia="宋体" w:cs="宋体"/>
          <w:sz w:val="24"/>
          <w:highlight w:val="none"/>
          <w:u w:val="single"/>
        </w:rPr>
        <w:t xml:space="preserve">  15  </w:t>
      </w:r>
      <w:r>
        <w:rPr>
          <w:rFonts w:hint="eastAsia" w:ascii="宋体" w:hAnsi="宋体" w:eastAsia="宋体" w:cs="宋体"/>
          <w:sz w:val="24"/>
          <w:highlight w:val="none"/>
        </w:rPr>
        <w:t>日内，将有关部门出具的证明文件送达对方当事人。</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21 税费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22 乙方破产</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eastAsia="宋体" w:cs="宋体"/>
          <w:b/>
          <w:sz w:val="24"/>
          <w:highlight w:val="none"/>
        </w:rPr>
      </w:pPr>
      <w:bookmarkStart w:id="413" w:name="_Toc16021"/>
      <w:bookmarkStart w:id="414" w:name="_Toc28375"/>
      <w:bookmarkStart w:id="415" w:name="_Toc15583"/>
      <w:r>
        <w:rPr>
          <w:rFonts w:hint="eastAsia" w:ascii="宋体" w:hAnsi="宋体" w:eastAsia="宋体" w:cs="宋体"/>
          <w:b/>
          <w:sz w:val="24"/>
          <w:highlight w:val="none"/>
        </w:rPr>
        <w:t>23 合同争议的解决</w:t>
      </w:r>
      <w:bookmarkEnd w:id="413"/>
      <w:bookmarkEnd w:id="414"/>
      <w:bookmarkEnd w:id="415"/>
    </w:p>
    <w:p>
      <w:p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本合同履行过程中发生的任何争议，双方当事人均可通过和解或者调解解决；不愿和解、调解或者和解、调解不成的，可以向宁波市奉化区人民法院提起诉讼。</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24 合同中止、终止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 双方当事人不得擅自中止或者终止合同；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25 通知和送达</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25.1任何一方因履行合同而以合同第一部分尾部所列明的传真或电子邮件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26 计量单位</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27合同使用的文字和适用的法律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合同使用汉语书就、变更和解释；</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合同适用中华人民共和国法律。</w:t>
      </w:r>
    </w:p>
    <w:p>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28合同效力</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本合同一式四份，甲乙双方各两份，每份均具有同等法律效力。本合同自双方当事人盖章或者签字时生效。</w:t>
      </w:r>
    </w:p>
    <w:p>
      <w:pPr>
        <w:autoSpaceDE w:val="0"/>
        <w:autoSpaceDN w:val="0"/>
        <w:spacing w:line="360" w:lineRule="auto"/>
        <w:rPr>
          <w:rFonts w:hint="eastAsia" w:ascii="宋体" w:hAnsi="宋体" w:eastAsia="宋体" w:cs="宋体"/>
          <w:sz w:val="24"/>
          <w:highlight w:val="none"/>
          <w:lang w:val="zh-CN"/>
        </w:rPr>
      </w:pPr>
    </w:p>
    <w:p>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甲方名称（公章）</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乙方名称（公章）</w:t>
      </w:r>
      <w:r>
        <w:rPr>
          <w:rFonts w:hint="eastAsia" w:ascii="宋体" w:hAnsi="宋体" w:eastAsia="宋体" w:cs="宋体"/>
          <w:sz w:val="24"/>
          <w:highlight w:val="none"/>
          <w:lang w:val="zh-CN"/>
        </w:rPr>
        <w:t>：</w:t>
      </w:r>
    </w:p>
    <w:p>
      <w:pPr>
        <w:autoSpaceDE w:val="0"/>
        <w:autoSpaceDN w:val="0"/>
        <w:spacing w:line="360" w:lineRule="auto"/>
        <w:rPr>
          <w:rFonts w:hint="eastAsia" w:ascii="宋体" w:hAnsi="宋体" w:eastAsia="宋体" w:cs="宋体"/>
          <w:sz w:val="24"/>
          <w:highlight w:val="none"/>
          <w:lang w:val="zh-CN"/>
        </w:rPr>
      </w:pPr>
    </w:p>
    <w:p>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法定代表人或授权代表（签字）：       </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 xml:space="preserve"> 法定代表人或授权代表（签字）: </w:t>
      </w:r>
    </w:p>
    <w:p>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pPr>
        <w:pStyle w:val="2"/>
        <w:spacing w:line="360" w:lineRule="auto"/>
        <w:ind w:firstLine="480"/>
        <w:rPr>
          <w:rFonts w:hint="eastAsia" w:ascii="宋体" w:hAnsi="宋体" w:eastAsia="宋体" w:cs="宋体"/>
          <w:sz w:val="24"/>
          <w:highlight w:val="none"/>
        </w:rPr>
      </w:pPr>
    </w:p>
    <w:p>
      <w:pPr>
        <w:widowControl/>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pPr>
        <w:spacing w:line="360" w:lineRule="auto"/>
        <w:jc w:val="center"/>
        <w:rPr>
          <w:rFonts w:hint="eastAsia" w:ascii="宋体" w:hAnsi="宋体" w:eastAsia="宋体" w:cs="宋体"/>
          <w:b/>
          <w:sz w:val="24"/>
          <w:highlight w:val="none"/>
        </w:rPr>
      </w:pPr>
    </w:p>
    <w:p>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3"/>
      <w:r>
        <w:rPr>
          <w:rFonts w:hint="eastAsia" w:ascii="宋体" w:hAnsi="宋体" w:eastAsia="宋体" w:cs="宋体"/>
          <w:b/>
          <w:sz w:val="36"/>
          <w:szCs w:val="20"/>
          <w:highlight w:val="none"/>
        </w:rPr>
        <w:t xml:space="preserve"> </w:t>
      </w:r>
      <w:bookmarkEnd w:id="394"/>
      <w:r>
        <w:rPr>
          <w:rFonts w:hint="eastAsia" w:ascii="宋体" w:hAnsi="宋体" w:eastAsia="宋体" w:cs="宋体"/>
          <w:b/>
          <w:sz w:val="36"/>
          <w:szCs w:val="20"/>
          <w:highlight w:val="none"/>
        </w:rPr>
        <w:t>应提交的有关格式范例</w:t>
      </w: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adjustRightInd w:val="0"/>
        <w:snapToGrid w:val="0"/>
        <w:spacing w:line="360" w:lineRule="auto"/>
        <w:ind w:left="420" w:leftChars="20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 有效的企业法人营业执照（或事业法人登记证）、其他组织（个体工商户）的营业执照或者民办非企业单位登记证书；</w:t>
      </w:r>
    </w:p>
    <w:p>
      <w:pPr>
        <w:adjustRightInd w:val="0"/>
        <w:snapToGrid w:val="0"/>
        <w:spacing w:line="360" w:lineRule="auto"/>
        <w:ind w:left="420" w:leftChars="20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 符合参加政府采购活动应当具备的一般条件的承诺函；</w:t>
      </w:r>
    </w:p>
    <w:p>
      <w:pPr>
        <w:adjustRightInd w:val="0"/>
        <w:snapToGrid w:val="0"/>
        <w:spacing w:line="360" w:lineRule="auto"/>
        <w:ind w:left="420" w:leftChars="20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 落实政府采购政策需满足的资格要求；</w:t>
      </w:r>
    </w:p>
    <w:p>
      <w:pPr>
        <w:adjustRightInd w:val="0"/>
        <w:snapToGrid w:val="0"/>
        <w:spacing w:line="360" w:lineRule="auto"/>
        <w:ind w:left="420" w:leftChars="20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 本项目的特定资格要求。</w:t>
      </w:r>
    </w:p>
    <w:p>
      <w:pPr>
        <w:pStyle w:val="2"/>
        <w:spacing w:line="360" w:lineRule="auto"/>
        <w:ind w:firstLine="480"/>
        <w:rPr>
          <w:rFonts w:hint="eastAsia" w:ascii="宋体" w:hAnsi="宋体" w:eastAsia="宋体" w:cs="宋体"/>
          <w:sz w:val="24"/>
          <w:highlight w:val="none"/>
        </w:rPr>
      </w:pPr>
    </w:p>
    <w:p>
      <w:pPr>
        <w:spacing w:line="360" w:lineRule="auto"/>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一、 符合参加政府采购活动应当具备的一般条件的承诺函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highlight w:val="none"/>
          <w:lang w:val="zh-CN"/>
        </w:rPr>
      </w:pPr>
    </w:p>
    <w:p>
      <w:pPr>
        <w:snapToGrid w:val="0"/>
        <w:spacing w:line="360" w:lineRule="auto"/>
        <w:ind w:firstLine="5520" w:firstLineChars="2300"/>
        <w:rPr>
          <w:rFonts w:hint="eastAsia" w:ascii="宋体" w:hAnsi="宋体" w:eastAsia="宋体" w:cs="宋体"/>
          <w:kern w:val="0"/>
          <w:sz w:val="24"/>
          <w:highlight w:val="none"/>
          <w:lang w:val="zh-CN"/>
        </w:rPr>
      </w:pPr>
    </w:p>
    <w:p>
      <w:pPr>
        <w:spacing w:line="360" w:lineRule="auto"/>
        <w:ind w:right="420" w:firstLine="5250" w:firstLineChars="2500"/>
        <w:rPr>
          <w:rFonts w:hint="eastAsia" w:ascii="宋体" w:hAnsi="宋体" w:eastAsia="宋体" w:cs="宋体"/>
          <w:highlight w:val="none"/>
        </w:rPr>
      </w:pPr>
      <w:r>
        <w:rPr>
          <w:rFonts w:hint="eastAsia" w:ascii="宋体" w:hAnsi="宋体" w:eastAsia="宋体" w:cs="宋体"/>
          <w:highlight w:val="none"/>
        </w:rPr>
        <w:t xml:space="preserve">法定代表人（签名或印章）：     </w:t>
      </w:r>
    </w:p>
    <w:p>
      <w:pPr>
        <w:spacing w:line="360" w:lineRule="auto"/>
        <w:ind w:right="420" w:firstLine="5460" w:firstLineChars="2600"/>
        <w:rPr>
          <w:rFonts w:hint="eastAsia" w:ascii="宋体" w:hAnsi="宋体" w:eastAsia="宋体" w:cs="宋体"/>
          <w:highlight w:val="none"/>
        </w:rPr>
      </w:pPr>
      <w:r>
        <w:rPr>
          <w:rFonts w:hint="eastAsia" w:ascii="宋体" w:hAnsi="宋体" w:eastAsia="宋体" w:cs="宋体"/>
          <w:highlight w:val="none"/>
        </w:rPr>
        <w:t xml:space="preserve">投标人（盖章）：   </w:t>
      </w:r>
    </w:p>
    <w:p>
      <w:pPr>
        <w:spacing w:line="360" w:lineRule="auto"/>
        <w:ind w:right="420" w:firstLine="5355" w:firstLineChars="2550"/>
        <w:rPr>
          <w:rFonts w:hint="eastAsia" w:ascii="宋体" w:hAnsi="宋体" w:eastAsia="宋体" w:cs="宋体"/>
          <w:highlight w:val="none"/>
        </w:rPr>
      </w:pPr>
      <w:r>
        <w:rPr>
          <w:rFonts w:hint="eastAsia" w:ascii="宋体" w:hAnsi="宋体" w:eastAsia="宋体" w:cs="宋体"/>
          <w:highlight w:val="none"/>
        </w:rPr>
        <w:t xml:space="preserve"> 年    月    日</w:t>
      </w: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二、落实政府采购政策需满足的资格要求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br w:type="page"/>
      </w:r>
      <w:r>
        <w:rPr>
          <w:rFonts w:hint="eastAsia" w:ascii="宋体" w:hAnsi="宋体" w:eastAsia="宋体" w:cs="宋体"/>
          <w:b/>
          <w:kern w:val="0"/>
          <w:sz w:val="32"/>
          <w:szCs w:val="32"/>
          <w:highlight w:val="none"/>
        </w:rPr>
        <w:t>三、本项目的特定资格要求</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pPr>
        <w:spacing w:line="360" w:lineRule="auto"/>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pacing w:line="360" w:lineRule="auto"/>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outlineLvl w:val="0"/>
        <w:rPr>
          <w:rFonts w:hint="eastAsia" w:ascii="宋体" w:hAnsi="宋体" w:eastAsia="宋体" w:cs="宋体"/>
          <w:b/>
          <w:kern w:val="0"/>
          <w:sz w:val="24"/>
          <w:highlight w:val="none"/>
        </w:rPr>
      </w:pPr>
    </w:p>
    <w:p>
      <w:pPr>
        <w:spacing w:line="360" w:lineRule="auto"/>
        <w:ind w:left="3990" w:leftChars="1900"/>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 录</w:t>
      </w:r>
    </w:p>
    <w:p>
      <w:pPr>
        <w:snapToGrid w:val="0"/>
        <w:spacing w:line="360" w:lineRule="auto"/>
        <w:ind w:firstLine="960" w:firstLineChars="400"/>
        <w:rPr>
          <w:rFonts w:hint="eastAsia" w:ascii="宋体" w:hAnsi="宋体" w:eastAsia="宋体" w:cs="宋体"/>
          <w:sz w:val="24"/>
          <w:highlight w:val="none"/>
        </w:rPr>
      </w:pPr>
    </w:p>
    <w:p>
      <w:pPr>
        <w:adjustRightInd w:val="0"/>
        <w:snapToGrid w:val="0"/>
        <w:spacing w:line="360" w:lineRule="auto"/>
        <w:ind w:firstLine="840" w:firstLineChars="3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 评分索引表</w:t>
      </w:r>
    </w:p>
    <w:p>
      <w:pPr>
        <w:adjustRightInd w:val="0"/>
        <w:snapToGrid w:val="0"/>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 xml:space="preserve"> 符合性自查表；</w:t>
      </w:r>
    </w:p>
    <w:p>
      <w:pPr>
        <w:adjustRightInd w:val="0"/>
        <w:snapToGrid w:val="0"/>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 xml:space="preserve"> 投标函；</w:t>
      </w:r>
      <w:r>
        <w:rPr>
          <w:rFonts w:hint="eastAsia" w:ascii="宋体" w:hAnsi="宋体" w:eastAsia="宋体" w:cs="宋体"/>
          <w:sz w:val="28"/>
          <w:szCs w:val="28"/>
          <w:highlight w:val="none"/>
          <w:lang w:val="zh-CN"/>
        </w:rPr>
        <w:t xml:space="preserve"> </w:t>
      </w:r>
    </w:p>
    <w:p>
      <w:pPr>
        <w:adjustRightInd w:val="0"/>
        <w:snapToGrid w:val="0"/>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 xml:space="preserve"> 授权委托书；</w:t>
      </w:r>
    </w:p>
    <w:p>
      <w:pPr>
        <w:adjustRightInd w:val="0"/>
        <w:snapToGrid w:val="0"/>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 xml:space="preserve"> 供应商情况表；</w:t>
      </w:r>
    </w:p>
    <w:p>
      <w:pPr>
        <w:adjustRightInd w:val="0"/>
        <w:snapToGrid w:val="0"/>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 xml:space="preserve"> 距采购人最近或者能为本项目提供最优服务的网点情况表；</w:t>
      </w:r>
    </w:p>
    <w:p>
      <w:pPr>
        <w:adjustRightInd w:val="0"/>
        <w:snapToGrid w:val="0"/>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 xml:space="preserve"> 评标标准相应的商务技术资料；</w:t>
      </w:r>
    </w:p>
    <w:p>
      <w:pPr>
        <w:adjustRightInd w:val="0"/>
        <w:snapToGrid w:val="0"/>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 xml:space="preserve"> 商务偏离表；</w:t>
      </w:r>
    </w:p>
    <w:p>
      <w:pPr>
        <w:adjustRightInd w:val="0"/>
        <w:snapToGrid w:val="0"/>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 xml:space="preserve"> 技术偏离表；</w:t>
      </w:r>
    </w:p>
    <w:p>
      <w:pPr>
        <w:adjustRightInd w:val="0"/>
        <w:snapToGrid w:val="0"/>
        <w:spacing w:line="360" w:lineRule="auto"/>
        <w:ind w:firstLine="840" w:firstLineChars="3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 xml:space="preserve"> 同类业绩情况一览表；</w:t>
      </w:r>
    </w:p>
    <w:p>
      <w:pPr>
        <w:adjustRightInd w:val="0"/>
        <w:snapToGrid w:val="0"/>
        <w:spacing w:line="360" w:lineRule="auto"/>
        <w:ind w:firstLine="840" w:firstLineChars="300"/>
        <w:rPr>
          <w:rFonts w:hint="eastAsia" w:ascii="宋体" w:hAnsi="宋体" w:eastAsia="宋体" w:cs="宋体"/>
          <w:sz w:val="28"/>
          <w:szCs w:val="28"/>
          <w:highlight w:val="none"/>
          <w:lang w:val="zh-CN"/>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zh-CN"/>
        </w:rPr>
        <w:t>政府采购供应商廉洁自律承诺书；</w:t>
      </w:r>
    </w:p>
    <w:p>
      <w:pPr>
        <w:adjustRightInd w:val="0"/>
        <w:snapToGrid w:val="0"/>
        <w:spacing w:line="360" w:lineRule="auto"/>
        <w:ind w:firstLine="840" w:firstLineChars="300"/>
        <w:rPr>
          <w:rFonts w:hint="eastAsia" w:ascii="宋体" w:hAnsi="宋体" w:eastAsia="宋体" w:cs="宋体"/>
          <w:kern w:val="0"/>
          <w:sz w:val="24"/>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 xml:space="preserve"> 其他资料。</w:t>
      </w:r>
    </w:p>
    <w:p>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一、评分索引表</w:t>
      </w:r>
    </w:p>
    <w:p>
      <w:pPr>
        <w:snapToGrid w:val="0"/>
        <w:spacing w:before="50" w:after="50"/>
        <w:rPr>
          <w:rFonts w:hint="eastAsia" w:ascii="宋体" w:hAnsi="宋体" w:eastAsia="宋体" w:cs="宋体"/>
          <w:b/>
          <w:sz w:val="24"/>
          <w:highlight w:val="none"/>
        </w:rPr>
      </w:pPr>
    </w:p>
    <w:p>
      <w:pPr>
        <w:snapToGrid w:val="0"/>
        <w:spacing w:before="50" w:after="50" w:line="360" w:lineRule="auto"/>
        <w:rPr>
          <w:rFonts w:hint="eastAsia" w:ascii="宋体" w:hAnsi="宋体" w:eastAsia="宋体" w:cs="宋体"/>
          <w:b/>
          <w:sz w:val="24"/>
          <w:highlight w:val="none"/>
          <w:u w:val="single"/>
        </w:rPr>
      </w:pPr>
      <w:r>
        <w:rPr>
          <w:rFonts w:hint="eastAsia" w:ascii="宋体" w:hAnsi="宋体" w:eastAsia="宋体" w:cs="宋体"/>
          <w:b/>
          <w:sz w:val="24"/>
          <w:highlight w:val="none"/>
        </w:rPr>
        <w:t>投标单位名称：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pStyle w:val="15"/>
              <w:spacing w:after="0"/>
              <w:ind w:left="0" w:lef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pPr>
              <w:pStyle w:val="15"/>
              <w:spacing w:after="0"/>
              <w:ind w:left="0" w:lef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pPr>
              <w:pStyle w:val="15"/>
              <w:spacing w:after="0"/>
              <w:ind w:left="0" w:lef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581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（报价除外）</w:t>
            </w:r>
          </w:p>
        </w:tc>
        <w:tc>
          <w:tcPr>
            <w:tcW w:w="162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5819"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4"/>
                <w:highlight w:val="none"/>
              </w:rPr>
            </w:pPr>
          </w:p>
        </w:tc>
        <w:tc>
          <w:tcPr>
            <w:tcW w:w="162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rPr>
                <w:rFonts w:hint="eastAsia" w:ascii="宋体" w:hAnsi="宋体" w:eastAsia="宋体" w:cs="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ind w:left="55" w:leftChars="26"/>
              <w:rPr>
                <w:rFonts w:hint="eastAsia" w:ascii="宋体" w:hAnsi="宋体" w:eastAsia="宋体" w:cs="宋体"/>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b/>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b/>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b/>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rPr>
                <w:rFonts w:hint="eastAsia" w:ascii="宋体" w:hAnsi="宋体" w:eastAsia="宋体" w:cs="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pStyle w:val="15"/>
              <w:rPr>
                <w:rFonts w:hint="eastAsia" w:ascii="宋体" w:hAnsi="宋体" w:eastAsia="宋体" w:cs="宋体"/>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pPr>
              <w:widowControl/>
              <w:rPr>
                <w:rFonts w:hint="eastAsia" w:ascii="宋体" w:hAnsi="宋体" w:eastAsia="宋体" w:cs="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sz w:val="24"/>
                <w:highlight w:val="none"/>
              </w:rPr>
            </w:pPr>
          </w:p>
        </w:tc>
        <w:tc>
          <w:tcPr>
            <w:tcW w:w="162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Cs/>
                <w:sz w:val="24"/>
                <w:highlight w:val="none"/>
              </w:rPr>
            </w:pPr>
          </w:p>
        </w:tc>
      </w:tr>
    </w:tbl>
    <w:p>
      <w:pPr>
        <w:snapToGrid w:val="0"/>
        <w:spacing w:line="360" w:lineRule="auto"/>
        <w:outlineLvl w:val="0"/>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pStyle w:val="2"/>
        <w:rPr>
          <w:rFonts w:hint="eastAsia" w:ascii="宋体" w:hAnsi="宋体" w:eastAsia="宋体" w:cs="宋体"/>
          <w:b/>
          <w:kern w:val="0"/>
          <w:sz w:val="32"/>
          <w:szCs w:val="32"/>
          <w:highlight w:val="none"/>
        </w:rPr>
      </w:pPr>
    </w:p>
    <w:p>
      <w:pPr>
        <w:numPr>
          <w:ilvl w:val="0"/>
          <w:numId w:val="0"/>
        </w:numPr>
        <w:snapToGrid w:val="0"/>
        <w:spacing w:line="360" w:lineRule="auto"/>
        <w:jc w:val="center"/>
        <w:outlineLvl w:val="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二、</w:t>
      </w:r>
      <w:r>
        <w:rPr>
          <w:rFonts w:hint="eastAsia" w:ascii="宋体" w:hAnsi="宋体" w:eastAsia="宋体" w:cs="宋体"/>
          <w:b/>
          <w:kern w:val="0"/>
          <w:sz w:val="32"/>
          <w:szCs w:val="32"/>
          <w:highlight w:val="none"/>
        </w:rPr>
        <w:t>符合性自查表</w:t>
      </w:r>
    </w:p>
    <w:tbl>
      <w:tblPr>
        <w:tblStyle w:val="16"/>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103"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18"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185" w:type="dxa"/>
            <w:vAlign w:val="center"/>
          </w:tcPr>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自查结论</w:t>
            </w:r>
          </w:p>
        </w:tc>
        <w:tc>
          <w:tcPr>
            <w:tcW w:w="1785" w:type="dxa"/>
            <w:vAlign w:val="center"/>
          </w:tcPr>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103"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18"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185"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□通过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□不通过</w:t>
            </w:r>
          </w:p>
        </w:tc>
        <w:tc>
          <w:tcPr>
            <w:tcW w:w="1785" w:type="dxa"/>
            <w:vAlign w:val="center"/>
          </w:tcPr>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见投标文件</w:t>
            </w:r>
          </w:p>
          <w:p>
            <w:pPr>
              <w:spacing w:line="360" w:lineRule="auto"/>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103"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18"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185"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□通过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□不通过</w:t>
            </w:r>
          </w:p>
        </w:tc>
        <w:tc>
          <w:tcPr>
            <w:tcW w:w="1785" w:type="dxa"/>
            <w:vAlign w:val="center"/>
          </w:tcPr>
          <w:p>
            <w:pPr>
              <w:spacing w:line="360" w:lineRule="auto"/>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103"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18" w:type="dxa"/>
            <w:vAlign w:val="center"/>
          </w:tcPr>
          <w:p>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185"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□通过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□不通过</w:t>
            </w:r>
          </w:p>
        </w:tc>
        <w:tc>
          <w:tcPr>
            <w:tcW w:w="1785" w:type="dxa"/>
            <w:vAlign w:val="center"/>
          </w:tcPr>
          <w:p>
            <w:pPr>
              <w:spacing w:line="360" w:lineRule="auto"/>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4103" w:type="dxa"/>
            <w:vAlign w:val="center"/>
          </w:tcPr>
          <w:p>
            <w:pPr>
              <w:snapToGrid w:val="0"/>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投标文件没有招标文件中规定的其它无效投标条款的。</w:t>
            </w:r>
          </w:p>
        </w:tc>
        <w:tc>
          <w:tcPr>
            <w:tcW w:w="2518" w:type="dxa"/>
            <w:vAlign w:val="center"/>
          </w:tcPr>
          <w:p>
            <w:pPr>
              <w:spacing w:line="360" w:lineRule="auto"/>
              <w:rPr>
                <w:rFonts w:hint="eastAsia" w:ascii="宋体" w:hAnsi="宋体" w:eastAsia="宋体" w:cs="宋体"/>
                <w:kern w:val="0"/>
                <w:sz w:val="24"/>
                <w:highlight w:val="none"/>
              </w:rPr>
            </w:pPr>
          </w:p>
        </w:tc>
        <w:tc>
          <w:tcPr>
            <w:tcW w:w="1185"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□通过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□不通过</w:t>
            </w:r>
          </w:p>
        </w:tc>
        <w:tc>
          <w:tcPr>
            <w:tcW w:w="1785"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4103" w:type="dxa"/>
            <w:vAlign w:val="center"/>
          </w:tcPr>
          <w:p>
            <w:pPr>
              <w:snapToGrid w:val="0"/>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按有关法律、法规、规章不属于投标无效的。</w:t>
            </w:r>
          </w:p>
        </w:tc>
        <w:tc>
          <w:tcPr>
            <w:tcW w:w="2518" w:type="dxa"/>
            <w:vAlign w:val="center"/>
          </w:tcPr>
          <w:p>
            <w:pPr>
              <w:spacing w:line="360" w:lineRule="auto"/>
              <w:rPr>
                <w:rFonts w:hint="eastAsia" w:ascii="宋体" w:hAnsi="宋体" w:eastAsia="宋体" w:cs="宋体"/>
                <w:kern w:val="0"/>
                <w:sz w:val="24"/>
                <w:highlight w:val="none"/>
              </w:rPr>
            </w:pPr>
          </w:p>
        </w:tc>
        <w:tc>
          <w:tcPr>
            <w:tcW w:w="1185"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□通过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□不通过</w:t>
            </w:r>
          </w:p>
        </w:tc>
        <w:tc>
          <w:tcPr>
            <w:tcW w:w="1785"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pPr>
              <w:spacing w:line="360" w:lineRule="auto"/>
              <w:jc w:val="center"/>
              <w:rPr>
                <w:rFonts w:hint="eastAsia" w:ascii="宋体" w:hAnsi="宋体" w:eastAsia="宋体" w:cs="宋体"/>
                <w:sz w:val="24"/>
                <w:highlight w:val="none"/>
              </w:rPr>
            </w:pPr>
          </w:p>
        </w:tc>
        <w:tc>
          <w:tcPr>
            <w:tcW w:w="4103"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tc>
        <w:tc>
          <w:tcPr>
            <w:tcW w:w="2518" w:type="dxa"/>
            <w:vAlign w:val="center"/>
          </w:tcPr>
          <w:p>
            <w:pPr>
              <w:spacing w:line="360" w:lineRule="auto"/>
              <w:rPr>
                <w:rFonts w:hint="eastAsia" w:ascii="宋体" w:hAnsi="宋体" w:eastAsia="宋体" w:cs="宋体"/>
                <w:kern w:val="0"/>
                <w:sz w:val="24"/>
                <w:highlight w:val="none"/>
              </w:rPr>
            </w:pPr>
          </w:p>
        </w:tc>
        <w:tc>
          <w:tcPr>
            <w:tcW w:w="1185" w:type="dxa"/>
          </w:tcPr>
          <w:p>
            <w:pPr>
              <w:spacing w:line="360" w:lineRule="auto"/>
              <w:rPr>
                <w:rFonts w:hint="eastAsia" w:ascii="宋体" w:hAnsi="宋体" w:eastAsia="宋体" w:cs="宋体"/>
                <w:sz w:val="24"/>
                <w:highlight w:val="none"/>
              </w:rPr>
            </w:pPr>
          </w:p>
        </w:tc>
        <w:tc>
          <w:tcPr>
            <w:tcW w:w="1785" w:type="dxa"/>
            <w:vAlign w:val="center"/>
          </w:tcPr>
          <w:p>
            <w:pPr>
              <w:spacing w:line="360" w:lineRule="auto"/>
              <w:rPr>
                <w:rFonts w:hint="eastAsia" w:ascii="宋体" w:hAnsi="宋体" w:eastAsia="宋体" w:cs="宋体"/>
                <w:sz w:val="24"/>
                <w:highlight w:val="none"/>
              </w:rPr>
            </w:pPr>
          </w:p>
        </w:tc>
      </w:tr>
    </w:tbl>
    <w:p>
      <w:pPr>
        <w:snapToGrid w:val="0"/>
        <w:spacing w:line="360" w:lineRule="auto"/>
        <w:jc w:val="left"/>
        <w:rPr>
          <w:rFonts w:hint="eastAsia" w:ascii="宋体" w:hAnsi="宋体" w:eastAsia="宋体" w:cs="宋体"/>
          <w:b/>
          <w:sz w:val="32"/>
          <w:szCs w:val="32"/>
          <w:highlight w:val="none"/>
        </w:rPr>
      </w:pPr>
      <w:r>
        <w:rPr>
          <w:rFonts w:hint="eastAsia" w:ascii="宋体" w:hAnsi="宋体" w:eastAsia="宋体" w:cs="宋体"/>
          <w:b/>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numPr>
          <w:ilvl w:val="0"/>
          <w:numId w:val="0"/>
        </w:num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br w:type="page"/>
      </w:r>
      <w:r>
        <w:rPr>
          <w:rFonts w:hint="eastAsia" w:ascii="宋体" w:hAnsi="宋体" w:eastAsia="宋体" w:cs="宋体"/>
          <w:b/>
          <w:kern w:val="0"/>
          <w:sz w:val="32"/>
          <w:szCs w:val="32"/>
          <w:highlight w:val="none"/>
          <w:lang w:val="en-US" w:eastAsia="zh-CN"/>
        </w:rPr>
        <w:t>三、</w:t>
      </w:r>
      <w:r>
        <w:rPr>
          <w:rFonts w:hint="eastAsia" w:ascii="宋体" w:hAnsi="宋体" w:eastAsia="宋体" w:cs="宋体"/>
          <w:b/>
          <w:kern w:val="0"/>
          <w:sz w:val="32"/>
          <w:szCs w:val="32"/>
          <w:highlight w:val="none"/>
        </w:rPr>
        <w:t>投标</w:t>
      </w:r>
      <w:r>
        <w:rPr>
          <w:rFonts w:hint="eastAsia" w:ascii="宋体" w:hAnsi="宋体" w:eastAsia="宋体" w:cs="宋体"/>
          <w:b/>
          <w:sz w:val="32"/>
          <w:szCs w:val="32"/>
          <w:highlight w:val="none"/>
        </w:rPr>
        <w:t>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2.1.1有效的企业法人营业执照（或事业法人登记证）、其他组织（个体工商户）的营业执照或者民办非企业单位登记证书；</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2.1.2符合参加政府采购活动应当具备的一般条件的承诺函落实政府采购政策需满足的资格要求（如果有）；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2.1.3落实政府采购政策需满足的资格要求；</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2.1.4联合协议（如果有）；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2.1.5分包意向协议（如果有）；</w:t>
      </w:r>
    </w:p>
    <w:p>
      <w:pPr>
        <w:snapToGrid w:val="0"/>
        <w:spacing w:line="360" w:lineRule="auto"/>
        <w:ind w:firstLine="960" w:firstLineChars="400"/>
        <w:rPr>
          <w:rFonts w:hint="eastAsia" w:ascii="宋体" w:hAnsi="宋体" w:eastAsia="宋体" w:cs="宋体"/>
          <w:highlight w:val="none"/>
        </w:rPr>
      </w:pPr>
      <w:r>
        <w:rPr>
          <w:rFonts w:hint="eastAsia" w:ascii="宋体" w:hAnsi="宋体" w:eastAsia="宋体" w:cs="宋体"/>
          <w:sz w:val="24"/>
          <w:highlight w:val="none"/>
        </w:rPr>
        <w:t>2.1.6本项目的特定资格要求。</w:t>
      </w:r>
    </w:p>
    <w:p>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 符合性自查表；</w:t>
      </w:r>
    </w:p>
    <w:p>
      <w:pPr>
        <w:snapToGrid w:val="0"/>
        <w:spacing w:line="360" w:lineRule="auto"/>
        <w:ind w:left="420" w:leftChars="200" w:firstLine="480" w:firstLineChars="200"/>
        <w:rPr>
          <w:rFonts w:hint="eastAsia" w:ascii="宋体" w:hAnsi="宋体" w:eastAsia="宋体" w:cs="宋体"/>
          <w:highlight w:val="none"/>
          <w:lang w:val="zh-CN"/>
        </w:rPr>
      </w:pPr>
      <w:r>
        <w:rPr>
          <w:rFonts w:hint="eastAsia" w:ascii="宋体" w:hAnsi="宋体" w:eastAsia="宋体" w:cs="宋体"/>
          <w:sz w:val="24"/>
          <w:highlight w:val="none"/>
        </w:rPr>
        <w:t>2.2.2 投标函；</w:t>
      </w:r>
      <w:r>
        <w:rPr>
          <w:rFonts w:hint="eastAsia" w:ascii="宋体" w:hAnsi="宋体" w:eastAsia="宋体" w:cs="宋体"/>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 授权委托书；</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 供应商情况表；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 距采购人最近或者能为本项目提供最优服务的网点情况表；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 评标标准相应的商务技术资料；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7 商务偏离表；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 技术偏离表；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9 同类业绩情况一览表；</w:t>
      </w:r>
    </w:p>
    <w:p>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 xml:space="preserve">2.2.10 </w:t>
      </w:r>
      <w:r>
        <w:rPr>
          <w:rFonts w:hint="eastAsia" w:ascii="宋体" w:hAnsi="宋体" w:eastAsia="宋体" w:cs="宋体"/>
          <w:sz w:val="24"/>
          <w:highlight w:val="none"/>
          <w:lang w:val="zh-CN"/>
        </w:rPr>
        <w:t>政府采购供应商廉洁自律承诺书；</w:t>
      </w:r>
    </w:p>
    <w:p>
      <w:pPr>
        <w:snapToGrid w:val="0"/>
        <w:spacing w:line="360" w:lineRule="auto"/>
        <w:ind w:left="420" w:leftChars="200" w:firstLine="480" w:firstLineChars="200"/>
        <w:rPr>
          <w:rFonts w:hint="eastAsia" w:ascii="宋体" w:hAnsi="宋体" w:eastAsia="宋体" w:cs="宋体"/>
          <w:highlight w:val="none"/>
        </w:rPr>
      </w:pPr>
      <w:r>
        <w:rPr>
          <w:rFonts w:hint="eastAsia" w:ascii="宋体" w:hAnsi="宋体" w:eastAsia="宋体" w:cs="宋体"/>
          <w:sz w:val="24"/>
          <w:highlight w:val="none"/>
        </w:rPr>
        <w:t>2.2.11 其他资料。</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2.3.1 开标一览表；</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2.3.2投标报价明细表；</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2.3.3 中小企业声明函（如有）；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2.3.4 残疾人福利性单位声明函（如有）；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2.3.5 监狱企业的证明文件（如有）；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2.3.6 政府采购统计基础信息表。</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5、其他补充说明: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360" w:lineRule="auto"/>
        <w:ind w:firstLine="3600" w:firstLineChars="1500"/>
        <w:rPr>
          <w:rFonts w:hint="eastAsia" w:ascii="宋体" w:hAnsi="宋体" w:eastAsia="宋体" w:cs="宋体"/>
          <w:sz w:val="24"/>
          <w:highlight w:val="none"/>
        </w:rPr>
      </w:pPr>
    </w:p>
    <w:p>
      <w:pPr>
        <w:spacing w:line="360" w:lineRule="auto"/>
        <w:ind w:firstLine="3600" w:firstLineChars="1500"/>
        <w:rPr>
          <w:rFonts w:hint="eastAsia" w:ascii="宋体" w:hAnsi="宋体" w:eastAsia="宋体" w:cs="宋体"/>
          <w:sz w:val="24"/>
          <w:highlight w:val="none"/>
        </w:rPr>
      </w:pPr>
    </w:p>
    <w:p>
      <w:pPr>
        <w:spacing w:line="360" w:lineRule="auto"/>
        <w:ind w:right="420" w:firstLine="5250" w:firstLineChars="2500"/>
        <w:rPr>
          <w:rFonts w:hint="eastAsia" w:ascii="宋体" w:hAnsi="宋体" w:eastAsia="宋体" w:cs="宋体"/>
          <w:highlight w:val="none"/>
        </w:rPr>
      </w:pPr>
      <w:r>
        <w:rPr>
          <w:rFonts w:hint="eastAsia" w:ascii="宋体" w:hAnsi="宋体" w:eastAsia="宋体" w:cs="宋体"/>
          <w:highlight w:val="none"/>
        </w:rPr>
        <w:t xml:space="preserve">法定代表人（签名或印章）：     </w:t>
      </w:r>
    </w:p>
    <w:p>
      <w:pPr>
        <w:spacing w:line="360" w:lineRule="auto"/>
        <w:ind w:right="420" w:firstLine="5460" w:firstLineChars="2600"/>
        <w:rPr>
          <w:rFonts w:hint="eastAsia" w:ascii="宋体" w:hAnsi="宋体" w:eastAsia="宋体" w:cs="宋体"/>
          <w:highlight w:val="none"/>
        </w:rPr>
      </w:pPr>
      <w:r>
        <w:rPr>
          <w:rFonts w:hint="eastAsia" w:ascii="宋体" w:hAnsi="宋体" w:eastAsia="宋体" w:cs="宋体"/>
          <w:highlight w:val="none"/>
        </w:rPr>
        <w:t xml:space="preserve">投标人（盖章）：   </w:t>
      </w:r>
    </w:p>
    <w:p>
      <w:pPr>
        <w:spacing w:line="360" w:lineRule="auto"/>
        <w:ind w:right="420" w:firstLine="5355" w:firstLineChars="2550"/>
        <w:rPr>
          <w:rFonts w:hint="eastAsia" w:ascii="宋体" w:hAnsi="宋体" w:eastAsia="宋体" w:cs="宋体"/>
          <w:highlight w:val="none"/>
        </w:rPr>
      </w:pPr>
      <w:r>
        <w:rPr>
          <w:rFonts w:hint="eastAsia" w:ascii="宋体" w:hAnsi="宋体" w:eastAsia="宋体" w:cs="宋体"/>
          <w:highlight w:val="none"/>
        </w:rPr>
        <w:t xml:space="preserve"> 年    月    日</w:t>
      </w:r>
    </w:p>
    <w:p>
      <w:pPr>
        <w:spacing w:line="360" w:lineRule="auto"/>
        <w:jc w:val="center"/>
        <w:rPr>
          <w:rFonts w:hint="eastAsia" w:ascii="宋体" w:hAnsi="宋体" w:eastAsia="宋体" w:cs="宋体"/>
          <w:b/>
          <w:kern w:val="0"/>
          <w:sz w:val="32"/>
          <w:szCs w:val="32"/>
          <w:highlight w:val="none"/>
        </w:rPr>
      </w:pPr>
    </w:p>
    <w:p>
      <w:pPr>
        <w:spacing w:line="360" w:lineRule="auto"/>
        <w:jc w:val="center"/>
        <w:rPr>
          <w:rFonts w:hint="eastAsia" w:ascii="宋体" w:hAnsi="宋体" w:eastAsia="宋体" w:cs="宋体"/>
          <w:b/>
          <w:kern w:val="0"/>
          <w:sz w:val="32"/>
          <w:szCs w:val="32"/>
          <w:highlight w:val="none"/>
          <w:lang w:val="zh-CN"/>
        </w:rPr>
      </w:pPr>
    </w:p>
    <w:p>
      <w:pPr>
        <w:spacing w:line="360" w:lineRule="auto"/>
        <w:rPr>
          <w:rFonts w:hint="eastAsia" w:ascii="宋体" w:hAnsi="宋体" w:eastAsia="宋体" w:cs="宋体"/>
          <w:b/>
          <w:sz w:val="32"/>
          <w:szCs w:val="32"/>
          <w:highlight w:val="none"/>
        </w:rPr>
      </w:pPr>
      <w:bookmarkStart w:id="416" w:name="_Toc483379796"/>
      <w:bookmarkStart w:id="417" w:name="_Toc110393361"/>
      <w:bookmarkStart w:id="418" w:name="_Toc479927873"/>
      <w:bookmarkStart w:id="419" w:name="_Toc14746861"/>
      <w:bookmarkStart w:id="420" w:name="_Toc225223761"/>
      <w:bookmarkStart w:id="421" w:name="_Toc488936100"/>
    </w:p>
    <w:p>
      <w:pPr>
        <w:numPr>
          <w:ilvl w:val="0"/>
          <w:numId w:val="0"/>
        </w:numPr>
        <w:snapToGrid w:val="0"/>
        <w:spacing w:line="360" w:lineRule="auto"/>
        <w:jc w:val="center"/>
        <w:outlineLvl w:val="0"/>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r>
        <w:rPr>
          <w:rFonts w:hint="eastAsia" w:ascii="宋体" w:hAnsi="宋体" w:eastAsia="宋体" w:cs="宋体"/>
          <w:b/>
          <w:kern w:val="0"/>
          <w:sz w:val="32"/>
          <w:szCs w:val="32"/>
          <w:highlight w:val="none"/>
          <w:lang w:val="en-US" w:eastAsia="zh-CN"/>
        </w:rPr>
        <w:t>四、</w:t>
      </w:r>
      <w:r>
        <w:rPr>
          <w:rFonts w:hint="eastAsia" w:ascii="宋体" w:hAnsi="宋体" w:eastAsia="宋体" w:cs="宋体"/>
          <w:b/>
          <w:kern w:val="0"/>
          <w:sz w:val="32"/>
          <w:szCs w:val="32"/>
          <w:highlight w:val="none"/>
          <w:lang w:val="zh-CN"/>
        </w:rPr>
        <w:t>授权委托书</w:t>
      </w:r>
    </w:p>
    <w:p>
      <w:pPr>
        <w:jc w:val="left"/>
        <w:rPr>
          <w:rFonts w:hint="eastAsia" w:ascii="宋体" w:hAnsi="宋体" w:eastAsia="宋体" w:cs="宋体"/>
          <w:b/>
          <w:sz w:val="32"/>
          <w:szCs w:val="32"/>
          <w:highlight w:val="none"/>
        </w:rPr>
      </w:pPr>
      <w:r>
        <w:rPr>
          <w:rFonts w:hint="eastAsia" w:ascii="宋体" w:hAnsi="宋体" w:eastAsia="宋体" w:cs="宋体"/>
          <w:sz w:val="24"/>
          <w:highlight w:val="none"/>
        </w:rPr>
        <w:t xml:space="preserve">                           </w:t>
      </w:r>
      <w:r>
        <w:rPr>
          <w:rFonts w:hint="eastAsia" w:ascii="宋体" w:hAnsi="宋体" w:eastAsia="宋体" w:cs="宋体"/>
          <w:b/>
          <w:sz w:val="32"/>
          <w:szCs w:val="32"/>
          <w:highlight w:val="none"/>
        </w:rPr>
        <w:t>法定代表人授权委托书</w:t>
      </w:r>
    </w:p>
    <w:p>
      <w:pPr>
        <w:jc w:val="center"/>
        <w:rPr>
          <w:rFonts w:hint="eastAsia" w:ascii="宋体" w:hAnsi="宋体" w:eastAsia="宋体" w:cs="宋体"/>
          <w:b/>
          <w:sz w:val="32"/>
          <w:szCs w:val="32"/>
          <w:highlight w:val="none"/>
        </w:rPr>
      </w:pPr>
      <w:r>
        <w:rPr>
          <w:rFonts w:hint="eastAsia" w:ascii="宋体" w:hAnsi="宋体" w:eastAsia="宋体" w:cs="宋体"/>
          <w:bCs/>
          <w:sz w:val="24"/>
          <w:highlight w:val="none"/>
        </w:rPr>
        <w:t>（法定代表人来投标的，此表不用）</w:t>
      </w:r>
    </w:p>
    <w:p>
      <w:pPr>
        <w:snapToGrid w:val="0"/>
        <w:spacing w:line="360" w:lineRule="auto"/>
        <w:rPr>
          <w:rFonts w:hint="eastAsia" w:ascii="宋体" w:hAnsi="宋体" w:eastAsia="宋体" w:cs="宋体"/>
          <w:bCs/>
          <w:sz w:val="24"/>
          <w:highlight w:val="none"/>
        </w:rPr>
      </w:pPr>
    </w:p>
    <w:p>
      <w:pPr>
        <w:snapToGrid w:val="0"/>
        <w:spacing w:line="360" w:lineRule="auto"/>
        <w:rPr>
          <w:rFonts w:hint="eastAsia" w:ascii="宋体" w:hAnsi="宋体" w:eastAsia="宋体" w:cs="宋体"/>
          <w:szCs w:val="21"/>
          <w:highlight w:val="none"/>
        </w:rPr>
      </w:pPr>
      <w:r>
        <w:rPr>
          <w:rFonts w:hint="eastAsia" w:ascii="宋体" w:hAnsi="宋体" w:eastAsia="宋体" w:cs="宋体"/>
          <w:bCs/>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（采购单位名称）</w:t>
      </w:r>
      <w:r>
        <w:rPr>
          <w:rFonts w:hint="eastAsia" w:ascii="宋体" w:hAnsi="宋体" w:eastAsia="宋体" w:cs="宋体"/>
          <w:b/>
          <w:bCs/>
          <w:szCs w:val="21"/>
          <w:highlight w:val="none"/>
        </w:rPr>
        <w:t xml:space="preserve"> </w:t>
      </w:r>
      <w:r>
        <w:rPr>
          <w:rFonts w:hint="eastAsia" w:ascii="宋体" w:hAnsi="宋体" w:eastAsia="宋体" w:cs="宋体"/>
          <w:szCs w:val="21"/>
          <w:highlight w:val="none"/>
        </w:rPr>
        <w:t>：</w:t>
      </w:r>
    </w:p>
    <w:p>
      <w:pPr>
        <w:snapToGrid w:val="0"/>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我</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（投标人名称）的法定代表人，现授权委托本单位在职职工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（姓名）以我方的名义参加</w:t>
      </w:r>
      <w:r>
        <w:rPr>
          <w:rFonts w:hint="eastAsia" w:ascii="宋体" w:hAnsi="宋体" w:eastAsia="宋体" w:cs="宋体"/>
          <w:szCs w:val="21"/>
          <w:highlight w:val="none"/>
          <w:u w:val="single"/>
        </w:rPr>
        <w:t xml:space="preserve">                       政府采购 </w:t>
      </w:r>
      <w:r>
        <w:rPr>
          <w:rFonts w:hint="eastAsia" w:ascii="宋体" w:hAnsi="宋体" w:eastAsia="宋体" w:cs="宋体"/>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我方对被授权人的签名事项负全部责任。</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被授权人无转委托权，特此委托。</w:t>
      </w:r>
    </w:p>
    <w:p>
      <w:pPr>
        <w:snapToGrid w:val="0"/>
        <w:spacing w:line="360" w:lineRule="auto"/>
        <w:rPr>
          <w:rFonts w:hint="eastAsia" w:ascii="宋体" w:hAnsi="宋体" w:eastAsia="宋体" w:cs="宋体"/>
          <w:szCs w:val="21"/>
          <w:highlight w:val="none"/>
        </w:rPr>
      </w:pPr>
    </w:p>
    <w:p>
      <w:pPr>
        <w:snapToGrid w:val="0"/>
        <w:spacing w:line="360" w:lineRule="auto"/>
        <w:rPr>
          <w:rFonts w:hint="eastAsia" w:ascii="宋体" w:hAnsi="宋体" w:eastAsia="宋体" w:cs="宋体"/>
          <w:szCs w:val="21"/>
          <w:highlight w:val="none"/>
        </w:rPr>
      </w:pPr>
    </w:p>
    <w:p>
      <w:pPr>
        <w:snapToGrid w:val="0"/>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被授权人签名：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法定代表人签名：</w:t>
      </w:r>
      <w:r>
        <w:rPr>
          <w:rFonts w:hint="eastAsia" w:ascii="宋体" w:hAnsi="宋体" w:eastAsia="宋体" w:cs="宋体"/>
          <w:szCs w:val="21"/>
          <w:highlight w:val="none"/>
          <w:u w:val="single"/>
        </w:rPr>
        <w:t xml:space="preserve">          </w:t>
      </w:r>
    </w:p>
    <w:p>
      <w:pPr>
        <w:snapToGrid w:val="0"/>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职务：</w:t>
      </w:r>
      <w:r>
        <w:rPr>
          <w:rFonts w:hint="eastAsia" w:ascii="宋体" w:hAnsi="宋体" w:eastAsia="宋体" w:cs="宋体"/>
          <w:szCs w:val="21"/>
          <w:highlight w:val="none"/>
          <w:u w:val="single"/>
        </w:rPr>
        <w:t xml:space="preserve">           </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被授权人身份证号码：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napToGrid w:val="0"/>
        <w:spacing w:line="360" w:lineRule="auto"/>
        <w:rPr>
          <w:rFonts w:hint="eastAsia" w:ascii="宋体" w:hAnsi="宋体" w:eastAsia="宋体" w:cs="宋体"/>
          <w:szCs w:val="21"/>
          <w:highlight w:val="none"/>
        </w:rPr>
      </w:pPr>
    </w:p>
    <w:p>
      <w:pPr>
        <w:spacing w:line="360" w:lineRule="auto"/>
        <w:ind w:firstLine="4830" w:firstLineChars="2300"/>
        <w:rPr>
          <w:rFonts w:hint="eastAsia" w:ascii="宋体" w:hAnsi="宋体" w:eastAsia="宋体" w:cs="宋体"/>
          <w:highlight w:val="none"/>
        </w:rPr>
      </w:pPr>
      <w:r>
        <w:rPr>
          <w:rFonts w:hint="eastAsia" w:ascii="宋体" w:hAnsi="宋体" w:eastAsia="宋体" w:cs="宋体"/>
          <w:highlight w:val="none"/>
        </w:rPr>
        <w:t>投标人（盖章）：</w:t>
      </w:r>
    </w:p>
    <w:p>
      <w:pPr>
        <w:spacing w:line="360" w:lineRule="auto"/>
        <w:ind w:firstLine="1260" w:firstLineChars="600"/>
        <w:rPr>
          <w:rFonts w:hint="eastAsia" w:ascii="宋体" w:hAnsi="宋体" w:eastAsia="宋体" w:cs="宋体"/>
          <w:highlight w:val="none"/>
        </w:rPr>
      </w:pPr>
      <w:r>
        <w:rPr>
          <w:rFonts w:hint="eastAsia" w:ascii="宋体" w:hAnsi="宋体" w:eastAsia="宋体" w:cs="宋体"/>
          <w:highlight w:val="none"/>
        </w:rPr>
        <w:t xml:space="preserve">                                  日期：</w:t>
      </w: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附：法定代表人身份证复印件（正反面）、授权代表身份证复印件（正反面）：</w:t>
      </w:r>
    </w:p>
    <w:p>
      <w:pPr>
        <w:snapToGrid w:val="0"/>
        <w:spacing w:line="360" w:lineRule="auto"/>
        <w:rPr>
          <w:rFonts w:hint="eastAsia" w:ascii="宋体" w:hAnsi="宋体" w:eastAsia="宋体" w:cs="宋体"/>
          <w:sz w:val="24"/>
          <w:highlight w:val="none"/>
        </w:rPr>
      </w:pP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p>
    <w:p>
      <w:pPr>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r>
        <w:rPr>
          <w:rFonts w:hint="eastAsia" w:ascii="宋体" w:hAnsi="宋体" w:eastAsia="宋体" w:cs="宋体"/>
          <w:b/>
          <w:kern w:val="0"/>
          <w:sz w:val="32"/>
          <w:szCs w:val="32"/>
          <w:highlight w:val="none"/>
          <w:lang w:val="en-US" w:eastAsia="zh-CN"/>
        </w:rPr>
        <w:t>五、</w:t>
      </w:r>
      <w:r>
        <w:rPr>
          <w:rFonts w:hint="eastAsia" w:ascii="宋体" w:hAnsi="宋体" w:eastAsia="宋体" w:cs="宋体"/>
          <w:b/>
          <w:kern w:val="0"/>
          <w:sz w:val="32"/>
          <w:szCs w:val="32"/>
          <w:highlight w:val="none"/>
          <w:lang w:val="zh-CN"/>
        </w:rPr>
        <w:t>投标人基本情况</w:t>
      </w:r>
      <w:bookmarkEnd w:id="416"/>
      <w:bookmarkEnd w:id="417"/>
      <w:bookmarkEnd w:id="418"/>
      <w:bookmarkEnd w:id="419"/>
      <w:bookmarkEnd w:id="420"/>
      <w:bookmarkEnd w:id="421"/>
      <w:r>
        <w:rPr>
          <w:rFonts w:hint="eastAsia" w:ascii="宋体" w:hAnsi="宋体" w:eastAsia="宋体" w:cs="宋体"/>
          <w:b/>
          <w:kern w:val="0"/>
          <w:sz w:val="32"/>
          <w:szCs w:val="32"/>
          <w:highlight w:val="none"/>
          <w:lang w:val="zh-CN"/>
        </w:rPr>
        <w:t>表</w:t>
      </w:r>
    </w:p>
    <w:tbl>
      <w:tblPr>
        <w:tblStyle w:val="16"/>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p>
        </w:tc>
        <w:tc>
          <w:tcPr>
            <w:tcW w:w="7647" w:type="dxa"/>
            <w:gridSpan w:val="5"/>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注册地址</w:t>
            </w:r>
          </w:p>
        </w:tc>
        <w:tc>
          <w:tcPr>
            <w:tcW w:w="2809" w:type="dxa"/>
            <w:gridSpan w:val="2"/>
            <w:vAlign w:val="center"/>
          </w:tcPr>
          <w:p>
            <w:pPr>
              <w:adjustRightInd w:val="0"/>
              <w:snapToGrid w:val="0"/>
              <w:spacing w:line="360" w:lineRule="auto"/>
              <w:rPr>
                <w:rFonts w:hint="eastAsia" w:ascii="宋体" w:hAnsi="宋体" w:eastAsia="宋体" w:cs="宋体"/>
                <w:kern w:val="0"/>
                <w:sz w:val="24"/>
                <w:highlight w:val="none"/>
                <w:lang w:val="zh-CN"/>
              </w:rPr>
            </w:pPr>
          </w:p>
        </w:tc>
        <w:tc>
          <w:tcPr>
            <w:tcW w:w="1786"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成立时间</w:t>
            </w:r>
          </w:p>
        </w:tc>
        <w:tc>
          <w:tcPr>
            <w:tcW w:w="3052" w:type="dxa"/>
            <w:gridSpan w:val="2"/>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统一信用代码</w:t>
            </w:r>
          </w:p>
        </w:tc>
        <w:tc>
          <w:tcPr>
            <w:tcW w:w="2809" w:type="dxa"/>
            <w:gridSpan w:val="2"/>
            <w:vAlign w:val="center"/>
          </w:tcPr>
          <w:p>
            <w:pPr>
              <w:adjustRightInd w:val="0"/>
              <w:snapToGrid w:val="0"/>
              <w:spacing w:line="360" w:lineRule="auto"/>
              <w:rPr>
                <w:rFonts w:hint="eastAsia" w:ascii="宋体" w:hAnsi="宋体" w:eastAsia="宋体" w:cs="宋体"/>
                <w:kern w:val="0"/>
                <w:sz w:val="24"/>
                <w:highlight w:val="none"/>
                <w:lang w:val="zh-CN"/>
              </w:rPr>
            </w:pPr>
          </w:p>
        </w:tc>
        <w:tc>
          <w:tcPr>
            <w:tcW w:w="1786"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注册资金</w:t>
            </w:r>
          </w:p>
        </w:tc>
        <w:tc>
          <w:tcPr>
            <w:tcW w:w="3052" w:type="dxa"/>
            <w:gridSpan w:val="2"/>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投标联系人姓名</w:t>
            </w:r>
          </w:p>
        </w:tc>
        <w:tc>
          <w:tcPr>
            <w:tcW w:w="1936" w:type="dxa"/>
            <w:vAlign w:val="center"/>
          </w:tcPr>
          <w:p>
            <w:pPr>
              <w:adjustRightInd w:val="0"/>
              <w:snapToGrid w:val="0"/>
              <w:spacing w:line="360" w:lineRule="auto"/>
              <w:rPr>
                <w:rFonts w:hint="eastAsia" w:ascii="宋体" w:hAnsi="宋体" w:eastAsia="宋体" w:cs="宋体"/>
                <w:kern w:val="0"/>
                <w:sz w:val="24"/>
                <w:highlight w:val="none"/>
                <w:lang w:val="zh-CN"/>
              </w:rPr>
            </w:pPr>
          </w:p>
        </w:tc>
        <w:tc>
          <w:tcPr>
            <w:tcW w:w="873"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电话</w:t>
            </w:r>
          </w:p>
        </w:tc>
        <w:tc>
          <w:tcPr>
            <w:tcW w:w="1786" w:type="dxa"/>
            <w:vAlign w:val="center"/>
          </w:tcPr>
          <w:p>
            <w:pPr>
              <w:adjustRightInd w:val="0"/>
              <w:snapToGrid w:val="0"/>
              <w:spacing w:line="360" w:lineRule="auto"/>
              <w:rPr>
                <w:rFonts w:hint="eastAsia" w:ascii="宋体" w:hAnsi="宋体" w:eastAsia="宋体" w:cs="宋体"/>
                <w:kern w:val="0"/>
                <w:sz w:val="24"/>
                <w:highlight w:val="none"/>
                <w:lang w:val="zh-CN"/>
              </w:rPr>
            </w:pPr>
          </w:p>
        </w:tc>
        <w:tc>
          <w:tcPr>
            <w:tcW w:w="120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手机</w:t>
            </w:r>
          </w:p>
        </w:tc>
        <w:tc>
          <w:tcPr>
            <w:tcW w:w="1852" w:type="dxa"/>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法定代表人姓名</w:t>
            </w:r>
          </w:p>
        </w:tc>
        <w:tc>
          <w:tcPr>
            <w:tcW w:w="1936" w:type="dxa"/>
            <w:vAlign w:val="center"/>
          </w:tcPr>
          <w:p>
            <w:pPr>
              <w:adjustRightInd w:val="0"/>
              <w:snapToGrid w:val="0"/>
              <w:spacing w:line="360" w:lineRule="auto"/>
              <w:rPr>
                <w:rFonts w:hint="eastAsia" w:ascii="宋体" w:hAnsi="宋体" w:eastAsia="宋体" w:cs="宋体"/>
                <w:kern w:val="0"/>
                <w:sz w:val="24"/>
                <w:highlight w:val="none"/>
                <w:lang w:val="zh-CN"/>
              </w:rPr>
            </w:pPr>
          </w:p>
        </w:tc>
        <w:tc>
          <w:tcPr>
            <w:tcW w:w="873"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电话</w:t>
            </w:r>
          </w:p>
        </w:tc>
        <w:tc>
          <w:tcPr>
            <w:tcW w:w="1786" w:type="dxa"/>
            <w:vAlign w:val="center"/>
          </w:tcPr>
          <w:p>
            <w:pPr>
              <w:adjustRightInd w:val="0"/>
              <w:snapToGrid w:val="0"/>
              <w:spacing w:line="360" w:lineRule="auto"/>
              <w:rPr>
                <w:rFonts w:hint="eastAsia" w:ascii="宋体" w:hAnsi="宋体" w:eastAsia="宋体" w:cs="宋体"/>
                <w:kern w:val="0"/>
                <w:sz w:val="24"/>
                <w:highlight w:val="none"/>
                <w:lang w:val="zh-CN"/>
              </w:rPr>
            </w:pPr>
          </w:p>
        </w:tc>
        <w:tc>
          <w:tcPr>
            <w:tcW w:w="120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手机</w:t>
            </w:r>
          </w:p>
        </w:tc>
        <w:tc>
          <w:tcPr>
            <w:tcW w:w="1852" w:type="dxa"/>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项目负责人姓名</w:t>
            </w:r>
          </w:p>
        </w:tc>
        <w:tc>
          <w:tcPr>
            <w:tcW w:w="1936" w:type="dxa"/>
            <w:vAlign w:val="center"/>
          </w:tcPr>
          <w:p>
            <w:pPr>
              <w:adjustRightInd w:val="0"/>
              <w:snapToGrid w:val="0"/>
              <w:spacing w:line="360" w:lineRule="auto"/>
              <w:rPr>
                <w:rFonts w:hint="eastAsia" w:ascii="宋体" w:hAnsi="宋体" w:eastAsia="宋体" w:cs="宋体"/>
                <w:kern w:val="0"/>
                <w:sz w:val="24"/>
                <w:highlight w:val="none"/>
                <w:lang w:val="zh-CN"/>
              </w:rPr>
            </w:pPr>
          </w:p>
        </w:tc>
        <w:tc>
          <w:tcPr>
            <w:tcW w:w="873"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电话</w:t>
            </w:r>
          </w:p>
        </w:tc>
        <w:tc>
          <w:tcPr>
            <w:tcW w:w="1786" w:type="dxa"/>
            <w:vAlign w:val="center"/>
          </w:tcPr>
          <w:p>
            <w:pPr>
              <w:adjustRightInd w:val="0"/>
              <w:snapToGrid w:val="0"/>
              <w:spacing w:line="360" w:lineRule="auto"/>
              <w:rPr>
                <w:rFonts w:hint="eastAsia" w:ascii="宋体" w:hAnsi="宋体" w:eastAsia="宋体" w:cs="宋体"/>
                <w:kern w:val="0"/>
                <w:sz w:val="24"/>
                <w:highlight w:val="none"/>
                <w:lang w:val="zh-CN"/>
              </w:rPr>
            </w:pPr>
          </w:p>
        </w:tc>
        <w:tc>
          <w:tcPr>
            <w:tcW w:w="120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技术职称</w:t>
            </w:r>
          </w:p>
        </w:tc>
        <w:tc>
          <w:tcPr>
            <w:tcW w:w="1852" w:type="dxa"/>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员工总人数：</w:t>
            </w:r>
          </w:p>
        </w:tc>
        <w:tc>
          <w:tcPr>
            <w:tcW w:w="1936" w:type="dxa"/>
            <w:vMerge w:val="restart"/>
            <w:vAlign w:val="center"/>
          </w:tcPr>
          <w:p>
            <w:pPr>
              <w:adjustRightInd w:val="0"/>
              <w:snapToGrid w:val="0"/>
              <w:spacing w:line="360" w:lineRule="auto"/>
              <w:rPr>
                <w:rFonts w:hint="eastAsia" w:ascii="宋体" w:hAnsi="宋体" w:eastAsia="宋体" w:cs="宋体"/>
                <w:kern w:val="0"/>
                <w:sz w:val="24"/>
                <w:highlight w:val="none"/>
                <w:lang w:val="zh-CN"/>
              </w:rPr>
            </w:pPr>
          </w:p>
        </w:tc>
        <w:tc>
          <w:tcPr>
            <w:tcW w:w="873" w:type="dxa"/>
            <w:vMerge w:val="restart"/>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其中</w:t>
            </w:r>
          </w:p>
        </w:tc>
        <w:tc>
          <w:tcPr>
            <w:tcW w:w="1786"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高级职称</w:t>
            </w:r>
          </w:p>
        </w:tc>
        <w:tc>
          <w:tcPr>
            <w:tcW w:w="3052" w:type="dxa"/>
            <w:gridSpan w:val="2"/>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hint="eastAsia" w:ascii="宋体" w:hAnsi="宋体" w:eastAsia="宋体" w:cs="宋体"/>
                <w:kern w:val="0"/>
                <w:sz w:val="24"/>
                <w:highlight w:val="none"/>
                <w:lang w:val="zh-CN"/>
              </w:rPr>
            </w:pPr>
          </w:p>
        </w:tc>
        <w:tc>
          <w:tcPr>
            <w:tcW w:w="1936" w:type="dxa"/>
            <w:vMerge w:val="continue"/>
            <w:vAlign w:val="center"/>
          </w:tcPr>
          <w:p>
            <w:pPr>
              <w:adjustRightInd w:val="0"/>
              <w:snapToGrid w:val="0"/>
              <w:spacing w:line="360" w:lineRule="auto"/>
              <w:rPr>
                <w:rFonts w:hint="eastAsia" w:ascii="宋体" w:hAnsi="宋体" w:eastAsia="宋体" w:cs="宋体"/>
                <w:kern w:val="0"/>
                <w:sz w:val="24"/>
                <w:highlight w:val="none"/>
                <w:lang w:val="zh-CN"/>
              </w:rPr>
            </w:pPr>
          </w:p>
        </w:tc>
        <w:tc>
          <w:tcPr>
            <w:tcW w:w="873" w:type="dxa"/>
            <w:vMerge w:val="continue"/>
            <w:vAlign w:val="center"/>
          </w:tcPr>
          <w:p>
            <w:pPr>
              <w:adjustRightInd w:val="0"/>
              <w:snapToGrid w:val="0"/>
              <w:spacing w:line="360" w:lineRule="auto"/>
              <w:rPr>
                <w:rFonts w:hint="eastAsia" w:ascii="宋体" w:hAnsi="宋体" w:eastAsia="宋体" w:cs="宋体"/>
                <w:kern w:val="0"/>
                <w:sz w:val="24"/>
                <w:highlight w:val="none"/>
                <w:lang w:val="zh-CN"/>
              </w:rPr>
            </w:pPr>
          </w:p>
        </w:tc>
        <w:tc>
          <w:tcPr>
            <w:tcW w:w="1786"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中级职称</w:t>
            </w:r>
          </w:p>
        </w:tc>
        <w:tc>
          <w:tcPr>
            <w:tcW w:w="3052" w:type="dxa"/>
            <w:gridSpan w:val="2"/>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hint="eastAsia" w:ascii="宋体" w:hAnsi="宋体" w:eastAsia="宋体" w:cs="宋体"/>
                <w:kern w:val="0"/>
                <w:sz w:val="24"/>
                <w:highlight w:val="none"/>
                <w:lang w:val="zh-CN"/>
              </w:rPr>
            </w:pPr>
          </w:p>
        </w:tc>
        <w:tc>
          <w:tcPr>
            <w:tcW w:w="1936" w:type="dxa"/>
            <w:vMerge w:val="continue"/>
            <w:vAlign w:val="center"/>
          </w:tcPr>
          <w:p>
            <w:pPr>
              <w:adjustRightInd w:val="0"/>
              <w:snapToGrid w:val="0"/>
              <w:spacing w:line="360" w:lineRule="auto"/>
              <w:rPr>
                <w:rFonts w:hint="eastAsia" w:ascii="宋体" w:hAnsi="宋体" w:eastAsia="宋体" w:cs="宋体"/>
                <w:kern w:val="0"/>
                <w:sz w:val="24"/>
                <w:highlight w:val="none"/>
                <w:lang w:val="zh-CN"/>
              </w:rPr>
            </w:pPr>
          </w:p>
        </w:tc>
        <w:tc>
          <w:tcPr>
            <w:tcW w:w="873" w:type="dxa"/>
            <w:vMerge w:val="continue"/>
            <w:vAlign w:val="center"/>
          </w:tcPr>
          <w:p>
            <w:pPr>
              <w:adjustRightInd w:val="0"/>
              <w:snapToGrid w:val="0"/>
              <w:spacing w:line="360" w:lineRule="auto"/>
              <w:rPr>
                <w:rFonts w:hint="eastAsia" w:ascii="宋体" w:hAnsi="宋体" w:eastAsia="宋体" w:cs="宋体"/>
                <w:kern w:val="0"/>
                <w:sz w:val="24"/>
                <w:highlight w:val="none"/>
                <w:lang w:val="zh-CN"/>
              </w:rPr>
            </w:pPr>
          </w:p>
        </w:tc>
        <w:tc>
          <w:tcPr>
            <w:tcW w:w="1786"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各类注册人员</w:t>
            </w:r>
          </w:p>
        </w:tc>
        <w:tc>
          <w:tcPr>
            <w:tcW w:w="3052" w:type="dxa"/>
            <w:gridSpan w:val="2"/>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基本账户开户银行</w:t>
            </w:r>
          </w:p>
        </w:tc>
        <w:tc>
          <w:tcPr>
            <w:tcW w:w="7647" w:type="dxa"/>
            <w:gridSpan w:val="5"/>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基本账户账号</w:t>
            </w:r>
          </w:p>
        </w:tc>
        <w:tc>
          <w:tcPr>
            <w:tcW w:w="7647" w:type="dxa"/>
            <w:gridSpan w:val="5"/>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经营范围</w:t>
            </w:r>
          </w:p>
        </w:tc>
        <w:tc>
          <w:tcPr>
            <w:tcW w:w="7647" w:type="dxa"/>
            <w:gridSpan w:val="5"/>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备注</w:t>
            </w:r>
          </w:p>
        </w:tc>
        <w:tc>
          <w:tcPr>
            <w:tcW w:w="7647" w:type="dxa"/>
            <w:gridSpan w:val="5"/>
            <w:vAlign w:val="center"/>
          </w:tcPr>
          <w:p>
            <w:pPr>
              <w:adjustRightInd w:val="0"/>
              <w:snapToGrid w:val="0"/>
              <w:spacing w:line="360" w:lineRule="auto"/>
              <w:rPr>
                <w:rFonts w:hint="eastAsia" w:ascii="宋体" w:hAnsi="宋体" w:eastAsia="宋体" w:cs="宋体"/>
                <w:kern w:val="0"/>
                <w:sz w:val="24"/>
                <w:highlight w:val="none"/>
                <w:lang w:val="zh-CN"/>
              </w:rPr>
            </w:pPr>
          </w:p>
        </w:tc>
      </w:tr>
    </w:tbl>
    <w:p>
      <w:pPr>
        <w:adjustRightInd w:val="0"/>
        <w:snapToGrid w:val="0"/>
        <w:spacing w:line="360" w:lineRule="auto"/>
        <w:ind w:firstLine="482" w:firstLineChars="200"/>
        <w:rPr>
          <w:rFonts w:hint="eastAsia" w:ascii="宋体" w:hAnsi="宋体" w:eastAsia="宋体" w:cs="宋体"/>
          <w:b/>
          <w:bCs/>
          <w:kern w:val="0"/>
          <w:sz w:val="24"/>
          <w:highlight w:val="none"/>
          <w:lang w:val="zh-CN"/>
        </w:rPr>
      </w:pPr>
      <w:r>
        <w:rPr>
          <w:rFonts w:hint="eastAsia" w:ascii="宋体" w:hAnsi="宋体" w:eastAsia="宋体" w:cs="宋体"/>
          <w:b/>
          <w:bCs/>
          <w:kern w:val="0"/>
          <w:sz w:val="24"/>
          <w:highlight w:val="none"/>
          <w:lang w:val="zh-CN"/>
        </w:rPr>
        <w:t>兹证明上述声明是真实、正确的，并提供了全部能提供的资料和数据，我们同意遵照贵方要求出示有关证明文件。</w:t>
      </w:r>
    </w:p>
    <w:p>
      <w:pPr>
        <w:adjustRightInd w:val="0"/>
        <w:snapToGrid w:val="0"/>
        <w:spacing w:line="360" w:lineRule="auto"/>
        <w:rPr>
          <w:rFonts w:hint="eastAsia" w:ascii="宋体" w:hAnsi="宋体" w:eastAsia="宋体" w:cs="宋体"/>
          <w:kern w:val="0"/>
          <w:sz w:val="24"/>
          <w:highlight w:val="none"/>
          <w:lang w:val="zh-CN"/>
        </w:rPr>
      </w:pPr>
    </w:p>
    <w:p>
      <w:pPr>
        <w:pStyle w:val="2"/>
        <w:spacing w:line="360" w:lineRule="auto"/>
        <w:ind w:firstLine="560"/>
        <w:rPr>
          <w:rFonts w:hint="eastAsia" w:ascii="宋体" w:hAnsi="宋体" w:eastAsia="宋体" w:cs="宋体"/>
          <w:highlight w:val="none"/>
          <w:lang w:val="zh-CN"/>
        </w:rPr>
      </w:pPr>
    </w:p>
    <w:p>
      <w:pPr>
        <w:adjustRightInd w:val="0"/>
        <w:snapToGrid w:val="0"/>
        <w:spacing w:line="360" w:lineRule="auto"/>
        <w:ind w:firstLine="4080" w:firstLineChars="17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法定代表人或其授权委托人（签名或印章）：</w:t>
      </w:r>
    </w:p>
    <w:p>
      <w:pPr>
        <w:adjustRightInd w:val="0"/>
        <w:snapToGrid w:val="0"/>
        <w:spacing w:line="360" w:lineRule="auto"/>
        <w:ind w:firstLine="4080" w:firstLineChars="17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投标人（盖章）：</w:t>
      </w:r>
    </w:p>
    <w:p>
      <w:pPr>
        <w:adjustRightInd w:val="0"/>
        <w:snapToGrid w:val="0"/>
        <w:spacing w:line="360" w:lineRule="auto"/>
        <w:rPr>
          <w:rFonts w:hint="eastAsia" w:ascii="宋体" w:hAnsi="宋体" w:eastAsia="宋体" w:cs="宋体"/>
          <w:b/>
          <w:kern w:val="0"/>
          <w:sz w:val="32"/>
          <w:szCs w:val="32"/>
          <w:highlight w:val="none"/>
          <w:lang w:val="zh-CN"/>
        </w:rPr>
      </w:pPr>
      <w:r>
        <w:rPr>
          <w:rFonts w:hint="eastAsia" w:ascii="宋体" w:hAnsi="宋体" w:eastAsia="宋体" w:cs="宋体"/>
          <w:kern w:val="0"/>
          <w:sz w:val="24"/>
          <w:highlight w:val="none"/>
          <w:lang w:val="zh-CN"/>
        </w:rPr>
        <w:t xml:space="preserve">                                  日期：</w:t>
      </w:r>
    </w:p>
    <w:p>
      <w:pPr>
        <w:numPr>
          <w:ilvl w:val="0"/>
          <w:numId w:val="0"/>
        </w:numPr>
        <w:snapToGrid w:val="0"/>
        <w:spacing w:line="360" w:lineRule="auto"/>
        <w:jc w:val="center"/>
        <w:outlineLvl w:val="0"/>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r>
        <w:rPr>
          <w:rFonts w:hint="eastAsia" w:ascii="宋体" w:hAnsi="宋体" w:eastAsia="宋体" w:cs="宋体"/>
          <w:b/>
          <w:kern w:val="0"/>
          <w:sz w:val="32"/>
          <w:szCs w:val="32"/>
          <w:highlight w:val="none"/>
          <w:lang w:val="en-US" w:eastAsia="zh-CN"/>
        </w:rPr>
        <w:t>六、</w:t>
      </w:r>
      <w:r>
        <w:rPr>
          <w:rFonts w:hint="eastAsia" w:ascii="宋体" w:hAnsi="宋体" w:eastAsia="宋体" w:cs="宋体"/>
          <w:b/>
          <w:kern w:val="0"/>
          <w:sz w:val="32"/>
          <w:szCs w:val="32"/>
          <w:highlight w:val="none"/>
          <w:lang w:val="zh-CN"/>
        </w:rPr>
        <w:t>距采购人最近或者能为本项目提供最优服务的网点情况表</w:t>
      </w:r>
    </w:p>
    <w:p>
      <w:pPr>
        <w:spacing w:line="360" w:lineRule="auto"/>
        <w:rPr>
          <w:rFonts w:hint="eastAsia" w:ascii="宋体" w:hAnsi="宋体" w:eastAsia="宋体" w:cs="宋体"/>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kern w:val="0"/>
                <w:sz w:val="24"/>
                <w:highlight w:val="none"/>
                <w:lang w:val="zh-CN"/>
              </w:rPr>
            </w:pPr>
          </w:p>
        </w:tc>
      </w:tr>
    </w:tbl>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adjustRightInd w:val="0"/>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highlight w:val="none"/>
        </w:rPr>
        <w:t xml:space="preserve">       </w:t>
      </w:r>
    </w:p>
    <w:p>
      <w:pPr>
        <w:adjustRightInd w:val="0"/>
        <w:snapToGrid w:val="0"/>
        <w:spacing w:line="360" w:lineRule="auto"/>
        <w:ind w:left="3990" w:leftChars="19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法定代表人或其授权委托人（签名或印章）：</w:t>
      </w:r>
    </w:p>
    <w:p>
      <w:pPr>
        <w:adjustRightInd w:val="0"/>
        <w:snapToGrid w:val="0"/>
        <w:spacing w:line="360" w:lineRule="auto"/>
        <w:ind w:left="3990" w:leftChars="19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投标人（盖章）：</w:t>
      </w:r>
    </w:p>
    <w:p>
      <w:pPr>
        <w:adjustRightInd w:val="0"/>
        <w:snapToGrid w:val="0"/>
        <w:spacing w:line="360" w:lineRule="auto"/>
        <w:rPr>
          <w:rFonts w:hint="eastAsia" w:ascii="宋体" w:hAnsi="宋体" w:eastAsia="宋体" w:cs="宋体"/>
          <w:b/>
          <w:kern w:val="0"/>
          <w:sz w:val="32"/>
          <w:szCs w:val="32"/>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w:t>
      </w:r>
    </w:p>
    <w:p>
      <w:pPr>
        <w:numPr>
          <w:ilvl w:val="0"/>
          <w:numId w:val="0"/>
        </w:numPr>
        <w:snapToGrid w:val="0"/>
        <w:spacing w:line="360" w:lineRule="auto"/>
        <w:jc w:val="center"/>
        <w:outlineLvl w:val="0"/>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r>
        <w:rPr>
          <w:rFonts w:hint="eastAsia" w:ascii="宋体" w:hAnsi="宋体" w:eastAsia="宋体" w:cs="宋体"/>
          <w:b/>
          <w:kern w:val="0"/>
          <w:sz w:val="32"/>
          <w:szCs w:val="32"/>
          <w:highlight w:val="none"/>
          <w:lang w:val="en-US" w:eastAsia="zh-CN"/>
        </w:rPr>
        <w:t>七、</w:t>
      </w:r>
      <w:r>
        <w:rPr>
          <w:rFonts w:hint="eastAsia" w:ascii="宋体" w:hAnsi="宋体" w:eastAsia="宋体" w:cs="宋体"/>
          <w:b/>
          <w:kern w:val="0"/>
          <w:sz w:val="32"/>
          <w:szCs w:val="32"/>
          <w:highlight w:val="none"/>
          <w:lang w:val="zh-CN"/>
        </w:rPr>
        <w:t>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pStyle w:val="2"/>
        <w:ind w:firstLine="560"/>
        <w:rPr>
          <w:rFonts w:hint="eastAsia" w:ascii="宋体" w:hAnsi="宋体" w:eastAsia="宋体" w:cs="宋体"/>
          <w:highlight w:val="none"/>
          <w:lang w:val="zh-CN"/>
        </w:rPr>
        <w:sectPr>
          <w:pgSz w:w="11906" w:h="16838"/>
          <w:pgMar w:top="1276" w:right="1418" w:bottom="1247" w:left="1418" w:header="851" w:footer="992" w:gutter="0"/>
          <w:cols w:space="720" w:num="1"/>
          <w:titlePg/>
          <w:docGrid w:linePitch="312" w:charSpace="0"/>
        </w:sectPr>
      </w:pPr>
    </w:p>
    <w:p>
      <w:pPr>
        <w:numPr>
          <w:ilvl w:val="0"/>
          <w:numId w:val="0"/>
        </w:numPr>
        <w:snapToGrid w:val="0"/>
        <w:spacing w:line="360" w:lineRule="auto"/>
        <w:jc w:val="center"/>
        <w:outlineLvl w:val="0"/>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en-US" w:eastAsia="zh-CN"/>
        </w:rPr>
        <w:t>八、</w:t>
      </w:r>
      <w:r>
        <w:rPr>
          <w:rFonts w:hint="eastAsia" w:ascii="宋体" w:hAnsi="宋体" w:eastAsia="宋体" w:cs="宋体"/>
          <w:b/>
          <w:kern w:val="0"/>
          <w:sz w:val="32"/>
          <w:szCs w:val="32"/>
          <w:highlight w:val="none"/>
          <w:lang w:val="zh-CN"/>
        </w:rPr>
        <w:t>商务偏离表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272" w:type="dxa"/>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285" w:type="dxa"/>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948" w:type="dxa"/>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272" w:type="dxa"/>
          </w:tcPr>
          <w:p>
            <w:pPr>
              <w:spacing w:line="360" w:lineRule="auto"/>
              <w:jc w:val="center"/>
              <w:rPr>
                <w:rFonts w:hint="eastAsia" w:ascii="宋体" w:hAnsi="宋体" w:eastAsia="宋体" w:cs="宋体"/>
                <w:b/>
                <w:kern w:val="0"/>
                <w:sz w:val="32"/>
                <w:szCs w:val="32"/>
                <w:highlight w:val="none"/>
              </w:rPr>
            </w:pPr>
          </w:p>
        </w:tc>
        <w:tc>
          <w:tcPr>
            <w:tcW w:w="3285" w:type="dxa"/>
          </w:tcPr>
          <w:p>
            <w:pPr>
              <w:spacing w:line="360" w:lineRule="auto"/>
              <w:jc w:val="center"/>
              <w:rPr>
                <w:rFonts w:hint="eastAsia" w:ascii="宋体" w:hAnsi="宋体" w:eastAsia="宋体" w:cs="宋体"/>
                <w:b/>
                <w:kern w:val="0"/>
                <w:sz w:val="32"/>
                <w:szCs w:val="32"/>
                <w:highlight w:val="none"/>
              </w:rPr>
            </w:pPr>
          </w:p>
        </w:tc>
        <w:tc>
          <w:tcPr>
            <w:tcW w:w="1948" w:type="dxa"/>
          </w:tcPr>
          <w:p>
            <w:pPr>
              <w:spacing w:line="360" w:lineRule="auto"/>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272" w:type="dxa"/>
          </w:tcPr>
          <w:p>
            <w:pPr>
              <w:spacing w:line="360" w:lineRule="auto"/>
              <w:jc w:val="center"/>
              <w:rPr>
                <w:rFonts w:hint="eastAsia" w:ascii="宋体" w:hAnsi="宋体" w:eastAsia="宋体" w:cs="宋体"/>
                <w:b/>
                <w:kern w:val="0"/>
                <w:sz w:val="32"/>
                <w:szCs w:val="32"/>
                <w:highlight w:val="none"/>
              </w:rPr>
            </w:pPr>
          </w:p>
        </w:tc>
        <w:tc>
          <w:tcPr>
            <w:tcW w:w="3285" w:type="dxa"/>
          </w:tcPr>
          <w:p>
            <w:pPr>
              <w:spacing w:line="360" w:lineRule="auto"/>
              <w:jc w:val="center"/>
              <w:rPr>
                <w:rFonts w:hint="eastAsia" w:ascii="宋体" w:hAnsi="宋体" w:eastAsia="宋体" w:cs="宋体"/>
                <w:b/>
                <w:kern w:val="0"/>
                <w:sz w:val="32"/>
                <w:szCs w:val="32"/>
                <w:highlight w:val="none"/>
              </w:rPr>
            </w:pPr>
          </w:p>
        </w:tc>
        <w:tc>
          <w:tcPr>
            <w:tcW w:w="1948" w:type="dxa"/>
          </w:tcPr>
          <w:p>
            <w:pPr>
              <w:spacing w:line="360" w:lineRule="auto"/>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272" w:type="dxa"/>
          </w:tcPr>
          <w:p>
            <w:pPr>
              <w:spacing w:line="360" w:lineRule="auto"/>
              <w:jc w:val="center"/>
              <w:rPr>
                <w:rFonts w:hint="eastAsia" w:ascii="宋体" w:hAnsi="宋体" w:eastAsia="宋体" w:cs="宋体"/>
                <w:b/>
                <w:kern w:val="0"/>
                <w:sz w:val="32"/>
                <w:szCs w:val="32"/>
                <w:highlight w:val="none"/>
              </w:rPr>
            </w:pPr>
          </w:p>
        </w:tc>
        <w:tc>
          <w:tcPr>
            <w:tcW w:w="3285" w:type="dxa"/>
          </w:tcPr>
          <w:p>
            <w:pPr>
              <w:spacing w:line="360" w:lineRule="auto"/>
              <w:jc w:val="center"/>
              <w:rPr>
                <w:rFonts w:hint="eastAsia" w:ascii="宋体" w:hAnsi="宋体" w:eastAsia="宋体" w:cs="宋体"/>
                <w:b/>
                <w:kern w:val="0"/>
                <w:sz w:val="32"/>
                <w:szCs w:val="32"/>
                <w:highlight w:val="none"/>
              </w:rPr>
            </w:pPr>
          </w:p>
        </w:tc>
        <w:tc>
          <w:tcPr>
            <w:tcW w:w="1948" w:type="dxa"/>
          </w:tcPr>
          <w:p>
            <w:pPr>
              <w:spacing w:line="360" w:lineRule="auto"/>
              <w:jc w:val="center"/>
              <w:rPr>
                <w:rFonts w:hint="eastAsia" w:ascii="宋体" w:hAnsi="宋体" w:eastAsia="宋体" w:cs="宋体"/>
                <w:b/>
                <w:kern w:val="0"/>
                <w:sz w:val="32"/>
                <w:szCs w:val="32"/>
                <w:highlight w:val="none"/>
              </w:rPr>
            </w:pPr>
          </w:p>
        </w:tc>
      </w:tr>
    </w:tbl>
    <w:p>
      <w:pPr>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投标人保证：除商务偏离表列出的偏离外，投标人响应招标文件的全部商务要求。</w:t>
      </w:r>
    </w:p>
    <w:p>
      <w:pPr>
        <w:adjustRightInd w:val="0"/>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法定代表人或其授权委托人（签名或印章）：</w:t>
      </w:r>
    </w:p>
    <w:p>
      <w:pPr>
        <w:adjustRightInd w:val="0"/>
        <w:snapToGrid w:val="0"/>
        <w:spacing w:line="360" w:lineRule="auto"/>
        <w:ind w:left="3990" w:leftChars="190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投标人（盖章）：</w:t>
      </w:r>
    </w:p>
    <w:p>
      <w:pPr>
        <w:adjustRightInd w:val="0"/>
        <w:snapToGrid w:val="0"/>
        <w:spacing w:line="360" w:lineRule="auto"/>
        <w:ind w:right="1920"/>
        <w:jc w:val="center"/>
        <w:rPr>
          <w:rFonts w:hint="eastAsia" w:ascii="宋体" w:hAnsi="宋体" w:eastAsia="宋体" w:cs="宋体"/>
          <w:b/>
          <w:kern w:val="0"/>
          <w:sz w:val="32"/>
          <w:szCs w:val="32"/>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w:t>
      </w:r>
    </w:p>
    <w:p>
      <w:pPr>
        <w:widowControl/>
        <w:jc w:val="left"/>
        <w:rPr>
          <w:rFonts w:hint="eastAsia" w:ascii="宋体" w:hAnsi="宋体" w:eastAsia="宋体" w:cs="宋体"/>
          <w:sz w:val="28"/>
          <w:highlight w:val="none"/>
          <w:lang w:val="zh-CN"/>
        </w:rPr>
      </w:pPr>
    </w:p>
    <w:p>
      <w:pPr>
        <w:widowControl/>
        <w:jc w:val="left"/>
        <w:rPr>
          <w:rFonts w:hint="eastAsia" w:ascii="宋体" w:hAnsi="宋体" w:eastAsia="宋体" w:cs="宋体"/>
          <w:sz w:val="28"/>
          <w:highlight w:val="none"/>
          <w:lang w:val="zh-CN"/>
        </w:rPr>
      </w:pPr>
      <w:r>
        <w:rPr>
          <w:rFonts w:hint="eastAsia" w:ascii="宋体" w:hAnsi="宋体" w:eastAsia="宋体" w:cs="宋体"/>
          <w:highlight w:val="none"/>
          <w:lang w:val="zh-CN"/>
        </w:rPr>
        <w:br w:type="page"/>
      </w:r>
    </w:p>
    <w:p>
      <w:pPr>
        <w:pStyle w:val="2"/>
        <w:ind w:firstLine="560"/>
        <w:rPr>
          <w:rFonts w:hint="eastAsia" w:ascii="宋体" w:hAnsi="宋体" w:eastAsia="宋体" w:cs="宋体"/>
          <w:highlight w:val="none"/>
          <w:lang w:val="zh-CN"/>
        </w:rPr>
      </w:pPr>
    </w:p>
    <w:p>
      <w:pPr>
        <w:numPr>
          <w:ilvl w:val="0"/>
          <w:numId w:val="0"/>
        </w:numPr>
        <w:snapToGrid w:val="0"/>
        <w:spacing w:line="360" w:lineRule="auto"/>
        <w:jc w:val="center"/>
        <w:outlineLvl w:val="0"/>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en-US" w:eastAsia="zh-CN"/>
        </w:rPr>
        <w:t>九、</w:t>
      </w:r>
      <w:r>
        <w:rPr>
          <w:rFonts w:hint="eastAsia" w:ascii="宋体" w:hAnsi="宋体" w:eastAsia="宋体" w:cs="宋体"/>
          <w:b/>
          <w:kern w:val="0"/>
          <w:sz w:val="32"/>
          <w:szCs w:val="32"/>
          <w:highlight w:val="none"/>
          <w:lang w:val="zh-CN"/>
        </w:rPr>
        <w:t>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227" w:type="dxa"/>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270" w:type="dxa"/>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2008" w:type="dxa"/>
          </w:tcPr>
          <w:p>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227" w:type="dxa"/>
          </w:tcPr>
          <w:p>
            <w:pPr>
              <w:spacing w:line="360" w:lineRule="auto"/>
              <w:jc w:val="center"/>
              <w:rPr>
                <w:rFonts w:hint="eastAsia" w:ascii="宋体" w:hAnsi="宋体" w:eastAsia="宋体" w:cs="宋体"/>
                <w:b/>
                <w:kern w:val="0"/>
                <w:sz w:val="32"/>
                <w:szCs w:val="32"/>
                <w:highlight w:val="none"/>
              </w:rPr>
            </w:pPr>
          </w:p>
        </w:tc>
        <w:tc>
          <w:tcPr>
            <w:tcW w:w="3270" w:type="dxa"/>
          </w:tcPr>
          <w:p>
            <w:pPr>
              <w:spacing w:line="360" w:lineRule="auto"/>
              <w:jc w:val="center"/>
              <w:rPr>
                <w:rFonts w:hint="eastAsia" w:ascii="宋体" w:hAnsi="宋体" w:eastAsia="宋体" w:cs="宋体"/>
                <w:b/>
                <w:kern w:val="0"/>
                <w:sz w:val="32"/>
                <w:szCs w:val="32"/>
                <w:highlight w:val="none"/>
              </w:rPr>
            </w:pPr>
          </w:p>
        </w:tc>
        <w:tc>
          <w:tcPr>
            <w:tcW w:w="2008" w:type="dxa"/>
          </w:tcPr>
          <w:p>
            <w:pPr>
              <w:spacing w:line="360" w:lineRule="auto"/>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227" w:type="dxa"/>
          </w:tcPr>
          <w:p>
            <w:pPr>
              <w:spacing w:line="360" w:lineRule="auto"/>
              <w:jc w:val="center"/>
              <w:rPr>
                <w:rFonts w:hint="eastAsia" w:ascii="宋体" w:hAnsi="宋体" w:eastAsia="宋体" w:cs="宋体"/>
                <w:b/>
                <w:kern w:val="0"/>
                <w:sz w:val="32"/>
                <w:szCs w:val="32"/>
                <w:highlight w:val="none"/>
              </w:rPr>
            </w:pPr>
          </w:p>
        </w:tc>
        <w:tc>
          <w:tcPr>
            <w:tcW w:w="3270" w:type="dxa"/>
          </w:tcPr>
          <w:p>
            <w:pPr>
              <w:spacing w:line="360" w:lineRule="auto"/>
              <w:jc w:val="center"/>
              <w:rPr>
                <w:rFonts w:hint="eastAsia" w:ascii="宋体" w:hAnsi="宋体" w:eastAsia="宋体" w:cs="宋体"/>
                <w:b/>
                <w:kern w:val="0"/>
                <w:sz w:val="32"/>
                <w:szCs w:val="32"/>
                <w:highlight w:val="none"/>
              </w:rPr>
            </w:pPr>
          </w:p>
        </w:tc>
        <w:tc>
          <w:tcPr>
            <w:tcW w:w="2008" w:type="dxa"/>
          </w:tcPr>
          <w:p>
            <w:pPr>
              <w:spacing w:line="360" w:lineRule="auto"/>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227" w:type="dxa"/>
          </w:tcPr>
          <w:p>
            <w:pPr>
              <w:spacing w:line="360" w:lineRule="auto"/>
              <w:jc w:val="center"/>
              <w:rPr>
                <w:rFonts w:hint="eastAsia" w:ascii="宋体" w:hAnsi="宋体" w:eastAsia="宋体" w:cs="宋体"/>
                <w:b/>
                <w:kern w:val="0"/>
                <w:sz w:val="32"/>
                <w:szCs w:val="32"/>
                <w:highlight w:val="none"/>
              </w:rPr>
            </w:pPr>
          </w:p>
        </w:tc>
        <w:tc>
          <w:tcPr>
            <w:tcW w:w="3270" w:type="dxa"/>
          </w:tcPr>
          <w:p>
            <w:pPr>
              <w:spacing w:line="360" w:lineRule="auto"/>
              <w:jc w:val="center"/>
              <w:rPr>
                <w:rFonts w:hint="eastAsia" w:ascii="宋体" w:hAnsi="宋体" w:eastAsia="宋体" w:cs="宋体"/>
                <w:b/>
                <w:kern w:val="0"/>
                <w:sz w:val="32"/>
                <w:szCs w:val="32"/>
                <w:highlight w:val="none"/>
              </w:rPr>
            </w:pPr>
          </w:p>
        </w:tc>
        <w:tc>
          <w:tcPr>
            <w:tcW w:w="2008" w:type="dxa"/>
          </w:tcPr>
          <w:p>
            <w:pPr>
              <w:spacing w:line="360" w:lineRule="auto"/>
              <w:jc w:val="center"/>
              <w:rPr>
                <w:rFonts w:hint="eastAsia" w:ascii="宋体" w:hAnsi="宋体" w:eastAsia="宋体" w:cs="宋体"/>
                <w:b/>
                <w:kern w:val="0"/>
                <w:sz w:val="32"/>
                <w:szCs w:val="32"/>
                <w:highlight w:val="none"/>
              </w:rPr>
            </w:pPr>
          </w:p>
        </w:tc>
      </w:tr>
    </w:tbl>
    <w:p>
      <w:pPr>
        <w:spacing w:line="360" w:lineRule="auto"/>
        <w:ind w:firstLine="3360" w:firstLineChars="1600"/>
        <w:rPr>
          <w:rFonts w:hint="eastAsia" w:ascii="宋体" w:hAnsi="宋体" w:eastAsia="宋体" w:cs="宋体"/>
          <w:highlight w:val="none"/>
        </w:rPr>
      </w:pPr>
      <w:r>
        <w:rPr>
          <w:rFonts w:hint="eastAsia" w:ascii="宋体" w:hAnsi="宋体" w:eastAsia="宋体" w:cs="宋体"/>
          <w:highlight w:val="none"/>
        </w:rPr>
        <w:t>法定代表人或其授权委托人（签名或印章）：</w:t>
      </w:r>
    </w:p>
    <w:p>
      <w:pPr>
        <w:spacing w:line="360" w:lineRule="auto"/>
        <w:ind w:firstLine="4830" w:firstLineChars="2300"/>
        <w:rPr>
          <w:rFonts w:hint="eastAsia" w:ascii="宋体" w:hAnsi="宋体" w:eastAsia="宋体" w:cs="宋体"/>
          <w:highlight w:val="none"/>
        </w:rPr>
      </w:pPr>
      <w:r>
        <w:rPr>
          <w:rFonts w:hint="eastAsia" w:ascii="宋体" w:hAnsi="宋体" w:eastAsia="宋体" w:cs="宋体"/>
          <w:highlight w:val="none"/>
        </w:rPr>
        <w:t>投标人（盖章）：</w:t>
      </w:r>
    </w:p>
    <w:p>
      <w:pPr>
        <w:spacing w:line="360" w:lineRule="auto"/>
        <w:rPr>
          <w:rFonts w:hint="eastAsia" w:ascii="宋体" w:hAnsi="宋体" w:eastAsia="宋体" w:cs="宋体"/>
          <w:sz w:val="24"/>
          <w:highlight w:val="none"/>
        </w:rPr>
      </w:pPr>
      <w:r>
        <w:rPr>
          <w:rFonts w:hint="eastAsia" w:ascii="宋体" w:hAnsi="宋体" w:eastAsia="宋体" w:cs="宋体"/>
          <w:highlight w:val="none"/>
        </w:rPr>
        <w:t xml:space="preserve">                                              日期：</w:t>
      </w:r>
    </w:p>
    <w:p>
      <w:pPr>
        <w:pStyle w:val="2"/>
        <w:ind w:firstLine="560"/>
        <w:rPr>
          <w:rFonts w:hint="eastAsia" w:ascii="宋体" w:hAnsi="宋体" w:eastAsia="宋体" w:cs="宋体"/>
          <w:highlight w:val="none"/>
        </w:rPr>
      </w:pPr>
    </w:p>
    <w:p>
      <w:pPr>
        <w:numPr>
          <w:ilvl w:val="0"/>
          <w:numId w:val="0"/>
        </w:numPr>
        <w:snapToGrid w:val="0"/>
        <w:spacing w:line="360" w:lineRule="auto"/>
        <w:jc w:val="center"/>
        <w:outlineLvl w:val="0"/>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rPr>
        <w:br w:type="page"/>
      </w:r>
      <w:r>
        <w:rPr>
          <w:rFonts w:hint="eastAsia" w:ascii="宋体" w:hAnsi="宋体" w:eastAsia="宋体" w:cs="宋体"/>
          <w:b/>
          <w:kern w:val="0"/>
          <w:sz w:val="32"/>
          <w:szCs w:val="32"/>
          <w:highlight w:val="none"/>
          <w:lang w:val="en-US" w:eastAsia="zh-CN"/>
        </w:rPr>
        <w:t>十、</w:t>
      </w:r>
      <w:r>
        <w:rPr>
          <w:rFonts w:hint="eastAsia" w:ascii="宋体" w:hAnsi="宋体" w:eastAsia="宋体" w:cs="宋体"/>
          <w:b/>
          <w:kern w:val="0"/>
          <w:sz w:val="32"/>
          <w:szCs w:val="32"/>
          <w:highlight w:val="none"/>
        </w:rPr>
        <w:t>同类业绩情况一览表</w:t>
      </w:r>
    </w:p>
    <w:p>
      <w:pPr>
        <w:spacing w:line="360" w:lineRule="auto"/>
        <w:jc w:val="center"/>
        <w:rPr>
          <w:rFonts w:hint="eastAsia" w:ascii="宋体" w:hAnsi="宋体" w:eastAsia="宋体" w:cs="宋体"/>
          <w:highlight w:val="none"/>
        </w:rPr>
      </w:pPr>
    </w:p>
    <w:tbl>
      <w:tblPr>
        <w:tblStyle w:val="16"/>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合同金额</w:t>
            </w:r>
          </w:p>
          <w:p>
            <w:pPr>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0"/>
                <w:sz w:val="24"/>
                <w:highlight w:val="none"/>
              </w:rPr>
            </w:pPr>
          </w:p>
        </w:tc>
      </w:tr>
    </w:tbl>
    <w:p>
      <w:pPr>
        <w:spacing w:line="360" w:lineRule="auto"/>
        <w:jc w:val="left"/>
        <w:rPr>
          <w:rFonts w:hint="eastAsia" w:ascii="宋体" w:hAnsi="宋体" w:eastAsia="宋体" w:cs="宋体"/>
          <w:kern w:val="0"/>
          <w:sz w:val="24"/>
          <w:highlight w:val="none"/>
        </w:rPr>
      </w:pPr>
    </w:p>
    <w:p>
      <w:pPr>
        <w:spacing w:line="360" w:lineRule="auto"/>
        <w:jc w:val="left"/>
        <w:rPr>
          <w:rFonts w:hint="eastAsia" w:ascii="宋体" w:hAnsi="宋体" w:eastAsia="宋体" w:cs="宋体"/>
          <w:kern w:val="0"/>
          <w:sz w:val="24"/>
          <w:highlight w:val="none"/>
        </w:rPr>
      </w:pPr>
    </w:p>
    <w:p>
      <w:pPr>
        <w:spacing w:line="360" w:lineRule="auto"/>
        <w:jc w:val="left"/>
        <w:rPr>
          <w:rFonts w:hint="eastAsia" w:ascii="宋体" w:hAnsi="宋体" w:eastAsia="宋体" w:cs="宋体"/>
          <w:kern w:val="0"/>
          <w:sz w:val="24"/>
          <w:highlight w:val="none"/>
        </w:rPr>
      </w:pPr>
    </w:p>
    <w:p>
      <w:pPr>
        <w:adjustRightInd w:val="0"/>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法定代表人或其授权委托人（签名或印章）：</w:t>
      </w:r>
    </w:p>
    <w:p>
      <w:pPr>
        <w:adjustRightInd w:val="0"/>
        <w:snapToGrid w:val="0"/>
        <w:spacing w:line="360" w:lineRule="auto"/>
        <w:ind w:left="3990" w:leftChars="190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投标人（盖章）：</w:t>
      </w:r>
    </w:p>
    <w:p>
      <w:pPr>
        <w:adjustRightInd w:val="0"/>
        <w:snapToGrid w:val="0"/>
        <w:spacing w:line="360" w:lineRule="auto"/>
        <w:ind w:right="1920"/>
        <w:jc w:val="center"/>
        <w:rPr>
          <w:rFonts w:hint="eastAsia" w:ascii="宋体" w:hAnsi="宋体" w:eastAsia="宋体" w:cs="宋体"/>
          <w:b/>
          <w:kern w:val="0"/>
          <w:sz w:val="32"/>
          <w:szCs w:val="32"/>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w:t>
      </w:r>
    </w:p>
    <w:p>
      <w:pPr>
        <w:spacing w:line="360" w:lineRule="auto"/>
        <w:ind w:left="4620" w:leftChars="2200"/>
        <w:jc w:val="left"/>
        <w:rPr>
          <w:rFonts w:hint="eastAsia" w:ascii="宋体" w:hAnsi="宋体" w:eastAsia="宋体" w:cs="宋体"/>
          <w:b/>
          <w:kern w:val="0"/>
          <w:sz w:val="32"/>
          <w:szCs w:val="32"/>
          <w:highlight w:val="none"/>
          <w:lang w:val="zh-CN"/>
        </w:rPr>
      </w:pPr>
    </w:p>
    <w:p>
      <w:pPr>
        <w:numPr>
          <w:ilvl w:val="0"/>
          <w:numId w:val="0"/>
        </w:numPr>
        <w:snapToGrid w:val="0"/>
        <w:spacing w:line="360" w:lineRule="auto"/>
        <w:jc w:val="center"/>
        <w:outlineLvl w:val="0"/>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r>
        <w:rPr>
          <w:rFonts w:hint="eastAsia" w:ascii="宋体" w:hAnsi="宋体" w:eastAsia="宋体" w:cs="宋体"/>
          <w:b/>
          <w:kern w:val="0"/>
          <w:sz w:val="32"/>
          <w:szCs w:val="32"/>
          <w:highlight w:val="none"/>
          <w:lang w:val="en-US" w:eastAsia="zh-CN"/>
        </w:rPr>
        <w:t>十一、</w:t>
      </w:r>
      <w:r>
        <w:rPr>
          <w:rFonts w:hint="eastAsia" w:ascii="宋体" w:hAnsi="宋体" w:eastAsia="宋体" w:cs="宋体"/>
          <w:b/>
          <w:kern w:val="0"/>
          <w:sz w:val="32"/>
          <w:szCs w:val="32"/>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djustRightInd w:val="0"/>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法定代表人或其授权委托人（签名或印章）：</w:t>
      </w:r>
    </w:p>
    <w:p>
      <w:pPr>
        <w:adjustRightInd w:val="0"/>
        <w:snapToGrid w:val="0"/>
        <w:spacing w:line="360" w:lineRule="auto"/>
        <w:ind w:left="3990" w:leftChars="1900"/>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投标人（盖章）：</w:t>
      </w:r>
    </w:p>
    <w:p>
      <w:pPr>
        <w:adjustRightInd w:val="0"/>
        <w:snapToGrid w:val="0"/>
        <w:spacing w:line="360" w:lineRule="auto"/>
        <w:ind w:right="1920"/>
        <w:jc w:val="center"/>
        <w:rPr>
          <w:rFonts w:hint="eastAsia" w:ascii="宋体" w:hAnsi="宋体" w:eastAsia="宋体" w:cs="宋体"/>
          <w:b/>
          <w:kern w:val="0"/>
          <w:sz w:val="32"/>
          <w:szCs w:val="32"/>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w:t>
      </w:r>
    </w:p>
    <w:p>
      <w:pPr>
        <w:spacing w:line="360" w:lineRule="auto"/>
        <w:ind w:left="4620" w:leftChars="2200"/>
        <w:rPr>
          <w:rFonts w:hint="eastAsia" w:ascii="宋体" w:hAnsi="宋体" w:eastAsia="宋体" w:cs="宋体"/>
          <w:sz w:val="24"/>
          <w:highlight w:val="none"/>
        </w:rPr>
      </w:pP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rPr>
        <w:t xml:space="preserve"> </w:t>
      </w:r>
    </w:p>
    <w:p>
      <w:pPr>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1 开标一览表；</w:t>
      </w:r>
    </w:p>
    <w:p>
      <w:pPr>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2 投标报价明细表；</w:t>
      </w:r>
    </w:p>
    <w:p>
      <w:pPr>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3 中小企业声明函（如有）；</w:t>
      </w:r>
    </w:p>
    <w:p>
      <w:pPr>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4 残疾人福利性单位声明函（如有）；</w:t>
      </w:r>
    </w:p>
    <w:p>
      <w:pPr>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5 监狱企业的证明文件（如有）；</w:t>
      </w:r>
    </w:p>
    <w:p>
      <w:pPr>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6 政府采购统计基础信息表；</w:t>
      </w:r>
    </w:p>
    <w:p>
      <w:pPr>
        <w:snapToGrid w:val="0"/>
        <w:spacing w:line="360" w:lineRule="auto"/>
        <w:ind w:firstLine="1120" w:firstLineChars="400"/>
        <w:rPr>
          <w:rFonts w:hint="eastAsia" w:ascii="宋体" w:hAnsi="宋体" w:eastAsia="宋体" w:cs="宋体"/>
          <w:sz w:val="28"/>
          <w:szCs w:val="28"/>
          <w:highlight w:val="none"/>
        </w:rPr>
      </w:pPr>
      <w:r>
        <w:rPr>
          <w:rFonts w:hint="eastAsia" w:ascii="宋体" w:hAnsi="宋体" w:eastAsia="宋体" w:cs="宋体"/>
          <w:sz w:val="28"/>
          <w:szCs w:val="28"/>
          <w:highlight w:val="none"/>
        </w:rPr>
        <w:t>7 其他资料（如有）。</w:t>
      </w:r>
    </w:p>
    <w:p>
      <w:pPr>
        <w:snapToGrid w:val="0"/>
        <w:spacing w:line="360" w:lineRule="auto"/>
        <w:ind w:right="480"/>
        <w:rPr>
          <w:rFonts w:hint="eastAsia" w:ascii="宋体" w:hAnsi="宋体" w:eastAsia="宋体" w:cs="宋体"/>
          <w:b/>
          <w:kern w:val="0"/>
          <w:sz w:val="32"/>
          <w:szCs w:val="32"/>
          <w:highlight w:val="none"/>
        </w:rPr>
      </w:pPr>
    </w:p>
    <w:p>
      <w:pPr>
        <w:pStyle w:val="30"/>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30"/>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hint="eastAsia" w:ascii="宋体" w:hAnsi="宋体" w:eastAsia="宋体" w:cs="宋体"/>
          <w:kern w:val="0"/>
          <w:sz w:val="24"/>
          <w:highlight w:val="none"/>
          <w:u w:val="singl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 xml:space="preserve">                                     </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1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17"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843" w:type="dxa"/>
          </w:tcPr>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3118"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规格型号（或具体服务）</w:t>
            </w:r>
          </w:p>
        </w:tc>
        <w:tc>
          <w:tcPr>
            <w:tcW w:w="993"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559"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单价</w:t>
            </w:r>
          </w:p>
        </w:tc>
        <w:tc>
          <w:tcPr>
            <w:tcW w:w="1984"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总价</w:t>
            </w:r>
          </w:p>
        </w:tc>
        <w:tc>
          <w:tcPr>
            <w:tcW w:w="3119" w:type="dxa"/>
            <w:vAlign w:val="center"/>
          </w:tcPr>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服务要求（年限）</w:t>
            </w:r>
          </w:p>
          <w:p>
            <w:pPr>
              <w:spacing w:line="360" w:lineRule="auto"/>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17"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3118"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napToGrid w:val="0"/>
              <w:spacing w:line="360" w:lineRule="auto"/>
              <w:jc w:val="center"/>
              <w:rPr>
                <w:rFonts w:hint="eastAsia" w:ascii="宋体" w:hAnsi="宋体" w:eastAsia="宋体" w:cs="宋体"/>
                <w:sz w:val="24"/>
                <w:highlight w:val="none"/>
              </w:rPr>
            </w:pPr>
          </w:p>
        </w:tc>
        <w:tc>
          <w:tcPr>
            <w:tcW w:w="1559" w:type="dxa"/>
            <w:vAlign w:val="center"/>
          </w:tcPr>
          <w:p>
            <w:pPr>
              <w:spacing w:line="360" w:lineRule="auto"/>
              <w:jc w:val="center"/>
              <w:rPr>
                <w:rFonts w:hint="eastAsia" w:ascii="宋体" w:hAnsi="宋体" w:eastAsia="宋体" w:cs="宋体"/>
                <w:sz w:val="24"/>
                <w:highlight w:val="none"/>
              </w:rPr>
            </w:pPr>
          </w:p>
        </w:tc>
        <w:tc>
          <w:tcPr>
            <w:tcW w:w="1984" w:type="dxa"/>
            <w:vAlign w:val="center"/>
          </w:tcPr>
          <w:p>
            <w:pPr>
              <w:spacing w:line="360" w:lineRule="auto"/>
              <w:jc w:val="center"/>
              <w:rPr>
                <w:rFonts w:hint="eastAsia" w:ascii="宋体" w:hAnsi="宋体" w:eastAsia="宋体" w:cs="宋体"/>
                <w:sz w:val="24"/>
                <w:highlight w:val="none"/>
              </w:rPr>
            </w:pPr>
          </w:p>
        </w:tc>
        <w:tc>
          <w:tcPr>
            <w:tcW w:w="3119" w:type="dxa"/>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417"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3118"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napToGrid w:val="0"/>
              <w:spacing w:line="360" w:lineRule="auto"/>
              <w:jc w:val="center"/>
              <w:rPr>
                <w:rFonts w:hint="eastAsia" w:ascii="宋体" w:hAnsi="宋体" w:eastAsia="宋体" w:cs="宋体"/>
                <w:sz w:val="24"/>
                <w:highlight w:val="none"/>
              </w:rPr>
            </w:pPr>
          </w:p>
        </w:tc>
        <w:tc>
          <w:tcPr>
            <w:tcW w:w="1559" w:type="dxa"/>
            <w:vAlign w:val="center"/>
          </w:tcPr>
          <w:p>
            <w:pPr>
              <w:spacing w:line="360" w:lineRule="auto"/>
              <w:jc w:val="center"/>
              <w:rPr>
                <w:rFonts w:hint="eastAsia" w:ascii="宋体" w:hAnsi="宋体" w:eastAsia="宋体" w:cs="宋体"/>
                <w:sz w:val="24"/>
                <w:highlight w:val="none"/>
              </w:rPr>
            </w:pPr>
          </w:p>
        </w:tc>
        <w:tc>
          <w:tcPr>
            <w:tcW w:w="1984" w:type="dxa"/>
            <w:vAlign w:val="center"/>
          </w:tcPr>
          <w:p>
            <w:pPr>
              <w:spacing w:line="360" w:lineRule="auto"/>
              <w:jc w:val="center"/>
              <w:rPr>
                <w:rFonts w:hint="eastAsia" w:ascii="宋体" w:hAnsi="宋体" w:eastAsia="宋体" w:cs="宋体"/>
                <w:sz w:val="24"/>
                <w:highlight w:val="none"/>
              </w:rPr>
            </w:pPr>
          </w:p>
        </w:tc>
        <w:tc>
          <w:tcPr>
            <w:tcW w:w="3119" w:type="dxa"/>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417"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3118"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napToGrid w:val="0"/>
              <w:spacing w:line="360" w:lineRule="auto"/>
              <w:jc w:val="center"/>
              <w:rPr>
                <w:rFonts w:hint="eastAsia" w:ascii="宋体" w:hAnsi="宋体" w:eastAsia="宋体" w:cs="宋体"/>
                <w:sz w:val="24"/>
                <w:highlight w:val="none"/>
              </w:rPr>
            </w:pPr>
          </w:p>
        </w:tc>
        <w:tc>
          <w:tcPr>
            <w:tcW w:w="1559" w:type="dxa"/>
            <w:vAlign w:val="center"/>
          </w:tcPr>
          <w:p>
            <w:pPr>
              <w:spacing w:line="360" w:lineRule="auto"/>
              <w:jc w:val="center"/>
              <w:rPr>
                <w:rFonts w:hint="eastAsia" w:ascii="宋体" w:hAnsi="宋体" w:eastAsia="宋体" w:cs="宋体"/>
                <w:sz w:val="24"/>
                <w:highlight w:val="none"/>
              </w:rPr>
            </w:pPr>
          </w:p>
        </w:tc>
        <w:tc>
          <w:tcPr>
            <w:tcW w:w="1984" w:type="dxa"/>
            <w:vAlign w:val="center"/>
          </w:tcPr>
          <w:p>
            <w:pPr>
              <w:spacing w:line="360" w:lineRule="auto"/>
              <w:jc w:val="center"/>
              <w:rPr>
                <w:rFonts w:hint="eastAsia" w:ascii="宋体" w:hAnsi="宋体" w:eastAsia="宋体" w:cs="宋体"/>
                <w:sz w:val="24"/>
                <w:highlight w:val="none"/>
              </w:rPr>
            </w:pPr>
          </w:p>
        </w:tc>
        <w:tc>
          <w:tcPr>
            <w:tcW w:w="3119" w:type="dxa"/>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p>
        </w:tc>
        <w:tc>
          <w:tcPr>
            <w:tcW w:w="1417"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3118"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napToGrid w:val="0"/>
              <w:spacing w:line="360" w:lineRule="auto"/>
              <w:jc w:val="center"/>
              <w:rPr>
                <w:rFonts w:hint="eastAsia" w:ascii="宋体" w:hAnsi="宋体" w:eastAsia="宋体" w:cs="宋体"/>
                <w:sz w:val="24"/>
                <w:highlight w:val="none"/>
              </w:rPr>
            </w:pPr>
          </w:p>
        </w:tc>
        <w:tc>
          <w:tcPr>
            <w:tcW w:w="1559" w:type="dxa"/>
            <w:vAlign w:val="center"/>
          </w:tcPr>
          <w:p>
            <w:pPr>
              <w:spacing w:line="360" w:lineRule="auto"/>
              <w:jc w:val="center"/>
              <w:rPr>
                <w:rFonts w:hint="eastAsia" w:ascii="宋体" w:hAnsi="宋体" w:eastAsia="宋体" w:cs="宋体"/>
                <w:sz w:val="24"/>
                <w:highlight w:val="none"/>
              </w:rPr>
            </w:pPr>
          </w:p>
        </w:tc>
        <w:tc>
          <w:tcPr>
            <w:tcW w:w="1984" w:type="dxa"/>
            <w:vAlign w:val="center"/>
          </w:tcPr>
          <w:p>
            <w:pPr>
              <w:spacing w:line="360" w:lineRule="auto"/>
              <w:jc w:val="center"/>
              <w:rPr>
                <w:rFonts w:hint="eastAsia" w:ascii="宋体" w:hAnsi="宋体" w:eastAsia="宋体" w:cs="宋体"/>
                <w:sz w:val="24"/>
                <w:highlight w:val="none"/>
              </w:rPr>
            </w:pPr>
          </w:p>
        </w:tc>
        <w:tc>
          <w:tcPr>
            <w:tcW w:w="3119" w:type="dxa"/>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p>
        </w:tc>
        <w:tc>
          <w:tcPr>
            <w:tcW w:w="1417" w:type="dxa"/>
            <w:vAlign w:val="center"/>
          </w:tcPr>
          <w:p>
            <w:pPr>
              <w:snapToGrid w:val="0"/>
              <w:spacing w:line="360" w:lineRule="auto"/>
              <w:jc w:val="center"/>
              <w:rPr>
                <w:rFonts w:hint="eastAsia" w:ascii="宋体" w:hAnsi="宋体" w:eastAsia="宋体" w:cs="宋体"/>
                <w:sz w:val="24"/>
                <w:highlight w:val="none"/>
              </w:rPr>
            </w:pPr>
          </w:p>
        </w:tc>
        <w:tc>
          <w:tcPr>
            <w:tcW w:w="1843" w:type="dxa"/>
            <w:vAlign w:val="center"/>
          </w:tcPr>
          <w:p>
            <w:pPr>
              <w:snapToGrid w:val="0"/>
              <w:spacing w:line="360" w:lineRule="auto"/>
              <w:jc w:val="center"/>
              <w:rPr>
                <w:rFonts w:hint="eastAsia" w:ascii="宋体" w:hAnsi="宋体" w:eastAsia="宋体" w:cs="宋体"/>
                <w:sz w:val="24"/>
                <w:highlight w:val="none"/>
              </w:rPr>
            </w:pPr>
          </w:p>
        </w:tc>
        <w:tc>
          <w:tcPr>
            <w:tcW w:w="3118" w:type="dxa"/>
            <w:vAlign w:val="center"/>
          </w:tcPr>
          <w:p>
            <w:pPr>
              <w:snapToGrid w:val="0"/>
              <w:spacing w:line="360" w:lineRule="auto"/>
              <w:jc w:val="center"/>
              <w:rPr>
                <w:rFonts w:hint="eastAsia" w:ascii="宋体" w:hAnsi="宋体" w:eastAsia="宋体" w:cs="宋体"/>
                <w:sz w:val="24"/>
                <w:highlight w:val="none"/>
              </w:rPr>
            </w:pPr>
          </w:p>
        </w:tc>
        <w:tc>
          <w:tcPr>
            <w:tcW w:w="993" w:type="dxa"/>
            <w:vAlign w:val="center"/>
          </w:tcPr>
          <w:p>
            <w:pPr>
              <w:snapToGrid w:val="0"/>
              <w:spacing w:line="360" w:lineRule="auto"/>
              <w:jc w:val="center"/>
              <w:rPr>
                <w:rFonts w:hint="eastAsia" w:ascii="宋体" w:hAnsi="宋体" w:eastAsia="宋体" w:cs="宋体"/>
                <w:sz w:val="24"/>
                <w:highlight w:val="none"/>
              </w:rPr>
            </w:pPr>
          </w:p>
        </w:tc>
        <w:tc>
          <w:tcPr>
            <w:tcW w:w="1559" w:type="dxa"/>
            <w:vAlign w:val="center"/>
          </w:tcPr>
          <w:p>
            <w:pPr>
              <w:spacing w:line="360" w:lineRule="auto"/>
              <w:jc w:val="center"/>
              <w:rPr>
                <w:rFonts w:hint="eastAsia" w:ascii="宋体" w:hAnsi="宋体" w:eastAsia="宋体" w:cs="宋体"/>
                <w:sz w:val="24"/>
                <w:highlight w:val="none"/>
              </w:rPr>
            </w:pPr>
          </w:p>
        </w:tc>
        <w:tc>
          <w:tcPr>
            <w:tcW w:w="1984" w:type="dxa"/>
            <w:vAlign w:val="center"/>
          </w:tcPr>
          <w:p>
            <w:pPr>
              <w:spacing w:line="360" w:lineRule="auto"/>
              <w:jc w:val="center"/>
              <w:rPr>
                <w:rFonts w:hint="eastAsia" w:ascii="宋体" w:hAnsi="宋体" w:eastAsia="宋体" w:cs="宋体"/>
                <w:sz w:val="24"/>
                <w:highlight w:val="none"/>
              </w:rPr>
            </w:pPr>
          </w:p>
        </w:tc>
        <w:tc>
          <w:tcPr>
            <w:tcW w:w="3119" w:type="dxa"/>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投标报价（小写）</w:t>
            </w:r>
          </w:p>
        </w:tc>
        <w:tc>
          <w:tcPr>
            <w:tcW w:w="7655" w:type="dxa"/>
            <w:gridSpan w:val="4"/>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投标报价（大写）</w:t>
            </w:r>
          </w:p>
        </w:tc>
        <w:tc>
          <w:tcPr>
            <w:tcW w:w="7655" w:type="dxa"/>
            <w:gridSpan w:val="4"/>
            <w:vAlign w:val="center"/>
          </w:tcPr>
          <w:p>
            <w:pPr>
              <w:spacing w:line="360" w:lineRule="auto"/>
              <w:jc w:val="center"/>
              <w:rPr>
                <w:rFonts w:hint="eastAsia" w:ascii="宋体" w:hAnsi="宋体" w:eastAsia="宋体" w:cs="宋体"/>
                <w:sz w:val="24"/>
                <w:highlight w:val="none"/>
              </w:rPr>
            </w:pPr>
          </w:p>
        </w:tc>
      </w:tr>
    </w:tbl>
    <w:p>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sz w:val="24"/>
          <w:highlight w:val="none"/>
        </w:rPr>
        <w:t>投标文件含有采购人不能接受的附加条件的，投标无效</w:t>
      </w:r>
      <w:r>
        <w:rPr>
          <w:rFonts w:hint="eastAsia" w:ascii="宋体" w:hAnsi="宋体" w:eastAsia="宋体" w:cs="宋体"/>
          <w:b/>
          <w:kern w:val="0"/>
          <w:sz w:val="24"/>
          <w:highlight w:val="none"/>
          <w:lang w:val="zh-CN"/>
        </w:rPr>
        <w:t>。</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3、以上表格要求细分项目及报价，在“规格型号（或具体服务）”一栏中，货物类项目填写规格型号，服务类项目填写具体服务。</w:t>
      </w:r>
    </w:p>
    <w:p>
      <w:pPr>
        <w:spacing w:line="360" w:lineRule="auto"/>
        <w:ind w:left="3780" w:leftChars="1800"/>
        <w:rPr>
          <w:rFonts w:hint="eastAsia" w:ascii="宋体" w:hAnsi="宋体" w:eastAsia="宋体" w:cs="宋体"/>
          <w:sz w:val="32"/>
          <w:szCs w:val="32"/>
          <w:highlight w:val="none"/>
        </w:rPr>
      </w:pPr>
    </w:p>
    <w:p>
      <w:pPr>
        <w:pStyle w:val="2"/>
        <w:spacing w:line="360" w:lineRule="auto"/>
        <w:ind w:firstLine="640"/>
        <w:rPr>
          <w:rFonts w:hint="eastAsia" w:ascii="宋体" w:hAnsi="宋体" w:eastAsia="宋体" w:cs="宋体"/>
          <w:sz w:val="32"/>
          <w:szCs w:val="32"/>
          <w:highlight w:val="none"/>
        </w:rPr>
      </w:pPr>
    </w:p>
    <w:p>
      <w:pPr>
        <w:pStyle w:val="2"/>
        <w:spacing w:line="360" w:lineRule="auto"/>
        <w:ind w:firstLine="640"/>
        <w:rPr>
          <w:rFonts w:hint="eastAsia" w:ascii="宋体" w:hAnsi="宋体" w:eastAsia="宋体" w:cs="宋体"/>
          <w:sz w:val="32"/>
          <w:szCs w:val="32"/>
          <w:highlight w:val="none"/>
        </w:rPr>
      </w:pPr>
    </w:p>
    <w:p>
      <w:pPr>
        <w:spacing w:line="360" w:lineRule="auto"/>
        <w:ind w:left="7560" w:leftChars="3600"/>
        <w:rPr>
          <w:rFonts w:hint="eastAsia" w:ascii="宋体" w:hAnsi="宋体" w:eastAsia="宋体" w:cs="宋体"/>
          <w:sz w:val="24"/>
          <w:highlight w:val="none"/>
        </w:rPr>
      </w:pPr>
      <w:r>
        <w:rPr>
          <w:rFonts w:hint="eastAsia" w:ascii="宋体" w:hAnsi="宋体" w:eastAsia="宋体" w:cs="宋体"/>
          <w:sz w:val="24"/>
          <w:highlight w:val="none"/>
        </w:rPr>
        <w:t xml:space="preserve">法定代表人或其授权委托人（签名或印章）：        </w:t>
      </w:r>
    </w:p>
    <w:p>
      <w:pPr>
        <w:spacing w:line="360" w:lineRule="auto"/>
        <w:ind w:left="7560" w:leftChars="3600"/>
        <w:rPr>
          <w:rFonts w:hint="eastAsia" w:ascii="宋体" w:hAnsi="宋体" w:eastAsia="宋体" w:cs="宋体"/>
          <w:sz w:val="24"/>
          <w:highlight w:val="none"/>
        </w:rPr>
      </w:pPr>
      <w:r>
        <w:rPr>
          <w:rFonts w:hint="eastAsia" w:ascii="宋体" w:hAnsi="宋体" w:eastAsia="宋体" w:cs="宋体"/>
          <w:sz w:val="24"/>
          <w:highlight w:val="none"/>
        </w:rPr>
        <w:t xml:space="preserve">投标人（盖章）：         </w:t>
      </w:r>
    </w:p>
    <w:p>
      <w:pPr>
        <w:spacing w:line="360" w:lineRule="auto"/>
        <w:ind w:left="7560" w:leftChars="3600"/>
        <w:rPr>
          <w:rFonts w:hint="eastAsia" w:ascii="宋体" w:hAnsi="宋体" w:eastAsia="宋体" w:cs="宋体"/>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sz w:val="24"/>
          <w:highlight w:val="none"/>
        </w:rPr>
        <w:t xml:space="preserve">日  期： </w:t>
      </w:r>
    </w:p>
    <w:p>
      <w:pPr>
        <w:pStyle w:val="30"/>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二、投标报价明细表</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kern w:val="0"/>
          <w:sz w:val="24"/>
          <w:highlight w:val="none"/>
          <w:u w:val="singl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标    项：</w:t>
      </w:r>
      <w:r>
        <w:rPr>
          <w:rFonts w:hint="eastAsia" w:ascii="宋体" w:hAnsi="宋体" w:eastAsia="宋体" w:cs="宋体"/>
          <w:kern w:val="0"/>
          <w:sz w:val="24"/>
          <w:highlight w:val="none"/>
          <w:u w:val="single"/>
        </w:rPr>
        <w:t xml:space="preserve">                              </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项目编号： </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rPr>
        <w:t xml:space="preserve">           金额单位：人民币（元）</w:t>
      </w:r>
    </w:p>
    <w:tbl>
      <w:tblPr>
        <w:tblStyle w:val="16"/>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150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名称</w:t>
            </w:r>
          </w:p>
        </w:tc>
        <w:tc>
          <w:tcPr>
            <w:tcW w:w="18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品牌（如有）</w:t>
            </w:r>
          </w:p>
        </w:tc>
        <w:tc>
          <w:tcPr>
            <w:tcW w:w="16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单位及数量</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单价</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399"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r>
              <w:rPr>
                <w:rFonts w:hint="eastAsia" w:ascii="宋体" w:hAnsi="宋体" w:eastAsia="宋体" w:cs="宋体"/>
                <w:highlight w:val="none"/>
              </w:rPr>
              <w:t>……</w:t>
            </w:r>
          </w:p>
        </w:tc>
        <w:tc>
          <w:tcPr>
            <w:tcW w:w="184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63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highlight w:val="none"/>
              </w:rPr>
            </w:pPr>
          </w:p>
        </w:tc>
        <w:tc>
          <w:tcPr>
            <w:tcW w:w="4882"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总报价：</w:t>
            </w:r>
          </w:p>
        </w:tc>
        <w:tc>
          <w:tcPr>
            <w:tcW w:w="1513"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50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c>
          <w:tcPr>
            <w:tcW w:w="14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highlight w:val="none"/>
              </w:rPr>
            </w:pPr>
          </w:p>
        </w:tc>
      </w:tr>
    </w:tbl>
    <w:p>
      <w:pPr>
        <w:pStyle w:val="9"/>
        <w:spacing w:line="360" w:lineRule="auto"/>
        <w:ind w:left="-178" w:leftChars="-85"/>
        <w:rPr>
          <w:rFonts w:hint="eastAsia" w:ascii="宋体" w:hAnsi="宋体" w:eastAsia="宋体" w:cs="宋体"/>
          <w:highlight w:val="none"/>
        </w:rPr>
      </w:pPr>
      <w:r>
        <w:rPr>
          <w:rFonts w:hint="eastAsia" w:ascii="宋体" w:hAnsi="宋体" w:eastAsia="宋体" w:cs="宋体"/>
          <w:highlight w:val="none"/>
        </w:rPr>
        <w:t>注：</w:t>
      </w:r>
    </w:p>
    <w:p>
      <w:pPr>
        <w:pStyle w:val="9"/>
        <w:spacing w:line="360" w:lineRule="auto"/>
        <w:ind w:left="-178" w:leftChars="-85"/>
        <w:rPr>
          <w:rFonts w:hint="eastAsia" w:ascii="宋体" w:hAnsi="宋体" w:eastAsia="宋体" w:cs="宋体"/>
          <w:highlight w:val="none"/>
        </w:rPr>
      </w:pPr>
      <w:r>
        <w:rPr>
          <w:rFonts w:hint="eastAsia" w:ascii="宋体" w:hAnsi="宋体" w:eastAsia="宋体" w:cs="宋体"/>
          <w:highlight w:val="none"/>
        </w:rPr>
        <w:t>1.本表格仅供参考，投标人可根据项目实际情况扩展表格。</w:t>
      </w:r>
    </w:p>
    <w:p>
      <w:pPr>
        <w:pStyle w:val="9"/>
        <w:spacing w:line="360" w:lineRule="auto"/>
        <w:ind w:left="-178" w:leftChars="-85"/>
        <w:rPr>
          <w:rFonts w:hint="eastAsia" w:ascii="宋体" w:hAnsi="宋体" w:eastAsia="宋体" w:cs="宋体"/>
          <w:highlight w:val="none"/>
        </w:rPr>
      </w:pPr>
      <w:r>
        <w:rPr>
          <w:rFonts w:hint="eastAsia" w:ascii="宋体" w:hAnsi="宋体" w:eastAsia="宋体" w:cs="宋体"/>
          <w:highlight w:val="none"/>
        </w:rPr>
        <w:t>2.投标总价应与开标一览表的投标报价一致。</w:t>
      </w:r>
    </w:p>
    <w:p>
      <w:pPr>
        <w:spacing w:line="360" w:lineRule="auto"/>
        <w:rPr>
          <w:rFonts w:hint="eastAsia" w:ascii="宋体" w:hAnsi="宋体" w:eastAsia="宋体" w:cs="宋体"/>
          <w:sz w:val="24"/>
          <w:highlight w:val="none"/>
        </w:rPr>
      </w:pPr>
    </w:p>
    <w:p>
      <w:pPr>
        <w:spacing w:line="360" w:lineRule="auto"/>
        <w:ind w:left="3780" w:leftChars="1800"/>
        <w:rPr>
          <w:rFonts w:hint="eastAsia" w:ascii="宋体" w:hAnsi="宋体" w:eastAsia="宋体" w:cs="宋体"/>
          <w:sz w:val="24"/>
          <w:highlight w:val="none"/>
        </w:rPr>
      </w:pPr>
      <w:r>
        <w:rPr>
          <w:rFonts w:hint="eastAsia" w:ascii="宋体" w:hAnsi="宋体" w:eastAsia="宋体" w:cs="宋体"/>
          <w:sz w:val="24"/>
          <w:highlight w:val="none"/>
        </w:rPr>
        <w:t xml:space="preserve">法定代表人或其授权委托人（签名或印章）：        </w:t>
      </w:r>
    </w:p>
    <w:p>
      <w:pPr>
        <w:spacing w:line="360" w:lineRule="auto"/>
        <w:ind w:left="3780" w:leftChars="1800"/>
        <w:rPr>
          <w:rFonts w:hint="eastAsia" w:ascii="宋体" w:hAnsi="宋体" w:eastAsia="宋体" w:cs="宋体"/>
          <w:sz w:val="24"/>
          <w:highlight w:val="none"/>
        </w:rPr>
      </w:pPr>
      <w:r>
        <w:rPr>
          <w:rFonts w:hint="eastAsia" w:ascii="宋体" w:hAnsi="宋体" w:eastAsia="宋体" w:cs="宋体"/>
          <w:sz w:val="24"/>
          <w:highlight w:val="none"/>
        </w:rPr>
        <w:t xml:space="preserve">投标人（盖章）：         </w:t>
      </w:r>
    </w:p>
    <w:p>
      <w:pPr>
        <w:pStyle w:val="30"/>
        <w:keepNext w:val="0"/>
        <w:pageBreakBefore w:val="0"/>
        <w:tabs>
          <w:tab w:val="clear" w:pos="720"/>
        </w:tabs>
        <w:snapToGrid w:val="0"/>
        <w:spacing w:before="120" w:after="120"/>
        <w:ind w:left="3780" w:leftChars="1800"/>
        <w:jc w:val="both"/>
        <w:outlineLvl w:val="9"/>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 xml:space="preserve">日  期：  </w:t>
      </w:r>
    </w:p>
    <w:p>
      <w:pPr>
        <w:pStyle w:val="30"/>
        <w:keepNext w:val="0"/>
        <w:pageBreakBefore w:val="0"/>
        <w:tabs>
          <w:tab w:val="clear" w:pos="720"/>
        </w:tabs>
        <w:snapToGrid w:val="0"/>
        <w:spacing w:before="120" w:after="120"/>
        <w:outlineLvl w:val="9"/>
        <w:rPr>
          <w:rFonts w:hint="eastAsia" w:ascii="宋体" w:hAnsi="宋体" w:eastAsia="宋体" w:cs="宋体"/>
          <w:sz w:val="32"/>
          <w:szCs w:val="32"/>
          <w:highlight w:val="none"/>
        </w:rPr>
      </w:pPr>
      <w:r>
        <w:rPr>
          <w:rFonts w:hint="eastAsia" w:ascii="宋体" w:hAnsi="宋体" w:eastAsia="宋体" w:cs="宋体"/>
          <w:b w:val="0"/>
          <w:kern w:val="2"/>
          <w:sz w:val="24"/>
          <w:szCs w:val="24"/>
          <w:highlight w:val="none"/>
        </w:rPr>
        <w:br w:type="page"/>
      </w:r>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p>
    <w:p>
      <w:pPr>
        <w:widowControl/>
        <w:spacing w:line="360" w:lineRule="auto"/>
        <w:ind w:firstLine="105" w:firstLineChars="5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中小企业声明函（货物）</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 </w:t>
      </w:r>
      <w:r>
        <w:rPr>
          <w:rFonts w:hint="eastAsia" w:ascii="宋体" w:hAnsi="宋体" w:eastAsia="宋体" w:cs="宋体"/>
          <w:sz w:val="21"/>
          <w:szCs w:val="21"/>
          <w:highlight w:val="none"/>
          <w:u w:val="single"/>
        </w:rPr>
        <w:t>（标的名称）</w:t>
      </w:r>
      <w:r>
        <w:rPr>
          <w:rFonts w:hint="eastAsia" w:ascii="宋体" w:hAnsi="宋体" w:eastAsia="宋体" w:cs="宋体"/>
          <w:sz w:val="21"/>
          <w:szCs w:val="21"/>
          <w:highlight w:val="none"/>
        </w:rPr>
        <w:t xml:space="preserve"> ，属于 </w:t>
      </w:r>
      <w:r>
        <w:rPr>
          <w:rFonts w:hint="eastAsia" w:ascii="宋体" w:hAnsi="宋体" w:eastAsia="宋体" w:cs="宋体"/>
          <w:sz w:val="21"/>
          <w:szCs w:val="21"/>
          <w:highlight w:val="none"/>
          <w:u w:val="single"/>
        </w:rPr>
        <w:t>（招标文件中明确的所属行业）</w:t>
      </w:r>
      <w:r>
        <w:rPr>
          <w:rFonts w:hint="eastAsia" w:ascii="宋体" w:hAnsi="宋体" w:eastAsia="宋体" w:cs="宋体"/>
          <w:sz w:val="21"/>
          <w:szCs w:val="21"/>
          <w:highlight w:val="none"/>
        </w:rPr>
        <w:t>行业 ；制造商为</w:t>
      </w:r>
      <w:r>
        <w:rPr>
          <w:rFonts w:hint="eastAsia" w:ascii="宋体" w:hAnsi="宋体" w:eastAsia="宋体" w:cs="宋体"/>
          <w:sz w:val="21"/>
          <w:szCs w:val="21"/>
          <w:highlight w:val="none"/>
          <w:u w:val="single"/>
        </w:rPr>
        <w:t xml:space="preserve"> （企业名称）</w:t>
      </w:r>
      <w:r>
        <w:rPr>
          <w:rFonts w:hint="eastAsia" w:ascii="宋体" w:hAnsi="宋体" w:eastAsia="宋体" w:cs="宋体"/>
          <w:sz w:val="21"/>
          <w:szCs w:val="21"/>
          <w:highlight w:val="none"/>
        </w:rPr>
        <w:t xml:space="preserve"> ，从业人员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万元，属于</w:t>
      </w:r>
      <w:r>
        <w:rPr>
          <w:rFonts w:hint="eastAsia" w:ascii="宋体" w:hAnsi="宋体" w:eastAsia="宋体" w:cs="宋体"/>
          <w:sz w:val="21"/>
          <w:szCs w:val="21"/>
          <w:highlight w:val="none"/>
          <w:u w:val="single"/>
        </w:rPr>
        <w:t xml:space="preserve"> （中型企业、小型企业、微型企业）</w:t>
      </w:r>
      <w:r>
        <w:rPr>
          <w:rFonts w:hint="eastAsia" w:ascii="宋体" w:hAnsi="宋体" w:eastAsia="宋体" w:cs="宋体"/>
          <w:sz w:val="21"/>
          <w:szCs w:val="21"/>
          <w:highlight w:val="none"/>
        </w:rPr>
        <w:t xml:space="preserve">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 </w:t>
      </w:r>
      <w:r>
        <w:rPr>
          <w:rFonts w:hint="eastAsia" w:ascii="宋体" w:hAnsi="宋体" w:eastAsia="宋体" w:cs="宋体"/>
          <w:sz w:val="21"/>
          <w:szCs w:val="21"/>
          <w:highlight w:val="none"/>
          <w:u w:val="single"/>
        </w:rPr>
        <w:t>（标的名称）</w:t>
      </w:r>
      <w:r>
        <w:rPr>
          <w:rFonts w:hint="eastAsia" w:ascii="宋体" w:hAnsi="宋体" w:eastAsia="宋体" w:cs="宋体"/>
          <w:sz w:val="21"/>
          <w:szCs w:val="21"/>
          <w:highlight w:val="none"/>
        </w:rPr>
        <w:t xml:space="preserve"> ，属于 </w:t>
      </w:r>
      <w:r>
        <w:rPr>
          <w:rFonts w:hint="eastAsia" w:ascii="宋体" w:hAnsi="宋体" w:eastAsia="宋体" w:cs="宋体"/>
          <w:sz w:val="21"/>
          <w:szCs w:val="21"/>
          <w:highlight w:val="none"/>
          <w:u w:val="single"/>
        </w:rPr>
        <w:t>（招标文件中明确的所属行业）</w:t>
      </w:r>
      <w:r>
        <w:rPr>
          <w:rFonts w:hint="eastAsia" w:ascii="宋体" w:hAnsi="宋体" w:eastAsia="宋体" w:cs="宋体"/>
          <w:sz w:val="21"/>
          <w:szCs w:val="21"/>
          <w:highlight w:val="none"/>
        </w:rPr>
        <w:t>行业 ；制造商为</w:t>
      </w:r>
      <w:r>
        <w:rPr>
          <w:rFonts w:hint="eastAsia" w:ascii="宋体" w:hAnsi="宋体" w:eastAsia="宋体" w:cs="宋体"/>
          <w:sz w:val="21"/>
          <w:szCs w:val="21"/>
          <w:highlight w:val="none"/>
          <w:u w:val="single"/>
        </w:rPr>
        <w:t xml:space="preserve"> （企业名称）</w:t>
      </w:r>
      <w:r>
        <w:rPr>
          <w:rFonts w:hint="eastAsia" w:ascii="宋体" w:hAnsi="宋体" w:eastAsia="宋体" w:cs="宋体"/>
          <w:sz w:val="21"/>
          <w:szCs w:val="21"/>
          <w:highlight w:val="none"/>
        </w:rPr>
        <w:t xml:space="preserve"> ，从业人员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万元，属于</w:t>
      </w:r>
      <w:r>
        <w:rPr>
          <w:rFonts w:hint="eastAsia" w:ascii="宋体" w:hAnsi="宋体" w:eastAsia="宋体" w:cs="宋体"/>
          <w:sz w:val="21"/>
          <w:szCs w:val="21"/>
          <w:highlight w:val="none"/>
          <w:u w:val="single"/>
        </w:rPr>
        <w:t xml:space="preserve"> （中型企业、小型企业、微型企业）</w:t>
      </w:r>
      <w:r>
        <w:rPr>
          <w:rFonts w:hint="eastAsia" w:ascii="宋体" w:hAnsi="宋体" w:eastAsia="宋体" w:cs="宋体"/>
          <w:sz w:val="21"/>
          <w:szCs w:val="21"/>
          <w:highlight w:val="none"/>
        </w:rPr>
        <w:t xml:space="preserve">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本企业对上述声明内容的真实性负责。如有虚假，将依法承担相应责任。</w:t>
      </w:r>
    </w:p>
    <w:p>
      <w:pPr>
        <w:snapToGrid w:val="0"/>
        <w:spacing w:line="360" w:lineRule="auto"/>
        <w:ind w:firstLine="4515" w:firstLineChars="2150"/>
        <w:rPr>
          <w:rFonts w:hint="eastAsia" w:ascii="宋体" w:hAnsi="宋体" w:eastAsia="宋体" w:cs="宋体"/>
          <w:kern w:val="0"/>
          <w:sz w:val="21"/>
          <w:szCs w:val="21"/>
          <w:highlight w:val="none"/>
          <w:lang w:val="zh-CN"/>
        </w:rPr>
      </w:pPr>
    </w:p>
    <w:p>
      <w:pPr>
        <w:spacing w:line="360" w:lineRule="auto"/>
        <w:ind w:left="3780" w:leftChars="18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法定代表人或其授权委托人（签名或印章）：        </w:t>
      </w:r>
    </w:p>
    <w:p>
      <w:pPr>
        <w:spacing w:line="360" w:lineRule="auto"/>
        <w:ind w:left="3780" w:leftChars="18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投标人（盖章）：         </w:t>
      </w:r>
    </w:p>
    <w:p>
      <w:pPr>
        <w:spacing w:line="360" w:lineRule="auto"/>
        <w:ind w:left="3780" w:leftChars="1800"/>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p>
    <w:p>
      <w:pPr>
        <w:spacing w:line="360" w:lineRule="auto"/>
        <w:ind w:firstLine="540" w:firstLineChars="3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从业人员、营业收入、资产总额填报上一年度数据，无上一年度数据的新成立企业可不填报。</w:t>
      </w:r>
    </w:p>
    <w:p>
      <w:pPr>
        <w:spacing w:line="360" w:lineRule="auto"/>
        <w:ind w:right="-420" w:rightChars="-200" w:firstLine="420" w:firstLineChars="200"/>
        <w:rPr>
          <w:rFonts w:hint="eastAsia" w:ascii="宋体" w:hAnsi="宋体" w:eastAsia="宋体" w:cs="宋体"/>
          <w:b/>
          <w:sz w:val="32"/>
          <w:szCs w:val="32"/>
          <w:highlight w:val="none"/>
        </w:rPr>
      </w:pPr>
      <w:r>
        <w:rPr>
          <w:rFonts w:hint="eastAsia" w:ascii="宋体" w:hAnsi="宋体" w:eastAsia="宋体" w:cs="宋体"/>
          <w:sz w:val="21"/>
          <w:szCs w:val="21"/>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sz w:val="32"/>
          <w:szCs w:val="32"/>
          <w:highlight w:val="none"/>
        </w:rPr>
        <w:br w:type="page"/>
      </w:r>
    </w:p>
    <w:p>
      <w:pPr>
        <w:spacing w:line="360" w:lineRule="auto"/>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四、残疾人福利性单位声明函</w:t>
      </w:r>
    </w:p>
    <w:p>
      <w:pPr>
        <w:spacing w:line="360" w:lineRule="auto"/>
        <w:rPr>
          <w:rFonts w:hint="eastAsia" w:ascii="宋体" w:hAnsi="宋体" w:eastAsia="宋体" w:cs="宋体"/>
          <w:b/>
          <w:spacing w:val="6"/>
          <w:sz w:val="30"/>
          <w:szCs w:val="30"/>
          <w:highlight w:val="none"/>
        </w:rPr>
      </w:pP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jc w:val="left"/>
        <w:rPr>
          <w:rFonts w:hint="eastAsia" w:ascii="宋体" w:hAnsi="宋体" w:eastAsia="宋体" w:cs="宋体"/>
          <w:sz w:val="24"/>
          <w:highlight w:val="none"/>
        </w:rPr>
      </w:pPr>
    </w:p>
    <w:p>
      <w:pPr>
        <w:spacing w:line="360" w:lineRule="auto"/>
        <w:ind w:firstLine="480" w:firstLineChars="200"/>
        <w:jc w:val="left"/>
        <w:rPr>
          <w:rFonts w:hint="eastAsia" w:ascii="宋体" w:hAnsi="宋体" w:eastAsia="宋体" w:cs="宋体"/>
          <w:sz w:val="24"/>
          <w:highlight w:val="none"/>
        </w:rPr>
      </w:pPr>
    </w:p>
    <w:p>
      <w:pPr>
        <w:adjustRightInd w:val="0"/>
        <w:spacing w:line="360" w:lineRule="auto"/>
        <w:ind w:firstLine="2400" w:firstLineChars="1000"/>
        <w:jc w:val="left"/>
        <w:rPr>
          <w:rFonts w:hint="eastAsia" w:ascii="宋体" w:hAnsi="宋体" w:eastAsia="宋体" w:cs="宋体"/>
          <w:sz w:val="24"/>
          <w:highlight w:val="none"/>
        </w:rPr>
      </w:pPr>
      <w:r>
        <w:rPr>
          <w:rFonts w:hint="eastAsia" w:ascii="宋体" w:hAnsi="宋体" w:eastAsia="宋体" w:cs="宋体"/>
          <w:sz w:val="24"/>
          <w:highlight w:val="none"/>
        </w:rPr>
        <w:t xml:space="preserve">            法定代表人或其授权委托人（签名或印章）：</w:t>
      </w:r>
    </w:p>
    <w:p>
      <w:pPr>
        <w:adjustRightInd w:val="0"/>
        <w:spacing w:line="360" w:lineRule="auto"/>
        <w:ind w:firstLine="3840" w:firstLineChars="1600"/>
        <w:jc w:val="left"/>
        <w:rPr>
          <w:rFonts w:hint="eastAsia" w:ascii="宋体" w:hAnsi="宋体" w:eastAsia="宋体" w:cs="宋体"/>
          <w:sz w:val="24"/>
          <w:highlight w:val="none"/>
        </w:rPr>
      </w:pPr>
      <w:r>
        <w:rPr>
          <w:rFonts w:hint="eastAsia" w:ascii="宋体" w:hAnsi="宋体" w:eastAsia="宋体" w:cs="宋体"/>
          <w:sz w:val="24"/>
          <w:highlight w:val="none"/>
        </w:rPr>
        <w:t>投标人（盖章）：</w:t>
      </w:r>
    </w:p>
    <w:p>
      <w:pPr>
        <w:rPr>
          <w:rFonts w:hint="eastAsia" w:ascii="宋体" w:hAnsi="宋体" w:eastAsia="宋体" w:cs="宋体"/>
          <w:highlight w:val="none"/>
        </w:rPr>
      </w:pPr>
      <w:r>
        <w:rPr>
          <w:rFonts w:hint="eastAsia" w:ascii="宋体" w:hAnsi="宋体" w:eastAsia="宋体" w:cs="宋体"/>
          <w:sz w:val="24"/>
          <w:highlight w:val="none"/>
        </w:rPr>
        <w:t xml:space="preserve">                                日期：</w:t>
      </w:r>
    </w:p>
    <w:p>
      <w:pPr>
        <w:spacing w:line="360" w:lineRule="auto"/>
        <w:ind w:firstLine="643" w:firstLineChars="200"/>
        <w:jc w:val="left"/>
        <w:rPr>
          <w:rFonts w:hint="eastAsia" w:ascii="宋体" w:hAnsi="宋体" w:eastAsia="宋体" w:cs="宋体"/>
          <w:b/>
          <w:sz w:val="32"/>
          <w:szCs w:val="32"/>
          <w:highlight w:val="none"/>
        </w:rPr>
      </w:pPr>
    </w:p>
    <w:p>
      <w:pPr>
        <w:spacing w:line="360" w:lineRule="auto"/>
        <w:rPr>
          <w:rFonts w:hint="eastAsia" w:ascii="宋体" w:hAnsi="宋体" w:eastAsia="宋体" w:cs="宋体"/>
          <w:b/>
          <w:sz w:val="32"/>
          <w:szCs w:val="32"/>
          <w:highlight w:val="none"/>
        </w:rPr>
      </w:pPr>
    </w:p>
    <w:p>
      <w:pPr>
        <w:numPr>
          <w:ilvl w:val="0"/>
          <w:numId w:val="3"/>
        </w:num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r>
        <w:rPr>
          <w:rFonts w:hint="eastAsia" w:ascii="宋体" w:hAnsi="宋体" w:eastAsia="宋体" w:cs="宋体"/>
          <w:b/>
          <w:spacing w:val="6"/>
          <w:sz w:val="32"/>
          <w:szCs w:val="32"/>
          <w:highlight w:val="none"/>
        </w:rPr>
        <w:t>政府采购统计基础信息表</w:t>
      </w:r>
    </w:p>
    <w:p>
      <w:pPr>
        <w:pStyle w:val="2"/>
        <w:spacing w:line="360" w:lineRule="auto"/>
        <w:ind w:firstLine="0" w:firstLineChars="0"/>
        <w:rPr>
          <w:rFonts w:hint="eastAsia" w:ascii="宋体" w:hAnsi="宋体" w:eastAsia="宋体" w:cs="宋体"/>
          <w:highlight w:val="none"/>
        </w:rPr>
      </w:pPr>
    </w:p>
    <w:tbl>
      <w:tblPr>
        <w:tblStyle w:val="16"/>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投标单位名称</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r>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highlight w:val="none"/>
              </w:rPr>
            </w:pPr>
          </w:p>
        </w:tc>
      </w:tr>
    </w:tbl>
    <w:p>
      <w:pPr>
        <w:adjustRightInd w:val="0"/>
        <w:spacing w:line="360" w:lineRule="auto"/>
        <w:jc w:val="left"/>
        <w:rPr>
          <w:rFonts w:hint="eastAsia" w:ascii="宋体" w:hAnsi="宋体" w:eastAsia="宋体" w:cs="宋体"/>
          <w:sz w:val="24"/>
          <w:highlight w:val="none"/>
        </w:rPr>
      </w:pPr>
    </w:p>
    <w:p>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备注：请各投标人务必填写此表作为投标文件的组成部分。</w:t>
      </w:r>
    </w:p>
    <w:p>
      <w:pPr>
        <w:adjustRightInd w:val="0"/>
        <w:spacing w:line="360" w:lineRule="auto"/>
        <w:jc w:val="left"/>
        <w:rPr>
          <w:rFonts w:hint="eastAsia" w:ascii="宋体" w:hAnsi="宋体" w:eastAsia="宋体" w:cs="宋体"/>
          <w:sz w:val="24"/>
          <w:highlight w:val="none"/>
        </w:rPr>
      </w:pPr>
    </w:p>
    <w:p>
      <w:pPr>
        <w:adjustRightInd w:val="0"/>
        <w:spacing w:line="360" w:lineRule="auto"/>
        <w:jc w:val="left"/>
        <w:rPr>
          <w:rFonts w:hint="eastAsia" w:ascii="宋体" w:hAnsi="宋体" w:eastAsia="宋体" w:cs="宋体"/>
          <w:sz w:val="24"/>
          <w:highlight w:val="none"/>
        </w:rPr>
      </w:pPr>
    </w:p>
    <w:p>
      <w:pPr>
        <w:adjustRightInd w:val="0"/>
        <w:spacing w:line="360" w:lineRule="auto"/>
        <w:ind w:firstLine="2400" w:firstLineChars="1000"/>
        <w:jc w:val="left"/>
        <w:rPr>
          <w:rFonts w:hint="eastAsia" w:ascii="宋体" w:hAnsi="宋体" w:eastAsia="宋体" w:cs="宋体"/>
          <w:sz w:val="24"/>
          <w:highlight w:val="none"/>
        </w:rPr>
      </w:pPr>
      <w:r>
        <w:rPr>
          <w:rFonts w:hint="eastAsia" w:ascii="宋体" w:hAnsi="宋体" w:eastAsia="宋体" w:cs="宋体"/>
          <w:sz w:val="24"/>
          <w:highlight w:val="none"/>
        </w:rPr>
        <w:t>法定代表人或其授权委托人（签名或印章）：</w:t>
      </w:r>
    </w:p>
    <w:p>
      <w:pPr>
        <w:adjustRightInd w:val="0"/>
        <w:spacing w:line="360" w:lineRule="auto"/>
        <w:ind w:firstLine="2400" w:firstLineChars="1000"/>
        <w:jc w:val="left"/>
        <w:rPr>
          <w:rFonts w:hint="eastAsia" w:ascii="宋体" w:hAnsi="宋体" w:eastAsia="宋体" w:cs="宋体"/>
          <w:sz w:val="24"/>
          <w:highlight w:val="none"/>
        </w:rPr>
      </w:pPr>
      <w:r>
        <w:rPr>
          <w:rFonts w:hint="eastAsia" w:ascii="宋体" w:hAnsi="宋体" w:eastAsia="宋体" w:cs="宋体"/>
          <w:sz w:val="24"/>
          <w:highlight w:val="none"/>
        </w:rPr>
        <w:t>投标人（盖章）：</w:t>
      </w:r>
    </w:p>
    <w:p>
      <w:pPr>
        <w:rPr>
          <w:rFonts w:hint="eastAsia" w:ascii="宋体" w:hAnsi="宋体" w:eastAsia="宋体" w:cs="宋体"/>
          <w:highlight w:val="none"/>
        </w:rPr>
      </w:pPr>
      <w:r>
        <w:rPr>
          <w:rFonts w:hint="eastAsia" w:ascii="宋体" w:hAnsi="宋体" w:eastAsia="宋体" w:cs="宋体"/>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jczOGRiNTUyYzkwN2VhNDEwMTdjMjc3ZWJkYWUifQ=="/>
  </w:docVars>
  <w:rsids>
    <w:rsidRoot w:val="00982EB4"/>
    <w:rsid w:val="00016734"/>
    <w:rsid w:val="000331D4"/>
    <w:rsid w:val="00061CE1"/>
    <w:rsid w:val="00095D46"/>
    <w:rsid w:val="000E448A"/>
    <w:rsid w:val="000F198F"/>
    <w:rsid w:val="001553AB"/>
    <w:rsid w:val="001716B0"/>
    <w:rsid w:val="001B2FBB"/>
    <w:rsid w:val="001C1283"/>
    <w:rsid w:val="001F3EFC"/>
    <w:rsid w:val="00215736"/>
    <w:rsid w:val="00223803"/>
    <w:rsid w:val="0024092E"/>
    <w:rsid w:val="00257FDF"/>
    <w:rsid w:val="0027141A"/>
    <w:rsid w:val="002936BF"/>
    <w:rsid w:val="003549BF"/>
    <w:rsid w:val="003773A8"/>
    <w:rsid w:val="003874A0"/>
    <w:rsid w:val="00452882"/>
    <w:rsid w:val="004A3340"/>
    <w:rsid w:val="004C3E57"/>
    <w:rsid w:val="004E23EB"/>
    <w:rsid w:val="004E36CD"/>
    <w:rsid w:val="005047BD"/>
    <w:rsid w:val="00507B69"/>
    <w:rsid w:val="00545EB5"/>
    <w:rsid w:val="00550EE6"/>
    <w:rsid w:val="005537BE"/>
    <w:rsid w:val="00555D80"/>
    <w:rsid w:val="005657F7"/>
    <w:rsid w:val="005B0674"/>
    <w:rsid w:val="005B09B1"/>
    <w:rsid w:val="005D37FA"/>
    <w:rsid w:val="0065305C"/>
    <w:rsid w:val="0065579D"/>
    <w:rsid w:val="00673D9C"/>
    <w:rsid w:val="00686437"/>
    <w:rsid w:val="00693366"/>
    <w:rsid w:val="006A264B"/>
    <w:rsid w:val="006B593D"/>
    <w:rsid w:val="006D63C7"/>
    <w:rsid w:val="00706C27"/>
    <w:rsid w:val="00764A69"/>
    <w:rsid w:val="00773362"/>
    <w:rsid w:val="007E5A2D"/>
    <w:rsid w:val="008232A9"/>
    <w:rsid w:val="0083502E"/>
    <w:rsid w:val="00886BF0"/>
    <w:rsid w:val="008B0252"/>
    <w:rsid w:val="008C7259"/>
    <w:rsid w:val="008F739E"/>
    <w:rsid w:val="009024C2"/>
    <w:rsid w:val="00982EB4"/>
    <w:rsid w:val="00995301"/>
    <w:rsid w:val="009F5B94"/>
    <w:rsid w:val="00A23DA0"/>
    <w:rsid w:val="00B3449C"/>
    <w:rsid w:val="00B408F1"/>
    <w:rsid w:val="00BA7F9C"/>
    <w:rsid w:val="00BF605B"/>
    <w:rsid w:val="00C56A2B"/>
    <w:rsid w:val="00C73083"/>
    <w:rsid w:val="00C82E86"/>
    <w:rsid w:val="00CB17EC"/>
    <w:rsid w:val="00CF24DB"/>
    <w:rsid w:val="00D62310"/>
    <w:rsid w:val="00D75034"/>
    <w:rsid w:val="00D75BB4"/>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1563BEC"/>
    <w:rsid w:val="0169531C"/>
    <w:rsid w:val="050F7E95"/>
    <w:rsid w:val="054B2125"/>
    <w:rsid w:val="057B28D8"/>
    <w:rsid w:val="0E260417"/>
    <w:rsid w:val="10E020CB"/>
    <w:rsid w:val="18BB3040"/>
    <w:rsid w:val="195B4969"/>
    <w:rsid w:val="1C9C63BF"/>
    <w:rsid w:val="1D5B16DD"/>
    <w:rsid w:val="1F8C0F83"/>
    <w:rsid w:val="1F8F3E00"/>
    <w:rsid w:val="21FB14E5"/>
    <w:rsid w:val="23DD6B04"/>
    <w:rsid w:val="2D864432"/>
    <w:rsid w:val="2F470027"/>
    <w:rsid w:val="305277BA"/>
    <w:rsid w:val="30CE781C"/>
    <w:rsid w:val="34F25447"/>
    <w:rsid w:val="36994613"/>
    <w:rsid w:val="3F2B4EAA"/>
    <w:rsid w:val="42B9270F"/>
    <w:rsid w:val="42F848B2"/>
    <w:rsid w:val="43402962"/>
    <w:rsid w:val="43832E7F"/>
    <w:rsid w:val="45764495"/>
    <w:rsid w:val="45B9566E"/>
    <w:rsid w:val="47086121"/>
    <w:rsid w:val="4A923A95"/>
    <w:rsid w:val="4B9D6558"/>
    <w:rsid w:val="5008393F"/>
    <w:rsid w:val="5198622E"/>
    <w:rsid w:val="554259C4"/>
    <w:rsid w:val="56C2130C"/>
    <w:rsid w:val="57CF5D62"/>
    <w:rsid w:val="5BF11652"/>
    <w:rsid w:val="5D244D5C"/>
    <w:rsid w:val="60283083"/>
    <w:rsid w:val="65C31834"/>
    <w:rsid w:val="6AE07B4D"/>
    <w:rsid w:val="6E8843EE"/>
    <w:rsid w:val="6F2A2565"/>
    <w:rsid w:val="6F612D6A"/>
    <w:rsid w:val="6FD470B5"/>
    <w:rsid w:val="70CD208C"/>
    <w:rsid w:val="7E09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4"/>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eastAsia="仿宋_GB2312"/>
      <w:sz w:val="28"/>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28"/>
    <w:qFormat/>
    <w:uiPriority w:val="0"/>
    <w:pPr>
      <w:autoSpaceDE w:val="0"/>
      <w:autoSpaceDN w:val="0"/>
      <w:spacing w:line="360" w:lineRule="auto"/>
    </w:pPr>
    <w:rPr>
      <w:rFonts w:ascii="宋体" w:hAnsi="Arial" w:cs="Arial"/>
      <w:snapToGrid w:val="0"/>
      <w:sz w:val="24"/>
      <w:szCs w:val="21"/>
      <w:lang w:val="zh-CN"/>
    </w:rPr>
  </w:style>
  <w:style w:type="paragraph" w:styleId="8">
    <w:name w:val="Date"/>
    <w:basedOn w:val="1"/>
    <w:next w:val="1"/>
    <w:link w:val="26"/>
    <w:qFormat/>
    <w:uiPriority w:val="0"/>
    <w:pPr>
      <w:ind w:left="100" w:leftChars="2500"/>
    </w:pPr>
    <w:rPr>
      <w:rFonts w:ascii="宋体"/>
      <w:sz w:val="24"/>
      <w:szCs w:val="21"/>
      <w:lang w:val="zh-CN"/>
    </w:rPr>
  </w:style>
  <w:style w:type="paragraph" w:styleId="9">
    <w:name w:val="Body Text Indent"/>
    <w:basedOn w:val="1"/>
    <w:link w:val="25"/>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ind w:left="840" w:leftChars="400"/>
    </w:pPr>
    <w:rPr>
      <w:rFonts w:ascii="Times New Roman" w:hAnsi="Times New Roman"/>
    </w:rPr>
  </w:style>
  <w:style w:type="paragraph" w:styleId="11">
    <w:name w:val="Plain Text"/>
    <w:basedOn w:val="1"/>
    <w:link w:val="27"/>
    <w:qFormat/>
    <w:uiPriority w:val="0"/>
    <w:rPr>
      <w:rFonts w:ascii="宋体" w:hAnsi="Courier New" w:cs="Arial"/>
      <w:snapToGrid w:val="0"/>
      <w:szCs w:val="21"/>
    </w:rPr>
  </w:style>
  <w:style w:type="paragraph" w:styleId="12">
    <w:name w:val="Balloon Text"/>
    <w:basedOn w:val="1"/>
    <w:link w:val="41"/>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rFonts w:ascii="Times New Roman" w:hAnsi="Times New Roman"/>
      <w:sz w:val="16"/>
      <w:szCs w:val="16"/>
    </w:rPr>
  </w:style>
  <w:style w:type="table" w:styleId="17">
    <w:name w:val="Table Grid"/>
    <w:basedOn w:val="1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FollowedHyperlink"/>
    <w:basedOn w:val="18"/>
    <w:semiHidden/>
    <w:unhideWhenUsed/>
    <w:qFormat/>
    <w:uiPriority w:val="99"/>
    <w:rPr>
      <w:color w:val="800080"/>
      <w:u w:val="none"/>
    </w:rPr>
  </w:style>
  <w:style w:type="character" w:styleId="21">
    <w:name w:val="Hyperlink"/>
    <w:qFormat/>
    <w:uiPriority w:val="99"/>
    <w:rPr>
      <w:rFonts w:ascii="Arial" w:hAnsi="Arial" w:eastAsia="黑体" w:cs="Arial"/>
      <w:snapToGrid w:val="0"/>
      <w:color w:val="000000"/>
      <w:kern w:val="0"/>
      <w:sz w:val="18"/>
      <w:szCs w:val="18"/>
      <w:u w:val="none"/>
    </w:rPr>
  </w:style>
  <w:style w:type="character" w:customStyle="1" w:styleId="22">
    <w:name w:val="页眉 Char"/>
    <w:basedOn w:val="18"/>
    <w:link w:val="14"/>
    <w:qFormat/>
    <w:uiPriority w:val="99"/>
    <w:rPr>
      <w:sz w:val="18"/>
      <w:szCs w:val="18"/>
    </w:rPr>
  </w:style>
  <w:style w:type="character" w:customStyle="1" w:styleId="23">
    <w:name w:val="页脚 Char"/>
    <w:basedOn w:val="18"/>
    <w:link w:val="13"/>
    <w:qFormat/>
    <w:uiPriority w:val="99"/>
    <w:rPr>
      <w:sz w:val="18"/>
      <w:szCs w:val="18"/>
    </w:rPr>
  </w:style>
  <w:style w:type="character" w:customStyle="1" w:styleId="24">
    <w:name w:val="标题 2 Char"/>
    <w:basedOn w:val="18"/>
    <w:link w:val="3"/>
    <w:qFormat/>
    <w:uiPriority w:val="0"/>
    <w:rPr>
      <w:rFonts w:ascii="仿宋_GB2312" w:hAnsi="仿宋" w:eastAsia="仿宋_GB2312" w:cs="Times New Roman"/>
      <w:b/>
      <w:bCs/>
      <w:sz w:val="32"/>
      <w:szCs w:val="32"/>
      <w:lang w:val="zh-CN"/>
    </w:rPr>
  </w:style>
  <w:style w:type="character" w:customStyle="1" w:styleId="25">
    <w:name w:val="正文文本缩进 Char"/>
    <w:basedOn w:val="18"/>
    <w:link w:val="9"/>
    <w:qFormat/>
    <w:uiPriority w:val="0"/>
    <w:rPr>
      <w:rFonts w:ascii="宋体" w:hAnsi="宋体" w:eastAsia="宋体" w:cs="Times New Roman"/>
      <w:sz w:val="24"/>
      <w:szCs w:val="24"/>
    </w:rPr>
  </w:style>
  <w:style w:type="character" w:customStyle="1" w:styleId="26">
    <w:name w:val="日期 Char"/>
    <w:basedOn w:val="18"/>
    <w:link w:val="8"/>
    <w:qFormat/>
    <w:uiPriority w:val="0"/>
    <w:rPr>
      <w:rFonts w:ascii="宋体" w:hAnsi="Calibri" w:eastAsia="宋体" w:cs="Times New Roman"/>
      <w:sz w:val="24"/>
      <w:szCs w:val="21"/>
      <w:lang w:val="zh-CN"/>
    </w:rPr>
  </w:style>
  <w:style w:type="character" w:customStyle="1" w:styleId="27">
    <w:name w:val="纯文本 Char"/>
    <w:basedOn w:val="18"/>
    <w:link w:val="11"/>
    <w:qFormat/>
    <w:uiPriority w:val="0"/>
    <w:rPr>
      <w:rFonts w:ascii="宋体" w:hAnsi="Courier New" w:eastAsia="宋体" w:cs="Arial"/>
      <w:snapToGrid w:val="0"/>
      <w:szCs w:val="21"/>
    </w:rPr>
  </w:style>
  <w:style w:type="character" w:customStyle="1" w:styleId="28">
    <w:name w:val="正文文本 Char"/>
    <w:basedOn w:val="18"/>
    <w:link w:val="7"/>
    <w:qFormat/>
    <w:uiPriority w:val="0"/>
    <w:rPr>
      <w:rFonts w:ascii="宋体" w:hAnsi="Arial" w:eastAsia="宋体" w:cs="Arial"/>
      <w:snapToGrid w:val="0"/>
      <w:sz w:val="24"/>
      <w:szCs w:val="21"/>
      <w:lang w:val="zh-CN"/>
    </w:rPr>
  </w:style>
  <w:style w:type="paragraph" w:customStyle="1" w:styleId="29">
    <w:name w:val="索引 11"/>
    <w:basedOn w:val="1"/>
    <w:next w:val="1"/>
    <w:qFormat/>
    <w:uiPriority w:val="99"/>
    <w:pPr>
      <w:spacing w:line="360" w:lineRule="auto"/>
    </w:pPr>
    <w:rPr>
      <w:rFonts w:ascii="仿宋_GB2312" w:eastAsia="仿宋_GB2312"/>
      <w:sz w:val="24"/>
      <w:szCs w:val="20"/>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3">
    <w:name w:val="纯文本1"/>
    <w:basedOn w:val="1"/>
    <w:qFormat/>
    <w:uiPriority w:val="0"/>
    <w:rPr>
      <w:rFonts w:ascii="宋体" w:hAnsi="Courier New"/>
      <w:kern w:val="0"/>
      <w:sz w:val="20"/>
      <w:szCs w:val="20"/>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0_0"/>
    <w:basedOn w:val="34"/>
    <w:qFormat/>
    <w:uiPriority w:val="0"/>
    <w:rPr>
      <w:rFonts w:ascii="宋体" w:hAnsi="Courier New"/>
      <w:szCs w:val="21"/>
    </w:rPr>
  </w:style>
  <w:style w:type="paragraph" w:customStyle="1" w:styleId="36">
    <w:name w:val="正文2"/>
    <w:basedOn w:val="1"/>
    <w:qFormat/>
    <w:uiPriority w:val="0"/>
    <w:pPr>
      <w:spacing w:before="156" w:line="360" w:lineRule="auto"/>
      <w:ind w:firstLine="510" w:firstLineChars="200"/>
    </w:pPr>
    <w:rPr>
      <w:sz w:val="24"/>
      <w:szCs w:val="20"/>
    </w:rPr>
  </w:style>
  <w:style w:type="paragraph" w:customStyle="1" w:styleId="37">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38">
    <w:name w:val="标题 3 Char"/>
    <w:basedOn w:val="18"/>
    <w:link w:val="4"/>
    <w:semiHidden/>
    <w:qFormat/>
    <w:uiPriority w:val="9"/>
    <w:rPr>
      <w:rFonts w:ascii="Calibri" w:hAnsi="Calibri" w:eastAsia="宋体" w:cs="Times New Roman"/>
      <w:b/>
      <w:bCs/>
      <w:sz w:val="32"/>
      <w:szCs w:val="32"/>
    </w:rPr>
  </w:style>
  <w:style w:type="character" w:customStyle="1" w:styleId="39">
    <w:name w:val="标题 4 Char"/>
    <w:basedOn w:val="18"/>
    <w:link w:val="5"/>
    <w:semiHidden/>
    <w:qFormat/>
    <w:uiPriority w:val="9"/>
    <w:rPr>
      <w:rFonts w:asciiTheme="majorHAnsi" w:hAnsiTheme="majorHAnsi" w:eastAsiaTheme="majorEastAsia" w:cstheme="majorBidi"/>
      <w:b/>
      <w:bCs/>
      <w:sz w:val="28"/>
      <w:szCs w:val="28"/>
    </w:rPr>
  </w:style>
  <w:style w:type="paragraph" w:customStyle="1" w:styleId="40">
    <w:name w:val="标题4"/>
    <w:basedOn w:val="1"/>
    <w:qFormat/>
    <w:uiPriority w:val="0"/>
    <w:rPr>
      <w:rFonts w:ascii="Times New Roman" w:hAnsi="Times New Roman" w:eastAsia="仿宋_GB2312"/>
      <w:sz w:val="32"/>
      <w:szCs w:val="20"/>
    </w:rPr>
  </w:style>
  <w:style w:type="character" w:customStyle="1" w:styleId="41">
    <w:name w:val="批注框文本 Char"/>
    <w:basedOn w:val="18"/>
    <w:link w:val="12"/>
    <w:semiHidden/>
    <w:qFormat/>
    <w:uiPriority w:val="99"/>
    <w:rPr>
      <w:rFonts w:ascii="Calibri" w:hAnsi="Calibri" w:eastAsia="宋体" w:cs="Times New Roman"/>
      <w:sz w:val="18"/>
      <w:szCs w:val="18"/>
    </w:rPr>
  </w:style>
  <w:style w:type="character" w:customStyle="1" w:styleId="42">
    <w:name w:val="List Paragraph Char"/>
    <w:link w:val="43"/>
    <w:qFormat/>
    <w:locked/>
    <w:uiPriority w:val="0"/>
    <w:rPr>
      <w:rFonts w:ascii="Times New Roman" w:hAnsi="Times New Roman"/>
      <w:szCs w:val="24"/>
    </w:rPr>
  </w:style>
  <w:style w:type="paragraph" w:customStyle="1" w:styleId="43">
    <w:name w:val="列出段落1"/>
    <w:basedOn w:val="1"/>
    <w:link w:val="42"/>
    <w:qFormat/>
    <w:uiPriority w:val="0"/>
    <w:pPr>
      <w:ind w:firstLine="420" w:firstLineChars="200"/>
    </w:pPr>
    <w:rPr>
      <w:rFonts w:ascii="Times New Roman" w:hAnsi="Times New Roman" w:eastAsiaTheme="minorEastAsia" w:cstheme="minorBidi"/>
    </w:rPr>
  </w:style>
  <w:style w:type="character" w:customStyle="1" w:styleId="44">
    <w:name w:val="textcolor1"/>
    <w:basedOn w:val="18"/>
    <w:qFormat/>
    <w:uiPriority w:val="0"/>
    <w:rPr>
      <w:color w:val="FF66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69</Pages>
  <Words>29787</Words>
  <Characters>32157</Characters>
  <Lines>222</Lines>
  <Paragraphs>62</Paragraphs>
  <TotalTime>22</TotalTime>
  <ScaleCrop>false</ScaleCrop>
  <LinksUpToDate>false</LinksUpToDate>
  <CharactersWithSpaces>34456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毛春叶</cp:lastModifiedBy>
  <cp:lastPrinted>2022-06-07T07:59:00Z</cp:lastPrinted>
  <dcterms:modified xsi:type="dcterms:W3CDTF">2022-06-14T07:36:09Z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8CB10CF050EC4728A7333FF108FEF049</vt:lpwstr>
  </property>
</Properties>
</file>