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ascii="宋体" w:hAnsi="宋体"/>
          <w:b/>
          <w:color w:val="auto"/>
          <w:sz w:val="52"/>
          <w:szCs w:val="52"/>
          <w:highlight w:val="none"/>
        </w:rPr>
      </w:pPr>
      <w:bookmarkStart w:id="37" w:name="_GoBack"/>
      <w:bookmarkEnd w:id="37"/>
    </w:p>
    <w:p>
      <w:pPr>
        <w:autoSpaceDE w:val="0"/>
        <w:autoSpaceDN w:val="0"/>
        <w:spacing w:line="360" w:lineRule="auto"/>
        <w:jc w:val="center"/>
        <w:textAlignment w:val="bottom"/>
        <w:outlineLvl w:val="0"/>
        <w:rPr>
          <w:rFonts w:ascii="宋体" w:hAnsi="宋体"/>
          <w:b/>
          <w:color w:val="auto"/>
          <w:sz w:val="84"/>
          <w:highlight w:val="none"/>
        </w:rPr>
      </w:pPr>
    </w:p>
    <w:p>
      <w:pPr>
        <w:autoSpaceDE w:val="0"/>
        <w:autoSpaceDN w:val="0"/>
        <w:spacing w:after="312" w:afterLines="100" w:line="360" w:lineRule="auto"/>
        <w:jc w:val="center"/>
        <w:textAlignment w:val="bottom"/>
        <w:outlineLvl w:val="0"/>
        <w:rPr>
          <w:rFonts w:ascii="宋体" w:hAnsi="宋体"/>
          <w:b/>
          <w:color w:val="auto"/>
          <w:sz w:val="84"/>
          <w:szCs w:val="84"/>
          <w:highlight w:val="none"/>
        </w:rPr>
      </w:pPr>
      <w:bookmarkStart w:id="0" w:name="_Toc65753660"/>
      <w:bookmarkStart w:id="1" w:name="_Toc65510675"/>
      <w:r>
        <w:rPr>
          <w:rFonts w:hint="eastAsia" w:ascii="宋体" w:hAnsi="宋体"/>
          <w:b/>
          <w:color w:val="auto"/>
          <w:sz w:val="84"/>
          <w:szCs w:val="84"/>
          <w:highlight w:val="none"/>
        </w:rPr>
        <w:t>政府采购</w:t>
      </w:r>
      <w:bookmarkEnd w:id="0"/>
      <w:bookmarkEnd w:id="1"/>
    </w:p>
    <w:p>
      <w:pPr>
        <w:autoSpaceDE w:val="0"/>
        <w:autoSpaceDN w:val="0"/>
        <w:spacing w:after="312" w:afterLines="100" w:line="360" w:lineRule="auto"/>
        <w:jc w:val="center"/>
        <w:textAlignment w:val="bottom"/>
        <w:outlineLvl w:val="0"/>
        <w:rPr>
          <w:rFonts w:ascii="宋体" w:hAnsi="宋体"/>
          <w:b/>
          <w:color w:val="auto"/>
          <w:sz w:val="84"/>
          <w:szCs w:val="84"/>
          <w:highlight w:val="none"/>
        </w:rPr>
      </w:pPr>
      <w:bookmarkStart w:id="2" w:name="_Toc65753661"/>
      <w:bookmarkStart w:id="3" w:name="_Toc65510676"/>
      <w:r>
        <w:rPr>
          <w:rFonts w:hint="eastAsia" w:ascii="宋体" w:hAnsi="宋体"/>
          <w:b/>
          <w:color w:val="auto"/>
          <w:sz w:val="84"/>
          <w:szCs w:val="84"/>
          <w:highlight w:val="none"/>
        </w:rPr>
        <w:t>国内公开招标文件</w:t>
      </w:r>
      <w:bookmarkEnd w:id="2"/>
      <w:bookmarkEnd w:id="3"/>
    </w:p>
    <w:p>
      <w:pPr>
        <w:autoSpaceDE w:val="0"/>
        <w:autoSpaceDN w:val="0"/>
        <w:spacing w:line="360" w:lineRule="auto"/>
        <w:jc w:val="center"/>
        <w:textAlignment w:val="bottom"/>
        <w:outlineLvl w:val="0"/>
        <w:rPr>
          <w:rFonts w:ascii="宋体" w:hAnsi="宋体"/>
          <w:b/>
          <w:bCs/>
          <w:color w:val="auto"/>
          <w:sz w:val="32"/>
          <w:szCs w:val="32"/>
          <w:highlight w:val="none"/>
        </w:rPr>
      </w:pPr>
    </w:p>
    <w:p>
      <w:pPr>
        <w:autoSpaceDE w:val="0"/>
        <w:autoSpaceDN w:val="0"/>
        <w:spacing w:line="360" w:lineRule="auto"/>
        <w:jc w:val="center"/>
        <w:textAlignment w:val="bottom"/>
        <w:outlineLvl w:val="0"/>
        <w:rPr>
          <w:rFonts w:ascii="宋体" w:hAnsi="宋体"/>
          <w:b/>
          <w:bCs/>
          <w:color w:val="auto"/>
          <w:sz w:val="32"/>
          <w:szCs w:val="32"/>
          <w:highlight w:val="none"/>
        </w:rPr>
      </w:pPr>
    </w:p>
    <w:p>
      <w:pPr>
        <w:autoSpaceDE w:val="0"/>
        <w:autoSpaceDN w:val="0"/>
        <w:spacing w:line="360" w:lineRule="auto"/>
        <w:jc w:val="center"/>
        <w:textAlignment w:val="bottom"/>
        <w:outlineLvl w:val="0"/>
        <w:rPr>
          <w:rFonts w:ascii="宋体" w:hAnsi="宋体"/>
          <w:b/>
          <w:bCs/>
          <w:color w:val="auto"/>
          <w:sz w:val="32"/>
          <w:szCs w:val="32"/>
          <w:highlight w:val="none"/>
        </w:rPr>
      </w:pPr>
    </w:p>
    <w:p>
      <w:pPr>
        <w:autoSpaceDE w:val="0"/>
        <w:autoSpaceDN w:val="0"/>
        <w:spacing w:line="360" w:lineRule="auto"/>
        <w:jc w:val="center"/>
        <w:textAlignment w:val="bottom"/>
        <w:outlineLvl w:val="0"/>
        <w:rPr>
          <w:rFonts w:ascii="宋体" w:hAnsi="宋体"/>
          <w:b/>
          <w:bCs/>
          <w:color w:val="auto"/>
          <w:sz w:val="32"/>
          <w:szCs w:val="32"/>
          <w:highlight w:val="none"/>
        </w:rPr>
      </w:pPr>
    </w:p>
    <w:p>
      <w:pPr>
        <w:autoSpaceDE w:val="0"/>
        <w:autoSpaceDN w:val="0"/>
        <w:spacing w:after="312" w:afterLines="100" w:line="480" w:lineRule="auto"/>
        <w:textAlignment w:val="bottom"/>
        <w:outlineLvl w:val="0"/>
        <w:rPr>
          <w:rFonts w:ascii="宋体" w:hAnsi="宋体"/>
          <w:b/>
          <w:bCs/>
          <w:color w:val="auto"/>
          <w:sz w:val="32"/>
          <w:szCs w:val="32"/>
          <w:highlight w:val="none"/>
          <w:u w:val="single"/>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w:t>
      </w:r>
    </w:p>
    <w:p>
      <w:pPr>
        <w:autoSpaceDE w:val="0"/>
        <w:autoSpaceDN w:val="0"/>
        <w:spacing w:line="360" w:lineRule="auto"/>
        <w:jc w:val="left"/>
        <w:textAlignment w:val="bottom"/>
        <w:rPr>
          <w:rFonts w:ascii="宋体" w:hAnsi="宋体"/>
          <w:b/>
          <w:bCs/>
          <w:color w:val="auto"/>
          <w:sz w:val="32"/>
          <w:szCs w:val="32"/>
          <w:highlight w:val="none"/>
        </w:rPr>
      </w:pPr>
      <w:r>
        <w:rPr>
          <w:rFonts w:hint="eastAsia" w:ascii="宋体" w:hAnsi="宋体"/>
          <w:b/>
          <w:bCs/>
          <w:color w:val="auto"/>
          <w:sz w:val="32"/>
          <w:szCs w:val="32"/>
          <w:highlight w:val="none"/>
        </w:rPr>
        <w:t xml:space="preserve">     项目编号：TC【2022】CG1057号</w:t>
      </w:r>
    </w:p>
    <w:p>
      <w:pPr>
        <w:autoSpaceDE w:val="0"/>
        <w:autoSpaceDN w:val="0"/>
        <w:spacing w:line="360" w:lineRule="auto"/>
        <w:ind w:left="2249" w:hanging="2249" w:hangingChars="700"/>
        <w:jc w:val="left"/>
        <w:textAlignment w:val="bottom"/>
        <w:rPr>
          <w:rFonts w:hint="eastAsia" w:ascii="宋体" w:hAnsi="宋体"/>
          <w:b/>
          <w:bCs/>
          <w:color w:val="auto"/>
          <w:spacing w:val="-6"/>
          <w:sz w:val="32"/>
          <w:szCs w:val="32"/>
          <w:highlight w:val="none"/>
        </w:rPr>
      </w:pPr>
      <w:r>
        <w:rPr>
          <w:rFonts w:hint="eastAsia" w:ascii="宋体" w:hAnsi="宋体"/>
          <w:b/>
          <w:bCs/>
          <w:color w:val="auto"/>
          <w:sz w:val="32"/>
          <w:szCs w:val="32"/>
          <w:highlight w:val="none"/>
        </w:rPr>
        <w:t xml:space="preserve">     </w:t>
      </w:r>
      <w:r>
        <w:rPr>
          <w:rFonts w:hint="eastAsia" w:ascii="宋体" w:hAnsi="宋体"/>
          <w:b/>
          <w:bCs/>
          <w:color w:val="auto"/>
          <w:spacing w:val="-6"/>
          <w:sz w:val="32"/>
          <w:szCs w:val="32"/>
          <w:highlight w:val="none"/>
        </w:rPr>
        <w:t>项目名称：</w:t>
      </w:r>
      <w:r>
        <w:rPr>
          <w:rFonts w:hint="eastAsia" w:ascii="宋体" w:hAnsi="宋体"/>
          <w:b/>
          <w:bCs/>
          <w:color w:val="auto"/>
          <w:spacing w:val="-6"/>
          <w:w w:val="95"/>
          <w:sz w:val="32"/>
          <w:szCs w:val="32"/>
          <w:highlight w:val="none"/>
        </w:rPr>
        <w:t>淮河小学东校区新建工程智能化采购项目</w:t>
      </w:r>
    </w:p>
    <w:p>
      <w:pPr>
        <w:autoSpaceDE w:val="0"/>
        <w:autoSpaceDN w:val="0"/>
        <w:spacing w:line="360" w:lineRule="auto"/>
        <w:jc w:val="left"/>
        <w:textAlignment w:val="bottom"/>
        <w:rPr>
          <w:rFonts w:ascii="宋体" w:hAnsi="宋体"/>
          <w:b/>
          <w:bCs/>
          <w:color w:val="auto"/>
          <w:sz w:val="32"/>
          <w:szCs w:val="32"/>
          <w:highlight w:val="none"/>
        </w:rPr>
      </w:pPr>
      <w:r>
        <w:rPr>
          <w:rFonts w:hint="eastAsia" w:ascii="宋体" w:hAnsi="宋体"/>
          <w:b/>
          <w:bCs/>
          <w:color w:val="auto"/>
          <w:sz w:val="32"/>
          <w:szCs w:val="32"/>
          <w:highlight w:val="none"/>
        </w:rPr>
        <w:t xml:space="preserve">     采 购 人：</w:t>
      </w:r>
      <w:bookmarkStart w:id="4" w:name="OLE_LINK5"/>
      <w:bookmarkStart w:id="5" w:name="OLE_LINK4"/>
      <w:r>
        <w:rPr>
          <w:rFonts w:hint="eastAsia" w:ascii="宋体" w:hAnsi="宋体"/>
          <w:b/>
          <w:bCs/>
          <w:color w:val="auto"/>
          <w:sz w:val="32"/>
          <w:szCs w:val="32"/>
          <w:highlight w:val="none"/>
        </w:rPr>
        <w:t>宁波市北仑区公共项目建设管理中心</w:t>
      </w:r>
      <w:bookmarkEnd w:id="4"/>
      <w:bookmarkEnd w:id="5"/>
    </w:p>
    <w:p>
      <w:pPr>
        <w:autoSpaceDE w:val="0"/>
        <w:autoSpaceDN w:val="0"/>
        <w:spacing w:line="360" w:lineRule="auto"/>
        <w:jc w:val="left"/>
        <w:textAlignment w:val="bottom"/>
        <w:rPr>
          <w:rFonts w:hint="eastAsia" w:ascii="宋体" w:hAnsi="宋体"/>
          <w:b/>
          <w:bCs/>
          <w:color w:val="auto"/>
          <w:sz w:val="32"/>
          <w:szCs w:val="32"/>
          <w:highlight w:val="none"/>
        </w:rPr>
      </w:pPr>
      <w:r>
        <w:rPr>
          <w:rFonts w:hint="eastAsia" w:ascii="宋体" w:hAnsi="宋体"/>
          <w:b/>
          <w:bCs/>
          <w:color w:val="auto"/>
          <w:sz w:val="32"/>
          <w:szCs w:val="32"/>
          <w:highlight w:val="none"/>
        </w:rPr>
        <w:t xml:space="preserve">     采购机构：浙江天诚工程咨询有限公司</w:t>
      </w:r>
    </w:p>
    <w:p>
      <w:pPr>
        <w:autoSpaceDE w:val="0"/>
        <w:autoSpaceDN w:val="0"/>
        <w:spacing w:line="360" w:lineRule="auto"/>
        <w:jc w:val="center"/>
        <w:textAlignment w:val="bottom"/>
        <w:rPr>
          <w:rFonts w:ascii="宋体" w:hAnsi="宋体"/>
          <w:b/>
          <w:color w:val="auto"/>
          <w:sz w:val="36"/>
          <w:highlight w:val="none"/>
        </w:rPr>
      </w:pPr>
    </w:p>
    <w:p>
      <w:pPr>
        <w:autoSpaceDE w:val="0"/>
        <w:autoSpaceDN w:val="0"/>
        <w:spacing w:line="360" w:lineRule="auto"/>
        <w:jc w:val="center"/>
        <w:textAlignment w:val="bottom"/>
        <w:rPr>
          <w:rFonts w:ascii="宋体" w:hAnsi="宋体"/>
          <w:b/>
          <w:color w:val="auto"/>
          <w:sz w:val="36"/>
          <w:highlight w:val="none"/>
        </w:rPr>
      </w:pPr>
    </w:p>
    <w:p>
      <w:pPr>
        <w:autoSpaceDE w:val="0"/>
        <w:autoSpaceDN w:val="0"/>
        <w:spacing w:line="360" w:lineRule="auto"/>
        <w:jc w:val="center"/>
        <w:textAlignment w:val="bottom"/>
        <w:outlineLvl w:val="0"/>
        <w:rPr>
          <w:rFonts w:ascii="宋体" w:hAnsi="宋体"/>
          <w:b/>
          <w:bCs/>
          <w:color w:val="auto"/>
          <w:sz w:val="36"/>
          <w:highlight w:val="none"/>
        </w:rPr>
      </w:pPr>
      <w:bookmarkStart w:id="6" w:name="_Toc65753662"/>
      <w:bookmarkStart w:id="7" w:name="_Toc65510677"/>
      <w:r>
        <w:rPr>
          <w:rFonts w:hint="eastAsia" w:ascii="宋体" w:hAnsi="宋体"/>
          <w:b/>
          <w:bCs/>
          <w:color w:val="auto"/>
          <w:sz w:val="36"/>
          <w:highlight w:val="none"/>
        </w:rPr>
        <w:t>二〇二二年</w:t>
      </w:r>
      <w:r>
        <w:rPr>
          <w:rFonts w:hint="eastAsia" w:ascii="宋体" w:hAnsi="宋体"/>
          <w:b/>
          <w:bCs/>
          <w:color w:val="auto"/>
          <w:sz w:val="36"/>
          <w:highlight w:val="none"/>
          <w:lang w:val="en-US" w:eastAsia="zh-CN"/>
        </w:rPr>
        <w:t>八</w:t>
      </w:r>
      <w:r>
        <w:rPr>
          <w:rFonts w:hint="eastAsia" w:ascii="宋体" w:hAnsi="宋体"/>
          <w:b/>
          <w:bCs/>
          <w:color w:val="auto"/>
          <w:sz w:val="36"/>
          <w:highlight w:val="none"/>
        </w:rPr>
        <w:t>月</w:t>
      </w:r>
      <w:bookmarkEnd w:id="6"/>
      <w:bookmarkEnd w:id="7"/>
    </w:p>
    <w:p>
      <w:pPr>
        <w:rPr>
          <w:rFonts w:ascii="宋体" w:hAnsi="宋体"/>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27" w:right="1179" w:bottom="1213" w:left="1179" w:header="851" w:footer="850" w:gutter="0"/>
          <w:cols w:space="720"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宋体" w:hAnsi="宋体"/>
          <w:color w:val="auto"/>
          <w:sz w:val="44"/>
          <w:highlight w:val="none"/>
        </w:rPr>
      </w:pPr>
      <w:r>
        <w:rPr>
          <w:rFonts w:hint="eastAsia" w:ascii="宋体" w:hAnsi="宋体"/>
          <w:color w:val="auto"/>
          <w:sz w:val="44"/>
          <w:highlight w:val="none"/>
        </w:rPr>
        <w:t>目   录</w:t>
      </w:r>
    </w:p>
    <w:p>
      <w:pPr>
        <w:pStyle w:val="11"/>
        <w:tabs>
          <w:tab w:val="right" w:leader="dot" w:pos="8834"/>
        </w:tabs>
        <w:rPr>
          <w:rFonts w:ascii="宋体" w:hAnsi="宋体"/>
          <w:color w:val="auto"/>
          <w:sz w:val="28"/>
          <w:szCs w:val="28"/>
          <w:highlight w:val="none"/>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TOC \o "1-3" \h \z \u </w:instrText>
      </w:r>
      <w:r>
        <w:rPr>
          <w:rFonts w:ascii="宋体" w:hAnsi="宋体"/>
          <w:color w:val="auto"/>
          <w:sz w:val="28"/>
          <w:szCs w:val="28"/>
          <w:highlight w:val="none"/>
        </w:rPr>
        <w:fldChar w:fldCharType="separate"/>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"_Toc65753663" </w:instrText>
      </w:r>
      <w:r>
        <w:rPr>
          <w:color w:val="auto"/>
          <w:highlight w:val="none"/>
        </w:rPr>
        <w:fldChar w:fldCharType="separate"/>
      </w:r>
      <w:r>
        <w:rPr>
          <w:rStyle w:val="17"/>
          <w:rFonts w:hint="eastAsia" w:ascii="宋体" w:hAnsi="宋体"/>
          <w:color w:val="auto"/>
          <w:sz w:val="28"/>
          <w:szCs w:val="28"/>
          <w:highlight w:val="none"/>
        </w:rPr>
        <w:t>第一部分</w:t>
      </w:r>
      <w:r>
        <w:rPr>
          <w:rStyle w:val="17"/>
          <w:rFonts w:ascii="宋体" w:hAnsi="宋体"/>
          <w:color w:val="auto"/>
          <w:sz w:val="28"/>
          <w:szCs w:val="28"/>
          <w:highlight w:val="none"/>
        </w:rPr>
        <w:t xml:space="preserve">  </w:t>
      </w:r>
      <w:r>
        <w:rPr>
          <w:rStyle w:val="17"/>
          <w:rFonts w:hint="eastAsia" w:ascii="宋体" w:hAnsi="宋体"/>
          <w:color w:val="auto"/>
          <w:sz w:val="28"/>
          <w:szCs w:val="28"/>
          <w:highlight w:val="none"/>
        </w:rPr>
        <w:t>招标公告</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_Toc65753663 \h </w:instrText>
      </w:r>
      <w:r>
        <w:rPr>
          <w:rFonts w:ascii="宋体" w:hAnsi="宋体"/>
          <w:color w:val="auto"/>
          <w:sz w:val="28"/>
          <w:szCs w:val="28"/>
          <w:highlight w:val="none"/>
        </w:rPr>
        <w:fldChar w:fldCharType="separate"/>
      </w:r>
      <w:r>
        <w:rPr>
          <w:rFonts w:ascii="宋体" w:hAnsi="宋体"/>
          <w:color w:val="auto"/>
          <w:sz w:val="28"/>
          <w:szCs w:val="28"/>
          <w:highlight w:val="none"/>
        </w:rPr>
        <w:t>2</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"_Toc65753664" </w:instrText>
      </w:r>
      <w:r>
        <w:rPr>
          <w:color w:val="auto"/>
          <w:highlight w:val="none"/>
        </w:rPr>
        <w:fldChar w:fldCharType="separate"/>
      </w:r>
      <w:r>
        <w:rPr>
          <w:rStyle w:val="17"/>
          <w:rFonts w:hint="eastAsia" w:ascii="宋体" w:hAnsi="宋体"/>
          <w:color w:val="auto"/>
          <w:sz w:val="28"/>
          <w:szCs w:val="28"/>
          <w:highlight w:val="none"/>
        </w:rPr>
        <w:t>第二部分</w:t>
      </w:r>
      <w:r>
        <w:rPr>
          <w:rStyle w:val="17"/>
          <w:rFonts w:ascii="宋体" w:hAnsi="宋体"/>
          <w:color w:val="auto"/>
          <w:sz w:val="28"/>
          <w:szCs w:val="28"/>
          <w:highlight w:val="none"/>
        </w:rPr>
        <w:t xml:space="preserve">  </w:t>
      </w:r>
      <w:r>
        <w:rPr>
          <w:rStyle w:val="17"/>
          <w:rFonts w:hint="eastAsia" w:ascii="宋体" w:hAnsi="宋体"/>
          <w:color w:val="auto"/>
          <w:sz w:val="28"/>
          <w:szCs w:val="28"/>
          <w:highlight w:val="none"/>
        </w:rPr>
        <w:t>投标人须知及前附表</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_Toc65753664 \h </w:instrText>
      </w:r>
      <w:r>
        <w:rPr>
          <w:rFonts w:ascii="宋体" w:hAnsi="宋体"/>
          <w:color w:val="auto"/>
          <w:sz w:val="28"/>
          <w:szCs w:val="28"/>
          <w:highlight w:val="none"/>
        </w:rPr>
        <w:fldChar w:fldCharType="separate"/>
      </w:r>
      <w:r>
        <w:rPr>
          <w:rFonts w:ascii="宋体" w:hAnsi="宋体"/>
          <w:color w:val="auto"/>
          <w:sz w:val="28"/>
          <w:szCs w:val="28"/>
          <w:highlight w:val="none"/>
        </w:rPr>
        <w:t>6</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"_Toc65753668" </w:instrText>
      </w:r>
      <w:r>
        <w:rPr>
          <w:color w:val="auto"/>
          <w:highlight w:val="none"/>
        </w:rPr>
        <w:fldChar w:fldCharType="separate"/>
      </w:r>
      <w:r>
        <w:rPr>
          <w:rStyle w:val="17"/>
          <w:rFonts w:hint="eastAsia" w:ascii="宋体" w:hAnsi="宋体"/>
          <w:color w:val="auto"/>
          <w:sz w:val="28"/>
          <w:szCs w:val="28"/>
          <w:highlight w:val="none"/>
        </w:rPr>
        <w:t>第三部分</w:t>
      </w:r>
      <w:r>
        <w:rPr>
          <w:rStyle w:val="17"/>
          <w:rFonts w:ascii="宋体" w:hAnsi="宋体"/>
          <w:color w:val="auto"/>
          <w:sz w:val="28"/>
          <w:szCs w:val="28"/>
          <w:highlight w:val="none"/>
        </w:rPr>
        <w:t xml:space="preserve">  </w:t>
      </w:r>
      <w:r>
        <w:rPr>
          <w:rStyle w:val="17"/>
          <w:rFonts w:hint="eastAsia" w:ascii="宋体" w:hAnsi="宋体"/>
          <w:color w:val="auto"/>
          <w:sz w:val="28"/>
          <w:szCs w:val="28"/>
          <w:highlight w:val="none"/>
        </w:rPr>
        <w:t>项目内容及要求</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_Toc65753668 \h </w:instrText>
      </w:r>
      <w:r>
        <w:rPr>
          <w:rFonts w:ascii="宋体" w:hAnsi="宋体"/>
          <w:color w:val="auto"/>
          <w:sz w:val="28"/>
          <w:szCs w:val="28"/>
          <w:highlight w:val="none"/>
        </w:rPr>
        <w:fldChar w:fldCharType="separate"/>
      </w:r>
      <w:r>
        <w:rPr>
          <w:rFonts w:ascii="宋体" w:hAnsi="宋体"/>
          <w:color w:val="auto"/>
          <w:sz w:val="28"/>
          <w:szCs w:val="28"/>
          <w:highlight w:val="none"/>
        </w:rPr>
        <w:t>19</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"_Toc65753669" </w:instrText>
      </w:r>
      <w:r>
        <w:rPr>
          <w:color w:val="auto"/>
          <w:highlight w:val="none"/>
        </w:rPr>
        <w:fldChar w:fldCharType="separate"/>
      </w:r>
      <w:r>
        <w:rPr>
          <w:rStyle w:val="17"/>
          <w:rFonts w:hint="eastAsia" w:ascii="宋体" w:hAnsi="宋体"/>
          <w:color w:val="auto"/>
          <w:sz w:val="28"/>
          <w:szCs w:val="28"/>
          <w:highlight w:val="none"/>
        </w:rPr>
        <w:t>第四部分</w:t>
      </w:r>
      <w:r>
        <w:rPr>
          <w:rStyle w:val="17"/>
          <w:rFonts w:ascii="宋体" w:hAnsi="宋体"/>
          <w:color w:val="auto"/>
          <w:sz w:val="28"/>
          <w:szCs w:val="28"/>
          <w:highlight w:val="none"/>
        </w:rPr>
        <w:t xml:space="preserve">  </w:t>
      </w:r>
      <w:r>
        <w:rPr>
          <w:rStyle w:val="17"/>
          <w:rFonts w:hint="eastAsia" w:ascii="宋体" w:hAnsi="宋体"/>
          <w:color w:val="auto"/>
          <w:sz w:val="28"/>
          <w:szCs w:val="28"/>
          <w:highlight w:val="none"/>
        </w:rPr>
        <w:t>评标办法及评分标准</w:t>
      </w:r>
      <w:bookmarkStart w:id="8" w:name="_Hlt65855291"/>
      <w:bookmarkStart w:id="9" w:name="_Hlt65855292"/>
      <w:bookmarkStart w:id="10" w:name="_Hlt67057350"/>
      <w:r>
        <w:rPr>
          <w:rFonts w:ascii="宋体" w:hAnsi="宋体"/>
          <w:color w:val="auto"/>
          <w:sz w:val="28"/>
          <w:szCs w:val="28"/>
          <w:highlight w:val="none"/>
        </w:rPr>
        <w:tab/>
      </w:r>
      <w:bookmarkEnd w:id="8"/>
      <w:bookmarkEnd w:id="9"/>
      <w:bookmarkEnd w:id="10"/>
      <w:r>
        <w:rPr>
          <w:rFonts w:ascii="宋体" w:hAnsi="宋体"/>
          <w:color w:val="auto"/>
          <w:sz w:val="28"/>
          <w:szCs w:val="28"/>
          <w:highlight w:val="none"/>
        </w:rPr>
        <w:fldChar w:fldCharType="end"/>
      </w:r>
      <w:r>
        <w:rPr>
          <w:rFonts w:hint="eastAsia" w:ascii="宋体" w:hAnsi="宋体"/>
          <w:color w:val="auto"/>
          <w:sz w:val="28"/>
          <w:szCs w:val="28"/>
          <w:highlight w:val="none"/>
        </w:rPr>
        <w:t>116</w:t>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"_Toc65753670" </w:instrText>
      </w:r>
      <w:r>
        <w:rPr>
          <w:color w:val="auto"/>
          <w:highlight w:val="none"/>
        </w:rPr>
        <w:fldChar w:fldCharType="separate"/>
      </w:r>
      <w:r>
        <w:rPr>
          <w:rStyle w:val="17"/>
          <w:rFonts w:hint="eastAsia" w:ascii="宋体" w:hAnsi="宋体"/>
          <w:color w:val="auto"/>
          <w:sz w:val="28"/>
          <w:szCs w:val="28"/>
          <w:highlight w:val="none"/>
        </w:rPr>
        <w:t>第五部分</w:t>
      </w:r>
      <w:r>
        <w:rPr>
          <w:rStyle w:val="17"/>
          <w:rFonts w:ascii="宋体" w:hAnsi="宋体"/>
          <w:color w:val="auto"/>
          <w:sz w:val="28"/>
          <w:szCs w:val="28"/>
          <w:highlight w:val="none"/>
        </w:rPr>
        <w:t xml:space="preserve">  </w:t>
      </w:r>
      <w:r>
        <w:rPr>
          <w:rStyle w:val="17"/>
          <w:rFonts w:hint="eastAsia" w:ascii="宋体" w:hAnsi="宋体"/>
          <w:color w:val="auto"/>
          <w:sz w:val="28"/>
          <w:szCs w:val="28"/>
          <w:highlight w:val="none"/>
        </w:rPr>
        <w:t>合同主要条款及格式</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_Toc65753670 \h </w:instrText>
      </w:r>
      <w:r>
        <w:rPr>
          <w:rFonts w:ascii="宋体" w:hAnsi="宋体"/>
          <w:color w:val="auto"/>
          <w:sz w:val="28"/>
          <w:szCs w:val="28"/>
          <w:highlight w:val="none"/>
        </w:rPr>
        <w:fldChar w:fldCharType="separate"/>
      </w:r>
      <w:r>
        <w:rPr>
          <w:rFonts w:ascii="宋体" w:hAnsi="宋体"/>
          <w:color w:val="auto"/>
          <w:sz w:val="28"/>
          <w:szCs w:val="28"/>
          <w:highlight w:val="none"/>
        </w:rPr>
        <w:t>146</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11"/>
        <w:tabs>
          <w:tab w:val="right" w:leader="dot" w:pos="8834"/>
        </w:tabs>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"_Toc65753671" </w:instrText>
      </w:r>
      <w:r>
        <w:rPr>
          <w:color w:val="auto"/>
          <w:highlight w:val="none"/>
        </w:rPr>
        <w:fldChar w:fldCharType="separate"/>
      </w:r>
      <w:r>
        <w:rPr>
          <w:rStyle w:val="17"/>
          <w:rFonts w:hint="eastAsia" w:ascii="宋体" w:hAnsi="宋体"/>
          <w:color w:val="auto"/>
          <w:sz w:val="28"/>
          <w:szCs w:val="28"/>
          <w:highlight w:val="none"/>
        </w:rPr>
        <w:t>第六部分</w:t>
      </w:r>
      <w:r>
        <w:rPr>
          <w:rStyle w:val="17"/>
          <w:rFonts w:ascii="宋体" w:hAnsi="宋体"/>
          <w:color w:val="auto"/>
          <w:sz w:val="28"/>
          <w:szCs w:val="28"/>
          <w:highlight w:val="none"/>
        </w:rPr>
        <w:t xml:space="preserve">  </w:t>
      </w:r>
      <w:r>
        <w:rPr>
          <w:rStyle w:val="17"/>
          <w:rFonts w:hint="eastAsia" w:ascii="宋体" w:hAnsi="宋体"/>
          <w:color w:val="auto"/>
          <w:sz w:val="28"/>
          <w:szCs w:val="28"/>
          <w:highlight w:val="none"/>
        </w:rPr>
        <w:t>投标文件格式</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_Toc65753671 \h </w:instrText>
      </w:r>
      <w:r>
        <w:rPr>
          <w:rFonts w:ascii="宋体" w:hAnsi="宋体"/>
          <w:color w:val="auto"/>
          <w:sz w:val="28"/>
          <w:szCs w:val="28"/>
          <w:highlight w:val="none"/>
        </w:rPr>
        <w:fldChar w:fldCharType="separate"/>
      </w:r>
      <w:r>
        <w:rPr>
          <w:rFonts w:ascii="宋体" w:hAnsi="宋体"/>
          <w:color w:val="auto"/>
          <w:sz w:val="28"/>
          <w:szCs w:val="28"/>
          <w:highlight w:val="none"/>
        </w:rPr>
        <w:t>156</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rPr>
          <w:color w:val="auto"/>
          <w:highlight w:val="none"/>
        </w:rPr>
      </w:pPr>
      <w:r>
        <w:rPr>
          <w:rFonts w:ascii="宋体" w:hAnsi="宋体"/>
          <w:color w:val="auto"/>
          <w:sz w:val="28"/>
          <w:szCs w:val="28"/>
          <w:highlight w:val="none"/>
        </w:rPr>
        <w:fldChar w:fldCharType="end"/>
      </w:r>
    </w:p>
    <w:p>
      <w:pPr>
        <w:spacing w:line="360" w:lineRule="auto"/>
        <w:jc w:val="left"/>
        <w:rPr>
          <w:rFonts w:ascii="黑体" w:hAnsi="黑体" w:eastAsia="黑体"/>
          <w:b/>
          <w:color w:val="auto"/>
          <w:sz w:val="24"/>
          <w:highlight w:val="none"/>
        </w:rPr>
      </w:pP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NumType w:start="1"/>
          <w:cols w:space="720" w:num="1"/>
          <w:docGrid w:type="lines" w:linePitch="312" w:charSpace="0"/>
        </w:sectPr>
      </w:pPr>
    </w:p>
    <w:p>
      <w:pPr>
        <w:pStyle w:val="3"/>
        <w:rPr>
          <w:color w:val="auto"/>
          <w:szCs w:val="36"/>
          <w:highlight w:val="none"/>
        </w:rPr>
      </w:pPr>
      <w:bookmarkStart w:id="11" w:name="_Toc65753663"/>
      <w:bookmarkStart w:id="12" w:name="OLE_LINK1"/>
      <w:r>
        <w:rPr>
          <w:rFonts w:hint="eastAsia"/>
          <w:color w:val="auto"/>
          <w:szCs w:val="36"/>
          <w:highlight w:val="none"/>
        </w:rPr>
        <w:t>第一部分  招标公告</w:t>
      </w:r>
      <w:bookmarkEnd w:id="11"/>
    </w:p>
    <w:p>
      <w:pPr>
        <w:rPr>
          <w:color w:val="auto"/>
          <w:highlight w:val="none"/>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9464" w:type="dxa"/>
            <w:noWrap w:val="0"/>
            <w:vAlign w:val="top"/>
          </w:tcPr>
          <w:p>
            <w:pPr>
              <w:snapToGrid w:val="0"/>
              <w:spacing w:line="400" w:lineRule="exact"/>
              <w:ind w:left="11"/>
              <w:rPr>
                <w:rFonts w:ascii="宋体" w:hAnsi="宋体" w:cs="宋体"/>
                <w:color w:val="auto"/>
                <w:szCs w:val="21"/>
                <w:highlight w:val="none"/>
              </w:rPr>
            </w:pPr>
            <w:r>
              <w:rPr>
                <w:rFonts w:hint="eastAsia" w:ascii="宋体" w:hAnsi="宋体" w:cs="宋体"/>
                <w:color w:val="auto"/>
                <w:szCs w:val="21"/>
                <w:highlight w:val="none"/>
              </w:rPr>
              <w:t>项目概况：</w:t>
            </w:r>
          </w:p>
          <w:p>
            <w:pPr>
              <w:spacing w:line="400" w:lineRule="exact"/>
              <w:ind w:left="11" w:right="-94" w:rightChars="-45" w:firstLine="420" w:firstLineChars="200"/>
              <w:rPr>
                <w:rFonts w:ascii="宋体" w:hAnsi="宋体" w:cs="宋体"/>
                <w:color w:val="auto"/>
                <w:sz w:val="24"/>
                <w:szCs w:val="24"/>
                <w:highlight w:val="none"/>
              </w:rPr>
            </w:pPr>
            <w:r>
              <w:rPr>
                <w:rFonts w:hint="eastAsia" w:ascii="宋体" w:hAnsi="宋体"/>
                <w:color w:val="auto"/>
                <w:kern w:val="0"/>
                <w:szCs w:val="21"/>
                <w:highlight w:val="none"/>
              </w:rPr>
              <w:t>淮河小学东校区新建工程智能化采购项目</w:t>
            </w:r>
            <w:r>
              <w:rPr>
                <w:rFonts w:hint="eastAsia" w:ascii="宋体" w:hAnsi="宋体" w:cs="宋体"/>
                <w:color w:val="auto"/>
                <w:szCs w:val="21"/>
                <w:highlight w:val="none"/>
              </w:rPr>
              <w:t>的潜在供应商应在</w:t>
            </w:r>
            <w:r>
              <w:rPr>
                <w:rFonts w:hint="eastAsia" w:ascii="宋体" w:hAnsi="宋体" w:cs="宋体"/>
                <w:color w:val="auto"/>
                <w:szCs w:val="21"/>
                <w:highlight w:val="none"/>
                <w:u w:val="single"/>
              </w:rPr>
              <w:t>浙江政府采购云平台（</w:t>
            </w:r>
            <w:r>
              <w:rPr>
                <w:color w:val="auto"/>
                <w:highlight w:val="none"/>
              </w:rPr>
              <w:fldChar w:fldCharType="begin"/>
            </w:r>
            <w:r>
              <w:rPr>
                <w:color w:val="auto"/>
                <w:highlight w:val="none"/>
              </w:rPr>
              <w:instrText xml:space="preserve"> HYPERLINK "http://www.zcy.gov.cn/）获取招标文件，并于2021年" </w:instrText>
            </w:r>
            <w:r>
              <w:rPr>
                <w:color w:val="auto"/>
                <w:highlight w:val="none"/>
              </w:rPr>
              <w:fldChar w:fldCharType="separate"/>
            </w:r>
            <w:r>
              <w:rPr>
                <w:rStyle w:val="17"/>
                <w:rFonts w:hint="eastAsia" w:ascii="宋体" w:hAnsi="宋体" w:cs="宋体"/>
                <w:color w:val="auto"/>
                <w:szCs w:val="21"/>
                <w:highlight w:val="none"/>
              </w:rPr>
              <w:t>http://www.zcygov.cn/）获取招标文件，并于2022年</w:t>
            </w:r>
            <w:r>
              <w:rPr>
                <w:rFonts w:hint="eastAsia" w:ascii="宋体" w:hAnsi="宋体" w:cs="宋体"/>
                <w:color w:val="auto"/>
                <w:szCs w:val="21"/>
                <w:highlight w:val="none"/>
              </w:rPr>
              <w:fldChar w:fldCharType="end"/>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日9点00分（北京时间，下同）</w:t>
            </w:r>
            <w:r>
              <w:rPr>
                <w:rFonts w:hint="eastAsia" w:ascii="宋体" w:hAnsi="宋体" w:cs="宋体"/>
                <w:color w:val="auto"/>
                <w:szCs w:val="21"/>
                <w:highlight w:val="none"/>
              </w:rPr>
              <w:t>前递交投标文件。</w:t>
            </w:r>
          </w:p>
        </w:tc>
      </w:tr>
    </w:tbl>
    <w:p>
      <w:pPr>
        <w:spacing w:line="360" w:lineRule="exact"/>
        <w:ind w:right="-94" w:rightChars="-45"/>
        <w:rPr>
          <w:rFonts w:ascii="宋体" w:hAnsi="宋体"/>
          <w:color w:val="auto"/>
          <w:sz w:val="24"/>
          <w:szCs w:val="24"/>
          <w:highlight w:val="none"/>
        </w:rPr>
      </w:pPr>
    </w:p>
    <w:p>
      <w:pPr>
        <w:snapToGrid w:val="0"/>
        <w:spacing w:line="360" w:lineRule="auto"/>
        <w:rPr>
          <w:rFonts w:ascii="宋体" w:hAnsi="宋体" w:cs="宋体"/>
          <w:b/>
          <w:bCs/>
          <w:color w:val="auto"/>
          <w:highlight w:val="none"/>
        </w:rPr>
      </w:pPr>
      <w:r>
        <w:rPr>
          <w:rFonts w:hint="eastAsia" w:ascii="Arial" w:hAnsi="Arial" w:cs="Arial"/>
          <w:color w:val="auto"/>
          <w:szCs w:val="21"/>
          <w:highlight w:val="none"/>
        </w:rPr>
        <w:t xml:space="preserve">    </w:t>
      </w:r>
      <w:r>
        <w:rPr>
          <w:rFonts w:hint="eastAsia" w:ascii="宋体" w:hAnsi="宋体" w:cs="宋体"/>
          <w:b/>
          <w:bCs/>
          <w:color w:val="auto"/>
          <w:highlight w:val="none"/>
        </w:rPr>
        <w:t>一、项目基本情况：</w:t>
      </w:r>
    </w:p>
    <w:p>
      <w:pPr>
        <w:snapToGrid w:val="0"/>
        <w:spacing w:line="360" w:lineRule="auto"/>
        <w:ind w:firstLine="420" w:firstLineChars="200"/>
        <w:rPr>
          <w:rFonts w:ascii="宋体" w:cs="宋体"/>
          <w:color w:val="auto"/>
          <w:highlight w:val="none"/>
        </w:rPr>
      </w:pPr>
      <w:r>
        <w:rPr>
          <w:rFonts w:hint="eastAsia" w:ascii="宋体" w:hAnsi="宋体" w:cs="宋体"/>
          <w:color w:val="auto"/>
          <w:highlight w:val="none"/>
        </w:rPr>
        <w:t>项目编号：TC【2022】CG1057号</w:t>
      </w:r>
    </w:p>
    <w:p>
      <w:pPr>
        <w:snapToGrid w:val="0"/>
        <w:spacing w:line="360" w:lineRule="auto"/>
        <w:ind w:firstLine="420" w:firstLineChars="200"/>
        <w:rPr>
          <w:rFonts w:hint="eastAsia" w:ascii="宋体" w:cs="宋体"/>
          <w:color w:val="auto"/>
          <w:highlight w:val="none"/>
        </w:rPr>
      </w:pPr>
      <w:r>
        <w:rPr>
          <w:rFonts w:hint="eastAsia" w:ascii="宋体" w:hAnsi="宋体" w:cs="宋体"/>
          <w:color w:val="auto"/>
          <w:highlight w:val="none"/>
        </w:rPr>
        <w:t>项目名称：</w:t>
      </w:r>
      <w:r>
        <w:rPr>
          <w:rFonts w:hint="eastAsia" w:ascii="宋体" w:hAnsi="宋体" w:cs="宋体"/>
          <w:color w:val="auto"/>
          <w:w w:val="95"/>
          <w:highlight w:val="none"/>
        </w:rPr>
        <w:t>淮河小学东校区新建工程智能化采购项目</w:t>
      </w:r>
    </w:p>
    <w:p>
      <w:pPr>
        <w:snapToGrid w:val="0"/>
        <w:spacing w:line="360" w:lineRule="auto"/>
        <w:ind w:firstLine="420" w:firstLineChars="200"/>
        <w:rPr>
          <w:rFonts w:ascii="宋体" w:cs="宋体"/>
          <w:color w:val="auto"/>
          <w:highlight w:val="none"/>
        </w:rPr>
      </w:pPr>
      <w:r>
        <w:rPr>
          <w:rFonts w:hint="eastAsia" w:ascii="宋体" w:hAnsi="宋体" w:cs="宋体"/>
          <w:color w:val="auto"/>
          <w:highlight w:val="none"/>
        </w:rPr>
        <w:t xml:space="preserve">预算金额（元）：6115000元     </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最高限价（元）：6115000元</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招标需求：</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标项名称：</w:t>
      </w:r>
      <w:r>
        <w:rPr>
          <w:rFonts w:hint="eastAsia" w:ascii="宋体" w:hAnsi="宋体" w:eastAsia="宋体" w:cs="宋体"/>
          <w:color w:val="auto"/>
          <w:highlight w:val="none"/>
        </w:rPr>
        <w:t>淮河小学东校区新建工程智能化</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数量：1批</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预算金额（元）：6115000元</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简要规格描述或项目基本概况介绍、用途：主要包括1.综合布线系统（SCS）：a) 语音通信系统；b) 数据通信系统（校园网）；c) 移动通信系统（运营商考虑）；2.计算机网络系统（校园网、安防网）；3.校园广播系统；4.安全防范系统(SAS)：a) 视频监视系统（含透明厨房）；b) 入侵报警系统；c）电子巡更系统；d）出入口管理系统（人行出入口管理系统和车行出入口系统）；e）一卡通门禁系统；5.信息发布系统；6.多媒体会议系统；7.多媒体教学系统；8.录播系统；9.电子班牌系统；10监控室建设系统；11网络机房建设系统；12.五方通话系统；13.综合管路等子系统。详见第三部分项目内容及要求。</w:t>
      </w:r>
    </w:p>
    <w:p>
      <w:pPr>
        <w:snapToGrid w:val="0"/>
        <w:spacing w:line="360" w:lineRule="auto"/>
        <w:ind w:firstLine="420" w:firstLineChars="200"/>
        <w:rPr>
          <w:rFonts w:ascii="宋体" w:hAnsi="宋体"/>
          <w:color w:val="auto"/>
          <w:highlight w:val="none"/>
        </w:rPr>
      </w:pPr>
      <w:r>
        <w:rPr>
          <w:rFonts w:hint="eastAsia" w:ascii="宋体" w:hAnsi="宋体" w:cs="宋体"/>
          <w:color w:val="auto"/>
          <w:highlight w:val="none"/>
        </w:rPr>
        <w:t>合同履约期限：</w:t>
      </w:r>
      <w:r>
        <w:rPr>
          <w:rFonts w:hint="eastAsia" w:ascii="宋体" w:hAnsi="宋体"/>
          <w:color w:val="auto"/>
          <w:highlight w:val="none"/>
        </w:rPr>
        <w:t>配合</w:t>
      </w:r>
      <w:r>
        <w:rPr>
          <w:rFonts w:hint="eastAsia" w:ascii="宋体" w:hAnsi="宋体" w:cs="宋体"/>
          <w:color w:val="auto"/>
          <w:highlight w:val="none"/>
        </w:rPr>
        <w:t>土建施工进度要求，并在2024年4月30日前完成安装调试工作，并通过初验进入试运行，试运行期满后进行终验。</w:t>
      </w:r>
      <w:r>
        <w:rPr>
          <w:rFonts w:hint="eastAsia" w:ascii="宋体" w:hAnsi="宋体"/>
          <w:color w:val="auto"/>
          <w:highlight w:val="none"/>
        </w:rPr>
        <w:t>若总包工期延期，则智能化施工工期相应顺延，合同总价不予调整。</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本项目（否）接受联合体投标。</w:t>
      </w:r>
    </w:p>
    <w:p>
      <w:pPr>
        <w:snapToGrid w:val="0"/>
        <w:spacing w:line="360" w:lineRule="auto"/>
        <w:rPr>
          <w:rFonts w:ascii="宋体" w:hAnsi="宋体"/>
          <w:b/>
          <w:color w:val="auto"/>
          <w:highlight w:val="none"/>
        </w:rPr>
      </w:pPr>
      <w:r>
        <w:rPr>
          <w:rFonts w:hint="eastAsia" w:ascii="Arial" w:hAnsi="Arial" w:cs="Arial"/>
          <w:b/>
          <w:color w:val="auto"/>
          <w:szCs w:val="21"/>
          <w:highlight w:val="none"/>
        </w:rPr>
        <w:t xml:space="preserve">    二、申请人的</w:t>
      </w:r>
      <w:r>
        <w:rPr>
          <w:rFonts w:hint="eastAsia" w:ascii="宋体" w:hAnsi="宋体"/>
          <w:b/>
          <w:color w:val="auto"/>
          <w:highlight w:val="none"/>
        </w:rPr>
        <w:t>资格条件：</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符合《中华人民共和国政府采购法》第22条规定；未被“信用中国”（www.creditchina.gov.cn)、中国政府采购网（www.ccgp.gov.cn）列入失信被执行人、重大税收违法案件当事人名单（税收违法黑名单）、政府采购严重违法失信行为记录名单。</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2.落实政府采购政策需满足的资格要求：无。</w:t>
      </w:r>
    </w:p>
    <w:p>
      <w:pPr>
        <w:snapToGrid w:val="0"/>
        <w:spacing w:line="360" w:lineRule="auto"/>
        <w:ind w:firstLine="420" w:firstLineChars="200"/>
        <w:rPr>
          <w:rFonts w:ascii="宋体" w:hAnsi="宋体"/>
          <w:color w:val="auto"/>
          <w:highlight w:val="none"/>
        </w:rPr>
      </w:pPr>
      <w:r>
        <w:rPr>
          <w:rFonts w:hint="eastAsia" w:ascii="宋体" w:hAnsi="宋体" w:cs="宋体"/>
          <w:color w:val="auto"/>
          <w:highlight w:val="none"/>
        </w:rPr>
        <w:t>3.本项目特定资格条件为：标项1：（1）具有独立法人资格；（2）具有建设行政主管部门颁发的电</w:t>
      </w:r>
      <w:r>
        <w:rPr>
          <w:rFonts w:hint="eastAsia" w:ascii="宋体" w:hAnsi="宋体"/>
          <w:color w:val="auto"/>
          <w:highlight w:val="none"/>
        </w:rPr>
        <w:t>子与智能化工程专业承包二级及以上资质证书。</w:t>
      </w:r>
    </w:p>
    <w:p>
      <w:pPr>
        <w:spacing w:line="360" w:lineRule="auto"/>
        <w:rPr>
          <w:rFonts w:ascii="Arial" w:hAnsi="Arial" w:cs="Arial"/>
          <w:b/>
          <w:color w:val="auto"/>
          <w:szCs w:val="21"/>
          <w:highlight w:val="none"/>
        </w:rPr>
      </w:pPr>
      <w:r>
        <w:rPr>
          <w:rFonts w:hint="eastAsia" w:ascii="宋体" w:hAnsi="宋体"/>
          <w:color w:val="auto"/>
          <w:highlight w:val="none"/>
        </w:rPr>
        <w:t xml:space="preserve">    </w:t>
      </w:r>
      <w:r>
        <w:rPr>
          <w:rFonts w:hint="eastAsia" w:ascii="Arial" w:hAnsi="Arial" w:cs="Arial"/>
          <w:b/>
          <w:color w:val="auto"/>
          <w:szCs w:val="21"/>
          <w:highlight w:val="none"/>
        </w:rPr>
        <w:t>三、获取招标文件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时间：</w:t>
      </w:r>
      <w:r>
        <w:rPr>
          <w:rFonts w:ascii="宋体" w:hAnsi="宋体" w:cs="Arial"/>
          <w:color w:val="auto"/>
          <w:kern w:val="0"/>
          <w:szCs w:val="21"/>
          <w:highlight w:val="none"/>
        </w:rPr>
        <w:t>/至202</w:t>
      </w:r>
      <w:r>
        <w:rPr>
          <w:rFonts w:hint="eastAsia" w:ascii="宋体" w:hAnsi="宋体" w:cs="Arial"/>
          <w:color w:val="auto"/>
          <w:kern w:val="0"/>
          <w:szCs w:val="21"/>
          <w:highlight w:val="none"/>
        </w:rPr>
        <w:t>2</w:t>
      </w:r>
      <w:r>
        <w:rPr>
          <w:rFonts w:ascii="宋体" w:hAnsi="宋体" w:cs="Arial"/>
          <w:color w:val="auto"/>
          <w:kern w:val="0"/>
          <w:szCs w:val="21"/>
          <w:highlight w:val="none"/>
        </w:rPr>
        <w:t>年</w:t>
      </w:r>
      <w:r>
        <w:rPr>
          <w:rFonts w:hint="eastAsia" w:ascii="宋体" w:hAnsi="宋体" w:cs="Arial"/>
          <w:color w:val="auto"/>
          <w:kern w:val="0"/>
          <w:szCs w:val="21"/>
          <w:highlight w:val="none"/>
          <w:lang w:val="en-US" w:eastAsia="zh-CN"/>
        </w:rPr>
        <w:t>9</w:t>
      </w:r>
      <w:r>
        <w:rPr>
          <w:rFonts w:ascii="宋体" w:hAnsi="宋体" w:cs="Arial"/>
          <w:color w:val="auto"/>
          <w:kern w:val="0"/>
          <w:szCs w:val="21"/>
          <w:highlight w:val="none"/>
        </w:rPr>
        <w:t>月</w:t>
      </w:r>
      <w:r>
        <w:rPr>
          <w:rFonts w:hint="eastAsia" w:ascii="宋体" w:hAnsi="宋体" w:cs="Arial"/>
          <w:color w:val="auto"/>
          <w:kern w:val="0"/>
          <w:szCs w:val="21"/>
          <w:highlight w:val="none"/>
          <w:lang w:val="en-US" w:eastAsia="zh-CN"/>
        </w:rPr>
        <w:t>7</w:t>
      </w:r>
      <w:r>
        <w:rPr>
          <w:rFonts w:ascii="宋体" w:hAnsi="宋体" w:cs="Arial"/>
          <w:color w:val="auto"/>
          <w:kern w:val="0"/>
          <w:szCs w:val="21"/>
          <w:highlight w:val="none"/>
        </w:rPr>
        <w:t>日，每天上午00:00至12:00，下午12:00至23:59（北京时间，线上获取法定节假日均可，线下获取文件法定节假日除外）</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2、地点（网址）：浙江政府采购云平台（http://www.zcygov.cn/）。</w:t>
      </w:r>
    </w:p>
    <w:p>
      <w:pPr>
        <w:spacing w:line="360" w:lineRule="auto"/>
        <w:ind w:firstLine="420" w:firstLineChars="200"/>
        <w:rPr>
          <w:rFonts w:ascii="宋体" w:hAnsi="宋体" w:cs="宋体"/>
          <w:b/>
          <w:bCs/>
          <w:color w:val="auto"/>
          <w:szCs w:val="21"/>
          <w:highlight w:val="none"/>
        </w:rPr>
      </w:pPr>
      <w:r>
        <w:rPr>
          <w:rFonts w:hint="eastAsia" w:ascii="宋体" w:hAnsi="宋体" w:cs="宋体"/>
          <w:bCs/>
          <w:color w:val="auto"/>
          <w:szCs w:val="21"/>
          <w:highlight w:val="none"/>
        </w:rPr>
        <w:t>3、方式：</w:t>
      </w:r>
      <w:r>
        <w:rPr>
          <w:rFonts w:ascii="宋体" w:hAnsi="宋体" w:cs="Arial"/>
          <w:color w:val="auto"/>
          <w:kern w:val="0"/>
          <w:szCs w:val="21"/>
          <w:highlight w:val="none"/>
        </w:rPr>
        <w:t>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Pr>
          <w:rStyle w:val="35"/>
          <w:rFonts w:ascii="宋体" w:hAnsi="宋体" w:cs="Arial"/>
          <w:color w:val="auto"/>
          <w:szCs w:val="21"/>
          <w:highlight w:val="none"/>
        </w:rPr>
        <w:t>如有疑问请及时咨询网站客服，咨询电话：4008817190。</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售价：0元。 </w:t>
      </w:r>
    </w:p>
    <w:p>
      <w:pPr>
        <w:spacing w:line="360" w:lineRule="auto"/>
        <w:ind w:firstLine="420" w:firstLineChars="200"/>
        <w:rPr>
          <w:rFonts w:ascii="宋体" w:hAnsi="宋体" w:cs="宋体"/>
          <w:bCs/>
          <w:color w:val="auto"/>
          <w:szCs w:val="21"/>
          <w:highlight w:val="none"/>
        </w:rPr>
      </w:pPr>
      <w:r>
        <w:rPr>
          <w:rFonts w:hint="eastAsia" w:ascii="宋体" w:hAnsi="宋体" w:cs="宋体"/>
          <w:b/>
          <w:color w:val="auto"/>
          <w:szCs w:val="21"/>
          <w:highlight w:val="none"/>
        </w:rPr>
        <w:t>四、提交投标文件截止时间、开标时间和地点</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提交投标文件截止时间</w:t>
      </w:r>
      <w:r>
        <w:rPr>
          <w:rFonts w:hint="eastAsia" w:ascii="宋体" w:hAnsi="宋体" w:cs="宋体"/>
          <w:b/>
          <w:bCs/>
          <w:color w:val="auto"/>
          <w:szCs w:val="21"/>
          <w:highlight w:val="none"/>
        </w:rPr>
        <w:t>：</w:t>
      </w:r>
      <w:r>
        <w:rPr>
          <w:rFonts w:hint="eastAsia" w:ascii="宋体" w:hAnsi="宋体" w:cs="宋体"/>
          <w:b/>
          <w:bCs/>
          <w:color w:val="auto"/>
          <w:szCs w:val="21"/>
          <w:highlight w:val="none"/>
          <w:u w:val="single"/>
        </w:rPr>
        <w:t>2022</w:t>
      </w:r>
      <w:r>
        <w:rPr>
          <w:rFonts w:hint="eastAsia" w:ascii="宋体" w:hAnsi="宋体" w:cs="宋体"/>
          <w:b/>
          <w:bCs/>
          <w:color w:val="auto"/>
          <w:szCs w:val="21"/>
          <w:highlight w:val="none"/>
        </w:rPr>
        <w:t>年</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9</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月</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7</w:t>
      </w:r>
      <w:r>
        <w:rPr>
          <w:rFonts w:hint="eastAsia" w:ascii="宋体" w:hAnsi="宋体" w:cs="宋体"/>
          <w:b/>
          <w:bCs/>
          <w:color w:val="auto"/>
          <w:szCs w:val="21"/>
          <w:highlight w:val="none"/>
        </w:rPr>
        <w:t>日</w:t>
      </w:r>
      <w:r>
        <w:rPr>
          <w:rFonts w:hint="eastAsia" w:ascii="宋体" w:hAnsi="宋体" w:cs="宋体"/>
          <w:b/>
          <w:bCs/>
          <w:color w:val="auto"/>
          <w:szCs w:val="21"/>
          <w:highlight w:val="none"/>
          <w:u w:val="single"/>
        </w:rPr>
        <w:t xml:space="preserve"> 9 : 00 </w:t>
      </w:r>
      <w:r>
        <w:rPr>
          <w:rFonts w:hint="eastAsia" w:ascii="宋体" w:hAnsi="宋体" w:cs="宋体"/>
          <w:bCs/>
          <w:color w:val="auto"/>
          <w:szCs w:val="21"/>
          <w:highlight w:val="none"/>
        </w:rPr>
        <w:t>（北京时间）。</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投标地点（网址）：</w:t>
      </w:r>
      <w:r>
        <w:rPr>
          <w:rFonts w:hint="eastAsia" w:ascii="宋体" w:hAnsi="宋体" w:cs="宋体"/>
          <w:color w:val="auto"/>
          <w:spacing w:val="-2"/>
          <w:szCs w:val="21"/>
          <w:highlight w:val="none"/>
        </w:rPr>
        <w:t>（1）“电子加密</w:t>
      </w:r>
      <w:r>
        <w:rPr>
          <w:rFonts w:hint="eastAsia" w:ascii="宋体" w:hAnsi="宋体" w:cs="宋体"/>
          <w:bCs/>
          <w:color w:val="auto"/>
          <w:spacing w:val="-2"/>
          <w:szCs w:val="21"/>
          <w:highlight w:val="none"/>
        </w:rPr>
        <w:t>投标文件”：</w:t>
      </w:r>
      <w:r>
        <w:rPr>
          <w:color w:val="auto"/>
          <w:highlight w:val="none"/>
        </w:rPr>
        <w:fldChar w:fldCharType="begin"/>
      </w:r>
      <w:r>
        <w:rPr>
          <w:color w:val="auto"/>
          <w:highlight w:val="none"/>
        </w:rPr>
        <w:instrText xml:space="preserve"> HYPERLINK "https://www.zcygov.cn在线提交；" </w:instrText>
      </w:r>
      <w:r>
        <w:rPr>
          <w:color w:val="auto"/>
          <w:highlight w:val="none"/>
        </w:rPr>
        <w:fldChar w:fldCharType="separate"/>
      </w:r>
      <w:r>
        <w:rPr>
          <w:rFonts w:hint="eastAsia" w:ascii="宋体" w:hAnsi="宋体" w:cs="宋体"/>
          <w:color w:val="auto"/>
          <w:spacing w:val="-2"/>
          <w:szCs w:val="21"/>
          <w:highlight w:val="none"/>
        </w:rPr>
        <w:t>政采云平台（www.zcygov.cn）</w:t>
      </w:r>
      <w:r>
        <w:rPr>
          <w:rStyle w:val="17"/>
          <w:rFonts w:hint="eastAsia" w:ascii="宋体" w:hAnsi="宋体" w:cs="宋体"/>
          <w:bCs/>
          <w:color w:val="auto"/>
          <w:spacing w:val="-2"/>
          <w:highlight w:val="none"/>
        </w:rPr>
        <w:t>在线提交；</w:t>
      </w:r>
      <w:r>
        <w:rPr>
          <w:rFonts w:hint="eastAsia" w:ascii="宋体" w:hAnsi="宋体" w:cs="宋体"/>
          <w:bCs/>
          <w:color w:val="auto"/>
          <w:spacing w:val="-2"/>
          <w:highlight w:val="none"/>
        </w:rPr>
        <w:fldChar w:fldCharType="end"/>
      </w:r>
      <w:r>
        <w:rPr>
          <w:rFonts w:hint="eastAsia" w:ascii="宋体" w:hAnsi="宋体" w:cs="宋体"/>
          <w:color w:val="auto"/>
          <w:spacing w:val="-2"/>
          <w:szCs w:val="21"/>
          <w:highlight w:val="none"/>
        </w:rPr>
        <w:t>（2）现场递交备份投标文件（以U盘存储的电子备份投标文件）：</w:t>
      </w:r>
      <w:r>
        <w:rPr>
          <w:rFonts w:hint="eastAsia" w:ascii="宋体" w:hAnsi="宋体" w:cs="宋体"/>
          <w:color w:val="auto"/>
          <w:highlight w:val="none"/>
        </w:rPr>
        <w:t>北仑区公共资源交易中心（</w:t>
      </w:r>
      <w:r>
        <w:rPr>
          <w:rFonts w:hint="eastAsia" w:ascii="宋体" w:hAnsi="宋体"/>
          <w:color w:val="auto"/>
          <w:szCs w:val="21"/>
          <w:highlight w:val="none"/>
        </w:rPr>
        <w:t>宁波市北仑区长江路1166号北仑行政大楼B座三楼招投标中心交易厅，具体场所安排详见电子指示屏幕</w:t>
      </w:r>
      <w:r>
        <w:rPr>
          <w:rFonts w:hint="eastAsia" w:ascii="宋体" w:hAnsi="宋体" w:cs="宋体"/>
          <w:color w:val="auto"/>
          <w:highlight w:val="none"/>
        </w:rPr>
        <w:t>）</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3、开标时间：</w:t>
      </w:r>
      <w:r>
        <w:rPr>
          <w:rFonts w:hint="eastAsia" w:ascii="宋体" w:hAnsi="宋体" w:cs="宋体"/>
          <w:b/>
          <w:bCs/>
          <w:color w:val="auto"/>
          <w:szCs w:val="21"/>
          <w:highlight w:val="none"/>
          <w:u w:val="single"/>
        </w:rPr>
        <w:t>2022</w:t>
      </w:r>
      <w:r>
        <w:rPr>
          <w:rFonts w:hint="eastAsia" w:ascii="宋体" w:hAnsi="宋体" w:cs="宋体"/>
          <w:b/>
          <w:bCs/>
          <w:color w:val="auto"/>
          <w:szCs w:val="21"/>
          <w:highlight w:val="none"/>
        </w:rPr>
        <w:t>年</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9</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月</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7</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日</w:t>
      </w:r>
      <w:r>
        <w:rPr>
          <w:rFonts w:hint="eastAsia" w:ascii="宋体" w:hAnsi="宋体" w:cs="宋体"/>
          <w:b/>
          <w:bCs/>
          <w:color w:val="auto"/>
          <w:szCs w:val="21"/>
          <w:highlight w:val="none"/>
          <w:u w:val="single"/>
        </w:rPr>
        <w:t xml:space="preserve"> 9 : 00  </w:t>
      </w:r>
      <w:r>
        <w:rPr>
          <w:rFonts w:hint="eastAsia" w:ascii="宋体" w:hAnsi="宋体" w:cs="宋体"/>
          <w:bCs/>
          <w:color w:val="auto"/>
          <w:szCs w:val="21"/>
          <w:highlight w:val="none"/>
        </w:rPr>
        <w:t>（北京时间）。</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4、开标地点（网址）：政府采购云平台（www.zcygov.cn）</w:t>
      </w:r>
    </w:p>
    <w:p>
      <w:pPr>
        <w:spacing w:line="360" w:lineRule="auto"/>
        <w:ind w:firstLine="420" w:firstLineChars="200"/>
        <w:rPr>
          <w:rFonts w:ascii="宋体" w:hAnsi="宋体" w:cs="宋体"/>
          <w:bCs/>
          <w:color w:val="auto"/>
          <w:szCs w:val="21"/>
          <w:highlight w:val="none"/>
        </w:rPr>
      </w:pPr>
      <w:r>
        <w:rPr>
          <w:rFonts w:hint="eastAsia" w:ascii="宋体" w:hAnsi="宋体" w:cs="宋体"/>
          <w:b/>
          <w:color w:val="auto"/>
          <w:szCs w:val="21"/>
          <w:highlight w:val="none"/>
        </w:rPr>
        <w:t>五、公告期限</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自本公告发布之日起5个工作日。</w:t>
      </w:r>
    </w:p>
    <w:p>
      <w:pPr>
        <w:spacing w:line="360" w:lineRule="auto"/>
        <w:ind w:firstLine="420" w:firstLineChars="200"/>
        <w:rPr>
          <w:rFonts w:ascii="宋体" w:hAnsi="宋体" w:cs="宋体"/>
          <w:bCs/>
          <w:color w:val="auto"/>
          <w:szCs w:val="21"/>
          <w:highlight w:val="none"/>
        </w:rPr>
      </w:pPr>
      <w:r>
        <w:rPr>
          <w:rFonts w:hint="eastAsia" w:ascii="宋体" w:hAnsi="宋体" w:cs="宋体"/>
          <w:b/>
          <w:color w:val="auto"/>
          <w:szCs w:val="21"/>
          <w:highlight w:val="none"/>
        </w:rPr>
        <w:t>六、其他补充事宜</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bCs/>
          <w:color w:val="auto"/>
          <w:szCs w:val="21"/>
          <w:highlight w:val="none"/>
        </w:rPr>
        <w:t>2.</w:t>
      </w:r>
      <w:r>
        <w:rPr>
          <w:rFonts w:ascii="宋体" w:hAnsi="宋体" w:cs="宋体"/>
          <w:bCs/>
          <w:color w:val="auto"/>
          <w:szCs w:val="21"/>
          <w:highlight w:val="none"/>
        </w:rPr>
        <w:t>其他事项：</w:t>
      </w:r>
      <w:r>
        <w:rPr>
          <w:rFonts w:hint="eastAsia" w:ascii="宋体" w:hAnsi="宋体" w:cs="宋体"/>
          <w:color w:val="auto"/>
          <w:szCs w:val="21"/>
          <w:highlight w:val="none"/>
        </w:rPr>
        <w:t>2.1本次政府采购活动有关信息在“浙江政府采购网（https://zfcg.czt.zj.gov.cn/）”、“宁波政府采购网（http://www.nbzfcg.cn）”、“宁波公共资源交易网北仑区分网网站（</w:t>
      </w:r>
      <w:r>
        <w:rPr>
          <w:color w:val="auto"/>
          <w:highlight w:val="none"/>
        </w:rPr>
        <w:fldChar w:fldCharType="begin"/>
      </w:r>
      <w:r>
        <w:rPr>
          <w:color w:val="auto"/>
          <w:highlight w:val="none"/>
        </w:rPr>
        <w:instrText xml:space="preserve"> HYPERLINK "http://www.blztb.gov.cn" </w:instrText>
      </w:r>
      <w:r>
        <w:rPr>
          <w:color w:val="auto"/>
          <w:highlight w:val="none"/>
        </w:rPr>
        <w:fldChar w:fldCharType="separate"/>
      </w:r>
      <w:r>
        <w:rPr>
          <w:rFonts w:hint="eastAsia" w:ascii="宋体" w:hAnsi="宋体" w:cs="宋体"/>
          <w:color w:val="auto"/>
          <w:szCs w:val="21"/>
          <w:highlight w:val="none"/>
        </w:rPr>
        <w:t>http://beilun.nbggzy.cn/</w:t>
      </w:r>
      <w:r>
        <w:rPr>
          <w:rFonts w:hint="eastAsia" w:ascii="宋体" w:hAnsi="宋体" w:cs="宋体"/>
          <w:color w:val="auto"/>
          <w:szCs w:val="21"/>
          <w:highlight w:val="none"/>
        </w:rPr>
        <w:fldChar w:fldCharType="end"/>
      </w:r>
      <w:r>
        <w:rPr>
          <w:rFonts w:hint="eastAsia" w:ascii="宋体" w:hAnsi="宋体" w:cs="宋体"/>
          <w:color w:val="auto"/>
          <w:szCs w:val="21"/>
          <w:highlight w:val="none"/>
        </w:rPr>
        <w:t>）”网站上公布，公布信息视同送达所有潜在投标人。2.2落实的政策：《关于促进残疾人就业政府采购政策的通知》（财库[2017]141号）、《政府采购促进中小企业发展管理办法》（财库[2020]46号）、《关于政府采购支持监狱企业发展有关问题的通知》(财库[2014]68号)。2.3投标与开标注意事项：1)本项目实行网上投标，采用电子投标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投标文件制作应按照本项目采购文件和政采云平台的要求编制、加密并递交投标文件。供应商在使用系统进行投标的过程中遇到涉及平台使用的任何问题，可致电政采云平台技术支持热线咨询，联系方式：</w:t>
      </w:r>
      <w:r>
        <w:rPr>
          <w:rFonts w:hint="eastAsia" w:ascii="宋体" w:hAnsi="宋体" w:cs="Arial"/>
          <w:bCs/>
          <w:color w:val="auto"/>
          <w:szCs w:val="21"/>
          <w:highlight w:val="none"/>
        </w:rPr>
        <w:t>400-881-7190。投标人通过“政采云”平台电子投标工具制作投标文件，电子投标工具请供应商自行前往浙江省政府采购网下载并安装，投标文件制作具体流程详见政府采购云平台。4）以U盘介质存储的数据电文形式的备份投标文件1份，即电子投标文件按“政采云供应商项目采购-电子招投标操作指南”制作的备份文件，以用于异常情况处理。5）</w:t>
      </w:r>
      <w:r>
        <w:rPr>
          <w:rFonts w:hint="eastAsia" w:ascii="宋体" w:hAnsi="宋体" w:cs="宋体"/>
          <w:color w:val="auto"/>
          <w:szCs w:val="21"/>
          <w:highlight w:val="none"/>
        </w:rPr>
        <w:t>开标时间后30分钟内供应商可以登录“政采云”平台，用“项目采购-开标评标”功能进行解密投标文件。若供应商在规定时间内无法解密或解密失败，可使用备份电子投标文件进行下评标。若供应商在规定时间内无法解密或解密失败且未在开标前提供备份电子投标文件的，视为投标人放弃投标。2.4</w:t>
      </w:r>
      <w:r>
        <w:rPr>
          <w:rFonts w:hint="eastAsia" w:ascii="宋体" w:hAnsi="宋体" w:cs="Arial"/>
          <w:bCs/>
          <w:color w:val="auto"/>
          <w:szCs w:val="21"/>
          <w:highlight w:val="none"/>
        </w:rPr>
        <w:t>疫情期间特别提醒事项： 供应商递交备份电子投标文件方式：1）采用邮寄方式递交投标文件，需按以下要求递交： 供应商须在2022年</w:t>
      </w:r>
      <w:r>
        <w:rPr>
          <w:rFonts w:hint="eastAsia" w:ascii="宋体" w:hAnsi="宋体" w:cs="Arial"/>
          <w:bCs/>
          <w:color w:val="auto"/>
          <w:szCs w:val="21"/>
          <w:highlight w:val="none"/>
          <w:lang w:val="en-US" w:eastAsia="zh-CN"/>
        </w:rPr>
        <w:t>9</w:t>
      </w:r>
      <w:r>
        <w:rPr>
          <w:rFonts w:hint="eastAsia" w:ascii="宋体" w:hAnsi="宋体" w:cs="Arial"/>
          <w:bCs/>
          <w:color w:val="auto"/>
          <w:szCs w:val="21"/>
          <w:highlight w:val="none"/>
        </w:rPr>
        <w:t>月</w:t>
      </w:r>
      <w:r>
        <w:rPr>
          <w:rFonts w:hint="eastAsia" w:ascii="宋体" w:hAnsi="宋体" w:cs="Arial"/>
          <w:bCs/>
          <w:color w:val="auto"/>
          <w:szCs w:val="21"/>
          <w:highlight w:val="none"/>
          <w:lang w:val="en-US" w:eastAsia="zh-CN"/>
        </w:rPr>
        <w:t>5</w:t>
      </w:r>
      <w:r>
        <w:rPr>
          <w:rFonts w:hint="eastAsia" w:ascii="宋体" w:hAnsi="宋体" w:cs="Arial"/>
          <w:bCs/>
          <w:color w:val="auto"/>
          <w:szCs w:val="21"/>
          <w:highlight w:val="none"/>
        </w:rPr>
        <w:t>日16:00前将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color w:val="auto"/>
          <w:kern w:val="58"/>
          <w:szCs w:val="21"/>
          <w:highlight w:val="none"/>
        </w:rPr>
        <w:t>宁波市江南路599号科技大厦4楼</w:t>
      </w:r>
      <w:r>
        <w:rPr>
          <w:rFonts w:hint="eastAsia" w:ascii="宋体" w:hAnsi="宋体"/>
          <w:color w:val="auto"/>
          <w:szCs w:val="21"/>
          <w:highlight w:val="none"/>
        </w:rPr>
        <w:t>，</w:t>
      </w:r>
      <w:r>
        <w:rPr>
          <w:rFonts w:hint="eastAsia" w:ascii="宋体" w:hAnsi="宋体" w:cs="Arial"/>
          <w:bCs/>
          <w:color w:val="auto"/>
          <w:szCs w:val="21"/>
          <w:highlight w:val="none"/>
        </w:rPr>
        <w:t>收件人：彭秀雅，联系方式：13566303628。2）采用</w:t>
      </w:r>
      <w:r>
        <w:rPr>
          <w:rFonts w:hint="eastAsia" w:ascii="宋体" w:hAnsi="宋体" w:cs="宋体"/>
          <w:color w:val="auto"/>
          <w:szCs w:val="21"/>
          <w:highlight w:val="none"/>
        </w:rPr>
        <w:t>现场递交投标文件，供应商代表（原则上不超过1名）需持绿色“甬行码”、“行程码”、佩戴口罩且体温测量正常（以开标当日测量为准）后方可进入开标现场（宁波市北仑区长江路1166号行政大楼B座三楼招投标中心交易厅，具体场所安排详见电子指示屏幕）递交</w:t>
      </w:r>
      <w:r>
        <w:rPr>
          <w:rFonts w:hint="eastAsia" w:ascii="宋体" w:hAnsi="宋体" w:cs="Arial"/>
          <w:bCs/>
          <w:color w:val="auto"/>
          <w:szCs w:val="21"/>
          <w:highlight w:val="none"/>
        </w:rPr>
        <w:t>备份电子投标文件</w:t>
      </w:r>
      <w:r>
        <w:rPr>
          <w:rFonts w:hint="eastAsia" w:ascii="宋体" w:hAnsi="宋体" w:cs="宋体"/>
          <w:color w:val="auto"/>
          <w:szCs w:val="21"/>
          <w:highlight w:val="none"/>
        </w:rPr>
        <w:t>，参与现场开标活动的人员应严格遵守防疫规定，自觉遵守和服从交易现场管理。</w:t>
      </w:r>
    </w:p>
    <w:p>
      <w:pPr>
        <w:spacing w:line="300" w:lineRule="exact"/>
        <w:ind w:firstLine="420" w:firstLineChars="200"/>
        <w:rPr>
          <w:color w:val="auto"/>
          <w:highlight w:val="none"/>
        </w:rPr>
      </w:pPr>
      <w:r>
        <w:rPr>
          <w:rFonts w:hint="eastAsia" w:ascii="宋体" w:hAnsi="宋体" w:cs="Arial"/>
          <w:color w:val="auto"/>
          <w:kern w:val="0"/>
          <w:szCs w:val="21"/>
          <w:highlight w:val="none"/>
        </w:rPr>
        <w:t>3.</w:t>
      </w:r>
      <w:r>
        <w:rPr>
          <w:rFonts w:hint="eastAsia" w:ascii="宋体" w:hAnsi="宋体" w:cs="Arial"/>
          <w:color w:val="auto"/>
          <w:kern w:val="0"/>
          <w:szCs w:val="21"/>
          <w:highlight w:val="none"/>
          <w:lang w:val="en"/>
        </w:rPr>
        <w:t>单位负责人为同一人或者存在直接控股、管理关系的不同供应商，不得参加同一</w:t>
      </w:r>
      <w:r>
        <w:rPr>
          <w:rFonts w:hint="eastAsia" w:ascii="宋体" w:hAnsi="宋体" w:cs="Arial"/>
          <w:color w:val="auto"/>
          <w:kern w:val="0"/>
          <w:szCs w:val="21"/>
          <w:highlight w:val="none"/>
        </w:rPr>
        <w:t>标</w:t>
      </w:r>
      <w:r>
        <w:rPr>
          <w:rFonts w:hint="eastAsia" w:ascii="宋体" w:hAnsi="宋体" w:cs="Arial"/>
          <w:color w:val="auto"/>
          <w:kern w:val="0"/>
          <w:szCs w:val="21"/>
          <w:highlight w:val="none"/>
          <w:lang w:val="en"/>
        </w:rPr>
        <w:t>项的</w:t>
      </w:r>
      <w:r>
        <w:rPr>
          <w:rFonts w:hint="eastAsia" w:ascii="宋体" w:hAnsi="宋体" w:cs="Arial"/>
          <w:color w:val="auto"/>
          <w:kern w:val="0"/>
          <w:szCs w:val="21"/>
          <w:highlight w:val="none"/>
        </w:rPr>
        <w:t>投标</w:t>
      </w:r>
      <w:r>
        <w:rPr>
          <w:rFonts w:hint="eastAsia" w:ascii="宋体" w:hAnsi="宋体" w:cs="Arial"/>
          <w:color w:val="auto"/>
          <w:kern w:val="0"/>
          <w:szCs w:val="21"/>
          <w:highlight w:val="none"/>
          <w:lang w:val="en"/>
        </w:rPr>
        <w:t>。为采购项目提供整体设计、规范编制或者项目管理、监理、检测等服务的供应商，不得再参加本项目投标。</w:t>
      </w:r>
    </w:p>
    <w:p>
      <w:pPr>
        <w:ind w:firstLine="420"/>
        <w:rPr>
          <w:rFonts w:ascii="宋体" w:hAnsi="宋体" w:cs="宋体"/>
          <w:b/>
          <w:color w:val="auto"/>
          <w:szCs w:val="21"/>
          <w:highlight w:val="none"/>
        </w:rPr>
      </w:pPr>
      <w:r>
        <w:rPr>
          <w:rFonts w:hint="eastAsia" w:ascii="宋体" w:hAnsi="宋体" w:cs="宋体"/>
          <w:b/>
          <w:color w:val="auto"/>
          <w:szCs w:val="21"/>
          <w:highlight w:val="none"/>
        </w:rPr>
        <w:t>七、对本次采购提出询问、质疑、投诉，请按以下方式联系。</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1.采购人信息：</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名称：宁波市北仑区公共项目建设管理中心</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olor w:val="auto"/>
          <w:highlight w:val="none"/>
        </w:rPr>
        <w:t>北仑区四明山路773号行政大楼B座7楼</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传真：/</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项目联系人（询问）：徐喆</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项目联系方式（询问）：0574-89384041</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质疑联系人：姚飞英</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质疑联系方式：0574-89384040</w:t>
      </w:r>
    </w:p>
    <w:p>
      <w:pPr>
        <w:ind w:firstLine="420" w:firstLineChars="200"/>
        <w:jc w:val="left"/>
        <w:rPr>
          <w:rFonts w:ascii="宋体" w:hAnsi="宋体" w:cs="宋体"/>
          <w:color w:val="auto"/>
          <w:szCs w:val="21"/>
          <w:highlight w:val="none"/>
        </w:rPr>
      </w:pP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2.采购代理机构信息</w:t>
      </w:r>
    </w:p>
    <w:p>
      <w:pPr>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名称：浙江天诚工程咨询有限公司</w:t>
      </w:r>
    </w:p>
    <w:p>
      <w:pPr>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地址：宁波市江南路599号科技大厦4楼</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传真：/</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项目联系人（询问）：彭秀雅</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项目联系方式（询问）：13566303628</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质疑联系人：张燕平</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质疑联系方式：13157499807</w:t>
      </w:r>
    </w:p>
    <w:p>
      <w:pPr>
        <w:ind w:firstLine="420" w:firstLineChars="200"/>
        <w:jc w:val="left"/>
        <w:rPr>
          <w:rFonts w:ascii="宋体" w:hAnsi="宋体" w:cs="宋体"/>
          <w:color w:val="auto"/>
          <w:szCs w:val="21"/>
          <w:highlight w:val="none"/>
        </w:rPr>
      </w:pP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3.同级政府采购监督管理部门</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名称：宁波市北仑区财政局采购办</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地址：宁波市北仑区长江路1166号</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联系人 ：严老师</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监督投诉电话：0574-89383756</w:t>
      </w:r>
    </w:p>
    <w:p>
      <w:pPr>
        <w:spacing w:line="360" w:lineRule="auto"/>
        <w:ind w:firstLine="405"/>
        <w:rPr>
          <w:rFonts w:ascii="宋体" w:hAnsi="宋体"/>
          <w:color w:val="auto"/>
          <w:highlight w:val="none"/>
        </w:rPr>
      </w:pPr>
    </w:p>
    <w:p>
      <w:pPr>
        <w:spacing w:line="360" w:lineRule="auto"/>
        <w:ind w:firstLine="405"/>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 xml:space="preserve">   </w:t>
      </w:r>
    </w:p>
    <w:p>
      <w:pPr>
        <w:spacing w:line="360" w:lineRule="auto"/>
        <w:rPr>
          <w:rFonts w:ascii="宋体" w:hAnsi="宋体"/>
          <w:color w:val="auto"/>
          <w:highlight w:val="none"/>
        </w:rPr>
      </w:pPr>
      <w:r>
        <w:rPr>
          <w:rFonts w:hint="eastAsia" w:ascii="宋体" w:hAnsi="宋体"/>
          <w:color w:val="auto"/>
          <w:highlight w:val="none"/>
        </w:rPr>
        <w:t xml:space="preserve">                                                     </w:t>
      </w:r>
    </w:p>
    <w:p>
      <w:pPr>
        <w:pStyle w:val="3"/>
        <w:rPr>
          <w:rFonts w:ascii="宋体" w:hAnsi="宋体"/>
          <w:color w:val="auto"/>
          <w:highlight w:val="none"/>
        </w:rPr>
      </w:pPr>
      <w:r>
        <w:rPr>
          <w:rFonts w:ascii="宋体" w:hAnsi="宋体"/>
          <w:color w:val="auto"/>
          <w:highlight w:val="none"/>
        </w:rPr>
        <w:br w:type="page"/>
      </w:r>
      <w:bookmarkStart w:id="13" w:name="_Toc65753664"/>
      <w:r>
        <w:rPr>
          <w:color w:val="auto"/>
          <w:highlight w:val="none"/>
        </w:rPr>
        <w:t>第</w:t>
      </w:r>
      <w:r>
        <w:rPr>
          <w:rFonts w:hint="eastAsia"/>
          <w:color w:val="auto"/>
          <w:highlight w:val="none"/>
        </w:rPr>
        <w:t>二</w:t>
      </w:r>
      <w:r>
        <w:rPr>
          <w:color w:val="auto"/>
          <w:highlight w:val="none"/>
        </w:rPr>
        <w:t xml:space="preserve">部分  </w:t>
      </w:r>
      <w:r>
        <w:rPr>
          <w:rFonts w:hint="eastAsia"/>
          <w:color w:val="auto"/>
          <w:highlight w:val="none"/>
        </w:rPr>
        <w:t>投标人须知及前附表</w:t>
      </w:r>
      <w:bookmarkEnd w:id="13"/>
    </w:p>
    <w:p>
      <w:pPr>
        <w:pStyle w:val="3"/>
        <w:rPr>
          <w:rFonts w:ascii="宋体" w:hAnsi="宋体"/>
          <w:color w:val="auto"/>
          <w:highlight w:val="none"/>
        </w:rPr>
      </w:pPr>
      <w:bookmarkStart w:id="14" w:name="_Toc65510680"/>
      <w:bookmarkStart w:id="15" w:name="_Toc65753665"/>
      <w:r>
        <w:rPr>
          <w:rFonts w:hint="eastAsia" w:ascii="宋体" w:hAnsi="宋体"/>
          <w:color w:val="auto"/>
          <w:highlight w:val="none"/>
        </w:rPr>
        <w:t>前 附 表</w:t>
      </w:r>
      <w:bookmarkEnd w:id="14"/>
      <w:bookmarkEnd w:id="15"/>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8225" w:type="dxa"/>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w:t>
            </w:r>
          </w:p>
        </w:tc>
        <w:tc>
          <w:tcPr>
            <w:tcW w:w="8225" w:type="dxa"/>
            <w:noWrap w:val="0"/>
            <w:tcMar>
              <w:top w:w="113" w:type="dxa"/>
              <w:bottom w:w="113" w:type="dxa"/>
            </w:tcMar>
            <w:vAlign w:val="center"/>
          </w:tcPr>
          <w:p>
            <w:pPr>
              <w:rPr>
                <w:rFonts w:hint="eastAsia" w:ascii="宋体" w:hAnsi="宋体"/>
                <w:color w:val="auto"/>
                <w:highlight w:val="none"/>
              </w:rPr>
            </w:pPr>
            <w:r>
              <w:rPr>
                <w:rFonts w:hint="eastAsia" w:ascii="宋体" w:hAnsi="宋体"/>
                <w:color w:val="auto"/>
                <w:highlight w:val="none"/>
              </w:rPr>
              <w:t>项目名称：淮河小学东校区新建工程智能化采购项目</w:t>
            </w:r>
          </w:p>
          <w:p>
            <w:pPr>
              <w:rPr>
                <w:rFonts w:ascii="宋体" w:hAnsi="宋体"/>
                <w:color w:val="auto"/>
                <w:highlight w:val="none"/>
              </w:rPr>
            </w:pPr>
            <w:r>
              <w:rPr>
                <w:rFonts w:hint="eastAsia" w:ascii="宋体" w:hAnsi="宋体"/>
                <w:color w:val="auto"/>
                <w:highlight w:val="none"/>
              </w:rPr>
              <w:t>项目编号：TC【2022】CG1057号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2</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采购人：宁波市北仑区公共项目建设管理中心</w:t>
            </w:r>
          </w:p>
          <w:p>
            <w:pPr>
              <w:rPr>
                <w:rFonts w:ascii="宋体" w:hAnsi="宋体"/>
                <w:color w:val="auto"/>
                <w:highlight w:val="none"/>
              </w:rPr>
            </w:pPr>
            <w:r>
              <w:rPr>
                <w:rFonts w:hint="eastAsia" w:ascii="宋体" w:hAnsi="宋体"/>
                <w:color w:val="auto"/>
                <w:highlight w:val="none"/>
              </w:rPr>
              <w:t>联系人：</w:t>
            </w:r>
            <w:r>
              <w:rPr>
                <w:rFonts w:hint="eastAsia" w:ascii="宋体" w:hAnsi="宋体" w:cs="宋体"/>
                <w:color w:val="auto"/>
                <w:szCs w:val="21"/>
                <w:highlight w:val="none"/>
              </w:rPr>
              <w:t>徐喆</w:t>
            </w:r>
            <w:r>
              <w:rPr>
                <w:rFonts w:hint="eastAsia" w:ascii="宋体" w:hAnsi="宋体"/>
                <w:color w:val="auto"/>
                <w:highlight w:val="none"/>
              </w:rPr>
              <w:t xml:space="preserve">    </w:t>
            </w:r>
          </w:p>
          <w:p>
            <w:pPr>
              <w:rPr>
                <w:rFonts w:ascii="宋体" w:hAnsi="宋体"/>
                <w:color w:val="auto"/>
                <w:highlight w:val="none"/>
              </w:rPr>
            </w:pPr>
            <w:r>
              <w:rPr>
                <w:rFonts w:hint="eastAsia" w:ascii="宋体" w:hAnsi="宋体"/>
                <w:color w:val="auto"/>
                <w:highlight w:val="none"/>
              </w:rPr>
              <w:t>电话：</w:t>
            </w:r>
            <w:r>
              <w:rPr>
                <w:rFonts w:hint="eastAsia" w:ascii="宋体" w:hAnsi="宋体" w:cs="宋体"/>
                <w:color w:val="auto"/>
                <w:szCs w:val="21"/>
                <w:highlight w:val="none"/>
              </w:rPr>
              <w:t>0574-89384041</w:t>
            </w:r>
          </w:p>
          <w:p>
            <w:pPr>
              <w:rPr>
                <w:rFonts w:ascii="宋体" w:hAnsi="宋体"/>
                <w:color w:val="auto"/>
                <w:highlight w:val="none"/>
              </w:rPr>
            </w:pPr>
            <w:r>
              <w:rPr>
                <w:rFonts w:hint="eastAsia" w:ascii="宋体" w:hAnsi="宋体"/>
                <w:color w:val="auto"/>
                <w:highlight w:val="none"/>
              </w:rPr>
              <w:t>地址：北仑区四明山路773号行政大楼B座7楼</w:t>
            </w:r>
          </w:p>
          <w:p>
            <w:pPr>
              <w:rPr>
                <w:rFonts w:ascii="宋体" w:hAnsi="宋体"/>
                <w:color w:val="auto"/>
                <w:highlight w:val="none"/>
              </w:rPr>
            </w:pPr>
          </w:p>
          <w:p>
            <w:pPr>
              <w:rPr>
                <w:rFonts w:hint="eastAsia" w:ascii="宋体" w:hAnsi="宋体"/>
                <w:color w:val="auto"/>
                <w:highlight w:val="none"/>
              </w:rPr>
            </w:pPr>
            <w:r>
              <w:rPr>
                <w:rFonts w:hint="eastAsia" w:ascii="宋体" w:hAnsi="宋体"/>
                <w:color w:val="auto"/>
                <w:highlight w:val="none"/>
              </w:rPr>
              <w:t>采购代理机构：浙江天诚工程咨询有限公司</w:t>
            </w:r>
          </w:p>
          <w:p>
            <w:pPr>
              <w:rPr>
                <w:rFonts w:ascii="宋体" w:hAnsi="宋体"/>
                <w:color w:val="auto"/>
                <w:highlight w:val="none"/>
              </w:rPr>
            </w:pPr>
            <w:r>
              <w:rPr>
                <w:rFonts w:hint="eastAsia" w:ascii="宋体" w:hAnsi="宋体"/>
                <w:color w:val="auto"/>
                <w:highlight w:val="none"/>
              </w:rPr>
              <w:t xml:space="preserve">联系人：彭秀雅     </w:t>
            </w:r>
          </w:p>
          <w:p>
            <w:pPr>
              <w:rPr>
                <w:rFonts w:ascii="宋体" w:hAnsi="宋体"/>
                <w:color w:val="auto"/>
                <w:highlight w:val="none"/>
              </w:rPr>
            </w:pPr>
            <w:r>
              <w:rPr>
                <w:rFonts w:hint="eastAsia" w:ascii="宋体" w:hAnsi="宋体"/>
                <w:color w:val="auto"/>
                <w:highlight w:val="none"/>
              </w:rPr>
              <w:t>电话：13566303628</w:t>
            </w:r>
          </w:p>
          <w:p>
            <w:pPr>
              <w:rPr>
                <w:rFonts w:ascii="宋体" w:hAnsi="宋体"/>
                <w:color w:val="auto"/>
                <w:highlight w:val="none"/>
              </w:rPr>
            </w:pPr>
            <w:r>
              <w:rPr>
                <w:rFonts w:hint="eastAsia" w:ascii="宋体" w:hAnsi="宋体"/>
                <w:color w:val="auto"/>
                <w:highlight w:val="none"/>
              </w:rPr>
              <w:t>地址：</w:t>
            </w:r>
            <w:r>
              <w:rPr>
                <w:rFonts w:hint="eastAsia" w:ascii="宋体" w:hAnsi="宋体" w:cs="宋体"/>
                <w:color w:val="auto"/>
                <w:szCs w:val="21"/>
                <w:highlight w:val="none"/>
              </w:rPr>
              <w:t>宁波市江南路599号科技大厦4楼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3</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4</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5</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采购预算：</w:t>
            </w:r>
            <w:r>
              <w:rPr>
                <w:rFonts w:hint="eastAsia" w:ascii="宋体" w:hAnsi="宋体" w:cs="宋体"/>
                <w:color w:val="auto"/>
                <w:highlight w:val="none"/>
              </w:rPr>
              <w:t>6115000元</w:t>
            </w:r>
          </w:p>
          <w:p>
            <w:pPr>
              <w:rPr>
                <w:rFonts w:ascii="宋体" w:hAnsi="宋体"/>
                <w:color w:val="auto"/>
                <w:highlight w:val="none"/>
              </w:rPr>
            </w:pPr>
            <w:r>
              <w:rPr>
                <w:rFonts w:hint="eastAsia" w:ascii="宋体" w:hAnsi="宋体"/>
                <w:color w:val="auto"/>
                <w:highlight w:val="none"/>
              </w:rPr>
              <w:t>最高限价（元）：</w:t>
            </w:r>
            <w:r>
              <w:rPr>
                <w:rFonts w:hint="eastAsia" w:ascii="宋体" w:hAnsi="宋体" w:cs="宋体"/>
                <w:color w:val="auto"/>
                <w:highlight w:val="none"/>
              </w:rPr>
              <w:t>6115000</w:t>
            </w:r>
            <w:r>
              <w:rPr>
                <w:rFonts w:hint="eastAsia" w:ascii="宋体" w:hAnsi="宋体"/>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6</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是否接受进口产品投标：不接受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7</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8</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是否为专门面向小微企业的采购项目：否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9</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是否允许投标人将项目非主体、非关键性工作交由他人完成：否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10</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现场踏勘：供应商如有需要，请自行踏勘现场。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11</w:t>
            </w:r>
          </w:p>
        </w:tc>
        <w:tc>
          <w:tcPr>
            <w:tcW w:w="8225" w:type="dxa"/>
            <w:noWrap w:val="0"/>
            <w:tcMar>
              <w:top w:w="113" w:type="dxa"/>
              <w:bottom w:w="113" w:type="dxa"/>
            </w:tcMar>
            <w:vAlign w:val="center"/>
          </w:tcPr>
          <w:p>
            <w:pPr>
              <w:rPr>
                <w:rFonts w:ascii="宋体" w:hAnsi="宋体"/>
                <w:color w:val="auto"/>
                <w:highlight w:val="none"/>
              </w:rPr>
            </w:pPr>
            <w:r>
              <w:rPr>
                <w:rFonts w:ascii="宋体" w:hAnsi="宋体"/>
                <w:color w:val="auto"/>
                <w:highlight w:val="none"/>
              </w:rPr>
              <w:t>投标报价：</w:t>
            </w:r>
          </w:p>
          <w:p>
            <w:pPr>
              <w:rPr>
                <w:rFonts w:ascii="宋体" w:hAnsi="宋体"/>
                <w:color w:val="auto"/>
                <w:highlight w:val="none"/>
              </w:rPr>
            </w:pPr>
            <w:r>
              <w:rPr>
                <w:rFonts w:hint="eastAsia" w:ascii="宋体" w:hAnsi="宋体"/>
                <w:color w:val="auto"/>
                <w:highlight w:val="none"/>
              </w:rPr>
              <w:t>1、报总价，详见《开标一览表》和《投标报价明细表》中要求</w:t>
            </w:r>
          </w:p>
          <w:p>
            <w:pPr>
              <w:rPr>
                <w:rFonts w:ascii="宋体" w:hAnsi="宋体"/>
                <w:color w:val="auto"/>
                <w:highlight w:val="none"/>
              </w:rPr>
            </w:pPr>
            <w:r>
              <w:rPr>
                <w:rFonts w:hint="eastAsia" w:ascii="宋体" w:hAnsi="宋体"/>
                <w:color w:val="auto"/>
                <w:highlight w:val="none"/>
              </w:rPr>
              <w:t>2、本项目采购预算及最高限价详见《招标公告》，投标报价超过最高限价的作无效标处理。</w:t>
            </w:r>
          </w:p>
          <w:p>
            <w:pPr>
              <w:rPr>
                <w:rFonts w:ascii="宋体" w:hAnsi="宋体"/>
                <w:color w:val="auto"/>
                <w:highlight w:val="none"/>
              </w:rPr>
            </w:pPr>
            <w:r>
              <w:rPr>
                <w:rFonts w:hint="eastAsia" w:ascii="宋体" w:hAnsi="宋体"/>
                <w:color w:val="auto"/>
                <w:highlight w:val="none"/>
              </w:rPr>
              <w:t>3、投标人的投标报价明显低于其他通过初步审查的投标人的投标报价的，有可能影响产品质量或者不能诚信履约的，评标委员会有权要求投标人对明显偏低的投标报价作出书面价格测算说明，投标人如不能在评委会规定的时间内提供说明的，或说明不被评委会认可的，评委会将认定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12</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投标截止时间及地点：详见第一部分招标公告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13</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开标时间及地点：详见第一部分招标公告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14</w:t>
            </w:r>
          </w:p>
        </w:tc>
        <w:tc>
          <w:tcPr>
            <w:tcW w:w="8225" w:type="dxa"/>
            <w:noWrap w:val="0"/>
            <w:tcMar>
              <w:top w:w="113" w:type="dxa"/>
              <w:bottom w:w="113" w:type="dxa"/>
            </w:tcMar>
            <w:vAlign w:val="center"/>
          </w:tcPr>
          <w:p>
            <w:pPr>
              <w:rPr>
                <w:color w:val="auto"/>
                <w:highlight w:val="none"/>
              </w:rPr>
            </w:pPr>
            <w:r>
              <w:rPr>
                <w:rFonts w:hint="eastAsia"/>
                <w:color w:val="auto"/>
                <w:highlight w:val="none"/>
              </w:rPr>
              <w:t>投标文件份数：</w:t>
            </w:r>
          </w:p>
          <w:p>
            <w:pPr>
              <w:rPr>
                <w:rFonts w:ascii="Times New Roman" w:hAnsi="Times New Roman" w:eastAsia="宋体" w:cs="Times New Roman"/>
                <w:color w:val="auto"/>
                <w:highlight w:val="none"/>
              </w:rPr>
            </w:pPr>
            <w:r>
              <w:rPr>
                <w:rFonts w:hint="eastAsia"/>
                <w:color w:val="auto"/>
                <w:highlight w:val="none"/>
              </w:rPr>
              <w:t>（1）上传到政府采购云平台的电子投标文件（含资格证明文件、商务技术文件、报价文</w:t>
            </w:r>
            <w:r>
              <w:rPr>
                <w:rFonts w:hint="eastAsia" w:ascii="Times New Roman" w:hAnsi="Times New Roman" w:eastAsia="宋体" w:cs="Times New Roman"/>
                <w:color w:val="auto"/>
                <w:highlight w:val="none"/>
              </w:rPr>
              <w:t>件）1份。</w:t>
            </w:r>
          </w:p>
          <w:p>
            <w:pP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（2）以U盘存储的电子备份投标文件（含资格证明文件、商务技术文件、报价文件）1份。</w:t>
            </w:r>
          </w:p>
          <w:p>
            <w:pPr>
              <w:rPr>
                <w:rFonts w:hint="eastAsia" w:eastAsia="宋体"/>
                <w:color w:val="auto"/>
                <w:highlight w:val="none"/>
                <w:lang w:eastAsia="zh-CN"/>
              </w:rPr>
            </w:pPr>
            <w:r>
              <w:rPr>
                <w:rFonts w:hint="eastAsia"/>
                <w:color w:val="auto"/>
                <w:highlight w:val="none"/>
              </w:rPr>
              <w:t>注：中标供应商领取中标通知书前补交纸质投标文件（电子投标文件的打印件并加盖公章）（含资格证明文件、商务技术文件、报价文件）</w:t>
            </w:r>
            <w:r>
              <w:rPr>
                <w:rFonts w:hint="eastAsia"/>
                <w:color w:val="auto"/>
                <w:highlight w:val="none"/>
                <w:lang w:val="en-US" w:eastAsia="zh-CN"/>
              </w:rPr>
              <w:t>3</w:t>
            </w:r>
            <w:r>
              <w:rPr>
                <w:rFonts w:hint="eastAsia"/>
                <w:color w:val="auto"/>
                <w:highlight w:val="none"/>
              </w:rPr>
              <w:t>份，并加盖公章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15</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16</w:t>
            </w:r>
          </w:p>
        </w:tc>
        <w:tc>
          <w:tcPr>
            <w:tcW w:w="8225" w:type="dxa"/>
            <w:noWrap w:val="0"/>
            <w:tcMar>
              <w:top w:w="113" w:type="dxa"/>
              <w:bottom w:w="113" w:type="dxa"/>
            </w:tcMar>
            <w:vAlign w:val="center"/>
          </w:tcPr>
          <w:p>
            <w:pPr>
              <w:rPr>
                <w:b/>
                <w:color w:val="auto"/>
                <w:highlight w:val="none"/>
              </w:rPr>
            </w:pPr>
            <w:r>
              <w:rPr>
                <w:rFonts w:hint="eastAsia" w:ascii="宋体" w:hAnsi="宋体"/>
                <w:color w:val="auto"/>
                <w:highlight w:val="none"/>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17</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履约保证金：本项目不收取履约保证金。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18</w:t>
            </w:r>
          </w:p>
        </w:tc>
        <w:tc>
          <w:tcPr>
            <w:tcW w:w="8225" w:type="dxa"/>
            <w:noWrap w:val="0"/>
            <w:tcMar>
              <w:top w:w="113" w:type="dxa"/>
              <w:bottom w:w="113" w:type="dxa"/>
            </w:tcMar>
            <w:vAlign w:val="center"/>
          </w:tcPr>
          <w:p>
            <w:pPr>
              <w:rPr>
                <w:rFonts w:hint="eastAsia" w:ascii="宋体" w:hAnsi="宋体"/>
                <w:color w:val="auto"/>
                <w:highlight w:val="none"/>
              </w:rPr>
            </w:pPr>
            <w:r>
              <w:rPr>
                <w:rFonts w:hint="eastAsia" w:ascii="宋体" w:hAnsi="宋体"/>
                <w:color w:val="auto"/>
                <w:highlight w:val="none"/>
              </w:rPr>
              <w:t>付款方式：</w:t>
            </w:r>
            <w:r>
              <w:rPr>
                <w:rFonts w:hint="eastAsia" w:ascii="宋体" w:hAnsi="宋体"/>
                <w:color w:val="auto"/>
                <w:highlight w:val="none"/>
              </w:rPr>
              <w:br w:type="textWrapping"/>
            </w:r>
            <w:r>
              <w:rPr>
                <w:rFonts w:hint="eastAsia" w:ascii="宋体" w:hAnsi="宋体"/>
                <w:color w:val="auto"/>
                <w:highlight w:val="none"/>
              </w:rPr>
              <w:t>（1）合同生效并具备实施条件后7个工作日内，</w:t>
            </w:r>
            <w:r>
              <w:rPr>
                <w:rFonts w:hint="eastAsia" w:ascii="宋体" w:hAnsi="宋体"/>
                <w:color w:val="auto"/>
                <w:highlight w:val="none"/>
                <w:lang w:val="en-US" w:eastAsia="zh-CN"/>
              </w:rPr>
              <w:t>买方</w:t>
            </w:r>
            <w:r>
              <w:rPr>
                <w:rFonts w:hint="eastAsia" w:ascii="宋体" w:hAnsi="宋体"/>
                <w:color w:val="auto"/>
                <w:highlight w:val="none"/>
              </w:rPr>
              <w:t>收到</w:t>
            </w:r>
            <w:r>
              <w:rPr>
                <w:rFonts w:hint="eastAsia" w:ascii="宋体" w:hAnsi="宋体"/>
                <w:color w:val="auto"/>
                <w:highlight w:val="none"/>
                <w:lang w:val="en-US" w:eastAsia="zh-CN"/>
              </w:rPr>
              <w:t>卖方</w:t>
            </w:r>
            <w:r>
              <w:rPr>
                <w:rFonts w:hint="eastAsia" w:ascii="宋体" w:hAnsi="宋体"/>
                <w:color w:val="auto"/>
                <w:highlight w:val="none"/>
              </w:rPr>
              <w:t>开具的发票及预付款保函后，出资方支付合同金额的40%的货款；预付款保函由银行、保险公司等金融机构出具且与预付款等同金额。</w:t>
            </w:r>
          </w:p>
          <w:p>
            <w:pPr>
              <w:rPr>
                <w:rFonts w:hint="eastAsia" w:ascii="宋体" w:hAnsi="宋体"/>
                <w:color w:val="auto"/>
                <w:highlight w:val="none"/>
              </w:rPr>
            </w:pPr>
            <w:r>
              <w:rPr>
                <w:rFonts w:hint="eastAsia" w:ascii="宋体" w:hAnsi="宋体"/>
                <w:color w:val="auto"/>
                <w:highlight w:val="none"/>
              </w:rPr>
              <w:t>（2）各子系统的主要关键设备到位后，承包人及时向发包人提出到货验收申请，通过发包人验收后，出资人向承包人支付合同总价的20%。</w:t>
            </w:r>
          </w:p>
          <w:p>
            <w:pPr>
              <w:rPr>
                <w:rFonts w:hint="eastAsia" w:ascii="宋体" w:hAnsi="宋体"/>
                <w:color w:val="auto"/>
                <w:highlight w:val="none"/>
              </w:rPr>
            </w:pPr>
            <w:r>
              <w:rPr>
                <w:rFonts w:hint="eastAsia" w:ascii="宋体" w:hAnsi="宋体"/>
                <w:color w:val="auto"/>
                <w:highlight w:val="none"/>
              </w:rPr>
              <w:t>（3）安装调试完成后，承包人及时向发包人提出初步验收申请，经发包人初步验收合格，出资人向承包人支付合同总价的20%。</w:t>
            </w:r>
          </w:p>
          <w:p>
            <w:pPr>
              <w:rPr>
                <w:rFonts w:hint="eastAsia" w:ascii="宋体" w:hAnsi="宋体"/>
                <w:color w:val="auto"/>
                <w:highlight w:val="none"/>
              </w:rPr>
            </w:pPr>
            <w:r>
              <w:rPr>
                <w:rFonts w:hint="eastAsia" w:ascii="宋体" w:hAnsi="宋体"/>
                <w:color w:val="auto"/>
                <w:highlight w:val="none"/>
              </w:rPr>
              <w:t>（4）初步验收合格，全部系统试运行满1个月后，承包人及时向发包人提出最终验收申请，最终验收通过后，出资人向承包人支付余款，且在承包人出具由使用单位书面签字盖章确认的设备正常运行函后退还预付款保函。</w:t>
            </w:r>
          </w:p>
          <w:p>
            <w:pPr>
              <w:rPr>
                <w:rFonts w:ascii="宋体" w:hAnsi="宋体"/>
                <w:color w:val="auto"/>
                <w:highlight w:val="none"/>
              </w:rPr>
            </w:pPr>
            <w:r>
              <w:rPr>
                <w:rFonts w:hint="eastAsia" w:ascii="宋体" w:hAnsi="宋体"/>
                <w:color w:val="auto"/>
                <w:highlight w:val="none"/>
              </w:rPr>
              <w:t>（5）承包人不按规定提出验收申请的，当次支付申请不予受理，相关验收内容延至下一道验收程序中进行。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19</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投标人信用信息查询：资格审查时，通过“信用中国”网站（www.creditchina.gov.cn）、中国政府采购网（www.ccgp.gov.cn）渠道查询投标人信用记录，经查询列入失信被执行人、重大税收违法案件当事人名单</w:t>
            </w:r>
            <w:r>
              <w:rPr>
                <w:rFonts w:hint="eastAsia" w:ascii="宋体" w:hAnsi="宋体" w:cs="宋体"/>
                <w:color w:val="auto"/>
                <w:szCs w:val="21"/>
                <w:highlight w:val="none"/>
              </w:rPr>
              <w:t>（税收违法黑名单）</w:t>
            </w:r>
            <w:r>
              <w:rPr>
                <w:rFonts w:hint="eastAsia" w:ascii="宋体" w:hAnsi="宋体"/>
                <w:color w:val="auto"/>
                <w:highlight w:val="none"/>
              </w:rPr>
              <w:t>、政府采购严重违法失信行为记录名单，且在禁止参加采购期限内的，其投标将被拒绝。如相关失信记录已失效，供应商需提供相关证明资料；若在开标当天因不可抗力事件导致无法查询且一时无法恢复查询的，可在中标公示期间对中标候选供应商进行事后查询。中标候选供应商被列入失信被执行人、重大税收违法案件当事人名单</w:t>
            </w:r>
            <w:r>
              <w:rPr>
                <w:rFonts w:hint="eastAsia" w:ascii="宋体" w:hAnsi="宋体" w:cs="宋体"/>
                <w:color w:val="auto"/>
                <w:szCs w:val="21"/>
                <w:highlight w:val="none"/>
              </w:rPr>
              <w:t>（税收违法黑名单）</w:t>
            </w:r>
            <w:r>
              <w:rPr>
                <w:rFonts w:hint="eastAsia" w:ascii="宋体" w:hAnsi="宋体"/>
                <w:color w:val="auto"/>
                <w:highlight w:val="none"/>
              </w:rPr>
              <w:t>、政府采购严重违法失信行为记录名单的，采购单位将依法取消其中标资格）。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20</w:t>
            </w:r>
          </w:p>
        </w:tc>
        <w:tc>
          <w:tcPr>
            <w:tcW w:w="8225" w:type="dxa"/>
            <w:noWrap w:val="0"/>
            <w:tcMar>
              <w:top w:w="113" w:type="dxa"/>
              <w:bottom w:w="113" w:type="dxa"/>
            </w:tcMar>
            <w:vAlign w:val="center"/>
          </w:tcPr>
          <w:p>
            <w:pPr>
              <w:rPr>
                <w:rFonts w:ascii="宋体" w:hAnsi="宋体"/>
                <w:b/>
                <w:color w:val="auto"/>
                <w:highlight w:val="none"/>
              </w:rPr>
            </w:pPr>
            <w:r>
              <w:rPr>
                <w:rFonts w:hint="eastAsia" w:ascii="宋体" w:hAnsi="宋体"/>
                <w:color w:val="auto"/>
                <w:highlight w:val="none"/>
              </w:rPr>
              <w:t>其他说明：对于招标文件中提及的复印件要求，照片件、扫描件与其具有同等效力。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3" w:hRule="atLeast"/>
        </w:trPr>
        <w:tc>
          <w:tcPr>
            <w:tcW w:w="824" w:type="dxa"/>
            <w:noWrap w:val="0"/>
            <w:vAlign w:val="center"/>
          </w:tcPr>
          <w:p>
            <w:pPr>
              <w:jc w:val="center"/>
              <w:rPr>
                <w:rFonts w:ascii="宋体" w:hAnsi="宋体"/>
                <w:b/>
                <w:color w:val="auto"/>
                <w:highlight w:val="none"/>
              </w:rPr>
            </w:pPr>
            <w:r>
              <w:rPr>
                <w:rFonts w:hint="eastAsia" w:ascii="宋体" w:hAnsi="宋体"/>
                <w:b/>
                <w:color w:val="auto"/>
                <w:highlight w:val="none"/>
              </w:rPr>
              <w:t>21</w:t>
            </w:r>
          </w:p>
        </w:tc>
        <w:tc>
          <w:tcPr>
            <w:tcW w:w="8225" w:type="dxa"/>
            <w:noWrap w:val="0"/>
            <w:tcMar>
              <w:top w:w="113" w:type="dxa"/>
              <w:bottom w:w="113" w:type="dxa"/>
            </w:tcMar>
            <w:vAlign w:val="center"/>
          </w:tcPr>
          <w:p>
            <w:pPr>
              <w:rPr>
                <w:rFonts w:ascii="宋体" w:hAnsi="宋体"/>
                <w:color w:val="auto"/>
                <w:highlight w:val="none"/>
              </w:rPr>
            </w:pPr>
            <w:r>
              <w:rPr>
                <w:rFonts w:hint="eastAsia" w:ascii="宋体" w:hAnsi="宋体"/>
                <w:color w:val="auto"/>
                <w:highlight w:val="none"/>
              </w:rPr>
              <w:t>中标服务费：</w:t>
            </w:r>
          </w:p>
          <w:p>
            <w:pPr>
              <w:numPr>
                <w:ilvl w:val="0"/>
                <w:numId w:val="2"/>
              </w:numPr>
              <w:rPr>
                <w:color w:val="auto"/>
                <w:highlight w:val="none"/>
              </w:rPr>
            </w:pPr>
            <w:r>
              <w:rPr>
                <w:rFonts w:hint="eastAsia" w:ascii="宋体" w:hAnsi="宋体"/>
                <w:color w:val="auto"/>
                <w:highlight w:val="none"/>
              </w:rPr>
              <w:t>中标服务费的收取标准：</w:t>
            </w:r>
          </w:p>
          <w:p>
            <w:pPr>
              <w:rPr>
                <w:color w:val="auto"/>
                <w:highlight w:val="none"/>
              </w:rPr>
            </w:pPr>
            <w:r>
              <w:rPr>
                <w:rFonts w:hint="eastAsia" w:ascii="宋体" w:hAnsi="宋体"/>
                <w:color w:val="auto"/>
                <w:highlight w:val="none"/>
              </w:rPr>
              <w:t>本招标公司根据中标通知书中的中标总金额按照下表中货物的收费标准下浮23%，向中标人收取中标服务费；</w:t>
            </w:r>
          </w:p>
          <w:p>
            <w:pPr>
              <w:rPr>
                <w:rFonts w:ascii="宋体" w:hAnsi="宋体"/>
                <w:color w:val="auto"/>
                <w:highlight w:val="none"/>
              </w:rPr>
            </w:pPr>
            <w:r>
              <w:rPr>
                <w:rFonts w:ascii="宋体" w:hAnsi="宋体"/>
                <w:color w:val="auto"/>
                <w:highlight w:val="none"/>
              </w:rPr>
              <w:drawing>
                <wp:inline distT="0" distB="0" distL="114300" distR="114300">
                  <wp:extent cx="4093210" cy="1893570"/>
                  <wp:effectExtent l="0" t="0" r="2540" b="11430"/>
                  <wp:docPr id="4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
                          <pic:cNvPicPr>
                            <a:picLocks noChangeAspect="1"/>
                          </pic:cNvPicPr>
                        </pic:nvPicPr>
                        <pic:blipFill>
                          <a:blip r:embed="rId10"/>
                          <a:stretch>
                            <a:fillRect/>
                          </a:stretch>
                        </pic:blipFill>
                        <pic:spPr>
                          <a:xfrm>
                            <a:off x="0" y="0"/>
                            <a:ext cx="4093210" cy="1893570"/>
                          </a:xfrm>
                          <a:prstGeom prst="rect">
                            <a:avLst/>
                          </a:prstGeom>
                          <a:noFill/>
                          <a:ln>
                            <a:noFill/>
                          </a:ln>
                        </pic:spPr>
                      </pic:pic>
                    </a:graphicData>
                  </a:graphic>
                </wp:inline>
              </w:drawing>
            </w:r>
          </w:p>
          <w:p>
            <w:pPr>
              <w:rPr>
                <w:rFonts w:ascii="宋体" w:hAnsi="宋体"/>
                <w:color w:val="auto"/>
                <w:highlight w:val="none"/>
              </w:rPr>
            </w:pPr>
            <w:r>
              <w:rPr>
                <w:rFonts w:hint="eastAsia" w:ascii="宋体" w:hAnsi="宋体"/>
                <w:color w:val="auto"/>
                <w:highlight w:val="none"/>
              </w:rPr>
              <w:t>（2）中标供应商应在中标通知书发出后5个工作日内向本招标公司支付中标服务费。</w:t>
            </w:r>
          </w:p>
        </w:tc>
      </w:tr>
    </w:tbl>
    <w:p>
      <w:pPr>
        <w:spacing w:line="520" w:lineRule="exact"/>
        <w:jc w:val="center"/>
        <w:rPr>
          <w:rFonts w:ascii="宋体" w:hAnsi="宋体"/>
          <w:b/>
          <w:bCs/>
          <w:color w:val="auto"/>
          <w:sz w:val="32"/>
          <w:highlight w:val="none"/>
        </w:rPr>
      </w:pPr>
      <w:r>
        <w:rPr>
          <w:rFonts w:hint="eastAsia" w:ascii="宋体" w:hAnsi="宋体"/>
          <w:b/>
          <w:bCs/>
          <w:color w:val="auto"/>
          <w:sz w:val="32"/>
          <w:highlight w:val="none"/>
        </w:rPr>
        <w:t>一、总</w:t>
      </w:r>
      <w:r>
        <w:rPr>
          <w:rFonts w:ascii="宋体" w:hAnsi="宋体"/>
          <w:b/>
          <w:bCs/>
          <w:color w:val="auto"/>
          <w:sz w:val="32"/>
          <w:highlight w:val="none"/>
        </w:rPr>
        <w:t xml:space="preserve">  </w:t>
      </w:r>
      <w:r>
        <w:rPr>
          <w:rFonts w:hint="eastAsia" w:ascii="宋体" w:hAnsi="宋体"/>
          <w:b/>
          <w:bCs/>
          <w:color w:val="auto"/>
          <w:sz w:val="32"/>
          <w:highlight w:val="none"/>
        </w:rPr>
        <w:t>则</w:t>
      </w:r>
    </w:p>
    <w:p>
      <w:pPr>
        <w:spacing w:line="400" w:lineRule="exact"/>
        <w:rPr>
          <w:rFonts w:ascii="宋体" w:hAnsi="宋体"/>
          <w:b/>
          <w:bCs/>
          <w:color w:val="auto"/>
          <w:sz w:val="24"/>
          <w:highlight w:val="none"/>
        </w:rPr>
      </w:pPr>
      <w:r>
        <w:rPr>
          <w:rFonts w:hint="eastAsia" w:ascii="宋体" w:hAnsi="宋体"/>
          <w:b/>
          <w:bCs/>
          <w:color w:val="auto"/>
          <w:sz w:val="24"/>
          <w:highlight w:val="none"/>
        </w:rPr>
        <w:t>（一）适用范围</w:t>
      </w:r>
    </w:p>
    <w:p>
      <w:pPr>
        <w:spacing w:line="400" w:lineRule="exact"/>
        <w:ind w:firstLine="420" w:firstLineChars="200"/>
        <w:rPr>
          <w:rFonts w:ascii="宋体" w:hAnsi="宋体"/>
          <w:color w:val="auto"/>
          <w:highlight w:val="none"/>
        </w:rPr>
      </w:pPr>
      <w:r>
        <w:rPr>
          <w:rFonts w:hint="eastAsia" w:ascii="宋体" w:hAnsi="宋体"/>
          <w:color w:val="auto"/>
          <w:highlight w:val="none"/>
        </w:rPr>
        <w:t>本招标文件适用于</w:t>
      </w:r>
      <w:r>
        <w:rPr>
          <w:rFonts w:hint="eastAsia" w:hAnsi="宋体"/>
          <w:color w:val="auto"/>
          <w:highlight w:val="none"/>
        </w:rPr>
        <w:t>招标公告中所述</w:t>
      </w:r>
      <w:r>
        <w:rPr>
          <w:rFonts w:hint="eastAsia" w:ascii="宋体" w:hAnsi="宋体"/>
          <w:color w:val="auto"/>
          <w:highlight w:val="none"/>
        </w:rPr>
        <w:t>项目的招标、投标、评标、定标、验收、合同履约、付款等行为（法律、法规另有规定的，从其规定）。</w:t>
      </w:r>
    </w:p>
    <w:p>
      <w:pPr>
        <w:spacing w:line="400" w:lineRule="exact"/>
        <w:rPr>
          <w:rFonts w:ascii="宋体" w:hAnsi="宋体"/>
          <w:b/>
          <w:bCs/>
          <w:color w:val="auto"/>
          <w:sz w:val="24"/>
          <w:highlight w:val="none"/>
        </w:rPr>
      </w:pPr>
      <w:r>
        <w:rPr>
          <w:rFonts w:hint="eastAsia" w:ascii="宋体" w:hAnsi="宋体"/>
          <w:b/>
          <w:bCs/>
          <w:color w:val="auto"/>
          <w:sz w:val="24"/>
          <w:highlight w:val="none"/>
        </w:rPr>
        <w:t>（二）定义</w:t>
      </w:r>
    </w:p>
    <w:p>
      <w:pPr>
        <w:spacing w:line="400" w:lineRule="exact"/>
        <w:ind w:firstLine="420" w:firstLineChars="200"/>
        <w:rPr>
          <w:rFonts w:ascii="宋体" w:hAnsi="宋体"/>
          <w:color w:val="auto"/>
          <w:highlight w:val="none"/>
        </w:rPr>
      </w:pPr>
      <w:r>
        <w:rPr>
          <w:rFonts w:hint="eastAsia" w:ascii="宋体" w:hAnsi="宋体"/>
          <w:color w:val="auto"/>
          <w:highlight w:val="none"/>
        </w:rPr>
        <w:t>1.“招标采购单位”系指组织本次招标的代理机构和采购单位（“采购人”）。</w:t>
      </w:r>
    </w:p>
    <w:p>
      <w:pPr>
        <w:spacing w:line="400" w:lineRule="exact"/>
        <w:ind w:firstLine="420" w:firstLineChars="200"/>
        <w:rPr>
          <w:rFonts w:ascii="宋体" w:hAnsi="宋体"/>
          <w:color w:val="auto"/>
          <w:highlight w:val="none"/>
        </w:rPr>
      </w:pPr>
      <w:r>
        <w:rPr>
          <w:rFonts w:hint="eastAsia" w:ascii="宋体" w:hAnsi="宋体"/>
          <w:color w:val="auto"/>
          <w:highlight w:val="none"/>
        </w:rPr>
        <w:t>2.“投标人”系指向招标方提交投标文件的单位。</w:t>
      </w:r>
    </w:p>
    <w:p>
      <w:pPr>
        <w:spacing w:line="400" w:lineRule="exact"/>
        <w:ind w:firstLine="420" w:firstLineChars="200"/>
        <w:rPr>
          <w:rFonts w:ascii="宋体" w:hAnsi="宋体"/>
          <w:color w:val="auto"/>
          <w:highlight w:val="none"/>
        </w:rPr>
      </w:pPr>
      <w:r>
        <w:rPr>
          <w:rFonts w:hint="eastAsia" w:ascii="宋体" w:hAnsi="宋体"/>
          <w:color w:val="auto"/>
          <w:highlight w:val="none"/>
        </w:rPr>
        <w:t>3. 产品”系指供方按招标文件规定，须向采购人提供的一切设备、保险、税金、备品备件、工具、手册及其它有关技术资料和材料。</w:t>
      </w:r>
    </w:p>
    <w:p>
      <w:pPr>
        <w:spacing w:line="400" w:lineRule="exact"/>
        <w:ind w:firstLine="420" w:firstLineChars="200"/>
        <w:rPr>
          <w:rFonts w:ascii="宋体" w:hAnsi="宋体"/>
          <w:color w:val="auto"/>
          <w:highlight w:val="none"/>
        </w:rPr>
      </w:pPr>
      <w:r>
        <w:rPr>
          <w:rFonts w:hint="eastAsia" w:ascii="宋体" w:hAnsi="宋体"/>
          <w:color w:val="auto"/>
          <w:highlight w:val="none"/>
        </w:rPr>
        <w:t>4.“服务”系指招标文件规定投标人须承担的安装、调试、技术协助、校准、培训、技术指导以及其他类似的义务。</w:t>
      </w:r>
    </w:p>
    <w:p>
      <w:pPr>
        <w:spacing w:line="400" w:lineRule="exact"/>
        <w:ind w:firstLine="420" w:firstLineChars="200"/>
        <w:rPr>
          <w:rFonts w:ascii="宋体" w:hAnsi="宋体"/>
          <w:color w:val="auto"/>
          <w:highlight w:val="none"/>
        </w:rPr>
      </w:pPr>
      <w:r>
        <w:rPr>
          <w:rFonts w:hint="eastAsia" w:ascii="宋体" w:hAnsi="宋体"/>
          <w:color w:val="auto"/>
          <w:highlight w:val="none"/>
        </w:rPr>
        <w:t>5.“项目”系指投标人按招标文件规定向采购人提供的产品和服务。</w:t>
      </w:r>
    </w:p>
    <w:p>
      <w:pPr>
        <w:spacing w:line="400" w:lineRule="exact"/>
        <w:ind w:firstLine="420" w:firstLineChars="200"/>
        <w:rPr>
          <w:rFonts w:ascii="宋体" w:hAnsi="宋体"/>
          <w:color w:val="auto"/>
          <w:highlight w:val="none"/>
        </w:rPr>
      </w:pPr>
      <w:r>
        <w:rPr>
          <w:rFonts w:hint="eastAsia" w:ascii="宋体" w:hAnsi="宋体"/>
          <w:color w:val="auto"/>
          <w:highlight w:val="none"/>
        </w:rPr>
        <w:t>6.“书面形式”包括信函、传真、电报等。</w:t>
      </w:r>
    </w:p>
    <w:p>
      <w:pPr>
        <w:spacing w:line="400" w:lineRule="exact"/>
        <w:ind w:firstLine="420" w:firstLineChars="200"/>
        <w:rPr>
          <w:rFonts w:ascii="宋体" w:hAnsi="宋体"/>
          <w:color w:val="auto"/>
          <w:highlight w:val="none"/>
        </w:rPr>
      </w:pPr>
      <w:r>
        <w:rPr>
          <w:rFonts w:hint="eastAsia" w:ascii="宋体" w:hAnsi="宋体"/>
          <w:color w:val="auto"/>
          <w:highlight w:val="none"/>
        </w:rPr>
        <w:t>7.“★”系指实质性要求条款。</w:t>
      </w:r>
    </w:p>
    <w:p>
      <w:pPr>
        <w:spacing w:line="400" w:lineRule="exact"/>
        <w:rPr>
          <w:rFonts w:ascii="宋体" w:hAnsi="宋体"/>
          <w:b/>
          <w:bCs/>
          <w:color w:val="auto"/>
          <w:sz w:val="24"/>
          <w:highlight w:val="none"/>
        </w:rPr>
      </w:pPr>
      <w:bookmarkStart w:id="16" w:name="_Toc397325819"/>
      <w:r>
        <w:rPr>
          <w:rFonts w:hint="eastAsia" w:ascii="宋体" w:hAnsi="宋体"/>
          <w:b/>
          <w:bCs/>
          <w:color w:val="auto"/>
          <w:sz w:val="24"/>
          <w:highlight w:val="none"/>
        </w:rPr>
        <w:t>（三）招标方式</w:t>
      </w:r>
      <w:bookmarkEnd w:id="16"/>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本次招标采用公开招标方式进行。</w:t>
      </w:r>
    </w:p>
    <w:p>
      <w:pPr>
        <w:spacing w:line="400" w:lineRule="exact"/>
        <w:rPr>
          <w:rFonts w:ascii="宋体" w:hAnsi="宋体"/>
          <w:b/>
          <w:bCs/>
          <w:color w:val="auto"/>
          <w:sz w:val="24"/>
          <w:highlight w:val="none"/>
        </w:rPr>
      </w:pPr>
      <w:bookmarkStart w:id="17" w:name="_Toc397325820"/>
      <w:r>
        <w:rPr>
          <w:rFonts w:hint="eastAsia" w:ascii="宋体" w:hAnsi="宋体"/>
          <w:b/>
          <w:bCs/>
          <w:color w:val="auto"/>
          <w:sz w:val="24"/>
          <w:highlight w:val="none"/>
        </w:rPr>
        <w:t>（四）投标委托</w:t>
      </w:r>
      <w:bookmarkEnd w:id="17"/>
    </w:p>
    <w:p>
      <w:pPr>
        <w:spacing w:line="400" w:lineRule="exact"/>
        <w:ind w:firstLine="420" w:firstLineChars="200"/>
        <w:rPr>
          <w:rFonts w:ascii="宋体" w:hAnsi="宋体"/>
          <w:bCs/>
          <w:color w:val="auto"/>
          <w:szCs w:val="21"/>
          <w:highlight w:val="none"/>
        </w:rPr>
      </w:pPr>
      <w:bookmarkStart w:id="18" w:name="_Toc397325821"/>
      <w:r>
        <w:rPr>
          <w:rFonts w:hint="eastAsia" w:ascii="宋体" w:hAnsi="宋体"/>
          <w:bCs/>
          <w:color w:val="auto"/>
          <w:szCs w:val="21"/>
          <w:highlight w:val="none"/>
        </w:rPr>
        <w:t>投标人代表须携带有效身份证件。投标人代表须为投标人的在职员工，如投标人代表不是法定代表人，须有法定代表人出具的授权委托书并在投标文件中提供投标人代表身份证正反面复印件（格式见第六部分）。</w:t>
      </w:r>
    </w:p>
    <w:p>
      <w:pPr>
        <w:spacing w:line="400" w:lineRule="exact"/>
        <w:rPr>
          <w:rFonts w:ascii="宋体" w:hAnsi="宋体"/>
          <w:b/>
          <w:bCs/>
          <w:color w:val="auto"/>
          <w:sz w:val="24"/>
          <w:highlight w:val="none"/>
        </w:rPr>
      </w:pPr>
      <w:r>
        <w:rPr>
          <w:rFonts w:hint="eastAsia" w:ascii="宋体" w:hAnsi="宋体"/>
          <w:b/>
          <w:bCs/>
          <w:color w:val="auto"/>
          <w:sz w:val="24"/>
          <w:highlight w:val="none"/>
        </w:rPr>
        <w:t>（五）投标费用</w:t>
      </w:r>
      <w:bookmarkEnd w:id="18"/>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不论投标结果如何，投标人均应自行承担所有与投标有关的全部费用（招标文件有相反规定除外）。</w:t>
      </w:r>
    </w:p>
    <w:p>
      <w:pPr>
        <w:spacing w:line="400" w:lineRule="exact"/>
        <w:rPr>
          <w:rFonts w:ascii="宋体" w:hAnsi="宋体"/>
          <w:b/>
          <w:bCs/>
          <w:color w:val="auto"/>
          <w:sz w:val="24"/>
          <w:highlight w:val="none"/>
        </w:rPr>
      </w:pPr>
      <w:r>
        <w:rPr>
          <w:rFonts w:hint="eastAsia" w:ascii="宋体" w:hAnsi="宋体"/>
          <w:b/>
          <w:bCs/>
          <w:color w:val="auto"/>
          <w:sz w:val="24"/>
          <w:highlight w:val="none"/>
        </w:rPr>
        <w:t>（六）联合体投标</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 xml:space="preserve">  本项目不接受联合体投标。</w:t>
      </w:r>
    </w:p>
    <w:p>
      <w:pPr>
        <w:spacing w:line="400" w:lineRule="exact"/>
        <w:rPr>
          <w:rFonts w:ascii="宋体" w:hAnsi="宋体"/>
          <w:b/>
          <w:bCs/>
          <w:color w:val="auto"/>
          <w:sz w:val="24"/>
          <w:highlight w:val="none"/>
        </w:rPr>
      </w:pPr>
      <w:r>
        <w:rPr>
          <w:rFonts w:hint="eastAsia" w:ascii="宋体" w:hAnsi="宋体"/>
          <w:b/>
          <w:bCs/>
          <w:color w:val="auto"/>
          <w:sz w:val="24"/>
          <w:highlight w:val="none"/>
        </w:rPr>
        <w:t>（七）转包与分包</w:t>
      </w:r>
      <w:bookmarkStart w:id="19" w:name="_Toc397325822"/>
    </w:p>
    <w:p>
      <w:pPr>
        <w:spacing w:line="400" w:lineRule="exact"/>
        <w:rPr>
          <w:rFonts w:ascii="宋体" w:hAnsi="宋体"/>
          <w:bCs/>
          <w:color w:val="auto"/>
          <w:szCs w:val="21"/>
          <w:highlight w:val="none"/>
        </w:rPr>
      </w:pPr>
      <w:r>
        <w:rPr>
          <w:rFonts w:hint="eastAsia" w:ascii="宋体" w:hAnsi="宋体"/>
          <w:b/>
          <w:bCs/>
          <w:color w:val="auto"/>
          <w:sz w:val="24"/>
          <w:highlight w:val="none"/>
        </w:rPr>
        <w:t xml:space="preserve">   </w:t>
      </w:r>
      <w:r>
        <w:rPr>
          <w:rFonts w:hint="eastAsia" w:ascii="宋体" w:hAnsi="宋体"/>
          <w:bCs/>
          <w:color w:val="auto"/>
          <w:szCs w:val="21"/>
          <w:highlight w:val="none"/>
        </w:rPr>
        <w:t>本项目不得转包，未经发包人书面同意不得分包。</w:t>
      </w:r>
    </w:p>
    <w:p>
      <w:pPr>
        <w:spacing w:line="400" w:lineRule="exact"/>
        <w:rPr>
          <w:rFonts w:ascii="宋体" w:hAnsi="宋体"/>
          <w:b/>
          <w:bCs/>
          <w:color w:val="auto"/>
          <w:sz w:val="24"/>
          <w:highlight w:val="none"/>
        </w:rPr>
      </w:pPr>
      <w:r>
        <w:rPr>
          <w:rFonts w:hint="eastAsia" w:ascii="宋体" w:hAnsi="宋体"/>
          <w:b/>
          <w:bCs/>
          <w:color w:val="auto"/>
          <w:sz w:val="24"/>
          <w:highlight w:val="none"/>
        </w:rPr>
        <w:t>（八）特别说明：</w:t>
      </w:r>
      <w:bookmarkEnd w:id="19"/>
      <w:bookmarkStart w:id="20" w:name="_Toc397325826"/>
    </w:p>
    <w:p>
      <w:pPr>
        <w:spacing w:line="400" w:lineRule="exact"/>
        <w:rPr>
          <w:rFonts w:ascii="宋体" w:hAnsi="宋体"/>
          <w:b/>
          <w:bCs/>
          <w:color w:val="auto"/>
          <w:sz w:val="24"/>
          <w:highlight w:val="none"/>
        </w:rPr>
      </w:pPr>
      <w:r>
        <w:rPr>
          <w:rFonts w:hint="eastAsia" w:ascii="宋体" w:hAnsi="宋体"/>
          <w:b/>
          <w:bCs/>
          <w:color w:val="auto"/>
          <w:sz w:val="24"/>
          <w:highlight w:val="none"/>
        </w:rPr>
        <w:t xml:space="preserve">    </w:t>
      </w:r>
      <w:r>
        <w:rPr>
          <w:rFonts w:hint="eastAsia" w:ascii="宋体" w:hAnsi="宋体"/>
          <w:bCs/>
          <w:color w:val="auto"/>
          <w:szCs w:val="21"/>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非单一产品采购项目，多家投标人提供的核心产品品牌相同的，按前款处理。</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★2.投标人应仔细阅读招标文件的所有内容，按照招标文件的要求提交投标文件，并对所提供的全部资料的真实性承担法律责任。</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★3.投标人在投标活动中提供任何虚假材料，其投标无效，并报监管部门查处。</w:t>
      </w:r>
    </w:p>
    <w:p>
      <w:pPr>
        <w:spacing w:line="400" w:lineRule="exact"/>
        <w:rPr>
          <w:rFonts w:ascii="宋体" w:hAnsi="宋体"/>
          <w:b/>
          <w:bCs/>
          <w:color w:val="auto"/>
          <w:sz w:val="24"/>
          <w:highlight w:val="none"/>
        </w:rPr>
      </w:pPr>
      <w:r>
        <w:rPr>
          <w:rFonts w:hint="eastAsia" w:ascii="宋体" w:hAnsi="宋体"/>
          <w:b/>
          <w:bCs/>
          <w:color w:val="auto"/>
          <w:sz w:val="24"/>
          <w:highlight w:val="none"/>
        </w:rPr>
        <w:t>（九）质疑和投诉</w:t>
      </w:r>
      <w:bookmarkEnd w:id="20"/>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供应商应知其权益受到损害之日，是指：</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（1）对可以质疑的招标文件提出质疑的，为获取招标文件之日（招标公告期限届满之日后获取招标文件的为招标公告期限届满之日）。</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（2）对招标过程提出质疑的，为各招标程序环节结束之日。</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（3）对中标结果提出质疑的，为中标结果公告期限届满之日。</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部分有关联系方式。</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5.</w:t>
      </w:r>
      <w:r>
        <w:rPr>
          <w:rFonts w:hint="eastAsia" w:ascii="宋体" w:hAnsi="宋体" w:cs="宋体"/>
          <w:color w:val="auto"/>
          <w:szCs w:val="21"/>
          <w:highlight w:val="none"/>
        </w:rPr>
        <w:t>供应商对采购人或采购代理机构的质疑答复不满意或者采购人或采购代理机构未在规定时间内作出答复的，可以在答复期满后十五个工作日内向同级采购监管部门投诉。供应商可到中国政府采购网自行下载财政部《投诉书范本》。</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二、招标文件</w:t>
      </w:r>
    </w:p>
    <w:p>
      <w:pPr>
        <w:spacing w:line="400" w:lineRule="exact"/>
        <w:rPr>
          <w:rFonts w:ascii="宋体" w:hAnsi="宋体"/>
          <w:b/>
          <w:bCs/>
          <w:color w:val="auto"/>
          <w:sz w:val="24"/>
          <w:highlight w:val="none"/>
        </w:rPr>
      </w:pPr>
      <w:r>
        <w:rPr>
          <w:rFonts w:hint="eastAsia" w:ascii="宋体" w:hAnsi="宋体"/>
          <w:b/>
          <w:bCs/>
          <w:color w:val="auto"/>
          <w:sz w:val="24"/>
          <w:highlight w:val="none"/>
        </w:rPr>
        <w:t>（一）招标文件的构成。本招标文件由以下部分组成：</w:t>
      </w:r>
    </w:p>
    <w:p>
      <w:pPr>
        <w:spacing w:line="400" w:lineRule="exact"/>
        <w:ind w:firstLine="420" w:firstLineChars="200"/>
        <w:rPr>
          <w:rFonts w:ascii="宋体" w:hAnsi="宋体"/>
          <w:color w:val="auto"/>
          <w:highlight w:val="none"/>
        </w:rPr>
      </w:pPr>
      <w:r>
        <w:rPr>
          <w:rFonts w:ascii="宋体" w:hAnsi="宋体"/>
          <w:color w:val="auto"/>
          <w:highlight w:val="none"/>
        </w:rPr>
        <w:t>第</w:t>
      </w:r>
      <w:r>
        <w:rPr>
          <w:rFonts w:hint="eastAsia" w:ascii="宋体" w:hAnsi="宋体"/>
          <w:color w:val="auto"/>
          <w:highlight w:val="none"/>
        </w:rPr>
        <w:t>一</w:t>
      </w:r>
      <w:r>
        <w:rPr>
          <w:rFonts w:ascii="宋体" w:hAnsi="宋体"/>
          <w:color w:val="auto"/>
          <w:highlight w:val="none"/>
        </w:rPr>
        <w:t xml:space="preserve">部分 </w:t>
      </w:r>
      <w:r>
        <w:rPr>
          <w:rFonts w:hint="eastAsia" w:ascii="宋体" w:hAnsi="宋体"/>
          <w:color w:val="auto"/>
          <w:highlight w:val="none"/>
        </w:rPr>
        <w:t xml:space="preserve"> 招标公告</w:t>
      </w:r>
    </w:p>
    <w:p>
      <w:pPr>
        <w:spacing w:line="400" w:lineRule="exact"/>
        <w:ind w:firstLine="420" w:firstLineChars="200"/>
        <w:rPr>
          <w:rFonts w:ascii="宋体" w:hAnsi="宋体"/>
          <w:color w:val="auto"/>
          <w:highlight w:val="none"/>
        </w:rPr>
      </w:pPr>
      <w:r>
        <w:rPr>
          <w:rFonts w:ascii="宋体" w:hAnsi="宋体"/>
          <w:color w:val="auto"/>
          <w:highlight w:val="none"/>
        </w:rPr>
        <w:t>第</w:t>
      </w:r>
      <w:r>
        <w:rPr>
          <w:rFonts w:hint="eastAsia" w:ascii="宋体" w:hAnsi="宋体"/>
          <w:color w:val="auto"/>
          <w:highlight w:val="none"/>
        </w:rPr>
        <w:t>二</w:t>
      </w:r>
      <w:r>
        <w:rPr>
          <w:rFonts w:ascii="宋体" w:hAnsi="宋体"/>
          <w:color w:val="auto"/>
          <w:highlight w:val="none"/>
        </w:rPr>
        <w:t xml:space="preserve">部分 </w:t>
      </w:r>
      <w:r>
        <w:rPr>
          <w:rFonts w:hint="eastAsia" w:ascii="宋体" w:hAnsi="宋体"/>
          <w:color w:val="auto"/>
          <w:highlight w:val="none"/>
        </w:rPr>
        <w:t xml:space="preserve"> 投标人须知及前附表</w:t>
      </w:r>
    </w:p>
    <w:p>
      <w:pPr>
        <w:spacing w:line="400" w:lineRule="exact"/>
        <w:ind w:firstLine="420" w:firstLineChars="200"/>
        <w:rPr>
          <w:rFonts w:ascii="宋体" w:hAnsi="宋体"/>
          <w:color w:val="auto"/>
          <w:highlight w:val="none"/>
        </w:rPr>
      </w:pPr>
      <w:r>
        <w:rPr>
          <w:rFonts w:ascii="宋体" w:hAnsi="宋体"/>
          <w:color w:val="auto"/>
          <w:highlight w:val="none"/>
        </w:rPr>
        <w:t>第</w:t>
      </w:r>
      <w:r>
        <w:rPr>
          <w:rFonts w:hint="eastAsia" w:ascii="宋体" w:hAnsi="宋体"/>
          <w:color w:val="auto"/>
          <w:highlight w:val="none"/>
        </w:rPr>
        <w:t>三</w:t>
      </w:r>
      <w:r>
        <w:rPr>
          <w:rFonts w:ascii="宋体" w:hAnsi="宋体"/>
          <w:color w:val="auto"/>
          <w:highlight w:val="none"/>
        </w:rPr>
        <w:t xml:space="preserve">部分 </w:t>
      </w:r>
      <w:r>
        <w:rPr>
          <w:rFonts w:hint="eastAsia" w:ascii="宋体" w:hAnsi="宋体"/>
          <w:color w:val="auto"/>
          <w:highlight w:val="none"/>
        </w:rPr>
        <w:t xml:space="preserve"> 项目内容及要求</w:t>
      </w:r>
    </w:p>
    <w:p>
      <w:pPr>
        <w:spacing w:line="400" w:lineRule="exact"/>
        <w:ind w:firstLine="420" w:firstLineChars="200"/>
        <w:rPr>
          <w:rFonts w:ascii="宋体" w:hAnsi="宋体"/>
          <w:color w:val="auto"/>
          <w:highlight w:val="none"/>
        </w:rPr>
      </w:pPr>
      <w:r>
        <w:rPr>
          <w:rFonts w:ascii="宋体" w:hAnsi="宋体"/>
          <w:color w:val="auto"/>
          <w:highlight w:val="none"/>
        </w:rPr>
        <w:t>第</w:t>
      </w:r>
      <w:r>
        <w:rPr>
          <w:rFonts w:hint="eastAsia" w:ascii="宋体" w:hAnsi="宋体"/>
          <w:color w:val="auto"/>
          <w:highlight w:val="none"/>
        </w:rPr>
        <w:t>四</w:t>
      </w:r>
      <w:r>
        <w:rPr>
          <w:rFonts w:ascii="宋体" w:hAnsi="宋体"/>
          <w:color w:val="auto"/>
          <w:highlight w:val="none"/>
        </w:rPr>
        <w:t>部分</w:t>
      </w:r>
      <w:r>
        <w:rPr>
          <w:rFonts w:hint="eastAsia" w:ascii="宋体" w:hAnsi="宋体"/>
          <w:color w:val="auto"/>
          <w:highlight w:val="none"/>
        </w:rPr>
        <w:t xml:space="preserve">  </w:t>
      </w:r>
      <w:r>
        <w:rPr>
          <w:rFonts w:hint="eastAsia" w:ascii="宋体" w:hAnsi="宋体" w:cs="宋体"/>
          <w:color w:val="auto"/>
          <w:szCs w:val="21"/>
          <w:highlight w:val="none"/>
        </w:rPr>
        <w:t>评标办法及标准</w:t>
      </w:r>
    </w:p>
    <w:p>
      <w:pPr>
        <w:spacing w:line="400" w:lineRule="exact"/>
        <w:ind w:firstLine="420" w:firstLineChars="200"/>
        <w:rPr>
          <w:rFonts w:ascii="宋体" w:hAnsi="宋体"/>
          <w:color w:val="auto"/>
          <w:highlight w:val="none"/>
        </w:rPr>
      </w:pPr>
      <w:r>
        <w:rPr>
          <w:rFonts w:hint="eastAsia" w:ascii="宋体" w:hAnsi="宋体"/>
          <w:color w:val="auto"/>
          <w:highlight w:val="none"/>
        </w:rPr>
        <w:t>第五部分</w:t>
      </w:r>
      <w:r>
        <w:rPr>
          <w:rFonts w:ascii="宋体" w:hAnsi="宋体"/>
          <w:color w:val="auto"/>
          <w:highlight w:val="none"/>
        </w:rPr>
        <w:t xml:space="preserve">  </w:t>
      </w:r>
      <w:r>
        <w:rPr>
          <w:rFonts w:hint="eastAsia" w:ascii="宋体" w:hAnsi="宋体"/>
          <w:color w:val="auto"/>
          <w:highlight w:val="none"/>
        </w:rPr>
        <w:t>合同条款及合同格式</w:t>
      </w:r>
    </w:p>
    <w:p>
      <w:pPr>
        <w:spacing w:line="400" w:lineRule="exact"/>
        <w:ind w:firstLine="420" w:firstLineChars="200"/>
        <w:rPr>
          <w:rFonts w:ascii="宋体" w:hAnsi="宋体"/>
          <w:color w:val="auto"/>
          <w:highlight w:val="none"/>
        </w:rPr>
      </w:pPr>
      <w:r>
        <w:rPr>
          <w:rFonts w:hint="eastAsia" w:ascii="宋体" w:hAnsi="宋体"/>
          <w:color w:val="auto"/>
          <w:highlight w:val="none"/>
        </w:rPr>
        <w:t>第六部分  投标文件格式</w:t>
      </w:r>
    </w:p>
    <w:p>
      <w:pPr>
        <w:spacing w:line="400" w:lineRule="exact"/>
        <w:ind w:firstLine="420" w:firstLineChars="200"/>
        <w:rPr>
          <w:rFonts w:ascii="宋体" w:hAnsi="宋体"/>
          <w:color w:val="auto"/>
          <w:highlight w:val="none"/>
        </w:rPr>
      </w:pPr>
      <w:r>
        <w:rPr>
          <w:rFonts w:hint="eastAsia" w:ascii="宋体" w:hAnsi="宋体"/>
          <w:color w:val="auto"/>
          <w:highlight w:val="none"/>
        </w:rPr>
        <w:t>第七部分  本项目招标文件的澄清、答复、修改、补充的内容（如有）</w:t>
      </w:r>
    </w:p>
    <w:p>
      <w:pPr>
        <w:spacing w:line="400" w:lineRule="exact"/>
        <w:rPr>
          <w:rFonts w:ascii="宋体" w:hAnsi="宋体"/>
          <w:b/>
          <w:bCs/>
          <w:color w:val="auto"/>
          <w:sz w:val="24"/>
          <w:highlight w:val="none"/>
        </w:rPr>
      </w:pPr>
      <w:r>
        <w:rPr>
          <w:rFonts w:hint="eastAsia" w:ascii="宋体" w:hAnsi="宋体"/>
          <w:b/>
          <w:bCs/>
          <w:color w:val="auto"/>
          <w:sz w:val="24"/>
          <w:highlight w:val="none"/>
        </w:rPr>
        <w:t>（二）投标人的风险</w:t>
      </w:r>
    </w:p>
    <w:p>
      <w:pPr>
        <w:spacing w:line="400" w:lineRule="exact"/>
        <w:ind w:firstLine="420" w:firstLineChars="200"/>
        <w:rPr>
          <w:rFonts w:ascii="宋体" w:hAnsi="宋体"/>
          <w:color w:val="auto"/>
          <w:highlight w:val="none"/>
        </w:rPr>
      </w:pPr>
      <w:r>
        <w:rPr>
          <w:rFonts w:hint="eastAsia" w:ascii="宋体" w:hAnsi="宋体"/>
          <w:color w:val="auto"/>
          <w:highlight w:val="none"/>
        </w:rPr>
        <w:t>投标人没有按照招标文件要求提供全部资料，或者投标人没有对招标文件在各方面作出实质性响应是投标人的风险，并可能导致其投标被拒绝。</w:t>
      </w:r>
    </w:p>
    <w:p>
      <w:pPr>
        <w:spacing w:line="400" w:lineRule="exact"/>
        <w:rPr>
          <w:rFonts w:ascii="宋体" w:hAnsi="宋体"/>
          <w:b/>
          <w:bCs/>
          <w:color w:val="auto"/>
          <w:sz w:val="24"/>
          <w:highlight w:val="none"/>
        </w:rPr>
      </w:pPr>
      <w:r>
        <w:rPr>
          <w:rFonts w:hint="eastAsia" w:ascii="宋体" w:hAnsi="宋体"/>
          <w:b/>
          <w:bCs/>
          <w:color w:val="auto"/>
          <w:sz w:val="24"/>
          <w:highlight w:val="none"/>
        </w:rPr>
        <w:t>（三）招标文件的澄清与修改</w:t>
      </w:r>
    </w:p>
    <w:p>
      <w:pPr>
        <w:spacing w:line="400" w:lineRule="exact"/>
        <w:ind w:firstLine="420" w:firstLineChars="200"/>
        <w:rPr>
          <w:rFonts w:ascii="宋体" w:hAnsi="宋体"/>
          <w:color w:val="auto"/>
          <w:highlight w:val="none"/>
        </w:rPr>
      </w:pPr>
      <w:r>
        <w:rPr>
          <w:rFonts w:hint="eastAsia" w:ascii="宋体" w:hAnsi="宋体"/>
          <w:color w:val="auto"/>
          <w:highlight w:val="none"/>
        </w:rPr>
        <w:t>1.采购人或者采购代理机构对招标文件进行必要的澄清或者修改的，澄清或者修改在原公告发布媒体上发布澄清公告。澄清或者修改的内容可能影响投标文件编制的，将在招标公告规定的投标截止时间至少15日前，以书面形式通知所有获取招标文件的潜在投标人；不足15日的，顺延提交投标文件的截止时间。</w:t>
      </w:r>
    </w:p>
    <w:p>
      <w:pPr>
        <w:spacing w:line="400" w:lineRule="exact"/>
        <w:ind w:firstLine="420" w:firstLineChars="200"/>
        <w:rPr>
          <w:rFonts w:ascii="宋体" w:hAnsi="宋体"/>
          <w:color w:val="auto"/>
          <w:highlight w:val="none"/>
        </w:rPr>
      </w:pPr>
      <w:r>
        <w:rPr>
          <w:rFonts w:hint="eastAsia" w:ascii="宋体" w:hAnsi="宋体"/>
          <w:color w:val="auto"/>
          <w:highlight w:val="none"/>
        </w:rPr>
        <w:t>2.澄清公告为招标文件的组成部分，一经在网站发布，视同已通知所有招标文件的收受人，不再采用其它方式传达相关信息, 若因未能及时了解到上述网站上发布的相关信息而导致的一切后果自行承担。</w:t>
      </w:r>
    </w:p>
    <w:p>
      <w:pPr>
        <w:spacing w:line="400" w:lineRule="exact"/>
        <w:ind w:firstLine="420" w:firstLineChars="200"/>
        <w:rPr>
          <w:rFonts w:ascii="宋体" w:hAnsi="宋体"/>
          <w:color w:val="auto"/>
          <w:highlight w:val="none"/>
        </w:rPr>
      </w:pPr>
      <w:r>
        <w:rPr>
          <w:rFonts w:hint="eastAsia" w:ascii="宋体" w:hAnsi="宋体"/>
          <w:color w:val="auto"/>
          <w:highlight w:val="none"/>
        </w:rPr>
        <w:t>3.招标文件澄清、答复、修改、补充的内容为招标文件的组成部分。当招标文件与招标文件的答复、澄清、修改、补充通知就同一内容的表述不一致时，以最后发出的书面文件为准。</w:t>
      </w:r>
    </w:p>
    <w:p>
      <w:pPr>
        <w:spacing w:line="400" w:lineRule="exact"/>
        <w:ind w:firstLine="420" w:firstLineChars="200"/>
        <w:rPr>
          <w:rFonts w:ascii="宋体" w:hAnsi="宋体"/>
          <w:color w:val="auto"/>
          <w:highlight w:val="none"/>
        </w:rPr>
      </w:pPr>
      <w:r>
        <w:rPr>
          <w:rFonts w:hint="eastAsia" w:ascii="宋体" w:hAnsi="宋体"/>
          <w:color w:val="auto"/>
          <w:highlight w:val="none"/>
        </w:rPr>
        <w:t>4.招标文件的澄清、答复、修改或补充都应该通过本代理机构以法定形式发布，采购人非通过本机构，不得擅自澄清、答复、修改或补充招标文件。</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三、投标文件的编制</w:t>
      </w:r>
    </w:p>
    <w:p>
      <w:pPr>
        <w:spacing w:line="400" w:lineRule="exact"/>
        <w:rPr>
          <w:rFonts w:ascii="宋体" w:hAnsi="宋体"/>
          <w:b/>
          <w:bCs/>
          <w:color w:val="auto"/>
          <w:sz w:val="24"/>
          <w:highlight w:val="none"/>
        </w:rPr>
      </w:pPr>
      <w:r>
        <w:rPr>
          <w:rFonts w:hint="eastAsia" w:ascii="宋体" w:hAnsi="宋体"/>
          <w:b/>
          <w:bCs/>
          <w:color w:val="auto"/>
          <w:sz w:val="24"/>
          <w:highlight w:val="none"/>
        </w:rPr>
        <w:t>（一）投标文件的组成（资格证明文件、报价及商务技术文件组成），其中电子投标文件中所须加盖公章部分均采用CA签章。</w:t>
      </w:r>
    </w:p>
    <w:p>
      <w:pPr>
        <w:spacing w:line="400" w:lineRule="exact"/>
        <w:rPr>
          <w:rFonts w:ascii="宋体" w:hAnsi="宋体"/>
          <w:b/>
          <w:color w:val="auto"/>
          <w:highlight w:val="none"/>
        </w:rPr>
      </w:pPr>
      <w:r>
        <w:rPr>
          <w:rFonts w:hint="eastAsia" w:ascii="宋体" w:hAnsi="宋体"/>
          <w:b/>
          <w:color w:val="auto"/>
          <w:highlight w:val="none"/>
        </w:rPr>
        <w:t>1.资格证明文件：</w:t>
      </w:r>
    </w:p>
    <w:p>
      <w:pPr>
        <w:spacing w:line="400" w:lineRule="exact"/>
        <w:rPr>
          <w:rFonts w:ascii="宋体" w:hAnsi="宋体"/>
          <w:color w:val="auto"/>
          <w:highlight w:val="none"/>
        </w:rPr>
      </w:pPr>
      <w:r>
        <w:rPr>
          <w:rFonts w:hint="eastAsia" w:ascii="宋体" w:hAnsi="宋体"/>
          <w:color w:val="auto"/>
          <w:highlight w:val="none"/>
        </w:rPr>
        <w:t>（1）投标人资格条件自查表（格式见附件1）；</w:t>
      </w:r>
    </w:p>
    <w:p>
      <w:pPr>
        <w:spacing w:line="400" w:lineRule="exact"/>
        <w:rPr>
          <w:rFonts w:ascii="宋体" w:hAnsi="宋体"/>
          <w:color w:val="auto"/>
          <w:highlight w:val="none"/>
        </w:rPr>
      </w:pPr>
      <w:r>
        <w:rPr>
          <w:rFonts w:hint="eastAsia" w:ascii="宋体" w:hAnsi="宋体"/>
          <w:color w:val="auto"/>
          <w:highlight w:val="none"/>
        </w:rPr>
        <w:t>（2）投标人资格声明函（格式见附件2）；</w:t>
      </w:r>
    </w:p>
    <w:p>
      <w:pPr>
        <w:spacing w:line="400" w:lineRule="exact"/>
        <w:rPr>
          <w:rFonts w:ascii="宋体" w:hAnsi="宋体"/>
          <w:color w:val="auto"/>
          <w:highlight w:val="none"/>
        </w:rPr>
      </w:pPr>
      <w:r>
        <w:rPr>
          <w:rFonts w:hint="eastAsia" w:ascii="宋体" w:hAnsi="宋体"/>
          <w:color w:val="auto"/>
          <w:highlight w:val="none"/>
        </w:rPr>
        <w:t>（3）法定代表人身份证明书或法定代表人授权书（格式见附件3）；</w:t>
      </w:r>
    </w:p>
    <w:p>
      <w:pPr>
        <w:spacing w:line="400" w:lineRule="exact"/>
        <w:rPr>
          <w:rFonts w:ascii="宋体" w:hAnsi="宋体"/>
          <w:color w:val="auto"/>
          <w:highlight w:val="none"/>
        </w:rPr>
      </w:pPr>
      <w:r>
        <w:rPr>
          <w:rFonts w:hint="eastAsia" w:ascii="宋体" w:hAnsi="宋体"/>
          <w:color w:val="auto"/>
          <w:highlight w:val="none"/>
        </w:rPr>
        <w:t>（4）投标人营业执照复印件（加盖公章）；</w:t>
      </w:r>
    </w:p>
    <w:p>
      <w:pPr>
        <w:spacing w:line="400" w:lineRule="exact"/>
        <w:rPr>
          <w:rFonts w:ascii="宋体" w:hAnsi="宋体"/>
          <w:color w:val="auto"/>
          <w:highlight w:val="none"/>
        </w:rPr>
      </w:pPr>
      <w:r>
        <w:rPr>
          <w:rFonts w:hint="eastAsia" w:ascii="宋体" w:hAnsi="宋体"/>
          <w:color w:val="auto"/>
          <w:highlight w:val="none"/>
        </w:rPr>
        <w:t>（5）近一年内投标人基本开户银行出具的资信证明或投标人近一年度（投标截止时间为上半年的，提供近两年度任一年度）经审计的财务报告（复印件加盖公章）；</w:t>
      </w:r>
    </w:p>
    <w:p>
      <w:pPr>
        <w:spacing w:line="400" w:lineRule="exact"/>
        <w:rPr>
          <w:rFonts w:ascii="宋体" w:hAnsi="宋体"/>
          <w:color w:val="auto"/>
          <w:highlight w:val="none"/>
        </w:rPr>
      </w:pPr>
      <w:r>
        <w:rPr>
          <w:rFonts w:hint="eastAsia" w:ascii="宋体" w:hAnsi="宋体"/>
          <w:color w:val="auto"/>
          <w:highlight w:val="none"/>
        </w:rPr>
        <w:t>（6）投标人由建设行政主管部门颁发的电子与智能化工程专业承包二级及以上资质证书复印件（加盖公章）；</w:t>
      </w:r>
    </w:p>
    <w:p>
      <w:pPr>
        <w:spacing w:line="400" w:lineRule="exact"/>
        <w:rPr>
          <w:rFonts w:ascii="宋体" w:hAnsi="宋体"/>
          <w:color w:val="auto"/>
          <w:highlight w:val="none"/>
        </w:rPr>
      </w:pPr>
      <w:r>
        <w:rPr>
          <w:rFonts w:hint="eastAsia" w:ascii="宋体" w:hAnsi="宋体"/>
          <w:color w:val="auto"/>
          <w:highlight w:val="none"/>
        </w:rPr>
        <w:t>（7）投标人认为需要提供的其他资格证明材料（复印件加盖公章）。</w:t>
      </w:r>
    </w:p>
    <w:p>
      <w:pPr>
        <w:spacing w:line="400" w:lineRule="exact"/>
        <w:rPr>
          <w:rFonts w:ascii="宋体" w:hAnsi="宋体"/>
          <w:b/>
          <w:color w:val="auto"/>
          <w:highlight w:val="none"/>
        </w:rPr>
      </w:pPr>
      <w:r>
        <w:rPr>
          <w:rFonts w:hint="eastAsia" w:ascii="宋体" w:hAnsi="宋体"/>
          <w:b/>
          <w:color w:val="auto"/>
          <w:highlight w:val="none"/>
        </w:rPr>
        <w:t>2.报价及商务技术文件：</w:t>
      </w:r>
    </w:p>
    <w:p>
      <w:pPr>
        <w:spacing w:line="400" w:lineRule="exact"/>
        <w:rPr>
          <w:rFonts w:ascii="宋体" w:hAnsi="宋体"/>
          <w:color w:val="auto"/>
          <w:highlight w:val="none"/>
        </w:rPr>
      </w:pPr>
      <w:r>
        <w:rPr>
          <w:rFonts w:hint="eastAsia" w:ascii="宋体" w:hAnsi="宋体"/>
          <w:b/>
          <w:color w:val="auto"/>
          <w:highlight w:val="none"/>
        </w:rPr>
        <w:t>2.1报价文件：</w:t>
      </w:r>
    </w:p>
    <w:p>
      <w:pPr>
        <w:spacing w:line="400" w:lineRule="exact"/>
        <w:rPr>
          <w:rFonts w:ascii="宋体" w:hAnsi="宋体"/>
          <w:color w:val="auto"/>
          <w:highlight w:val="none"/>
        </w:rPr>
      </w:pPr>
      <w:r>
        <w:rPr>
          <w:rFonts w:hint="eastAsia" w:ascii="宋体" w:hAnsi="宋体"/>
          <w:color w:val="auto"/>
          <w:highlight w:val="none"/>
        </w:rPr>
        <w:t>（1）投标函（格式见附件4）；</w:t>
      </w:r>
    </w:p>
    <w:p>
      <w:pPr>
        <w:spacing w:line="400" w:lineRule="exact"/>
        <w:rPr>
          <w:rFonts w:ascii="宋体" w:hAnsi="宋体"/>
          <w:color w:val="auto"/>
          <w:highlight w:val="none"/>
        </w:rPr>
      </w:pPr>
      <w:r>
        <w:rPr>
          <w:rFonts w:hint="eastAsia" w:ascii="宋体" w:hAnsi="宋体"/>
          <w:color w:val="auto"/>
          <w:highlight w:val="none"/>
        </w:rPr>
        <w:t>（2）开标一览表（格式见附件5）；</w:t>
      </w:r>
    </w:p>
    <w:p>
      <w:pPr>
        <w:spacing w:line="400" w:lineRule="exact"/>
        <w:rPr>
          <w:rFonts w:ascii="宋体" w:hAnsi="宋体"/>
          <w:color w:val="auto"/>
          <w:highlight w:val="none"/>
        </w:rPr>
      </w:pPr>
      <w:r>
        <w:rPr>
          <w:rFonts w:hint="eastAsia" w:ascii="宋体" w:hAnsi="宋体"/>
          <w:color w:val="auto"/>
          <w:highlight w:val="none"/>
        </w:rPr>
        <w:t>（3）投标报价明细表（格式见附件6）；</w:t>
      </w:r>
    </w:p>
    <w:p>
      <w:pPr>
        <w:spacing w:line="400" w:lineRule="exact"/>
        <w:rPr>
          <w:rFonts w:ascii="宋体" w:hAnsi="宋体"/>
          <w:color w:val="auto"/>
          <w:highlight w:val="none"/>
        </w:rPr>
      </w:pPr>
      <w:r>
        <w:rPr>
          <w:rFonts w:hint="eastAsia" w:ascii="宋体" w:hAnsi="宋体"/>
          <w:color w:val="auto"/>
          <w:highlight w:val="none"/>
        </w:rPr>
        <w:t>（4）备品备件清单（格式见附件7）；</w:t>
      </w:r>
    </w:p>
    <w:p>
      <w:pPr>
        <w:spacing w:line="400" w:lineRule="exact"/>
        <w:rPr>
          <w:rFonts w:ascii="宋体" w:hAnsi="宋体"/>
          <w:color w:val="auto"/>
          <w:highlight w:val="none"/>
        </w:rPr>
      </w:pPr>
      <w:r>
        <w:rPr>
          <w:rFonts w:hint="eastAsia" w:ascii="宋体" w:hAnsi="宋体"/>
          <w:color w:val="auto"/>
          <w:highlight w:val="none"/>
        </w:rPr>
        <w:t>（5）中小企业声明函（格式见附件8，如符合请提供）；</w:t>
      </w:r>
    </w:p>
    <w:p>
      <w:pPr>
        <w:spacing w:line="400" w:lineRule="exact"/>
        <w:rPr>
          <w:rFonts w:ascii="宋体" w:hAnsi="宋体"/>
          <w:color w:val="auto"/>
          <w:highlight w:val="none"/>
        </w:rPr>
      </w:pPr>
      <w:r>
        <w:rPr>
          <w:rFonts w:hint="eastAsia" w:ascii="宋体" w:hAnsi="宋体"/>
          <w:color w:val="auto"/>
          <w:highlight w:val="none"/>
        </w:rPr>
        <w:t>（6）残疾人福利性单位声明函（格式见附件9，如符合请提供）；</w:t>
      </w:r>
    </w:p>
    <w:p>
      <w:pPr>
        <w:spacing w:line="400" w:lineRule="exact"/>
        <w:rPr>
          <w:rFonts w:ascii="宋体" w:hAnsi="宋体"/>
          <w:color w:val="auto"/>
          <w:highlight w:val="none"/>
        </w:rPr>
      </w:pPr>
      <w:r>
        <w:rPr>
          <w:rFonts w:hint="eastAsia" w:ascii="宋体" w:hAnsi="宋体"/>
          <w:color w:val="auto"/>
          <w:highlight w:val="none"/>
        </w:rPr>
        <w:t>（7）投标人针对报价需要说明的其他文件和说明。</w:t>
      </w:r>
    </w:p>
    <w:p>
      <w:pPr>
        <w:spacing w:line="400" w:lineRule="exact"/>
        <w:rPr>
          <w:rFonts w:ascii="宋体" w:hAnsi="宋体"/>
          <w:color w:val="auto"/>
          <w:highlight w:val="none"/>
        </w:rPr>
      </w:pPr>
      <w:r>
        <w:rPr>
          <w:rFonts w:hint="eastAsia" w:ascii="宋体" w:hAnsi="宋体" w:cs="宋体"/>
          <w:b/>
          <w:bCs/>
          <w:color w:val="auto"/>
          <w:szCs w:val="21"/>
          <w:highlight w:val="none"/>
        </w:rPr>
        <w:t>2.2商务技术文件：</w:t>
      </w:r>
    </w:p>
    <w:p>
      <w:pPr>
        <w:spacing w:line="400" w:lineRule="exact"/>
        <w:rPr>
          <w:rFonts w:ascii="宋体" w:hAnsi="宋体"/>
          <w:color w:val="auto"/>
          <w:highlight w:val="none"/>
        </w:rPr>
      </w:pPr>
      <w:r>
        <w:rPr>
          <w:rFonts w:hint="eastAsia" w:ascii="宋体" w:hAnsi="宋体"/>
          <w:color w:val="auto"/>
          <w:highlight w:val="none"/>
        </w:rPr>
        <w:t>（1）</w:t>
      </w:r>
      <w:r>
        <w:rPr>
          <w:rFonts w:hint="eastAsia" w:ascii="宋体" w:hAnsi="宋体" w:cs="宋体"/>
          <w:color w:val="auto"/>
          <w:szCs w:val="21"/>
          <w:highlight w:val="none"/>
        </w:rPr>
        <w:t>投标人符合性自查表（</w:t>
      </w:r>
      <w:r>
        <w:rPr>
          <w:rFonts w:hint="eastAsia" w:ascii="宋体" w:hAnsi="宋体"/>
          <w:color w:val="auto"/>
          <w:highlight w:val="none"/>
        </w:rPr>
        <w:t>格式见附件10</w:t>
      </w:r>
      <w:r>
        <w:rPr>
          <w:rFonts w:hint="eastAsia" w:ascii="宋体" w:hAnsi="宋体" w:cs="宋体"/>
          <w:color w:val="auto"/>
          <w:szCs w:val="21"/>
          <w:highlight w:val="none"/>
        </w:rPr>
        <w:t>）；</w:t>
      </w:r>
    </w:p>
    <w:p>
      <w:pPr>
        <w:spacing w:line="400" w:lineRule="exact"/>
        <w:rPr>
          <w:rFonts w:ascii="宋体" w:hAnsi="宋体"/>
          <w:color w:val="auto"/>
          <w:highlight w:val="none"/>
        </w:rPr>
      </w:pPr>
      <w:r>
        <w:rPr>
          <w:rFonts w:hint="eastAsia" w:ascii="宋体" w:hAnsi="宋体"/>
          <w:color w:val="auto"/>
          <w:highlight w:val="none"/>
        </w:rPr>
        <w:t>（2）技术及服务条款偏离表（格式见附件11）；</w:t>
      </w:r>
    </w:p>
    <w:p>
      <w:pPr>
        <w:spacing w:line="400" w:lineRule="exact"/>
        <w:rPr>
          <w:rFonts w:ascii="宋体" w:hAnsi="宋体"/>
          <w:color w:val="auto"/>
          <w:highlight w:val="none"/>
        </w:rPr>
      </w:pPr>
      <w:r>
        <w:rPr>
          <w:rFonts w:hint="eastAsia" w:ascii="宋体" w:hAnsi="宋体"/>
          <w:color w:val="auto"/>
          <w:highlight w:val="none"/>
        </w:rPr>
        <w:t>（3）商务条款偏离表（格式见附件12）；</w:t>
      </w:r>
    </w:p>
    <w:p>
      <w:pPr>
        <w:spacing w:line="400" w:lineRule="exact"/>
        <w:rPr>
          <w:rFonts w:ascii="宋体" w:hAnsi="宋体"/>
          <w:color w:val="auto"/>
          <w:highlight w:val="none"/>
        </w:rPr>
      </w:pPr>
      <w:r>
        <w:rPr>
          <w:rFonts w:hint="eastAsia" w:ascii="宋体" w:hAnsi="宋体"/>
          <w:color w:val="auto"/>
          <w:highlight w:val="none"/>
        </w:rPr>
        <w:t>（4）投标货物（服务）清单（格式见附件13）；</w:t>
      </w:r>
    </w:p>
    <w:p>
      <w:pPr>
        <w:spacing w:line="400" w:lineRule="exact"/>
        <w:rPr>
          <w:rFonts w:ascii="宋体" w:hAnsi="宋体"/>
          <w:color w:val="auto"/>
          <w:highlight w:val="none"/>
        </w:rPr>
      </w:pPr>
      <w:r>
        <w:rPr>
          <w:rFonts w:hint="eastAsia" w:ascii="宋体" w:hAnsi="宋体"/>
          <w:color w:val="auto"/>
          <w:highlight w:val="none"/>
        </w:rPr>
        <w:t>（5）项目技术方案（格式自拟）；</w:t>
      </w:r>
    </w:p>
    <w:p>
      <w:pPr>
        <w:spacing w:line="400" w:lineRule="exact"/>
        <w:rPr>
          <w:rFonts w:ascii="宋体" w:hAnsi="宋体"/>
          <w:color w:val="auto"/>
          <w:highlight w:val="none"/>
        </w:rPr>
      </w:pPr>
      <w:r>
        <w:rPr>
          <w:rFonts w:hint="eastAsia" w:ascii="宋体" w:hAnsi="宋体"/>
          <w:color w:val="auto"/>
          <w:highlight w:val="none"/>
        </w:rPr>
        <w:t>（6）项目实施方案（格式自拟）；</w:t>
      </w:r>
    </w:p>
    <w:p>
      <w:pPr>
        <w:spacing w:line="400" w:lineRule="exact"/>
        <w:rPr>
          <w:rFonts w:ascii="宋体" w:hAnsi="宋体"/>
          <w:color w:val="auto"/>
          <w:highlight w:val="none"/>
        </w:rPr>
      </w:pPr>
      <w:r>
        <w:rPr>
          <w:rFonts w:hint="eastAsia" w:ascii="宋体" w:hAnsi="宋体"/>
          <w:color w:val="auto"/>
          <w:highlight w:val="none"/>
        </w:rPr>
        <w:t>（7）项目管理机构配备情况表（格式见附件14）；</w:t>
      </w:r>
    </w:p>
    <w:p>
      <w:pPr>
        <w:spacing w:line="400" w:lineRule="exact"/>
        <w:rPr>
          <w:rFonts w:ascii="宋体" w:hAnsi="宋体"/>
          <w:color w:val="auto"/>
          <w:highlight w:val="none"/>
        </w:rPr>
      </w:pPr>
      <w:r>
        <w:rPr>
          <w:rFonts w:hint="eastAsia" w:ascii="宋体" w:hAnsi="宋体"/>
          <w:color w:val="auto"/>
          <w:highlight w:val="none"/>
        </w:rPr>
        <w:t>（8）质量保证和售后服务方案（格式自拟）；</w:t>
      </w:r>
    </w:p>
    <w:p>
      <w:pPr>
        <w:spacing w:line="400" w:lineRule="exact"/>
        <w:rPr>
          <w:rFonts w:ascii="宋体" w:hAnsi="宋体"/>
          <w:color w:val="auto"/>
          <w:highlight w:val="none"/>
        </w:rPr>
      </w:pPr>
      <w:r>
        <w:rPr>
          <w:rFonts w:hint="eastAsia" w:ascii="宋体" w:hAnsi="宋体"/>
          <w:color w:val="auto"/>
          <w:highlight w:val="none"/>
        </w:rPr>
        <w:t>（9）技术培训方案（格式自拟）；</w:t>
      </w:r>
    </w:p>
    <w:p>
      <w:pPr>
        <w:spacing w:line="400" w:lineRule="exact"/>
        <w:rPr>
          <w:rFonts w:ascii="宋体" w:hAnsi="宋体"/>
          <w:color w:val="auto"/>
          <w:highlight w:val="none"/>
        </w:rPr>
      </w:pPr>
      <w:r>
        <w:rPr>
          <w:rFonts w:hint="eastAsia" w:ascii="宋体" w:hAnsi="宋体"/>
          <w:color w:val="auto"/>
          <w:highlight w:val="none"/>
        </w:rPr>
        <w:t>（10）优惠承诺及合理化建议（格式自拟）；</w:t>
      </w:r>
    </w:p>
    <w:p>
      <w:pPr>
        <w:spacing w:line="400" w:lineRule="exact"/>
        <w:rPr>
          <w:rFonts w:ascii="宋体" w:hAnsi="宋体"/>
          <w:color w:val="auto"/>
          <w:highlight w:val="none"/>
        </w:rPr>
      </w:pPr>
      <w:r>
        <w:rPr>
          <w:rFonts w:hint="eastAsia" w:ascii="宋体" w:hAnsi="宋体"/>
          <w:color w:val="auto"/>
          <w:highlight w:val="none"/>
        </w:rPr>
        <w:t>（11）类似项目业绩表（格式见附件15）；</w:t>
      </w:r>
    </w:p>
    <w:p>
      <w:pPr>
        <w:spacing w:line="400" w:lineRule="exact"/>
        <w:rPr>
          <w:rFonts w:ascii="宋体" w:hAnsi="宋体"/>
          <w:color w:val="auto"/>
          <w:highlight w:val="none"/>
        </w:rPr>
      </w:pPr>
      <w:r>
        <w:rPr>
          <w:rFonts w:hint="eastAsia" w:ascii="宋体" w:hAnsi="宋体"/>
          <w:color w:val="auto"/>
          <w:highlight w:val="none"/>
        </w:rPr>
        <w:t>（12）评分标准或采购文件需要提供的证明材料（具体详见评分标准）</w:t>
      </w:r>
    </w:p>
    <w:p>
      <w:pPr>
        <w:spacing w:line="400" w:lineRule="exact"/>
        <w:rPr>
          <w:rFonts w:ascii="宋体" w:hAnsi="宋体"/>
          <w:color w:val="auto"/>
          <w:highlight w:val="none"/>
        </w:rPr>
      </w:pPr>
      <w:r>
        <w:rPr>
          <w:rFonts w:hint="eastAsia" w:ascii="宋体" w:hAnsi="宋体"/>
          <w:color w:val="auto"/>
          <w:highlight w:val="none"/>
        </w:rPr>
        <w:t>（13）投标人认为需要提供的其他材料。</w:t>
      </w:r>
    </w:p>
    <w:p>
      <w:pPr>
        <w:spacing w:line="400" w:lineRule="exact"/>
        <w:rPr>
          <w:rFonts w:ascii="宋体" w:hAnsi="宋体"/>
          <w:b/>
          <w:color w:val="auto"/>
          <w:highlight w:val="none"/>
        </w:rPr>
      </w:pPr>
      <w:r>
        <w:rPr>
          <w:rFonts w:hint="eastAsia" w:ascii="宋体" w:hAnsi="宋体"/>
          <w:b/>
          <w:color w:val="auto"/>
          <w:highlight w:val="none"/>
        </w:rPr>
        <w:t>重要说明：商务技术中不得出现本项目的投标总价，否则为无效投标。</w:t>
      </w:r>
    </w:p>
    <w:p>
      <w:pPr>
        <w:spacing w:line="400" w:lineRule="exact"/>
        <w:rPr>
          <w:rFonts w:ascii="宋体" w:hAnsi="宋体"/>
          <w:b/>
          <w:bCs/>
          <w:color w:val="auto"/>
          <w:sz w:val="24"/>
          <w:highlight w:val="none"/>
        </w:rPr>
      </w:pPr>
      <w:r>
        <w:rPr>
          <w:rFonts w:hint="eastAsia" w:ascii="宋体" w:hAnsi="宋体"/>
          <w:b/>
          <w:bCs/>
          <w:color w:val="auto"/>
          <w:sz w:val="24"/>
          <w:highlight w:val="none"/>
        </w:rPr>
        <w:t>（二）投标文件的语言及计量</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★1.投标文件以及投标人与招标单位就有关投标事宜的所有来往函电，均应以中文汉语书写。除签名、盖章、专用名称等特殊情形外，以中文汉语以外的文字表述的投标文件视同未提供。</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★2.投标计量单位，招标文件已有明确规定的，使用招标文件规定的计量单位；招标文件没有规定的，应采用中华人民共和国法定计量单位（例如货币单位：人民币元），否则视同未响应。</w:t>
      </w:r>
    </w:p>
    <w:bookmarkEnd w:id="12"/>
    <w:p>
      <w:pPr>
        <w:spacing w:line="400" w:lineRule="exact"/>
        <w:rPr>
          <w:rFonts w:ascii="宋体" w:hAnsi="宋体"/>
          <w:b/>
          <w:bCs/>
          <w:color w:val="auto"/>
          <w:sz w:val="24"/>
          <w:highlight w:val="none"/>
        </w:rPr>
      </w:pPr>
      <w:bookmarkStart w:id="21" w:name="_Toc397325830"/>
      <w:r>
        <w:rPr>
          <w:rFonts w:hint="eastAsia" w:ascii="宋体" w:hAnsi="宋体"/>
          <w:b/>
          <w:bCs/>
          <w:color w:val="auto"/>
          <w:sz w:val="24"/>
          <w:highlight w:val="none"/>
        </w:rPr>
        <w:t>（三）投标报价</w:t>
      </w:r>
      <w:bookmarkEnd w:id="21"/>
    </w:p>
    <w:p>
      <w:pPr>
        <w:spacing w:line="400" w:lineRule="exact"/>
        <w:rPr>
          <w:rFonts w:ascii="宋体" w:hAnsi="宋体" w:cs="宋体"/>
          <w:color w:val="auto"/>
          <w:szCs w:val="21"/>
          <w:highlight w:val="none"/>
        </w:rPr>
      </w:pPr>
      <w:r>
        <w:rPr>
          <w:rFonts w:hint="eastAsia" w:ascii="宋体" w:hAnsi="宋体" w:cs="宋体"/>
          <w:color w:val="auto"/>
          <w:szCs w:val="21"/>
          <w:highlight w:val="none"/>
        </w:rPr>
        <w:tab/>
      </w:r>
      <w:bookmarkStart w:id="22" w:name="_Toc397325831"/>
      <w:r>
        <w:rPr>
          <w:rFonts w:hint="eastAsia" w:ascii="宋体" w:hAnsi="宋体" w:cs="宋体"/>
          <w:color w:val="auto"/>
          <w:szCs w:val="21"/>
          <w:highlight w:val="none"/>
        </w:rPr>
        <w:t>1.投标报价应按招标文件中相关附表格式填写。</w:t>
      </w:r>
      <w:bookmarkEnd w:id="22"/>
    </w:p>
    <w:p>
      <w:pPr>
        <w:spacing w:line="400" w:lineRule="exact"/>
        <w:rPr>
          <w:rFonts w:ascii="宋体" w:hAnsi="宋体" w:cs="宋体"/>
          <w:color w:val="auto"/>
          <w:szCs w:val="21"/>
          <w:highlight w:val="none"/>
        </w:rPr>
      </w:pPr>
      <w:r>
        <w:rPr>
          <w:rFonts w:hint="eastAsia" w:ascii="宋体" w:hAnsi="宋体" w:cs="宋体"/>
          <w:color w:val="auto"/>
          <w:szCs w:val="21"/>
          <w:highlight w:val="none"/>
        </w:rPr>
        <w:tab/>
      </w:r>
      <w:bookmarkStart w:id="23" w:name="_Toc397325832"/>
      <w:r>
        <w:rPr>
          <w:rFonts w:hint="eastAsia" w:ascii="宋体" w:hAnsi="宋体" w:cs="宋体"/>
          <w:color w:val="auto"/>
          <w:szCs w:val="21"/>
          <w:highlight w:val="none"/>
        </w:rPr>
        <w:t>★2.报价</w:t>
      </w:r>
      <w:bookmarkEnd w:id="23"/>
      <w:r>
        <w:rPr>
          <w:rFonts w:hint="eastAsia" w:ascii="宋体" w:hAnsi="宋体" w:cs="宋体"/>
          <w:color w:val="auto"/>
          <w:szCs w:val="21"/>
          <w:highlight w:val="none"/>
        </w:rPr>
        <w:t>要求：详见招标文第三部分投标人须知前附表。</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ab/>
      </w:r>
      <w:bookmarkStart w:id="24" w:name="_Toc397325833"/>
      <w:r>
        <w:rPr>
          <w:rFonts w:hint="eastAsia" w:ascii="宋体" w:hAnsi="宋体" w:cs="宋体"/>
          <w:color w:val="auto"/>
          <w:szCs w:val="21"/>
          <w:highlight w:val="none"/>
        </w:rPr>
        <w:t>★3.投标文件针对同一内容只允许有一个报价，有选择的或有条件的报价将不予接受。</w:t>
      </w:r>
      <w:bookmarkEnd w:id="24"/>
    </w:p>
    <w:p>
      <w:pPr>
        <w:spacing w:line="400" w:lineRule="exact"/>
        <w:rPr>
          <w:rFonts w:ascii="宋体" w:hAnsi="宋体"/>
          <w:b/>
          <w:bCs/>
          <w:color w:val="auto"/>
          <w:sz w:val="24"/>
          <w:highlight w:val="none"/>
        </w:rPr>
      </w:pPr>
      <w:bookmarkStart w:id="25" w:name="_Toc397325834"/>
      <w:r>
        <w:rPr>
          <w:rFonts w:hint="eastAsia" w:ascii="宋体" w:hAnsi="宋体"/>
          <w:b/>
          <w:bCs/>
          <w:color w:val="auto"/>
          <w:sz w:val="24"/>
          <w:highlight w:val="none"/>
        </w:rPr>
        <w:t>（四）投标文件的有效期</w:t>
      </w:r>
      <w:bookmarkEnd w:id="25"/>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★1.自投标截止日起90 天投标文件应保持有效。有效期不足的投标文件将被拒绝。</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2.在特殊情况下，采购人可与投标人协商延长投标书的有效期，这种要求和答复均以书面形式进行。</w:t>
      </w:r>
    </w:p>
    <w:p>
      <w:pPr>
        <w:spacing w:line="400" w:lineRule="exact"/>
        <w:rPr>
          <w:rFonts w:ascii="宋体" w:hAnsi="宋体" w:cs="宋体"/>
          <w:color w:val="auto"/>
          <w:szCs w:val="21"/>
          <w:highlight w:val="none"/>
        </w:rPr>
      </w:pPr>
      <w:bookmarkStart w:id="26" w:name="_Toc397325836"/>
      <w:r>
        <w:rPr>
          <w:rFonts w:hint="eastAsia" w:ascii="宋体" w:hAnsi="宋体" w:cs="宋体"/>
          <w:color w:val="auto"/>
          <w:szCs w:val="21"/>
          <w:highlight w:val="none"/>
        </w:rPr>
        <w:t xml:space="preserve">    </w:t>
      </w:r>
      <w:r>
        <w:rPr>
          <w:rFonts w:ascii="宋体" w:hAnsi="宋体" w:cs="宋体"/>
          <w:color w:val="auto"/>
          <w:szCs w:val="21"/>
          <w:highlight w:val="none"/>
        </w:rPr>
        <w:t>3</w:t>
      </w:r>
      <w:r>
        <w:rPr>
          <w:rFonts w:hint="eastAsia" w:ascii="宋体" w:hAnsi="宋体" w:cs="宋体"/>
          <w:color w:val="auto"/>
          <w:szCs w:val="21"/>
          <w:highlight w:val="none"/>
        </w:rPr>
        <w:t>.中标人的投标文件自开标之日起至合同履行完毕止均应保持有效。</w:t>
      </w:r>
      <w:bookmarkEnd w:id="26"/>
      <w:bookmarkStart w:id="27" w:name="_Toc397325838"/>
    </w:p>
    <w:p>
      <w:pPr>
        <w:spacing w:line="400" w:lineRule="exact"/>
        <w:rPr>
          <w:rFonts w:ascii="宋体" w:hAnsi="宋体"/>
          <w:b/>
          <w:bCs/>
          <w:color w:val="auto"/>
          <w:sz w:val="24"/>
          <w:highlight w:val="none"/>
        </w:rPr>
      </w:pPr>
      <w:r>
        <w:rPr>
          <w:rFonts w:hint="eastAsia" w:ascii="宋体" w:hAnsi="宋体"/>
          <w:b/>
          <w:bCs/>
          <w:color w:val="auto"/>
          <w:sz w:val="24"/>
          <w:highlight w:val="none"/>
        </w:rPr>
        <w:t>（五）投标文件的签署和份数</w:t>
      </w:r>
      <w:bookmarkEnd w:id="27"/>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1.投标人应按本招标文件规定的格式和顺序编制、装订投标文件并标注页码，投标文件内容不完整、编排混乱导致投标文件被误读、漏读或者查找不到相关内容的，是投标人的责任。</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2.投标文件的份数：</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本项目实行网上投标，供应商应准备以下投标文件：</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（1）上传到政府采购云平台的电子投标文件（含资格证明文件、商务技术文件、报价文件）1份。</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（2）以U盘存储的电子备份投标文件（含资格证明文件、商务技术文件、报价文件）1份。</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3.电子投标文件：</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3.1供应商应根据政府采购云平台的要求及本招标文件规定的格式和顺序编制电子投标文件并进行关联定位。</w:t>
      </w:r>
    </w:p>
    <w:p>
      <w:pPr>
        <w:spacing w:line="400" w:lineRule="exact"/>
        <w:rPr>
          <w:rFonts w:ascii="宋体" w:hAnsi="宋体"/>
          <w:b/>
          <w:bCs/>
          <w:color w:val="auto"/>
          <w:sz w:val="24"/>
          <w:highlight w:val="none"/>
        </w:rPr>
      </w:pPr>
      <w:r>
        <w:rPr>
          <w:rFonts w:hint="eastAsia" w:ascii="宋体" w:hAnsi="宋体"/>
          <w:b/>
          <w:bCs/>
          <w:color w:val="auto"/>
          <w:sz w:val="24"/>
          <w:highlight w:val="none"/>
        </w:rPr>
        <w:t>（六）投标文件的包装、递交、修改和撤回</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1.以U盘存储的电子备份投标文件用封袋密封后递交。</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2.投标文件的包装封面上应注明供应商名称、供应商地址、投标文件名称(电子备份投标文件)、投标项目名称、项目编号、子包号（如有），并加盖供应商公章。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3.未按规定密封或标记的电子备份投标文件将被拒绝，由此造成电子备份投标文件被误投或提前拆封的风险由投标人承担。</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4. 投标人在投标截止时间之前，可以对已提交的电子备份投标文件进行修改或撤回，并书面通知招标采购单位；投标截止时间后，投标人不得撤回、修改投标文件。修改后重新递交的电子备份投标文件应当按本招标文件的要求签署、盖章和密封。</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5.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件，将被拒收。</w:t>
      </w:r>
    </w:p>
    <w:p>
      <w:pPr>
        <w:spacing w:line="520" w:lineRule="exact"/>
        <w:jc w:val="center"/>
        <w:rPr>
          <w:rFonts w:ascii="宋体" w:hAnsi="宋体"/>
          <w:b/>
          <w:bCs/>
          <w:color w:val="auto"/>
          <w:sz w:val="32"/>
          <w:highlight w:val="none"/>
        </w:rPr>
      </w:pPr>
      <w:bookmarkStart w:id="28" w:name="_Toc397325839"/>
      <w:r>
        <w:rPr>
          <w:rFonts w:hint="eastAsia" w:ascii="宋体" w:hAnsi="宋体"/>
          <w:b/>
          <w:bCs/>
          <w:color w:val="auto"/>
          <w:sz w:val="32"/>
          <w:highlight w:val="none"/>
        </w:rPr>
        <w:t>四、开标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1、电子招投标开标程序：</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（1）投标截止时间后，供应商登录政府采购云平台，用</w:t>
      </w:r>
      <w:r>
        <w:rPr>
          <w:rFonts w:ascii="宋体" w:hAnsi="宋体" w:cs="宋体"/>
          <w:color w:val="auto"/>
          <w:szCs w:val="21"/>
          <w:highlight w:val="none"/>
        </w:rPr>
        <w:t>“</w:t>
      </w:r>
      <w:r>
        <w:rPr>
          <w:rFonts w:hint="eastAsia" w:ascii="宋体" w:hAnsi="宋体" w:cs="宋体"/>
          <w:color w:val="auto"/>
          <w:szCs w:val="21"/>
          <w:highlight w:val="none"/>
        </w:rPr>
        <w:t>项目采购-开标评标</w:t>
      </w:r>
      <w:r>
        <w:rPr>
          <w:rFonts w:ascii="宋体" w:hAnsi="宋体" w:cs="宋体"/>
          <w:color w:val="auto"/>
          <w:szCs w:val="21"/>
          <w:highlight w:val="none"/>
        </w:rPr>
        <w:t>”</w:t>
      </w:r>
      <w:r>
        <w:rPr>
          <w:rFonts w:hint="eastAsia" w:ascii="宋体" w:hAnsi="宋体" w:cs="宋体"/>
          <w:color w:val="auto"/>
          <w:szCs w:val="21"/>
          <w:highlight w:val="none"/>
        </w:rPr>
        <w:t>功能对电子投标文件进行在线解密，在线解密电子投标文件时间为开标时间后30分钟内。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（2）在政府采购云平台开启已解密供应商的“资格证明文件、商务技术文件”，并做开标记录；</w:t>
      </w:r>
      <w:r>
        <w:rPr>
          <w:rFonts w:hint="eastAsia" w:ascii="宋体" w:hAnsi="宋体" w:cs="宋体"/>
          <w:b/>
          <w:bCs/>
          <w:color w:val="auto"/>
          <w:szCs w:val="21"/>
          <w:highlight w:val="none"/>
        </w:rPr>
        <w:t>投标人不足3家的，不得开标；</w:t>
      </w:r>
    </w:p>
    <w:p>
      <w:pPr>
        <w:spacing w:line="400" w:lineRule="exact"/>
        <w:ind w:firstLine="420" w:firstLineChars="200"/>
        <w:rPr>
          <w:color w:val="auto"/>
          <w:highlight w:val="none"/>
        </w:rPr>
      </w:pPr>
      <w:r>
        <w:rPr>
          <w:rFonts w:hint="eastAsia" w:ascii="宋体" w:hAnsi="宋体" w:cs="宋体"/>
          <w:color w:val="auto"/>
          <w:szCs w:val="21"/>
          <w:highlight w:val="none"/>
        </w:rPr>
        <w:t>（3）对资格和商务技术文件进行评审；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（4）在政府采购云平台宣告评审无效供应商名单、投标无效的原因及其他有效投标的评分结果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（5）在政府采购云平台开启已解密供应商的“报价文件”，并作开标记录。</w:t>
      </w:r>
      <w:r>
        <w:rPr>
          <w:rFonts w:hint="eastAsia" w:ascii="宋体" w:hAnsi="宋体" w:cs="宋体"/>
          <w:b/>
          <w:bCs/>
          <w:color w:val="auto"/>
          <w:szCs w:val="21"/>
          <w:highlight w:val="none"/>
        </w:rPr>
        <w:t>通过资格审查和</w:t>
      </w:r>
      <w:r>
        <w:rPr>
          <w:rFonts w:hint="eastAsia" w:ascii="宋体" w:hAnsi="宋体" w:cs="宋体"/>
          <w:color w:val="auto"/>
          <w:szCs w:val="21"/>
          <w:highlight w:val="none"/>
        </w:rPr>
        <w:t>符合性审查的投标人不足3家的，不得开标；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（6）对报价情况进行评审；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（7）在政府采购云平台上公布评审结果。</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（8）开标会议结束。</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2、特别说明：政府采购云平台如对电子化开标及评审程序有调整的，按调整后的程序操作。</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本项目原则上采用政采云电子招投标开标程序，但有以下情形之一的，按以下情况处理：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1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①</w:t>
      </w:r>
      <w:r>
        <w:rPr>
          <w:rFonts w:ascii="宋体" w:hAnsi="宋体" w:cs="宋体"/>
          <w:color w:val="auto"/>
          <w:szCs w:val="21"/>
          <w:highlight w:val="none"/>
        </w:rPr>
        <w:fldChar w:fldCharType="end"/>
      </w:r>
      <w:r>
        <w:rPr>
          <w:rFonts w:hint="eastAsia" w:ascii="宋体" w:hAnsi="宋体" w:cs="宋体"/>
          <w:color w:val="auto"/>
          <w:szCs w:val="21"/>
          <w:highlight w:val="none"/>
        </w:rPr>
        <w:t xml:space="preserve">电子交易平台发生故障而无法登录访问的； </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2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②</w:t>
      </w:r>
      <w:r>
        <w:rPr>
          <w:rFonts w:ascii="宋体" w:hAnsi="宋体" w:cs="宋体"/>
          <w:color w:val="auto"/>
          <w:szCs w:val="21"/>
          <w:highlight w:val="none"/>
        </w:rPr>
        <w:fldChar w:fldCharType="end"/>
      </w:r>
      <w:r>
        <w:rPr>
          <w:rFonts w:hint="eastAsia" w:ascii="宋体" w:hAnsi="宋体" w:cs="宋体"/>
          <w:color w:val="auto"/>
          <w:szCs w:val="21"/>
          <w:highlight w:val="none"/>
        </w:rPr>
        <w:t>电子交易平台应用或数据库出现错误，不能进行正常操作的；</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3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③</w:t>
      </w:r>
      <w:r>
        <w:rPr>
          <w:rFonts w:ascii="宋体" w:hAnsi="宋体" w:cs="宋体"/>
          <w:color w:val="auto"/>
          <w:szCs w:val="21"/>
          <w:highlight w:val="none"/>
        </w:rPr>
        <w:fldChar w:fldCharType="end"/>
      </w:r>
      <w:r>
        <w:rPr>
          <w:rFonts w:hint="eastAsia" w:ascii="宋体" w:hAnsi="宋体" w:cs="宋体"/>
          <w:color w:val="auto"/>
          <w:szCs w:val="21"/>
          <w:highlight w:val="none"/>
        </w:rPr>
        <w:t>电子交易平台发现严重安全漏洞，有潜在泄密危险的；</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4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④</w:t>
      </w:r>
      <w:r>
        <w:rPr>
          <w:rFonts w:ascii="宋体" w:hAnsi="宋体" w:cs="宋体"/>
          <w:color w:val="auto"/>
          <w:szCs w:val="21"/>
          <w:highlight w:val="none"/>
        </w:rPr>
        <w:fldChar w:fldCharType="end"/>
      </w:r>
      <w:r>
        <w:rPr>
          <w:rFonts w:hint="eastAsia" w:ascii="宋体" w:hAnsi="宋体" w:cs="宋体"/>
          <w:color w:val="auto"/>
          <w:szCs w:val="21"/>
          <w:highlight w:val="none"/>
        </w:rPr>
        <w:t xml:space="preserve">病毒发作导致不能进行正常操作的； </w:t>
      </w:r>
    </w:p>
    <w:p>
      <w:pPr>
        <w:spacing w:line="400" w:lineRule="exact"/>
        <w:ind w:firstLine="420" w:firstLineChars="200"/>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 5 \* GB3</w:instrText>
      </w:r>
      <w:r>
        <w:rPr>
          <w:rFonts w:ascii="宋体" w:hAnsi="宋体" w:cs="宋体"/>
          <w:color w:val="auto"/>
          <w:szCs w:val="21"/>
          <w:highlight w:val="none"/>
        </w:rPr>
        <w:instrText xml:space="preserve"> </w:instrText>
      </w:r>
      <w:r>
        <w:rPr>
          <w:rFonts w:ascii="宋体" w:hAnsi="宋体" w:cs="宋体"/>
          <w:color w:val="auto"/>
          <w:szCs w:val="21"/>
          <w:highlight w:val="none"/>
        </w:rPr>
        <w:fldChar w:fldCharType="separate"/>
      </w:r>
      <w:r>
        <w:rPr>
          <w:rFonts w:hint="eastAsia" w:ascii="宋体" w:hAnsi="宋体" w:cs="宋体"/>
          <w:color w:val="auto"/>
          <w:szCs w:val="21"/>
          <w:highlight w:val="none"/>
        </w:rPr>
        <w:t>⑤</w:t>
      </w:r>
      <w:r>
        <w:rPr>
          <w:rFonts w:ascii="宋体" w:hAnsi="宋体" w:cs="宋体"/>
          <w:color w:val="auto"/>
          <w:szCs w:val="21"/>
          <w:highlight w:val="none"/>
        </w:rPr>
        <w:fldChar w:fldCharType="end"/>
      </w:r>
      <w:r>
        <w:rPr>
          <w:rFonts w:hint="eastAsia" w:ascii="宋体" w:hAnsi="宋体" w:cs="宋体"/>
          <w:color w:val="auto"/>
          <w:szCs w:val="21"/>
          <w:highlight w:val="none"/>
        </w:rPr>
        <w:t>其他无法保证电子交易的公平、公正和安全的情况。</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出现前款规定情形，不影响采购公平、公正性的，采购人（或代理机构）可以待上述情形消除后继续组织电子交易活动。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（3）未开启的备份投标文件现场予以退还。</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五、评标</w:t>
      </w:r>
    </w:p>
    <w:p>
      <w:pPr>
        <w:pStyle w:val="6"/>
        <w:snapToGrid w:val="0"/>
        <w:spacing w:line="400" w:lineRule="exact"/>
        <w:ind w:left="688" w:leftChars="228" w:hanging="210" w:hangingChars="100"/>
        <w:jc w:val="left"/>
        <w:rPr>
          <w:rFonts w:hAnsi="宋体" w:cs="宋体"/>
          <w:b/>
          <w:color w:val="auto"/>
          <w:szCs w:val="21"/>
          <w:highlight w:val="none"/>
        </w:rPr>
      </w:pPr>
      <w:r>
        <w:rPr>
          <w:rFonts w:hint="eastAsia" w:hAnsi="宋体" w:cs="宋体"/>
          <w:b/>
          <w:color w:val="auto"/>
          <w:szCs w:val="21"/>
          <w:highlight w:val="none"/>
        </w:rPr>
        <w:t>（一）组建评标委员会</w:t>
      </w:r>
    </w:p>
    <w:p>
      <w:pPr>
        <w:pStyle w:val="6"/>
        <w:spacing w:line="400" w:lineRule="exact"/>
        <w:rPr>
          <w:rFonts w:hAnsi="宋体" w:cs="宋体"/>
          <w:color w:val="auto"/>
          <w:szCs w:val="21"/>
          <w:highlight w:val="none"/>
        </w:rPr>
      </w:pPr>
      <w:r>
        <w:rPr>
          <w:rFonts w:hint="eastAsia" w:hAnsi="宋体" w:cs="宋体"/>
          <w:b/>
          <w:color w:val="auto"/>
          <w:szCs w:val="21"/>
          <w:highlight w:val="none"/>
        </w:rPr>
        <w:t xml:space="preserve">    </w:t>
      </w:r>
      <w:r>
        <w:rPr>
          <w:rFonts w:hint="eastAsia" w:hAnsi="宋体" w:cs="宋体"/>
          <w:color w:val="auto"/>
          <w:szCs w:val="21"/>
          <w:highlight w:val="none"/>
        </w:rPr>
        <w:t>本项目评标委员会依法组建。</w:t>
      </w:r>
    </w:p>
    <w:p>
      <w:pPr>
        <w:pStyle w:val="6"/>
        <w:snapToGrid w:val="0"/>
        <w:spacing w:line="400" w:lineRule="exact"/>
        <w:ind w:left="688" w:leftChars="228" w:hanging="210" w:hangingChars="100"/>
        <w:jc w:val="left"/>
        <w:rPr>
          <w:rFonts w:hAnsi="宋体" w:cs="宋体"/>
          <w:b/>
          <w:color w:val="auto"/>
          <w:szCs w:val="21"/>
          <w:highlight w:val="none"/>
        </w:rPr>
      </w:pPr>
      <w:r>
        <w:rPr>
          <w:rFonts w:hint="eastAsia" w:hAnsi="宋体" w:cs="宋体"/>
          <w:b/>
          <w:color w:val="auto"/>
          <w:szCs w:val="21"/>
          <w:highlight w:val="none"/>
        </w:rPr>
        <w:t>（二）评标的方式</w:t>
      </w:r>
    </w:p>
    <w:p>
      <w:pPr>
        <w:pStyle w:val="6"/>
        <w:snapToGrid w:val="0"/>
        <w:spacing w:line="400" w:lineRule="exact"/>
        <w:ind w:left="688" w:leftChars="228" w:hanging="210" w:hangingChars="100"/>
        <w:jc w:val="left"/>
        <w:rPr>
          <w:rFonts w:hAnsi="宋体" w:cs="宋体"/>
          <w:color w:val="auto"/>
          <w:szCs w:val="21"/>
          <w:highlight w:val="none"/>
        </w:rPr>
      </w:pPr>
      <w:r>
        <w:rPr>
          <w:rFonts w:hint="eastAsia" w:hAnsi="宋体" w:cs="宋体"/>
          <w:color w:val="auto"/>
          <w:szCs w:val="21"/>
          <w:highlight w:val="none"/>
        </w:rPr>
        <w:t>本项目采用不公开方式评标，评标的依据为招标文件和投标文件。</w:t>
      </w:r>
    </w:p>
    <w:p>
      <w:pPr>
        <w:pStyle w:val="6"/>
        <w:snapToGrid w:val="0"/>
        <w:spacing w:line="400" w:lineRule="exact"/>
        <w:ind w:left="688" w:leftChars="228" w:hanging="210" w:hangingChars="100"/>
        <w:jc w:val="left"/>
        <w:rPr>
          <w:rFonts w:hAnsi="宋体" w:cs="宋体"/>
          <w:b/>
          <w:color w:val="auto"/>
          <w:szCs w:val="21"/>
          <w:highlight w:val="none"/>
        </w:rPr>
      </w:pPr>
      <w:r>
        <w:rPr>
          <w:rFonts w:hint="eastAsia" w:hAnsi="宋体" w:cs="宋体"/>
          <w:b/>
          <w:color w:val="auto"/>
          <w:szCs w:val="21"/>
          <w:highlight w:val="none"/>
        </w:rPr>
        <w:t>（三）</w:t>
      </w:r>
      <w:r>
        <w:rPr>
          <w:rFonts w:hint="eastAsia" w:hAnsi="宋体" w:cs="宋体"/>
          <w:b/>
          <w:bCs/>
          <w:color w:val="auto"/>
          <w:szCs w:val="21"/>
          <w:highlight w:val="none"/>
        </w:rPr>
        <w:t>评标程序</w:t>
      </w:r>
    </w:p>
    <w:p>
      <w:pPr>
        <w:pStyle w:val="6"/>
        <w:snapToGrid w:val="0"/>
        <w:spacing w:line="400" w:lineRule="exact"/>
        <w:ind w:left="688" w:leftChars="228" w:hanging="210" w:hangingChars="100"/>
        <w:jc w:val="left"/>
        <w:rPr>
          <w:rFonts w:hAnsi="宋体" w:cs="宋体"/>
          <w:color w:val="auto"/>
          <w:szCs w:val="21"/>
          <w:highlight w:val="none"/>
        </w:rPr>
      </w:pPr>
      <w:r>
        <w:rPr>
          <w:rFonts w:hint="eastAsia" w:hAnsi="宋体" w:cs="宋体"/>
          <w:color w:val="auto"/>
          <w:szCs w:val="21"/>
          <w:highlight w:val="none"/>
        </w:rPr>
        <w:t>按招标文件评标办法中规定的。</w:t>
      </w:r>
    </w:p>
    <w:p>
      <w:pPr>
        <w:spacing w:line="400" w:lineRule="exact"/>
        <w:ind w:firstLine="420" w:firstLineChars="200"/>
        <w:rPr>
          <w:rFonts w:ascii="宋体" w:hAnsi="宋体" w:cs="宋体"/>
          <w:b/>
          <w:color w:val="auto"/>
          <w:szCs w:val="21"/>
          <w:highlight w:val="none"/>
        </w:rPr>
      </w:pPr>
      <w:r>
        <w:rPr>
          <w:rFonts w:hint="eastAsia" w:ascii="宋体" w:hAnsi="宋体" w:cs="宋体"/>
          <w:b/>
          <w:color w:val="auto"/>
          <w:szCs w:val="21"/>
          <w:highlight w:val="none"/>
        </w:rPr>
        <w:t>（四）投标无效的情形</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实质上没有响应招标文件要求的投标将被视为无效投标。</w:t>
      </w:r>
    </w:p>
    <w:p>
      <w:pPr>
        <w:spacing w:line="400" w:lineRule="exact"/>
        <w:ind w:firstLine="411" w:firstLineChars="196"/>
        <w:rPr>
          <w:rFonts w:ascii="宋体" w:hAnsi="宋体" w:cs="宋体"/>
          <w:b/>
          <w:bCs/>
          <w:color w:val="auto"/>
          <w:szCs w:val="21"/>
          <w:highlight w:val="none"/>
        </w:rPr>
      </w:pPr>
      <w:r>
        <w:rPr>
          <w:rFonts w:hint="eastAsia" w:ascii="宋体" w:hAnsi="宋体" w:cs="宋体"/>
          <w:b/>
          <w:bCs/>
          <w:color w:val="auto"/>
          <w:szCs w:val="21"/>
          <w:highlight w:val="none"/>
        </w:rPr>
        <w:t>1、资格条件评审时，如发现下列情形之一的，投标文件将被视为无效：</w:t>
      </w:r>
    </w:p>
    <w:p>
      <w:pPr>
        <w:spacing w:line="400" w:lineRule="exact"/>
        <w:ind w:firstLine="735" w:firstLineChars="350"/>
        <w:rPr>
          <w:rFonts w:ascii="宋体" w:hAnsi="宋体" w:cs="宋体"/>
          <w:color w:val="auto"/>
          <w:szCs w:val="21"/>
          <w:highlight w:val="none"/>
        </w:rPr>
      </w:pPr>
      <w:r>
        <w:rPr>
          <w:rFonts w:hint="eastAsia" w:ascii="宋体" w:hAnsi="宋体" w:cs="宋体"/>
          <w:color w:val="auto"/>
          <w:szCs w:val="21"/>
          <w:highlight w:val="none"/>
        </w:rPr>
        <w:t>资格证明文件不全的，或者不符合招标文件标明的资格要求的。</w:t>
      </w:r>
    </w:p>
    <w:p>
      <w:pPr>
        <w:spacing w:line="400" w:lineRule="exact"/>
        <w:ind w:firstLine="411" w:firstLineChars="196"/>
        <w:rPr>
          <w:rFonts w:ascii="宋体" w:hAnsi="宋体" w:cs="宋体"/>
          <w:b/>
          <w:bCs/>
          <w:color w:val="auto"/>
          <w:szCs w:val="21"/>
          <w:highlight w:val="none"/>
        </w:rPr>
      </w:pPr>
      <w:r>
        <w:rPr>
          <w:rFonts w:hint="eastAsia" w:ascii="宋体" w:hAnsi="宋体" w:cs="宋体"/>
          <w:b/>
          <w:bCs/>
          <w:color w:val="auto"/>
          <w:szCs w:val="21"/>
          <w:highlight w:val="none"/>
        </w:rPr>
        <w:t>2、在符合性审查评审时，如发现下列情形之一的，投标文件将被视为无效：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w:t>
      </w:r>
      <w:r>
        <w:rPr>
          <w:rFonts w:hint="eastAsia" w:hAnsi="宋体" w:cs="宋体"/>
          <w:bCs/>
          <w:color w:val="auto"/>
          <w:szCs w:val="21"/>
          <w:highlight w:val="none"/>
        </w:rPr>
        <w:t>投标文件未按招标文件要求签署、签章的；</w:t>
      </w:r>
      <w:r>
        <w:rPr>
          <w:rFonts w:hint="eastAsia" w:ascii="宋体" w:hAnsi="宋体" w:cs="宋体"/>
          <w:color w:val="auto"/>
          <w:szCs w:val="21"/>
          <w:highlight w:val="none"/>
        </w:rPr>
        <w:t xml:space="preserve">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2.2投标代表人未能出具身份证明或与法定代表人（负责人）授权委托人身份不符的或委托人未提供法定代表人（负责人）授权委托书、填写项目不齐全的；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2.3投标文件项目不齐全或者内容虚假的；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2.4投标文件的实质性内容未使用中文表述、意思表述不明确、前后矛盾或者使用计量单位不符合招标文件要求的（经评标委员会认定并允许其当场更正的笔误除外）；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2.5投标有效期等商务条款不能满足招标文件要求的；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2.6带“★”的条款不能满足招标文件要求、未实质性响应招标文件要求或者投标文件有采购方不能接受的附加条件的；</w:t>
      </w:r>
    </w:p>
    <w:p>
      <w:pPr>
        <w:spacing w:line="400" w:lineRule="exact"/>
        <w:ind w:left="420"/>
        <w:rPr>
          <w:rFonts w:ascii="宋体" w:hAnsi="宋体" w:cs="宋体"/>
          <w:color w:val="auto"/>
          <w:szCs w:val="21"/>
          <w:highlight w:val="none"/>
        </w:rPr>
      </w:pPr>
      <w:r>
        <w:rPr>
          <w:rFonts w:hint="eastAsia" w:ascii="宋体" w:hAnsi="宋体" w:cs="宋体"/>
          <w:color w:val="auto"/>
          <w:szCs w:val="21"/>
          <w:highlight w:val="none"/>
        </w:rPr>
        <w:t>2.7投标文件标明的响应或偏离与事实不符或虚假投标的；</w:t>
      </w:r>
    </w:p>
    <w:p>
      <w:pPr>
        <w:spacing w:line="400" w:lineRule="exact"/>
        <w:ind w:left="420"/>
        <w:rPr>
          <w:rFonts w:ascii="宋体" w:hAnsi="宋体" w:cs="宋体"/>
          <w:color w:val="auto"/>
          <w:szCs w:val="21"/>
          <w:highlight w:val="none"/>
        </w:rPr>
      </w:pPr>
      <w:r>
        <w:rPr>
          <w:rFonts w:hint="eastAsia" w:ascii="宋体" w:hAnsi="宋体" w:cs="宋体"/>
          <w:color w:val="auto"/>
          <w:szCs w:val="21"/>
          <w:highlight w:val="none"/>
        </w:rPr>
        <w:t>2.8与其他参加本次供应商的投标文件（技术文件）的文字表述内容差错相同3处以上的。</w:t>
      </w:r>
    </w:p>
    <w:p>
      <w:pPr>
        <w:spacing w:line="400" w:lineRule="exact"/>
        <w:ind w:firstLine="205" w:firstLineChars="98"/>
        <w:rPr>
          <w:rFonts w:ascii="宋体" w:hAnsi="宋体" w:cs="宋体"/>
          <w:b/>
          <w:bCs/>
          <w:color w:val="auto"/>
          <w:szCs w:val="21"/>
          <w:highlight w:val="none"/>
        </w:rPr>
      </w:pPr>
      <w:r>
        <w:rPr>
          <w:rFonts w:hint="eastAsia" w:ascii="宋体" w:hAnsi="宋体" w:cs="宋体"/>
          <w:b/>
          <w:bCs/>
          <w:color w:val="auto"/>
          <w:szCs w:val="21"/>
          <w:highlight w:val="none"/>
        </w:rPr>
        <w:t>3、在报价评审时，如发现下列情形之一的，投标文件将被视为无效：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3.1未采用人民币报价或者未按照招标文件标明的币种报价的；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3.2报价超出最高限价，或者超出采购预算金额，采购人不能支付的；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3.3投标报价具有选择性的；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3.4投标报价中出现重大缺项、漏项；</w:t>
      </w:r>
    </w:p>
    <w:p>
      <w:pPr>
        <w:spacing w:line="40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3.5评标委员会认为供应商的报价明显低于其他通过符合性审查供应商的报价，有可能影响产品质量或者不能诚信履约的，且不能在评标现场合理时间内提供相关证明材料说明其报价的合理性的。</w:t>
      </w:r>
    </w:p>
    <w:p>
      <w:pPr>
        <w:snapToGrid w:val="0"/>
        <w:spacing w:line="400" w:lineRule="exact"/>
        <w:ind w:firstLine="420" w:firstLineChars="200"/>
        <w:jc w:val="left"/>
        <w:rPr>
          <w:rFonts w:ascii="宋体" w:hAnsi="宋体" w:cs="宋体"/>
          <w:b/>
          <w:bCs/>
          <w:color w:val="auto"/>
          <w:szCs w:val="21"/>
          <w:highlight w:val="none"/>
        </w:rPr>
      </w:pPr>
      <w:r>
        <w:rPr>
          <w:rFonts w:hint="eastAsia" w:ascii="宋体" w:hAnsi="宋体" w:cs="宋体"/>
          <w:b/>
          <w:bCs/>
          <w:color w:val="auto"/>
          <w:szCs w:val="21"/>
          <w:highlight w:val="none"/>
        </w:rPr>
        <w:t>4、</w:t>
      </w:r>
      <w:r>
        <w:rPr>
          <w:rFonts w:ascii="宋体" w:hAnsi="宋体"/>
          <w:b/>
          <w:color w:val="auto"/>
          <w:szCs w:val="21"/>
          <w:highlight w:val="none"/>
        </w:rPr>
        <w:t>不同投标人的投标文件出自同一终端设备或在相同Internet主机分配地址（相同IP地址）网上报名投标</w:t>
      </w:r>
      <w:r>
        <w:rPr>
          <w:rFonts w:hint="eastAsia" w:ascii="宋体" w:hAnsi="宋体"/>
          <w:b/>
          <w:color w:val="auto"/>
          <w:szCs w:val="21"/>
          <w:highlight w:val="none"/>
        </w:rPr>
        <w:t>。</w:t>
      </w:r>
      <w:r>
        <w:rPr>
          <w:rFonts w:hint="eastAsia" w:ascii="宋体" w:hAnsi="宋体" w:cs="宋体"/>
          <w:b/>
          <w:bCs/>
          <w:color w:val="auto"/>
          <w:szCs w:val="21"/>
          <w:highlight w:val="none"/>
        </w:rPr>
        <w:t>法律、法规和招标文件规定的其他无效情形。</w:t>
      </w:r>
    </w:p>
    <w:p>
      <w:pPr>
        <w:snapToGrid w:val="0"/>
        <w:spacing w:line="400" w:lineRule="exact"/>
        <w:ind w:firstLine="420" w:firstLineChars="200"/>
        <w:jc w:val="left"/>
        <w:rPr>
          <w:rFonts w:ascii="宋体" w:hAnsi="宋体" w:cs="宋体"/>
          <w:b/>
          <w:bCs/>
          <w:color w:val="auto"/>
          <w:szCs w:val="21"/>
          <w:highlight w:val="none"/>
        </w:rPr>
      </w:pPr>
      <w:r>
        <w:rPr>
          <w:rFonts w:hint="eastAsia" w:ascii="宋体" w:hAnsi="宋体" w:cs="宋体"/>
          <w:b/>
          <w:bCs/>
          <w:color w:val="auto"/>
          <w:szCs w:val="21"/>
          <w:highlight w:val="none"/>
        </w:rPr>
        <w:t>（五）澄清问题的形式</w:t>
      </w:r>
    </w:p>
    <w:p>
      <w:pPr>
        <w:widowControl/>
        <w:spacing w:line="400" w:lineRule="exact"/>
        <w:ind w:firstLine="420" w:firstLineChars="200"/>
        <w:jc w:val="left"/>
        <w:outlineLvl w:val="1"/>
        <w:rPr>
          <w:rFonts w:ascii="宋体" w:hAnsi="宋体" w:cs="宋体"/>
          <w:color w:val="auto"/>
          <w:szCs w:val="21"/>
          <w:highlight w:val="none"/>
        </w:rPr>
      </w:pPr>
      <w:bookmarkStart w:id="29" w:name="_Toc65753666"/>
      <w:r>
        <w:rPr>
          <w:rFonts w:hint="eastAsia" w:ascii="宋体" w:hAnsi="宋体" w:cs="宋体"/>
          <w:color w:val="auto"/>
          <w:szCs w:val="21"/>
          <w:highlight w:val="none"/>
        </w:rPr>
        <w:t>对于投标文件中含义不明确、同类问题表述不一致或者有明显文字和计算错误的内容，评标委员会可要求投标人以书面形式作出必要的澄清、说明或者补正。</w:t>
      </w:r>
      <w:bookmarkEnd w:id="29"/>
    </w:p>
    <w:p>
      <w:pPr>
        <w:widowControl/>
        <w:spacing w:line="400" w:lineRule="exact"/>
        <w:ind w:firstLine="420" w:firstLineChars="200"/>
        <w:jc w:val="left"/>
        <w:outlineLvl w:val="1"/>
        <w:rPr>
          <w:rFonts w:ascii="宋体" w:hAnsi="宋体" w:cs="宋体"/>
          <w:color w:val="auto"/>
          <w:szCs w:val="21"/>
          <w:highlight w:val="none"/>
        </w:rPr>
      </w:pPr>
      <w:bookmarkStart w:id="30" w:name="_Toc65753667"/>
      <w:r>
        <w:rPr>
          <w:rFonts w:hint="eastAsia" w:ascii="宋体" w:hAnsi="宋体" w:cs="宋体"/>
          <w:color w:val="auto"/>
          <w:szCs w:val="21"/>
          <w:highlight w:val="none"/>
        </w:rPr>
        <w:t>投标人的澄清、说明或者补正应当采用书面形式，并加盖公章，或者由法定代表人或其授权代表签字确认，投标人的澄清、说明或者补正不得超出投标文件的范围或者改变投标文件的实质性内容。</w:t>
      </w:r>
      <w:bookmarkEnd w:id="30"/>
    </w:p>
    <w:p>
      <w:pPr>
        <w:snapToGrid w:val="0"/>
        <w:spacing w:line="400" w:lineRule="exact"/>
        <w:ind w:firstLine="420" w:firstLineChars="200"/>
        <w:jc w:val="left"/>
        <w:rPr>
          <w:rFonts w:ascii="宋体" w:hAnsi="宋体" w:cs="宋体"/>
          <w:b/>
          <w:bCs/>
          <w:color w:val="auto"/>
          <w:szCs w:val="21"/>
          <w:highlight w:val="none"/>
        </w:rPr>
      </w:pPr>
      <w:r>
        <w:rPr>
          <w:rFonts w:hint="eastAsia" w:ascii="宋体" w:hAnsi="宋体" w:cs="宋体"/>
          <w:b/>
          <w:bCs/>
          <w:color w:val="auto"/>
          <w:szCs w:val="21"/>
          <w:highlight w:val="none"/>
        </w:rPr>
        <w:t>（六）错误修正</w:t>
      </w:r>
    </w:p>
    <w:p>
      <w:pPr>
        <w:pStyle w:val="39"/>
        <w:widowControl/>
        <w:spacing w:before="156" w:beforeLines="0" w:after="156" w:afterLines="0"/>
        <w:ind w:left="688" w:leftChars="228" w:hanging="210" w:hangingChars="100"/>
        <w:jc w:val="left"/>
        <w:rPr>
          <w:rFonts w:hAnsi="宋体" w:cs="宋体"/>
          <w:color w:val="auto"/>
          <w:sz w:val="21"/>
          <w:szCs w:val="21"/>
          <w:highlight w:val="none"/>
        </w:rPr>
      </w:pPr>
      <w:r>
        <w:rPr>
          <w:rFonts w:hint="eastAsia" w:hAnsi="宋体" w:cs="宋体"/>
          <w:color w:val="auto"/>
          <w:sz w:val="21"/>
          <w:szCs w:val="21"/>
          <w:highlight w:val="none"/>
        </w:rPr>
        <w:t>投标文件报价出现前后不一致的，除招标文件另有规定外，按照下列规定修正：</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投标文件中开标一览表（报价表）内容与投标文件中相应内容不一致的，以开标一览表（报价表）为准；</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政采云平台填报的开标一览表中的价格与上传的报价文件中开标一览表的报价不一致的，以上传的报价文件为准；</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大写金额和小写金额不一致的，以大写金额为准；</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单价金额小数点或者百分比有明显错位的，以开标一览表的总价为准，并修改单价；</w:t>
      </w:r>
    </w:p>
    <w:p>
      <w:pPr>
        <w:widowControl/>
        <w:numPr>
          <w:ilvl w:val="0"/>
          <w:numId w:val="3"/>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总价金额与按单价汇总金额不一致的，以单价金额计算结果为准；</w:t>
      </w:r>
    </w:p>
    <w:p>
      <w:pPr>
        <w:pStyle w:val="39"/>
        <w:widowControl/>
        <w:spacing w:beforeLines="0" w:afterLines="0"/>
        <w:ind w:firstLine="420" w:firstLineChars="200"/>
        <w:jc w:val="left"/>
        <w:rPr>
          <w:rFonts w:hAnsi="宋体" w:cs="宋体"/>
          <w:color w:val="auto"/>
          <w:sz w:val="21"/>
          <w:szCs w:val="21"/>
          <w:highlight w:val="none"/>
        </w:rPr>
      </w:pPr>
      <w:r>
        <w:rPr>
          <w:rFonts w:hint="eastAsia" w:hAnsi="宋体" w:cs="宋体"/>
          <w:b/>
          <w:bCs/>
          <w:color w:val="auto"/>
          <w:sz w:val="21"/>
          <w:szCs w:val="21"/>
          <w:highlight w:val="none"/>
        </w:rPr>
        <w:t>同时出现两种以上不一致的，按照前款规定的顺序修正。修正后的报价经投标人确认后具有约束力，若投标人不确认的，则其投标无效。</w:t>
      </w:r>
    </w:p>
    <w:p>
      <w:pPr>
        <w:pStyle w:val="6"/>
        <w:tabs>
          <w:tab w:val="left" w:pos="630"/>
        </w:tabs>
        <w:snapToGrid w:val="0"/>
        <w:spacing w:line="400" w:lineRule="exact"/>
        <w:ind w:firstLine="411" w:firstLineChars="196"/>
        <w:jc w:val="left"/>
        <w:rPr>
          <w:rFonts w:hAnsi="宋体" w:cs="宋体"/>
          <w:b/>
          <w:color w:val="auto"/>
          <w:szCs w:val="21"/>
          <w:highlight w:val="none"/>
        </w:rPr>
      </w:pPr>
      <w:r>
        <w:rPr>
          <w:rFonts w:hint="eastAsia" w:hAnsi="宋体" w:cs="宋体"/>
          <w:b/>
          <w:color w:val="auto"/>
          <w:szCs w:val="21"/>
          <w:highlight w:val="none"/>
        </w:rPr>
        <w:t>（六）评标原则和评标办法</w:t>
      </w:r>
    </w:p>
    <w:p>
      <w:pPr>
        <w:pStyle w:val="6"/>
        <w:snapToGrid w:val="0"/>
        <w:spacing w:line="400" w:lineRule="exact"/>
        <w:ind w:firstLine="420" w:firstLineChars="200"/>
        <w:jc w:val="left"/>
        <w:rPr>
          <w:rFonts w:hAnsi="宋体" w:cs="宋体"/>
          <w:color w:val="auto"/>
          <w:szCs w:val="21"/>
          <w:highlight w:val="none"/>
        </w:rPr>
      </w:pPr>
      <w:r>
        <w:rPr>
          <w:rFonts w:hint="eastAsia" w:hAnsi="宋体" w:cs="宋体"/>
          <w:color w:val="auto"/>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6"/>
        <w:snapToGrid w:val="0"/>
        <w:spacing w:line="400" w:lineRule="exact"/>
        <w:ind w:firstLine="420" w:firstLineChars="200"/>
        <w:jc w:val="left"/>
        <w:rPr>
          <w:rFonts w:hAnsi="宋体" w:cs="宋体"/>
          <w:color w:val="auto"/>
          <w:szCs w:val="21"/>
          <w:highlight w:val="none"/>
        </w:rPr>
      </w:pPr>
      <w:r>
        <w:rPr>
          <w:rFonts w:hint="eastAsia" w:hAnsi="宋体" w:cs="宋体"/>
          <w:color w:val="auto"/>
          <w:szCs w:val="21"/>
          <w:highlight w:val="none"/>
        </w:rPr>
        <w:t>2.评标办法。本项目评标办法是</w:t>
      </w:r>
      <w:r>
        <w:rPr>
          <w:rFonts w:hint="eastAsia" w:hAnsi="宋体" w:cs="宋体"/>
          <w:color w:val="auto"/>
          <w:szCs w:val="21"/>
          <w:highlight w:val="none"/>
          <w:u w:val="single"/>
        </w:rPr>
        <w:t xml:space="preserve"> 综合评分法 </w:t>
      </w:r>
      <w:r>
        <w:rPr>
          <w:rFonts w:hint="eastAsia" w:hAnsi="宋体" w:cs="宋体"/>
          <w:color w:val="auto"/>
          <w:szCs w:val="21"/>
          <w:highlight w:val="none"/>
        </w:rPr>
        <w:t>，具体评标内容及评分标准等详见《第四部分：评标办法及评分标准》。</w:t>
      </w:r>
    </w:p>
    <w:p>
      <w:pPr>
        <w:pStyle w:val="6"/>
        <w:snapToGrid w:val="0"/>
        <w:spacing w:line="400" w:lineRule="exact"/>
        <w:ind w:firstLine="411" w:firstLineChars="196"/>
        <w:jc w:val="left"/>
        <w:rPr>
          <w:rFonts w:hAnsi="宋体" w:cs="宋体"/>
          <w:b/>
          <w:color w:val="auto"/>
          <w:szCs w:val="21"/>
          <w:highlight w:val="none"/>
        </w:rPr>
      </w:pPr>
      <w:r>
        <w:rPr>
          <w:rFonts w:hint="eastAsia" w:hAnsi="宋体" w:cs="宋体"/>
          <w:b/>
          <w:color w:val="auto"/>
          <w:szCs w:val="21"/>
          <w:highlight w:val="none"/>
        </w:rPr>
        <w:t>（七）评审专家有下列情形之一的，受到邀请应主动提出回避，采购当事人也可以要求该评审专家回避：</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1、本人、配偶或直系亲属3年内曾在参加该采购项目的供应商中任职（包括一般工作）或担任顾问，或与参加该采购项目的供应商发生过法律纠纷；</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2、任职单位与采购人或参加该采购项目供应商存在行政隶属关系；</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3、曾经参加过该采购项目的进口产品或招标文件、招标需求、采购方式的论证和咨询服务工作；</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4、是参加该采购项目供应商的上级主管部门、控股或参股单位的工作人员，或与该供应商存在其他经济利益关系；</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5、评审委员会成员之间具有配偶、近亲属关系；</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6、同一单位的评审专家在同一项目评审委员会成员中超过一名；</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7、法律、法规、规章规定应当回避以及其他可能影响公正评审的。</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（八）评标委员会判断投标文件的有效性、合格性和响应情况，仅依据供应商所递交一切文件的真实表述，不受与本项目无直接关联的外部信息、传言而影响自身的专业判断。</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b/>
          <w:color w:val="auto"/>
          <w:szCs w:val="21"/>
          <w:highlight w:val="none"/>
        </w:rPr>
        <w:t>（十）评标过程的监控与保密要求</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1.本项目评标过程实行全程录音、录像监控，供应商在评标过程中所进行的试图影响评标结果的不公正活动，可能导致其投标被拒绝。</w:t>
      </w:r>
    </w:p>
    <w:p>
      <w:pPr>
        <w:pStyle w:val="6"/>
        <w:snapToGrid w:val="0"/>
        <w:spacing w:line="400" w:lineRule="exact"/>
        <w:ind w:firstLine="411" w:firstLineChars="196"/>
        <w:jc w:val="left"/>
        <w:rPr>
          <w:rFonts w:hAnsi="宋体" w:cs="宋体"/>
          <w:color w:val="auto"/>
          <w:szCs w:val="21"/>
          <w:highlight w:val="none"/>
        </w:rPr>
      </w:pPr>
      <w:r>
        <w:rPr>
          <w:rFonts w:hint="eastAsia" w:hAnsi="宋体" w:cs="宋体"/>
          <w:color w:val="auto"/>
          <w:szCs w:val="21"/>
          <w:highlight w:val="none"/>
        </w:rPr>
        <w:t>2.开标后到中标通知书发出之前，所有涉及评标委员会名单以及对投标文件的澄清、评价、比较等情况，评标委员会成员、采购人和采购代理机构的有关人员均不得向供应商或其他无关人员透露。</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六、定标</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1.确定中标人。本项目由评标委员会推荐中标候选人，采购人不得在评标委员会推荐的中标候选人以外确定中标候选人。</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3.采购代理机构自中标人确定之日起2个工作日内，采购代理机构以书面形式发出《中标通知书》,并同时在相关网站上发布中标公告。不在中标名单之列者即为落标人，采购代理机构不再以其它方式另行通知。</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4.凡发现中标人有下列行为之一的，将移交政府采购监督管理部门依法处理：</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rPr>
        <w:tab/>
      </w:r>
      <w:r>
        <w:rPr>
          <w:rFonts w:hint="eastAsia" w:ascii="宋体" w:hAnsi="宋体" w:cs="宋体"/>
          <w:color w:val="auto"/>
          <w:szCs w:val="21"/>
          <w:highlight w:val="none"/>
        </w:rPr>
        <w:t>提供虚假材料谋取中标的；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rPr>
        <w:tab/>
      </w:r>
      <w:r>
        <w:rPr>
          <w:rFonts w:hint="eastAsia" w:ascii="宋体" w:hAnsi="宋体" w:cs="宋体"/>
          <w:color w:val="auto"/>
          <w:szCs w:val="21"/>
          <w:highlight w:val="none"/>
        </w:rPr>
        <w:t>采取不正当手段诋毁、排挤其他投标人的；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rPr>
        <w:tab/>
      </w:r>
      <w:r>
        <w:rPr>
          <w:rFonts w:hint="eastAsia" w:ascii="宋体" w:hAnsi="宋体" w:cs="宋体"/>
          <w:color w:val="auto"/>
          <w:szCs w:val="21"/>
          <w:highlight w:val="none"/>
        </w:rPr>
        <w:t>与采购人、其他投标人或者采购代理机构工作人员恶意串通的；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rPr>
        <w:tab/>
      </w:r>
      <w:r>
        <w:rPr>
          <w:rFonts w:hint="eastAsia" w:ascii="宋体" w:hAnsi="宋体" w:cs="宋体"/>
          <w:color w:val="auto"/>
          <w:szCs w:val="21"/>
          <w:highlight w:val="none"/>
        </w:rPr>
        <w:t>向采购人或采购代理机构人员行贿或者提供其他不正当利益的；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rPr>
        <w:tab/>
      </w:r>
      <w:r>
        <w:rPr>
          <w:rFonts w:hint="eastAsia" w:ascii="宋体" w:hAnsi="宋体" w:cs="宋体"/>
          <w:color w:val="auto"/>
          <w:szCs w:val="21"/>
          <w:highlight w:val="none"/>
        </w:rPr>
        <w:t>拒绝有关部门监督检查或者提供虚假情况的；</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rPr>
        <w:tab/>
      </w:r>
      <w:r>
        <w:rPr>
          <w:rFonts w:hint="eastAsia" w:ascii="宋体" w:hAnsi="宋体" w:cs="宋体"/>
          <w:color w:val="auto"/>
          <w:szCs w:val="21"/>
          <w:highlight w:val="none"/>
        </w:rPr>
        <w:t>有法律、法规规定的其他损害采购人利益和社会公共利益情形的。</w:t>
      </w:r>
    </w:p>
    <w:p>
      <w:pPr>
        <w:spacing w:line="520" w:lineRule="exact"/>
        <w:ind w:firstLine="403"/>
        <w:jc w:val="center"/>
        <w:rPr>
          <w:rFonts w:ascii="宋体" w:hAnsi="宋体" w:cs="宋体"/>
          <w:color w:val="auto"/>
          <w:szCs w:val="21"/>
          <w:highlight w:val="none"/>
        </w:rPr>
      </w:pPr>
      <w:r>
        <w:rPr>
          <w:rFonts w:hint="eastAsia" w:ascii="宋体" w:hAnsi="宋体"/>
          <w:b/>
          <w:bCs/>
          <w:color w:val="auto"/>
          <w:sz w:val="32"/>
          <w:highlight w:val="none"/>
        </w:rPr>
        <w:t>七、合同授予</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（一）签订合同</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采购人不得向中标人提出任何不合理的要求作为签订合同的条件。</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2.采购人在签订合同时，在合同金额变更范围内，如需审批的办理相关审批手续。有权变更采购项目的数量和服务内容，但不能对单价或其他条款和条件作任何改变。</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3.招标文件、中标供应商的投标文件及评标过程中有关的澄清文件均应作为合同签订的附件。</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4.中标或者成交供应商拒绝与采购人签订合同的，采购人应重新招标。</w:t>
      </w:r>
    </w:p>
    <w:p>
      <w:pPr>
        <w:spacing w:line="400" w:lineRule="exact"/>
        <w:ind w:firstLine="403"/>
        <w:jc w:val="left"/>
        <w:rPr>
          <w:rFonts w:ascii="宋体" w:hAnsi="宋体" w:cs="宋体"/>
          <w:color w:val="auto"/>
          <w:szCs w:val="21"/>
          <w:highlight w:val="none"/>
        </w:rPr>
      </w:pPr>
      <w:r>
        <w:rPr>
          <w:rFonts w:hint="eastAsia" w:ascii="宋体" w:hAnsi="宋体" w:cs="宋体"/>
          <w:color w:val="auto"/>
          <w:szCs w:val="21"/>
          <w:highlight w:val="none"/>
        </w:rPr>
        <w:t>5.中标人无正当理由拖延、拒签合同的,将被取消中标资格并承担相应法律责任。给采购人造成的损失的还应当予以赔偿。</w:t>
      </w:r>
    </w:p>
    <w:p>
      <w:pPr>
        <w:spacing w:line="520" w:lineRule="exact"/>
        <w:jc w:val="center"/>
        <w:rPr>
          <w:rFonts w:ascii="宋体" w:hAnsi="宋体"/>
          <w:b/>
          <w:bCs/>
          <w:color w:val="auto"/>
          <w:sz w:val="32"/>
          <w:highlight w:val="none"/>
        </w:rPr>
      </w:pPr>
      <w:r>
        <w:rPr>
          <w:rFonts w:hint="eastAsia" w:ascii="宋体" w:hAnsi="宋体"/>
          <w:b/>
          <w:bCs/>
          <w:color w:val="auto"/>
          <w:sz w:val="32"/>
          <w:highlight w:val="none"/>
        </w:rPr>
        <w:t>八、履约验收</w:t>
      </w:r>
    </w:p>
    <w:p>
      <w:pPr>
        <w:spacing w:line="400" w:lineRule="exact"/>
        <w:ind w:firstLine="315" w:firstLineChars="150"/>
        <w:jc w:val="left"/>
        <w:rPr>
          <w:rFonts w:ascii="宋体" w:hAnsi="宋体" w:cs="宋体"/>
          <w:color w:val="auto"/>
          <w:szCs w:val="21"/>
          <w:highlight w:val="none"/>
        </w:rPr>
      </w:pPr>
      <w:r>
        <w:rPr>
          <w:rFonts w:hint="eastAsia" w:ascii="宋体" w:hAnsi="宋体" w:cs="宋体"/>
          <w:color w:val="auto"/>
          <w:szCs w:val="21"/>
          <w:highlight w:val="none"/>
        </w:rPr>
        <w:t xml:space="preserve"> 采购人负责对中标供应商的履约行为进行验收。政府向社会公众提供的公共服务项目，验收时应当邀请服务对象参与并出具意见，验收结果应当向社会公告。</w:t>
      </w:r>
    </w:p>
    <w:p>
      <w:pPr>
        <w:numPr>
          <w:ilvl w:val="0"/>
          <w:numId w:val="4"/>
        </w:numPr>
        <w:spacing w:line="520" w:lineRule="exact"/>
        <w:jc w:val="center"/>
        <w:rPr>
          <w:rFonts w:ascii="宋体" w:hAnsi="宋体"/>
          <w:b/>
          <w:bCs/>
          <w:color w:val="auto"/>
          <w:sz w:val="32"/>
          <w:highlight w:val="none"/>
        </w:rPr>
      </w:pPr>
      <w:r>
        <w:rPr>
          <w:rFonts w:hint="eastAsia" w:ascii="宋体" w:hAnsi="宋体"/>
          <w:b/>
          <w:bCs/>
          <w:color w:val="auto"/>
          <w:sz w:val="32"/>
          <w:highlight w:val="none"/>
        </w:rPr>
        <w:t>特别说明</w:t>
      </w:r>
    </w:p>
    <w:p>
      <w:pPr>
        <w:pStyle w:val="6"/>
        <w:wordWrap w:val="0"/>
        <w:snapToGrid w:val="0"/>
        <w:spacing w:before="312" w:beforeLines="100"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1. 本项目非专门面向中小企业采购。采购标的对应的中小企业划分标准所属行业：</w:t>
      </w:r>
      <w:r>
        <w:rPr>
          <w:rFonts w:hint="eastAsia" w:hAnsi="宋体" w:cs="宋体"/>
          <w:b/>
          <w:color w:val="auto"/>
          <w:szCs w:val="21"/>
          <w:highlight w:val="none"/>
          <w:u w:val="single"/>
        </w:rPr>
        <w:t xml:space="preserve">工业 </w:t>
      </w:r>
      <w:r>
        <w:rPr>
          <w:rFonts w:hint="eastAsia" w:hAnsi="宋体" w:cs="宋体"/>
          <w:b/>
          <w:color w:val="auto"/>
          <w:szCs w:val="21"/>
          <w:highlight w:val="none"/>
        </w:rPr>
        <w:t>。本次评标将对中小企业声明函满足招标文件要求的制造商企业均为小微企业的价格给予20%的扣除，用扣除后的价格参与评审。价格扣除只用于评审过程，如中标，中标价格仍按照其投标价格进行公示。</w:t>
      </w:r>
    </w:p>
    <w:p>
      <w:pPr>
        <w:pStyle w:val="6"/>
        <w:numPr>
          <w:ilvl w:val="0"/>
          <w:numId w:val="5"/>
        </w:numPr>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执行财政部、工业和信息化部《政府采购促进中小企业发展管理办法》（财库〔2020〕46号）。政府采购活动中有关中小企业的相关规定如下：</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符合中小企业划分标准的个体工商户，在政府采购活动中视同中小企业。</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国务院批准的中小企业划分标准：具体见工信部联企业[2011]300号。</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2.2、在政府采购活动中，供应商提供的货物、工程或者服务符合下列情形的，享受《政府采购促进中小企业发展管理办法》规定的中小企业扶持政策：</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（1）、在货物采购项目中，货物由中小企业制造，即货物由中小企业生产且使用该中小企业商号或者注册商标；</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（2）、在工程采购项目中，工程由中小企业承建，即工程施工单位为中小企业；</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（3）、在服务采购项目中，服务由中小企业承接，即提供服务的人员为中小企业依照《中华人民共和国劳动合同法》订立劳动合同的从业人员。</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在货物采购项目中，供应商提供的货物既有中小企业制造货物，也有大型企业制造货物的，不享受《政府采购促进中小企业发展管理办法》规定的中小企业扶持政策。</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以联合体形式参加政府采购活动，联合体各方均为中小企业的，联合体视同中小企业。其中，联合体各方均为小微企业的，联合体视同小微企业。</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2.3、中小企业参加政府采购活动，应当出具《政府采购促进中小企业发展管理办法》规定的《中小企业声明函》（格式见本采购文件附件），否则不得享受相关中小企业扶持政策。</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供应商提供声明函内容不实的，属于提供虚假材料谋取中标、成交，依照《中华人民共和国政府采购法》等国家有关规定追究相应责任。</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适用招标投标法的政府采购工程建设项目，投标人提供声明函内容不实的，属于弄虚作假骗取中标，依照《中华人民共和国招标投标法》等国家有关规定追究相应责任。</w:t>
      </w:r>
    </w:p>
    <w:p>
      <w:pPr>
        <w:pStyle w:val="6"/>
        <w:wordWrap w:val="0"/>
        <w:snapToGrid w:val="0"/>
        <w:spacing w:line="360" w:lineRule="auto"/>
        <w:ind w:firstLine="420" w:firstLineChars="200"/>
        <w:jc w:val="left"/>
        <w:rPr>
          <w:rFonts w:hAnsi="宋体" w:cs="宋体"/>
          <w:b/>
          <w:color w:val="auto"/>
          <w:szCs w:val="21"/>
          <w:highlight w:val="none"/>
        </w:rPr>
      </w:pPr>
      <w:r>
        <w:rPr>
          <w:rFonts w:hint="eastAsia" w:hAnsi="宋体" w:cs="宋体"/>
          <w:b/>
          <w:color w:val="auto"/>
          <w:szCs w:val="21"/>
          <w:highlight w:val="none"/>
        </w:rPr>
        <w:t>2.5、《中小企业声明函》由参加投标的供应商提交，如供应商为代理商，须自行采集制造商的中小企业划分类型信息填入相应栏目并对其真实性负责。</w:t>
      </w:r>
    </w:p>
    <w:p>
      <w:pPr>
        <w:tabs>
          <w:tab w:val="left" w:pos="518"/>
        </w:tabs>
        <w:adjustRightInd w:val="0"/>
        <w:snapToGrid w:val="0"/>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pPr>
        <w:tabs>
          <w:tab w:val="left" w:pos="518"/>
        </w:tabs>
        <w:adjustRightInd w:val="0"/>
        <w:snapToGrid w:val="0"/>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4. 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pPr>
        <w:tabs>
          <w:tab w:val="left" w:pos="518"/>
        </w:tabs>
        <w:adjustRightInd w:val="0"/>
        <w:snapToGrid w:val="0"/>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*5. 投标人应仔细阅读招标文件的所有内容，按照招标文件的要求提交投标文件，并对所提供的全部资料的真实性承担法律责任。</w:t>
      </w:r>
    </w:p>
    <w:p>
      <w:pPr>
        <w:spacing w:line="400" w:lineRule="exact"/>
        <w:ind w:firstLine="403"/>
        <w:jc w:val="left"/>
        <w:rPr>
          <w:rFonts w:ascii="宋体" w:hAnsi="宋体" w:cs="宋体"/>
          <w:b/>
          <w:color w:val="auto"/>
          <w:szCs w:val="21"/>
          <w:highlight w:val="none"/>
        </w:rPr>
      </w:pPr>
      <w:r>
        <w:rPr>
          <w:rFonts w:hint="eastAsia" w:ascii="宋体" w:hAnsi="宋体" w:cs="宋体"/>
          <w:b/>
          <w:color w:val="auto"/>
          <w:szCs w:val="21"/>
          <w:highlight w:val="none"/>
        </w:rPr>
        <w:t>*6. 投标人在投标活动中提供任何虚假材料，其投标无效。</w:t>
      </w:r>
    </w:p>
    <w:bookmarkEnd w:id="28"/>
    <w:p>
      <w:pPr>
        <w:pStyle w:val="3"/>
        <w:rPr>
          <w:rFonts w:ascii="宋体" w:hAnsi="宋体" w:cs="宋体"/>
          <w:color w:val="auto"/>
          <w:kern w:val="2"/>
          <w:sz w:val="21"/>
          <w:szCs w:val="21"/>
          <w:highlight w:val="none"/>
        </w:rPr>
        <w:sectPr>
          <w:pgSz w:w="11906" w:h="16838"/>
          <w:pgMar w:top="1474" w:right="1418" w:bottom="1418" w:left="1418" w:header="851" w:footer="851" w:gutter="0"/>
          <w:cols w:space="720" w:num="1"/>
          <w:docGrid w:type="linesAndChars" w:linePitch="312" w:charSpace="0"/>
        </w:sectPr>
      </w:pPr>
    </w:p>
    <w:p>
      <w:pPr>
        <w:pStyle w:val="3"/>
        <w:rPr>
          <w:color w:val="auto"/>
          <w:highlight w:val="none"/>
        </w:rPr>
      </w:pPr>
      <w:bookmarkStart w:id="31" w:name="_Toc65753668"/>
      <w:r>
        <w:rPr>
          <w:rFonts w:hint="eastAsia"/>
          <w:color w:val="auto"/>
          <w:highlight w:val="none"/>
        </w:rPr>
        <w:t>第三部分  项目内容及要求</w:t>
      </w:r>
      <w:bookmarkEnd w:id="31"/>
    </w:p>
    <w:p>
      <w:pPr>
        <w:spacing w:before="240" w:after="240" w:line="360" w:lineRule="auto"/>
        <w:jc w:val="center"/>
        <w:rPr>
          <w:rFonts w:ascii="宋体" w:hAnsi="宋体"/>
          <w:b/>
          <w:bCs/>
          <w:color w:val="auto"/>
          <w:sz w:val="32"/>
          <w:highlight w:val="none"/>
        </w:rPr>
      </w:pPr>
      <w:r>
        <w:rPr>
          <w:rFonts w:hint="eastAsia" w:ascii="宋体" w:hAnsi="宋体"/>
          <w:b/>
          <w:bCs/>
          <w:color w:val="auto"/>
          <w:sz w:val="32"/>
          <w:highlight w:val="none"/>
        </w:rPr>
        <w:t>A、项目内容</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1.采购内容</w:t>
      </w:r>
    </w:p>
    <w:p>
      <w:pPr>
        <w:spacing w:line="360" w:lineRule="auto"/>
        <w:rPr>
          <w:rFonts w:hint="eastAsia" w:ascii="宋体" w:hAnsi="宋体"/>
          <w:color w:val="auto"/>
          <w:highlight w:val="none"/>
        </w:rPr>
      </w:pPr>
      <w:r>
        <w:rPr>
          <w:rFonts w:hint="eastAsia" w:ascii="宋体" w:hAnsi="宋体"/>
          <w:color w:val="auto"/>
          <w:highlight w:val="none"/>
        </w:rPr>
        <w:t>项目名称：淮河小学东校区新建工程智能化采购项目</w:t>
      </w:r>
    </w:p>
    <w:p>
      <w:pPr>
        <w:spacing w:line="360" w:lineRule="auto"/>
        <w:rPr>
          <w:rFonts w:ascii="宋体" w:hAnsi="宋体"/>
          <w:color w:val="auto"/>
          <w:highlight w:val="none"/>
        </w:rPr>
      </w:pPr>
      <w:r>
        <w:rPr>
          <w:rFonts w:hint="eastAsia" w:ascii="宋体" w:hAnsi="宋体"/>
          <w:color w:val="auto"/>
          <w:highlight w:val="none"/>
        </w:rPr>
        <w:t>项目编号：</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2.项目范围</w:t>
      </w:r>
    </w:p>
    <w:p>
      <w:pPr>
        <w:spacing w:line="360" w:lineRule="auto"/>
        <w:ind w:left="210" w:leftChars="100"/>
        <w:rPr>
          <w:rFonts w:ascii="System" w:eastAsia="System" w:cs="System"/>
          <w:color w:val="auto"/>
          <w:kern w:val="0"/>
          <w:szCs w:val="21"/>
          <w:highlight w:val="none"/>
        </w:rPr>
      </w:pPr>
      <w:r>
        <w:rPr>
          <w:rFonts w:hint="eastAsia" w:ascii="宋体" w:hAnsi="宋体"/>
          <w:color w:val="auto"/>
          <w:highlight w:val="none"/>
        </w:rPr>
        <w:t>本项目位于淮河小学东侧地块,西至淮河路,东至规划绿 地,南至小山路,北至进港路。总建筑面积约28000平方米(其中地下建筑面积约1000平方米)，项目主要建设内容为普通教室、专用教室及辅助用房、公共教学用房、行政办公用房、生活服务用房及相关配套设施。详见本部分附件，供应商提供本项目采购范围内的货物和服务所需的一切费用均包含在报价中。</w:t>
      </w:r>
      <w:r>
        <w:rPr>
          <w:rFonts w:ascii="System" w:eastAsia="System" w:cs="System"/>
          <w:color w:val="auto"/>
          <w:kern w:val="0"/>
          <w:szCs w:val="21"/>
          <w:highlight w:val="none"/>
        </w:rPr>
        <w:t xml:space="preserve"> </w:t>
      </w:r>
    </w:p>
    <w:p>
      <w:pPr>
        <w:spacing w:before="240" w:after="240" w:line="360" w:lineRule="auto"/>
        <w:jc w:val="center"/>
        <w:rPr>
          <w:rFonts w:ascii="宋体" w:hAnsi="宋体"/>
          <w:b/>
          <w:bCs/>
          <w:color w:val="auto"/>
          <w:sz w:val="32"/>
          <w:highlight w:val="none"/>
        </w:rPr>
      </w:pPr>
      <w:r>
        <w:rPr>
          <w:rFonts w:hint="eastAsia" w:ascii="宋体" w:hAnsi="宋体"/>
          <w:b/>
          <w:bCs/>
          <w:color w:val="auto"/>
          <w:sz w:val="32"/>
          <w:highlight w:val="none"/>
        </w:rPr>
        <w:t>B、项目要求</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3.项目说明</w:t>
      </w:r>
    </w:p>
    <w:p>
      <w:pPr>
        <w:spacing w:line="360" w:lineRule="auto"/>
        <w:rPr>
          <w:rFonts w:ascii="宋体" w:hAnsi="宋体"/>
          <w:color w:val="auto"/>
          <w:highlight w:val="none"/>
        </w:rPr>
      </w:pPr>
      <w:r>
        <w:rPr>
          <w:rFonts w:hint="eastAsia" w:ascii="宋体" w:hAnsi="宋体"/>
          <w:color w:val="auto"/>
          <w:highlight w:val="none"/>
        </w:rPr>
        <w:t>3.1本招标文件所提出的项目技术标准是基本的技术标准和使用功能，并未规定所有的技术要求和适用标准，供应商应提供一套满足所列标准要求的高质量的产品及相应服务。</w:t>
      </w:r>
    </w:p>
    <w:p>
      <w:pPr>
        <w:spacing w:line="360" w:lineRule="auto"/>
        <w:rPr>
          <w:rFonts w:ascii="宋体" w:hAnsi="宋体"/>
          <w:color w:val="auto"/>
          <w:highlight w:val="none"/>
        </w:rPr>
      </w:pPr>
      <w:r>
        <w:rPr>
          <w:rFonts w:hint="eastAsia" w:ascii="宋体" w:hAnsi="宋体"/>
          <w:color w:val="auto"/>
          <w:highlight w:val="none"/>
        </w:rPr>
        <w:t>3.2本次招标项目应按国际标准或专业标准执行，最后按照国家有关规定及合同约定进行验收。</w:t>
      </w:r>
    </w:p>
    <w:p>
      <w:pPr>
        <w:spacing w:line="360" w:lineRule="auto"/>
        <w:rPr>
          <w:rFonts w:ascii="宋体" w:hAnsi="宋体"/>
          <w:color w:val="auto"/>
          <w:highlight w:val="none"/>
        </w:rPr>
      </w:pPr>
      <w:r>
        <w:rPr>
          <w:rFonts w:hint="eastAsia" w:ascii="宋体" w:hAnsi="宋体"/>
          <w:color w:val="auto"/>
          <w:highlight w:val="none"/>
        </w:rPr>
        <w:t>3.3本项目所有工作均由成交供应商负总责任。</w:t>
      </w:r>
    </w:p>
    <w:p>
      <w:pPr>
        <w:spacing w:line="360" w:lineRule="auto"/>
        <w:rPr>
          <w:rFonts w:ascii="宋体" w:hAnsi="宋体"/>
          <w:color w:val="auto"/>
          <w:highlight w:val="none"/>
        </w:rPr>
      </w:pPr>
      <w:r>
        <w:rPr>
          <w:rFonts w:hint="eastAsia" w:ascii="宋体" w:hAnsi="宋体"/>
          <w:color w:val="auto"/>
          <w:highlight w:val="none"/>
        </w:rPr>
        <w:t>3.4本项目要求使用的标准如与成交供应商所执行标准发生矛盾时，按较高标准执行。</w:t>
      </w:r>
    </w:p>
    <w:p>
      <w:pPr>
        <w:spacing w:line="360" w:lineRule="auto"/>
        <w:rPr>
          <w:rFonts w:hAnsi="宋体"/>
          <w:color w:val="auto"/>
          <w:highlight w:val="none"/>
        </w:rPr>
      </w:pPr>
      <w:r>
        <w:rPr>
          <w:rFonts w:hint="eastAsia" w:ascii="宋体" w:hAnsi="宋体"/>
          <w:color w:val="auto"/>
          <w:highlight w:val="none"/>
        </w:rPr>
        <w:t>3.5具体要求见本部分附件。</w:t>
      </w:r>
    </w:p>
    <w:p>
      <w:pPr>
        <w:spacing w:line="360" w:lineRule="auto"/>
        <w:rPr>
          <w:rFonts w:ascii="宋体" w:hAnsi="宋体"/>
          <w:b/>
          <w:bCs/>
          <w:color w:val="auto"/>
          <w:sz w:val="24"/>
          <w:highlight w:val="none"/>
        </w:rPr>
      </w:pPr>
      <w:r>
        <w:rPr>
          <w:rFonts w:hint="eastAsia" w:ascii="宋体" w:hAnsi="宋体"/>
          <w:b/>
          <w:bCs/>
          <w:color w:val="auto"/>
          <w:sz w:val="24"/>
          <w:highlight w:val="none"/>
        </w:rPr>
        <w:t>4.★交付地点与时间要求</w:t>
      </w:r>
    </w:p>
    <w:p>
      <w:pPr>
        <w:spacing w:line="360" w:lineRule="auto"/>
        <w:rPr>
          <w:rFonts w:ascii="宋体" w:hAnsi="宋体"/>
          <w:color w:val="auto"/>
          <w:highlight w:val="none"/>
        </w:rPr>
      </w:pPr>
      <w:r>
        <w:rPr>
          <w:rFonts w:hint="eastAsia" w:ascii="宋体" w:hAnsi="宋体"/>
          <w:color w:val="auto"/>
          <w:highlight w:val="none"/>
        </w:rPr>
        <w:t>4.1本项目交付（实施）地点：北仑区，采购人指定地点（淮河小学东校区新建工程工地）。</w:t>
      </w:r>
    </w:p>
    <w:p>
      <w:pPr>
        <w:spacing w:line="360" w:lineRule="auto"/>
        <w:rPr>
          <w:rFonts w:ascii="宋体" w:hAnsi="宋体"/>
          <w:color w:val="auto"/>
          <w:highlight w:val="none"/>
        </w:rPr>
      </w:pPr>
      <w:r>
        <w:rPr>
          <w:rFonts w:hint="eastAsia" w:ascii="宋体" w:hAnsi="宋体"/>
          <w:color w:val="auto"/>
          <w:highlight w:val="none"/>
        </w:rPr>
        <w:t>4.2本项目交付（服务）期限：配合土建施工进度要求，并在2024年4月30日前完成安装调试工作，并通过初验进入试运行，试运行期满后进行终验。若总包工期延期，则智能化施工工期相应顺延，合同总价不予调整。</w:t>
      </w:r>
    </w:p>
    <w:p>
      <w:pPr>
        <w:spacing w:line="360" w:lineRule="auto"/>
        <w:rPr>
          <w:rFonts w:ascii="宋体" w:hAnsi="宋体"/>
          <w:color w:val="auto"/>
          <w:highlight w:val="none"/>
        </w:rPr>
      </w:pPr>
      <w:r>
        <w:rPr>
          <w:rFonts w:hint="eastAsia" w:ascii="宋体" w:hAnsi="宋体"/>
          <w:color w:val="auto"/>
          <w:highlight w:val="none"/>
        </w:rPr>
        <w:t>4.3本项目质保期限：整体质保期为2年，从最终验收合格之日起算起。其中，设备的制造商若提供产品质保期大于两年的，则以制造商的质保期为准；设备的制造商若提供产品质保期小于二年的，则以二年为准（由供应商负责）。</w:t>
      </w:r>
    </w:p>
    <w:p>
      <w:pPr>
        <w:spacing w:line="360" w:lineRule="auto"/>
        <w:rPr>
          <w:rFonts w:ascii="宋体" w:hAnsi="宋体"/>
          <w:color w:val="auto"/>
          <w:highlight w:val="none"/>
        </w:rPr>
      </w:pPr>
      <w:r>
        <w:rPr>
          <w:rFonts w:hint="eastAsia" w:ascii="宋体" w:hAnsi="宋体"/>
          <w:color w:val="auto"/>
          <w:highlight w:val="none"/>
        </w:rPr>
        <w:t>4.4本项目服务响应要求：在接到用户的故障维修电话后1小时内响应，简单故障能通过电话予以解决，如用户提出需要上门服务，维修人员应在4小时内赶到现场，并在2个日历天内解决问题。如在规定时间内不能解决问题，应提供同规格的替代设备给用户代用，直至设备故障修复。具体要求详见本部分附件。</w:t>
      </w:r>
    </w:p>
    <w:p>
      <w:pPr>
        <w:spacing w:line="360" w:lineRule="auto"/>
        <w:rPr>
          <w:rFonts w:ascii="宋体" w:hAnsi="宋体"/>
          <w:b/>
          <w:bCs/>
          <w:color w:val="auto"/>
          <w:sz w:val="24"/>
          <w:highlight w:val="none"/>
        </w:rPr>
      </w:pPr>
      <w:r>
        <w:rPr>
          <w:rFonts w:hint="eastAsia" w:ascii="宋体" w:hAnsi="宋体"/>
          <w:b/>
          <w:bCs/>
          <w:color w:val="auto"/>
          <w:sz w:val="24"/>
          <w:highlight w:val="none"/>
        </w:rPr>
        <w:t>5.投标文件的编制要求</w:t>
      </w:r>
    </w:p>
    <w:p>
      <w:pPr>
        <w:spacing w:line="360" w:lineRule="auto"/>
        <w:rPr>
          <w:rFonts w:ascii="宋体" w:hAnsi="宋体"/>
          <w:color w:val="auto"/>
          <w:highlight w:val="none"/>
        </w:rPr>
      </w:pPr>
      <w:r>
        <w:rPr>
          <w:rFonts w:hint="eastAsia" w:ascii="宋体" w:hAnsi="宋体"/>
          <w:color w:val="auto"/>
          <w:highlight w:val="none"/>
        </w:rPr>
        <w:t>以下为投标人在投标文件中需要包含的最基本内容。若投标人提供的技术（服务）方案、设备（材料）性能参数与采购人要求不一致，必须在技术及服务条款偏离表中说明。</w:t>
      </w:r>
    </w:p>
    <w:p>
      <w:pPr>
        <w:spacing w:line="360" w:lineRule="auto"/>
        <w:rPr>
          <w:rFonts w:ascii="宋体" w:hAnsi="宋体"/>
          <w:b/>
          <w:color w:val="auto"/>
          <w:highlight w:val="none"/>
        </w:rPr>
      </w:pPr>
      <w:r>
        <w:rPr>
          <w:rFonts w:hint="eastAsia" w:ascii="宋体" w:hAnsi="宋体"/>
          <w:b/>
          <w:color w:val="auto"/>
          <w:highlight w:val="none"/>
        </w:rPr>
        <w:t>5.1货物技术性能</w:t>
      </w:r>
    </w:p>
    <w:p>
      <w:pPr>
        <w:spacing w:line="360" w:lineRule="auto"/>
        <w:rPr>
          <w:rFonts w:ascii="宋体" w:hAnsi="宋体"/>
          <w:color w:val="auto"/>
          <w:highlight w:val="none"/>
        </w:rPr>
      </w:pPr>
      <w:r>
        <w:rPr>
          <w:rFonts w:hint="eastAsia" w:ascii="宋体" w:hAnsi="宋体"/>
          <w:color w:val="auto"/>
          <w:highlight w:val="none"/>
        </w:rPr>
        <w:t>5.1.1货物规格：根据采购需求，详细列出符合要求的设备配置情况及设备各项指标对应情况。参照第六部分投标文件格式附件13：投标货物（服务）清单。</w:t>
      </w:r>
    </w:p>
    <w:p>
      <w:pPr>
        <w:spacing w:line="360" w:lineRule="auto"/>
        <w:rPr>
          <w:rFonts w:ascii="宋体" w:hAnsi="宋体"/>
          <w:color w:val="auto"/>
          <w:highlight w:val="none"/>
        </w:rPr>
      </w:pPr>
      <w:r>
        <w:rPr>
          <w:rFonts w:hint="eastAsia" w:ascii="宋体" w:hAnsi="宋体"/>
          <w:color w:val="auto"/>
          <w:highlight w:val="none"/>
        </w:rPr>
        <w:t>5.1.2品牌选择要求。为了便于维护，各子系统中应尽量使用同一品牌。</w:t>
      </w:r>
    </w:p>
    <w:p>
      <w:pPr>
        <w:spacing w:line="360" w:lineRule="auto"/>
        <w:rPr>
          <w:rFonts w:ascii="宋体" w:hAnsi="宋体"/>
          <w:color w:val="auto"/>
          <w:highlight w:val="none"/>
        </w:rPr>
      </w:pPr>
      <w:r>
        <w:rPr>
          <w:rFonts w:hint="eastAsia" w:ascii="宋体" w:hAnsi="宋体"/>
          <w:color w:val="auto"/>
          <w:highlight w:val="none"/>
        </w:rPr>
        <w:t>5.1.3具体要求详见本部分附件。</w:t>
      </w:r>
    </w:p>
    <w:p>
      <w:pPr>
        <w:spacing w:line="360" w:lineRule="auto"/>
        <w:rPr>
          <w:rFonts w:ascii="宋体" w:hAnsi="宋体"/>
          <w:b/>
          <w:color w:val="auto"/>
          <w:highlight w:val="none"/>
        </w:rPr>
      </w:pPr>
      <w:r>
        <w:rPr>
          <w:rFonts w:hint="eastAsia" w:ascii="宋体" w:hAnsi="宋体"/>
          <w:b/>
          <w:color w:val="auto"/>
          <w:highlight w:val="none"/>
        </w:rPr>
        <w:t>5.2项目技术方案</w:t>
      </w:r>
    </w:p>
    <w:p>
      <w:pPr>
        <w:spacing w:line="360" w:lineRule="auto"/>
        <w:rPr>
          <w:rFonts w:ascii="宋体" w:hAnsi="宋体"/>
          <w:color w:val="auto"/>
          <w:highlight w:val="none"/>
        </w:rPr>
      </w:pPr>
      <w:r>
        <w:rPr>
          <w:rFonts w:hint="eastAsia" w:ascii="宋体" w:hAnsi="宋体"/>
          <w:color w:val="auto"/>
          <w:highlight w:val="none"/>
        </w:rPr>
        <w:t>5.2.1深化设计。根据采购人的需求，针对本项目的特点，说明整个项目深化设计思路，以各子系统的功能要求为准，并做详细说明。深化设计必须全面满足采购人项目需求，不得降低项目规格或档次，出具施工图后，施工图必须由本工程设计单位审核、签发。</w:t>
      </w:r>
    </w:p>
    <w:p>
      <w:pPr>
        <w:spacing w:line="360" w:lineRule="auto"/>
        <w:rPr>
          <w:rFonts w:ascii="宋体" w:hAnsi="宋体"/>
          <w:color w:val="auto"/>
          <w:highlight w:val="none"/>
        </w:rPr>
      </w:pPr>
      <w:r>
        <w:rPr>
          <w:rFonts w:hint="eastAsia" w:ascii="宋体" w:hAnsi="宋体"/>
          <w:color w:val="auto"/>
          <w:highlight w:val="none"/>
        </w:rPr>
        <w:t>5.2.2项目的难点和重点分析。对本项目安装调试过程中的难点和重点实事做出分析，并说明解决办法。</w:t>
      </w:r>
    </w:p>
    <w:p>
      <w:pPr>
        <w:spacing w:line="360" w:lineRule="auto"/>
        <w:rPr>
          <w:rFonts w:ascii="宋体" w:hAnsi="宋体"/>
          <w:color w:val="auto"/>
          <w:highlight w:val="none"/>
        </w:rPr>
      </w:pPr>
      <w:r>
        <w:rPr>
          <w:rFonts w:hint="eastAsia" w:ascii="宋体" w:hAnsi="宋体"/>
          <w:color w:val="auto"/>
          <w:highlight w:val="none"/>
        </w:rPr>
        <w:t>5.2.3 测试方法。完成安装后，在采购人在场的情况下，由供应商负责一次全面测试，并把测试结果用测试报告的方式交给采购人，在方案中应有具体的测试内容和方法。</w:t>
      </w:r>
    </w:p>
    <w:p>
      <w:pPr>
        <w:spacing w:line="360" w:lineRule="auto"/>
        <w:rPr>
          <w:rFonts w:ascii="宋体" w:hAnsi="宋体"/>
          <w:color w:val="auto"/>
          <w:highlight w:val="none"/>
        </w:rPr>
      </w:pPr>
      <w:r>
        <w:rPr>
          <w:rFonts w:hint="eastAsia" w:ascii="宋体" w:hAnsi="宋体"/>
          <w:color w:val="auto"/>
          <w:highlight w:val="none"/>
        </w:rPr>
        <w:t>5.2.4具体要求详见本部分附件。</w:t>
      </w:r>
    </w:p>
    <w:p>
      <w:pPr>
        <w:spacing w:line="360" w:lineRule="auto"/>
        <w:rPr>
          <w:rFonts w:ascii="宋体" w:hAnsi="宋体"/>
          <w:b/>
          <w:color w:val="auto"/>
          <w:highlight w:val="none"/>
        </w:rPr>
      </w:pPr>
      <w:r>
        <w:rPr>
          <w:rFonts w:hint="eastAsia" w:ascii="宋体" w:hAnsi="宋体"/>
          <w:b/>
          <w:color w:val="auto"/>
          <w:highlight w:val="none"/>
        </w:rPr>
        <w:t>5.3项目实施方案</w:t>
      </w:r>
    </w:p>
    <w:p>
      <w:pPr>
        <w:spacing w:line="360" w:lineRule="auto"/>
        <w:rPr>
          <w:rFonts w:ascii="宋体" w:hAnsi="宋体"/>
          <w:color w:val="auto"/>
          <w:highlight w:val="none"/>
        </w:rPr>
      </w:pPr>
      <w:r>
        <w:rPr>
          <w:rFonts w:hint="eastAsia" w:ascii="宋体" w:hAnsi="宋体"/>
          <w:color w:val="auto"/>
          <w:highlight w:val="none"/>
        </w:rPr>
        <w:t>5.3.1项目实施方案包括施工组织设计，项目组成员介绍等，内容简洁实用。中标人应派技术好、经验丰富的专业技术人员进行深化设计、安装、调试，在合同签订后按要求进行现场查勘、设备采购、安装、调试、验收等工作。在项目验收交付买方前，负责对货物的保护。在交付前如果货物遇到损坏或丢失，所造成的损失由中标人承担。合同实施过程中，须与采购单位积极配合。</w:t>
      </w:r>
    </w:p>
    <w:p>
      <w:pPr>
        <w:spacing w:line="360" w:lineRule="auto"/>
        <w:rPr>
          <w:rFonts w:ascii="宋体" w:hAnsi="宋体"/>
          <w:color w:val="auto"/>
          <w:highlight w:val="none"/>
        </w:rPr>
      </w:pPr>
      <w:r>
        <w:rPr>
          <w:rFonts w:hint="eastAsia" w:ascii="宋体" w:hAnsi="宋体"/>
          <w:color w:val="auto"/>
          <w:highlight w:val="none"/>
        </w:rPr>
        <w:t xml:space="preserve">5.3.2项目执行计划。注明每个阶段的人员分工、负责人和完成时间。 </w:t>
      </w:r>
    </w:p>
    <w:p>
      <w:pPr>
        <w:spacing w:line="360" w:lineRule="auto"/>
        <w:rPr>
          <w:rFonts w:ascii="宋体" w:hAnsi="宋体"/>
          <w:color w:val="auto"/>
          <w:highlight w:val="none"/>
        </w:rPr>
      </w:pPr>
      <w:r>
        <w:rPr>
          <w:rFonts w:hint="eastAsia" w:ascii="宋体" w:hAnsi="宋体"/>
          <w:color w:val="auto"/>
          <w:highlight w:val="none"/>
        </w:rPr>
        <w:t>5.3.3 项目组成员介绍。要体现项目经理的具体情况，提供主要实施人员的相关资料，拟派本项目的主要实施人员未经采购人许可不得更换。</w:t>
      </w:r>
    </w:p>
    <w:p>
      <w:pPr>
        <w:spacing w:line="360" w:lineRule="auto"/>
        <w:rPr>
          <w:rFonts w:ascii="宋体" w:hAnsi="宋体"/>
          <w:color w:val="auto"/>
          <w:highlight w:val="none"/>
        </w:rPr>
      </w:pPr>
      <w:r>
        <w:rPr>
          <w:rFonts w:hint="eastAsia" w:ascii="宋体" w:hAnsi="宋体"/>
          <w:color w:val="auto"/>
          <w:highlight w:val="none"/>
        </w:rPr>
        <w:t>5.3.4具体要求详见本部分附件。</w:t>
      </w:r>
    </w:p>
    <w:p>
      <w:pPr>
        <w:spacing w:line="360" w:lineRule="auto"/>
        <w:rPr>
          <w:rFonts w:ascii="宋体" w:hAnsi="宋体"/>
          <w:b/>
          <w:color w:val="auto"/>
          <w:highlight w:val="none"/>
        </w:rPr>
      </w:pPr>
      <w:r>
        <w:rPr>
          <w:rFonts w:hint="eastAsia" w:ascii="宋体" w:hAnsi="宋体"/>
          <w:b/>
          <w:color w:val="auto"/>
          <w:highlight w:val="none"/>
        </w:rPr>
        <w:t>5.4质量保证和售后服务方案</w:t>
      </w:r>
    </w:p>
    <w:p>
      <w:pPr>
        <w:spacing w:line="360" w:lineRule="auto"/>
        <w:rPr>
          <w:rFonts w:ascii="宋体" w:hAnsi="宋体"/>
          <w:color w:val="auto"/>
          <w:highlight w:val="none"/>
        </w:rPr>
      </w:pPr>
      <w:r>
        <w:rPr>
          <w:rFonts w:hint="eastAsia" w:ascii="宋体" w:hAnsi="宋体"/>
          <w:color w:val="auto"/>
          <w:highlight w:val="none"/>
        </w:rPr>
        <w:t>5.4.1质量标准：达到国家相关质量验收标准，项目验收一次性通过，并配合总包确保“甬江建设杯”。</w:t>
      </w:r>
    </w:p>
    <w:p>
      <w:pPr>
        <w:spacing w:line="360" w:lineRule="auto"/>
        <w:rPr>
          <w:rFonts w:ascii="宋体" w:hAnsi="宋体"/>
          <w:color w:val="auto"/>
          <w:highlight w:val="none"/>
        </w:rPr>
      </w:pPr>
      <w:r>
        <w:rPr>
          <w:rFonts w:hint="eastAsia" w:ascii="宋体" w:hAnsi="宋体"/>
          <w:color w:val="auto"/>
          <w:highlight w:val="none"/>
        </w:rPr>
        <w:t>5.4.2供应商应保证本项目质量符合合同规定的要求，所提供的设备材料为未使用过的全新产品，安装施工方法符合国家标准、规范的要求。</w:t>
      </w:r>
    </w:p>
    <w:p>
      <w:pPr>
        <w:spacing w:line="360" w:lineRule="auto"/>
        <w:rPr>
          <w:rFonts w:ascii="宋体" w:hAnsi="宋体"/>
          <w:color w:val="auto"/>
          <w:highlight w:val="none"/>
        </w:rPr>
      </w:pPr>
      <w:r>
        <w:rPr>
          <w:rFonts w:hint="eastAsia" w:ascii="宋体" w:hAnsi="宋体"/>
          <w:color w:val="auto"/>
          <w:highlight w:val="none"/>
        </w:rPr>
        <w:t>5.4.3质量标准的评定以国家或行业的质量检验评定标准为依据。因供应商原因产品质量达不到约定的质量标准，供应商承担违约责任。</w:t>
      </w:r>
    </w:p>
    <w:p>
      <w:pPr>
        <w:spacing w:line="360" w:lineRule="auto"/>
        <w:rPr>
          <w:rFonts w:ascii="宋体" w:hAnsi="宋体"/>
          <w:color w:val="auto"/>
          <w:highlight w:val="none"/>
        </w:rPr>
      </w:pPr>
      <w:r>
        <w:rPr>
          <w:rFonts w:hint="eastAsia" w:ascii="宋体" w:hAnsi="宋体"/>
          <w:color w:val="auto"/>
          <w:highlight w:val="none"/>
        </w:rPr>
        <w:t>5.4.4项目验收要求。项目安装、调试完成后，应经过一个月的试运行期，试运行期后，由采购人进行统一验收。系统验收合格的条件必须至少满足以下要求：已提供了合同要求的全部设备和资料；性能测试和试运行验收时出现的问题已被解决。</w:t>
      </w:r>
    </w:p>
    <w:p>
      <w:pPr>
        <w:spacing w:line="360" w:lineRule="auto"/>
        <w:rPr>
          <w:rFonts w:ascii="宋体" w:hAnsi="宋体"/>
          <w:color w:val="auto"/>
          <w:highlight w:val="none"/>
        </w:rPr>
      </w:pPr>
      <w:r>
        <w:rPr>
          <w:rFonts w:hint="eastAsia" w:ascii="宋体" w:hAnsi="宋体"/>
          <w:color w:val="auto"/>
          <w:highlight w:val="none"/>
        </w:rPr>
        <w:t>5.4.5在质保期内，供应商须免费负责修理和替换任何由于产品自身的质量问题造成的损坏及故障。如果在短时内故障无法修复，则应提供同规格设备代用。供应商在质保期内的工作还应包括对货物的常规检查、调整。具体的操作程序和内容须在投标文件质量保证及售后服务方案中说明。</w:t>
      </w:r>
    </w:p>
    <w:p>
      <w:pPr>
        <w:spacing w:line="360" w:lineRule="auto"/>
        <w:rPr>
          <w:rFonts w:ascii="宋体" w:hAnsi="宋体"/>
          <w:color w:val="auto"/>
          <w:highlight w:val="none"/>
        </w:rPr>
      </w:pPr>
      <w:r>
        <w:rPr>
          <w:rFonts w:hint="eastAsia" w:ascii="宋体" w:hAnsi="宋体"/>
          <w:color w:val="auto"/>
          <w:highlight w:val="none"/>
        </w:rPr>
        <w:t>5.4.6技术服务。供应商应对本项目提供长期有效的技术支持，投标文件中应提供技术服务和售后服务的内容及措施承诺，并列出售后服务机构设置情况，包括人员数量、人员技术资格情况、办公地址、联系方式及负责人等。</w:t>
      </w:r>
    </w:p>
    <w:p>
      <w:pPr>
        <w:spacing w:line="360" w:lineRule="auto"/>
        <w:rPr>
          <w:rFonts w:ascii="宋体" w:hAnsi="宋体"/>
          <w:color w:val="auto"/>
          <w:highlight w:val="none"/>
        </w:rPr>
      </w:pPr>
      <w:r>
        <w:rPr>
          <w:rFonts w:hint="eastAsia" w:ascii="宋体" w:hAnsi="宋体"/>
          <w:color w:val="auto"/>
          <w:highlight w:val="none"/>
        </w:rPr>
        <w:t>5.4.7为保证能够及时维修维护，供应商应免费提供一些常用的、易损的备品备件，并放在用户处，这些备品备件列述在投标文件的备品备件清单中。参照第六部分投标文件格式附件7：备品备件清单。</w:t>
      </w:r>
    </w:p>
    <w:p>
      <w:pPr>
        <w:spacing w:line="360" w:lineRule="auto"/>
        <w:rPr>
          <w:rFonts w:ascii="宋体" w:hAnsi="宋体"/>
          <w:color w:val="auto"/>
          <w:highlight w:val="none"/>
        </w:rPr>
      </w:pPr>
      <w:r>
        <w:rPr>
          <w:rFonts w:hint="eastAsia" w:ascii="宋体" w:hAnsi="宋体"/>
          <w:color w:val="auto"/>
          <w:highlight w:val="none"/>
        </w:rPr>
        <w:t>5.4.8供应商应在质保期内免费提供每季度一次的对整个系统的维护和保养，记录系统各项运行数据。质保期结束前，须由供应商和用户的代表进行一次全面检查，属于本项目范围内的任何缺陷必须由供应商负责修理。在修复之后，供应商应将缺陷原因、修理内容、修复的时间和日期等报告给用户，报告一式两份。</w:t>
      </w:r>
    </w:p>
    <w:p>
      <w:pPr>
        <w:spacing w:line="360" w:lineRule="auto"/>
        <w:rPr>
          <w:rFonts w:ascii="宋体" w:hAnsi="宋体"/>
          <w:color w:val="auto"/>
          <w:highlight w:val="none"/>
        </w:rPr>
      </w:pPr>
      <w:r>
        <w:rPr>
          <w:rFonts w:hint="eastAsia" w:ascii="宋体" w:hAnsi="宋体"/>
          <w:color w:val="auto"/>
          <w:highlight w:val="none"/>
        </w:rPr>
        <w:t>5.4.9具体要求详见本部分附件。</w:t>
      </w:r>
    </w:p>
    <w:p>
      <w:pPr>
        <w:spacing w:line="360" w:lineRule="auto"/>
        <w:rPr>
          <w:rFonts w:ascii="宋体" w:hAnsi="宋体"/>
          <w:b/>
          <w:color w:val="auto"/>
          <w:highlight w:val="none"/>
        </w:rPr>
      </w:pPr>
      <w:r>
        <w:rPr>
          <w:rFonts w:hint="eastAsia" w:ascii="宋体" w:hAnsi="宋体"/>
          <w:b/>
          <w:color w:val="auto"/>
          <w:highlight w:val="none"/>
        </w:rPr>
        <w:t>5.5技术培训方案</w:t>
      </w:r>
    </w:p>
    <w:p>
      <w:pPr>
        <w:spacing w:line="360" w:lineRule="auto"/>
        <w:rPr>
          <w:rFonts w:ascii="宋体" w:hAnsi="宋体"/>
          <w:color w:val="auto"/>
          <w:highlight w:val="none"/>
        </w:rPr>
      </w:pPr>
      <w:r>
        <w:rPr>
          <w:rFonts w:hint="eastAsia" w:ascii="宋体" w:hAnsi="宋体"/>
          <w:color w:val="auto"/>
          <w:highlight w:val="none"/>
        </w:rPr>
        <w:t>5.5.1供应商须对使用方的操作人员及管理人员进行整个系统的使用、维护等内容的培训。在投标文件中提供培训方案，包括负责培训的人员、培训内容、培训时间等内容。</w:t>
      </w:r>
    </w:p>
    <w:p>
      <w:pPr>
        <w:spacing w:line="360" w:lineRule="auto"/>
        <w:rPr>
          <w:rFonts w:ascii="宋体" w:hAnsi="宋体"/>
          <w:color w:val="auto"/>
          <w:highlight w:val="none"/>
        </w:rPr>
      </w:pPr>
      <w:r>
        <w:rPr>
          <w:rFonts w:hint="eastAsia" w:ascii="宋体" w:hAnsi="宋体"/>
          <w:color w:val="auto"/>
          <w:highlight w:val="none"/>
        </w:rPr>
        <w:t>5.5.2具体要求详见本部分附件。</w:t>
      </w:r>
    </w:p>
    <w:p>
      <w:pPr>
        <w:spacing w:line="360" w:lineRule="auto"/>
        <w:rPr>
          <w:rFonts w:ascii="宋体" w:hAnsi="宋体"/>
          <w:b/>
          <w:color w:val="auto"/>
          <w:highlight w:val="none"/>
        </w:rPr>
      </w:pPr>
      <w:r>
        <w:rPr>
          <w:rFonts w:hint="eastAsia" w:ascii="宋体" w:hAnsi="宋体"/>
          <w:b/>
          <w:color w:val="auto"/>
          <w:highlight w:val="none"/>
        </w:rPr>
        <w:t>5.6优惠承诺及合理化建议</w:t>
      </w:r>
    </w:p>
    <w:p>
      <w:pPr>
        <w:spacing w:line="360" w:lineRule="auto"/>
        <w:rPr>
          <w:rFonts w:ascii="宋体" w:hAnsi="宋体"/>
          <w:color w:val="auto"/>
          <w:highlight w:val="none"/>
        </w:rPr>
      </w:pPr>
      <w:r>
        <w:rPr>
          <w:rFonts w:hint="eastAsia" w:ascii="宋体" w:hAnsi="宋体"/>
          <w:color w:val="auto"/>
          <w:highlight w:val="none"/>
        </w:rPr>
        <w:t>5.6.1根据采购人提供的清单和技术要求，提出具有可行性的合理化建议。</w:t>
      </w:r>
    </w:p>
    <w:p>
      <w:pPr>
        <w:spacing w:line="360" w:lineRule="auto"/>
        <w:rPr>
          <w:rFonts w:ascii="宋体" w:hAnsi="宋体"/>
          <w:color w:val="auto"/>
          <w:highlight w:val="none"/>
        </w:rPr>
      </w:pPr>
      <w:r>
        <w:rPr>
          <w:rFonts w:hint="eastAsia" w:ascii="宋体" w:hAnsi="宋体"/>
          <w:color w:val="auto"/>
          <w:highlight w:val="none"/>
        </w:rPr>
        <w:t>5.6.2供应商可以根据项目实际情况和自己的实力及意愿在投标文件中作出优于招标要求的保证或承诺。</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6.合同签订</w:t>
      </w:r>
    </w:p>
    <w:p>
      <w:pPr>
        <w:spacing w:line="360" w:lineRule="auto"/>
        <w:rPr>
          <w:rFonts w:ascii="宋体" w:hAnsi="宋体"/>
          <w:color w:val="auto"/>
          <w:highlight w:val="none"/>
        </w:rPr>
      </w:pPr>
      <w:r>
        <w:rPr>
          <w:rFonts w:hint="eastAsia" w:ascii="宋体" w:hAnsi="宋体"/>
          <w:color w:val="auto"/>
          <w:highlight w:val="none"/>
        </w:rPr>
        <w:t>6.1采购人和中标人应当自中标通知书发出之日起30 日内，根据招标文件和中标人的投标文件订立书面合同。</w:t>
      </w:r>
    </w:p>
    <w:p>
      <w:pPr>
        <w:spacing w:line="360" w:lineRule="auto"/>
        <w:rPr>
          <w:rFonts w:ascii="宋体" w:hAnsi="宋体"/>
          <w:b/>
          <w:bCs/>
          <w:color w:val="auto"/>
          <w:highlight w:val="none"/>
        </w:rPr>
      </w:pPr>
      <w:r>
        <w:rPr>
          <w:rFonts w:hint="eastAsia" w:ascii="宋体" w:hAnsi="宋体"/>
          <w:b/>
          <w:bCs/>
          <w:color w:val="auto"/>
          <w:highlight w:val="none"/>
        </w:rPr>
        <w:t>合同签订要求：合同按招标文件中提供的采购合同版本签订。</w:t>
      </w:r>
    </w:p>
    <w:p>
      <w:pPr>
        <w:spacing w:line="360" w:lineRule="auto"/>
        <w:rPr>
          <w:rFonts w:ascii="宋体" w:hAnsi="宋体"/>
          <w:color w:val="auto"/>
          <w:highlight w:val="none"/>
        </w:rPr>
      </w:pPr>
      <w:r>
        <w:rPr>
          <w:rFonts w:hint="eastAsia" w:ascii="宋体" w:hAnsi="宋体"/>
          <w:color w:val="auto"/>
          <w:highlight w:val="none"/>
        </w:rPr>
        <w:t>6.2如果供应商提供的货物或服务与投标文件、相关澄清文件和合同等内容中承诺的不一致，则供应商必须接受无条件退货并赔偿采购人合同总金额100%的赔款。</w:t>
      </w:r>
    </w:p>
    <w:p>
      <w:pPr>
        <w:spacing w:line="360" w:lineRule="auto"/>
        <w:rPr>
          <w:rFonts w:ascii="宋体" w:hAnsi="宋体"/>
          <w:color w:val="auto"/>
          <w:highlight w:val="none"/>
        </w:rPr>
      </w:pPr>
      <w:r>
        <w:rPr>
          <w:rFonts w:hint="eastAsia" w:ascii="宋体" w:hAnsi="宋体"/>
          <w:color w:val="auto"/>
          <w:highlight w:val="none"/>
        </w:rPr>
        <w:t>6.3合同履行过程中，若发现投标人的投标文件中有投标价错误的，按不利于投标人的原则修正、调整相关价格，合同总价有变化的签订补充协议后作相应调整。</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7.付款方式</w:t>
      </w:r>
    </w:p>
    <w:p>
      <w:pPr>
        <w:spacing w:line="360" w:lineRule="auto"/>
        <w:rPr>
          <w:rFonts w:ascii="宋体" w:hAnsi="宋体"/>
          <w:color w:val="auto"/>
          <w:highlight w:val="none"/>
        </w:rPr>
      </w:pPr>
      <w:r>
        <w:rPr>
          <w:rFonts w:hint="eastAsia" w:ascii="宋体" w:hAnsi="宋体"/>
          <w:color w:val="auto"/>
          <w:highlight w:val="none"/>
        </w:rPr>
        <w:t>具体核拨方式根据合同规定执行，详见本招标文件第五部分合同主要条款及格式。</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8.其他说明</w:t>
      </w:r>
    </w:p>
    <w:p>
      <w:pPr>
        <w:spacing w:line="360" w:lineRule="auto"/>
        <w:rPr>
          <w:rFonts w:ascii="宋体" w:hAnsi="宋体"/>
          <w:b/>
          <w:color w:val="auto"/>
          <w:highlight w:val="none"/>
        </w:rPr>
      </w:pPr>
      <w:r>
        <w:rPr>
          <w:rFonts w:hint="eastAsia" w:ascii="宋体" w:hAnsi="宋体"/>
          <w:b/>
          <w:color w:val="auto"/>
          <w:highlight w:val="none"/>
        </w:rPr>
        <w:t>8.1类似项目业绩</w:t>
      </w:r>
    </w:p>
    <w:p>
      <w:pPr>
        <w:spacing w:line="360" w:lineRule="auto"/>
        <w:rPr>
          <w:rFonts w:ascii="宋体" w:hAnsi="宋体"/>
          <w:color w:val="auto"/>
          <w:highlight w:val="none"/>
        </w:rPr>
      </w:pPr>
      <w:r>
        <w:rPr>
          <w:rFonts w:hint="eastAsia" w:ascii="宋体" w:hAnsi="宋体"/>
          <w:color w:val="auto"/>
          <w:highlight w:val="none"/>
        </w:rPr>
        <w:t>投标文件中提供投标人最近三年（时间计算以投标截止时间和合同签订时间为准）以来成功实施的同类项目的业绩或案例证明，格式参考第六部分投标文件格式附件15：类似项目业绩表，同类项目业绩要求详见评标办法。投标时提供合同和验收证明等相关资料，由评审委员会认定该合同是否属于同类项目业绩。</w:t>
      </w:r>
    </w:p>
    <w:p>
      <w:pPr>
        <w:spacing w:line="360" w:lineRule="auto"/>
        <w:rPr>
          <w:rFonts w:ascii="宋体" w:hAnsi="宋体"/>
          <w:color w:val="auto"/>
          <w:highlight w:val="none"/>
        </w:rPr>
      </w:pPr>
      <w:r>
        <w:rPr>
          <w:rFonts w:hint="eastAsia" w:ascii="宋体" w:hAnsi="宋体"/>
          <w:color w:val="auto"/>
          <w:highlight w:val="none"/>
        </w:rPr>
        <w:t>对投标人提供的合同，即使评标委员会在评标过程中已经确认，采购人和采购机构有权利对投标人提供的合同业绩进行落实。若投标人存在虚假欺骗行为，将承担相应的法律责任。</w:t>
      </w:r>
    </w:p>
    <w:p>
      <w:pPr>
        <w:spacing w:line="360" w:lineRule="auto"/>
        <w:rPr>
          <w:rFonts w:ascii="宋体" w:hAnsi="宋体"/>
          <w:color w:val="auto"/>
          <w:highlight w:val="none"/>
        </w:rPr>
      </w:pPr>
      <w:r>
        <w:rPr>
          <w:rFonts w:hint="eastAsia" w:ascii="宋体" w:hAnsi="宋体"/>
          <w:b/>
          <w:color w:val="auto"/>
          <w:highlight w:val="none"/>
        </w:rPr>
        <w:t>8.2人员要求（包括并不限于以下人员）：</w:t>
      </w:r>
    </w:p>
    <w:p>
      <w:pPr>
        <w:spacing w:line="360" w:lineRule="auto"/>
        <w:rPr>
          <w:rFonts w:ascii="宋体" w:hAnsi="宋体"/>
          <w:color w:val="auto"/>
          <w:highlight w:val="none"/>
        </w:rPr>
      </w:pPr>
      <w:r>
        <w:rPr>
          <w:rFonts w:hint="eastAsia" w:ascii="宋体" w:hAnsi="宋体"/>
          <w:color w:val="auto"/>
          <w:highlight w:val="none"/>
        </w:rPr>
        <w:t>配备项目经理一名，要求具有建设行政主管部门颁发的机电工程专业注册建造师一级证书，同时还应具有安全生产考核合格证书（B证）；配备专职安全员一名，要求具有安全生产考核合格证书（C证）。投标文件中提供《项目管理机构配备情况表》（格式参考第六部分投标文件格式附件14），表后附拟派项目经理的建造师证书及安全生产考核合格证书（B证）、专职安全员的安全生产考核合格证书（C证）复印件加盖公章。</w:t>
      </w:r>
    </w:p>
    <w:p>
      <w:pPr>
        <w:spacing w:line="360" w:lineRule="auto"/>
        <w:rPr>
          <w:rFonts w:ascii="宋体" w:hAnsi="宋体"/>
          <w:b/>
          <w:color w:val="auto"/>
          <w:highlight w:val="none"/>
        </w:rPr>
      </w:pPr>
      <w:r>
        <w:rPr>
          <w:rFonts w:hint="eastAsia" w:ascii="宋体" w:hAnsi="宋体"/>
          <w:b/>
          <w:color w:val="auto"/>
          <w:highlight w:val="none"/>
        </w:rPr>
        <w:t>8.3本项目落实国家节能环保有关政策的规定</w:t>
      </w:r>
    </w:p>
    <w:p>
      <w:pPr>
        <w:spacing w:line="360" w:lineRule="auto"/>
        <w:rPr>
          <w:rFonts w:ascii="宋体" w:hAnsi="宋体"/>
          <w:b/>
          <w:bCs/>
          <w:color w:val="auto"/>
          <w:highlight w:val="none"/>
        </w:rPr>
      </w:pPr>
      <w:r>
        <w:rPr>
          <w:rFonts w:hint="eastAsia" w:ascii="宋体" w:hAnsi="宋体"/>
          <w:b/>
          <w:bCs/>
          <w:color w:val="auto"/>
          <w:highlight w:val="none"/>
        </w:rPr>
        <w:t>8.1.1根据《关于调整优化节能产品、环境标志产品政府采购执行机制的通知》（财库[2019]9号）文件要求，对拟采购的产品依据品目清单和认证证书实施政府优先采购和强制采购政策。</w:t>
      </w:r>
    </w:p>
    <w:p>
      <w:pPr>
        <w:spacing w:line="360" w:lineRule="auto"/>
        <w:rPr>
          <w:rFonts w:ascii="宋体" w:hAnsi="宋体"/>
          <w:b/>
          <w:bCs/>
          <w:color w:val="auto"/>
          <w:highlight w:val="none"/>
        </w:rPr>
      </w:pPr>
      <w:r>
        <w:rPr>
          <w:rFonts w:hint="eastAsia" w:ascii="宋体" w:hAnsi="宋体"/>
          <w:b/>
          <w:bCs/>
          <w:color w:val="auto"/>
          <w:highlight w:val="none"/>
        </w:rPr>
        <w:t>8.1.2根据现行政府采购节能环保政策，台式计算机、便携式计算机、平板式微型计算机、激光打印机、针式打印机、液晶显示器等为政府强制采购产品政府强制采购产品，施行强制采购政策。节能产品（环境标志产品）政府采购品目清单查询网址：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b/>
          <w:bCs/>
          <w:color w:val="auto"/>
          <w:highlight w:val="none"/>
        </w:rPr>
        <w:t>www.ccgp.gov.cn</w:t>
      </w:r>
      <w:r>
        <w:rPr>
          <w:rFonts w:hint="eastAsia" w:ascii="宋体" w:hAnsi="宋体"/>
          <w:b/>
          <w:bCs/>
          <w:color w:val="auto"/>
          <w:highlight w:val="none"/>
        </w:rPr>
        <w:fldChar w:fldCharType="end"/>
      </w:r>
      <w:r>
        <w:rPr>
          <w:rFonts w:hint="eastAsia" w:ascii="宋体" w:hAnsi="宋体"/>
          <w:b/>
          <w:bCs/>
          <w:color w:val="auto"/>
          <w:highlight w:val="none"/>
        </w:rPr>
        <w:t>)。</w:t>
      </w:r>
    </w:p>
    <w:p>
      <w:pPr>
        <w:spacing w:line="360" w:lineRule="auto"/>
        <w:rPr>
          <w:rFonts w:ascii="宋体" w:hAnsi="宋体"/>
          <w:b/>
          <w:bCs/>
          <w:color w:val="auto"/>
          <w:highlight w:val="none"/>
        </w:rPr>
      </w:pPr>
      <w:r>
        <w:rPr>
          <w:rFonts w:hint="eastAsia" w:ascii="宋体" w:hAnsi="宋体"/>
          <w:b/>
          <w:bCs/>
          <w:color w:val="auto"/>
          <w:highlight w:val="none"/>
        </w:rPr>
        <w:t>8.1.3投标人应依据品目清单在投标文件中提供投标产品有效的节能产品（或环境标志产品）认证证书彩色扫描件或者提供投标产品在中国政府采购网（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b/>
          <w:bCs/>
          <w:color w:val="auto"/>
          <w:highlight w:val="none"/>
        </w:rPr>
        <w:t>www.ccgp.gov.cn</w:t>
      </w:r>
      <w:r>
        <w:rPr>
          <w:rFonts w:hint="eastAsia" w:ascii="宋体" w:hAnsi="宋体"/>
          <w:b/>
          <w:bCs/>
          <w:color w:val="auto"/>
          <w:highlight w:val="none"/>
        </w:rPr>
        <w:fldChar w:fldCharType="end"/>
      </w:r>
      <w:r>
        <w:rPr>
          <w:rFonts w:hint="eastAsia" w:ascii="宋体" w:hAnsi="宋体"/>
          <w:b/>
          <w:bCs/>
          <w:color w:val="auto"/>
          <w:highlight w:val="none"/>
        </w:rPr>
        <w:t>）节能产品（或环境标志产品）查询结果的网页截图的证明材料。</w:t>
      </w:r>
    </w:p>
    <w:p>
      <w:pPr>
        <w:spacing w:line="360" w:lineRule="auto"/>
        <w:rPr>
          <w:rFonts w:ascii="宋体" w:hAnsi="宋体"/>
          <w:color w:val="auto"/>
          <w:highlight w:val="none"/>
        </w:rPr>
      </w:pPr>
      <w:r>
        <w:rPr>
          <w:rFonts w:hint="eastAsia" w:ascii="宋体" w:hAnsi="宋体"/>
          <w:b/>
          <w:bCs/>
          <w:color w:val="auto"/>
          <w:highlight w:val="none"/>
        </w:rPr>
        <w:t>8.1.4施行强制采购的产品没有提供证明材料的，投标无效；非强制采购产品没有提供证明材料的，不予认定。</w:t>
      </w:r>
    </w:p>
    <w:p>
      <w:pPr>
        <w:spacing w:line="360" w:lineRule="auto"/>
        <w:rPr>
          <w:rFonts w:ascii="宋体" w:hAnsi="宋体"/>
          <w:color w:val="auto"/>
          <w:highlight w:val="none"/>
        </w:rPr>
      </w:pPr>
    </w:p>
    <w:p>
      <w:pPr>
        <w:spacing w:line="360" w:lineRule="auto"/>
        <w:rPr>
          <w:rFonts w:ascii="宋体" w:hAnsi="宋体"/>
          <w:b/>
          <w:color w:val="auto"/>
          <w:highlight w:val="none"/>
        </w:rPr>
      </w:pPr>
      <w:r>
        <w:rPr>
          <w:rFonts w:hint="eastAsia" w:ascii="宋体" w:hAnsi="宋体"/>
          <w:b/>
          <w:color w:val="auto"/>
          <w:highlight w:val="none"/>
        </w:rPr>
        <w:t>附件1：采购清单及要求</w:t>
      </w:r>
    </w:p>
    <w:p>
      <w:pPr>
        <w:spacing w:line="360" w:lineRule="auto"/>
        <w:rPr>
          <w:rFonts w:ascii="宋体" w:hAnsi="宋体"/>
          <w:b/>
          <w:color w:val="auto"/>
          <w:highlight w:val="none"/>
        </w:rPr>
      </w:pPr>
      <w:r>
        <w:rPr>
          <w:rFonts w:hint="eastAsia" w:ascii="宋体" w:hAnsi="宋体"/>
          <w:b/>
          <w:color w:val="auto"/>
          <w:highlight w:val="none"/>
        </w:rPr>
        <w:t>附件2：图纸（以电子文档方式提供）</w:t>
      </w:r>
    </w:p>
    <w:p>
      <w:pPr>
        <w:spacing w:line="360" w:lineRule="auto"/>
        <w:rPr>
          <w:rFonts w:ascii="宋体" w:hAnsi="宋体"/>
          <w:b/>
          <w:color w:val="auto"/>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b/>
          <w:color w:val="auto"/>
          <w:highlight w:val="none"/>
        </w:rPr>
      </w:pPr>
      <w:r>
        <w:rPr>
          <w:rFonts w:hint="eastAsia" w:ascii="宋体" w:hAnsi="宋体"/>
          <w:b/>
          <w:color w:val="auto"/>
          <w:highlight w:val="none"/>
        </w:rPr>
        <w:t>附件1：</w:t>
      </w:r>
    </w:p>
    <w:p>
      <w:pPr>
        <w:spacing w:before="240" w:after="240" w:line="360" w:lineRule="auto"/>
        <w:jc w:val="center"/>
        <w:rPr>
          <w:rFonts w:ascii="宋体" w:hAnsi="宋体"/>
          <w:b/>
          <w:bCs/>
          <w:color w:val="auto"/>
          <w:sz w:val="32"/>
          <w:highlight w:val="none"/>
        </w:rPr>
      </w:pPr>
      <w:r>
        <w:rPr>
          <w:rFonts w:hint="eastAsia" w:ascii="宋体" w:hAnsi="宋体"/>
          <w:b/>
          <w:bCs/>
          <w:color w:val="auto"/>
          <w:sz w:val="32"/>
          <w:highlight w:val="none"/>
        </w:rPr>
        <w:t>采购清单及要求</w:t>
      </w:r>
    </w:p>
    <w:p>
      <w:pPr>
        <w:spacing w:line="360" w:lineRule="auto"/>
        <w:rPr>
          <w:rFonts w:ascii="宋体" w:hAnsi="宋体"/>
          <w:b/>
          <w:bCs/>
          <w:color w:val="auto"/>
          <w:highlight w:val="none"/>
        </w:rPr>
      </w:pPr>
      <w:r>
        <w:rPr>
          <w:rFonts w:hint="eastAsia" w:ascii="宋体" w:hAnsi="宋体"/>
          <w:b/>
          <w:bCs/>
          <w:color w:val="auto"/>
          <w:highlight w:val="none"/>
        </w:rPr>
        <w:t>一、技术要求</w:t>
      </w:r>
    </w:p>
    <w:p>
      <w:pPr>
        <w:spacing w:line="360" w:lineRule="auto"/>
        <w:rPr>
          <w:rFonts w:ascii="宋体" w:hAnsi="宋体"/>
          <w:color w:val="auto"/>
          <w:highlight w:val="none"/>
        </w:rPr>
      </w:pPr>
      <w:r>
        <w:rPr>
          <w:rFonts w:hint="eastAsia" w:ascii="宋体" w:hAnsi="宋体"/>
          <w:b/>
          <w:bCs/>
          <w:color w:val="auto"/>
          <w:highlight w:val="none"/>
        </w:rPr>
        <w:t>（一）工程概况</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1.本项目为淮河小学东校区新建工程，总建筑面积：27236.44平方米，其中地上建筑面积：17716.5平方米，地下建筑面积：9519.94平方米。</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2.本项目的智能化弱电系统工程设计范围为：1.综合布线系统（SCS）：a) 语音通信系统；b) 数据通信系统（校园网）；c) 移动通信系统（运营商考虑）；2.计算机网络系统（校园网、安防网）；3.校园广播系统；4.安全防范系统(SAS)：a) 视频监视系统（含透明厨房）；b) 入侵报警系统；c）电子巡更系统；d）出入口管理系统（人行出入口管理系统和车行出入口系统）；e）一卡通门禁系统；5.信息发布系统；6.多媒体会议系统；7.多媒体教学系统；8.录播系统；9.电子班牌系统；10监控室建设系统；11网络机房建设系统；12.五方通话系统；13.综合管路等子系统。</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本次招标包含上述子系统的管线、桥架、过路盒、设备等所有系统内容。</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3.本工程网络中心机房设置在四层网络机房，放置核心交换机、包括无线控制器等设备。</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4.本工程监控机房设置在消控室，放置核心交换机、存储设备、管理服务器等设备。</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5.广播总控室设置在五层广播室，分控室位于体育馆二层广播室。</w:t>
      </w:r>
    </w:p>
    <w:p>
      <w:pPr>
        <w:spacing w:line="360" w:lineRule="auto"/>
        <w:rPr>
          <w:rFonts w:ascii="宋体" w:hAnsi="宋体"/>
          <w:color w:val="auto"/>
          <w:highlight w:val="none"/>
        </w:rPr>
      </w:pPr>
      <w:r>
        <w:rPr>
          <w:rFonts w:hint="eastAsia" w:ascii="宋体" w:hAnsi="宋体"/>
          <w:b/>
          <w:bCs/>
          <w:color w:val="auto"/>
          <w:highlight w:val="none"/>
        </w:rPr>
        <w:t>（二）设计依据</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1、建设单位对本工程的技术要求，有关单位对本工程设计方案的意见以及建设单位所提供的资料。</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2、国家现行的有关设计标准和规范。</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设计标准</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《智能建筑设计标准》 GB50314-2015；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《综合布线系统工程验收规范》 GB/T50312-2016；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《建筑机电工程抗震设计规范》GB50981-2014；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《综合布线系统工程设计规范》 GB50311-2016；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《民用闭路监视电视系统工程技术规范》 GB50198-2011；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《智能建筑工程质量验收规范》 GB50339-2013；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《入侵报警系统工程设计规范》GB50394-2007；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《智能建筑弱电工程设计施工图集》GJBT-47197X700；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《视频安防监控系统工程设计规范》 GB 50395-2007；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《建筑物防雷设计规范》 GB50057-2010；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《建筑物电子信息系统防雷技术规范》 GB50343-2012；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《民用建筑电气设计标准》 GB 51348-2019；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《安全防范工程技术标准》GB50348-2018；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《安全技术防范系统建设技术规范 第10部分:学校》DB33/T768.10-2009；</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《出入口控制系统工程设计规范》 GB50396-2007；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《安全防范系统验收规则》 GA 308-2001；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《教育建筑电气设计规范 》JGJ310-2013；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《中小学、幼儿园安全技术防范系统要求》GB/T29315—2012；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《电气装置安装工程 接地装置施工及验收规范》 GB50169-2016；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《公共广播系统工程技术规范》GB50526-2010；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 xml:space="preserve">《数据中心设计规范》GB50174-2017；                     </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浙江省中小学心理辅导室建设标准和运行规范等其它有关的国家及地方现行最新的规程、规范。</w:t>
      </w:r>
    </w:p>
    <w:p>
      <w:pPr>
        <w:spacing w:line="360" w:lineRule="auto"/>
        <w:rPr>
          <w:rFonts w:hint="eastAsia" w:ascii="宋体" w:hAnsi="宋体"/>
          <w:b/>
          <w:bCs/>
          <w:color w:val="auto"/>
          <w:highlight w:val="none"/>
        </w:rPr>
      </w:pPr>
      <w:r>
        <w:rPr>
          <w:rFonts w:hint="eastAsia" w:ascii="宋体" w:hAnsi="宋体"/>
          <w:b/>
          <w:bCs/>
          <w:color w:val="auto"/>
          <w:highlight w:val="none"/>
        </w:rPr>
        <w:t>（三） 子系统设计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3.1、综合布线系统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综合布线系统为淮河小学东校区新建工程内的语音通信和数据通信提供可靠、稳定的传输线路。根据本栋楼每个楼层的房间功能的划分确定信息点位分布。</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1、工作区子系统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数据信息插座选用六类RJ45插口模块，语音信息插座选用六类RJ45插口模块，并采用86H暗盒及墙型面板，未特别标明的场合安装高度底距地0.3m，部分办公室点位设置铜地插，具体设置根据图纸标注内信息点布置。每个数据插座必须配置电源插座，且与电源插座外沿水平距离为0.2m以上，水平线缆至底盒后预留0.3m。</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2、水平子系统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水平子系统电缆采用六类数据、语音8芯非屏蔽双绞线（WDZ-CAT6 UTP），沿垂直、水平金属桥架（C型）及JDG管敷设。施工时，双绞线敷设至信息点位置后还需预留30cm。1根六类8芯UTP穿JDG20管，2~3根六类8芯LSZH UTP穿JDG25管，4根及以上分管敷设。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3、管理间子系统：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每个IDF设备间内设置管理配线架，所有信息点汇集到相应的IDF设备间。每个IDF内分别有光纤连接装置、网络交换机，管理本区域内的数据点和语音点。每个IDF设备间机柜内设置UPS电源插座，由IDF设备间内的UPS电源线引入，楼层箱总配电由消控室安防UPS主机集中供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4、垂直干线子系统：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垂直干线分别沿各个设备间及走廊内垂直桥架、水平桥架敷设，数据校园网垂直干线均采用室内12芯单模光缆，设备网垂直干线采用室内12芯单模光缆，语音主干采用3类大对数通信铜缆。施工时，铜缆配线架等设备，分别管理各IDF内的信息点（具体详见综合布线平面图及系统图）。电缆引入机柜后还需预留3m。</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5、建筑群子系统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小学网络中心机房设置在四层网络机房，通过室外光缆及大对数通信电缆分别于各单体交换中心通信，进出建筑物的信息线缆应设置信号浪涌保护器。学校网络中心机房通过室外光缆互联互通，进行数据交换及统一管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3.2、计算机网络系统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本工程拟设计包括校园网、设备网两套计算机网络。其中，校园网作为办公网络、教学网络及远程教学、培训等功能。设备网将作为学校安防、智能化系统专用网络，为校园的智能化系统提供一个良好的路由平台。使智能化网络集中在一个网络当中，方便管理单位更便捷的，通过网络了解项目内智能化设备运行状态及控制。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1、计算机网络系统校园网</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工程的校园网建设构架采用"核心层—接入层"的二层网络结构。核心层设在学校网络机房内，负责整个工程内的数据交换、路由转发，是整个项目网络的核心。核心层与接入层交换机单链路连接，配置单模光模块，主要功能是将核心网络与接入的数据的转发及终端用户接入网络，提供高速千兆上联，并完成接入安全控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为保障无线网络的使用，在大楼内功能区域设置无线网络接入点（AP），教室内采用高密度APz覆盖，教师办公室采用面板式无线APm，用于无线教学办公等应用，在每个的IDF管理设备间内设置POE以太网加电交换机。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主干网采用1000M网络上联，从IDF管理间到用户端采用1000M网络接入，按照千兆网络标准布线。整个结构采用星型网络拓扑，弱电机房可以分别管理各个IDF内的网络设备。</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2、计算机网络系统安防网</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本工程的安防网网络建设构架采用"核心层—接入层"的二层网络结构。核心层设在学校消控室，负责整个弱电（监控、门禁、建筑设备管理等）系统的数据交换、路由转发，是整个弱电系统正常运行的关键之一。</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核心层与接入层主干网采用1000M网络上联，从IDF管理间到用户端采用1000M网络接入，按照千兆网络标准布线。整个结构采用星型网络拓扑，消控室可以分别管理各个IDF内的网络设备。</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3.3、校园广播系统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校园广播总体采用IP广播系统，系统前端喇嘛设计分为两部分，第一部分公共区域分为综合楼室内、地下室走廊等功能区域喇叭；第二部分为教室区域，每间教室设置一个IP数字音箱，每间教室独立成一个分区；第三部分为室外草坪音箱；第四部分为操场独立扩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（1）广播总控室设置在五层广播室，。室外操场单独扩声系统管理中心设在体育馆二层分控广播室。广播设备等采用市电供电。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通过智能管理主机可设置实现自动开关机，可单独管理也可以配合软件集中管理。应用广播软件实现用中外名歌名曲（或音乐铃）代替上、下课铃声及眼保键操、广播操等，并能控制功放电源，能在作息前打开功放系统电源，在结束后关闭功放电源，保证系统的安全运行, 通过遥控器可控制播放系统。可强制运行临时程序、或不运行程序远程寻呼站可当分控点使用，可手动控制主控室的可控设备。可实现电话远程分区、分组、或全区广播。本地广播功能，可灵活的实现分区、分组、全区广播。可通过无线、有线话筒可对全校进行广播讲话，无线话筒在操场任何处能接收到稳定信号。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总的要求为：校园公共广播系统能满足学校作息音乐的全自动播出、英语听力训练及考试要求，具有远程控制广播和紧急广播功能，以及广播中心与广播分控站有机联动广播等，要求采用高可靠性适合远距离传输的定压广播系统。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1、系统声音的传输：系统要求采用高可靠性适合远距离传输的定压广播系统，将整个校园分成若干个区域，在每一个教室配置一个IP数字音箱，保证播出功率和语音的清晰度。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2、系统的自动播出与控制：采用节目自动播放与控制软件，可实现节目的自行编排、自动播出、自动控制设备电源、分区输出，使得在同一时间可向不同的区域播放不同的教学内容；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3、在主控制室配置广播工作站，工作站采用多声卡辅助播放软件，可实现同时自动（或手动）播出教学节目，用于外语辅导或教学考试；可任意设置播出时间表，既可按周循环播出，也可预设1-6个月的播出。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特别说明：与甲供设备的系统适配工作由投标单位完成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3.4、安全防范系统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在本次设计安全防范系统由视频监控系统、入侵报警系统、离线式电子巡更系统、出入口控制系统等组成。监控和报警系统联动。系统接入校园安防平台。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3.4.1视频监控系统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设计采用高清网络监控系统，系统依托设备网，系统管理中心设置在学校消控室；在系统管理中心内设置存储及管理等中心设备，在消控室设置操作台及电视墙等显示设备；摄像机前端图像采用低烟无卤六类线缆传输，并且采用UPS集中供电的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（1）本次工程闭路电视监控系统采用全数字IP网络监控系统。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（2）控制:监控室配置中心管理服务器、磁盘阵列存储单元、人脸识别服务器等设备，对全部前端摄像机进行切换控制。整个系统与报警子系统软件设置接口。</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（3）显示:显示中心设置在小学消控室，系统通过视频综合平台使单画面或多画面图像24小时实时显示，由9块46寸拼接屏组成的电视墙以及8台22寸显示屏实现对全部视频图像的循环显示。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（4）记录:系统要求对所有监控视频进行实时录像，通过磁盘阵列调用存储图像，存储录像回放显示格式不低于1080P，配置90天以上全天候录像数据的存储容量。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（5）系统主要在楼栋的出入口、门厅、电梯厅、电梯轿箱、各层走廊、室外停车场、周界围墙、学校主要出入通道及周边主要道路等场所设监视摄像机。部分光线变换大的区域采用宽动态摄像机。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室外活动区域设置彩转黑枪式摄像机，操场、体育馆制高点处设置智能球摄像机设置高速球机摄像机；对外大门口处设置人脸全局摄像机，主要通道处设置室外枪式彩转黑高清网络摄像机，以对异常情况进行摄像。室外车行入口设置车脸识别摄像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特别说明：与甲供设备的系统适配工作由投标单位完成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3.4.2入侵报警系统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（1）本系统由室内入侵防盗报警系统及周界电子围栏系统组成。选用总线制报警主机，报警主机设置在消控室。系统预留与110联网接口。系统电源由UPS提供24小时不间断电源，保证系统的正常运行。</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（2）防盗报警系统中的双鉴探测器主要设置在库房、财务室、档案室等重要房间。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（3）入侵报警系统不得有漏报警。</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（4）入侵报警功能设计应符合下列规定：</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1.紧急报警装置应设置为不可撤防状态，应有防误触发措施，被触发后应自锁。</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2.当下列任何情况发生时，报警控制设备应发出声、光报警信息，报警信息应能保持到手动复位，报警信号应无丢失：</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1）在设防状态下，当探测器探测到有入侵发生或触动紧急报警装置时，报警控制设备应显示出报警发生的区域或地址；</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2）在设防状态下，当多路探测器同时报警（含紧急报警装置报警）时，报警控制设备应依次显示出报警发生的区域或地址。</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3.报警发生后，系统应能手动复位，不应自动复位。</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4.在撤防状态下，系统不应对探测器的报警状态做出响应。</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特别说明：与甲供设备的系统适配工作由投标单位完成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3.4.3电子巡更系统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（1）本工程巡查系统采用离线式巡查系统，系统由管理电脑、巡查软件、数据采集变送器组成，电子巡查工作站设于监控值班室内。</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（2）本工程在各层楼梯间，室外等处设置巡查点（结合学校管理需求），巡查人员在巡查时，需按时、按点的形式进行巡查。系统可对保安人员的大楼巡查工作进行监督。</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（3）系统管理电脑设置在消控室。</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特别说明：与甲供设备的系统适配工作由投标单位完成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3.4.4智慧阳光厨房系统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校园“智慧阳光厨房”建设是2020年省政府民生实事项目，根据《关于尽快落实全省中小学和等级幼儿园食堂“阳光厨房”建设工作的通知》（浙市监餐〔2020〕5号）等文件要求，建设“智慧阳光厨房”，系统监测数据对接到浙江省智慧餐饮信息数据总仓。</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统主要在食堂出入口、面食间、各个烹饪操作间设置防油污摄像机，食堂设置55寸透明厨房显示器和独立NVR硬盘录像机，录像存储30天（食堂出入口录像存储90天），录像机设置2个网络接口同步传输至上级主管单位。须满足以下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备餐间附近铺设2.4G无线WIFI，不要有网页验证和实名验证，覆盖需要安放物联设备的位置，WiFi名称不能是中文名称，可以有无线密码。</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阳光厨房监控硬盘录像机需要能连接外网，需要有1个接口供使用。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特别说明：与甲供设备的系统适配工作由投标单位完成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3.4.5校园安全防控系统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本工程在**室设置访客人脸识别一体机，在校园正门口外侧及外两侧100米左右路段各安装1个具有智能抓拍功能的摄像机，同时配置人车结构化摄像机，满足校园安全防控要求。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3.4.6出入口管理系统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本次出入口管理系统主要分为人行出入口管理系统、车行出入口管理系统、出入口防冲撞系统3个子系统。控制中心位于消控室。系统接入校园安防平台。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人行出入口管理系统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系统通过在学校主次出入口、地下室家长接送区安装人脸识别通道系统，作为平常教师、学生进出的主要通道，同时作为平常家长接送学生进出的主要通道，具有自动复位功能。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人员通道子系统由闸机、人脸识别组件，工作站和发卡器等组成。根据出入口通道管理需要，选用网络型门禁控制主机，通过TCP/IP通讯方式进行与上层管理层通讯方式，支持联机或脱机独立运行，并可联动附近视频监控设备进行抓拍存储，门禁控制主机接入综合管理平台可实现设备资源、人员权限与配置的统一管理。网络远距离控制以满足用户的特殊需求及消防安全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车行出入口管理系统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停车场管理系统目的是为了实现车辆进出停车场的自动化管理，包括收费、判断车牌等。该系统集计算机网络、视频监控、图像识别与处理及自动控制技术于一体，来实现停车场的车辆全自动化管理，即对车辆出入控制、车位检索、核查、显示及校对车型、车牌有效地、科学地、可靠地管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在学校的地下车库出入口设置直臂式道闸及岗亭，用于家长接送、校内教职工车辆进出。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内设控制主机、手动开关等设备；在出入口处设置固定式彩色网络强光抑制摄像机、自动闸机、地感线圈、自动档杆等设备。</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自动闸机信号线采用RVVP线缆，电源由现场电气AC～220V配电；摄像机信号线采用UTP Cat.6线缆，AC24V电源位于室外配电箱内，电源线采用RVV3x1.0线缆。采用SC钢管敷设，并在必要处设置手孔。</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出入口防冲撞系统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过在禁止行车路段安装气压升降柱，如校园主出入口处，可有效对车辆和人群隔离，防范校门口恶意或意外交通事故造成群体人身伤害事件，当有紧急情况发生需要车辆通行时（如消防车、急救车），保安人员可控制升降柱快速降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控制方式灵活机动，除常规线控（即手动按键盒）外，可采用近/远程遥控，适用于高频度、高安全车辆进出场所。</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特别说明：与甲供设备的系统适配工作由投标单位完成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3.4.6一卡通门禁系统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门禁系统采用IP网络型，由非接触式人脸识别+射频读卡器、电锁、门磁开关、出入口控制器、管理工作站等设备组成。主要在计算机教室、重要库房、机房等区域设置相应的门禁设备；</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系统接入校园安防平台，管理控制中心机房设置在消控室内。</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门禁控制联动：当出现火灾等紧急疏散情况或其它特殊情况时，可以通过软件的预先设置或硬件联动直接控制强制打开或关闭某些指定的门，以便于达到人员逃生和保护重要的财务、文件等目的。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特别说明：与甲供设备的系统适配工作由投标单位完成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3.5、信息发布系统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建立一个生动形象的多媒体演示系统具有如下好处：（1）构建了一个全方位的多媒体信息平台，避免了交流上的障碍；（2）成为向大众传递各类信息的有效平台；（3）软件具有多场地重复使用的特点，使得在同一时间，不同地点，实现统一宣传成为可能；（4）使得资料得到了电子化的存档。</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具体信息显示屏设置如下：系统供电由强电施工方根据设备实际运行需要动力功率提供。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1.在食堂设置2块55寸信息发布屏，电源线由强电布设到位。管理中心设置在食堂管理办公室。</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2.在学校室外设置1块室外P4全彩LED信息屏，尺寸：2.56mx1.44m；在学校报告厅设置1块室内P2.5全彩LED信息屏，尺寸：尺寸：6.4mx2.4m；LED信号线采用UTP Cat.6，电源线由强电布设到位。管理中心设置在消控室。</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特别说明：与甲供设备的系统适配工作由投标单位完成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3.6、多媒体会议系统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本项目有多个场所需要配置多媒体会议系统。具体位置如下：</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（1）5F会议室；（2）形体舞蹈教室；（3）体育馆；（4）报告厅。共计4个场所会议系统设计。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a、5F会议室主要设置了4个子系统，扩声子系统、会议发言子系统、显示系统、矩阵系统。</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扩声子系统：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采用主席台两侧设置2只壁挂线性音柱主音箱，单元：6x5.6"全频喇叭，标称阻抗：6.3 ohm，额定功率：300W，节目功率：600W，峰值功率：1200W，最大声压级(1w/1m):125dB ；2只辅助线性音柱音箱，设置相应配套功率放大器。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系统设置了1台多媒体管控中心，ARM11 1GHZ CPU，1G内存，2G Flash闪存；支持TCP/IP控制模式，UDP控制协议；支持4路独立可编程RS-232/422/485控制接口，用户可编程设置多种控制协议和代码；8路独立可编程的红外发射接口，支持红外转串口，支持控制多台相同或不同的红外设备及串口设备；8路弱电继电器接口；8路数字输入/输出IO接口, 通过扩展以太网控制接口实现计算机远程控制；具备8通道平衡输入音频通道；具备8通道支持MIC输入，每路MIC输入支持48V幻象供电；具备8个平衡音频输出通道；具备8通道独立的自适应反馈抑制器；具备8通道自动混音；具备4进4出HDMI无缝切换矩阵功能，内部设备环通音频分离；支持USB2.0和以太网编程通讯；额定功率阻抗8Ω：4*300W数字功放。配套无线AP和触摸控制显示，控制音视频音量、信号切换等。</w:t>
      </w:r>
    </w:p>
    <w:p>
      <w:pPr>
        <w:numPr>
          <w:ilvl w:val="0"/>
          <w:numId w:val="6"/>
        </w:num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会议发言系统：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采用一套无线手持话筒和一套无线一拖四鹅颈话筒，用于培训等移动发言功能。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（3）显示系统：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考虑到本厅的大小及其要求，主席台设置1台6000流明投影机和1台150寸电动幕布，可接收显示Video、HDMI、高清720P、1080P信号，可提供便携电脑、幻灯片、资料的介绍活动。同时为了保证会议音视频的播放，在桌面安装1个音视频多媒体插座，所有的HDMI信号、音频信号、电脑音频信号分配到相应的设备上，实现音、视频信号的显示播放功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b、形体舞蹈教室主要设置了1个扩声子系统。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（1）扩声子系统：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用主席台两侧设置2套有源超低音箱额定功率500W，功率输出1000W和配套线性音柱，额定功率200W。低音音箱包含数字功放，最高1000W额定输出功率，效率高，重量轻，内置高精度DSP芯片，音柱音箱特殊线怀技术设计，超宽音频，覆盖面积大，保证清晰自然的声音。</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系统设置了1台2进6出的数字音频媒体矩阵，双31段图示均衡器，输出延时共2000毫秒，每个输出都有限幅器，4 级保护；每路输出通道都配置有可达2000ms的延时；高精度96KHz/24bit数据处理，可达到极佳的110dB动态范围和高质数的声音品质；；配套12路调音台。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（2）会议发言系统：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采用一套无线手持话筒和，用于培训等移动发言功能。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c、体育馆主要设置了4个子系统，扩声子系统、会议发言子系统、矩阵切换系统、显示系统。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（1）扩声子系统：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采用场地内设置8只壁挂全频音箱，驱动单元：LF: 1×15″″，HF: 1×1.75″；最大声压：131dB（持续）138dB（峰值）；阻抗：8Ω；额定功率：400W；峰值功率:1600W；设置相应配套功率放大器。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统设置1台12路调音台，1台4进16出数字音频媒体矩阵，系统主机支持双机热备份；插卡式设计，可根据现场需求配置数字或模拟输入、输出卡，通道数量可改变；内置SHARC高速浮点运算DSP芯片，24位数模的转换，96KHz采样频率；</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模拟输入：插卡可配置成4~24路单通道（话筒/线路），本次配置4路输入接口；模拟输出：插卡可配置成4~16路单通道（线路），本次配置16路输出接口；带多话筒自动混音功能，具有权限设定，可实现会议讨论话筒数量管理及视频跟踪；</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嵌入式控制面板可对系统进行多分区预设和远程音量控制；支持APP、485、TCP控制；所有的编程通过软件平台完成。</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（2）会议发言系统：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采用二套无线手持话筒，用于活动等移动发言功能。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（3）矩阵切换系统：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系统设置1套9进9出高清混插矩阵切换器，设备输入输出具有对应接口，可接收显示1080P信号，可提供便携电脑、幻灯片、资料的介绍活动。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（4）显示系统：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考虑到本厅的大小及其要求，设置1块室内P2.5全彩LED屏，可接收显示Video、HDMI、高清720P、1080P信号，可提供便携电脑、幻灯片、资料的介绍活动。同时为了保证会议音视频的播放，在舞台设置4套多功能信息插座，具有HDMI接口、音频接口、电源接口。</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d、报告厅设置了6个系统包含扩声子系统，会议发言子系统，矩阵切换系统，显示系统，录播系统和舞台灯光机械系统。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（1）扩声系统：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主席台两侧吊装8台有源线阵列主扩音箱，额定功率：500W，峰值功率： 1000W，单元配置  LF低音单元 2* 10inch，HF高音单元 2*1.75inch，最大声压级:132dB，阻抗：16 Ohm，功放板：输出功率1 KHZ，立体声 8 Ω  1200 W，立体声 4 Ω  2000 W 和2台有源线阵列超低音箱采用2*15寸超低音4"音圈设计，额定功率：1200W ，峰值功率：2400W，单元配置  LF低音单元 2*15"，最大声压级  132dB，阻抗   4 Ohm，功放模块参数，输出功率1 KHZ；立体声 8 Ω 300W+800 W；立体声 4 Ω 450W+1200 W；</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统设置1台16路调音台，1台16进16出数字音频媒体矩阵，具备16通道平衡输入音频通道；具备16通道支持MIC输入；每路MIC输入支持48V幻象供电；具备16个平衡音频输出通道；具备16通道独立的自适应反馈抑制器；具备16通道自动混音；输入31段PEQ可调，输出10段PEQ可调、增益（Gaina）电平范围：+-18dB,Q值：0.4-128，每段均支持直通（Bypass）；内置信号发生器：正弦波信号、粉红噪声、白噪声；输入通道的噪声门阀值、压缩器启动时间、恢复时间连续可调。拐点0-30连续可调，起控电平0-21dB连续可调，起控时间0-2895ms连续可调，释放时间0-2895ms连续可调；具备摄像跟踪控制功能，通过预设位可实现自动摄像联动功能；基于 Windows 操作平台的全新控制界面。</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（2）发言系统：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会议发言采用7个有线鹅颈话筒，2个有线合唱话筒，2套无线手持话筒，2套头戴式无线话筒提供会议移动发言。</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（3）显示系统：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考虑到本厅的大小及其要求，设置1块室内P2.5全彩LED屏，可接收显示Video、HDMI、高清720P、1080P信号，可提供便携电脑、幻灯片、资料的介绍活动。同时为了保证会议音视频的播放，在舞台设置4套多功能信息插座，具有HDMI接口、音频接口、电源接口。</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在舞台上设置一台86寸移动一体机配套专用无线投屏器，可接收显示Video、HDMI、高清720P、1080P信号，可提供公开课使用。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（4）矩阵切换系统：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系统设置1套9进9出高清混插矩阵切换器，设备输入输出具有对应接口，可接收显示1080P信号，可提供便携电脑、幻灯片、资料的介绍活动。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（5）录播系统：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系统设置一台录播主机，支持3路视频同时输出，1路VGA-OUT、 HDMI-OUT，输出分辨率为1080P图像，输出内容可自定义为直播图像或导播界面，HDMI-OUT支持音视频同时输出，设置二台高清录播摄像头，供活动会议、公开课等进行录制播放。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（6）舞台灯光机械系统：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整个报告厅主席台顶部吊杆安装设置会议平板灯、摇头电脑灯、聚光灯等多种组合灯光系统；主席台前部顶层吊杆安装远程聚光灯电脑摇头灯做图案效果辅助等。控制中心设置调光台、专用硅箱。设置升降式前瞻幕及舞台对开大幕。</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3.7、多媒体教学系统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本次设计在学校内每个普通教室设置1套多媒体教学系统，仅预留管线，详见多媒体教学系统平面及系统图，具体设备甲供。</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3.8、录播教室系统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本次设计在一层录播教室设置一套录播系统，按照录播教学要求设计，仅预留管线。详见微格教室平面、系统图，具体设备甲供。</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3.9、电子班牌系统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本次设计在学校内每个普通教室门口预留一个电子班牌网络点，便于后期建设升级。</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3.10、监控室建设系统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本次项目监控室设置在消控室。本次监控机房建设系统包括机房设备布置子系统、机房供配电子系统、防雷接地子系统及机房防静电地板系统等。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消控机房铺设600*600*35mm防静电地板。机房采用联合接地，接地电阻小于1欧姆，在防静电地板支架下铺设60*0.6mm铜带，在机房四周敷设40×4mm的铜排，并和局部等电位箱连接，机房内设备通过6平方毫米多股铜芯软导线和铜排连接；地板下作为桥架铺设、弱电防雷接地安装空间。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设备支架做承重处理，主要做法是采用角钢或者槽钢焊接承重支架代替地板支架。机柜下采用5#扁钢焊接，载荷应大于800kg/㎡；UPS主机及电池柜采用5#扁钢焊接。</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消控机房设置1台30KVA三进三出UPS主机，对安防、设备间机柜等设备供电，配置3组32节12V 100AH电池满足UPS后备4小时供电。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消控机房设置1台2KVA单进单出UPS主机，对报警设备供电，配置2组18节12V 100AH电池满足UPS后备24小时供电。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3.11、网络机房建设系统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网络机房位于综合楼四层。主要技术参数及指标已达到国家C级机房为标准。信息中心机房（以下简称“机房”）主要为电子信息设备提供运行环境的场所，本次项目主要针对机房进行建设，其子项内容包括：机房装修系统、供配电系统、防雷接地系统、不间断电源系统（UPS）、综合布线系统（PDS）、机柜设备、动力、KVM切换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1、机房装饰装修工程（由装修专业考虑）</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1）、管线隐蔽工程：所有线路（除桥架外）均必须通过金属桥架、Φ25金属软管、ΦJDG25金属管、86/120型金属盒、分线盒走线。标识清晰规范，标签纸采用防水、防擦中文热敏标签打印纸打印。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2）、墙面：所有机房四周的墙边、墙角均做防水处理，对墙面和天花板作防尘和防潮处理。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地板：地板用全钢防静电地板铺设，静电地板必须达到国标600*600*35mm，发泡水泥填充，静止载荷≥350Kg，极限载荷≥1500Kg；地板支架及横档壁厚应＞1mm。地板表层离地面高程不低于300mm，地板下作为桥架铺设、弱电防雷接地安装空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设备支架做承重处理，主要做法是采用角钢或者槽钢焊接承重支架代替地板支架。机柜底座采用5#角钢焊接，载荷应大于800kg/㎡；电池架底座采用8#角钢焊接，载荷应大于1600kg/㎡；</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4）、照明：由电气专业设计。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5）、维修插座：由电气专业设计。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6）、总体说明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对于装饰工程中的隐蔽工程，应严格按照国家标准对隐蔽部分材料进行取舍，所有隐蔽用材必须符合机房用材性能指标，做到不起尘、阻燃、绝燃、不会产生静电、牢固耐用，各种涂料须符合环保要求。机房内整个地、顶面需做防尘处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环保要求：通过GB/T18883-2002室内空气质量标GB 8580-2017甲醛释放限量标准获得国家环境分析测试中心的《分析测试报告》,地板的甲醛释放限量标准能达到欧洲有害气体排放量的标准，应属于安全无毒害环保绿色建材产品。装修由装修专业设计。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2、机房综合布线系统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采用智能微型机房一体机，在全封闭的标准机柜内，高度集成模块化空调、UPS、配电单元、PDU、应急散热装置、布线、照明以及综合管理平台系统等绿色智能机房基础设施，为所有IT设备提供稳定可靠的运行环境;一体机即是绿色智能微型一体化机房。</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2）、机柜系统：采用全封闭机柜，前门中空钢化玻璃门，柜内设冷热通道气流循环，内置智能应急送风装置，感应照明系统以及局部空载密闭组件。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3）、制冷系统：采用机架式变频精密空调，置于机柜底部，R410A环保制冷剂。前送冷风后回热风，配合机柜内部的封闭冷热通道，提供源源不断的冷源。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4）、配电系统：机架式智能配电单元，完成柜内所有设施设备的供配电，可对其电气参数进行远程监测；双路PDU设计，满足IT设备安全用电。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5）、UPS系统：机架式UPS功率模块，15KVA三进单出机架式UPS，同时可自行设定输出电压200/208/220/230/240Vac，频率50Hz或60Hz；整机效率高达90%以上，ECO模式下整机效率为1，满足实际需求。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6）、动力环境监测系统：柜门上触摸显示屏实现对各类信息的实时本地化监控，同时支持远程管理；手机APP、短信、Email、手机APP等途径报告各种异常状况，实现无人值守。</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3.12、五方通话系统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共有1部电梯，每座电梯井顶层敷设一根多方（五方）通话线至消控室室，顶层至电梯轿厢线缆使用电梯随行电缆，用于紧急情况或电梯故障时和监控室进行通讯。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3.13、能源计量系统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能源计量系统，简称AMRS（Automatic Meter Reading System），是一种不需要人员到达现场就能完成抄读用户消耗水、电等能耗状况的智能化管理系统。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远程抄表系统是自动化管理的一个重要手段和组成部分，它的最终目的是：自动、集中、定时地抄录各用户的水、电用量；按用量的峰、平、谷和季节自动高速复费率去核算每个用户的用量；管理部门通系统向各用户自动完成用量统计、费用结算、打印收据、收费管理。系统主要对学校的用电情况和用水情况进行分项计量，需支持RS485抄送功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水、电计量表选用：脉冲式发讯的远传表，由给排水、电气专业提供。</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3.14、一氧化碳监测系统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地下车库公共区域设置若干CO浓度探测器并联动车库通风系统自动控制。，具体见电气及暖通专业图纸，已做相应设计。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3.15、智能化抗震设计专篇</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1)抗震设防烈度为6度及6度以上地区的建筑智能化工程，抗震设计范围包括：内径≥60mm的智能化配管、重力≥150N/m的电缆梯架、重力≥1.8KN的设备、吊杆长度≥300mm的悬吊管道。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2)通信设备的安装螺栓或焊接强度应满足抗震要求。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3)靠墙安装的通信设备机柜底部安装应牢固。当底部安装螺栓或焊接强度不够时，应将顶部与墙壁进行连接。</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4)当通信设备柜等非靠墙落地安装时，根部应采用金属膨胀螺栓或焊接的固定方式。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5)壁式安装的配电箱与墙壁之间应采用金属膨胀螺栓连接。</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6)通信设备机柜内的元器件应考虑与支承结构件的相互作用，元器件之间采用软连接，接线处应做防震处理。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7)当金属导管、刚性塑料导管、电缆梯架或电缆槽盒穿越防火分区时，其缝隙应采用柔性防火封堵材料封堵，并应在贯穿部位附近设置抗震支撑。</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8)其它未涉事宜按《建筑机电工程抗震设计规范》GB50981-2014规定执行。</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9)抗震支架业主另行委托深化设计。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3.16、综合管、箱、柜、桥架系统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除特殊情况外,本工程中弱电各子系统室外主干线缆敷设套管采用（SC管）埋于室外地坪-0.5m以下，管道敷设时为日后扩展提供足够冗余.遇转弯、分叉及与楼宇进户管连接时设置人手井，施工参照《通信电缆配线管道图集》及《建筑电气安装工程图集》。应做防渗水处理保证井内无积水，并应设置自动排水系统。室外各主干管道主干配线规格数量及走向详见各子系统图纸。</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1)室外进线由一个路由进入室内，室内进出本建筑物电缆穿墙套管应有防水措施。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2)室外管路采用SC管沿大楼周界及主要道路设置，间隔设置手孔。</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3)室外管路敷设采用直埋，具体施工方法参见智能建筑弱电工程设计施工图集 97X700。</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4)PE直埋管标高距地坪0.7M。</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5)弱电线路穿保护管与强电线缆穿保护管平行敷设时，平行净距为0.5M，交叉敷设时，交叉净距为0.25M；与水管平行敷设时，净距不小于1米，交叉敷设时，净距不小于0.25米。</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6)室外电缆井大小除标明外均按照标准人孔，室外电缆井底部做自然渗水处理。所有电缆井盖均应有专业标志，电缆井盖强度要求能承载3T重量。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本工程中各楼宇内工作区水平线缆(线径在0.5cm内)的护套管、槽设计：各子系统室内不同用途线缆穿放导管相应独立，低于24V（或低载流）的控制及信号传输线缆可以在同一电缆桥架或隔仓内布放（或同一室外管路穿放），高于24V电源线必须分单独隔仓布放（或单独管路穿放）。楼宇内导管均采用屏蔽性能较优的JDGФ20、JDGФ25导管预埋暗敷，按照现行国家标准规范施工；管、槽配置原则上横截面利用率保证在（40%～60%）以内，1根水平线缆选用JDG20导管，2~3根水平线缆选用JDG25导管，3根以上采取分管穿套敷设以此类推,线缆较多部位采用电缆桥架布放，具体详见施工图纸。敷设在潮湿的地方和在地下层采用镀锌钢管(SC管)敷设，其余地方采用套接紧定式镀锌钢导管(JDG管)敷设。背景音乐系统线缆必须独立穿路或电缆桥架，不得与其他系统同管及桥架施工。</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1)线缆的规格、型号应与设计规定相符，线路长度超过30M时，加装过路盒。</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2)线缆的布防应自然平直，不得产生扭绞、打圈接头等现象，不应受外力的挤压和损伤。</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3)线缆两端应贴标签，应标明编号，标签书写应清晰、端正和正确。标签应选用不易损坏的材料。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4)线缆终端接头后，应有余量。交接间、设备间对绞线缆预留长度宜为0.5～1.0M，工作区为10～30MM；光缆布放宜盘留，预留长度宜为3M，间距应均匀，松紧适度。</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5)穿线缆或导线铁管内部需平滑，不应有扁曲节痕，管口应锉光，电缆管曲率半径为外管管径的10倍，导线管曲半径为外管管径的6倍。</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6)电缆伸入各线缆进线箱预留1M，导线伸入接线盒预留0.3M。</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3、穿放电缆或导线的钢管内部需光滑，不应有扁曲或折痕,钢管弯曲半径应大于外径6-10倍，弯扁程度不应大于管外径的10%。钢管两端管口需挫光，不管穿线与否，均应预置牵引钢丝。</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4、电缆桥架设置在走廊顶及垂直弱电竖井内。除表明外均采用镀锌电缆桥架。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垂直安装时应保持垂直，偏差不应超过2mm/m（特殊情况除外）。水平槽式桥架安装时可用吊架吊装或用托臂支撑，托臂或支架设置距离为1.00m～2.00m由膨胀螺栓固定在附近侧墙或顶板上，遇空心砖或固定不牢靠的情况下需采取加固措施。水平度偏差不应超过2mm/m。线缆桥架安装横截面利用率保证在（60%～70%）以内，桥架规格详见施工平面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电缆桥架与楼宇进户管对接时应架设过渡连接箱，并应在桥架与桥架、管、箱等金属部件连接时按照现行规范</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做好跨接及接地处理，具体规格根据现场实际情况决定，在本图纸中不再体现。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吊架和支架安装应保持垂直，整齐牢固，无倾斜现象，托臂式支架用膨胀螺丝安装在附近侧墙板顶板上，每隔1.5米设支架。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线槽截断处及两线槽拼接处应平滑、无毛刺。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1)电缆线槽、桥架宜高出地面2.2M以上。线槽和桥架顶部距楼板不宜小于300MM；在过梁或其他障碍物处，不宜小于50MM。</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2)槽内缆线布放应顺直，尽量不交叉，在线缆进出线槽部分、转弯处应绑扎固定，其水平部分线缆可以不绑扎。垂直线槽布放缆线应每隔1.5M固定在线缆支架上。</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3)电缆桥架内缆线垂直敷设时，在缆线的上端和每间隔1.5M处应固定在桥架的支架上；水平敷设时，在缆线的首尾转弯及每隔5～10M处进行固定。</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4)对缆线进行绑扎时。对角线缆、光缆及其他信号电缆应根据缆线的类别、线径、缆线芯数分束绑扎。间距不宜大于1.5M，间距应均匀，松紧适度。</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5)楼内光缆宜在金属线槽中敷设，在桥架敷设时应在绑扎固定段加装垫套。</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5、各设备箱、柜安装，垂直安装偏差不应超过2mm/m（特殊情况除外）。</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除注明外，各信息插座盒嵌墙暗装时盒底离地0.30m，与邻近其它插座高度一致，与强电插座相邻距离0.20m安装。施工图中各种点位位置仅供参考，具体施工时根据装修图纸可进行适当调整。信息发布、监控网络等信息插座参考各子系统说明施工。</w:t>
      </w:r>
    </w:p>
    <w:p>
      <w:pPr>
        <w:rPr>
          <w:color w:val="auto"/>
          <w:highlight w:val="none"/>
        </w:rPr>
      </w:pPr>
    </w:p>
    <w:p>
      <w:pPr>
        <w:spacing w:line="360" w:lineRule="auto"/>
        <w:rPr>
          <w:rFonts w:ascii="宋体" w:hAnsi="宋体"/>
          <w:color w:val="auto"/>
          <w:highlight w:val="none"/>
        </w:rPr>
      </w:pPr>
      <w:r>
        <w:rPr>
          <w:rFonts w:hint="eastAsia" w:ascii="宋体" w:hAnsi="宋体"/>
          <w:b/>
          <w:bCs/>
          <w:color w:val="auto"/>
          <w:highlight w:val="none"/>
        </w:rPr>
        <w:t>特别说明：本项目目标为确保“甬江建设杯优质工程奖”，投标单位在投标报价中对项目为达到评杯标准所要增加的费用需做充分考虑！</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sectPr>
          <w:pgSz w:w="11906" w:h="16838"/>
          <w:pgMar w:top="1474" w:right="1191" w:bottom="1418" w:left="1191" w:header="851" w:footer="851" w:gutter="0"/>
          <w:cols w:space="720" w:num="1"/>
          <w:docGrid w:type="linesAndChars" w:linePitch="312" w:charSpace="0"/>
        </w:sectPr>
      </w:pPr>
    </w:p>
    <w:p>
      <w:pPr>
        <w:spacing w:line="360" w:lineRule="auto"/>
        <w:rPr>
          <w:rFonts w:ascii="宋体" w:hAnsi="宋体"/>
          <w:b/>
          <w:color w:val="auto"/>
          <w:highlight w:val="none"/>
        </w:rPr>
      </w:pPr>
      <w:r>
        <w:rPr>
          <w:rFonts w:hint="eastAsia" w:ascii="宋体" w:hAnsi="宋体"/>
          <w:b/>
          <w:color w:val="auto"/>
          <w:highlight w:val="none"/>
        </w:rPr>
        <w:t>二、采购清单</w:t>
      </w:r>
    </w:p>
    <w:p>
      <w:pPr>
        <w:rPr>
          <w:rFonts w:ascii="宋体" w:hAnsi="宋体"/>
          <w:color w:val="auto"/>
          <w:sz w:val="20"/>
          <w:szCs w:val="20"/>
          <w:highlight w:val="none"/>
        </w:rPr>
      </w:pPr>
    </w:p>
    <w:tbl>
      <w:tblPr>
        <w:tblStyle w:val="13"/>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452"/>
        <w:gridCol w:w="4013"/>
        <w:gridCol w:w="1064"/>
        <w:gridCol w:w="863"/>
        <w:gridCol w:w="661"/>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160" w:type="dxa"/>
            <w:gridSpan w:val="7"/>
            <w:noWrap/>
            <w:vAlign w:val="bottom"/>
          </w:tcPr>
          <w:p>
            <w:pPr>
              <w:widowControl/>
              <w:jc w:val="center"/>
              <w:textAlignment w:val="bottom"/>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综合布线系统设备清单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160" w:type="dxa"/>
            <w:gridSpan w:val="7"/>
            <w:noWrap/>
            <w:vAlign w:val="bottom"/>
          </w:tcPr>
          <w:p>
            <w:pPr>
              <w:widowControl/>
              <w:jc w:val="left"/>
              <w:textAlignment w:val="bottom"/>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子系统名称：综合布线系统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3" w:type="dxa"/>
            <w:vMerge w:val="restart"/>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序号</w:t>
            </w:r>
          </w:p>
        </w:tc>
        <w:tc>
          <w:tcPr>
            <w:tcW w:w="1452" w:type="dxa"/>
            <w:vMerge w:val="restart"/>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设备名称</w:t>
            </w:r>
          </w:p>
        </w:tc>
        <w:tc>
          <w:tcPr>
            <w:tcW w:w="4013" w:type="dxa"/>
            <w:vMerge w:val="restart"/>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技术参数</w:t>
            </w:r>
          </w:p>
        </w:tc>
        <w:tc>
          <w:tcPr>
            <w:tcW w:w="1064" w:type="dxa"/>
            <w:vMerge w:val="restart"/>
            <w:noWrap w:val="0"/>
            <w:vAlign w:val="center"/>
          </w:tcPr>
          <w:p>
            <w:pPr>
              <w:widowControl/>
              <w:jc w:val="center"/>
              <w:textAlignment w:val="center"/>
              <w:rPr>
                <w:rFonts w:hint="eastAsia" w:ascii="宋体" w:hAnsi="宋体" w:cs="宋体"/>
                <w:b/>
                <w:bCs/>
                <w:color w:val="auto"/>
                <w:kern w:val="0"/>
                <w:sz w:val="20"/>
                <w:szCs w:val="20"/>
                <w:highlight w:val="none"/>
                <w:lang w:bidi="ar"/>
              </w:rPr>
            </w:pPr>
            <w:r>
              <w:rPr>
                <w:rFonts w:hint="eastAsia" w:ascii="宋体" w:hAnsi="宋体" w:cs="宋体"/>
                <w:b/>
                <w:bCs/>
                <w:color w:val="auto"/>
                <w:kern w:val="0"/>
                <w:sz w:val="20"/>
                <w:szCs w:val="20"/>
                <w:highlight w:val="none"/>
                <w:lang w:bidi="ar"/>
              </w:rPr>
              <w:t>推荐</w:t>
            </w:r>
          </w:p>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品牌</w:t>
            </w:r>
          </w:p>
        </w:tc>
        <w:tc>
          <w:tcPr>
            <w:tcW w:w="863" w:type="dxa"/>
            <w:vMerge w:val="restart"/>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单位</w:t>
            </w:r>
          </w:p>
        </w:tc>
        <w:tc>
          <w:tcPr>
            <w:tcW w:w="661" w:type="dxa"/>
            <w:vMerge w:val="restart"/>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 xml:space="preserve">数量 </w:t>
            </w:r>
          </w:p>
        </w:tc>
        <w:tc>
          <w:tcPr>
            <w:tcW w:w="654" w:type="dxa"/>
            <w:vMerge w:val="restart"/>
            <w:noWrap/>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3" w:type="dxa"/>
            <w:vMerge w:val="continue"/>
            <w:noWrap w:val="0"/>
            <w:vAlign w:val="center"/>
          </w:tcPr>
          <w:p>
            <w:pPr>
              <w:jc w:val="center"/>
              <w:rPr>
                <w:rFonts w:hint="eastAsia" w:ascii="宋体" w:hAnsi="宋体" w:cs="宋体"/>
                <w:b/>
                <w:bCs/>
                <w:color w:val="auto"/>
                <w:sz w:val="20"/>
                <w:szCs w:val="20"/>
                <w:highlight w:val="none"/>
              </w:rPr>
            </w:pPr>
          </w:p>
        </w:tc>
        <w:tc>
          <w:tcPr>
            <w:tcW w:w="1452" w:type="dxa"/>
            <w:vMerge w:val="continue"/>
            <w:noWrap w:val="0"/>
            <w:vAlign w:val="center"/>
          </w:tcPr>
          <w:p>
            <w:pPr>
              <w:jc w:val="center"/>
              <w:rPr>
                <w:rFonts w:hint="eastAsia" w:ascii="宋体" w:hAnsi="宋体" w:cs="宋体"/>
                <w:b/>
                <w:bCs/>
                <w:color w:val="auto"/>
                <w:sz w:val="20"/>
                <w:szCs w:val="20"/>
                <w:highlight w:val="none"/>
              </w:rPr>
            </w:pPr>
          </w:p>
        </w:tc>
        <w:tc>
          <w:tcPr>
            <w:tcW w:w="4013" w:type="dxa"/>
            <w:vMerge w:val="continue"/>
            <w:noWrap w:val="0"/>
            <w:vAlign w:val="center"/>
          </w:tcPr>
          <w:p>
            <w:pPr>
              <w:jc w:val="center"/>
              <w:rPr>
                <w:rFonts w:hint="eastAsia" w:ascii="宋体" w:hAnsi="宋体" w:cs="宋体"/>
                <w:b/>
                <w:bCs/>
                <w:color w:val="auto"/>
                <w:sz w:val="20"/>
                <w:szCs w:val="20"/>
                <w:highlight w:val="none"/>
              </w:rPr>
            </w:pPr>
          </w:p>
        </w:tc>
        <w:tc>
          <w:tcPr>
            <w:tcW w:w="1064" w:type="dxa"/>
            <w:vMerge w:val="continue"/>
            <w:noWrap w:val="0"/>
            <w:vAlign w:val="center"/>
          </w:tcPr>
          <w:p>
            <w:pPr>
              <w:jc w:val="center"/>
              <w:rPr>
                <w:rFonts w:hint="eastAsia" w:ascii="宋体" w:hAnsi="宋体" w:cs="宋体"/>
                <w:b/>
                <w:bCs/>
                <w:color w:val="auto"/>
                <w:sz w:val="20"/>
                <w:szCs w:val="20"/>
                <w:highlight w:val="none"/>
              </w:rPr>
            </w:pPr>
          </w:p>
        </w:tc>
        <w:tc>
          <w:tcPr>
            <w:tcW w:w="863" w:type="dxa"/>
            <w:vMerge w:val="continue"/>
            <w:noWrap w:val="0"/>
            <w:vAlign w:val="center"/>
          </w:tcPr>
          <w:p>
            <w:pPr>
              <w:jc w:val="center"/>
              <w:rPr>
                <w:rFonts w:hint="eastAsia" w:ascii="宋体" w:hAnsi="宋体" w:cs="宋体"/>
                <w:b/>
                <w:bCs/>
                <w:color w:val="auto"/>
                <w:sz w:val="20"/>
                <w:szCs w:val="20"/>
                <w:highlight w:val="none"/>
              </w:rPr>
            </w:pPr>
          </w:p>
        </w:tc>
        <w:tc>
          <w:tcPr>
            <w:tcW w:w="661" w:type="dxa"/>
            <w:vMerge w:val="continue"/>
            <w:noWrap w:val="0"/>
            <w:vAlign w:val="center"/>
          </w:tcPr>
          <w:p>
            <w:pPr>
              <w:jc w:val="center"/>
              <w:rPr>
                <w:rFonts w:hint="eastAsia" w:ascii="宋体" w:hAnsi="宋体" w:cs="宋体"/>
                <w:b/>
                <w:bCs/>
                <w:color w:val="auto"/>
                <w:sz w:val="20"/>
                <w:szCs w:val="20"/>
                <w:highlight w:val="none"/>
              </w:rPr>
            </w:pPr>
          </w:p>
        </w:tc>
        <w:tc>
          <w:tcPr>
            <w:tcW w:w="654" w:type="dxa"/>
            <w:vMerge w:val="continue"/>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3" w:type="dxa"/>
            <w:noWrap w:val="0"/>
            <w:vAlign w:val="center"/>
          </w:tcPr>
          <w:p>
            <w:pPr>
              <w:jc w:val="center"/>
              <w:rPr>
                <w:rFonts w:hint="eastAsia" w:ascii="宋体" w:hAnsi="宋体" w:cs="宋体"/>
                <w:b/>
                <w:bCs/>
                <w:color w:val="auto"/>
                <w:sz w:val="20"/>
                <w:szCs w:val="20"/>
                <w:highlight w:val="none"/>
              </w:rPr>
            </w:pPr>
          </w:p>
        </w:tc>
        <w:tc>
          <w:tcPr>
            <w:tcW w:w="1452"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校园网布线</w:t>
            </w:r>
          </w:p>
        </w:tc>
        <w:tc>
          <w:tcPr>
            <w:tcW w:w="4013" w:type="dxa"/>
            <w:noWrap w:val="0"/>
            <w:vAlign w:val="center"/>
          </w:tcPr>
          <w:p>
            <w:pPr>
              <w:jc w:val="center"/>
              <w:rPr>
                <w:rFonts w:hint="eastAsia" w:ascii="宋体" w:hAnsi="宋体" w:cs="宋体"/>
                <w:b/>
                <w:bCs/>
                <w:color w:val="auto"/>
                <w:sz w:val="20"/>
                <w:szCs w:val="20"/>
                <w:highlight w:val="none"/>
              </w:rPr>
            </w:pPr>
          </w:p>
        </w:tc>
        <w:tc>
          <w:tcPr>
            <w:tcW w:w="1064" w:type="dxa"/>
            <w:noWrap w:val="0"/>
            <w:vAlign w:val="center"/>
          </w:tcPr>
          <w:p>
            <w:pPr>
              <w:jc w:val="center"/>
              <w:rPr>
                <w:rFonts w:hint="eastAsia" w:ascii="宋体" w:hAnsi="宋体" w:cs="宋体"/>
                <w:b/>
                <w:bCs/>
                <w:color w:val="auto"/>
                <w:sz w:val="20"/>
                <w:szCs w:val="20"/>
                <w:highlight w:val="none"/>
              </w:rPr>
            </w:pPr>
          </w:p>
        </w:tc>
        <w:tc>
          <w:tcPr>
            <w:tcW w:w="863" w:type="dxa"/>
            <w:noWrap w:val="0"/>
            <w:vAlign w:val="center"/>
          </w:tcPr>
          <w:p>
            <w:pPr>
              <w:jc w:val="center"/>
              <w:rPr>
                <w:rFonts w:hint="eastAsia" w:ascii="宋体" w:hAnsi="宋体" w:cs="宋体"/>
                <w:b/>
                <w:bCs/>
                <w:color w:val="auto"/>
                <w:sz w:val="20"/>
                <w:szCs w:val="20"/>
                <w:highlight w:val="none"/>
              </w:rPr>
            </w:pPr>
          </w:p>
        </w:tc>
        <w:tc>
          <w:tcPr>
            <w:tcW w:w="661" w:type="dxa"/>
            <w:noWrap w:val="0"/>
            <w:vAlign w:val="center"/>
          </w:tcPr>
          <w:p>
            <w:pPr>
              <w:jc w:val="center"/>
              <w:rPr>
                <w:rFonts w:hint="eastAsia" w:ascii="宋体" w:hAnsi="宋体" w:cs="宋体"/>
                <w:b/>
                <w:bCs/>
                <w:color w:val="auto"/>
                <w:sz w:val="20"/>
                <w:szCs w:val="20"/>
                <w:highlight w:val="none"/>
              </w:rPr>
            </w:pP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3" w:type="dxa"/>
            <w:noWrap w:val="0"/>
            <w:vAlign w:val="center"/>
          </w:tcPr>
          <w:p>
            <w:pPr>
              <w:jc w:val="center"/>
              <w:rPr>
                <w:rFonts w:hint="eastAsia" w:ascii="宋体" w:hAnsi="宋体" w:cs="宋体"/>
                <w:color w:val="auto"/>
                <w:sz w:val="20"/>
                <w:szCs w:val="20"/>
                <w:highlight w:val="none"/>
              </w:rPr>
            </w:pPr>
          </w:p>
        </w:tc>
        <w:tc>
          <w:tcPr>
            <w:tcW w:w="1452"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（一）工作区</w:t>
            </w:r>
          </w:p>
        </w:tc>
        <w:tc>
          <w:tcPr>
            <w:tcW w:w="4013" w:type="dxa"/>
            <w:noWrap w:val="0"/>
            <w:vAlign w:val="center"/>
          </w:tcPr>
          <w:p>
            <w:pPr>
              <w:jc w:val="center"/>
              <w:rPr>
                <w:rFonts w:hint="eastAsia" w:ascii="宋体" w:hAnsi="宋体" w:cs="宋体"/>
                <w:color w:val="auto"/>
                <w:sz w:val="20"/>
                <w:szCs w:val="20"/>
                <w:highlight w:val="none"/>
              </w:rPr>
            </w:pPr>
          </w:p>
        </w:tc>
        <w:tc>
          <w:tcPr>
            <w:tcW w:w="1064" w:type="dxa"/>
            <w:noWrap w:val="0"/>
            <w:vAlign w:val="center"/>
          </w:tcPr>
          <w:p>
            <w:pPr>
              <w:jc w:val="center"/>
              <w:rPr>
                <w:rFonts w:hint="eastAsia" w:ascii="宋体" w:hAnsi="宋体" w:cs="宋体"/>
                <w:color w:val="auto"/>
                <w:sz w:val="20"/>
                <w:szCs w:val="20"/>
                <w:highlight w:val="none"/>
              </w:rPr>
            </w:pPr>
          </w:p>
        </w:tc>
        <w:tc>
          <w:tcPr>
            <w:tcW w:w="863" w:type="dxa"/>
            <w:noWrap w:val="0"/>
            <w:vAlign w:val="center"/>
          </w:tcPr>
          <w:p>
            <w:pPr>
              <w:jc w:val="center"/>
              <w:rPr>
                <w:rFonts w:hint="eastAsia" w:ascii="宋体" w:hAnsi="宋体" w:cs="宋体"/>
                <w:color w:val="auto"/>
                <w:sz w:val="20"/>
                <w:szCs w:val="20"/>
                <w:highlight w:val="none"/>
              </w:rPr>
            </w:pPr>
          </w:p>
        </w:tc>
        <w:tc>
          <w:tcPr>
            <w:tcW w:w="661" w:type="dxa"/>
            <w:noWrap w:val="0"/>
            <w:vAlign w:val="center"/>
          </w:tcPr>
          <w:p>
            <w:pPr>
              <w:jc w:val="center"/>
              <w:rPr>
                <w:rFonts w:hint="eastAsia" w:ascii="宋体" w:hAnsi="宋体" w:cs="宋体"/>
                <w:color w:val="auto"/>
                <w:sz w:val="20"/>
                <w:szCs w:val="20"/>
                <w:highlight w:val="none"/>
              </w:rPr>
            </w:pP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六类模块</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DC触针镀金60μ，可连接线径0.4-0.6mm，卡接次数&gt;250次;插拔次数≥750次,材料：PC/PPO；前端自带可拆卸防尘门，压线端带防尘盖，多颜色可选。 </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738</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语音插座模块</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 产品性能超越TIA/EIA-568C.2 对超五类的硬件标准  2. 金针表面整体镀金，提高接触性能，防止表面氧化及延长使用寿命3. IDC端配有防尘盖,兼容110打线工具 4. 弧形金针设计，有效提升近端串音余量 5. 插头与插座的插合次数:≥1000次;6. RJ45端口金针:磷青铜、表面镀金，7. 导线端接次数:≥250 次;8. 卡接导体线规:22~26AWG</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99</w:t>
            </w:r>
          </w:p>
        </w:tc>
        <w:tc>
          <w:tcPr>
            <w:tcW w:w="654" w:type="dxa"/>
            <w:noWrap/>
            <w:vAlign w:val="center"/>
          </w:tcPr>
          <w:p>
            <w:pP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单口面板</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材料：采用优质工程塑料PC材料，具有高强度及阻燃性能；自带标签条，自带电脑电话标块，弹簧门。</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115</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双口面板</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材料：采用优质工程塑料PC材料，具有高强度及阻燃性能；自带标签条，自带电脑电话标块，弹簧门。</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139</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双位地板插座(带缓起功能)</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铜制地板插座盒，适宜安装各种8线式RJ45插座模块，可选安装1至2个RJ45数据模块，模块向下兼容RJ11语音模块，提供1至3个数据或语音端口，有防尘门结构设计，能有效防止灰尘对模块性能的影响</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296</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2米六类跳线</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标准：TIA/EIA-568B.2-1和ISO11801 2nd</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RJ45水晶头插拔次数&gt;1000 次；传输带宽≥250MHz, 阻抗: 100 ohms±15%。</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条</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837</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3" w:type="dxa"/>
            <w:noWrap w:val="0"/>
            <w:vAlign w:val="center"/>
          </w:tcPr>
          <w:p>
            <w:pPr>
              <w:jc w:val="center"/>
              <w:rPr>
                <w:rFonts w:hint="eastAsia" w:ascii="宋体" w:hAnsi="宋体" w:cs="宋体"/>
                <w:color w:val="auto"/>
                <w:sz w:val="20"/>
                <w:szCs w:val="20"/>
                <w:highlight w:val="none"/>
              </w:rPr>
            </w:pPr>
          </w:p>
        </w:tc>
        <w:tc>
          <w:tcPr>
            <w:tcW w:w="1452"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（二）水平子系统</w:t>
            </w:r>
          </w:p>
        </w:tc>
        <w:tc>
          <w:tcPr>
            <w:tcW w:w="4013" w:type="dxa"/>
            <w:noWrap w:val="0"/>
            <w:vAlign w:val="center"/>
          </w:tcPr>
          <w:p>
            <w:pPr>
              <w:jc w:val="left"/>
              <w:rPr>
                <w:rFonts w:hint="eastAsia" w:ascii="宋体" w:hAnsi="宋体" w:cs="宋体"/>
                <w:color w:val="auto"/>
                <w:sz w:val="20"/>
                <w:szCs w:val="20"/>
                <w:highlight w:val="none"/>
              </w:rPr>
            </w:pPr>
          </w:p>
        </w:tc>
        <w:tc>
          <w:tcPr>
            <w:tcW w:w="1064" w:type="dxa"/>
            <w:noWrap w:val="0"/>
            <w:vAlign w:val="center"/>
          </w:tcPr>
          <w:p>
            <w:pPr>
              <w:jc w:val="center"/>
              <w:rPr>
                <w:rFonts w:hint="eastAsia" w:ascii="宋体" w:hAnsi="宋体" w:cs="宋体"/>
                <w:color w:val="auto"/>
                <w:sz w:val="20"/>
                <w:szCs w:val="20"/>
                <w:highlight w:val="none"/>
              </w:rPr>
            </w:pPr>
          </w:p>
        </w:tc>
        <w:tc>
          <w:tcPr>
            <w:tcW w:w="863" w:type="dxa"/>
            <w:noWrap w:val="0"/>
            <w:vAlign w:val="center"/>
          </w:tcPr>
          <w:p>
            <w:pPr>
              <w:jc w:val="center"/>
              <w:rPr>
                <w:rFonts w:hint="eastAsia" w:ascii="宋体" w:hAnsi="宋体" w:cs="宋体"/>
                <w:color w:val="auto"/>
                <w:sz w:val="20"/>
                <w:szCs w:val="20"/>
                <w:highlight w:val="none"/>
              </w:rPr>
            </w:pPr>
          </w:p>
        </w:tc>
        <w:tc>
          <w:tcPr>
            <w:tcW w:w="661" w:type="dxa"/>
            <w:noWrap w:val="0"/>
            <w:vAlign w:val="center"/>
          </w:tcPr>
          <w:p>
            <w:pPr>
              <w:jc w:val="center"/>
              <w:rPr>
                <w:rFonts w:hint="eastAsia" w:ascii="宋体" w:hAnsi="宋体" w:cs="宋体"/>
                <w:color w:val="auto"/>
                <w:sz w:val="20"/>
                <w:szCs w:val="20"/>
                <w:highlight w:val="none"/>
              </w:rPr>
            </w:pP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六类非屏蔽双绞线</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芯线规格：23AWG</w:t>
            </w:r>
            <w:r>
              <w:rPr>
                <w:rFonts w:hint="eastAsia" w:ascii="宋体" w:hAnsi="宋体" w:cs="宋体"/>
                <w:color w:val="auto"/>
                <w:kern w:val="0"/>
                <w:sz w:val="20"/>
                <w:szCs w:val="20"/>
                <w:highlight w:val="none"/>
                <w:lang w:val="en-US" w:eastAsia="zh-CN" w:bidi="ar"/>
              </w:rPr>
              <w:t>(0.574mm)</w:t>
            </w:r>
            <w:r>
              <w:rPr>
                <w:rFonts w:hint="eastAsia" w:ascii="宋体" w:hAnsi="宋体" w:cs="宋体"/>
                <w:color w:val="auto"/>
                <w:kern w:val="0"/>
                <w:sz w:val="20"/>
                <w:szCs w:val="20"/>
                <w:highlight w:val="none"/>
                <w:lang w:bidi="ar"/>
              </w:rPr>
              <w:t>实芯裸铜导体，内部须采用十字骨架分隔结构；</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护套：CM，印有电缆编码护套，有撕裂绳；标准：TIA/EIA568B，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带宽：≥250MHz；阻抗：100±15Ω</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305米/箱</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室外6芯单模光纤</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光纤芯径： 9/125µm单模光纤；零水峰技术，可在1280nm-1625nm全波段内传输；符合国际TIA/EIA-568-B.3和ITU-T G.652C的标准；13010nm衰减系数为0.7db/km,传输距离为10KM;1550nm衰减系数为0.5db/km，传输距离为40KM。</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3" w:type="dxa"/>
            <w:noWrap w:val="0"/>
            <w:vAlign w:val="center"/>
          </w:tcPr>
          <w:p>
            <w:pPr>
              <w:jc w:val="center"/>
              <w:rPr>
                <w:rFonts w:hint="eastAsia" w:ascii="宋体" w:hAnsi="宋体" w:cs="宋体"/>
                <w:color w:val="auto"/>
                <w:sz w:val="20"/>
                <w:szCs w:val="20"/>
                <w:highlight w:val="none"/>
              </w:rPr>
            </w:pPr>
          </w:p>
        </w:tc>
        <w:tc>
          <w:tcPr>
            <w:tcW w:w="1452"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（三）垂直/主干子系统</w:t>
            </w:r>
          </w:p>
        </w:tc>
        <w:tc>
          <w:tcPr>
            <w:tcW w:w="4013" w:type="dxa"/>
            <w:noWrap w:val="0"/>
            <w:vAlign w:val="center"/>
          </w:tcPr>
          <w:p>
            <w:pPr>
              <w:jc w:val="left"/>
              <w:rPr>
                <w:rFonts w:hint="eastAsia" w:ascii="宋体" w:hAnsi="宋体" w:cs="宋体"/>
                <w:color w:val="auto"/>
                <w:sz w:val="20"/>
                <w:szCs w:val="20"/>
                <w:highlight w:val="none"/>
              </w:rPr>
            </w:pPr>
          </w:p>
        </w:tc>
        <w:tc>
          <w:tcPr>
            <w:tcW w:w="1064" w:type="dxa"/>
            <w:noWrap w:val="0"/>
            <w:vAlign w:val="center"/>
          </w:tcPr>
          <w:p>
            <w:pPr>
              <w:jc w:val="center"/>
              <w:rPr>
                <w:rFonts w:hint="eastAsia" w:ascii="宋体" w:hAnsi="宋体" w:cs="宋体"/>
                <w:color w:val="auto"/>
                <w:sz w:val="20"/>
                <w:szCs w:val="20"/>
                <w:highlight w:val="none"/>
              </w:rPr>
            </w:pPr>
          </w:p>
        </w:tc>
        <w:tc>
          <w:tcPr>
            <w:tcW w:w="863" w:type="dxa"/>
            <w:noWrap w:val="0"/>
            <w:vAlign w:val="center"/>
          </w:tcPr>
          <w:p>
            <w:pPr>
              <w:jc w:val="center"/>
              <w:rPr>
                <w:rFonts w:hint="eastAsia" w:ascii="宋体" w:hAnsi="宋体" w:cs="宋体"/>
                <w:color w:val="auto"/>
                <w:sz w:val="20"/>
                <w:szCs w:val="20"/>
                <w:highlight w:val="none"/>
              </w:rPr>
            </w:pPr>
          </w:p>
        </w:tc>
        <w:tc>
          <w:tcPr>
            <w:tcW w:w="661" w:type="dxa"/>
            <w:noWrap w:val="0"/>
            <w:vAlign w:val="center"/>
          </w:tcPr>
          <w:p>
            <w:pPr>
              <w:jc w:val="center"/>
              <w:rPr>
                <w:rFonts w:hint="eastAsia" w:ascii="宋体" w:hAnsi="宋体" w:cs="宋体"/>
                <w:color w:val="auto"/>
                <w:sz w:val="20"/>
                <w:szCs w:val="20"/>
                <w:highlight w:val="none"/>
              </w:rPr>
            </w:pP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3类50对大对数电缆</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0.4MM单股纯铜丝导体，PE料绝缘，普通PVC外护套，100对双绞，符合并超过TIA/EIA568B关于三类测试标准要求</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室外12芯单模光纤</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光纤芯径： 9/125µm单模光纤；零水峰技术，可在1280nm-1625nm全波段内传输；符合国际TIA/EIA-568-B.3和ITU-T G.652C的标准；13010nm衰减系数为0.7db/km,传输距离为10KM;1550nm衰减系数为0.5db/km，传输距离为40KM。</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3" w:type="dxa"/>
            <w:noWrap w:val="0"/>
            <w:vAlign w:val="center"/>
          </w:tcPr>
          <w:p>
            <w:pPr>
              <w:jc w:val="center"/>
              <w:rPr>
                <w:rFonts w:hint="eastAsia" w:ascii="宋体" w:hAnsi="宋体" w:cs="宋体"/>
                <w:color w:val="auto"/>
                <w:sz w:val="20"/>
                <w:szCs w:val="20"/>
                <w:highlight w:val="none"/>
              </w:rPr>
            </w:pPr>
          </w:p>
        </w:tc>
        <w:tc>
          <w:tcPr>
            <w:tcW w:w="1452"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（四）配线间子系统</w:t>
            </w:r>
          </w:p>
        </w:tc>
        <w:tc>
          <w:tcPr>
            <w:tcW w:w="4013" w:type="dxa"/>
            <w:noWrap w:val="0"/>
            <w:vAlign w:val="center"/>
          </w:tcPr>
          <w:p>
            <w:pPr>
              <w:jc w:val="left"/>
              <w:rPr>
                <w:rFonts w:hint="eastAsia" w:ascii="宋体" w:hAnsi="宋体" w:cs="宋体"/>
                <w:color w:val="auto"/>
                <w:sz w:val="20"/>
                <w:szCs w:val="20"/>
                <w:highlight w:val="none"/>
              </w:rPr>
            </w:pPr>
          </w:p>
        </w:tc>
        <w:tc>
          <w:tcPr>
            <w:tcW w:w="1064" w:type="dxa"/>
            <w:noWrap w:val="0"/>
            <w:vAlign w:val="center"/>
          </w:tcPr>
          <w:p>
            <w:pPr>
              <w:jc w:val="center"/>
              <w:rPr>
                <w:rFonts w:hint="eastAsia" w:ascii="宋体" w:hAnsi="宋体" w:cs="宋体"/>
                <w:color w:val="auto"/>
                <w:sz w:val="20"/>
                <w:szCs w:val="20"/>
                <w:highlight w:val="none"/>
              </w:rPr>
            </w:pPr>
          </w:p>
        </w:tc>
        <w:tc>
          <w:tcPr>
            <w:tcW w:w="863" w:type="dxa"/>
            <w:noWrap w:val="0"/>
            <w:vAlign w:val="center"/>
          </w:tcPr>
          <w:p>
            <w:pPr>
              <w:jc w:val="center"/>
              <w:rPr>
                <w:rFonts w:hint="eastAsia" w:ascii="宋体" w:hAnsi="宋体" w:cs="宋体"/>
                <w:color w:val="auto"/>
                <w:sz w:val="20"/>
                <w:szCs w:val="20"/>
                <w:highlight w:val="none"/>
              </w:rPr>
            </w:pPr>
          </w:p>
        </w:tc>
        <w:tc>
          <w:tcPr>
            <w:tcW w:w="661" w:type="dxa"/>
            <w:noWrap w:val="0"/>
            <w:vAlign w:val="center"/>
          </w:tcPr>
          <w:p>
            <w:pPr>
              <w:jc w:val="center"/>
              <w:rPr>
                <w:rFonts w:hint="eastAsia" w:ascii="宋体" w:hAnsi="宋体" w:cs="宋体"/>
                <w:color w:val="auto"/>
                <w:sz w:val="20"/>
                <w:szCs w:val="20"/>
                <w:highlight w:val="none"/>
              </w:rPr>
            </w:pP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六类24口数据配线架</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 24口RJ45模块化结构，后面带背面理线盘。标准：ISO/IEC 11801:2002 Ed2.0，TIA/EIA-568-B.2-1；设计：提供符合T568A和T568B两种端接标准的可互换色标标签；配线架前端具有防尘保护。保证至少750次插接和20次的重复端接</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45</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六类非屏蔽跳线,2米</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标准：TIA/EIA-568B.2-1和ISO11801 2nd；RJ45水晶头插拔次数&gt;1000 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传输带宽≥250MHz，阻抗: 100 ohms±15%。</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条</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1080</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100对110语音配线架</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机架式110型，100对，含20只4对连接块和4只5对连接块</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12芯抽屉式光纤配线架</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规格：12芯SC光纤接入能力，适合19"标准机柜安装有足够空间保证光纤的盘绕、固定和接续，带有管理器及固定附件。标准：ISO/IEC 11801:2002 Ed2.0；19英寸机架式安装，要能提供各种形式的光纤耦合器（ST、SC、MTRJ、LC等）。</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SC适配器</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采用磷青铜套管材料</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条</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144</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SC单模尾纤,1米</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规格：单模9/125µm ，OS1级别连接到主干光缆及配线架的光纤尾纤应支持万兆以太网，采用SC接口;使用高磨光磷青铜插芯，耐拨插次数可达1000次以上</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标准：ISO/IEC 11801:2002 Ed2.0；最大损耗：&lt; 0.75dB</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SC-LC双芯单模跳线,2米</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规格：单模9/125µm ，OS1级别连接到主干光缆及配线架的光纤尾纤应支持万兆以太网，采用SC、LC接口;使用高磨光磷青铜插芯，耐拨插次数可达1000次以上；标准：ISO/IEC 11801:2002 Ed2.0</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条</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1U水平理线器（19"机柜用）</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采用优质冷轧钢板材料，确保产品的坚固耐用。大容量设计，有助于布线的条理性；标准19英寸机架安装；</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64</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18U网络机柜（深度600mm，根据实装情况可调整高度）</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宽)*600(深)*1200mm(高)；应充分考虑机柜的容量，应为网络设备留有足够的空间，留有电源插座等。投标人所提供的机柜应为19英寸标准机柜，机柜深度为600mm。内备足够风扇、搁板、高档防雷防浪涌电源及门锁。符合ANSI/EIA RS-310-D、IEC297-2</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42U网络机柜（深度600mm，根据实装情况可调整高度）</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42U机柜，规格600*600*2000mm，前门 网孔前门带锁, 网孔双开后门带锁, 全钢侧门可快速装卸 带电源 风扇  符合ANSI/EIA RS-310-D、IEC297-2、DIN41491; PART1、DIN41494; PART7、 GB/T3047.2- 92标准;兼容ETSI标准.SPCC优质冷扎钢板制作；厚度：方孔条2.0mm，托盘2.0mm，骨架和安装梁1.5mm，其他1.2mm;</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3" w:type="dxa"/>
            <w:noWrap w:val="0"/>
            <w:vAlign w:val="center"/>
          </w:tcPr>
          <w:p>
            <w:pPr>
              <w:jc w:val="center"/>
              <w:rPr>
                <w:rFonts w:hint="eastAsia" w:ascii="宋体" w:hAnsi="宋体" w:cs="宋体"/>
                <w:color w:val="auto"/>
                <w:sz w:val="20"/>
                <w:szCs w:val="20"/>
                <w:highlight w:val="none"/>
              </w:rPr>
            </w:pPr>
          </w:p>
        </w:tc>
        <w:tc>
          <w:tcPr>
            <w:tcW w:w="1452"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（五）管理子系统</w:t>
            </w:r>
          </w:p>
        </w:tc>
        <w:tc>
          <w:tcPr>
            <w:tcW w:w="4013" w:type="dxa"/>
            <w:noWrap w:val="0"/>
            <w:vAlign w:val="center"/>
          </w:tcPr>
          <w:p>
            <w:pPr>
              <w:jc w:val="center"/>
              <w:rPr>
                <w:rFonts w:hint="eastAsia" w:ascii="宋体" w:hAnsi="宋体" w:cs="宋体"/>
                <w:color w:val="auto"/>
                <w:sz w:val="20"/>
                <w:szCs w:val="20"/>
                <w:highlight w:val="none"/>
              </w:rPr>
            </w:pPr>
          </w:p>
        </w:tc>
        <w:tc>
          <w:tcPr>
            <w:tcW w:w="1064" w:type="dxa"/>
            <w:noWrap w:val="0"/>
            <w:vAlign w:val="center"/>
          </w:tcPr>
          <w:p>
            <w:pPr>
              <w:jc w:val="center"/>
              <w:rPr>
                <w:rFonts w:hint="eastAsia" w:ascii="宋体" w:hAnsi="宋体" w:cs="宋体"/>
                <w:color w:val="auto"/>
                <w:sz w:val="20"/>
                <w:szCs w:val="20"/>
                <w:highlight w:val="none"/>
              </w:rPr>
            </w:pPr>
          </w:p>
        </w:tc>
        <w:tc>
          <w:tcPr>
            <w:tcW w:w="863" w:type="dxa"/>
            <w:noWrap w:val="0"/>
            <w:vAlign w:val="center"/>
          </w:tcPr>
          <w:p>
            <w:pPr>
              <w:jc w:val="center"/>
              <w:rPr>
                <w:rFonts w:hint="eastAsia" w:ascii="宋体" w:hAnsi="宋体" w:cs="宋体"/>
                <w:color w:val="auto"/>
                <w:sz w:val="20"/>
                <w:szCs w:val="20"/>
                <w:highlight w:val="none"/>
              </w:rPr>
            </w:pPr>
          </w:p>
        </w:tc>
        <w:tc>
          <w:tcPr>
            <w:tcW w:w="661" w:type="dxa"/>
            <w:noWrap w:val="0"/>
            <w:vAlign w:val="center"/>
          </w:tcPr>
          <w:p>
            <w:pPr>
              <w:jc w:val="center"/>
              <w:rPr>
                <w:rFonts w:hint="eastAsia" w:ascii="宋体" w:hAnsi="宋体" w:cs="宋体"/>
                <w:color w:val="auto"/>
                <w:sz w:val="20"/>
                <w:szCs w:val="20"/>
                <w:highlight w:val="none"/>
              </w:rPr>
            </w:pP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5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96芯ODF配线架（含适配器，尾纤）</w:t>
            </w:r>
          </w:p>
        </w:tc>
        <w:tc>
          <w:tcPr>
            <w:tcW w:w="401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96位ODF架（ST.SC.FC.LC双工） ANSI/TIA/EIA-568-C.3；YD/T778-2006 2.材料结构：金属框架，表面涂装静电喷塑，塑 料组件 3.进出光纤方便灵活，有充裕的光纤盘存空间，光纤和尾纤弯曲半径不小于 30mm 4.抽拉式设计，集熔接配线一体化的熔接配线配件，不含适配器 5. 每盘端口数量：12位 6. 端口类型：ST 、FC、SC、LC双工通用 7. 安装方式：19″机架式安装 8. 材料：优质钢板 9.表面颜色：白色 10.工作温度：-25℃～+60℃ 11.端口数量/高度：24位/2U，48位/3U，72位/4U，96位/5U，</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SC-LC双芯单模跳线,2米</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规格：单模9/125µm ，OS1级别连接到主干光缆及配线架的光纤尾纤应支持万兆以太网，采用SC、LC接口;使用高磨光磷青铜插芯，耐拨插次数可达1000次以上；标准：ISO/IEC 11801:2002 Ed2.0</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168</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100对110语音配线架</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机架式110型，100对，含20只4对连接块和4只5对连接块</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1U水平理线器（19"机柜用）</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采用优质冷轧钢板材料，确保产品的坚固耐用。大容量设计，有助于布线的条理性；标准19英寸机架安装；</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42U网络机柜（深度600mm，根据实装情况可调整高度）</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42U机柜，规格600*600*2000mm，前门 网孔前门带锁, 网孔双开后门带锁, 全钢侧门可快速装卸 带电源 风扇；SPCC优质冷扎钢板制作；厚度：方孔条2.0mm，托盘2.0mm，骨架和安装梁1.5mm，其他1.2mm;</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放置于模块化机房机柜</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0</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3" w:type="dxa"/>
            <w:noWrap w:val="0"/>
            <w:vAlign w:val="center"/>
          </w:tcPr>
          <w:p>
            <w:pPr>
              <w:jc w:val="center"/>
              <w:rPr>
                <w:rFonts w:hint="eastAsia" w:ascii="宋体" w:hAnsi="宋体" w:cs="宋体"/>
                <w:b/>
                <w:bCs/>
                <w:color w:val="auto"/>
                <w:sz w:val="20"/>
                <w:szCs w:val="20"/>
                <w:highlight w:val="none"/>
              </w:rPr>
            </w:pPr>
          </w:p>
        </w:tc>
        <w:tc>
          <w:tcPr>
            <w:tcW w:w="1452"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设备网布线</w:t>
            </w:r>
          </w:p>
        </w:tc>
        <w:tc>
          <w:tcPr>
            <w:tcW w:w="4013" w:type="dxa"/>
            <w:noWrap w:val="0"/>
            <w:vAlign w:val="center"/>
          </w:tcPr>
          <w:p>
            <w:pPr>
              <w:jc w:val="center"/>
              <w:rPr>
                <w:rFonts w:hint="eastAsia" w:ascii="宋体" w:hAnsi="宋体" w:cs="宋体"/>
                <w:b/>
                <w:bCs/>
                <w:color w:val="auto"/>
                <w:sz w:val="20"/>
                <w:szCs w:val="20"/>
                <w:highlight w:val="none"/>
              </w:rPr>
            </w:pPr>
          </w:p>
        </w:tc>
        <w:tc>
          <w:tcPr>
            <w:tcW w:w="1064" w:type="dxa"/>
            <w:noWrap w:val="0"/>
            <w:vAlign w:val="center"/>
          </w:tcPr>
          <w:p>
            <w:pPr>
              <w:jc w:val="center"/>
              <w:rPr>
                <w:rFonts w:hint="eastAsia" w:ascii="宋体" w:hAnsi="宋体" w:cs="宋体"/>
                <w:b/>
                <w:bCs/>
                <w:color w:val="auto"/>
                <w:sz w:val="20"/>
                <w:szCs w:val="20"/>
                <w:highlight w:val="none"/>
              </w:rPr>
            </w:pPr>
          </w:p>
        </w:tc>
        <w:tc>
          <w:tcPr>
            <w:tcW w:w="863" w:type="dxa"/>
            <w:noWrap w:val="0"/>
            <w:vAlign w:val="center"/>
          </w:tcPr>
          <w:p>
            <w:pPr>
              <w:jc w:val="center"/>
              <w:rPr>
                <w:rFonts w:hint="eastAsia" w:ascii="宋体" w:hAnsi="宋体" w:cs="宋体"/>
                <w:b/>
                <w:bCs/>
                <w:color w:val="auto"/>
                <w:sz w:val="20"/>
                <w:szCs w:val="20"/>
                <w:highlight w:val="none"/>
              </w:rPr>
            </w:pPr>
          </w:p>
        </w:tc>
        <w:tc>
          <w:tcPr>
            <w:tcW w:w="661" w:type="dxa"/>
            <w:noWrap w:val="0"/>
            <w:vAlign w:val="center"/>
          </w:tcPr>
          <w:p>
            <w:pPr>
              <w:jc w:val="center"/>
              <w:rPr>
                <w:rFonts w:hint="eastAsia" w:ascii="宋体" w:hAnsi="宋体" w:cs="宋体"/>
                <w:b/>
                <w:bCs/>
                <w:color w:val="auto"/>
                <w:sz w:val="20"/>
                <w:szCs w:val="20"/>
                <w:highlight w:val="none"/>
              </w:rPr>
            </w:pP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3" w:type="dxa"/>
            <w:noWrap w:val="0"/>
            <w:vAlign w:val="center"/>
          </w:tcPr>
          <w:p>
            <w:pPr>
              <w:jc w:val="center"/>
              <w:rPr>
                <w:rFonts w:hint="eastAsia" w:ascii="宋体" w:hAnsi="宋体" w:cs="宋体"/>
                <w:color w:val="auto"/>
                <w:sz w:val="20"/>
                <w:szCs w:val="20"/>
                <w:highlight w:val="none"/>
              </w:rPr>
            </w:pPr>
          </w:p>
        </w:tc>
        <w:tc>
          <w:tcPr>
            <w:tcW w:w="1452"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（二）水平子系统</w:t>
            </w:r>
          </w:p>
        </w:tc>
        <w:tc>
          <w:tcPr>
            <w:tcW w:w="4013" w:type="dxa"/>
            <w:noWrap w:val="0"/>
            <w:vAlign w:val="center"/>
          </w:tcPr>
          <w:p>
            <w:pPr>
              <w:jc w:val="left"/>
              <w:rPr>
                <w:rFonts w:hint="eastAsia" w:ascii="宋体" w:hAnsi="宋体" w:cs="宋体"/>
                <w:color w:val="auto"/>
                <w:sz w:val="20"/>
                <w:szCs w:val="20"/>
                <w:highlight w:val="none"/>
              </w:rPr>
            </w:pPr>
          </w:p>
        </w:tc>
        <w:tc>
          <w:tcPr>
            <w:tcW w:w="1064" w:type="dxa"/>
            <w:noWrap w:val="0"/>
            <w:vAlign w:val="center"/>
          </w:tcPr>
          <w:p>
            <w:pPr>
              <w:jc w:val="center"/>
              <w:rPr>
                <w:rFonts w:hint="eastAsia" w:ascii="宋体" w:hAnsi="宋体" w:cs="宋体"/>
                <w:color w:val="auto"/>
                <w:sz w:val="20"/>
                <w:szCs w:val="20"/>
                <w:highlight w:val="none"/>
              </w:rPr>
            </w:pPr>
          </w:p>
        </w:tc>
        <w:tc>
          <w:tcPr>
            <w:tcW w:w="863" w:type="dxa"/>
            <w:noWrap w:val="0"/>
            <w:vAlign w:val="center"/>
          </w:tcPr>
          <w:p>
            <w:pPr>
              <w:jc w:val="center"/>
              <w:rPr>
                <w:rFonts w:hint="eastAsia" w:ascii="宋体" w:hAnsi="宋体" w:cs="宋体"/>
                <w:color w:val="auto"/>
                <w:sz w:val="20"/>
                <w:szCs w:val="20"/>
                <w:highlight w:val="none"/>
              </w:rPr>
            </w:pPr>
          </w:p>
        </w:tc>
        <w:tc>
          <w:tcPr>
            <w:tcW w:w="661" w:type="dxa"/>
            <w:noWrap w:val="0"/>
            <w:vAlign w:val="center"/>
          </w:tcPr>
          <w:p>
            <w:pPr>
              <w:jc w:val="center"/>
              <w:rPr>
                <w:rFonts w:hint="eastAsia" w:ascii="宋体" w:hAnsi="宋体" w:cs="宋体"/>
                <w:color w:val="auto"/>
                <w:sz w:val="20"/>
                <w:szCs w:val="20"/>
                <w:highlight w:val="none"/>
              </w:rPr>
            </w:pP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六类非屏蔽双绞线</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芯线规格：23AWG</w:t>
            </w:r>
            <w:r>
              <w:rPr>
                <w:rFonts w:hint="eastAsia" w:ascii="宋体" w:hAnsi="宋体" w:cs="宋体"/>
                <w:color w:val="auto"/>
                <w:kern w:val="0"/>
                <w:sz w:val="20"/>
                <w:szCs w:val="20"/>
                <w:highlight w:val="none"/>
                <w:lang w:val="en-US" w:eastAsia="zh-CN" w:bidi="ar"/>
              </w:rPr>
              <w:t>(0.574mm)</w:t>
            </w:r>
            <w:r>
              <w:rPr>
                <w:rFonts w:hint="eastAsia" w:ascii="宋体" w:hAnsi="宋体" w:cs="宋体"/>
                <w:color w:val="auto"/>
                <w:kern w:val="0"/>
                <w:sz w:val="20"/>
                <w:szCs w:val="20"/>
                <w:highlight w:val="none"/>
                <w:lang w:bidi="ar"/>
              </w:rPr>
              <w:t>实芯裸铜导体，内部须采用十字骨架分隔结构；</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护套：CM，印有电缆编码护套，有撕裂绳；标准：TIA/EIA568B，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带宽：≥250MHz；阻抗：100±15Ω</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305米/箱</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室外6芯单模光纤</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光纤芯径： 9/125µm单模光纤；零水峰技术，可在1280nm-1625nm全波段内传输；符合国际TIA/EIA-568-B.3和ITU-T G.652C的标准；13010nm衰减系数为0.7db/km,传输距离为10KM;1550nm衰减系数为0.5db/km，传输距离为40KM。</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3" w:type="dxa"/>
            <w:noWrap w:val="0"/>
            <w:vAlign w:val="center"/>
          </w:tcPr>
          <w:p>
            <w:pPr>
              <w:jc w:val="center"/>
              <w:rPr>
                <w:rFonts w:hint="eastAsia" w:ascii="宋体" w:hAnsi="宋体" w:cs="宋体"/>
                <w:color w:val="auto"/>
                <w:sz w:val="20"/>
                <w:szCs w:val="20"/>
                <w:highlight w:val="none"/>
              </w:rPr>
            </w:pPr>
          </w:p>
        </w:tc>
        <w:tc>
          <w:tcPr>
            <w:tcW w:w="1452"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（三）垂直/主干子系统</w:t>
            </w:r>
          </w:p>
        </w:tc>
        <w:tc>
          <w:tcPr>
            <w:tcW w:w="4013" w:type="dxa"/>
            <w:noWrap w:val="0"/>
            <w:vAlign w:val="center"/>
          </w:tcPr>
          <w:p>
            <w:pPr>
              <w:jc w:val="left"/>
              <w:rPr>
                <w:rFonts w:hint="eastAsia" w:ascii="宋体" w:hAnsi="宋体" w:cs="宋体"/>
                <w:color w:val="auto"/>
                <w:sz w:val="20"/>
                <w:szCs w:val="20"/>
                <w:highlight w:val="none"/>
              </w:rPr>
            </w:pPr>
          </w:p>
        </w:tc>
        <w:tc>
          <w:tcPr>
            <w:tcW w:w="1064" w:type="dxa"/>
            <w:noWrap w:val="0"/>
            <w:vAlign w:val="center"/>
          </w:tcPr>
          <w:p>
            <w:pPr>
              <w:jc w:val="center"/>
              <w:rPr>
                <w:rFonts w:hint="eastAsia" w:ascii="宋体" w:hAnsi="宋体" w:cs="宋体"/>
                <w:color w:val="auto"/>
                <w:sz w:val="20"/>
                <w:szCs w:val="20"/>
                <w:highlight w:val="none"/>
              </w:rPr>
            </w:pPr>
          </w:p>
        </w:tc>
        <w:tc>
          <w:tcPr>
            <w:tcW w:w="863" w:type="dxa"/>
            <w:noWrap w:val="0"/>
            <w:vAlign w:val="center"/>
          </w:tcPr>
          <w:p>
            <w:pPr>
              <w:jc w:val="center"/>
              <w:rPr>
                <w:rFonts w:hint="eastAsia" w:ascii="宋体" w:hAnsi="宋体" w:cs="宋体"/>
                <w:color w:val="auto"/>
                <w:sz w:val="20"/>
                <w:szCs w:val="20"/>
                <w:highlight w:val="none"/>
              </w:rPr>
            </w:pPr>
          </w:p>
        </w:tc>
        <w:tc>
          <w:tcPr>
            <w:tcW w:w="661" w:type="dxa"/>
            <w:noWrap w:val="0"/>
            <w:vAlign w:val="center"/>
          </w:tcPr>
          <w:p>
            <w:pPr>
              <w:jc w:val="center"/>
              <w:rPr>
                <w:rFonts w:hint="eastAsia" w:ascii="宋体" w:hAnsi="宋体" w:cs="宋体"/>
                <w:color w:val="auto"/>
                <w:sz w:val="20"/>
                <w:szCs w:val="20"/>
                <w:highlight w:val="none"/>
              </w:rPr>
            </w:pP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室外6芯单模光纤</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光纤芯径： 9/125µm单模光纤；零水峰技术，可在1280nm-1625nm全波段内传输；符合国际TIA/EIA-568-B.3和ITU-T G.652C的标准；13010nm衰减系数为0.7db/km,传输距离为10KM;1550nm衰减系数为0.5db/km，传输距离为40KM。</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3" w:type="dxa"/>
            <w:noWrap w:val="0"/>
            <w:vAlign w:val="center"/>
          </w:tcPr>
          <w:p>
            <w:pPr>
              <w:jc w:val="center"/>
              <w:rPr>
                <w:rFonts w:hint="eastAsia" w:ascii="宋体" w:hAnsi="宋体" w:cs="宋体"/>
                <w:color w:val="auto"/>
                <w:sz w:val="20"/>
                <w:szCs w:val="20"/>
                <w:highlight w:val="none"/>
              </w:rPr>
            </w:pPr>
          </w:p>
        </w:tc>
        <w:tc>
          <w:tcPr>
            <w:tcW w:w="1452"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（四）配线间子系统</w:t>
            </w:r>
          </w:p>
        </w:tc>
        <w:tc>
          <w:tcPr>
            <w:tcW w:w="4013" w:type="dxa"/>
            <w:noWrap w:val="0"/>
            <w:vAlign w:val="center"/>
          </w:tcPr>
          <w:p>
            <w:pPr>
              <w:jc w:val="left"/>
              <w:rPr>
                <w:rFonts w:hint="eastAsia" w:ascii="宋体" w:hAnsi="宋体" w:cs="宋体"/>
                <w:color w:val="auto"/>
                <w:sz w:val="20"/>
                <w:szCs w:val="20"/>
                <w:highlight w:val="none"/>
              </w:rPr>
            </w:pPr>
          </w:p>
        </w:tc>
        <w:tc>
          <w:tcPr>
            <w:tcW w:w="1064" w:type="dxa"/>
            <w:noWrap w:val="0"/>
            <w:vAlign w:val="center"/>
          </w:tcPr>
          <w:p>
            <w:pPr>
              <w:jc w:val="center"/>
              <w:rPr>
                <w:rFonts w:hint="eastAsia" w:ascii="宋体" w:hAnsi="宋体" w:cs="宋体"/>
                <w:color w:val="auto"/>
                <w:sz w:val="20"/>
                <w:szCs w:val="20"/>
                <w:highlight w:val="none"/>
              </w:rPr>
            </w:pPr>
          </w:p>
        </w:tc>
        <w:tc>
          <w:tcPr>
            <w:tcW w:w="863" w:type="dxa"/>
            <w:noWrap w:val="0"/>
            <w:vAlign w:val="center"/>
          </w:tcPr>
          <w:p>
            <w:pPr>
              <w:jc w:val="center"/>
              <w:rPr>
                <w:rFonts w:hint="eastAsia" w:ascii="宋体" w:hAnsi="宋体" w:cs="宋体"/>
                <w:color w:val="auto"/>
                <w:sz w:val="20"/>
                <w:szCs w:val="20"/>
                <w:highlight w:val="none"/>
              </w:rPr>
            </w:pPr>
          </w:p>
        </w:tc>
        <w:tc>
          <w:tcPr>
            <w:tcW w:w="661" w:type="dxa"/>
            <w:noWrap w:val="0"/>
            <w:vAlign w:val="center"/>
          </w:tcPr>
          <w:p>
            <w:pPr>
              <w:jc w:val="center"/>
              <w:rPr>
                <w:rFonts w:hint="eastAsia" w:ascii="宋体" w:hAnsi="宋体" w:cs="宋体"/>
                <w:color w:val="auto"/>
                <w:sz w:val="20"/>
                <w:szCs w:val="20"/>
                <w:highlight w:val="none"/>
              </w:rPr>
            </w:pP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六类24口数据配线架</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 24口RJ45模块化结构，后面带背面理线盘。标准：ISO/IEC 11801:2002 Ed2.0，TIA/EIA-568-B.2-1；设计：提供符合T568A和T568B两种端接标准的可互换色标标签；配线架前端具有防尘保护。保证至少750次插接和20次的重复端接</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六类非屏蔽跳线,2米</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标准：TIA/EIA-568B.2-1和ISO11801 2nd；RJ45水晶头插拔次数&gt;1000 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传输带宽≥250MHz，阻抗: 100 ohms±15%。</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条</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8芯光纤终端盒</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规格：8芯SC光纤接入能力，保证光纤的盘绕、固定和接续。</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标准：ISO/IEC 11801:2002 Ed2.0</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12芯抽屉式光纤配线架</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规格：12芯SC光纤接入能力，适合19"标准机柜安装有足够空间保证光纤的盘绕、固定和接续，带有管理器及固定附件。标准：ISO/IEC 11801:2002 Ed2.0；19英寸机架式安装，要能提供各种形式的光纤耦合器（ST、SC、MTRJ、LC等）。</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SC适配器</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采用磷青铜套管材料</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条</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144</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SC单模尾纤,1米</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规格：单模9/125µm ，OS1级别连接到主干光缆及配线架的光纤尾纤应支持万兆以太网，采用SC接口;使用高磨光磷青铜插芯，耐拨插次数可达1000次以上</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标准：ISO/IEC 11801:2002 Ed2.0；最大损耗：&lt; 0.75dB</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SC-LC双芯单模跳线,2米</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规格：单模9/125µm ，OS1级别连接到主干光缆及配线架的光纤尾纤应支持万兆以太网，采用SC、LC接口;使用高磨光磷青铜插芯，耐拨插次数可达1000次以上；标准：ISO/IEC 11801:2002 Ed2.0</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条</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1U水平理线器（19"机柜用）</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采用优质冷轧钢板材料，确保产品的坚固耐用。大容量设计，有助于布线的条理性；标准19英寸机架安装；</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42U网络机柜（深度600mm，根据实装情况可调整高度）</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42U机柜，规格600*600*2000mm，前门 网孔前门带锁, 网孔双开后门带锁, 全钢侧门可快速装卸 带电源 风扇  符合ANSI/EIA RS-310-D、IEC297-2、DIN41491; PART1、DIN41494; PART7、 GB/T3047.2- 92标准;兼容ETSI标准.SPCC优质冷扎钢板制作；厚度：方孔条2.0mm，托盘2.0mm，骨架和安装梁1.5mm，其他1.2mm;</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654"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3" w:type="dxa"/>
            <w:noWrap w:val="0"/>
            <w:vAlign w:val="center"/>
          </w:tcPr>
          <w:p>
            <w:pPr>
              <w:jc w:val="center"/>
              <w:rPr>
                <w:rFonts w:hint="eastAsia" w:ascii="宋体" w:hAnsi="宋体" w:cs="宋体"/>
                <w:color w:val="auto"/>
                <w:sz w:val="20"/>
                <w:szCs w:val="20"/>
                <w:highlight w:val="none"/>
              </w:rPr>
            </w:pPr>
          </w:p>
        </w:tc>
        <w:tc>
          <w:tcPr>
            <w:tcW w:w="1452"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（五）管理子系统</w:t>
            </w:r>
          </w:p>
        </w:tc>
        <w:tc>
          <w:tcPr>
            <w:tcW w:w="4013" w:type="dxa"/>
            <w:noWrap w:val="0"/>
            <w:vAlign w:val="center"/>
          </w:tcPr>
          <w:p>
            <w:pPr>
              <w:jc w:val="center"/>
              <w:rPr>
                <w:rFonts w:hint="eastAsia" w:ascii="宋体" w:hAnsi="宋体" w:cs="宋体"/>
                <w:color w:val="auto"/>
                <w:sz w:val="20"/>
                <w:szCs w:val="20"/>
                <w:highlight w:val="none"/>
              </w:rPr>
            </w:pPr>
          </w:p>
        </w:tc>
        <w:tc>
          <w:tcPr>
            <w:tcW w:w="1064" w:type="dxa"/>
            <w:noWrap w:val="0"/>
            <w:vAlign w:val="center"/>
          </w:tcPr>
          <w:p>
            <w:pPr>
              <w:jc w:val="center"/>
              <w:rPr>
                <w:rFonts w:hint="eastAsia" w:ascii="宋体" w:hAnsi="宋体" w:cs="宋体"/>
                <w:color w:val="auto"/>
                <w:sz w:val="20"/>
                <w:szCs w:val="20"/>
                <w:highlight w:val="none"/>
              </w:rPr>
            </w:pPr>
          </w:p>
        </w:tc>
        <w:tc>
          <w:tcPr>
            <w:tcW w:w="863" w:type="dxa"/>
            <w:noWrap w:val="0"/>
            <w:vAlign w:val="center"/>
          </w:tcPr>
          <w:p>
            <w:pPr>
              <w:jc w:val="center"/>
              <w:rPr>
                <w:rFonts w:hint="eastAsia" w:ascii="宋体" w:hAnsi="宋体" w:cs="宋体"/>
                <w:color w:val="auto"/>
                <w:sz w:val="20"/>
                <w:szCs w:val="20"/>
                <w:highlight w:val="none"/>
              </w:rPr>
            </w:pPr>
          </w:p>
        </w:tc>
        <w:tc>
          <w:tcPr>
            <w:tcW w:w="661" w:type="dxa"/>
            <w:noWrap w:val="0"/>
            <w:vAlign w:val="center"/>
          </w:tcPr>
          <w:p>
            <w:pPr>
              <w:jc w:val="center"/>
              <w:rPr>
                <w:rFonts w:hint="eastAsia" w:ascii="宋体" w:hAnsi="宋体" w:cs="宋体"/>
                <w:color w:val="auto"/>
                <w:sz w:val="20"/>
                <w:szCs w:val="20"/>
                <w:highlight w:val="none"/>
              </w:rPr>
            </w:pP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5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96芯ODF配线架（含适配器，尾纤）</w:t>
            </w:r>
          </w:p>
        </w:tc>
        <w:tc>
          <w:tcPr>
            <w:tcW w:w="401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96位ODF架（ST.SC.FC.LC双工） ANSI/TIA/EIA-568-C.3；YD/T778-2006 2.材料结构：金属框架，表面涂装静电喷塑，塑 料组件 3.进出光纤方便灵活，有充裕的光纤盘存空间，光纤和尾纤弯曲半径不小于 30mm 4.抽拉式设计，集熔接配线一体化的熔接配线配件，不含适配器 5. 每盘端口数量：12位 6. 端口类型：ST 、FC、SC、LC双工通用 7. 安装方式：19″机架式安装 8. 材料：优质钢板 9.表面颜色：白色 10.工作温度：-25℃～+60℃ 11.端口数量/高度：24位/2U，48位/3U，72位/4U，96位/5U，</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SC-LC双芯单模跳线,2米</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规格：单模9/125µm ，OS1级别连接到主干光缆及配线架的光纤尾纤应支持万兆以太网，采用SC、LC接口;使用高磨光磷青铜插芯，耐拨插次数可达1000次以上；标准：ISO/IEC 11801:2002 Ed2.0</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108</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1U水平理线器（19"机柜用）</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采用优质冷轧钢板材料，确保产品的坚固耐用。大容量设计，有助于布线的条理性；标准19英寸机架安装；</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六类24口数据配线架</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规格： 24口RJ45模块化结构，后面带背面理线盘。标准：ISO/IEC 11801:2002 Ed2.0，TIA/EIA-568-B.2-1；设计：提供符合T568A和T568B两种端接标准的可互换色标标签；配线架前端具有防尘保护。保证至少750次插接和20次的重复端接</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654"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45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452"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42U网络机柜（深度600mm，根据实装情况可调整高度）</w:t>
            </w:r>
          </w:p>
        </w:tc>
        <w:tc>
          <w:tcPr>
            <w:tcW w:w="401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42U机柜，规格600*600*2000mm，前门 网孔前门带锁, 网孔双开后门带锁, 全钢侧门可快速装卸 带电源 风扇；SPCC优质冷扎钢板制作；厚度：方孔条2.0mm，托盘2.0mm，骨架和安装梁1.5mm，其他1.2mm;</w:t>
            </w:r>
          </w:p>
        </w:tc>
        <w:tc>
          <w:tcPr>
            <w:tcW w:w="1064"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86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6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54" w:type="dxa"/>
            <w:noWrap/>
            <w:vAlign w:val="center"/>
          </w:tcPr>
          <w:p>
            <w:pPr>
              <w:rPr>
                <w:rFonts w:hint="eastAsia" w:ascii="宋体" w:hAnsi="宋体" w:cs="宋体"/>
                <w:color w:val="auto"/>
                <w:sz w:val="20"/>
                <w:szCs w:val="20"/>
                <w:highlight w:val="none"/>
              </w:rPr>
            </w:pPr>
          </w:p>
        </w:tc>
      </w:tr>
    </w:tbl>
    <w:p>
      <w:pPr>
        <w:pStyle w:val="4"/>
        <w:rPr>
          <w:rFonts w:ascii="宋体" w:hAnsi="宋体" w:eastAsia="宋体" w:cs="宋体"/>
          <w:color w:val="auto"/>
          <w:sz w:val="20"/>
          <w:szCs w:val="20"/>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cs="宋体"/>
          <w:b/>
          <w:color w:val="auto"/>
          <w:sz w:val="20"/>
          <w:szCs w:val="20"/>
          <w:highlight w:val="none"/>
        </w:rPr>
      </w:pPr>
    </w:p>
    <w:tbl>
      <w:tblPr>
        <w:tblStyle w:val="13"/>
        <w:tblW w:w="0" w:type="auto"/>
        <w:tblInd w:w="96" w:type="dxa"/>
        <w:tblLayout w:type="fixed"/>
        <w:tblCellMar>
          <w:top w:w="0" w:type="dxa"/>
          <w:left w:w="108" w:type="dxa"/>
          <w:bottom w:w="0" w:type="dxa"/>
          <w:right w:w="108" w:type="dxa"/>
        </w:tblCellMar>
      </w:tblPr>
      <w:tblGrid>
        <w:gridCol w:w="1220"/>
        <w:gridCol w:w="1328"/>
        <w:gridCol w:w="3611"/>
        <w:gridCol w:w="1398"/>
        <w:gridCol w:w="638"/>
        <w:gridCol w:w="671"/>
        <w:gridCol w:w="674"/>
      </w:tblGrid>
      <w:tr>
        <w:tblPrEx>
          <w:tblCellMar>
            <w:top w:w="0" w:type="dxa"/>
            <w:left w:w="108" w:type="dxa"/>
            <w:bottom w:w="0" w:type="dxa"/>
            <w:right w:w="108" w:type="dxa"/>
          </w:tblCellMar>
        </w:tblPrEx>
        <w:trPr>
          <w:trHeight w:val="499" w:hRule="atLeast"/>
        </w:trPr>
        <w:tc>
          <w:tcPr>
            <w:tcW w:w="9540" w:type="dxa"/>
            <w:gridSpan w:val="7"/>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auto"/>
                <w:sz w:val="24"/>
                <w:szCs w:val="24"/>
                <w:highlight w:val="none"/>
              </w:rPr>
            </w:pPr>
            <w:r>
              <w:rPr>
                <w:rFonts w:hint="eastAsia" w:ascii="宋体" w:hAnsi="宋体" w:cs="宋体"/>
                <w:b/>
                <w:bCs/>
                <w:color w:val="auto"/>
                <w:kern w:val="0"/>
                <w:sz w:val="20"/>
                <w:szCs w:val="20"/>
                <w:highlight w:val="none"/>
                <w:lang w:bidi="ar"/>
              </w:rPr>
              <w:t>计算机网络系统设备清单</w:t>
            </w:r>
          </w:p>
        </w:tc>
      </w:tr>
      <w:tr>
        <w:tblPrEx>
          <w:tblCellMar>
            <w:top w:w="0" w:type="dxa"/>
            <w:left w:w="108" w:type="dxa"/>
            <w:bottom w:w="0" w:type="dxa"/>
            <w:right w:w="108" w:type="dxa"/>
          </w:tblCellMar>
        </w:tblPrEx>
        <w:trPr>
          <w:trHeight w:val="499" w:hRule="atLeast"/>
        </w:trPr>
        <w:tc>
          <w:tcPr>
            <w:tcW w:w="9540" w:type="dxa"/>
            <w:gridSpan w:val="7"/>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cs="宋体"/>
                <w:color w:val="auto"/>
                <w:sz w:val="24"/>
                <w:szCs w:val="24"/>
                <w:highlight w:val="none"/>
              </w:rPr>
            </w:pPr>
            <w:r>
              <w:rPr>
                <w:rFonts w:hint="eastAsia" w:ascii="宋体" w:hAnsi="宋体" w:cs="宋体"/>
                <w:b/>
                <w:bCs/>
                <w:color w:val="auto"/>
                <w:kern w:val="0"/>
                <w:sz w:val="20"/>
                <w:szCs w:val="20"/>
                <w:highlight w:val="none"/>
                <w:lang w:bidi="ar"/>
              </w:rPr>
              <w:t>子系统名称：计算机网络系统</w:t>
            </w:r>
          </w:p>
        </w:tc>
      </w:tr>
      <w:tr>
        <w:tblPrEx>
          <w:tblCellMar>
            <w:top w:w="0" w:type="dxa"/>
            <w:left w:w="108" w:type="dxa"/>
            <w:bottom w:w="0" w:type="dxa"/>
            <w:right w:w="108" w:type="dxa"/>
          </w:tblCellMar>
        </w:tblPrEx>
        <w:trPr>
          <w:trHeight w:val="434"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序号</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设备名称</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技术参数</w:t>
            </w:r>
          </w:p>
        </w:tc>
        <w:tc>
          <w:tcPr>
            <w:tcW w:w="1398"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推荐品牌</w:t>
            </w:r>
          </w:p>
        </w:tc>
        <w:tc>
          <w:tcPr>
            <w:tcW w:w="638"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单位</w:t>
            </w:r>
          </w:p>
        </w:tc>
        <w:tc>
          <w:tcPr>
            <w:tcW w:w="671"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 xml:space="preserve">数量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b/>
                <w:bCs/>
                <w:color w:val="auto"/>
                <w:sz w:val="20"/>
                <w:szCs w:val="20"/>
                <w:highlight w:val="none"/>
              </w:rPr>
            </w:pPr>
            <w:r>
              <w:rPr>
                <w:rFonts w:hint="eastAsia"/>
                <w:b/>
                <w:bCs/>
                <w:color w:val="auto"/>
                <w:sz w:val="20"/>
                <w:szCs w:val="20"/>
                <w:highlight w:val="none"/>
              </w:rPr>
              <w:t>备注</w:t>
            </w: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0"/>
                <w:szCs w:val="20"/>
                <w:highlight w:val="none"/>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校园网</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0"/>
                <w:szCs w:val="20"/>
                <w:highlight w:val="none"/>
              </w:rPr>
            </w:pP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0"/>
                <w:szCs w:val="20"/>
                <w:highlight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0"/>
                <w:szCs w:val="20"/>
                <w:highlight w:val="none"/>
              </w:rPr>
            </w:pPr>
          </w:p>
        </w:tc>
        <w:tc>
          <w:tcPr>
            <w:tcW w:w="674"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20"/>
                <w:szCs w:val="20"/>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防火墙</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0"/>
                <w:szCs w:val="20"/>
                <w:highlight w:val="none"/>
              </w:rPr>
            </w:pP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0"/>
                <w:szCs w:val="20"/>
                <w:highlight w:val="none"/>
              </w:rPr>
            </w:pP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0"/>
                <w:szCs w:val="20"/>
                <w:highlight w:val="none"/>
              </w:rPr>
            </w:pPr>
          </w:p>
        </w:tc>
        <w:tc>
          <w:tcPr>
            <w:tcW w:w="6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auto"/>
                <w:sz w:val="20"/>
                <w:szCs w:val="20"/>
                <w:highlight w:val="none"/>
              </w:rPr>
            </w:pP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防火墙交流主机</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highlight w:val="none"/>
              </w:rPr>
            </w:pP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不在本次招标范围内</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0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核心交换机</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highlight w:val="none"/>
              </w:rPr>
            </w:pP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核心交换机</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整机独立主控引擎插槽≥2个，独立业务插槽≥3个，风扇≥2个，电源槽位≥2个；交换容量≥162Tbps，包转发性能≥36760Mpps，若所投设备支持独立交换网板，需满配交换网板以保障其性能；支持能效以太网功能(EEE)， IEEE 802.3az；支持虚拟化技术，可将多台物理设备虚拟化为1台逻辑设备，虚拟组内设备具备统一的二层及三层转发表项，统一的管理界面；支持防雷等级≥6KV；为提高设备面板空间利用率，要求采用高密度端口设计，所投产品单张业务卡最大可用物理端口≥52个；支持多对一镜像,基于流的镜像，一对多镜像。支持SPAN、RSPAN远程镜像，支持VLAN的镜像；支持IPv6静态路由、RIPng、OSPF vBGP4+ 等路由协议；采用模块化操作系统，支持多进程备份及ISSU不中断业务升级特性；本次配置：双引擎双电源，72个千兆光口，48个千兆电口，12口万兆光口，12口电口复用</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1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千兆光模块</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单模模块-(1310nm,10km)</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16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接入交换机</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highlight w:val="none"/>
              </w:rPr>
            </w:pP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6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Arial" w:hAnsi="Arial" w:cs="Arial"/>
                <w:color w:val="auto"/>
                <w:sz w:val="20"/>
                <w:szCs w:val="20"/>
                <w:highlight w:val="none"/>
              </w:rPr>
            </w:pP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24口千兆交换机</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交换容量≥3.36Tbps，转发性能≥126Mpps；固化10/100/1000M以太网端口≥24，非复用SFP千兆光接口≥4个；设备MAC地址≥16K；支持1对1对多、多对1和基于流的镜像；且支持RSPAN和ERSPAN；产品端口浪涌抗扰度≥10KV（即具备10KV的防雷能力），支持IEEE 802.3az标准的EEE节能技术</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5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48口千兆交换机</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交换容量≥4.32Tbps，转发性能≥166Mpps；固化10/100/1000M以太网端口≥48，非复用SFP千兆光接口≥4个；要求所投设备MAC地址≥16K；设备支持1对1对多、多对1和基于流的镜像；且支持RSPAN和ERSPAN；支持IEEE 802.3az标准的EEE节能技术；产品端口浪涌抗扰度≥10KV（即具备10KV的防雷能力）；</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16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24口千兆POE交换机</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交换容量≥3.36Tbps，转发性能≥126Mpps；固化10/100/1000M以太网端口≥24，非复用SFP千兆光接口≥4个；支持POE和POE+,同时可POE供电端口≥24个，POE最大输出功率≥370W；设备MAC地址≥16K；支持IEEE 802.3az标准的EEE节能技术；产品端口浪涌抗扰度≥8KV（即具备8KV的防雷能力）；</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7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8口千兆POE交换机</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固化10/100/1000M以太网电口≥8个，100/1000M SFP千兆光接口≥2个；交换容量≥256Gbps，包转发率≥30Mpps；产品支持POE和POE+远程供电，POE供电功率为125W，避免设备运行时产生噪声污染，设备采用静音设计，噪声指标＜35dB，</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5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千兆光模块</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单模模块-(1310nm,10km)</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16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堆叠电缆（含2个光模块）</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SFP+接口铜缆，长度1米，包含一根线缆+两个接口模块</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根</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10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无线AP</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highlight w:val="none"/>
              </w:rPr>
            </w:pP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highlight w:val="none"/>
              </w:rPr>
            </w:pP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0"/>
                <w:szCs w:val="20"/>
                <w:highlight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highlight w:val="none"/>
              </w:rPr>
            </w:pP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室内AP</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20"/>
                <w:szCs w:val="20"/>
                <w:highlight w:val="none"/>
              </w:rPr>
            </w:pPr>
            <w:r>
              <w:rPr>
                <w:rFonts w:ascii="宋体" w:hAnsi="宋体" w:cs="宋体"/>
                <w:color w:val="auto"/>
                <w:kern w:val="0"/>
                <w:sz w:val="20"/>
                <w:szCs w:val="20"/>
                <w:highlight w:val="none"/>
                <w:lang w:bidi="ar"/>
              </w:rPr>
              <w:t>支持标准的802.11ax协议,采用双路双频设计，可同时工作在802.11ax和802.11a/b/g/n/ac模式，支持mu-mimo特性；支持4条空间流,单频最大接入速率1.2Gbps,整机最大接入速率1.775Gbps1个10/100/1000Base-T以太网口，支持PoE供电为保障设备受到外部机械碰撞仍可以保持结构完整、功能完备，室内无线接入点符合国标GB/T 20138-2006即《电器设备外壳对外界机械碰撞的防护等级（IK代码）》标准，产品具备NAT功能。</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35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室内高密AP</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20"/>
                <w:szCs w:val="20"/>
                <w:highlight w:val="none"/>
              </w:rPr>
            </w:pPr>
            <w:r>
              <w:rPr>
                <w:rFonts w:ascii="宋体" w:hAnsi="宋体" w:cs="宋体"/>
                <w:color w:val="auto"/>
                <w:kern w:val="0"/>
                <w:sz w:val="20"/>
                <w:szCs w:val="20"/>
                <w:highlight w:val="none"/>
                <w:lang w:bidi="ar"/>
              </w:rPr>
              <w:t>支持802.11ax标准，采用硬件独立的三射频设计整机支持6条流，整机最大接入速率≥3.267Gbps2个以太网口，其中1个10/100/1000M/2.5GE电口，另一个1个10/100/1000M电口支持1个10/100/1000M以太网端口对外供电，扩展物联网模块支持蓝牙5.0（内置）。AP在5G频段VHT160 Wi-Fi 6时单用户上下行性能不低于2.2Gbps。</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64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室外定向AP</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20"/>
                <w:szCs w:val="20"/>
                <w:highlight w:val="none"/>
              </w:rPr>
            </w:pPr>
            <w:r>
              <w:rPr>
                <w:rFonts w:ascii="宋体" w:hAnsi="宋体" w:cs="宋体"/>
                <w:color w:val="auto"/>
                <w:kern w:val="0"/>
                <w:sz w:val="20"/>
                <w:szCs w:val="20"/>
                <w:highlight w:val="none"/>
                <w:lang w:bidi="ar"/>
              </w:rPr>
              <w:t>射频设计双路双频设计，其中一路射频支持2.4G/5G频段灵活切换：Radio1：2.4G 11ax/5G 11ax：2*2 MIMORadio2：5G 11ax：2*2 MIMO传输协议支持标准的802.11ax协议，可同时工作在802.11ax和802.11a/b/g/n/ac模式工作频段；整机4条空间流，2.4G频段最高支持2条空间流，5G频段最高支持4条空间流传输速率整机最大接入速率2.4GbpsRadio1：5G 1.2GbpsRadio2：5G 1.2Gbps 2.4G + 5G工作模式时，整机最大接入速率1.775Gbps环境工作温度：-40°C～65°C存储温度：-40°C～85°C工作湿度：0％～100％（无凝结）存储湿度：0％～100％（无凝结）</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4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POE供电模块</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20"/>
                <w:szCs w:val="20"/>
                <w:highlight w:val="none"/>
              </w:rPr>
            </w:pPr>
            <w:r>
              <w:rPr>
                <w:rFonts w:ascii="宋体" w:hAnsi="宋体" w:cs="宋体"/>
                <w:color w:val="auto"/>
                <w:kern w:val="0"/>
                <w:sz w:val="20"/>
                <w:szCs w:val="20"/>
                <w:highlight w:val="none"/>
                <w:lang w:bidi="ar"/>
              </w:rPr>
              <w:t>单端口以太网供电适配器（千兆端口、支持802.3at协议标准供电）支持802.3at/802.3af供电；适用市场全品牌可802.3at/802.3af供电模式AP无线接入点；输入：110-240V~0.75A MAX 50/60Hz；输出：53V</w:t>
            </w:r>
            <w:r>
              <w:rPr>
                <w:rStyle w:val="25"/>
                <w:color w:val="auto"/>
                <w:highlight w:val="none"/>
                <w:lang w:bidi="ar"/>
              </w:rPr>
              <w:t>⎓</w:t>
            </w:r>
            <w:r>
              <w:rPr>
                <w:rStyle w:val="34"/>
                <w:color w:val="auto"/>
                <w:highlight w:val="none"/>
                <w:lang w:bidi="ar"/>
              </w:rPr>
              <w:t>0.6A +（4，5）pins，-（7，8）pins</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68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无线控制器（含112个授权）</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固化千兆电口≥8个，固化千兆光口≥1个，设备固化万兆光口≥1个，内部实配硬盘插槽，且实配硬盘容量≥1T；本次配置可管理AP数量≥112个，最大可管理AP数≥1000个；设备可配置AP的本地数据转发技术模式；支持内置portal认证页面定制，有专业知识的人员可以定义任何页面，做到完全自定义包上传；对Wall AP可支持的容量翻倍；</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1 </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0"/>
                <w:szCs w:val="20"/>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弱电设备网</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74"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核心交换机主机</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整机独立主控引擎插槽≥2个，独立业务插槽≥3个，风扇≥2个，电源槽位≥2个；交换容量≥162Tbps，包转发性能≥36760Mpps，若所投设备支持独立交换网板，需满配交换网板以保障其性能；支持能效以太网功能(EEE)， IEEE 802.3az；支持虚拟化技术，可将多台物理设备虚拟化为1台逻辑设备，虚拟组内设备具备统一的二层及三层转发表项，统一的管理界面；所投产品支持防雷等级≥6KV；为提高设备面板空间利用率，要求采用高密度端口设计，单张业务卡最大可用物理端口≥52个；支持多对一镜像,基于流的镜像，一对多镜像。支持SPAN、RSPAN远程镜像，支持VLAN的镜像；支持IPv6静态路由、RIPng、OSPF vBGP4+ 等路由协议；采用模块化操作系统，支持多进程备份及ISSU不中断业务升级特性；本次配置：双引擎双电源，48光+48电+8万兆光</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主控引擎</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引擎模块</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交流电源模块</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电源模块（交流，300W）</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接口业务板卡</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≥24端口千兆以太网电口(RJ45)，≥24端口千兆以太网光口(SFP,LC)，≥4端口万兆以太网光口(SFP+,LC)，不包含引擎和交换板上的接口</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单模光模块</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单模模块-(1310nm,10km)</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34</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24口接入层交换机</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交换容量≥3.36Tbps，转发性能≥126Mpps；固化10/100/1000M以太网端口≥24，非复用SFP千兆光接口≥4个；设备MAC地址≥16K；支持1对1对多、多对1和基于流的镜像；且支持RSPAN和ERSPAN；产品端口浪涌抗扰度≥10KV（即具备10KV的防雷能力），支持IEEE 802.3az标准的EEE节能技术</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48口接入层交换机</w:t>
            </w:r>
          </w:p>
        </w:tc>
        <w:tc>
          <w:tcPr>
            <w:tcW w:w="36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交换容量≥4.32Tbps，转发性能≥166Mpps；固化10/100/1000M以太网端口≥48，非复用SFP千兆光接口≥4个；要求所投设备MAC地址≥16K；设备支持1对1对多、多对1和基于流的镜像；且支持RSPAN和ERSPAN；支持IEEE 802.3az标准的EEE节能技术；产品端口浪涌抗扰度≥10KV（即具备10KV的防雷能力）；</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华为、华三、锐捷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bl>
    <w:p>
      <w:pPr>
        <w:spacing w:line="360" w:lineRule="auto"/>
        <w:rPr>
          <w:rFonts w:ascii="宋体" w:hAnsi="宋体" w:cs="宋体"/>
          <w:b/>
          <w:color w:val="auto"/>
          <w:sz w:val="20"/>
          <w:szCs w:val="20"/>
          <w:highlight w:val="none"/>
        </w:rPr>
        <w:sectPr>
          <w:pgSz w:w="11906" w:h="16838"/>
          <w:pgMar w:top="1247" w:right="1191" w:bottom="1134" w:left="1191" w:header="851" w:footer="851" w:gutter="0"/>
          <w:cols w:space="720" w:num="1"/>
          <w:docGrid w:type="linesAndChars" w:linePitch="312" w:charSpace="0"/>
        </w:sectPr>
      </w:pPr>
    </w:p>
    <w:tbl>
      <w:tblPr>
        <w:tblStyle w:val="13"/>
        <w:tblW w:w="0" w:type="auto"/>
        <w:tblInd w:w="96" w:type="dxa"/>
        <w:tblLayout w:type="fixed"/>
        <w:tblCellMar>
          <w:top w:w="0" w:type="dxa"/>
          <w:left w:w="108" w:type="dxa"/>
          <w:bottom w:w="0" w:type="dxa"/>
          <w:right w:w="108" w:type="dxa"/>
        </w:tblCellMar>
      </w:tblPr>
      <w:tblGrid>
        <w:gridCol w:w="633"/>
        <w:gridCol w:w="1567"/>
        <w:gridCol w:w="3893"/>
        <w:gridCol w:w="1061"/>
        <w:gridCol w:w="596"/>
        <w:gridCol w:w="598"/>
        <w:gridCol w:w="731"/>
      </w:tblGrid>
      <w:tr>
        <w:tblPrEx>
          <w:tblCellMar>
            <w:top w:w="0" w:type="dxa"/>
            <w:left w:w="108" w:type="dxa"/>
            <w:bottom w:w="0" w:type="dxa"/>
            <w:right w:w="108" w:type="dxa"/>
          </w:tblCellMar>
        </w:tblPrEx>
        <w:trPr>
          <w:trHeight w:val="273" w:hRule="atLeast"/>
        </w:trPr>
        <w:tc>
          <w:tcPr>
            <w:tcW w:w="9079" w:type="dxa"/>
            <w:gridSpan w:val="7"/>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auto"/>
                <w:sz w:val="24"/>
                <w:szCs w:val="24"/>
                <w:highlight w:val="none"/>
              </w:rPr>
            </w:pPr>
            <w:r>
              <w:rPr>
                <w:rFonts w:hint="eastAsia" w:ascii="宋体" w:hAnsi="宋体" w:cs="宋体"/>
                <w:b/>
                <w:bCs/>
                <w:color w:val="auto"/>
                <w:kern w:val="0"/>
                <w:sz w:val="18"/>
                <w:szCs w:val="18"/>
                <w:highlight w:val="none"/>
                <w:lang w:bidi="ar"/>
              </w:rPr>
              <w:t>数字化校园广播系统设备清单</w:t>
            </w:r>
          </w:p>
        </w:tc>
      </w:tr>
      <w:tr>
        <w:tblPrEx>
          <w:tblCellMar>
            <w:top w:w="0" w:type="dxa"/>
            <w:left w:w="108" w:type="dxa"/>
            <w:bottom w:w="0" w:type="dxa"/>
            <w:right w:w="108" w:type="dxa"/>
          </w:tblCellMar>
        </w:tblPrEx>
        <w:trPr>
          <w:trHeight w:val="383" w:hRule="atLeast"/>
        </w:trPr>
        <w:tc>
          <w:tcPr>
            <w:tcW w:w="9079"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24"/>
                <w:szCs w:val="24"/>
                <w:highlight w:val="none"/>
              </w:rPr>
            </w:pPr>
            <w:r>
              <w:rPr>
                <w:rFonts w:hint="eastAsia" w:ascii="宋体" w:hAnsi="宋体" w:cs="宋体"/>
                <w:b/>
                <w:bCs/>
                <w:color w:val="auto"/>
                <w:kern w:val="0"/>
                <w:sz w:val="18"/>
                <w:szCs w:val="18"/>
                <w:highlight w:val="none"/>
                <w:lang w:bidi="ar"/>
              </w:rPr>
              <w:t>子系统名称：数字化校园广播</w:t>
            </w:r>
          </w:p>
        </w:tc>
      </w:tr>
      <w:tr>
        <w:tblPrEx>
          <w:tblCellMar>
            <w:top w:w="0" w:type="dxa"/>
            <w:left w:w="108" w:type="dxa"/>
            <w:bottom w:w="0" w:type="dxa"/>
            <w:right w:w="108" w:type="dxa"/>
          </w:tblCellMar>
        </w:tblPrEx>
        <w:trPr>
          <w:trHeight w:val="207"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序号</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设备名称</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技术参数</w:t>
            </w:r>
          </w:p>
        </w:tc>
        <w:tc>
          <w:tcPr>
            <w:tcW w:w="1061"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推荐品牌</w:t>
            </w:r>
          </w:p>
        </w:tc>
        <w:tc>
          <w:tcPr>
            <w:tcW w:w="596"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单位</w:t>
            </w:r>
          </w:p>
        </w:tc>
        <w:tc>
          <w:tcPr>
            <w:tcW w:w="598"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 xml:space="preserve">数量 </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b/>
                <w:bCs/>
                <w:color w:val="auto"/>
                <w:sz w:val="20"/>
                <w:szCs w:val="20"/>
                <w:highlight w:val="none"/>
              </w:rPr>
            </w:pPr>
            <w:r>
              <w:rPr>
                <w:rFonts w:hint="eastAsia"/>
                <w:b/>
                <w:bCs/>
                <w:color w:val="auto"/>
                <w:sz w:val="20"/>
                <w:szCs w:val="20"/>
                <w:highlight w:val="none"/>
              </w:rPr>
              <w:t>备注</w:t>
            </w:r>
          </w:p>
        </w:tc>
      </w:tr>
      <w:tr>
        <w:tblPrEx>
          <w:tblCellMar>
            <w:top w:w="0" w:type="dxa"/>
            <w:left w:w="108" w:type="dxa"/>
            <w:bottom w:w="0" w:type="dxa"/>
            <w:right w:w="108" w:type="dxa"/>
          </w:tblCellMar>
        </w:tblPrEx>
        <w:trPr>
          <w:trHeight w:val="358" w:hRule="atLeast"/>
        </w:trPr>
        <w:tc>
          <w:tcPr>
            <w:tcW w:w="220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一、广播室设备</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
                <w:bCs/>
                <w:color w:val="auto"/>
                <w:sz w:val="18"/>
                <w:szCs w:val="18"/>
                <w:highlight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54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网络远程寻呼站</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嵌入式互联网+智慧云音视频应急广播寻呼分控话筒软件配套使用；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10.1英寸真彩色屏，触控操作，人性化人机操作界面，简单快捷；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采用Linux系统，高端六核64位高性能ARM芯片，内存2GB，缓存8GB高速固态EMMC， 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电路设计多重保全功能：电源电压监控，电流限流，终端意外死机自动重启，多重防雷，防静电损坏，确保全天候无故障工作；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防电磁干扰设计，防潮工艺，器件严格选材，满足-20℃～70℃条件下工作；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具有红色紧急预警按钮，当有紧急突发事件时，按下此按钮就及时启动广播预警；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支持点播本媒体库节目，支持通过话筒广播呼叫功能，广播延时低于50毫秒；</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支持多种呼叫策略，包括呼叫等待、呼叫转移、无人接听提醒；自动接听、手动接听，支持自定义接听提示音，支持转移时间、无人接听时间、呼叫等待时间自定义；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支持监看终端绑定摄像头图像；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支持地图显示终端位置，状态；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具有与各终端、互联网+智慧云音视频应急广播寻呼分控话筒实现双向对讲功能；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内置高保真3W/8Ω全频监听喇叭，实现网络监听；</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具有采播本机U盘MP3、线路、话筒等音源向指定终端广播功能；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具有本机点播平台媒体库音源向指定终端广播功能；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具有实时时钟显示并支持自动校准时间功能；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具有设置、修改本机IP地址功能；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具有待机界面支持界面调节监听音量功能；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具有数字密码保护功能，输入密码才能进入菜单操作；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具有USB2.0/USB3.0插口，支持U盘播放；</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具有外接触摸设备接口，；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具有HDMI接口，可外接大尺寸屏幕，扩展显示区域；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具有RS232接口，方便外控外部设备；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具有1路3.5音频输入接口（可扩展外置节目源，支持采集播放功能）灵敏度可调和1路3.5音频输出接口（可接有源音箱，扩展监听功率）；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具有1路短路输出接口、1路短路输入接口（功能可编辑）；</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配置高指向拾音麦克风，保证通话清晰无干扰；（灯环提示，抗手机、电磁、高频干扰）</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068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网络监听音箱</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内置5.5寸中低音+3寸高音高保真喇叭单元，额定功率：30W，音质清晰优美；</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内置高保真D类2*50W功放电路，音质细腻，功率强劲；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双电源设计：核心板单独电源供电，确保电源不受影响，彻底分开数字地与模拟地，极大提高信噪比；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电路设计多重保全功能：电源电压监控，电流限流，终端意外死机自动重启，多重防雷，防静电损坏，确保全天候无故障工作；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1路音频功率输出，外接1个30W定阻音箱；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内置一路短路输入接口（功能可编辑，可任意设置触发方案和触发终端数量，音乐播放，联动输出，显示等）；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内置一路短路输出接口（便于控制其他设备）；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标准RJ45接口，有以太网口的地方即可接入，支持跨网段和跨路由；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设备电源采用开关电源设计，AC100~240V电压都能正常工作；</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适用多种网络环境：采用TCP、UDP、单播组播混合传输协议，在不同的场景自动切换，所有终端可跨路由，跨Internet网，音频容错编码技术在丢包20%的情况下也能正常工作；</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833"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IP网络广播主机</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15.6寸高亮度液晶触摸屏,人机交互友好直观；</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处理器：集成Intel  I5处理器；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千兆网口,6个USB，4个串口，最高扩展至6个串口；</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1路线路输入，1路话筒输入，1路线路输出，输入音量可调；</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1路短路输入/输出；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十点触摸，电容触控；,支持软键盘和鼠标键操作；</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触摸反应时间：&lt;5ms；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可外接VGA、HDMI大屏幕双屏显示应用；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支持系统windows2008/2012/2018，win7/win8/win10；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标准7U上架式安装、5mm工业铝面板机箱、防潮、抗震；</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前 面 板：符合NEMA4/IP65防护等级；</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材 质：高强度铝镁合金材质，坚固耐用，美观轻便；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表面处理：黑色，阳极氧化，拉丝工艺处理，散热效果佳。</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7118"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网络广播软件</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网络化设计，支持局域网，广域网，可跨路由，跨Internet，只要TCP/IP网络能到达的地方都可以使用；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支持windows2008/2012/win7/win10/LUNIX/国产麒麟系统；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单个区域服务器支持5000个终端同时在线，支持3000个以上终端同时播放不同的节目；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控制指令采用TCP传输，确保数据可靠接收不丢包，音视频流采用UDP传输，确保数据的实时性，实时音频延时&lt;50ms，视频延时&lt;80ms；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网络丢包率小于20%可正常使用。可自动处理掉包，重复包，乱序包等网络传输问题（而其它厂家产品对于复杂网络环境的容错处理比较少，网络丢包率大于5%就卡顿，无声，无法使用）；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寻呼、采播音频支持多种格式，最高可达CD音质，占用带宽最小可达20kbps，在局域网中达到最好的音视频质量，在INTERNET中占用最小带宽传输保证在恶劣的网络环境中正常使用；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支持第三方平台嵌入式开发：与监控系统配合，可由监控系统控制通话开关， 或通话时自动切换监控画面；实现与大系统、大平台的系统整合。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精确同步，各终端间播放误差&lt;50ms；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平台支持离线备份功能，内置2G EMMC内存,256M DDR闪存，定时点在网络空闲状态时自动下载至到终端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平台支持播放多种格式MP3/MP4/MKV/FLAC/WAV(原文件播放，音质达到CD级）；</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节目直播：可通过IP播控台、本地模拟麦克风、电话、平板、手机播控APP等实现现场直播；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GIS地图操控：系统能直接接入GIS地图，直观地显示各广播终端所在的地理位置和设备工作状态的在线信息，能够快速精准查询定位广播终端位置及工作状态，并定时刷新显示节目；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视频指挥联动：兼容海康，大华第三方摄像头，接入视频平台，通过摄像头信号，联动控制广播终端，远程广播喊话、对讲；</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支持远程点播设备点播服务器媒体库功能，远程寻呼话筒可对全区、分区或任意终端点播媒体库节目；</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支持Android操作系统手机APP管理和操作，简单方便；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平台支持全区、分区、分组实时广播音频，视频文件和图文编辑与发布功能；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平台支持消防报警联动功能，可根据应急实际需求预先设置应急广播音源和区域，广播指令下达（物理按键按下、触发信号接入等）时，对应终端广播联动报警；</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平台支持多套定时方案广播功能，对终端进行定时广播设置，系统自动执行已设置好的定时点，实现无人值守；</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平台支持远程等方式对本地服务器媒体库音源导入；支持模拟音源实时输入，将模拟音源实时数字化，实现任意多路实时采播；</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平台支持将传统音频资源转换成数字节目存储到系统服务器的节目库中，方便用户任意使用，可连续无重复播放。</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951"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数控DVD</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微电脑控制，轻触式按键操作；</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高亮度动态VFD屏显示，清晰醒目；</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采用进口数码机芯，系统+ESS解码方案，超强的纠错功能；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播放 DVD SVCD DVCD VCD CD MP3 MP4 等碟片；</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设有地址拔码开关，设置本机地址，满足多台设备一起使用时的地址确认；</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有通讯控制接口（RJ45），能受控于控制主机实现多种自动播放模式：播放单曲、全部循环、循环单曲、停止播放等；</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电子抗震、防尘，支持USB盘MP3音乐播放。</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892"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数控调谐器</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标准机箱设计，2U铝合金面板，人性化的抽手设计，美观实用；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微电脑控制，轻触式按键操作；</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采用LCD液晶屏显示美观大方；</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立体声调频收音，电台频率记忆存储可达99个；</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电台频率自动搜索存储功能，且有断电记忆功能；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采用全数字CMOS工艺单晶片IC模组，接收灵敏度高，中频选择性好。接收频率精确稳定；</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设有地址拔码开关，设置本机地址，满足多台设备一起使用时的地址确认；</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有通讯控制接口（RJ45），能受控于控制主机实现自动选台播放等。</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8744"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节目定时器</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采用轻触式按键和一键飞梭操作，192*64大屏幕液晶显示，全中文与图形结合的操作菜单，操作简单方便;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带5进10出功率分区，每一个分区都设有独立的快捷控制键，实现编程自动或手动分区广播，可扩展分区到138路；</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内置6路编程受控电源，每一路电源都设有独立的快捷控制键，实现编程自动或手动控制，可扩展外控电源时序器；定时执行系统会自动提前打开系统电源，做到准时准点播放;</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内置MP3播放器，采用U盘或SD作为存储介质；可以无限扩展存储容量，可扩展外部音源受控DVD/收音机到10套音源同时播放;</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设有春、夏、秋、冬四套定时方案，每套定时方案有99个定时点，按星期重复运行。每个定时点可控制分区的音源选择、内部MP3、外部9种周边音源（CD、调谐器、卡座、DVD播放器）,4套定时方案可方便切换;</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实现消防联动，报警区域自动识别，即时激活报警系统，根据用户设置的消防触发点对应的分区或分组进行用户想要任何方式的自定义报警。报警复位转入正常广播;</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可与无线遥控接收器联机，遥控器预设12个可编程按键，可定制一键打开/关闭分区，选音源，选曲等。实现电源管理、分区控制、MP3播放等功能，遥控距离（开阔空间）可达1000米;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可同时级联多台可远程寻呼话筒，实现远程分控及远程寻呼功能；通过远程寻呼话筒实现分区、全区、电源、音源的控制，并实现远程寻呼、通知、事务性广播;</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支持RS232电脑接口，所有功能由电脑直接控制；</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电脑对主机编程、配制，再下载到主机，主机脱机运行，繁琐的编程变得简单方便；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停电自动保护，所有编辑程序内容不丢失，来电自动恢复运行；</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电脑对主机进行时间更新，使主机时间跟电脑时间保持同步。</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921"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前置放大器</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十路输入（5路话筒输入、3路线路输入、2路紧急输入），2个辅助输出口；</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5单位LED 电平表，甚易监察工作状态；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各输入通道音量独立调节；</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高音、低音独立调节；</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具有三级优先权设计：MIC1为最高优先级，紧急音频信号（EMC）为第二级，MIC2、3、4、5和线路（AUX1、AUX2、AUX3）为第三级；</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紧急音频信号输入时无音量调节，自动默音至-30d。</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24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桌面话筒</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外观美观实用，快速装拆式话筒插座，是为桌面及柜面使用而设计;</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微电脑控制，轻触电源开关操作按健;</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底座采用铝合金+陶瓷工艺，美观大方;</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内置钟声发生器,采用专业级钟声提示音音效电路技术;</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具体四声(西敏寺)前后奏音钟声提示功能;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具有电源（DC12V）与电池（DC9V）两种模式供电;</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可绕式电容麦克风杆，并具有发言指示光环;</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抗手机、电磁干扰。</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736"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网络语音编码终端</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2U标准机箱设计，豪华、高档的2U铝合金面板，美观实用；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内嵌数字网络广播模块软件和声频功率放大器软件配套使用；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采用liunx系统；高端4核ARM芯片，性能稳定，运行快捷；</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支持广播系统对终端进行远程固件升级，无需到终端本地升级，减轻维护人员工作强度。</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支持混音功能：终端播放音乐的同时对终端喊话，音乐播放不会停止自动压低音乐音量；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采用PCM音频解码方案，高保真；</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接收平台指令和音频信号，支持平台远程控制音量；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支持平台对本机进行权限设置与管理</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支持状态回传，可将本机播放、工作状态回传至平台；</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支持平台对本机进行权限设置与管理；</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内置一路短路输入接口（功能可编辑，可任意设置触发方案各触发终端数量，音乐播放，联动输出，显示等）；</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两路话筒输入，独立音量调节（其中话筒1具有幻象电源开关，可以给幻象电源话筒供电）；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一路本地线路输入，独立音量调节（本地线路和蓝牙音量共用一个音量电位器）；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高，低音调节，根据现场环境需需求调节最适合的声音；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总音量调节，适用于本地广播功能；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三级优先功能：话筒1具有最高优先级（话筒讲话时完全优先本地线路输入，对网络信号衰10DB,防止在讲话过程中漏掉网络发布的重要通知），网络信号具有第二优先功能，本地线路，话筒2第三优先功能；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5段LED电平显示：可显示采播信号强度，失真状态；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8097"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网络报警矩阵</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高档铝质黑色拉丝面板，美观大方；</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采用Linux系统，性能稳定，运行快捷；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支持广播系统对终端进行远程固件升级，无需到终端本地升级，减轻维护人员工作强度；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32路网络报警输入，有信号输入时，相应通道指示灯亮；</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32+1路网络报警输出，低电平闭合信号，便于控制其它设备；</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报警信号优先，自动强插；</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支持全开和全闭两种模式切换；</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可级联，消防路数随意扩展；</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支持后台设置报警策略，可为每路短路信号输入端口配置报警策略，关联联动的终端及播放曲目等功能。可根据不同地点设置相应报警铃声，使灾情清晰明朗；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支持手动和自动报警功能；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支持N±0～N±4邻层报警功能；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自动发送报警信息到服务器，执行播放任务（支持邻层/全区报警）；</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消防警报智能化接口，紧急报警信号功能；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报警声音文件预存在服务器中，不需外接报警音源；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32分区自动激活，可任意扩展至无限区；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支持DHCP，兼容路由器、交换机、网桥网关、Internet、组播、单播等任意网络结构；</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74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24口千兆交换机</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交换容量≥335Gbps, 包转发率≥50Mpps，以官网最小值为准；千兆电口≥24个,千兆光口≥4个；配置标准USB接口，支持U盘快速开局；MAC地址表≥16K，支持ARP表项≥4K，支持IPv4 FIB表项≥4K；支持MUX VLAN功能，支持基于MAC/协议/IP子网/策略/端口的VLAN；支持RIP、RIPng、OSPF、OSPFv3；支持9KV业务端口防雷能力；支持G.8032以太环保护协议；支持能效以太网标准；支持MAC地址认证、Portal认证和802.1x认证，实现用户策略（VLAN、QoS、ACL）的动态下发；支持Telemetry技术，配合网络分析组件通过智能故障识别算法对网络数据进行分析，精准展现网络实时状态，并能及时有效地定界故障以及定位故障发生原因，发现影响用户体验的网络问题，精准保障用户体验；支持音视频业务的智能运维，将设备作为监控节点周期统计并上报音视频业务类指标参数至网络分析组件引擎，由网络分析组件引擎结合多个节点的监控结果，对音视频业务质量类故障进行快速界定；支持电口堆叠，提供官网说明；支持SVF／纵向虚拟化,以业务接口板的形式加入到核心设备中。</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华三、华为、锐捷</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86"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42U机柜</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1）、符合GB/T3047.2标准，兼容19〞国际标准全部采用优质冷轧钢板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2）、厚度：方孔条2.0mm，其他1.2mm，机柜表面采用先喷砂，后喷塑的表面处理工艺，保证机柜表面涂层的牢固可靠，耐酸碱、耐腐蚀、防静电</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3）、前门采用5mm厚钢化玻璃，高级旋把门锁，美观大方，可拆卸的左右侧门，方便安装调试，可同时安装脚轮和支撑脚，方便移动，结构坚固，承载达500Kg</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4）、风机单元的外壳采用一次成型技术，有效减少风机的震动，提高风机单元的使用寿命，风机单元采用独立电源线，方便维护</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5）、增强型固定托盘，底部附有加强筋，承载达100Kg</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6）、高度：42U，深度：600mm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7）、颜色：黑色，门板：玻璃门。</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一舟、清华同方、德塔森特</w:t>
            </w:r>
          </w:p>
        </w:tc>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83" w:hRule="atLeast"/>
        </w:trPr>
        <w:tc>
          <w:tcPr>
            <w:tcW w:w="220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二、分控室设备</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
                <w:bCs/>
                <w:color w:val="auto"/>
                <w:sz w:val="18"/>
                <w:szCs w:val="18"/>
                <w:highlight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98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分控电脑</w:t>
            </w:r>
          </w:p>
        </w:tc>
        <w:tc>
          <w:tcPr>
            <w:tcW w:w="38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auto"/>
                <w:sz w:val="18"/>
                <w:szCs w:val="18"/>
                <w:highlight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甲供，不在本次招标范围内，投标单位负责调试及系统适配</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286"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网络远程寻呼站</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嵌入式互联网+智慧云音视频应急广播寻呼分控话筒软件配套使用；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10.1英寸真彩色屏，触控操作，人性化人机操作界面，简单快捷；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采用Linux系统，高端六核64位高性能ARM芯片，内存2GB，缓存8GB高速固态EMMC， 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电路设计多重保全功能：电源电压监控，电流限流，终端意外死机自动重启，多重防雷，防静电损坏，确保全天候无故障工作；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防电磁干扰设计，防潮工艺，器件严格选材，满足-20℃～70℃条件下工作；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具有红色紧急预警按钮，当有紧急突发事件时，按下此按钮就及时启动广播预警；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支持点播本媒体库节目，支持通过话筒广播呼叫功能，广播延时低于50毫秒；</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支持多种呼叫策略，包括呼叫等待、呼叫转移、无人接听提醒；自动接听、手动接听，支持自定义接听提示音，支持转移时间、无人接听时间、呼叫等待时间自定义；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支持监看终端绑定摄像头图像；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支持地图显示终端位置，状态；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具有与各终端、互联网+智慧云音视频应急广播寻呼分控话筒实现双向对讲功能；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内置高保真3W/8Ω全频监听喇叭，实现网络监听；</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具有采播本机U盘MP3、线路、话筒等音源向指定终端广播功能；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具有本机点播平台媒体库音源向指定终端广播功能；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具有实时时钟显示并支持自动校准时间功能；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具有设置、修改本机IP地址功能；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具有待机界面支持界面调节监听音量功能；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具有数字密码保护功能，输入密码才能进入菜单操作；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具有USB2.0/USB3.0插口，支持U盘播放；</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具有外接触摸设备接口，；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具有HDMI接口，可外接大尺寸屏幕，扩展显示区域；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具有RS232接口，方便外控外部设备；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具有1路3.5音频输入接口（可扩展外置节目源，支持采集播放功能）灵敏度可调和1路3.5音频输出接口（可接有源音箱，扩展监听功率）；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具有1路短路输出接口、1路短路输入接口（功能可编辑）；</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配置高指向拾音麦克风，保证通话清晰无干扰；（灯环提示，抗手机、电磁、高频干扰）</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1009"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机架式网络音频终端</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2U标准机箱设计，豪华、高档的2U铝合金面板，美观实用；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内嵌数字网络广播模块软件和声频功率放大器软件配套使用；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采用liunx系统；高端4核ARM芯片，性能稳定，运行快捷；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电路设计多重保全功能：电源电压监控，电流限流，终端意外死机自动重启，多重防雷，防静电损坏，确保全天候无故障工作；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支持混音功能：终端播放音乐的同时对终端喊话，音乐播放不会停止自动压低音乐音量；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内置一路短路输入接口（功能可编辑，可任意设置触发方案各触发终端数量，音乐播放，联动输出，显示等）；                                                                                  两路话筒输入，独立音量调节（其中话筒1具有幻象电源开关，可以给幻象电源话筒供电）；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一路本地线路输入，独立音量调节（本地线路和蓝牙音量共用一个音量电位器）；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一路线路音频输出；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高，低音调节，根据现场环境需需求调节最适合的声音；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总音量调节，适用于本地广播功能；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274"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IP网络功放200W</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内嵌数字网络广播模块软件和声频功率放大器软件配套使用；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采用liunx系统；高端4核ARM芯片，性能稳定，运行快捷；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支持平台对本机进行权限设置与管理；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支持平台对本机分区、分组广播功能；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内置一路短路输入接口（功能可编辑，可任意设置触发方案各触发终端数量，音乐播放，联动输出，显示等）；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选配两路三线制音控强切输出口，无需强切电源，同时兼容四线制消防强切；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选配蓝牙模块，与手机蓝牙配对使用，可将手机上的音乐通过功放播放出来；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两路话筒输入，独立音量调节（其中话筒1具有幻象电源开关，可以给幻象电源话筒供电）；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一路本地线路输入，独立音量调节（本地线路和蓝牙音量共用一个音量电位器）；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一路线路音频输出；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2768"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IP网络功放300W</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内嵌数字网络广播模块软件和声频功率放大器软件配套使用；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采用liunx系统；高端4核ARM芯片，性能稳定，运行快捷；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支持平台对本机进行权限设置与管理；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支持平台对本机分区、分组广播功能；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内置一路短路输入接口（功能可编辑，可任意设置触发方案各触发终端数量，音乐播放，联动输出，显示等）；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选配两路三线制音控强切输出口，无需强切电源，同时兼容四线制消防强切；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选配蓝牙模块，与手机蓝牙配对使用，可将手机上的音乐通过功放播放出来；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两路话筒输入，独立音量调节（其中话筒1具有幻象电源开关，可以给幻象电源话筒供电）；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一路本地线路输入，独立音量调节（本地线路和蓝牙音量共用一个音量电位器）；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一路线路音频输出；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3568"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合并式功率放大器</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五路信号输入（三路话筒输入、二路线路输入）, 一个辅助输出口；</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具有500W定阻(4-16Ω)及定压（70V、100V）功率输出；；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各输入通道音量独立调节，高音、低音独立调节；</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MIC1自动默音设有调节开关，可调节范围：0到-30dB；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5单位LED 电平表,甚易监察工作状态；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具有完善的输出直流，过载, 短路和超温保护功能并告警；</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散热风扇强制启动。</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2598"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纯后级功率放大器</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6.35mm插口和 XLR 插口可方便地实现环接；</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具有1000W定阻(4-16Ω)及定压（70V、100V）功率输出；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输出音量可调节；</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7单位LED 电平表,甚易监察工作状态；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具有完善的输出直流，过载, 短路和超温保护功能并告警；</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散热风扇强制启动。</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5186"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12路调音台</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输入方式：8路话筒卡龙母，4路莲花;</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输出方式：主声道双声道平衡、6.35插座;</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单声道输入配备高品质话筒放大器;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功能：高中低音调节，话筒48V供电选择，录音输出，2编组输出，2路辅助输出，数码混响;</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备有录音输入输出功能;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产品参数:</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最大输出电平:19dBm(1KHz,THD=0.5%);</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剩余噪声：-75dB;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信噪比：71dB;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等效噪声源输入电动势：-12dBm;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均衡： 低频：80Hz±15dB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         中频2.5KHz±15dB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         高频：12KHz±15dB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增益控制：单声道：-55dB～0 dB。立体声：-10dB～0dB;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频率响应：80Hz～15KHz（+1dB,-3dB);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总谐波失真+噪声：≤0.05%（1KHz，0.775V）;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输入电压： 220V；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重量：5.57Kg；</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尺寸：443X400X45mm。</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5833"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无线手持话筒一拖二</w:t>
            </w:r>
          </w:p>
        </w:tc>
        <w:tc>
          <w:tcPr>
            <w:tcW w:w="38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采用世界先进的DPLL数字锁相环多信道频率合成技术及杂讯自动控制技术（带导频）。</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使用UHF630MHz~680MHz频段，避免干扰频率；</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语音压缩扩展电路，极大地提高信噪比,独特的语音压限器设计，歌手使劲唱歌都不会出现裂音；</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采用最新型的高频声表面滤波器，最大限度地滤除带外干扰信号；</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真分集式接收电路，保证有效距离内不断迅，消除死角；使用高增益天线，有效开阔使用距离可达100米完备的输入输出接口，方便连接各种设备；</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装备高亮度LCD显示屏，可动态显示系统信号、音量、通道、频点数值；</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采用二次变频的高频电路设计，具有极高的灵敏度；</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语音压缩扩展电路，极大地提高信噪比，独特的语音压限器设计；</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高保真音色,独特的干扰噪音静噪功能；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具有独立接收灵敏度调节功能，可对系统输出信号人性化调节，可初始化音频调节；</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6803"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信号放大器（防水）</w:t>
            </w:r>
          </w:p>
        </w:tc>
        <w:tc>
          <w:tcPr>
            <w:tcW w:w="38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专业无线放大器（无线天线放大器），是针对无线麦克风接收距离短而设计，具有接收距离远，信号稳定等功能。适合UHF无线麦500KHZ---950KHZ使用；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为UHF频段500-950MHz的无线系统提供2合1式的高增益的接收能力，而接收频带已覆盖整个UHF电视通道；</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对装式的定向天线设计，为分集式UHF无线话筒系统提供理想的远距离和稳定的接收表现；</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设计于需要远距离接收和发射的应用，如体育场馆,演唱会、剧场、及大型演出场所；或一些会阻挡视线及接收的环境；</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另外，天线可轻易稳固的安装；同时亦可容易地拆除，方便携带；</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八通道低损耗天线分配电路设计，4套单频道自动选讯接收机可共同一对天线；TNC 接头，保证连接的可靠性；</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低噪放大电路设计。</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产品参数:</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输入截断点+22dBm；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噪声比4.0dB Type(Center Band)；</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增益+6-9dB(Center Band)；</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输出阻抗15dB min；</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阻抗50Ω；</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插座TNC femal；</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电源供应100-240V/50/60Hz；</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电源消耗170mA；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天线放大器；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天线输入阻抗：50Ω；</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天线输出阻抗：50Ω；</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天线输入插座：TNC；</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天线输出插座：TNC；</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增益：13dB；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带宽：400MHz；</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2598"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有源指向性天线</w:t>
            </w:r>
          </w:p>
        </w:tc>
        <w:tc>
          <w:tcPr>
            <w:tcW w:w="38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指向性天线；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天线输入阻抗：50Ω；</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天线输出阻抗：50Ω；</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天线输入插座：TNC；</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天线输出插座：TNC；</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增益：3dB；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带宽：40MHz；</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供电电流:12-18V 100mA。</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527"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室外60W防水音柱</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定压输入：70V/100V  额定功率：60W</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527"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13</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室外120W防水音柱</w:t>
            </w:r>
          </w:p>
        </w:tc>
        <w:tc>
          <w:tcPr>
            <w:tcW w:w="38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定压输入：70V/100V  额定功率：120W</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527"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草坪音箱</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定压输入：100V  额定功率：20W</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527"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室外音柱立杆</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室外2.5米立杆</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根</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5509"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24口千兆交换机</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18"/>
                <w:szCs w:val="18"/>
                <w:highlight w:val="none"/>
                <w:lang w:bidi="ar"/>
              </w:rPr>
              <w:t>交换容量≥335Gbps, 包转发率≥50Mpps，以官网最小值为准；千兆电口≥24个,千兆光口≥4个；配置标准USB接口，支持U盘快速开局；MAC地址表≥16K，支持ARP表项≥4K，支持IPv4 FIB表项≥4K；支持MUX VLAN功能，支持基于MAC/协议/IP子网/策略/端口的VLAN；支持RIP、RIPng、OSPF、OSPFv3；支持9KV业务端口防雷能力；支持G.8032以太环保护协议；支持能效以太网标准；支持MAC地址认证、Portal认证和802.1x认证，实现用户策略（VLAN、QoS、ACL）的动态下发；支持Telemetry技术，配合网络分析组件通过智能故障识别算法对网络数据进行分析，精准展现网络实时状态，并能及时有效地定界故障以及定位故障发生原因，发现影响用户体验的网络问题，精准保障用户体验；支持音视频业务的智能运维，将设备作为监控节点周期统计并上报音视频业务类指标参数至网络分析组件引擎，由网络分析组件引擎结合多个节点的监控结果，对音视频业务质量类故障进行快速界定；支持电口堆叠，提供官网说明；支持SVF／纵向虚拟化,以业务接口板的形式加入到核心设备中。</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华三、华为、锐捷</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86"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17</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42U机柜</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1）、符合GB/T3047.2标准，兼容19〞国际标准全部采用优质冷轧钢板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2）、厚度：方孔条2.0mm，其他1.2mm，机柜表面采用先喷砂，后喷塑的表面处理工艺，保证机柜表面涂层的牢固可靠，耐酸碱、耐腐蚀、防静电</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3）、前门采用5mm厚钢化玻璃，高级旋把门锁，美观大方，可拆卸的左右侧门，方便安装调试，可同时安装脚轮和支撑脚，方便移动，结构坚固，承载达500Kg</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4）、风机单元的外壳采用一次成型技术，有效减少风机的震动，提高风机单元的使用寿命，风机单元采用独立电源线，方便维护</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5）、增强型固定托盘，底部附有加强筋，承载达100Kg</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6）、高度：42U，深度：600mm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7）、颜色：黑色，门板：玻璃门。</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一舟、清华同方、德塔森特</w:t>
            </w:r>
          </w:p>
        </w:tc>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315" w:hRule="atLeast"/>
        </w:trPr>
        <w:tc>
          <w:tcPr>
            <w:tcW w:w="220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三、后端设备</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
                <w:bCs/>
                <w:color w:val="auto"/>
                <w:sz w:val="18"/>
                <w:szCs w:val="18"/>
                <w:highlight w:val="none"/>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834"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IP网络功放100W</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内嵌数字网络广播模块软件和声频功率放大器软件配套使用；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采用liunx系统；高端4核ARM芯片，性能稳定，运行快捷；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支持平台对本机进行权限设置与管理；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支持平台对本机分区、分组广播功能；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内置一路短路输入接口（功能可编辑，可任意设置触发方案各触发终端数量，音乐播放，联动输出，显示等）；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选配两路三线制音控强切输出口，无需强切电源，同时兼容四线制消防强切；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选配蓝牙模块，与手机蓝牙配对使用，可将手机上的音乐通过功放播放出来；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两路话筒输入，独立音量调节（其中话筒1具有幻象电源开关，可以给幻象电源话筒供电）；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一路本地线路输入，独立音量调节（本地线路和蓝牙音量共用一个音量电位器）；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一路线路音频输出；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971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IP网络功放200W</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内嵌数字网络广播模块软件和声频功率放大器软件配套使用；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采用liunx系统；高端4核ARM芯片，性能稳定，运行快捷；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支持平台对本机进行权限设置与管理；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支持平台对本机分区、分组广播功能；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内置一路短路输入接口（功能可编辑，可任意设置触发方案各触发终端数量，音乐播放，联动输出，显示等）；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选配两路三线制音控强切输出口，无需强切电源，同时兼容四线制消防强切；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选配蓝牙模块，与手机蓝牙配对使用，可将手机上的音乐通过功放播放出来；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两路话筒输入，独立音量调节（其中话筒1具有幻象电源开关，可以给幻象电源话筒供电）；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一路本地线路输入，独立音量调节（本地线路和蓝牙音量共用一个音量电位器）；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一路线路音频输出；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1304"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IP网络功放</w:t>
            </w:r>
            <w:r>
              <w:rPr>
                <w:rStyle w:val="19"/>
                <w:rFonts w:hint="default"/>
                <w:color w:val="auto"/>
                <w:highlight w:val="none"/>
                <w:lang w:bidi="ar"/>
              </w:rPr>
              <w:t>300W</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内嵌数字网络广播模块软件和声频功率放大器软件配套使用；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采用liunx系统；高端4核ARM芯片，性能稳定，运行快捷；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支持平台对本机进行权限设置与管理；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支持平台对本机分区、分组广播功能；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内置一路短路输入接口（功能可编辑，可任意设置触发方案各触发终端数量，音乐播放，联动输出，显示等）；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选配两路三线制音控强切输出口，无需强切电源，同时兼容四线制消防强切；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选配蓝牙模块，与手机蓝牙配对使用，可将手机上的音乐通过功放播放出来；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两路话筒输入，独立音量调节（其中话筒1具有幻象电源开关，可以给幻象电源话筒供电）；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一路本地线路输入，独立音量调节（本地线路和蓝牙音量共用一个音量电位器）；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一路线路音频输出；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3384"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IP网络功放400W</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内嵌数字网络广播模块软件和声频功率放大器软件配套使用；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采用liunx系统；高端4核ARM芯片，性能稳定，运行快捷；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支持平台对本机进行权限设置与管理；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支持平台对本机分区、分组广播功能；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内置一路短路输入接口（功能可编辑，可任意设置触发方案各触发终端数量，音乐播放，联动输出，显示等）；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选配两路三线制音控强切输出口，无需强切电源，同时兼容四线制消防强切；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选配蓝牙模块，与手机蓝牙配对使用，可将手机上的音乐通过功放播放出来；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两路话筒输入，独立音量调节（其中话筒1具有幻象电源开关，可以给幻象电源话筒供电）；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一路本地线路输入，独立音量调节（本地线路和蓝牙音量共用一个音量电位器）；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一路线路音频输出；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971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IP网络功放700W</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内嵌数字网络广播模块软件和声频功率放大器软件配套使用；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采用liunx系统；高端4核ARM芯片，性能稳定，运行快捷；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支持平台对本机进行权限设置与管理；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支持平台对本机分区、分组广播功能；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内置一路短路输入接口（功能可编辑，可任意设置触发方案各触发终端数量，音乐播放，联动输出，显示等）；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选配两路三线制音控强切输出口，无需强切电源，同时兼容四线制消防强切；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选配蓝牙模块，与手机蓝牙配对使用，可将手机上的音乐通过功放播放出来；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两路话筒输入，独立音量调节（其中话筒1具有幻象电源开关，可以给幻象电源话筒供电）；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一路本地线路输入，独立音量调节（本地线路和蓝牙音量共用一个音量电位器）；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一路线路音频输出；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657"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避雷器</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设有4组独立输入、输出通道，每组通道70—100V，20A；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可防止雷电击入系统设备；</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有雷电击入时自动切断输出；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自动将雷电经安全地线网络引入大地；</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1组告警输出0V(短路)；</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具有广播系统的雷电保护、过压保护、漏电保护功能；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2种LED直观显示机器的工作状态:(正常运行、故障保护)；</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防雷等级：满足IEC529/EN60 529的保护等级：IP20；</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用于户外广播线路防止雷电击入系统的配套保护设备。</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657"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走廊吸顶</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定压输入：70V/100V  额定功率：3W/6W，开孔尺寸150mm，最大声压级97dB</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110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527"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走廊壁挂</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定压输入：70V/100V  额定功率：10W</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9391"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教室IP壁挂音箱</w:t>
            </w:r>
          </w:p>
        </w:tc>
        <w:tc>
          <w:tcPr>
            <w:tcW w:w="38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内置5.5寸中低音+3寸高音高保真喇叭单元，额定功率：30W，音质清晰优美；</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内置高保真D类2*60W功放电路，音质细腻，功率强劲；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双电源设计：核心板单独电源供电，确保电源不受影响，彻底分开数字地与模拟地，极大提高信噪比；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电路设计多重保全功能：电源电压监控，电流限流，终端意外死机自动重启，多重防雷，防静电损坏，确保全天候无故障工作；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每个设备自带二维码身份信息，通过手机APP扫描后可直接现场修改设备设备名称，设备定位等操作（不需要把设备拉回机房一一配置，极大缩短设备调试周期）；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标配离线备份功能，内置2G EMMC内存,256M DDR闪存，定时点在网络空闲状态时自动下载至到内存，点播的节目边播放边存储，系统会根据播放的频率和最后一次播放的节目通过综合算法来保证内存有足够的空间，网络不通时正常播放定时点节目，保存内存后再次播放不再占用流量；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1路音频功率输出，外接1个30W定阻音箱；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设有一路RS232接口，方便控制外设；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内置一路短路输入接口（功能可编辑，可任意设置触发方案和触发终端数量，音乐播放，联动输出，显示等）；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内置一路短路输出接口（便于控制其他设备）；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标准RJ45接口，有以太网口的地方即可接入，支持跨网段和跨路由；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设备电源采用开关电源设计，AC100~240V电压都能正常工作；</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适用多种网络环境：采用TCP、UDP、单播组播混合传输协议，在不同的场景自动切换，所有终端可跨路由，跨Internet网，音频容错编码技术在丢包20%的情况下也能正常工作；</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内置网络隔离防雷处理电路；</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r>
        <w:tblPrEx>
          <w:tblCellMar>
            <w:top w:w="0" w:type="dxa"/>
            <w:left w:w="108" w:type="dxa"/>
            <w:bottom w:w="0" w:type="dxa"/>
            <w:right w:w="108" w:type="dxa"/>
          </w:tblCellMar>
        </w:tblPrEx>
        <w:trPr>
          <w:trHeight w:val="538"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室外60W防水音柱</w:t>
            </w:r>
          </w:p>
        </w:tc>
        <w:tc>
          <w:tcPr>
            <w:tcW w:w="38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定压输入：70V/100V  额定功率：60W</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ITC、DSPPA、TOG</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3"/>
        <w:tblW w:w="0" w:type="auto"/>
        <w:tblInd w:w="96" w:type="dxa"/>
        <w:tblLayout w:type="fixed"/>
        <w:tblCellMar>
          <w:top w:w="0" w:type="dxa"/>
          <w:left w:w="108" w:type="dxa"/>
          <w:bottom w:w="0" w:type="dxa"/>
          <w:right w:w="108" w:type="dxa"/>
        </w:tblCellMar>
      </w:tblPr>
      <w:tblGrid>
        <w:gridCol w:w="484"/>
        <w:gridCol w:w="1492"/>
        <w:gridCol w:w="3488"/>
        <w:gridCol w:w="1808"/>
        <w:gridCol w:w="632"/>
        <w:gridCol w:w="584"/>
        <w:gridCol w:w="711"/>
      </w:tblGrid>
      <w:tr>
        <w:tblPrEx>
          <w:tblCellMar>
            <w:top w:w="0" w:type="dxa"/>
            <w:left w:w="108" w:type="dxa"/>
            <w:bottom w:w="0" w:type="dxa"/>
            <w:right w:w="108" w:type="dxa"/>
          </w:tblCellMar>
        </w:tblPrEx>
        <w:trPr>
          <w:trHeight w:val="515" w:hRule="atLeast"/>
        </w:trPr>
        <w:tc>
          <w:tcPr>
            <w:tcW w:w="9199" w:type="dxa"/>
            <w:gridSpan w:val="7"/>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监控系统设备清单</w:t>
            </w:r>
          </w:p>
        </w:tc>
      </w:tr>
      <w:tr>
        <w:tblPrEx>
          <w:tblCellMar>
            <w:top w:w="0" w:type="dxa"/>
            <w:left w:w="108" w:type="dxa"/>
            <w:bottom w:w="0" w:type="dxa"/>
            <w:right w:w="108" w:type="dxa"/>
          </w:tblCellMar>
        </w:tblPrEx>
        <w:trPr>
          <w:trHeight w:val="515" w:hRule="atLeast"/>
        </w:trPr>
        <w:tc>
          <w:tcPr>
            <w:tcW w:w="9199" w:type="dxa"/>
            <w:gridSpan w:val="7"/>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子系统名称：监控系统</w:t>
            </w:r>
          </w:p>
        </w:tc>
      </w:tr>
      <w:tr>
        <w:tblPrEx>
          <w:tblCellMar>
            <w:top w:w="0" w:type="dxa"/>
            <w:left w:w="108" w:type="dxa"/>
            <w:bottom w:w="0" w:type="dxa"/>
            <w:right w:w="108" w:type="dxa"/>
          </w:tblCellMar>
        </w:tblPrEx>
        <w:trPr>
          <w:trHeight w:val="1030"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序号</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设备名称</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主要技术参数</w:t>
            </w:r>
          </w:p>
        </w:tc>
        <w:tc>
          <w:tcPr>
            <w:tcW w:w="1808"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推荐品牌</w:t>
            </w:r>
          </w:p>
        </w:tc>
        <w:tc>
          <w:tcPr>
            <w:tcW w:w="63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单位</w:t>
            </w:r>
          </w:p>
        </w:tc>
        <w:tc>
          <w:tcPr>
            <w:tcW w:w="584"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 xml:space="preserve">数量 </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r>
              <w:rPr>
                <w:rFonts w:hint="eastAsia"/>
                <w:b/>
                <w:bCs/>
                <w:color w:val="auto"/>
                <w:sz w:val="18"/>
                <w:szCs w:val="18"/>
                <w:highlight w:val="none"/>
              </w:rPr>
              <w:t>备注</w:t>
            </w: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(一）、前端设备</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711"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6961"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室外高清结构化摄像机(含配套支架）</w:t>
            </w:r>
          </w:p>
        </w:tc>
        <w:tc>
          <w:tcPr>
            <w:tcW w:w="348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星光级全景网络高清智能球机，采用一体化设计，单产品即可同时提供全景与特写画面，兼顾全景与细节。其中全景画面由8个传感器拼接而成，实现2 × 180度的全景监控；支持GB35114安全加密；传感器类型: 【全景】1/1.8＂progressive scan CMOS，【细节】1/1.8＂progressive scan CMOS；【全景】0.0005 Lux/F1.0（彩色），0.0001 Lux/F1.0（黑白）；【细节】星光级超低照度，0.0005 Lux/F1.2（彩色），0.0001 Lux/F1.2（黑白），0 Lux with IR；光学变倍: 40倍；焦距: 【全景】2.8 mm；【细节】6~240 mm；水平视场角：56.6~1.8度（广角~望远）；垂直视场角：33.7~1.0度（广角~望远）；对角线视场角：63.4~2.0度（广角~望远）；红外照射距离: 250 m；防补光过曝: 支持；水平范围: 360°；垂直范围: -15°~90°（自动翻转）；【全景】50 Hz：25 fps（4096 × 1800 × 2）；60 Hz：30 fps（4096 × 1800 × 2）；【细节】50 Hz：25 fps（2560 × 1440） ；60 Hz：30 fps（2560 × 1440）；视频压缩标准: H.265，H.264，MJPEG；网络接口: RJ45网口，自适应10 M/100 M/1000 M网络数据；光纤接口: FC接口，内置光纤模块，1000 M网络数据，波长TX1310/RX1550 nm，单模单纤，20 km传输距离；报警输入: 7路报警输入；报警输出: 2路报警输出；音频输入: 1路音频输入；音频输出: 1路音频输出；具有RS485接口；供电方式: DC36 V；设备功耗: 最大功耗：135 W（其中红外灯最大功耗：12 W）；工作温湿度: -40 ℃~70 ℃，湿度小于90%；除雾: 支持</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221"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室外高速球网络摄像机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≥200万7寸红外；支持最低照度可达彩色0.005Lux，黑白0.0005Lux；350米红外照射距离；焦距：4.3-86mm, 20倍光学；视频输出支持1280×720@60fps，分辨力不小于950TVL；支持三码流同时输出，主码流、第三码流同时支持1280×720@60fps；支持采用H.265、H.264、MJPEG视频编码标准，H.264编码支持Baseline/Main/High Profile，音频编码支持G.711ulaw/G.711alaw/G.726/MP2L2/AAC</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22</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球机支架</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壁装支架</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22</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589"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人脸抓拍枪机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400万 星光级1/1.8" CMOS AI抓拍枪机护罩一体化网络摄像机；支持智能资源模式切换：人脸抓拍模式、道路监控模式，Smart事件模式；支持单场景同时检出不少于30张人脸图片，并支持面部跟踪；车辆检测：支持车牌识别并抓拍，车型/车品牌/车身颜色/车牌颜色识别；支持越界侦测，区域入侵侦测，进入区域侦测，离开区域侦测，物品遗留侦测，物品拿取侦测，徘徊侦测，人员聚集侦测，快速运动侦测，停车侦测最低照度彩色不大于0.0002 lx，黑白不大于0.0001 lx；宽动态能力不小于120dB；焦距&amp;视场角: 11~40 mm：水平视场角：37.0º~11.5º，垂直视场角：20.2º~6.5°，对角线视场角：43.2º~13.2º；补光灯类型: 混合补光（支持白光模式和混光模式），750 nm+暖白光；最大图像尺寸: 2560 × 1440；视频压缩标准: H.265/H.264/MJPEG；网络存储: 支持Micro SD(即TF卡)/Micro SDHC/Micro SDXC卡（最大256 GB）断网本地存储及断网续传；网络: 1个RJ45 10 M/100 M自适应以太网口；音频: 1路输入（Line in），1路输出（Line out），1个内置麦克风；报警: 2路输入，2路输出（报警输入支持开关量，报警输出最大支持AC/DC24V 1A）；电流及功耗: AC：24 V，1.71 A，最大功耗：30.3 W；供电方式: AC：24 V ± 20%；启动和工作温湿度: -30 ℃~60 ℃，湿度小于95%（无凝结）；防护: IP66；在IE 浏览器下，可通过扫描预览界面上的二维码获取设备资料。</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支架</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壁装支架</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801"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彩色红外枪式网络摄像机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200万 星光级 1/2.7" CMOS 变焦筒型网络摄像机；最低照度: 彩色：0.01 Lux @（F1.2，AGC ON），黑白：0 Lux with IR；宽动态: 120 dB；焦距&amp;视场角: 2.7~12 mm @F1.6，水平视场角：106.8°~32.2°，垂直视场角：55.8°~18.1°，对角视场角：128.2°~37.1°；补光灯类型: 红外灯；补光距离: 最远可达30 m；最大图像尺寸: 1920 × 1080；视频压缩标准: 主码流：H.265/H.264；网络存储: 支持NAS（NFS，SMB/CIFS均支持），支持MicroSD(即TF卡)/MicroSDHC/MicroSDXC卡（最大256 GB），断网本地录像存储及断网续传；网络: 1个RJ45 10 M/100 M自适应以太网口；音频: 1路输入（Line in），1路输出（Line out）；报警: 2路输入，2路输出（报警输出最大支持DC12 V，30 mA）；供电方式: DC：12 V ± 25%； 防护: IP67</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55</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枪机支架</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壁装支架</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55</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853"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彩色强光抑制网络摄像机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200万 1/2.7” CMOS超宽动态 ICR日夜型枪型网络摄像机；最低照度: 彩色：0.005 Lux @（F1.2，AGC ON）；黑白：0.0002 Lux @（F1.2，AGC ON）；宽动态: 120 dB；最大图像尺寸: 1920 × 1080；网络存储: 支持Micro SD(即TF卡)/Micro SDHC/Micro SDXC卡（最大256 GB）断网本地存储及断网续传，NAS（NFS，SMB/CIFS均支持）；音频: 1路输入（Line in），1路输出（Line out），1个内置麦克风；报警: 2路输入，2路输出（报警输入支持开关量，报警输出最大支持AC/DC24V 1A）；供电方式: DC：12 V ± 20%，支持防反接保护；AC：24 V ± 20%；</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42"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手动变焦自动光圈镜头</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规格1/3"；5mm～50mm;视角：52.7°～5.7°；接口方式CS；DC自动光圈；光圈范围F1.5-360；手动聚焦，手动变焦</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室外摄像机护罩及支架</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定制，室外摄像机护罩及支架</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537"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彩色宽动态/彩转黑网络摄像机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200万 1/2.7" CMOS 枪型星光网络摄像机;最低照度: 彩色：0.002 Lux @（F1.2，AGC ON）；黑白：0.005 Lux @（F1.2，AGC ON）;宽动态: 120 Db;最大图像尺寸: 1920 × 1080；网络存储: 支持NAS（NFS，SMB/CIFS均支持），支持Micro SD(即TF卡)/Micro SDHC/Micro SDXC卡（最大256 GB），断网本地录像存储及断网续传；音频: 1路输入（Line in）; 1路输出（Line out）；报警: 1路输入，1路输出（报警输出最大支持DC12 V，30 mA）；供电方式: DC：12 V ± 20%;</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67</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42"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手动变焦自动光圈镜头</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规格1/3"；5mm～50mm;视角：52.7°～5.7°；接口方式CS；DC自动光圈；光圈范围F1.5-360；手动聚焦，手动变焦</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67</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13</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室外摄像机护罩及支架</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定制，室外摄像机护罩及支架</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67</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801"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14</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红外半球网络摄像机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200万 星光级 1/2.7" CMOS 变焦半球型网络摄像机；最低照度: 彩色：0.01 Lux @（F1.2，AGC ON），黑白：0 Lux with IR；宽动态: 120 dB；调节角度: 水平：0°~355°，垂直：0°~70°，旋转：0°~355° ；焦距&amp;视场角: 2.7~12 mm @F1.6，水平视场角：106.8°~32.2°，垂直视场角：55.8°~18.1°，对角视场角：128.2°~37.1°；补光灯类型: 红外灯；补光距离: 最远可达30 m；最大图像尺寸: 1920 × 1080；网络存储: 支持NAS（NFS，SMB/CIFS均支持），支持MicroSD(即TF卡)/MicroSDHC/MicroSDXC卡（最大256 GB），断网本地录像存储及断网续传；音频: 1路输入（Line in），1路输出（Line out）；报警: 2路输入，2路输出（报警输出最大支持DC12 V，30 mA）；供电方式: DC：12 V ± 25%; 防护 IP67</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56</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013"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15</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厨房专用枪式网络摄像机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支持前盖便捷拆卸清洗，适用于厨房等油烟较多的环境使用；200万星光级1/2.7”CMOS AI抓拍筒型网络摄像机；支持AI模型的下发和运行，检测结果的生成和上传；支持对特定目标的检测，并对检测结果分类，检测和分类结果均上传；支持配置事件规则，检测分类结果按照设置的规则过滤，产生报警；支持视频任务，对实时视频进行分析，按照设定的帧率进行分析，并按照设定的报警间隔上传结果；支持抓图轮巡任务，按照设定的时间间隔进行抓图分析，并按照设定的报警间隔上传结果；支持2个模型包存储，每个模型包支持1个检测模型和1个分类模型；支持16种目标检测，并对其中1种目标进行分类；最低照度: 彩色: 0.005Lux @ (F1.2, AGC ON) ; 黑白: 0.0002 Lux @ (F1.2, AGC ON), 0 Lux with IR；镜头: （变焦） 2.7-12mm @ F1.6,水平视场角：100°~31°，垂直视场角：53°~17°，对角线视场角：119°~35°；宽动态: 超宽动态范围达120dB，室内逆光环境下监控视频；最大图像尺寸: 1920×1080；存储功能: 支持Micro SD(即TF卡)/Micro SDHC /Micro SDXC卡(256GB)断网本地存储及断网续传,NAS(NFS,SMB/CIFS均支持) ；音频接口: 1 输入(Line in)（3.5mm），1 输出（3.5mm）；报警接口: 3 输入，2 输出(报警输出最大支持AC/DC24V 1A)；电源供应: DC：12V±20% ，支持防反接保护；PoE：802.3at, class 4；防护等级: IP66；补光距离: 50米</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16</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枪机支架</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壁装支架</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117"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17</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声光警戒枪式摄像机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200万1/2.7"CMOS  ICR智能变焦筒型网络摄像机；智能警戒:支持越界侦测,区域入侵侦测,进入/离开区域侦测；人脸抓拍:支持人脸跟踪及评分,自动筛选输出最优人脸图,同时可对10张人脸进行检测及抓拍；支持联动声音报警；内置麦克风；内置喇叭；最小照度:0.002Lux @(F1.2,AGC ON) ,0 Lux with IR；镜头:2.7-12mm @ F1.2~2.2,水平视场角：103°~33°;电动镜头；宽动态范围:120dB；最大图像尺寸:1920×1080；存储功能:支持Micro SD(即TF卡)/Micro SDHC/Micro SDXC卡(256G)断网本地存储及断网续传,NAS(NFS,SMB/CIFS均支持) ；通讯接口:1个RJ45 10M / 100M自适应以太网口；音频接口:1对音频输入(Line in)/输出(Line out)外部接口；报警输入:1路；报警输出:1路(报警输出最大支持AC24V/DC24V, 500mA)；电源供应:DC12V±20% ；红外照射距离:最远可达50米；防护等级:IP67</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18</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枪机支架</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壁装支架</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48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19</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彩色宽动态半球网络摄像机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200万 星光级 1/2.7" CMOS 变焦半球型网络摄像机；最低照度: 彩色：0.002 Lux @（F1.2，AGC ON），黑白：0 Lux with IR；宽动态: 120 dB；调节角度: 水平：0°~355°，垂直：0°~70°，旋转：0°~355° ；焦距&amp;视场角: 2.7~12 mm @F1.6，水平视场角：106.8°~32.2°，垂直视场角：55.8°~18.1°，对角视场角：128.2°~37.1°；补光灯类型: 红外灯；补光距离: 最远可达30 m；最大图像尺寸: 1920 × 1080；网络存储: 支持NAS（NFS，SMB/CIFS均支持），支持MicroSD(即TF卡)/MicroSDHC/MicroSDXC卡（最大256 GB），断网本地录像存储及断网续；</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音频: 1路输入（Line in），1路输出（Line out）；报警: 2路输入，2路输出；供电方式: DC：12 V ± 25%；防护: IP67</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169"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电梯摄像机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200万1/2.7” CMOS日夜型迷你半球型网络摄像机；最低照度: 彩色：0.01 Lux @（F1.2，AGC ON），0 Lux with IR；宽动态: 120 dB；调节角度: 水平：-30°~30°，垂直：0°~75°，旋转：0°~360°；焦距&amp;视场角: 2.8 mm，水平视场角：107.1°，垂直视场角：57°，对角线视场角：127.6°；补光灯类型: 红外灯；补光距离: 最远可达10 m；最大图像尺寸: 1920 × 1080；网络存储: 支持NAS（NFS，SMB/CIFS均支持），支持Micro SD(即TF卡)/Micro SDHC/Micro SDXC卡（最大256 GB）；音频: 1个内置麦克风；供电方式: DC：12 V ± 25%；PoE：802.3af，Class 3；防护: IP66，IK08</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274"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21</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网络电梯传输器</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H.264压缩算法；支持分辨率704×576；支持双向语音对讲；支持视频移动侦测；支持敏感区域遮挡；支持自动拨号PPPoE功能；支持自动获取IP、自动端口映射、域名解析；支持透明RS-485数据透明通道传输；支持双码流传输</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42"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22</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楼层显示器</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输入/输出阻抗：75Ω，最大显示楼层：-9~99层，功率：3W，带视频抗干扰功能</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23</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室外4米立杆</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4米，含基础</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23</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24</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摄像机电源</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直流稳压电源，,DC12V/10A</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30</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25</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摄像机电源</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交流稳压电源，AC24V/5A</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海康、大华、天地伟业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(二）、后端控制设备</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711"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1589"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综合安防管理平台软件</w:t>
            </w:r>
          </w:p>
        </w:tc>
        <w:tc>
          <w:tcPr>
            <w:tcW w:w="348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可实现300路视频监控的综合管理，采用B/S及C/S架构，支持手机客户端预览与云台控制，具有实时预览、录像管理、监视屏控制、电子地图管理、日志管理、门禁控制、停车场管理、巡查管理、报警管理、系统管理、组织资源管理、网络管理、服务管理等功能。</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海康、大华、宇视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42"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视频管理服务器</w:t>
            </w:r>
          </w:p>
        </w:tc>
        <w:tc>
          <w:tcPr>
            <w:tcW w:w="3488"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color w:val="auto"/>
                <w:sz w:val="18"/>
                <w:szCs w:val="18"/>
                <w:highlight w:val="none"/>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甲供，不在本次招标范围内，投标单位负责调试及系统适配</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42"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流媒体代理转发服务器</w:t>
            </w:r>
          </w:p>
        </w:tc>
        <w:tc>
          <w:tcPr>
            <w:tcW w:w="3488"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color w:val="auto"/>
                <w:sz w:val="18"/>
                <w:szCs w:val="18"/>
                <w:highlight w:val="none"/>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甲供，不在本次招标范围内，投标单位负责调试及系统适配</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381"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32路硬盘录像机（透明厨房）</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硬件规格：</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3U标准机架式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2个HDMI，2个VGA,HDMI+VGA组内同源</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 xml:space="preserve">16盘位，可满配8T、10T硬盘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2个千兆网口</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2个USB2.0接口、1个USB3.0接口</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1个eSATA接口</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报警IO：16进8出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支持RAID0、1、5、10，支持全局热备盘</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软件性能：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输入带宽：320M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32路H.264、H.265混合接入</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最大支持16×1080P解码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支持H.265、H.264解码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Smart 2.0/整机热备/ANR/智能检索/智能回放/车牌检索/人脸检索/热度图/客流量统计/分时段回放/超高倍速回放/双系统备份</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海康、大华、宇视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4T监控级硬盘（透明厨房）</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3.5英寸 4TB IntelliPower 64M SATA3</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西数、希捷、东芝</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16</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90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48盘位磁盘阵列存储</w:t>
            </w:r>
          </w:p>
        </w:tc>
        <w:tc>
          <w:tcPr>
            <w:tcW w:w="348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48盘位磁盘阵列，1024Mbps接入带宽，2个千兆数据口，1个千兆管理网口，支持视频流和图片、视频文件进行混合直写存储，8U 机架式48盘位，冗余电源，支持SATA硬盘，64位多核处理器，4GB高速缓存（可扩展到32GB），支持RAID 0、1、3、5、6、10、50，60、JBOD模式，网络协议：RTSP/ONVIF/PSIA/SIP（GB/T28181）</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海康、大华、宇视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企业级监控硬盘</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6T，7200转，录像时间90天以上</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西数、希捷、东芝</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192</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697"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高清数字矩阵（满足17路输出）</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标准机架式设计，双高速无阻塞背板设计，满足大容量视频数据高速交换的需求；插拔式模块化设计，单电源，单主控板；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投标产品支持四风扇冗余，转速自动调整，并支持热插拔；</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投标产品具备多种接口类型的输入板，可支持DVI、VGA、HDMI等接口输入,单板≥8路。可支持VGA、DVI、HDMI等接口输出，单板≥8路；</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单板支持解码32路1080P，或64路720P，或128路4CIF以下分辨率； 支持1/4/6/8/9/16画面分割显示；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支持各输出口同步轮巡显示；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投标产品支持信号预览功能，可实现电视墙预览功能，支持前端接入帧率25～60帧/秒；</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内置千兆交换机，具备多个千兆网口，用于网络视频的实时预览、解码上墙及网络集中存储等,支持以太网自适应；</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6个RJ45 10M/100M/1000M自适应以太网口，6个 10M/100M/1000M自适应以太网光口；</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1个，标准RS-232串行接口（RJ45接口）console口，1个，标准RS485/RS232复用口（RJ45接口）；</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电源：AC 100~120V 200~240V， 50/60Hz,内置 ；</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海康、大华、宇视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6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四维控制键盘</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采用7英寸TFT LCD触控屏800*480显示分辨率；四维摇杆控制；</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支持控制视频综合平台和解码器输出上墙，支持云台PTZ操作，支持预置点、巡航路径和轨迹的设置与调用，支持直接在触控屏幕上预览前端视频；支持1080P及以下分辨率的网络视频；</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支持远程录像进行键盘本地回放或回放上电视墙，支持录像回放快放、慢放、暂停和停止播放等操作，支持飞梭控制录像回放；</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支持抓图、录像保存到键盘连接的U盘或者FTP服务器；支持U盘录像文件回放；支持IE方式配置键盘；最大3个操作员用户，每个用户支持管理1280台设备；控制方式：网络方式，RS485，RS232；</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1个音频输入，3.5mm立体声（电平：2.0Vp-p，阻抗：1kΩ）；1个音频输出，3.5mm立体声（线性电平，阻抗：600Ω）；1个100M/1000M自适应以太网口，1个标准RS-232串行接口，1个标准RS-485串行接口，1个USB 2.0；</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海康、大华、宇视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液晶显示器</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22寸液晶显示</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海康、大华、宇视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42"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液晶拼接屏器（46寸）</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液晶监视器；显示类别：TFT-LED背光；屏幕尺寸：46寸；</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最大分辨率：1920×1080P；亮度：500cd/m²；3.5拼缝</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海康、大华、宇视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电视墙</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全钢制作,6孔，32寸监视器用</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定制</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13</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操作台</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全钢制作,4座位，8显示器，平台操作</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定制</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52" w:hRule="atLeast"/>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14</w:t>
            </w:r>
          </w:p>
        </w:tc>
        <w:tc>
          <w:tcPr>
            <w:tcW w:w="149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管理电脑</w:t>
            </w:r>
          </w:p>
        </w:tc>
        <w:tc>
          <w:tcPr>
            <w:tcW w:w="34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18"/>
                <w:szCs w:val="18"/>
                <w:highlight w:val="none"/>
              </w:rPr>
            </w:pPr>
          </w:p>
        </w:tc>
        <w:tc>
          <w:tcPr>
            <w:tcW w:w="180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甲供，不在本次招标范围内，投标单位负责调试及系统适配</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3"/>
        <w:tblW w:w="0" w:type="auto"/>
        <w:tblInd w:w="96" w:type="dxa"/>
        <w:tblLayout w:type="fixed"/>
        <w:tblCellMar>
          <w:top w:w="0" w:type="dxa"/>
          <w:left w:w="108" w:type="dxa"/>
          <w:bottom w:w="0" w:type="dxa"/>
          <w:right w:w="108" w:type="dxa"/>
        </w:tblCellMar>
      </w:tblPr>
      <w:tblGrid>
        <w:gridCol w:w="502"/>
        <w:gridCol w:w="1547"/>
        <w:gridCol w:w="3617"/>
        <w:gridCol w:w="1434"/>
        <w:gridCol w:w="655"/>
        <w:gridCol w:w="667"/>
        <w:gridCol w:w="677"/>
      </w:tblGrid>
      <w:tr>
        <w:tblPrEx>
          <w:tblCellMar>
            <w:top w:w="0" w:type="dxa"/>
            <w:left w:w="108" w:type="dxa"/>
            <w:bottom w:w="0" w:type="dxa"/>
            <w:right w:w="108" w:type="dxa"/>
          </w:tblCellMar>
        </w:tblPrEx>
        <w:trPr>
          <w:trHeight w:val="438" w:hRule="atLeast"/>
        </w:trPr>
        <w:tc>
          <w:tcPr>
            <w:tcW w:w="9099" w:type="dxa"/>
            <w:gridSpan w:val="7"/>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报警系统设备清单</w:t>
            </w:r>
          </w:p>
        </w:tc>
      </w:tr>
      <w:tr>
        <w:tblPrEx>
          <w:tblCellMar>
            <w:top w:w="0" w:type="dxa"/>
            <w:left w:w="108" w:type="dxa"/>
            <w:bottom w:w="0" w:type="dxa"/>
            <w:right w:w="108" w:type="dxa"/>
          </w:tblCellMar>
        </w:tblPrEx>
        <w:trPr>
          <w:trHeight w:val="415" w:hRule="atLeast"/>
        </w:trPr>
        <w:tc>
          <w:tcPr>
            <w:tcW w:w="9099" w:type="dxa"/>
            <w:gridSpan w:val="7"/>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子系统名称：报警系统</w:t>
            </w:r>
          </w:p>
        </w:tc>
      </w:tr>
      <w:tr>
        <w:tblPrEx>
          <w:tblCellMar>
            <w:top w:w="0" w:type="dxa"/>
            <w:left w:w="108" w:type="dxa"/>
            <w:bottom w:w="0" w:type="dxa"/>
            <w:right w:w="108" w:type="dxa"/>
          </w:tblCellMar>
        </w:tblPrEx>
        <w:trPr>
          <w:trHeight w:val="652"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序号</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设备名称</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主要技术参数</w:t>
            </w:r>
          </w:p>
        </w:tc>
        <w:tc>
          <w:tcPr>
            <w:tcW w:w="1434"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推荐品牌</w:t>
            </w:r>
          </w:p>
        </w:tc>
        <w:tc>
          <w:tcPr>
            <w:tcW w:w="65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单位</w:t>
            </w:r>
          </w:p>
        </w:tc>
        <w:tc>
          <w:tcPr>
            <w:tcW w:w="667" w:type="dxa"/>
            <w:tcBorders>
              <w:top w:val="single" w:color="000000" w:sz="4" w:space="0"/>
              <w:left w:val="single" w:color="000000" w:sz="4" w:space="0"/>
              <w:right w:val="single" w:color="000000" w:sz="4" w:space="0"/>
            </w:tcBorders>
            <w:noWrap w:val="0"/>
            <w:vAlign w:val="center"/>
          </w:tcPr>
          <w:p>
            <w:pPr>
              <w:widowControl/>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 xml:space="preserve">数量 </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b/>
                <w:bCs/>
                <w:color w:val="auto"/>
                <w:sz w:val="18"/>
                <w:szCs w:val="18"/>
                <w:highlight w:val="none"/>
              </w:rPr>
            </w:pPr>
            <w:r>
              <w:rPr>
                <w:rFonts w:hint="eastAsia"/>
                <w:b/>
                <w:bCs/>
                <w:color w:val="auto"/>
                <w:sz w:val="18"/>
                <w:szCs w:val="18"/>
                <w:highlight w:val="none"/>
              </w:rPr>
              <w:t>备注</w:t>
            </w:r>
          </w:p>
        </w:tc>
      </w:tr>
      <w:tr>
        <w:tblPrEx>
          <w:tblCellMar>
            <w:top w:w="0" w:type="dxa"/>
            <w:left w:w="108" w:type="dxa"/>
            <w:bottom w:w="0" w:type="dxa"/>
            <w:right w:w="108" w:type="dxa"/>
          </w:tblCellMar>
        </w:tblPrEx>
        <w:trPr>
          <w:trHeight w:val="776"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报警主机</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可扩展总线控制式报警主机（基本八防区，可扩展至248防区，兼容112个无线防区）</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835"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总线驱动器</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可现场手工设置集线器编码，编码范围00～99；每个集线器必须有唯一的一个编码；集线器的编码与4位主机编号一起组成6位用户编号。</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LED数码管显示编号、掉线主机号、在线主机数。</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每个集线器可接20台报警主机。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隔离的4路通讯总线输出，总线故障不会影响其他总线。</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将用户报警主机事件传输到中心接收机和报警中心</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报警主机通讯故障指示、故障查询。</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已安装的报警主机编号查询。</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集线器和中心接收机的通讯故障指示。</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串口模块</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与主机配套使用</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编程键盘</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LCD液晶编程键盘</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继电器模块</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32路继电器板</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776"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张力式电子围栏</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国标铝型材，内含高性能双防区控制模块，含优质不锈钢SUS304底座，可平行或垂直安装</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对</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21</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单路地址模块</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总线式单防区输入/输出模块</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21</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防区电源</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AC24V2A</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防区控制箱</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对主机等附属设备防护IP65，尺寸：300*350*400</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警卫中心软件</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中心管理软件，带网络转发功能，支持1500防区</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159"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11</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八防区控制键盘</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1、额定输入电压 12V DC±2V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2、额定消耗电流 静态45mA  报警90mA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3、使用工作温度 -10℃ ~ +45℃</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壁挂式被动红外探测器</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三技术被动红外/微波探测器，可消除宠物引起的误报</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13</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紧急按钮</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24DVC 300mA钥匙复位  常开常闭型</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14</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声光报警器</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12VDC/300mA,声压105dB±3,闪灯闪动次数150次/分钟</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23"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15</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探测器电源</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直流稳压电源，金属外壳，AC220V/DC12V，2A</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海康、大华、霍尼韦尔</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只</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159"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16</w:t>
            </w: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管理电脑（与巡更共用）</w:t>
            </w:r>
          </w:p>
        </w:tc>
        <w:tc>
          <w:tcPr>
            <w:tcW w:w="36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18"/>
                <w:szCs w:val="18"/>
                <w:highlight w:val="none"/>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甲供，不在本次招标范围内，投标单位负责调试及系统适配</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bl>
    <w:p>
      <w:pPr>
        <w:spacing w:line="360" w:lineRule="auto"/>
        <w:rPr>
          <w:rFonts w:ascii="宋体" w:hAnsi="宋体" w:cs="宋体"/>
          <w:b/>
          <w:color w:val="auto"/>
          <w:sz w:val="20"/>
          <w:szCs w:val="20"/>
          <w:highlight w:val="none"/>
        </w:rPr>
      </w:pPr>
    </w:p>
    <w:p>
      <w:pPr>
        <w:spacing w:line="360" w:lineRule="auto"/>
        <w:rPr>
          <w:rFonts w:ascii="宋体" w:hAnsi="宋体" w:cs="宋体"/>
          <w:b/>
          <w:color w:val="auto"/>
          <w:sz w:val="20"/>
          <w:szCs w:val="20"/>
          <w:highlight w:val="none"/>
        </w:rPr>
      </w:pPr>
    </w:p>
    <w:p>
      <w:pPr>
        <w:rPr>
          <w:rFonts w:ascii="宋体" w:hAnsi="宋体" w:cs="宋体"/>
          <w:b/>
          <w:color w:val="auto"/>
          <w:sz w:val="20"/>
          <w:szCs w:val="20"/>
          <w:highlight w:val="none"/>
        </w:rPr>
      </w:pPr>
    </w:p>
    <w:p>
      <w:pPr>
        <w:rPr>
          <w:rFonts w:ascii="宋体" w:hAnsi="宋体" w:cs="宋体"/>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3"/>
        <w:tblW w:w="0" w:type="auto"/>
        <w:tblInd w:w="96" w:type="dxa"/>
        <w:tblLayout w:type="fixed"/>
        <w:tblCellMar>
          <w:top w:w="0" w:type="dxa"/>
          <w:left w:w="108" w:type="dxa"/>
          <w:bottom w:w="0" w:type="dxa"/>
          <w:right w:w="108" w:type="dxa"/>
        </w:tblCellMar>
      </w:tblPr>
      <w:tblGrid>
        <w:gridCol w:w="503"/>
        <w:gridCol w:w="1550"/>
        <w:gridCol w:w="3624"/>
        <w:gridCol w:w="1519"/>
        <w:gridCol w:w="657"/>
        <w:gridCol w:w="755"/>
        <w:gridCol w:w="591"/>
      </w:tblGrid>
      <w:tr>
        <w:tblPrEx>
          <w:tblCellMar>
            <w:top w:w="0" w:type="dxa"/>
            <w:left w:w="108" w:type="dxa"/>
            <w:bottom w:w="0" w:type="dxa"/>
            <w:right w:w="108" w:type="dxa"/>
          </w:tblCellMar>
        </w:tblPrEx>
        <w:trPr>
          <w:trHeight w:val="460" w:hRule="atLeast"/>
        </w:trPr>
        <w:tc>
          <w:tcPr>
            <w:tcW w:w="9199" w:type="dxa"/>
            <w:gridSpan w:val="7"/>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电子巡更系统设备清单</w:t>
            </w:r>
          </w:p>
        </w:tc>
      </w:tr>
      <w:tr>
        <w:tblPrEx>
          <w:tblCellMar>
            <w:top w:w="0" w:type="dxa"/>
            <w:left w:w="108" w:type="dxa"/>
            <w:bottom w:w="0" w:type="dxa"/>
            <w:right w:w="108" w:type="dxa"/>
          </w:tblCellMar>
        </w:tblPrEx>
        <w:trPr>
          <w:trHeight w:val="460" w:hRule="atLeast"/>
        </w:trPr>
        <w:tc>
          <w:tcPr>
            <w:tcW w:w="9199" w:type="dxa"/>
            <w:gridSpan w:val="7"/>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子系统名称：电子巡更系统</w:t>
            </w:r>
          </w:p>
        </w:tc>
      </w:tr>
      <w:tr>
        <w:tblPrEx>
          <w:tblCellMar>
            <w:top w:w="0" w:type="dxa"/>
            <w:left w:w="108" w:type="dxa"/>
            <w:bottom w:w="0" w:type="dxa"/>
            <w:right w:w="108" w:type="dxa"/>
          </w:tblCellMar>
        </w:tblPrEx>
        <w:trPr>
          <w:trHeight w:val="793" w:hRule="atLeast"/>
        </w:trPr>
        <w:tc>
          <w:tcPr>
            <w:tcW w:w="5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序号</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设备名称</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主要技术参数</w:t>
            </w:r>
          </w:p>
        </w:tc>
        <w:tc>
          <w:tcPr>
            <w:tcW w:w="151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推荐品牌</w:t>
            </w:r>
          </w:p>
        </w:tc>
        <w:tc>
          <w:tcPr>
            <w:tcW w:w="657"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单位</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 xml:space="preserve"> 数量 </w:t>
            </w:r>
          </w:p>
        </w:tc>
        <w:tc>
          <w:tcPr>
            <w:tcW w:w="591" w:type="dxa"/>
            <w:tcBorders>
              <w:top w:val="single" w:color="000000" w:sz="4" w:space="0"/>
              <w:left w:val="single" w:color="000000" w:sz="4" w:space="0"/>
              <w:right w:val="single" w:color="000000" w:sz="4" w:space="0"/>
            </w:tcBorders>
            <w:noWrap/>
            <w:vAlign w:val="center"/>
          </w:tcPr>
          <w:p>
            <w:pPr>
              <w:jc w:val="center"/>
              <w:rPr>
                <w:rFonts w:hint="eastAsia"/>
                <w:b/>
                <w:bCs/>
                <w:color w:val="auto"/>
                <w:sz w:val="18"/>
                <w:szCs w:val="18"/>
                <w:highlight w:val="none"/>
              </w:rPr>
            </w:pPr>
            <w:r>
              <w:rPr>
                <w:rFonts w:hint="eastAsia"/>
                <w:b/>
                <w:bCs/>
                <w:color w:val="auto"/>
                <w:sz w:val="18"/>
                <w:szCs w:val="18"/>
                <w:highlight w:val="none"/>
              </w:rPr>
              <w:t>备注</w:t>
            </w:r>
          </w:p>
        </w:tc>
      </w:tr>
      <w:tr>
        <w:tblPrEx>
          <w:tblCellMar>
            <w:top w:w="0" w:type="dxa"/>
            <w:left w:w="108" w:type="dxa"/>
            <w:bottom w:w="0" w:type="dxa"/>
            <w:right w:w="108" w:type="dxa"/>
          </w:tblCellMar>
        </w:tblPrEx>
        <w:trPr>
          <w:trHeight w:val="572" w:hRule="atLeast"/>
        </w:trPr>
        <w:tc>
          <w:tcPr>
            <w:tcW w:w="5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巡更棒</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低温坚固型巡检器,超强铝合金壳体,外壳喷塑,抗摔,防水,防爆,超大容量,可存储约3万条记录,非接触式,感应距离5-10厘米</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60" w:hRule="atLeast"/>
        </w:trPr>
        <w:tc>
          <w:tcPr>
            <w:tcW w:w="5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专用通讯器</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特制USB接口,智能巡逻管理软件</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60" w:hRule="atLeast"/>
        </w:trPr>
        <w:tc>
          <w:tcPr>
            <w:tcW w:w="5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无线通讯座,</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标准USB接口</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60" w:hRule="atLeast"/>
        </w:trPr>
        <w:tc>
          <w:tcPr>
            <w:tcW w:w="5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感应式信息钮</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EMID管状,直径6mm,长28mm</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35</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60" w:hRule="atLeast"/>
        </w:trPr>
        <w:tc>
          <w:tcPr>
            <w:tcW w:w="5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钥匙型人名钮</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钥匙型人名钮</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69" w:hRule="atLeast"/>
        </w:trPr>
        <w:tc>
          <w:tcPr>
            <w:tcW w:w="5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夜光标识牌</w:t>
            </w:r>
          </w:p>
        </w:tc>
        <w:tc>
          <w:tcPr>
            <w:tcW w:w="362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信息钮安装标识牌及夜光标签</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35</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bl>
    <w:p>
      <w:pPr>
        <w:spacing w:line="360" w:lineRule="auto"/>
        <w:rPr>
          <w:rFonts w:ascii="宋体" w:hAnsi="宋体" w:cs="宋体"/>
          <w:b/>
          <w:color w:val="auto"/>
          <w:sz w:val="20"/>
          <w:szCs w:val="20"/>
          <w:highlight w:val="none"/>
        </w:rPr>
      </w:pPr>
    </w:p>
    <w:p>
      <w:pPr>
        <w:spacing w:line="360" w:lineRule="auto"/>
        <w:rPr>
          <w:rFonts w:ascii="宋体" w:hAnsi="宋体" w:cs="宋体"/>
          <w:b/>
          <w:color w:val="auto"/>
          <w:sz w:val="20"/>
          <w:szCs w:val="20"/>
          <w:highlight w:val="none"/>
        </w:rPr>
      </w:pPr>
    </w:p>
    <w:p>
      <w:pPr>
        <w:pStyle w:val="4"/>
        <w:numPr>
          <w:ilvl w:val="0"/>
          <w:numId w:val="0"/>
        </w:numPr>
        <w:rPr>
          <w:rFonts w:ascii="宋体" w:hAnsi="宋体" w:eastAsia="宋体" w:cs="宋体"/>
          <w:color w:val="auto"/>
          <w:sz w:val="20"/>
          <w:szCs w:val="20"/>
          <w:highlight w:val="none"/>
        </w:rPr>
      </w:pPr>
    </w:p>
    <w:p>
      <w:pPr>
        <w:rPr>
          <w:rFonts w:ascii="宋体" w:hAnsi="宋体" w:cs="宋体"/>
          <w:b/>
          <w:color w:val="auto"/>
          <w:sz w:val="20"/>
          <w:szCs w:val="20"/>
          <w:highlight w:val="none"/>
        </w:rPr>
      </w:pPr>
    </w:p>
    <w:p>
      <w:pPr>
        <w:pStyle w:val="4"/>
        <w:numPr>
          <w:ilvl w:val="0"/>
          <w:numId w:val="0"/>
        </w:numPr>
        <w:rPr>
          <w:rFonts w:ascii="宋体" w:hAnsi="宋体" w:eastAsia="宋体" w:cs="宋体"/>
          <w:color w:val="auto"/>
          <w:sz w:val="20"/>
          <w:szCs w:val="20"/>
          <w:highlight w:val="none"/>
        </w:rPr>
      </w:pPr>
    </w:p>
    <w:p>
      <w:pPr>
        <w:rPr>
          <w:rFonts w:ascii="宋体" w:hAnsi="宋体" w:cs="宋体"/>
          <w:b/>
          <w:color w:val="auto"/>
          <w:sz w:val="20"/>
          <w:szCs w:val="20"/>
          <w:highlight w:val="none"/>
        </w:rPr>
      </w:pPr>
    </w:p>
    <w:p>
      <w:pPr>
        <w:pStyle w:val="4"/>
        <w:numPr>
          <w:ilvl w:val="0"/>
          <w:numId w:val="0"/>
        </w:numPr>
        <w:rPr>
          <w:rFonts w:ascii="宋体" w:hAnsi="宋体" w:eastAsia="宋体" w:cs="宋体"/>
          <w:color w:val="auto"/>
          <w:sz w:val="20"/>
          <w:szCs w:val="20"/>
          <w:highlight w:val="none"/>
        </w:rPr>
      </w:pPr>
    </w:p>
    <w:p>
      <w:pPr>
        <w:rPr>
          <w:rFonts w:ascii="宋体" w:hAnsi="宋体" w:cs="宋体"/>
          <w:b/>
          <w:color w:val="auto"/>
          <w:sz w:val="20"/>
          <w:szCs w:val="20"/>
          <w:highlight w:val="none"/>
        </w:rPr>
      </w:pPr>
    </w:p>
    <w:p>
      <w:pPr>
        <w:rPr>
          <w:rFonts w:ascii="宋体" w:hAnsi="宋体" w:cs="宋体"/>
          <w:color w:val="auto"/>
          <w:sz w:val="20"/>
          <w:szCs w:val="20"/>
          <w:highlight w:val="none"/>
        </w:rPr>
      </w:pPr>
      <w:r>
        <w:rPr>
          <w:rFonts w:hint="eastAsia" w:ascii="宋体" w:hAnsi="宋体" w:cs="宋体"/>
          <w:color w:val="auto"/>
          <w:sz w:val="20"/>
          <w:szCs w:val="20"/>
          <w:highlight w:val="none"/>
        </w:rPr>
        <w:br w:type="page"/>
      </w:r>
    </w:p>
    <w:tbl>
      <w:tblPr>
        <w:tblStyle w:val="13"/>
        <w:tblW w:w="0" w:type="auto"/>
        <w:tblInd w:w="96" w:type="dxa"/>
        <w:tblLayout w:type="fixed"/>
        <w:tblCellMar>
          <w:top w:w="0" w:type="dxa"/>
          <w:left w:w="108" w:type="dxa"/>
          <w:bottom w:w="0" w:type="dxa"/>
          <w:right w:w="108" w:type="dxa"/>
        </w:tblCellMar>
      </w:tblPr>
      <w:tblGrid>
        <w:gridCol w:w="592"/>
        <w:gridCol w:w="1445"/>
        <w:gridCol w:w="4171"/>
        <w:gridCol w:w="1072"/>
        <w:gridCol w:w="610"/>
        <w:gridCol w:w="601"/>
        <w:gridCol w:w="608"/>
      </w:tblGrid>
      <w:tr>
        <w:tblPrEx>
          <w:tblCellMar>
            <w:top w:w="0" w:type="dxa"/>
            <w:left w:w="108" w:type="dxa"/>
            <w:bottom w:w="0" w:type="dxa"/>
            <w:right w:w="108" w:type="dxa"/>
          </w:tblCellMar>
        </w:tblPrEx>
        <w:trPr>
          <w:trHeight w:val="543" w:hRule="atLeast"/>
        </w:trPr>
        <w:tc>
          <w:tcPr>
            <w:tcW w:w="9099" w:type="dxa"/>
            <w:gridSpan w:val="7"/>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一卡通管理系统设备清单</w:t>
            </w:r>
          </w:p>
        </w:tc>
      </w:tr>
      <w:tr>
        <w:tblPrEx>
          <w:tblCellMar>
            <w:top w:w="0" w:type="dxa"/>
            <w:left w:w="108" w:type="dxa"/>
            <w:bottom w:w="0" w:type="dxa"/>
            <w:right w:w="108" w:type="dxa"/>
          </w:tblCellMar>
        </w:tblPrEx>
        <w:trPr>
          <w:trHeight w:val="543" w:hRule="atLeast"/>
        </w:trPr>
        <w:tc>
          <w:tcPr>
            <w:tcW w:w="9099" w:type="dxa"/>
            <w:gridSpan w:val="7"/>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子系统名称：一卡通管理系统</w:t>
            </w:r>
          </w:p>
        </w:tc>
      </w:tr>
      <w:tr>
        <w:tblPrEx>
          <w:tblCellMar>
            <w:top w:w="0" w:type="dxa"/>
            <w:left w:w="108" w:type="dxa"/>
            <w:bottom w:w="0" w:type="dxa"/>
            <w:right w:w="108" w:type="dxa"/>
          </w:tblCellMar>
        </w:tblPrEx>
        <w:trPr>
          <w:trHeight w:val="9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序号</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设备名称</w:t>
            </w:r>
          </w:p>
        </w:tc>
        <w:tc>
          <w:tcPr>
            <w:tcW w:w="41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技术参数</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推荐品牌</w:t>
            </w:r>
          </w:p>
        </w:tc>
        <w:tc>
          <w:tcPr>
            <w:tcW w:w="61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单位</w:t>
            </w:r>
          </w:p>
        </w:tc>
        <w:tc>
          <w:tcPr>
            <w:tcW w:w="601"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 xml:space="preserve">数量 </w:t>
            </w:r>
          </w:p>
        </w:tc>
        <w:tc>
          <w:tcPr>
            <w:tcW w:w="608" w:type="dxa"/>
            <w:tcBorders>
              <w:top w:val="single" w:color="000000" w:sz="4" w:space="0"/>
              <w:left w:val="single" w:color="000000" w:sz="4" w:space="0"/>
              <w:right w:val="single" w:color="000000" w:sz="4" w:space="0"/>
            </w:tcBorders>
            <w:noWrap/>
            <w:vAlign w:val="center"/>
          </w:tcPr>
          <w:p>
            <w:pPr>
              <w:jc w:val="center"/>
              <w:rPr>
                <w:rFonts w:hint="eastAsia"/>
                <w:b/>
                <w:bCs/>
                <w:color w:val="auto"/>
                <w:sz w:val="18"/>
                <w:szCs w:val="18"/>
                <w:highlight w:val="none"/>
              </w:rPr>
            </w:pPr>
            <w:r>
              <w:rPr>
                <w:rFonts w:hint="eastAsia"/>
                <w:b/>
                <w:bCs/>
                <w:color w:val="auto"/>
                <w:sz w:val="18"/>
                <w:szCs w:val="18"/>
                <w:highlight w:val="none"/>
              </w:rPr>
              <w:t>备注</w:t>
            </w:r>
          </w:p>
        </w:tc>
      </w:tr>
      <w:tr>
        <w:tblPrEx>
          <w:tblCellMar>
            <w:top w:w="0" w:type="dxa"/>
            <w:left w:w="108" w:type="dxa"/>
            <w:bottom w:w="0" w:type="dxa"/>
            <w:right w:w="108" w:type="dxa"/>
          </w:tblCellMar>
        </w:tblPrEx>
        <w:trPr>
          <w:trHeight w:val="543" w:hRule="atLeast"/>
        </w:trPr>
        <w:tc>
          <w:tcPr>
            <w:tcW w:w="203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一、门禁管理子系统</w:t>
            </w:r>
          </w:p>
        </w:tc>
        <w:tc>
          <w:tcPr>
            <w:tcW w:w="41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009"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门禁一体机</w:t>
            </w:r>
          </w:p>
        </w:tc>
        <w:tc>
          <w:tcPr>
            <w:tcW w:w="4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读卡频率：13.56MHz</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按键方式：物理按键</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可识别卡：Mifare卡号、Mifare卡内容、CPU卡号(不含加密功能)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通讯方式：RS485+Wiegand</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工作电压：DC 12V</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功耗：≤2W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安装方式：无底盒壁挂、86底盒、120底盒安装</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工作环境：室内/室外，IP65</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外型尺寸：123mm(高)x88mm(宽)x21mm(厚)</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14</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937"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7寸人脸门禁一体机</w:t>
            </w:r>
          </w:p>
        </w:tc>
        <w:tc>
          <w:tcPr>
            <w:tcW w:w="4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1、设备外观：采用7寸高清触摸屏，200万像素双目摄像头，面部识别距离0.3-2m，支持照片、视频防假；</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2、设备容量：支持10000张人脸白名单，1：N人脸比对时间＜0.2S/人，支持50000 张卡，150000条事件记录；</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3、认证方式：支持人脸、刷卡、密码及其组合的认证方式；可读取Mifare卡（IC卡）、CPU卡号/内容、身份证序列号；</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4、工作模式：支持普通模式、广告模式、简洁模式三大主题；每个主题均支持多人及单人识别</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5、3.5mm 音频输出接口*1，设备内置扬声器可与外接音箱同时使用；对讲通话时，自动关闭外接音箱；</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6、输入接口：LAN*1、RS485*1、Wiegand * 1(支持双向)、USB*1、 typeC*1、门磁*1、报警输入*2、开门按钮*1、SD 卡槽*1（最大支持 512GB）；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7、输出接口：电锁*1个，报警输出*1个；</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8、通讯方式：上行通讯为TCP/IP；</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9、工作电压： DC12V~24V/2A（不带电源，需另配电源）</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10、使用环境：室内外环境（室外使用，必须需增加遮阳罩）；</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11、安装方式：标配壁挂安装挂板，可安装在人员通道上，需搭配通道支架；</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12、产品尺寸：209.2*110.5*24mm；</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13、工作温度：-30℃～60℃。</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01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出门按钮</w:t>
            </w:r>
          </w:p>
        </w:tc>
        <w:tc>
          <w:tcPr>
            <w:tcW w:w="417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结构：塑料面板；性能：最大耐电流1.25A，电压250V；输出：常开；类型：适合埋入式电器盒使用；尺寸：86*86mm，安装后露出13mm；重量：0.07kg；</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15</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77"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双门磁力锁</w:t>
            </w:r>
          </w:p>
        </w:tc>
        <w:tc>
          <w:tcPr>
            <w:tcW w:w="417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最大静态直线拉力：280kg(600Lbs) ± 15%  * 2</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断电开锁，满足消防要求；</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具有电锁状态指示灯（红灯为开锁状态， 绿灯为上锁状态）；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支持锁状态侦测信号(门磁)输出：NO/NC/COM接点；</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工作电压：12V/840mA 或 24V/420mA；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使用环境：室内（不防水）；</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适用门型：木门、玻璃门、金属门、防火门。</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把</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343"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单门磁力锁</w:t>
            </w:r>
          </w:p>
        </w:tc>
        <w:tc>
          <w:tcPr>
            <w:tcW w:w="417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最大静态直线拉力：280kg(600Lbs) ± 15%</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断电开锁，满足消防要求；</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具有电锁状态指示灯（红灯为开锁状态， 绿灯为上锁状态）；</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支持锁状态侦测信号(门磁)输出：NO/NC/COM接点；</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工作电压：12V/420mA 或 24V/210mA；</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使用环境：室内（不防水）；</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适用门型：木门、玻璃门、金属门、防火门。</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把</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77"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电控锁</w:t>
            </w:r>
          </w:p>
        </w:tc>
        <w:tc>
          <w:tcPr>
            <w:tcW w:w="4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开锁方式：通电开锁；工作电压：DC 12V ± 10%</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把</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77"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7</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磁力锁支架</w:t>
            </w:r>
          </w:p>
        </w:tc>
        <w:tc>
          <w:tcPr>
            <w:tcW w:w="4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高强铝合金，表面喷沙；外壳处理：阳极硬化电镀处理</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12</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43" w:hRule="atLeast"/>
        </w:trPr>
        <w:tc>
          <w:tcPr>
            <w:tcW w:w="9099" w:type="dxa"/>
            <w:gridSpan w:val="7"/>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r>
              <w:rPr>
                <w:rFonts w:hint="eastAsia" w:ascii="宋体" w:hAnsi="宋体" w:cs="宋体"/>
                <w:b/>
                <w:bCs/>
                <w:color w:val="auto"/>
                <w:kern w:val="0"/>
                <w:sz w:val="18"/>
                <w:szCs w:val="18"/>
                <w:highlight w:val="none"/>
                <w:lang w:bidi="ar"/>
              </w:rPr>
              <w:t>二、一卡通中心管理子系统</w:t>
            </w:r>
          </w:p>
        </w:tc>
      </w:tr>
      <w:tr>
        <w:tblPrEx>
          <w:tblCellMar>
            <w:top w:w="0" w:type="dxa"/>
            <w:left w:w="108" w:type="dxa"/>
            <w:bottom w:w="0" w:type="dxa"/>
            <w:right w:w="108" w:type="dxa"/>
          </w:tblCellMar>
        </w:tblPrEx>
        <w:trPr>
          <w:trHeight w:val="2343"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IC卡发行授权器</w:t>
            </w:r>
          </w:p>
        </w:tc>
        <w:tc>
          <w:tcPr>
            <w:tcW w:w="417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支持发卡类型：ID卡、Mifare卡、二三代身份证卡（序列号）、普通CPU卡、国密CPU卡；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USB2.0接口；</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具有2个Sim卡尺寸的PSAM卡座；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工作电压：DC 5V；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工作电流：0.2A；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尺寸：117*67.5*14.3mm</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只</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77"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一卡通管理软件</w:t>
            </w:r>
          </w:p>
        </w:tc>
        <w:tc>
          <w:tcPr>
            <w:tcW w:w="417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网络版中心管理软件，统一管理系统内所有数据，SQLSERVER数据库架构、适用WIN2K/XP/WIN7系统。</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77"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通讯转换器</w:t>
            </w:r>
          </w:p>
        </w:tc>
        <w:tc>
          <w:tcPr>
            <w:tcW w:w="417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通讯接口：RS485；设备通过485通讯卡与电脑交换数据；通讯距离：≤1.2Km；</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只</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3009"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人脸采集器</w:t>
            </w:r>
          </w:p>
        </w:tc>
        <w:tc>
          <w:tcPr>
            <w:tcW w:w="417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1、3.97英寸触摸显示屏，屏幕分辨率800*480；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2、采用200万双目摄像头，有照片视频防假功能；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3、支持人脸采集、卡片录入（ID/Mifare/普通CPU/国密CPU卡/二三代身份证序列号）；</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4、支持有线网络、无线WiFi、USB口通信；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5、支持在线采集，通过网络协议或USB口对接到平台，平台进行在线采集，采集信息实时上传；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6、工作电压：DC12V/1.5A (自带电源适配器）；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7、尺寸：122mm*125mm*138mm</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77"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IC卡</w:t>
            </w:r>
          </w:p>
        </w:tc>
        <w:tc>
          <w:tcPr>
            <w:tcW w:w="4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Mifare I，根据要求提供彩色印刷</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张</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100</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343"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管理电脑</w:t>
            </w:r>
          </w:p>
        </w:tc>
        <w:tc>
          <w:tcPr>
            <w:tcW w:w="417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highlight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甲供，不在本次招标范围内，投标单位负责调试及系统适配</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60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bl>
    <w:p>
      <w:pPr>
        <w:rPr>
          <w:color w:val="auto"/>
          <w:highlight w:val="none"/>
        </w:rPr>
      </w:pPr>
    </w:p>
    <w:p>
      <w:pPr>
        <w:rPr>
          <w:rFonts w:ascii="宋体" w:hAnsi="宋体" w:cs="宋体"/>
          <w:b/>
          <w:color w:val="auto"/>
          <w:sz w:val="20"/>
          <w:szCs w:val="20"/>
          <w:highlight w:val="none"/>
        </w:rPr>
      </w:pPr>
    </w:p>
    <w:p>
      <w:pPr>
        <w:pStyle w:val="4"/>
        <w:numPr>
          <w:ilvl w:val="0"/>
          <w:numId w:val="0"/>
        </w:numPr>
        <w:rPr>
          <w:rFonts w:ascii="宋体" w:hAnsi="宋体" w:eastAsia="宋体" w:cs="宋体"/>
          <w:color w:val="auto"/>
          <w:sz w:val="20"/>
          <w:szCs w:val="20"/>
          <w:highlight w:val="none"/>
        </w:rPr>
      </w:pPr>
    </w:p>
    <w:p>
      <w:pPr>
        <w:rPr>
          <w:rFonts w:ascii="宋体" w:hAnsi="宋体" w:cs="宋体"/>
          <w:color w:val="auto"/>
          <w:sz w:val="20"/>
          <w:szCs w:val="20"/>
          <w:highlight w:val="none"/>
        </w:rPr>
      </w:pPr>
    </w:p>
    <w:p>
      <w:pPr>
        <w:rPr>
          <w:rFonts w:ascii="宋体" w:hAnsi="宋体" w:cs="宋体"/>
          <w:color w:val="auto"/>
          <w:sz w:val="20"/>
          <w:szCs w:val="20"/>
          <w:highlight w:val="none"/>
        </w:rPr>
      </w:pPr>
    </w:p>
    <w:p>
      <w:pPr>
        <w:pStyle w:val="4"/>
        <w:rPr>
          <w:rFonts w:ascii="宋体" w:hAnsi="宋体" w:eastAsia="宋体" w:cs="宋体"/>
          <w:color w:val="auto"/>
          <w:sz w:val="20"/>
          <w:szCs w:val="20"/>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cs="宋体"/>
          <w:b/>
          <w:color w:val="auto"/>
          <w:sz w:val="20"/>
          <w:szCs w:val="20"/>
          <w:highlight w:val="none"/>
        </w:rPr>
      </w:pPr>
    </w:p>
    <w:tbl>
      <w:tblPr>
        <w:tblStyle w:val="13"/>
        <w:tblW w:w="0" w:type="auto"/>
        <w:tblInd w:w="96" w:type="dxa"/>
        <w:tblLayout w:type="fixed"/>
        <w:tblCellMar>
          <w:top w:w="0" w:type="dxa"/>
          <w:left w:w="108" w:type="dxa"/>
          <w:bottom w:w="0" w:type="dxa"/>
          <w:right w:w="108" w:type="dxa"/>
        </w:tblCellMar>
      </w:tblPr>
      <w:tblGrid>
        <w:gridCol w:w="397"/>
        <w:gridCol w:w="1570"/>
        <w:gridCol w:w="5383"/>
        <w:gridCol w:w="943"/>
        <w:gridCol w:w="443"/>
        <w:gridCol w:w="516"/>
        <w:gridCol w:w="705"/>
      </w:tblGrid>
      <w:tr>
        <w:tblPrEx>
          <w:tblCellMar>
            <w:top w:w="0" w:type="dxa"/>
            <w:left w:w="108" w:type="dxa"/>
            <w:bottom w:w="0" w:type="dxa"/>
            <w:right w:w="108" w:type="dxa"/>
          </w:tblCellMar>
        </w:tblPrEx>
        <w:trPr>
          <w:trHeight w:val="499" w:hRule="atLeast"/>
        </w:trPr>
        <w:tc>
          <w:tcPr>
            <w:tcW w:w="9957" w:type="dxa"/>
            <w:gridSpan w:val="7"/>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出入口控制系统设备清单</w:t>
            </w:r>
          </w:p>
        </w:tc>
      </w:tr>
      <w:tr>
        <w:tblPrEx>
          <w:tblCellMar>
            <w:top w:w="0" w:type="dxa"/>
            <w:left w:w="108" w:type="dxa"/>
            <w:bottom w:w="0" w:type="dxa"/>
            <w:right w:w="108" w:type="dxa"/>
          </w:tblCellMar>
        </w:tblPrEx>
        <w:trPr>
          <w:trHeight w:val="499" w:hRule="atLeast"/>
        </w:trPr>
        <w:tc>
          <w:tcPr>
            <w:tcW w:w="9957" w:type="dxa"/>
            <w:gridSpan w:val="7"/>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子系统名称：出入口控制系统</w:t>
            </w:r>
          </w:p>
        </w:tc>
      </w:tr>
      <w:tr>
        <w:tblPrEx>
          <w:tblCellMar>
            <w:top w:w="0" w:type="dxa"/>
            <w:left w:w="108" w:type="dxa"/>
            <w:bottom w:w="0" w:type="dxa"/>
            <w:right w:w="108" w:type="dxa"/>
          </w:tblCellMar>
        </w:tblPrEx>
        <w:trPr>
          <w:trHeight w:val="998"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序号</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设备名称</w:t>
            </w:r>
          </w:p>
        </w:tc>
        <w:tc>
          <w:tcPr>
            <w:tcW w:w="53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技术参数</w:t>
            </w:r>
          </w:p>
        </w:tc>
        <w:tc>
          <w:tcPr>
            <w:tcW w:w="943"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推荐品牌</w:t>
            </w:r>
          </w:p>
        </w:tc>
        <w:tc>
          <w:tcPr>
            <w:tcW w:w="443"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单位</w:t>
            </w:r>
          </w:p>
        </w:tc>
        <w:tc>
          <w:tcPr>
            <w:tcW w:w="516"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 xml:space="preserve"> 数量 </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r>
              <w:rPr>
                <w:rFonts w:hint="eastAsia"/>
                <w:b/>
                <w:bCs/>
                <w:color w:val="auto"/>
                <w:sz w:val="18"/>
                <w:szCs w:val="18"/>
                <w:highlight w:val="none"/>
              </w:rPr>
              <w:t>备注</w:t>
            </w:r>
          </w:p>
        </w:tc>
      </w:tr>
      <w:tr>
        <w:tblPrEx>
          <w:tblCellMar>
            <w:top w:w="0" w:type="dxa"/>
            <w:left w:w="108" w:type="dxa"/>
            <w:bottom w:w="0" w:type="dxa"/>
            <w:right w:w="108" w:type="dxa"/>
          </w:tblCellMar>
        </w:tblPrEx>
        <w:trPr>
          <w:trHeight w:val="499" w:hRule="atLeast"/>
        </w:trPr>
        <w:tc>
          <w:tcPr>
            <w:tcW w:w="19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一、车牌识别道闸</w:t>
            </w:r>
          </w:p>
        </w:tc>
        <w:tc>
          <w:tcPr>
            <w:tcW w:w="53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5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5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自动挡车器</w:t>
            </w:r>
          </w:p>
        </w:tc>
        <w:tc>
          <w:tcPr>
            <w:tcW w:w="5383"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快速道闸；包含：2个遥控器；道闸类型：直杆；道闸方向：右向；道闸杆长：3米；运行速度：1.6~2秒；机箱材质：冷轧钢；机箱颜色：橙色；遥控距离：≥30m；输入电压：220VAC+10%；电机驱动：交流电机；电机功率：90W；功能特性：支持外接红绿灯警示、外接红外保护、外接地感功能，支持强冷天气</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5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车检器</w:t>
            </w:r>
          </w:p>
        </w:tc>
        <w:tc>
          <w:tcPr>
            <w:tcW w:w="53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独立式,支持接入的最大线圈数2,继电器输出</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5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地感线圈</w:t>
            </w:r>
          </w:p>
        </w:tc>
        <w:tc>
          <w:tcPr>
            <w:tcW w:w="53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0.75mm²，绞合导体，镀锡铜，绝缘蓝色PVC外被，1捆线圈50米。</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5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出入口补光抓拍单元</w:t>
            </w:r>
          </w:p>
        </w:tc>
        <w:tc>
          <w:tcPr>
            <w:tcW w:w="5383"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【200万智能抓拍显示一体机】</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高清晰：200万像素高清摄像机，最大分辨率可达1920*1200，帧率高达25fps；</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低照度效果：1/2.7"逐行扫描CMOS，成像效果好， 0.002Lux彩色低照度监控效果，夜间看的更清；</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集成度高：集摄像机、LED显示屏、补光灯、镜头、喇叭功放于一体，有效节省施工布线成本；</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显示屏(LED款)：支持两列4字显示（一列4个字，两列共8个字），双色LED屏，显示内容可灵活配置</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补光灯：内置9颗高亮LED灯，智能补光技术，支持时控和光控</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镜头：支持3.1~9mm电动变焦镜头，远程调试，更方便快捷；</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车牌识别种类：支持识别的号牌类型包括大（小）型汽车、使领馆汽车、警用汽车、教练汽车、新能源汽车、军车等；2019式武警车牌等国标车牌；</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黑白名单控制：支持黑、白名单的导入及对比，可直接联动道闸开闸，支持脱机运行；</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多种触发模式：支持视频触发、线圈触发、雷达触发等多种触发模式；捕获率高，纯视频识别，纯视频抓拍时可捕获无车牌，捕获率99.9%以上</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防跟车模式：支持视频防跟车、雷达/线圈防跟车两种模式，对于连续过车的场景，可实现跟车不落杆，有效解决拥堵问题；</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防护等级：机箱表面采用抗紫外线静电喷塑工艺，不起皮，不褪色，防尘防水等级符合室外设备IP54级别要求；</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简易施工：安装调试方便：一体化结构设计，布线简单，调试方便，一站式安装，一体化维护，施工周期可缩短1/3</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5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不锈钢岗亭</w:t>
            </w:r>
          </w:p>
        </w:tc>
        <w:tc>
          <w:tcPr>
            <w:tcW w:w="5383"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宽1米*长1.5米*高2.2米，不锈钢制作，双向开窗，单门，含岗亭基础及安全岛</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5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管理软件</w:t>
            </w:r>
          </w:p>
        </w:tc>
        <w:tc>
          <w:tcPr>
            <w:tcW w:w="5383"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支持出入口管控，黑白名单添加，收费管理模式，出入口记录导出、复制，管理人员添加等功能；可与一卡通平台无缝兼容</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8口千兆交换机</w:t>
            </w:r>
          </w:p>
        </w:tc>
        <w:tc>
          <w:tcPr>
            <w:tcW w:w="53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整机交换容量≥336Gbps，转发性能≥27Mpps；固化10/100/1000M以太网端口≥8</w:t>
            </w:r>
            <w:r>
              <w:rPr>
                <w:rStyle w:val="31"/>
                <w:rFonts w:hint="default"/>
                <w:color w:val="auto"/>
                <w:highlight w:val="none"/>
                <w:lang w:bidi="ar"/>
              </w:rPr>
              <w:t>，非复用SFP千兆光接口≥2个；设备MAC地址≥16K；支持1对1对多、多对1和基于流的镜像；且支持RSPAN和ERSPAN；产品端口浪涌抗扰度≥10KV（即具备10KV的防雷能力），支持IEEE 802.3az标准的EEE节能技术</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2 </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15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出入口控制终端</w:t>
            </w:r>
          </w:p>
        </w:tc>
        <w:tc>
          <w:tcPr>
            <w:tcW w:w="5383"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CPU：Apollo Lake J3455平台处理器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内存：4GB；</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标配128G SSD，可额外选配一块3.5寸机械硬盘（需下配置单，并备注说明硬盘容量）；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其他接口：6个1000Mbps自适应网口（G2~G6为交换机，G1为独立网口，支持双网隔离）、2个RS232、2个RS485、4个USB3.0；4个开关量输入，4个继电器开关量输出、1个VGA输出接口，1路内置预留SATA接口、1个HDMI输出接口</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平台功能：支持上传至智能停车场管理系统；支持上传至其他中心管理系统（需定制）；</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远程管理：支持远程进行权限设置或维护管理；</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工作电压:主机12VDC，外接220VAC电源适配器；</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功耗:平均25w，最高50w；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工作环境温度:-10 ℃～50 ℃；</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工作环境湿度:10%~90%@40℃，无凝结；</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外形尺寸:245mm(W)×65mm(H)×170mm(D)；</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重量:3.00kg。</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功能特性：无风扇设计，集成交换机、485接口、报警2进4出、视频HDMI及VGA接口</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通讯转换器</w:t>
            </w:r>
          </w:p>
        </w:tc>
        <w:tc>
          <w:tcPr>
            <w:tcW w:w="5383"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通讯接口：RS485；设备通过485通讯卡与电脑交换数据；通讯距离：≤1.2Km；工作温度：-25℃~50℃；相对湿度：≤95%。</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只</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管理电脑</w:t>
            </w:r>
          </w:p>
        </w:tc>
        <w:tc>
          <w:tcPr>
            <w:tcW w:w="5383"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Arial" w:hAnsi="Arial" w:cs="Arial"/>
                <w:color w:val="auto"/>
                <w:sz w:val="20"/>
                <w:szCs w:val="20"/>
                <w:highlight w:val="none"/>
              </w:rPr>
            </w:pP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甲供，不在本次招标范围内，投标单位负责调试及系统适配</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0" cy="237490"/>
                  <wp:effectExtent l="0" t="0" r="0" b="0"/>
                  <wp:wrapNone/>
                  <wp:docPr id="1" name="Text_Box_80"/>
                  <wp:cNvGraphicFramePr/>
                  <a:graphic xmlns:a="http://schemas.openxmlformats.org/drawingml/2006/main">
                    <a:graphicData uri="http://schemas.openxmlformats.org/drawingml/2006/picture">
                      <pic:pic xmlns:pic="http://schemas.openxmlformats.org/drawingml/2006/picture">
                        <pic:nvPicPr>
                          <pic:cNvPr id="1" name="Text_Box_80"/>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0" cy="237490"/>
                  <wp:effectExtent l="0" t="0" r="0" b="0"/>
                  <wp:wrapNone/>
                  <wp:docPr id="2" name="Text_Box_80_SpCnt_1"/>
                  <wp:cNvGraphicFramePr/>
                  <a:graphic xmlns:a="http://schemas.openxmlformats.org/drawingml/2006/main">
                    <a:graphicData uri="http://schemas.openxmlformats.org/drawingml/2006/picture">
                      <pic:pic xmlns:pic="http://schemas.openxmlformats.org/drawingml/2006/picture">
                        <pic:nvPicPr>
                          <pic:cNvPr id="2" name="Text_Box_80_SpCnt_1"/>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0" cy="237490"/>
                  <wp:effectExtent l="0" t="0" r="0" b="0"/>
                  <wp:wrapNone/>
                  <wp:docPr id="3" name="Text_Box_80_SpCnt_2"/>
                  <wp:cNvGraphicFramePr/>
                  <a:graphic xmlns:a="http://schemas.openxmlformats.org/drawingml/2006/main">
                    <a:graphicData uri="http://schemas.openxmlformats.org/drawingml/2006/picture">
                      <pic:pic xmlns:pic="http://schemas.openxmlformats.org/drawingml/2006/picture">
                        <pic:nvPicPr>
                          <pic:cNvPr id="3" name="Text_Box_80_SpCnt_2"/>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5250" cy="237490"/>
                  <wp:effectExtent l="0" t="0" r="0" b="0"/>
                  <wp:wrapNone/>
                  <wp:docPr id="4" name="Text_Box_80_SpCnt_3"/>
                  <wp:cNvGraphicFramePr/>
                  <a:graphic xmlns:a="http://schemas.openxmlformats.org/drawingml/2006/main">
                    <a:graphicData uri="http://schemas.openxmlformats.org/drawingml/2006/picture">
                      <pic:pic xmlns:pic="http://schemas.openxmlformats.org/drawingml/2006/picture">
                        <pic:nvPicPr>
                          <pic:cNvPr id="4" name="Text_Box_80_SpCnt_3"/>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250" cy="237490"/>
                  <wp:effectExtent l="0" t="0" r="0" b="0"/>
                  <wp:wrapNone/>
                  <wp:docPr id="5" name="Text_Box_80_SpCnt_4"/>
                  <wp:cNvGraphicFramePr/>
                  <a:graphic xmlns:a="http://schemas.openxmlformats.org/drawingml/2006/main">
                    <a:graphicData uri="http://schemas.openxmlformats.org/drawingml/2006/picture">
                      <pic:pic xmlns:pic="http://schemas.openxmlformats.org/drawingml/2006/picture">
                        <pic:nvPicPr>
                          <pic:cNvPr id="5" name="Text_Box_80_SpCnt_4"/>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5250" cy="237490"/>
                  <wp:effectExtent l="0" t="0" r="0" b="0"/>
                  <wp:wrapNone/>
                  <wp:docPr id="6" name="Text_Box_80_SpCnt_5"/>
                  <wp:cNvGraphicFramePr/>
                  <a:graphic xmlns:a="http://schemas.openxmlformats.org/drawingml/2006/main">
                    <a:graphicData uri="http://schemas.openxmlformats.org/drawingml/2006/picture">
                      <pic:pic xmlns:pic="http://schemas.openxmlformats.org/drawingml/2006/picture">
                        <pic:nvPicPr>
                          <pic:cNvPr id="6" name="Text_Box_80_SpCnt_5"/>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5250" cy="237490"/>
                  <wp:effectExtent l="0" t="0" r="0" b="0"/>
                  <wp:wrapNone/>
                  <wp:docPr id="7" name="Text_Box_80_SpCnt_6"/>
                  <wp:cNvGraphicFramePr/>
                  <a:graphic xmlns:a="http://schemas.openxmlformats.org/drawingml/2006/main">
                    <a:graphicData uri="http://schemas.openxmlformats.org/drawingml/2006/picture">
                      <pic:pic xmlns:pic="http://schemas.openxmlformats.org/drawingml/2006/picture">
                        <pic:nvPicPr>
                          <pic:cNvPr id="7" name="Text_Box_80_SpCnt_6"/>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250" cy="237490"/>
                  <wp:effectExtent l="0" t="0" r="0" b="0"/>
                  <wp:wrapNone/>
                  <wp:docPr id="8" name="Text_Box_80_SpCnt_7"/>
                  <wp:cNvGraphicFramePr/>
                  <a:graphic xmlns:a="http://schemas.openxmlformats.org/drawingml/2006/main">
                    <a:graphicData uri="http://schemas.openxmlformats.org/drawingml/2006/picture">
                      <pic:pic xmlns:pic="http://schemas.openxmlformats.org/drawingml/2006/picture">
                        <pic:nvPicPr>
                          <pic:cNvPr id="8" name="Text_Box_80_SpCnt_7"/>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0" cy="237490"/>
                  <wp:effectExtent l="0" t="0" r="0" b="0"/>
                  <wp:wrapNone/>
                  <wp:docPr id="9" name="Text_Box_80_SpCnt_8"/>
                  <wp:cNvGraphicFramePr/>
                  <a:graphic xmlns:a="http://schemas.openxmlformats.org/drawingml/2006/main">
                    <a:graphicData uri="http://schemas.openxmlformats.org/drawingml/2006/picture">
                      <pic:pic xmlns:pic="http://schemas.openxmlformats.org/drawingml/2006/picture">
                        <pic:nvPicPr>
                          <pic:cNvPr id="9" name="Text_Box_80_SpCnt_8"/>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95250" cy="237490"/>
                  <wp:effectExtent l="0" t="0" r="0" b="0"/>
                  <wp:wrapNone/>
                  <wp:docPr id="10" name="Text_Box_80_SpCnt_9"/>
                  <wp:cNvGraphicFramePr/>
                  <a:graphic xmlns:a="http://schemas.openxmlformats.org/drawingml/2006/main">
                    <a:graphicData uri="http://schemas.openxmlformats.org/drawingml/2006/picture">
                      <pic:pic xmlns:pic="http://schemas.openxmlformats.org/drawingml/2006/picture">
                        <pic:nvPicPr>
                          <pic:cNvPr id="10" name="Text_Box_80_SpCnt_9"/>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95250" cy="237490"/>
                  <wp:effectExtent l="0" t="0" r="0" b="0"/>
                  <wp:wrapNone/>
                  <wp:docPr id="11" name="Text_Box_80_SpCnt_10"/>
                  <wp:cNvGraphicFramePr/>
                  <a:graphic xmlns:a="http://schemas.openxmlformats.org/drawingml/2006/main">
                    <a:graphicData uri="http://schemas.openxmlformats.org/drawingml/2006/picture">
                      <pic:pic xmlns:pic="http://schemas.openxmlformats.org/drawingml/2006/picture">
                        <pic:nvPicPr>
                          <pic:cNvPr id="11" name="Text_Box_80_SpCnt_10"/>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95250" cy="237490"/>
                  <wp:effectExtent l="0" t="0" r="0" b="0"/>
                  <wp:wrapNone/>
                  <wp:docPr id="12" name="Text_Box_80_SpCnt_11"/>
                  <wp:cNvGraphicFramePr/>
                  <a:graphic xmlns:a="http://schemas.openxmlformats.org/drawingml/2006/main">
                    <a:graphicData uri="http://schemas.openxmlformats.org/drawingml/2006/picture">
                      <pic:pic xmlns:pic="http://schemas.openxmlformats.org/drawingml/2006/picture">
                        <pic:nvPicPr>
                          <pic:cNvPr id="12" name="Text_Box_80_SpCnt_11"/>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95250" cy="237490"/>
                  <wp:effectExtent l="0" t="0" r="0" b="0"/>
                  <wp:wrapNone/>
                  <wp:docPr id="13" name="Text_Box_80_SpCnt_12"/>
                  <wp:cNvGraphicFramePr/>
                  <a:graphic xmlns:a="http://schemas.openxmlformats.org/drawingml/2006/main">
                    <a:graphicData uri="http://schemas.openxmlformats.org/drawingml/2006/picture">
                      <pic:pic xmlns:pic="http://schemas.openxmlformats.org/drawingml/2006/picture">
                        <pic:nvPicPr>
                          <pic:cNvPr id="13" name="Text_Box_80_SpCnt_12"/>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95250" cy="237490"/>
                  <wp:effectExtent l="0" t="0" r="0" b="0"/>
                  <wp:wrapNone/>
                  <wp:docPr id="14" name="Text_Box_80_SpCnt_13"/>
                  <wp:cNvGraphicFramePr/>
                  <a:graphic xmlns:a="http://schemas.openxmlformats.org/drawingml/2006/main">
                    <a:graphicData uri="http://schemas.openxmlformats.org/drawingml/2006/picture">
                      <pic:pic xmlns:pic="http://schemas.openxmlformats.org/drawingml/2006/picture">
                        <pic:nvPicPr>
                          <pic:cNvPr id="14" name="Text_Box_80_SpCnt_13"/>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95250" cy="237490"/>
                  <wp:effectExtent l="0" t="0" r="0" b="0"/>
                  <wp:wrapNone/>
                  <wp:docPr id="15" name="Text_Box_80_SpCnt_14"/>
                  <wp:cNvGraphicFramePr/>
                  <a:graphic xmlns:a="http://schemas.openxmlformats.org/drawingml/2006/main">
                    <a:graphicData uri="http://schemas.openxmlformats.org/drawingml/2006/picture">
                      <pic:pic xmlns:pic="http://schemas.openxmlformats.org/drawingml/2006/picture">
                        <pic:nvPicPr>
                          <pic:cNvPr id="15" name="Text_Box_80_SpCnt_14"/>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95250" cy="237490"/>
                  <wp:effectExtent l="0" t="0" r="0" b="0"/>
                  <wp:wrapNone/>
                  <wp:docPr id="16" name="Text_Box_80_SpCnt_15"/>
                  <wp:cNvGraphicFramePr/>
                  <a:graphic xmlns:a="http://schemas.openxmlformats.org/drawingml/2006/main">
                    <a:graphicData uri="http://schemas.openxmlformats.org/drawingml/2006/picture">
                      <pic:pic xmlns:pic="http://schemas.openxmlformats.org/drawingml/2006/picture">
                        <pic:nvPicPr>
                          <pic:cNvPr id="16" name="Text_Box_80_SpCnt_15"/>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95250" cy="237490"/>
                  <wp:effectExtent l="0" t="0" r="0" b="0"/>
                  <wp:wrapNone/>
                  <wp:docPr id="17" name="Text_Box_80_SpCnt_16"/>
                  <wp:cNvGraphicFramePr/>
                  <a:graphic xmlns:a="http://schemas.openxmlformats.org/drawingml/2006/main">
                    <a:graphicData uri="http://schemas.openxmlformats.org/drawingml/2006/picture">
                      <pic:pic xmlns:pic="http://schemas.openxmlformats.org/drawingml/2006/picture">
                        <pic:nvPicPr>
                          <pic:cNvPr id="17" name="Text_Box_80_SpCnt_16"/>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95250" cy="237490"/>
                  <wp:effectExtent l="0" t="0" r="0" b="0"/>
                  <wp:wrapNone/>
                  <wp:docPr id="18" name="Text_Box_80_SpCnt_17"/>
                  <wp:cNvGraphicFramePr/>
                  <a:graphic xmlns:a="http://schemas.openxmlformats.org/drawingml/2006/main">
                    <a:graphicData uri="http://schemas.openxmlformats.org/drawingml/2006/picture">
                      <pic:pic xmlns:pic="http://schemas.openxmlformats.org/drawingml/2006/picture">
                        <pic:nvPicPr>
                          <pic:cNvPr id="18" name="Text_Box_80_SpCnt_17"/>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95250" cy="237490"/>
                  <wp:effectExtent l="0" t="0" r="0" b="0"/>
                  <wp:wrapNone/>
                  <wp:docPr id="19" name="Text_Box_80_SpCnt_18"/>
                  <wp:cNvGraphicFramePr/>
                  <a:graphic xmlns:a="http://schemas.openxmlformats.org/drawingml/2006/main">
                    <a:graphicData uri="http://schemas.openxmlformats.org/drawingml/2006/picture">
                      <pic:pic xmlns:pic="http://schemas.openxmlformats.org/drawingml/2006/picture">
                        <pic:nvPicPr>
                          <pic:cNvPr id="19" name="Text_Box_80_SpCnt_18"/>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95250" cy="237490"/>
                  <wp:effectExtent l="0" t="0" r="0" b="0"/>
                  <wp:wrapNone/>
                  <wp:docPr id="20" name="Text_Box_80_SpCnt_19"/>
                  <wp:cNvGraphicFramePr/>
                  <a:graphic xmlns:a="http://schemas.openxmlformats.org/drawingml/2006/main">
                    <a:graphicData uri="http://schemas.openxmlformats.org/drawingml/2006/picture">
                      <pic:pic xmlns:pic="http://schemas.openxmlformats.org/drawingml/2006/picture">
                        <pic:nvPicPr>
                          <pic:cNvPr id="20" name="Text_Box_80_SpCnt_19"/>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95250" cy="237490"/>
                  <wp:effectExtent l="0" t="0" r="0" b="0"/>
                  <wp:wrapNone/>
                  <wp:docPr id="21" name="Text_Box_80_SpCnt_20"/>
                  <wp:cNvGraphicFramePr/>
                  <a:graphic xmlns:a="http://schemas.openxmlformats.org/drawingml/2006/main">
                    <a:graphicData uri="http://schemas.openxmlformats.org/drawingml/2006/picture">
                      <pic:pic xmlns:pic="http://schemas.openxmlformats.org/drawingml/2006/picture">
                        <pic:nvPicPr>
                          <pic:cNvPr id="21" name="Text_Box_80_SpCnt_20"/>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95250" cy="237490"/>
                  <wp:effectExtent l="0" t="0" r="0" b="0"/>
                  <wp:wrapNone/>
                  <wp:docPr id="22" name="Text_Box_80_SpCnt_21"/>
                  <wp:cNvGraphicFramePr/>
                  <a:graphic xmlns:a="http://schemas.openxmlformats.org/drawingml/2006/main">
                    <a:graphicData uri="http://schemas.openxmlformats.org/drawingml/2006/picture">
                      <pic:pic xmlns:pic="http://schemas.openxmlformats.org/drawingml/2006/picture">
                        <pic:nvPicPr>
                          <pic:cNvPr id="22" name="Text_Box_80_SpCnt_21"/>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95250" cy="237490"/>
                  <wp:effectExtent l="0" t="0" r="0" b="0"/>
                  <wp:wrapNone/>
                  <wp:docPr id="23" name="Text_Box_80_SpCnt_22"/>
                  <wp:cNvGraphicFramePr/>
                  <a:graphic xmlns:a="http://schemas.openxmlformats.org/drawingml/2006/main">
                    <a:graphicData uri="http://schemas.openxmlformats.org/drawingml/2006/picture">
                      <pic:pic xmlns:pic="http://schemas.openxmlformats.org/drawingml/2006/picture">
                        <pic:nvPicPr>
                          <pic:cNvPr id="23" name="Text_Box_80_SpCnt_22"/>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95250" cy="237490"/>
                  <wp:effectExtent l="0" t="0" r="0" b="0"/>
                  <wp:wrapNone/>
                  <wp:docPr id="24" name="Text_Box_80_SpCnt_23"/>
                  <wp:cNvGraphicFramePr/>
                  <a:graphic xmlns:a="http://schemas.openxmlformats.org/drawingml/2006/main">
                    <a:graphicData uri="http://schemas.openxmlformats.org/drawingml/2006/picture">
                      <pic:pic xmlns:pic="http://schemas.openxmlformats.org/drawingml/2006/picture">
                        <pic:nvPicPr>
                          <pic:cNvPr id="24" name="Text_Box_80_SpCnt_23"/>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95250" cy="237490"/>
                  <wp:effectExtent l="0" t="0" r="0" b="0"/>
                  <wp:wrapNone/>
                  <wp:docPr id="25" name="Text_Box_80_SpCnt_24"/>
                  <wp:cNvGraphicFramePr/>
                  <a:graphic xmlns:a="http://schemas.openxmlformats.org/drawingml/2006/main">
                    <a:graphicData uri="http://schemas.openxmlformats.org/drawingml/2006/picture">
                      <pic:pic xmlns:pic="http://schemas.openxmlformats.org/drawingml/2006/picture">
                        <pic:nvPicPr>
                          <pic:cNvPr id="25" name="Text_Box_80_SpCnt_24"/>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95250" cy="237490"/>
                  <wp:effectExtent l="0" t="0" r="0" b="0"/>
                  <wp:wrapNone/>
                  <wp:docPr id="26" name="Text_Box_80_SpCnt_25"/>
                  <wp:cNvGraphicFramePr/>
                  <a:graphic xmlns:a="http://schemas.openxmlformats.org/drawingml/2006/main">
                    <a:graphicData uri="http://schemas.openxmlformats.org/drawingml/2006/picture">
                      <pic:pic xmlns:pic="http://schemas.openxmlformats.org/drawingml/2006/picture">
                        <pic:nvPicPr>
                          <pic:cNvPr id="26" name="Text_Box_80_SpCnt_25"/>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95250" cy="237490"/>
                  <wp:effectExtent l="0" t="0" r="0" b="0"/>
                  <wp:wrapNone/>
                  <wp:docPr id="27" name="Text_Box_80_SpCnt_26"/>
                  <wp:cNvGraphicFramePr/>
                  <a:graphic xmlns:a="http://schemas.openxmlformats.org/drawingml/2006/main">
                    <a:graphicData uri="http://schemas.openxmlformats.org/drawingml/2006/picture">
                      <pic:pic xmlns:pic="http://schemas.openxmlformats.org/drawingml/2006/picture">
                        <pic:nvPicPr>
                          <pic:cNvPr id="27" name="Text_Box_80_SpCnt_26"/>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95250" cy="237490"/>
                  <wp:effectExtent l="0" t="0" r="0" b="0"/>
                  <wp:wrapNone/>
                  <wp:docPr id="28" name="Text_Box_80_SpCnt_27"/>
                  <wp:cNvGraphicFramePr/>
                  <a:graphic xmlns:a="http://schemas.openxmlformats.org/drawingml/2006/main">
                    <a:graphicData uri="http://schemas.openxmlformats.org/drawingml/2006/picture">
                      <pic:pic xmlns:pic="http://schemas.openxmlformats.org/drawingml/2006/picture">
                        <pic:nvPicPr>
                          <pic:cNvPr id="28" name="Text_Box_80_SpCnt_27"/>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95250" cy="237490"/>
                  <wp:effectExtent l="0" t="0" r="0" b="0"/>
                  <wp:wrapNone/>
                  <wp:docPr id="29" name="Text_Box_80_SpCnt_28"/>
                  <wp:cNvGraphicFramePr/>
                  <a:graphic xmlns:a="http://schemas.openxmlformats.org/drawingml/2006/main">
                    <a:graphicData uri="http://schemas.openxmlformats.org/drawingml/2006/picture">
                      <pic:pic xmlns:pic="http://schemas.openxmlformats.org/drawingml/2006/picture">
                        <pic:nvPicPr>
                          <pic:cNvPr id="29" name="Text_Box_80_SpCnt_28"/>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95250" cy="237490"/>
                  <wp:effectExtent l="0" t="0" r="0" b="0"/>
                  <wp:wrapNone/>
                  <wp:docPr id="30" name="Text_Box_80_SpCnt_29"/>
                  <wp:cNvGraphicFramePr/>
                  <a:graphic xmlns:a="http://schemas.openxmlformats.org/drawingml/2006/main">
                    <a:graphicData uri="http://schemas.openxmlformats.org/drawingml/2006/picture">
                      <pic:pic xmlns:pic="http://schemas.openxmlformats.org/drawingml/2006/picture">
                        <pic:nvPicPr>
                          <pic:cNvPr id="30" name="Text_Box_80_SpCnt_29"/>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95250" cy="237490"/>
                  <wp:effectExtent l="0" t="0" r="0" b="0"/>
                  <wp:wrapNone/>
                  <wp:docPr id="31" name="Text_Box_80_SpCnt_30"/>
                  <wp:cNvGraphicFramePr/>
                  <a:graphic xmlns:a="http://schemas.openxmlformats.org/drawingml/2006/main">
                    <a:graphicData uri="http://schemas.openxmlformats.org/drawingml/2006/picture">
                      <pic:pic xmlns:pic="http://schemas.openxmlformats.org/drawingml/2006/picture">
                        <pic:nvPicPr>
                          <pic:cNvPr id="31" name="Text_Box_80_SpCnt_30"/>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bdr w:val="single" w:color="000000" w:sz="4" w:space="0"/>
                <w:lang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95250" cy="237490"/>
                  <wp:effectExtent l="0" t="0" r="0" b="0"/>
                  <wp:wrapNone/>
                  <wp:docPr id="32" name="Text_Box_80_SpCnt_31"/>
                  <wp:cNvGraphicFramePr/>
                  <a:graphic xmlns:a="http://schemas.openxmlformats.org/drawingml/2006/main">
                    <a:graphicData uri="http://schemas.openxmlformats.org/drawingml/2006/picture">
                      <pic:pic xmlns:pic="http://schemas.openxmlformats.org/drawingml/2006/picture">
                        <pic:nvPicPr>
                          <pic:cNvPr id="32" name="Text_Box_80_SpCnt_31"/>
                          <pic:cNvPicPr/>
                        </pic:nvPicPr>
                        <pic:blipFill>
                          <a:blip r:embed="rId11"/>
                          <a:stretch>
                            <a:fillRect/>
                          </a:stretch>
                        </pic:blipFill>
                        <pic:spPr>
                          <a:xfrm>
                            <a:off x="0" y="0"/>
                            <a:ext cx="95250" cy="237490"/>
                          </a:xfrm>
                          <a:prstGeom prst="rect">
                            <a:avLst/>
                          </a:prstGeom>
                          <a:noFill/>
                          <a:ln>
                            <a:noFill/>
                          </a:ln>
                        </pic:spPr>
                      </pic:pic>
                    </a:graphicData>
                  </a:graphic>
                </wp:anchor>
              </w:drawing>
            </w:r>
            <w:r>
              <w:rPr>
                <w:rFonts w:hint="eastAsia" w:ascii="宋体" w:hAnsi="宋体" w:cs="宋体"/>
                <w:color w:val="auto"/>
                <w:kern w:val="0"/>
                <w:sz w:val="20"/>
                <w:szCs w:val="20"/>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0</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64" w:hRule="atLeast"/>
        </w:trPr>
        <w:tc>
          <w:tcPr>
            <w:tcW w:w="19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二、人脸识别人行摆闸</w:t>
            </w:r>
          </w:p>
        </w:tc>
        <w:tc>
          <w:tcPr>
            <w:tcW w:w="53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95250" cy="252730"/>
                  <wp:effectExtent l="0" t="0" r="0" b="0"/>
                  <wp:wrapNone/>
                  <wp:docPr id="33" name="Text_Box_80_SpCnt_32"/>
                  <wp:cNvGraphicFramePr/>
                  <a:graphic xmlns:a="http://schemas.openxmlformats.org/drawingml/2006/main">
                    <a:graphicData uri="http://schemas.openxmlformats.org/drawingml/2006/picture">
                      <pic:pic xmlns:pic="http://schemas.openxmlformats.org/drawingml/2006/picture">
                        <pic:nvPicPr>
                          <pic:cNvPr id="33" name="Text_Box_80_SpCnt_32"/>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95250" cy="252730"/>
                  <wp:effectExtent l="0" t="0" r="0" b="0"/>
                  <wp:wrapNone/>
                  <wp:docPr id="34" name="Text_Box_80_SpCnt_33"/>
                  <wp:cNvGraphicFramePr/>
                  <a:graphic xmlns:a="http://schemas.openxmlformats.org/drawingml/2006/main">
                    <a:graphicData uri="http://schemas.openxmlformats.org/drawingml/2006/picture">
                      <pic:pic xmlns:pic="http://schemas.openxmlformats.org/drawingml/2006/picture">
                        <pic:nvPicPr>
                          <pic:cNvPr id="34" name="Text_Box_80_SpCnt_33"/>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95250" cy="252730"/>
                  <wp:effectExtent l="0" t="0" r="0" b="0"/>
                  <wp:wrapNone/>
                  <wp:docPr id="35" name="Text_Box_80_SpCnt_34"/>
                  <wp:cNvGraphicFramePr/>
                  <a:graphic xmlns:a="http://schemas.openxmlformats.org/drawingml/2006/main">
                    <a:graphicData uri="http://schemas.openxmlformats.org/drawingml/2006/picture">
                      <pic:pic xmlns:pic="http://schemas.openxmlformats.org/drawingml/2006/picture">
                        <pic:nvPicPr>
                          <pic:cNvPr id="35" name="Text_Box_80_SpCnt_34"/>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95250" cy="252730"/>
                  <wp:effectExtent l="0" t="0" r="0" b="0"/>
                  <wp:wrapNone/>
                  <wp:docPr id="36" name="Text_Box_80_SpCnt_35"/>
                  <wp:cNvGraphicFramePr/>
                  <a:graphic xmlns:a="http://schemas.openxmlformats.org/drawingml/2006/main">
                    <a:graphicData uri="http://schemas.openxmlformats.org/drawingml/2006/picture">
                      <pic:pic xmlns:pic="http://schemas.openxmlformats.org/drawingml/2006/picture">
                        <pic:nvPicPr>
                          <pic:cNvPr id="36" name="Text_Box_80_SpCnt_35"/>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95250" cy="252730"/>
                  <wp:effectExtent l="0" t="0" r="0" b="0"/>
                  <wp:wrapNone/>
                  <wp:docPr id="37" name="Text_Box_80_SpCnt_36"/>
                  <wp:cNvGraphicFramePr/>
                  <a:graphic xmlns:a="http://schemas.openxmlformats.org/drawingml/2006/main">
                    <a:graphicData uri="http://schemas.openxmlformats.org/drawingml/2006/picture">
                      <pic:pic xmlns:pic="http://schemas.openxmlformats.org/drawingml/2006/picture">
                        <pic:nvPicPr>
                          <pic:cNvPr id="37" name="Text_Box_80_SpCnt_36"/>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95250" cy="252730"/>
                  <wp:effectExtent l="0" t="0" r="0" b="0"/>
                  <wp:wrapNone/>
                  <wp:docPr id="38" name="Text_Box_80_SpCnt_37"/>
                  <wp:cNvGraphicFramePr/>
                  <a:graphic xmlns:a="http://schemas.openxmlformats.org/drawingml/2006/main">
                    <a:graphicData uri="http://schemas.openxmlformats.org/drawingml/2006/picture">
                      <pic:pic xmlns:pic="http://schemas.openxmlformats.org/drawingml/2006/picture">
                        <pic:nvPicPr>
                          <pic:cNvPr id="38" name="Text_Box_80_SpCnt_37"/>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95250" cy="252730"/>
                  <wp:effectExtent l="0" t="0" r="0" b="0"/>
                  <wp:wrapNone/>
                  <wp:docPr id="39" name="Text_Box_80_SpCnt_38"/>
                  <wp:cNvGraphicFramePr/>
                  <a:graphic xmlns:a="http://schemas.openxmlformats.org/drawingml/2006/main">
                    <a:graphicData uri="http://schemas.openxmlformats.org/drawingml/2006/picture">
                      <pic:pic xmlns:pic="http://schemas.openxmlformats.org/drawingml/2006/picture">
                        <pic:nvPicPr>
                          <pic:cNvPr id="39" name="Text_Box_80_SpCnt_38"/>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95250" cy="252730"/>
                  <wp:effectExtent l="0" t="0" r="0" b="0"/>
                  <wp:wrapNone/>
                  <wp:docPr id="40" name="Text_Box_80_SpCnt_39"/>
                  <wp:cNvGraphicFramePr/>
                  <a:graphic xmlns:a="http://schemas.openxmlformats.org/drawingml/2006/main">
                    <a:graphicData uri="http://schemas.openxmlformats.org/drawingml/2006/picture">
                      <pic:pic xmlns:pic="http://schemas.openxmlformats.org/drawingml/2006/picture">
                        <pic:nvPicPr>
                          <pic:cNvPr id="40" name="Text_Box_80_SpCnt_39"/>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95250" cy="252730"/>
                  <wp:effectExtent l="0" t="0" r="0" b="0"/>
                  <wp:wrapNone/>
                  <wp:docPr id="41" name="Text_Box_80_SpCnt_40"/>
                  <wp:cNvGraphicFramePr/>
                  <a:graphic xmlns:a="http://schemas.openxmlformats.org/drawingml/2006/main">
                    <a:graphicData uri="http://schemas.openxmlformats.org/drawingml/2006/picture">
                      <pic:pic xmlns:pic="http://schemas.openxmlformats.org/drawingml/2006/picture">
                        <pic:nvPicPr>
                          <pic:cNvPr id="41" name="Text_Box_80_SpCnt_40"/>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95250" cy="252730"/>
                  <wp:effectExtent l="0" t="0" r="0" b="0"/>
                  <wp:wrapNone/>
                  <wp:docPr id="42" name="Text_Box_80_SpCnt_41"/>
                  <wp:cNvGraphicFramePr/>
                  <a:graphic xmlns:a="http://schemas.openxmlformats.org/drawingml/2006/main">
                    <a:graphicData uri="http://schemas.openxmlformats.org/drawingml/2006/picture">
                      <pic:pic xmlns:pic="http://schemas.openxmlformats.org/drawingml/2006/picture">
                        <pic:nvPicPr>
                          <pic:cNvPr id="42" name="Text_Box_80_SpCnt_41"/>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95250" cy="252730"/>
                  <wp:effectExtent l="0" t="0" r="0" b="0"/>
                  <wp:wrapNone/>
                  <wp:docPr id="43" name="Text_Box_80_SpCnt_42"/>
                  <wp:cNvGraphicFramePr/>
                  <a:graphic xmlns:a="http://schemas.openxmlformats.org/drawingml/2006/main">
                    <a:graphicData uri="http://schemas.openxmlformats.org/drawingml/2006/picture">
                      <pic:pic xmlns:pic="http://schemas.openxmlformats.org/drawingml/2006/picture">
                        <pic:nvPicPr>
                          <pic:cNvPr id="43" name="Text_Box_80_SpCnt_42"/>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95250" cy="252730"/>
                  <wp:effectExtent l="0" t="0" r="0" b="0"/>
                  <wp:wrapNone/>
                  <wp:docPr id="44" name="Text_Box_80_SpCnt_43"/>
                  <wp:cNvGraphicFramePr/>
                  <a:graphic xmlns:a="http://schemas.openxmlformats.org/drawingml/2006/main">
                    <a:graphicData uri="http://schemas.openxmlformats.org/drawingml/2006/picture">
                      <pic:pic xmlns:pic="http://schemas.openxmlformats.org/drawingml/2006/picture">
                        <pic:nvPicPr>
                          <pic:cNvPr id="44" name="Text_Box_80_SpCnt_43"/>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95250" cy="252730"/>
                  <wp:effectExtent l="0" t="0" r="0" b="0"/>
                  <wp:wrapNone/>
                  <wp:docPr id="45" name="Text_Box_80_SpCnt_44"/>
                  <wp:cNvGraphicFramePr/>
                  <a:graphic xmlns:a="http://schemas.openxmlformats.org/drawingml/2006/main">
                    <a:graphicData uri="http://schemas.openxmlformats.org/drawingml/2006/picture">
                      <pic:pic xmlns:pic="http://schemas.openxmlformats.org/drawingml/2006/picture">
                        <pic:nvPicPr>
                          <pic:cNvPr id="45" name="Text_Box_80_SpCnt_44"/>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95250" cy="252730"/>
                  <wp:effectExtent l="0" t="0" r="0" b="0"/>
                  <wp:wrapNone/>
                  <wp:docPr id="46" name="Text_Box_80_SpCnt_45"/>
                  <wp:cNvGraphicFramePr/>
                  <a:graphic xmlns:a="http://schemas.openxmlformats.org/drawingml/2006/main">
                    <a:graphicData uri="http://schemas.openxmlformats.org/drawingml/2006/picture">
                      <pic:pic xmlns:pic="http://schemas.openxmlformats.org/drawingml/2006/picture">
                        <pic:nvPicPr>
                          <pic:cNvPr id="46" name="Text_Box_80_SpCnt_45"/>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95250" cy="252730"/>
                  <wp:effectExtent l="0" t="0" r="0" b="0"/>
                  <wp:wrapNone/>
                  <wp:docPr id="47" name="Text_Box_80_SpCnt_46"/>
                  <wp:cNvGraphicFramePr/>
                  <a:graphic xmlns:a="http://schemas.openxmlformats.org/drawingml/2006/main">
                    <a:graphicData uri="http://schemas.openxmlformats.org/drawingml/2006/picture">
                      <pic:pic xmlns:pic="http://schemas.openxmlformats.org/drawingml/2006/picture">
                        <pic:nvPicPr>
                          <pic:cNvPr id="47" name="Text_Box_80_SpCnt_46"/>
                          <pic:cNvPicPr/>
                        </pic:nvPicPr>
                        <pic:blipFill>
                          <a:blip r:embed="rId12"/>
                          <a:stretch>
                            <a:fillRect/>
                          </a:stretch>
                        </pic:blipFill>
                        <pic:spPr>
                          <a:xfrm>
                            <a:off x="0" y="0"/>
                            <a:ext cx="95250" cy="252730"/>
                          </a:xfrm>
                          <a:prstGeom prst="rect">
                            <a:avLst/>
                          </a:prstGeom>
                          <a:noFill/>
                          <a:ln>
                            <a:noFill/>
                          </a:ln>
                        </pic:spPr>
                      </pic:pic>
                    </a:graphicData>
                  </a:graphic>
                </wp:anchor>
              </w:drawing>
            </w:r>
            <w:r>
              <w:rPr>
                <w:rFonts w:hint="eastAsia" w:ascii="宋体" w:hAnsi="宋体" w:cs="宋体"/>
                <w:color w:val="auto"/>
                <w:kern w:val="0"/>
                <w:sz w:val="18"/>
                <w:szCs w:val="18"/>
                <w:highlight w:val="none"/>
                <w:bdr w:val="single" w:color="000000" w:sz="4" w:space="0"/>
                <w:lang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95250" cy="252730"/>
                  <wp:effectExtent l="0" t="0" r="0" b="0"/>
                  <wp:wrapNone/>
                  <wp:docPr id="48" name="Text_Box_80_SpCnt_47"/>
                  <wp:cNvGraphicFramePr/>
                  <a:graphic xmlns:a="http://schemas.openxmlformats.org/drawingml/2006/main">
                    <a:graphicData uri="http://schemas.openxmlformats.org/drawingml/2006/picture">
                      <pic:pic xmlns:pic="http://schemas.openxmlformats.org/drawingml/2006/picture">
                        <pic:nvPicPr>
                          <pic:cNvPr id="48" name="Text_Box_80_SpCnt_47"/>
                          <pic:cNvPicPr/>
                        </pic:nvPicPr>
                        <pic:blipFill>
                          <a:blip r:embed="rId12"/>
                          <a:stretch>
                            <a:fillRect/>
                          </a:stretch>
                        </pic:blipFill>
                        <pic:spPr>
                          <a:xfrm>
                            <a:off x="0" y="0"/>
                            <a:ext cx="95250" cy="252730"/>
                          </a:xfrm>
                          <a:prstGeom prst="rect">
                            <a:avLst/>
                          </a:prstGeom>
                          <a:noFill/>
                          <a:ln>
                            <a:noFill/>
                          </a:ln>
                        </pic:spPr>
                      </pic:pic>
                    </a:graphicData>
                  </a:graphic>
                </wp:anchor>
              </w:drawing>
            </w:r>
          </w:p>
        </w:tc>
        <w:tc>
          <w:tcPr>
            <w:tcW w:w="5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20"/>
                <w:szCs w:val="20"/>
                <w:highlight w:val="none"/>
              </w:rPr>
            </w:pPr>
          </w:p>
        </w:tc>
      </w:tr>
      <w:tr>
        <w:tblPrEx>
          <w:tblCellMar>
            <w:top w:w="0" w:type="dxa"/>
            <w:left w:w="108" w:type="dxa"/>
            <w:bottom w:w="0" w:type="dxa"/>
            <w:right w:w="108" w:type="dxa"/>
          </w:tblCellMar>
        </w:tblPrEx>
        <w:trPr>
          <w:trHeight w:val="2640"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桥式摆闸（单机芯）</w:t>
            </w:r>
          </w:p>
        </w:tc>
        <w:tc>
          <w:tcPr>
            <w:tcW w:w="53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产品尺寸：1500mm*200mm*960mm；通道宽度：650mm；箱体材质：SUS304拉丝不锈钢，1.2±0.12mm；门翼材质：亚克力；电机类型：直流无刷伺服电机；红外对数：12对；使用环境：室内外；设备集成门禁主控板；设备容量：支持6万张普通卡、3千张来宾卡、18万条事件记录；超级电容：闸机标配超级电容，断电后门翼自动打开（符合消防要求）；通行速度：20-60人每分钟，受人员情况和通行模式影响；电压功率：AC 100~240V/50~60HZ/ 单通道（一组通道）额定功率：320W；工作温度：-20℃~70℃；物理接口：TCP/IP,I/O,RS232,RS485S；高级功能：翻越报警；分时段管控，最多支持8个时段常开、常闭模式设定；反潜回功能，单通道反潜回，多通道跨主机反潜回</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20"/>
                <w:szCs w:val="20"/>
                <w:highlight w:val="none"/>
              </w:rPr>
            </w:pPr>
          </w:p>
        </w:tc>
      </w:tr>
      <w:tr>
        <w:tblPrEx>
          <w:tblCellMar>
            <w:top w:w="0" w:type="dxa"/>
            <w:left w:w="108" w:type="dxa"/>
            <w:bottom w:w="0" w:type="dxa"/>
            <w:right w:w="108" w:type="dxa"/>
          </w:tblCellMar>
        </w:tblPrEx>
        <w:trPr>
          <w:trHeight w:val="2640"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桥式摆闸（双机芯）</w:t>
            </w:r>
          </w:p>
        </w:tc>
        <w:tc>
          <w:tcPr>
            <w:tcW w:w="53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产品尺寸：1500mm*200mm*960mm；通道宽度：650mm；箱体材质：SUS304拉丝不锈钢，1.2±0.12mm；门翼材质：亚克力；电机类型：直流无刷伺服电机；红外对数：12对；使用环境：室内外；设备集成门禁主控板；设备容量：支持6万张普通卡、3千张来宾卡、18万条事件记录；超级电容：闸机标配超级电容，断电后门翼自动打开（符合消防要求）；通行速度：20-60人每分钟，受人员情况和通行模式影响；电压功率：AC 100~240V/50~60HZ/ 单通道（一组通道）额定功率：320W；工作温度：-20℃~70℃；物理接口：TCP/IP,I/O,RS232,RS485S；高级功能：翻越报警；分时段管控，最多支持8个时段常开、常闭模式设定；反潜回功能，单通道反潜回，多通道跨主机反潜回</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20"/>
                <w:szCs w:val="20"/>
                <w:highlight w:val="none"/>
              </w:rPr>
            </w:pPr>
          </w:p>
        </w:tc>
      </w:tr>
      <w:tr>
        <w:tblPrEx>
          <w:tblCellMar>
            <w:top w:w="0" w:type="dxa"/>
            <w:left w:w="108" w:type="dxa"/>
            <w:bottom w:w="0" w:type="dxa"/>
            <w:right w:w="108" w:type="dxa"/>
          </w:tblCellMar>
        </w:tblPrEx>
        <w:trPr>
          <w:trHeight w:val="480"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通道控制器</w:t>
            </w:r>
          </w:p>
        </w:tc>
        <w:tc>
          <w:tcPr>
            <w:tcW w:w="53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32位处理器，上行TCP/IP、RS485；下行RS485、维根、232串口；225mm(L) x 180mm(w) x 15(H)</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20"/>
                <w:szCs w:val="20"/>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客户端软件</w:t>
            </w:r>
          </w:p>
        </w:tc>
        <w:tc>
          <w:tcPr>
            <w:tcW w:w="53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用于管理、发行授权</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DC12V电源</w:t>
            </w:r>
          </w:p>
        </w:tc>
        <w:tc>
          <w:tcPr>
            <w:tcW w:w="5383"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DC12V/10A；带稳压功能,电压可调</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20"/>
                <w:szCs w:val="20"/>
                <w:highlight w:val="none"/>
              </w:rPr>
            </w:pPr>
          </w:p>
        </w:tc>
      </w:tr>
      <w:tr>
        <w:tblPrEx>
          <w:tblCellMar>
            <w:top w:w="0" w:type="dxa"/>
            <w:left w:w="108" w:type="dxa"/>
            <w:bottom w:w="0" w:type="dxa"/>
            <w:right w:w="108" w:type="dxa"/>
          </w:tblCellMar>
        </w:tblPrEx>
        <w:trPr>
          <w:trHeight w:val="499"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人脸识别组件</w:t>
            </w:r>
          </w:p>
        </w:tc>
        <w:tc>
          <w:tcPr>
            <w:tcW w:w="53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设备外观：采用7英寸LCD触摸显示屏；200万像素双目宽动态摄像头，采用星光级图像传感器，可适应夜间低照度环境；人脸识别距离可大于2m，支持照片视频防假；设备容量：支持50000张人脸白名单，1：N人脸比对时间≤0.2s/人；支持100000笔事件记录存储；认证方式：支持人脸识别、刷卡（需外接485或韦根读卡器）、刷卡+人脸（需USB身份证阅读器）、人证比对（需外接USB身份证阅读器）；通讯方式：上行通讯为TCP/IP；支持Wifi；视频对讲：支持视频语音对讲功能；可接NVR，支持视频预览；设备接口： LAN*1；RS485*1；韦根*1；USB *1；门磁*1、开门按钮*1、报警输入*2；电锁*1、报警输出*1；工作电压：DC 12V/3A，需独立供电；使用环境：室内外环境，室外使用必须搭配遮阳罩；安装方式：通道安装；产品尺寸：228.6mm*126.6mm*31.55mm ；工作温度：-30~60℃。</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720"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读卡器</w:t>
            </w:r>
          </w:p>
        </w:tc>
        <w:tc>
          <w:tcPr>
            <w:tcW w:w="53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支持Mifare卡;支持485、Wiegand协议;闸机内安装;读卡频率 13.56MHz;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规格尺寸 90.5x68x1.2（mm）</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40" w:hRule="atLeast"/>
        </w:trPr>
        <w:tc>
          <w:tcPr>
            <w:tcW w:w="19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三、不锈钢升降柱</w:t>
            </w:r>
          </w:p>
        </w:tc>
        <w:tc>
          <w:tcPr>
            <w:tcW w:w="53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5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40" w:hRule="atLeast"/>
        </w:trPr>
        <w:tc>
          <w:tcPr>
            <w:tcW w:w="3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自动液压升降柱</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LED灯款</w:t>
            </w:r>
          </w:p>
        </w:tc>
        <w:tc>
          <w:tcPr>
            <w:tcW w:w="5383"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液压驱动方式，易于维护，可靠性高，使用寿命长；采取综合控制，系统运行性能稳定可靠，方便集成到用户系统中；具有开闸、关闸以及停闸的功能，且具有开优先的特点；应急释放，防止断电情况下柱体不能下降；驱动方式：液压驱动；应急方式：后备电源控制电磁阀释放；柱体壁厚：6mm；升降高度：600mm；升/降时间：3S±0.2；警示方式：LED指示灯/3M反光带；负载功率：1200W；湿度：5%~95% ；柱体材质：304不锈钢；地基盒材质：Q235（电泳：黑色）；控制方式：控制盒/遥控器；动力电压：AC220V；防护等级：IP68；柱体直径：220±3mm；温度：-40℃~+70℃；外形尺寸：321*1118mm</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40" w:hRule="atLeast"/>
        </w:trPr>
        <w:tc>
          <w:tcPr>
            <w:tcW w:w="3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升降柱控制箱</w:t>
            </w:r>
          </w:p>
        </w:tc>
        <w:tc>
          <w:tcPr>
            <w:tcW w:w="53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600*800 防水箱    （控5-8根）</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40" w:hRule="atLeast"/>
        </w:trPr>
        <w:tc>
          <w:tcPr>
            <w:tcW w:w="19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四、访客一体机</w:t>
            </w:r>
          </w:p>
        </w:tc>
        <w:tc>
          <w:tcPr>
            <w:tcW w:w="538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highlight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highlight w:val="none"/>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5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18"/>
                <w:szCs w:val="18"/>
                <w:highlight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2640" w:hRule="atLeast"/>
        </w:trPr>
        <w:tc>
          <w:tcPr>
            <w:tcW w:w="3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访客一体机</w:t>
            </w:r>
          </w:p>
        </w:tc>
        <w:tc>
          <w:tcPr>
            <w:tcW w:w="53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设备外观：高清双屏显示，带有15.6寸电容触摸显示屏和11.6寸液晶显示屏；系统参数：设备采用Windows 7  64位操作系统；存储大小：64G固态硬盘、DDR3 4GB内存；人证功能：内置200万高清摄像头，自带身份证阅读器，支持1：1人证比对成功后自动填入访客信息；发卡功能：可通过身份证阅读器给访客发卡（Mifare卡、CPU卡序列号、身份证序列号），使访客能够在被授权的门禁刷卡通行；内置二维码扫描仪，可识别H5界面访客预约码完成访客登记，或识别访客凭条的二维码完成访客签离；内置高速热敏打印机，可打印访客凭条（打印纸要求：纸宽58mm、纸卷直径≤45mm）；通信方式：双网口设计，支持TCP/IP有线网络通讯；输入电压：AC220V（自带电源适配器）；工作功率：≤59W；</w:t>
            </w:r>
          </w:p>
        </w:tc>
        <w:tc>
          <w:tcPr>
            <w:tcW w:w="94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海康、大华、朗通</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3"/>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816"/>
        <w:gridCol w:w="4033"/>
        <w:gridCol w:w="1169"/>
        <w:gridCol w:w="658"/>
        <w:gridCol w:w="6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399" w:type="dxa"/>
            <w:gridSpan w:val="7"/>
            <w:noWrap/>
            <w:vAlign w:val="bottom"/>
          </w:tcPr>
          <w:p>
            <w:pPr>
              <w:jc w:val="center"/>
              <w:rPr>
                <w:rFonts w:hint="eastAsia" w:ascii="宋体" w:hAnsi="宋体" w:cs="宋体"/>
                <w:color w:val="auto"/>
                <w:sz w:val="20"/>
                <w:szCs w:val="20"/>
                <w:highlight w:val="none"/>
              </w:rPr>
            </w:pPr>
            <w:r>
              <w:rPr>
                <w:rFonts w:hint="eastAsia" w:ascii="宋体" w:hAnsi="宋体" w:cs="宋体"/>
                <w:b/>
                <w:bCs/>
                <w:color w:val="auto"/>
                <w:kern w:val="0"/>
                <w:sz w:val="20"/>
                <w:szCs w:val="20"/>
                <w:highlight w:val="none"/>
                <w:lang w:bidi="ar"/>
              </w:rPr>
              <w:t>信息发布系统设备清单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399" w:type="dxa"/>
            <w:gridSpan w:val="7"/>
            <w:noWrap/>
            <w:vAlign w:val="bottom"/>
          </w:tcPr>
          <w:p>
            <w:pPr>
              <w:rPr>
                <w:rFonts w:hint="eastAsia" w:ascii="宋体" w:hAnsi="宋体" w:cs="宋体"/>
                <w:color w:val="auto"/>
                <w:sz w:val="20"/>
                <w:szCs w:val="20"/>
                <w:highlight w:val="none"/>
              </w:rPr>
            </w:pPr>
            <w:r>
              <w:rPr>
                <w:rFonts w:hint="eastAsia" w:ascii="宋体" w:hAnsi="宋体" w:cs="宋体"/>
                <w:b/>
                <w:bCs/>
                <w:color w:val="auto"/>
                <w:kern w:val="0"/>
                <w:sz w:val="20"/>
                <w:szCs w:val="20"/>
                <w:highlight w:val="none"/>
                <w:lang w:bidi="ar"/>
              </w:rPr>
              <w:t>子系统名称：信息发布系统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4"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序号</w:t>
            </w:r>
          </w:p>
        </w:tc>
        <w:tc>
          <w:tcPr>
            <w:tcW w:w="1816"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设备名称</w:t>
            </w:r>
          </w:p>
        </w:tc>
        <w:tc>
          <w:tcPr>
            <w:tcW w:w="4033"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主要技术参数</w:t>
            </w:r>
          </w:p>
        </w:tc>
        <w:tc>
          <w:tcPr>
            <w:tcW w:w="1169"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推荐品牌</w:t>
            </w:r>
          </w:p>
        </w:tc>
        <w:tc>
          <w:tcPr>
            <w:tcW w:w="658"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单位</w:t>
            </w:r>
          </w:p>
        </w:tc>
        <w:tc>
          <w:tcPr>
            <w:tcW w:w="686"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 xml:space="preserve">数量 </w:t>
            </w:r>
          </w:p>
        </w:tc>
        <w:tc>
          <w:tcPr>
            <w:tcW w:w="633" w:type="dxa"/>
            <w:noWrap/>
            <w:vAlign w:val="center"/>
          </w:tcPr>
          <w:p>
            <w:pPr>
              <w:jc w:val="center"/>
              <w:rPr>
                <w:rFonts w:hint="eastAsia" w:ascii="宋体" w:hAnsi="宋体" w:cs="宋体"/>
                <w:b/>
                <w:bCs/>
                <w:color w:val="auto"/>
                <w:sz w:val="20"/>
                <w:szCs w:val="20"/>
                <w:highlight w:val="none"/>
              </w:rPr>
            </w:pPr>
            <w:r>
              <w:rPr>
                <w:rFonts w:hint="eastAsia" w:ascii="宋体" w:hAnsi="宋体" w:cs="宋体"/>
                <w:b/>
                <w:bCs/>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04" w:type="dxa"/>
            <w:noWrap w:val="0"/>
            <w:vAlign w:val="center"/>
          </w:tcPr>
          <w:p>
            <w:pPr>
              <w:jc w:val="center"/>
              <w:rPr>
                <w:rFonts w:hint="eastAsia" w:ascii="宋体" w:hAnsi="宋体" w:cs="宋体"/>
                <w:b/>
                <w:bCs/>
                <w:color w:val="auto"/>
                <w:sz w:val="20"/>
                <w:szCs w:val="20"/>
                <w:highlight w:val="none"/>
              </w:rPr>
            </w:pPr>
          </w:p>
        </w:tc>
        <w:tc>
          <w:tcPr>
            <w:tcW w:w="1816"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一、室外P4屏</w:t>
            </w:r>
          </w:p>
        </w:tc>
        <w:tc>
          <w:tcPr>
            <w:tcW w:w="4033"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显示尺寸面积：2.56*1.44=3.69㎡整屏分辨率： 640*360=230400像素</w:t>
            </w:r>
          </w:p>
        </w:tc>
        <w:tc>
          <w:tcPr>
            <w:tcW w:w="1169" w:type="dxa"/>
            <w:noWrap w:val="0"/>
            <w:vAlign w:val="center"/>
          </w:tcPr>
          <w:p>
            <w:pPr>
              <w:jc w:val="center"/>
              <w:rPr>
                <w:rFonts w:hint="eastAsia" w:ascii="宋体" w:hAnsi="宋体" w:cs="宋体"/>
                <w:b/>
                <w:bCs/>
                <w:color w:val="auto"/>
                <w:sz w:val="20"/>
                <w:szCs w:val="20"/>
                <w:highlight w:val="none"/>
              </w:rPr>
            </w:pPr>
          </w:p>
        </w:tc>
        <w:tc>
          <w:tcPr>
            <w:tcW w:w="658" w:type="dxa"/>
            <w:noWrap w:val="0"/>
            <w:vAlign w:val="center"/>
          </w:tcPr>
          <w:p>
            <w:pPr>
              <w:jc w:val="center"/>
              <w:rPr>
                <w:rFonts w:hint="eastAsia" w:ascii="宋体" w:hAnsi="宋体" w:cs="宋体"/>
                <w:b/>
                <w:bCs/>
                <w:color w:val="auto"/>
                <w:sz w:val="20"/>
                <w:szCs w:val="20"/>
                <w:highlight w:val="none"/>
              </w:rPr>
            </w:pPr>
          </w:p>
        </w:tc>
        <w:tc>
          <w:tcPr>
            <w:tcW w:w="686" w:type="dxa"/>
            <w:noWrap w:val="0"/>
            <w:vAlign w:val="center"/>
          </w:tcPr>
          <w:p>
            <w:pPr>
              <w:jc w:val="center"/>
              <w:rPr>
                <w:rFonts w:hint="eastAsia" w:ascii="宋体" w:hAnsi="宋体" w:cs="宋体"/>
                <w:b/>
                <w:bCs/>
                <w:color w:val="auto"/>
                <w:sz w:val="20"/>
                <w:szCs w:val="20"/>
                <w:highlight w:val="none"/>
              </w:rPr>
            </w:pPr>
          </w:p>
        </w:tc>
        <w:tc>
          <w:tcPr>
            <w:tcW w:w="633"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室外P4全彩屏体</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像素间距（mm） 4，刷新频率（Hz） ≥1920，像素密度（点/m2 ） 40000，模组尺寸（mm） 320mm(W)*160mm（H），模组分辨率（W×H） 64×32，驱动方式 1/8 扫描，恒流驱动模组重量 0.45kg±0.02 kg，防护等级 正面 IP65，灰度等级 红、绿、蓝各 12-16bits，显示颜色 16777216 种，换帧频率（帧/秒） ≥60亮度调节 256 级手动/自动亮度（cd/m2） ≥4500cd/㎡亮度均匀性 ≥97%色温 3500-9300K视角（°） 水平 120，垂直 120最佳视距（m） ≥5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模组间隙（mm） ＜0.6盲点率 小于万分之一最大功耗（W/m2） 750平均功耗（W/m2） 250</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3.69</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控制系统</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单卡最大带载512×512 像素，采用12 个标准的HUB75 接口，支持逐点亮色度校正，支持快速亮暗线调节</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视频处理器</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单画面；带载130万、横向最大1920、纵向最大1080；U盘脱机播放；支持无线投屏、鼠标控制（选配）；输入：1×USB、1xVGA、1xDVI、1xHDMI、1xAudio；输出：2x网口、1xAudio</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包边装饰</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铝合金包边</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3.69</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立柱</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1.5米双立柱含地笼混凝土</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04" w:type="dxa"/>
            <w:shd w:val="clear" w:color="auto" w:fill="auto"/>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816" w:type="dxa"/>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配电箱</w:t>
            </w:r>
          </w:p>
        </w:tc>
        <w:tc>
          <w:tcPr>
            <w:tcW w:w="4033" w:type="dxa"/>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含空气开关、远程控制系统，漏电保护交流接触器，定时开关，过流、短路、断路、过压、欠压、温度过高等保护，PLC分时上电和分时断电；显示屏的工作电源系统具有远程控制功能,在控制室通过软件直接开,关显示屏；具有短路,断路,过流,过压,欠压以及漏电等多种保护功能,系统软件自动处理各种应急情况；当电源系统发生严重错误时能自动关闭显示屏,报警,保证系统运行时的安全性和可靠性，投标时须提供配电柜3C认证及检测报告。</w:t>
            </w:r>
          </w:p>
        </w:tc>
        <w:tc>
          <w:tcPr>
            <w:tcW w:w="1169" w:type="dxa"/>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防水箱体</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根据显示尺寸定制</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框架结构</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轻钢结构</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3.69</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辅件</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辅材及电源</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04" w:type="dxa"/>
            <w:noWrap w:val="0"/>
            <w:vAlign w:val="center"/>
          </w:tcPr>
          <w:p>
            <w:pPr>
              <w:jc w:val="center"/>
              <w:rPr>
                <w:rFonts w:hint="eastAsia" w:ascii="宋体" w:hAnsi="宋体" w:cs="宋体"/>
                <w:b/>
                <w:bCs/>
                <w:color w:val="auto"/>
                <w:sz w:val="20"/>
                <w:szCs w:val="20"/>
                <w:highlight w:val="none"/>
              </w:rPr>
            </w:pPr>
          </w:p>
        </w:tc>
        <w:tc>
          <w:tcPr>
            <w:tcW w:w="1816"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二、报告厅P2.5屏</w:t>
            </w:r>
          </w:p>
        </w:tc>
        <w:tc>
          <w:tcPr>
            <w:tcW w:w="4033"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 xml:space="preserve">显示尺寸面积：6.4*2.4=15.36㎡整屏分辨率：3200*1200=3840000像素     </w:t>
            </w:r>
          </w:p>
        </w:tc>
        <w:tc>
          <w:tcPr>
            <w:tcW w:w="1169" w:type="dxa"/>
            <w:noWrap w:val="0"/>
            <w:vAlign w:val="center"/>
          </w:tcPr>
          <w:p>
            <w:pPr>
              <w:jc w:val="center"/>
              <w:rPr>
                <w:rFonts w:hint="eastAsia" w:ascii="宋体" w:hAnsi="宋体" w:cs="宋体"/>
                <w:b/>
                <w:bCs/>
                <w:color w:val="auto"/>
                <w:sz w:val="20"/>
                <w:szCs w:val="20"/>
                <w:highlight w:val="none"/>
              </w:rPr>
            </w:pPr>
          </w:p>
        </w:tc>
        <w:tc>
          <w:tcPr>
            <w:tcW w:w="658" w:type="dxa"/>
            <w:noWrap w:val="0"/>
            <w:vAlign w:val="center"/>
          </w:tcPr>
          <w:p>
            <w:pPr>
              <w:jc w:val="center"/>
              <w:rPr>
                <w:rFonts w:hint="eastAsia" w:ascii="宋体" w:hAnsi="宋体" w:cs="宋体"/>
                <w:b/>
                <w:bCs/>
                <w:color w:val="auto"/>
                <w:sz w:val="20"/>
                <w:szCs w:val="20"/>
                <w:highlight w:val="none"/>
              </w:rPr>
            </w:pPr>
          </w:p>
        </w:tc>
        <w:tc>
          <w:tcPr>
            <w:tcW w:w="686" w:type="dxa"/>
            <w:noWrap w:val="0"/>
            <w:vAlign w:val="center"/>
          </w:tcPr>
          <w:p>
            <w:pPr>
              <w:jc w:val="center"/>
              <w:rPr>
                <w:rFonts w:hint="eastAsia" w:ascii="宋体" w:hAnsi="宋体" w:cs="宋体"/>
                <w:b/>
                <w:bCs/>
                <w:color w:val="auto"/>
                <w:sz w:val="20"/>
                <w:szCs w:val="20"/>
                <w:highlight w:val="none"/>
              </w:rPr>
            </w:pPr>
          </w:p>
        </w:tc>
        <w:tc>
          <w:tcPr>
            <w:tcW w:w="633"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室内全彩LED屏体</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 类型：室内全彩P2.5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 LED封装：国产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 像素间距：2.5mm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 像素密度：250000点/㎡</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5）亮度：≥500cd/㎡</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6）视角：≥120°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 峰值功耗：≤500W/㎡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9）模组尺寸：304*152mm刷新频率（Hz） ≥1920</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15.36</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控制系统</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集成发送卡、视频处理、U盘播放功能于一体；支持1路DVI/HDMI/VGA/CVBS输入，1路USB播放；支持2路网口输出，130万像素带载；支持画面全屏缩放、点对点显示、自定义缩放三种缩放模式；支持窗口位置、大小调整及窗口截取功能支持6个预设场景</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视频处理器</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支持 HDMI、DVI 输入分辨率自定义调节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支持设备间备份设置</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视频输出最大带载高达 390 万像素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支持带载屏体亮度调节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支持一键将优先级最低的窗口全屏自动缩放</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支持创建 10 个用户场景作为模板保存，方便使用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支持选择 HDMI 输入源或 DVI 输入源作为同步信号，达到输出的场级同步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投屏输入子卡支持 AP / WiFi 无线模式，可实现手机，电脑的无线投屏和 U 盘播放</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前面板配备直观的 LCD 显示界面，清晰的按键灯提示，简化了系统的控制操作</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包边装饰</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铝合金包边</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15.36</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404" w:type="dxa"/>
            <w:shd w:val="clear" w:color="auto" w:fill="auto"/>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816" w:type="dxa"/>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配电箱</w:t>
            </w:r>
          </w:p>
        </w:tc>
        <w:tc>
          <w:tcPr>
            <w:tcW w:w="4033" w:type="dxa"/>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含空气开关、远程控制系统，漏电保护交流接触器，定时开关，过流、短路、断路、过压、欠压、温度过高等保护，PLC分时上电和分时断电；显示屏的工作电源系统具有远程控制功能,在控制室通过软件直接开,关显示屏；具有短路,断路,过流,过压,欠压以及漏电等多种保护功能,系统软件自动处理各种应急情况；当电源系统发生严重错误时能自动关闭显示屏,报警,保证系统运行时的安全性和可靠性，投标时须提供配电柜3C认证及检测报告。</w:t>
            </w:r>
          </w:p>
        </w:tc>
        <w:tc>
          <w:tcPr>
            <w:tcW w:w="1169" w:type="dxa"/>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框架结构</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轻钢结构</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15.36</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辅件</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辅材及电源</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04" w:type="dxa"/>
            <w:noWrap w:val="0"/>
            <w:vAlign w:val="center"/>
          </w:tcPr>
          <w:p>
            <w:pPr>
              <w:jc w:val="center"/>
              <w:rPr>
                <w:rFonts w:hint="eastAsia" w:ascii="宋体" w:hAnsi="宋体" w:cs="宋体"/>
                <w:b/>
                <w:bCs/>
                <w:color w:val="auto"/>
                <w:sz w:val="20"/>
                <w:szCs w:val="20"/>
                <w:highlight w:val="none"/>
              </w:rPr>
            </w:pPr>
          </w:p>
        </w:tc>
        <w:tc>
          <w:tcPr>
            <w:tcW w:w="1816"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三、体育馆P2.5屏</w:t>
            </w:r>
          </w:p>
        </w:tc>
        <w:tc>
          <w:tcPr>
            <w:tcW w:w="4033"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显示尺寸面积：7.9*4.4=34.76㎡整屏分辨率：4000*2240=8960000像素</w:t>
            </w:r>
          </w:p>
        </w:tc>
        <w:tc>
          <w:tcPr>
            <w:tcW w:w="1169" w:type="dxa"/>
            <w:noWrap w:val="0"/>
            <w:vAlign w:val="center"/>
          </w:tcPr>
          <w:p>
            <w:pPr>
              <w:jc w:val="center"/>
              <w:rPr>
                <w:rFonts w:hint="eastAsia" w:ascii="宋体" w:hAnsi="宋体" w:cs="宋体"/>
                <w:b/>
                <w:bCs/>
                <w:color w:val="auto"/>
                <w:sz w:val="20"/>
                <w:szCs w:val="20"/>
                <w:highlight w:val="none"/>
              </w:rPr>
            </w:pPr>
          </w:p>
        </w:tc>
        <w:tc>
          <w:tcPr>
            <w:tcW w:w="658" w:type="dxa"/>
            <w:noWrap w:val="0"/>
            <w:vAlign w:val="center"/>
          </w:tcPr>
          <w:p>
            <w:pPr>
              <w:jc w:val="center"/>
              <w:rPr>
                <w:rFonts w:hint="eastAsia" w:ascii="宋体" w:hAnsi="宋体" w:cs="宋体"/>
                <w:b/>
                <w:bCs/>
                <w:color w:val="auto"/>
                <w:sz w:val="20"/>
                <w:szCs w:val="20"/>
                <w:highlight w:val="none"/>
              </w:rPr>
            </w:pPr>
          </w:p>
        </w:tc>
        <w:tc>
          <w:tcPr>
            <w:tcW w:w="686" w:type="dxa"/>
            <w:noWrap w:val="0"/>
            <w:vAlign w:val="center"/>
          </w:tcPr>
          <w:p>
            <w:pPr>
              <w:jc w:val="center"/>
              <w:rPr>
                <w:rFonts w:hint="eastAsia" w:ascii="宋体" w:hAnsi="宋体" w:cs="宋体"/>
                <w:b/>
                <w:bCs/>
                <w:color w:val="auto"/>
                <w:sz w:val="20"/>
                <w:szCs w:val="20"/>
                <w:highlight w:val="none"/>
              </w:rPr>
            </w:pPr>
          </w:p>
        </w:tc>
        <w:tc>
          <w:tcPr>
            <w:tcW w:w="633"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室内全彩LED屏体</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 类型：室内全彩P2.5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 LED封装：国产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 像素间距：2.5mm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 像素密度：250000点/㎡</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5）亮度：≥500cd/㎡</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6）视角：≥120°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 峰值功耗：≤500W/㎡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9）模组尺寸：304*152mm刷新频率（Hz） ≥1920</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34.76</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控制系统</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集成发送卡、视频处理、U盘播放功能于一体；支持1路DVI/HDMI/VGA/CVBS输入，1路USB播放；支持2路网口输出，130万像素带载；支持画面全屏缩放、点对点显示、自定义缩放三种缩放模式；支持窗口位置、大小调整及窗口截取功能支持6个预设场景</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8"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视频处理器</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支持2 路 HDMI1.4，1 路 DVI视频输入，1路HDMI环通输出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 HDMI、DVI 输入分辨率自定义调节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支持快捷配屏和高级配屏功能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支持设备间备份设置</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支持10路千兆网口，视频带载高达 650 万像素，带载支持最大宽度10240，高度8192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支持带载屏体亮度调节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支持一键将优先级最低的窗口全屏自动缩放</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支持3个图层窗口，图层大小和位置可单独调节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支持创建 10 个用户场景作为模板保存，方便使用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支持选择 HDMI 输入源或 DVI 输入源作为同步信号，达到输出的场级同步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支持逐点亮色度校正</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前面板配备直观的 LCD 显示界面，清晰的按键灯提示，简化了系统的控制操作</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包边装饰</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铝合金包边</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34.76</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404" w:type="dxa"/>
            <w:shd w:val="clear" w:color="auto" w:fill="auto"/>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816" w:type="dxa"/>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配电箱</w:t>
            </w:r>
          </w:p>
        </w:tc>
        <w:tc>
          <w:tcPr>
            <w:tcW w:w="4033" w:type="dxa"/>
            <w:shd w:val="clear" w:color="auto" w:fill="FFFFFF"/>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含空气开关、远程控制系统，漏电保护交流接触器，定时开关，过流、短路、断路、过压、欠压、温度过高等保护，PLC分时上电和分时断电；显示屏的工作电源系统具有远程控制功能,在控制室通过软件直接开,关显示屏；具有短路,断路,过流,过压,欠压以及漏电等多种保护功能,系统软件自动处理各种应急情况；当电源系统发生严重错误时能自动关闭显示屏,报警,保证系统运行时的安全性和可靠性，投标时须提供配电柜3C认证及检测报告。</w:t>
            </w:r>
          </w:p>
        </w:tc>
        <w:tc>
          <w:tcPr>
            <w:tcW w:w="1169" w:type="dxa"/>
            <w:shd w:val="clear" w:color="auto" w:fill="auto"/>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shd w:val="clear" w:color="auto" w:fill="FFFFFF"/>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框架结构</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轻钢结构</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34.76</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辅件</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辅材及电源</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0"/>
            <w:vAlign w:val="center"/>
          </w:tcPr>
          <w:p>
            <w:pPr>
              <w:jc w:val="center"/>
              <w:rPr>
                <w:rFonts w:hint="eastAsia" w:ascii="宋体" w:hAnsi="宋体" w:cs="宋体"/>
                <w:b/>
                <w:bCs/>
                <w:color w:val="auto"/>
                <w:sz w:val="20"/>
                <w:szCs w:val="20"/>
                <w:highlight w:val="none"/>
              </w:rPr>
            </w:pPr>
          </w:p>
        </w:tc>
        <w:tc>
          <w:tcPr>
            <w:tcW w:w="1816"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四、地下室接送区</w:t>
            </w:r>
          </w:p>
        </w:tc>
        <w:tc>
          <w:tcPr>
            <w:tcW w:w="4033" w:type="dxa"/>
            <w:noWrap w:val="0"/>
            <w:vAlign w:val="center"/>
          </w:tcPr>
          <w:p>
            <w:pPr>
              <w:jc w:val="center"/>
              <w:rPr>
                <w:rFonts w:hint="eastAsia" w:ascii="宋体" w:hAnsi="宋体" w:cs="宋体"/>
                <w:b/>
                <w:bCs/>
                <w:color w:val="auto"/>
                <w:sz w:val="20"/>
                <w:szCs w:val="20"/>
                <w:highlight w:val="none"/>
              </w:rPr>
            </w:pPr>
          </w:p>
        </w:tc>
        <w:tc>
          <w:tcPr>
            <w:tcW w:w="1169" w:type="dxa"/>
            <w:noWrap w:val="0"/>
            <w:vAlign w:val="center"/>
          </w:tcPr>
          <w:p>
            <w:pPr>
              <w:jc w:val="center"/>
              <w:rPr>
                <w:rFonts w:hint="eastAsia" w:ascii="宋体" w:hAnsi="宋体" w:cs="宋体"/>
                <w:b/>
                <w:bCs/>
                <w:color w:val="auto"/>
                <w:sz w:val="20"/>
                <w:szCs w:val="20"/>
                <w:highlight w:val="none"/>
              </w:rPr>
            </w:pPr>
          </w:p>
        </w:tc>
        <w:tc>
          <w:tcPr>
            <w:tcW w:w="658" w:type="dxa"/>
            <w:noWrap w:val="0"/>
            <w:vAlign w:val="center"/>
          </w:tcPr>
          <w:p>
            <w:pPr>
              <w:jc w:val="center"/>
              <w:rPr>
                <w:rFonts w:hint="eastAsia" w:ascii="宋体" w:hAnsi="宋体" w:cs="宋体"/>
                <w:b/>
                <w:bCs/>
                <w:color w:val="auto"/>
                <w:sz w:val="20"/>
                <w:szCs w:val="20"/>
                <w:highlight w:val="none"/>
              </w:rPr>
            </w:pPr>
          </w:p>
        </w:tc>
        <w:tc>
          <w:tcPr>
            <w:tcW w:w="686" w:type="dxa"/>
            <w:noWrap w:val="0"/>
            <w:vAlign w:val="center"/>
          </w:tcPr>
          <w:p>
            <w:pPr>
              <w:jc w:val="center"/>
              <w:rPr>
                <w:rFonts w:hint="eastAsia" w:ascii="宋体" w:hAnsi="宋体" w:cs="宋体"/>
                <w:b/>
                <w:bCs/>
                <w:color w:val="auto"/>
                <w:sz w:val="20"/>
                <w:szCs w:val="20"/>
                <w:highlight w:val="none"/>
              </w:rPr>
            </w:pPr>
          </w:p>
        </w:tc>
        <w:tc>
          <w:tcPr>
            <w:tcW w:w="633"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55寸信息发布屏</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液晶显示单元，采用工业级超窄边面板，屏幕之间拼缝仅为3.5 mm。超高亮度500 cd/m²，直下式LED背光源，显示单元亮度均匀，无边界暗影现象。具有丰富的接口，可接收DVI、VGA、HDMI等各种信号</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633"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4" w:type="dxa"/>
            <w:noWrap w:val="0"/>
            <w:vAlign w:val="center"/>
          </w:tcPr>
          <w:p>
            <w:pPr>
              <w:jc w:val="center"/>
              <w:rPr>
                <w:rFonts w:hint="eastAsia" w:ascii="宋体" w:hAnsi="宋体" w:cs="宋体"/>
                <w:b/>
                <w:bCs/>
                <w:color w:val="auto"/>
                <w:sz w:val="20"/>
                <w:szCs w:val="20"/>
                <w:highlight w:val="none"/>
              </w:rPr>
            </w:pPr>
          </w:p>
        </w:tc>
        <w:tc>
          <w:tcPr>
            <w:tcW w:w="1816" w:type="dxa"/>
            <w:noWrap w:val="0"/>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五、透明厨房</w:t>
            </w:r>
          </w:p>
        </w:tc>
        <w:tc>
          <w:tcPr>
            <w:tcW w:w="4033" w:type="dxa"/>
            <w:noWrap w:val="0"/>
            <w:vAlign w:val="center"/>
          </w:tcPr>
          <w:p>
            <w:pPr>
              <w:jc w:val="center"/>
              <w:rPr>
                <w:rFonts w:hint="eastAsia" w:ascii="宋体" w:hAnsi="宋体" w:cs="宋体"/>
                <w:b/>
                <w:bCs/>
                <w:color w:val="auto"/>
                <w:sz w:val="20"/>
                <w:szCs w:val="20"/>
                <w:highlight w:val="none"/>
              </w:rPr>
            </w:pPr>
          </w:p>
        </w:tc>
        <w:tc>
          <w:tcPr>
            <w:tcW w:w="1169" w:type="dxa"/>
            <w:noWrap w:val="0"/>
            <w:vAlign w:val="center"/>
          </w:tcPr>
          <w:p>
            <w:pPr>
              <w:jc w:val="center"/>
              <w:rPr>
                <w:rFonts w:hint="eastAsia" w:ascii="宋体" w:hAnsi="宋体" w:cs="宋体"/>
                <w:b/>
                <w:bCs/>
                <w:color w:val="auto"/>
                <w:sz w:val="20"/>
                <w:szCs w:val="20"/>
                <w:highlight w:val="none"/>
              </w:rPr>
            </w:pPr>
          </w:p>
        </w:tc>
        <w:tc>
          <w:tcPr>
            <w:tcW w:w="658" w:type="dxa"/>
            <w:noWrap w:val="0"/>
            <w:vAlign w:val="center"/>
          </w:tcPr>
          <w:p>
            <w:pPr>
              <w:jc w:val="center"/>
              <w:rPr>
                <w:rFonts w:hint="eastAsia" w:ascii="宋体" w:hAnsi="宋体" w:cs="宋体"/>
                <w:b/>
                <w:bCs/>
                <w:color w:val="auto"/>
                <w:sz w:val="20"/>
                <w:szCs w:val="20"/>
                <w:highlight w:val="none"/>
              </w:rPr>
            </w:pPr>
          </w:p>
        </w:tc>
        <w:tc>
          <w:tcPr>
            <w:tcW w:w="686" w:type="dxa"/>
            <w:noWrap w:val="0"/>
            <w:vAlign w:val="center"/>
          </w:tcPr>
          <w:p>
            <w:pPr>
              <w:jc w:val="center"/>
              <w:rPr>
                <w:rFonts w:hint="eastAsia" w:ascii="宋体" w:hAnsi="宋体" w:cs="宋体"/>
                <w:b/>
                <w:bCs/>
                <w:color w:val="auto"/>
                <w:sz w:val="20"/>
                <w:szCs w:val="20"/>
                <w:highlight w:val="none"/>
              </w:rPr>
            </w:pPr>
          </w:p>
        </w:tc>
        <w:tc>
          <w:tcPr>
            <w:tcW w:w="633" w:type="dxa"/>
            <w:noWrap/>
            <w:vAlign w:val="center"/>
          </w:tcPr>
          <w:p>
            <w:pPr>
              <w:jc w:val="center"/>
              <w:rPr>
                <w:rFonts w:hint="eastAsia" w:ascii="宋体" w:hAnsi="宋体" w:cs="宋体"/>
                <w:b/>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404"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8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55寸信息发布屏</w:t>
            </w:r>
          </w:p>
        </w:tc>
        <w:tc>
          <w:tcPr>
            <w:tcW w:w="4033"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液晶显示单元，采用工业级超窄边面板，屏幕之间拼缝仅为3.5 mm。超高亮度500 cd/m²，直下式LED背光源，显示单元亮度均匀，无边界暗影现象。具有丰富的接口，可接收DVI、VGA、HDMI等各种信号,带解码功能，支持视频显示</w:t>
            </w:r>
          </w:p>
        </w:tc>
        <w:tc>
          <w:tcPr>
            <w:tcW w:w="1169"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蓝科、中视、GQY</w:t>
            </w:r>
          </w:p>
        </w:tc>
        <w:tc>
          <w:tcPr>
            <w:tcW w:w="658"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8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633" w:type="dxa"/>
            <w:noWrap/>
            <w:vAlign w:val="center"/>
          </w:tcPr>
          <w:p>
            <w:pPr>
              <w:rPr>
                <w:rFonts w:hint="eastAsia" w:ascii="宋体" w:hAnsi="宋体" w:cs="宋体"/>
                <w:color w:val="auto"/>
                <w:sz w:val="20"/>
                <w:szCs w:val="20"/>
                <w:highlight w:val="none"/>
              </w:rPr>
            </w:pPr>
          </w:p>
        </w:tc>
      </w:tr>
    </w:tbl>
    <w:p>
      <w:pPr>
        <w:spacing w:line="360" w:lineRule="auto"/>
        <w:rPr>
          <w:rFonts w:ascii="宋体" w:hAnsi="宋体" w:cs="宋体"/>
          <w:b/>
          <w:color w:val="auto"/>
          <w:sz w:val="20"/>
          <w:szCs w:val="20"/>
          <w:highlight w:val="none"/>
        </w:rPr>
      </w:pPr>
    </w:p>
    <w:p>
      <w:pPr>
        <w:spacing w:line="360" w:lineRule="auto"/>
        <w:rPr>
          <w:rFonts w:ascii="宋体" w:hAnsi="宋体" w:cs="宋体"/>
          <w:b/>
          <w:color w:val="auto"/>
          <w:sz w:val="20"/>
          <w:szCs w:val="20"/>
          <w:highlight w:val="none"/>
        </w:rPr>
      </w:pPr>
    </w:p>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3"/>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516"/>
        <w:gridCol w:w="3910"/>
        <w:gridCol w:w="1071"/>
        <w:gridCol w:w="697"/>
        <w:gridCol w:w="632"/>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190" w:type="dxa"/>
            <w:gridSpan w:val="7"/>
            <w:noWrap/>
            <w:vAlign w:val="bottom"/>
          </w:tcPr>
          <w:p>
            <w:pPr>
              <w:jc w:val="center"/>
              <w:rPr>
                <w:rFonts w:hint="eastAsia" w:ascii="宋体" w:hAnsi="宋体" w:cs="宋体"/>
                <w:color w:val="auto"/>
                <w:sz w:val="20"/>
                <w:szCs w:val="20"/>
                <w:highlight w:val="none"/>
              </w:rPr>
            </w:pPr>
            <w:r>
              <w:rPr>
                <w:rFonts w:hint="eastAsia" w:ascii="宋体" w:hAnsi="宋体" w:cs="宋体"/>
                <w:b/>
                <w:bCs/>
                <w:color w:val="auto"/>
                <w:kern w:val="0"/>
                <w:sz w:val="20"/>
                <w:szCs w:val="20"/>
                <w:highlight w:val="none"/>
                <w:lang w:bidi="ar"/>
              </w:rPr>
              <w:t>会议系统设备清单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190" w:type="dxa"/>
            <w:gridSpan w:val="7"/>
            <w:noWrap/>
            <w:vAlign w:val="bottom"/>
          </w:tcPr>
          <w:p>
            <w:pPr>
              <w:rPr>
                <w:rFonts w:hint="eastAsia" w:ascii="宋体" w:hAnsi="宋体" w:cs="宋体"/>
                <w:color w:val="auto"/>
                <w:sz w:val="20"/>
                <w:szCs w:val="20"/>
                <w:highlight w:val="none"/>
              </w:rPr>
            </w:pPr>
            <w:r>
              <w:rPr>
                <w:rFonts w:hint="eastAsia" w:ascii="宋体" w:hAnsi="宋体" w:cs="宋体"/>
                <w:b/>
                <w:bCs/>
                <w:color w:val="auto"/>
                <w:kern w:val="0"/>
                <w:sz w:val="20"/>
                <w:szCs w:val="20"/>
                <w:highlight w:val="none"/>
                <w:lang w:bidi="ar"/>
              </w:rPr>
              <w:t>子系统名称：会议系统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25"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序号</w:t>
            </w:r>
          </w:p>
        </w:tc>
        <w:tc>
          <w:tcPr>
            <w:tcW w:w="1516"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设备名称</w:t>
            </w:r>
          </w:p>
        </w:tc>
        <w:tc>
          <w:tcPr>
            <w:tcW w:w="3910"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技术参数</w:t>
            </w:r>
          </w:p>
        </w:tc>
        <w:tc>
          <w:tcPr>
            <w:tcW w:w="1071"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推荐品牌</w:t>
            </w:r>
          </w:p>
        </w:tc>
        <w:tc>
          <w:tcPr>
            <w:tcW w:w="697"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单位</w:t>
            </w:r>
          </w:p>
        </w:tc>
        <w:tc>
          <w:tcPr>
            <w:tcW w:w="632"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 xml:space="preserve">数量 </w:t>
            </w:r>
          </w:p>
        </w:tc>
        <w:tc>
          <w:tcPr>
            <w:tcW w:w="739" w:type="dxa"/>
            <w:noWrap/>
            <w:vAlign w:val="center"/>
          </w:tcPr>
          <w:p>
            <w:pPr>
              <w:jc w:val="center"/>
              <w:rPr>
                <w:rFonts w:hint="eastAsia" w:ascii="宋体" w:hAnsi="宋体" w:cs="宋体"/>
                <w:b/>
                <w:bCs/>
                <w:color w:val="auto"/>
                <w:sz w:val="20"/>
                <w:szCs w:val="20"/>
                <w:highlight w:val="none"/>
              </w:rPr>
            </w:pPr>
            <w:r>
              <w:rPr>
                <w:rFonts w:hint="eastAsia" w:ascii="宋体" w:hAnsi="宋体" w:cs="宋体"/>
                <w:b/>
                <w:bCs/>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一、5F会议室</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1、扩声系统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线性音柱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(1)由9个3.5寸全频扬声器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(2)水平x垂直覆盖达到120°x40°得益于独有的结构以及专业的声学设计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(3)重量轻，质量稳定，性能可靠，使用寿命长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(4)安装方便, 35mm的支架托盘和4xM6的墙面安装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(5)人体工学的提手设计，方便提携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(6)环保水性油漆，精致大方、坚固防潮</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(7)动态好，声压高，声音通透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产品规格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单元：9x3.5"全频喇叭</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频率范围：150-15K</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标称阻抗：4 ohm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额定功率：360W，节目功率：720W，峰值功率：1500W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最大声压级(1w/1m):127dB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覆盖角度：120°horizontal (水平)，40°vertical(垂直);</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连接方式：SPEAKON</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产品重量：11.5kg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安装方式：吊装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产品尺寸：12.5x14x89.2(cm)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无源</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9"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线性音柱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(1)由9个3.5寸全频扬声器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(2)水平x垂直覆盖达到120°x40°得益于独有的结构以及专业的声学设计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(3)重量轻，质量稳定，性能可靠，使用寿命长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(4)安装方便, 35mm的支架托盘和4xM6的墙面安装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(5)人体工学的提手设计，方便提携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(6)环保水性油漆，精致大方、坚固防潮</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(7)动态好，声压高，声音通透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产品规格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单元：9x3.5"全频喇叭</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频率范围：150-15K</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标称阻抗：4 ohm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额定功率：360W，节目功率：720W，峰值功率：1500W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最大声压级(1w/1m):127dB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覆盖角度：120°horizontal (水平)，40°vertical(垂直);</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连接方式：SPEAKON</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产品重量：11.5kg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安装方式：吊装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产品尺寸：12.5x14x89.2(cm)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无源</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多媒体管控中心</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ARM11 1GHZ CPU，1G内存，2G Flash闪存；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支持TCP/IP控制模式，UDP控制协议；</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支持4路独立可编程RS-232/422/485控制接口，用户可编程设置多种控制协议和代码；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8路独立可编程的红外发射接口，支持红外转串口，支持控制多台相同或不同的红外设备及串口设备；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8路弱电继电器接口；</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8路数字输入/输出IO接口, 通过扩展以太网控制接口实现计算机远程控制；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高精度96KHz/24bit数据处理，可达到极佳的110dB动态范围和高质数的声音品质；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具备24位数模的转换，96KHz采样频率；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具备8通道平衡输入音频通道；</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具备8通道支持MIC输入，每路MIC输入支持48V幻象供电；</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具备8个平衡音频输出通道；</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具备8通道独立的自适应反馈抑制器；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具备8通道自动混音；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具备4进4出HDMI无缝切换矩阵功能，内部设备环通音频分离；</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支持USB2.0和以太网编程通讯；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额定功率阻抗8Ω：4*300W数字功放；</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无线路由器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采用双路双频设计，802.11a/n和802.11b/g/n可同时使用，实现灵活部署；</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华三、华为、锐捷</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触摸屏平板</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屏幕尺寸：9.7英寸</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屏幕分辨率：2048x1536</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屏幕像素密度：264PPI</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屏幕描述：电容式触摸屏，多点式触摸屏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屏幕特性：IPS屏幕，防指纹涂层，视网膜屏幕，全层压显示屏，抗反射涂层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支持语言：支持多国语言</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WiFi功能：支持802.11a/b/g/n/ac无线协议，双频（2.4GHz和5GHz）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蓝牙功能：支持，蓝牙4.2模块</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苹果、三星、华为</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红外发射棒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配套中控使用,用于红外设备的远程控制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中控编程</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电源时序器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输出电源插座：万用插座，符合欧美标准。后面板8个受控万用插座；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插座材质：每个插座材质磷铜，均通过检验才安装；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每一路开关间隔时间：1秒每通道带开关指示1个；</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电路板线路：采用60%高纯度锡，高端分流技术，大电流线路处加焊铜条；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变压器：专供定制变压器，减少干扰前级，音源敏感设备；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电压显示表：LED数字显示电压表；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最大负载7000W，单路负载4000W;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支持RS232、RS485串口输入控制。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输出方式：8路电源输出，标准通用三芯插座；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负载：40A；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中控接口：RS-232；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指示灯：独立电源指示；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单路最大输出电流：30A；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工作电源：AC100V~240V 50/60Hz；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重量：4.2Kg；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尺寸：270mmX483mmX48mm。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多媒体地插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含一路HDMI，一路音频;</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18U机柜</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1）、符合GB/T3047.2标准，兼容19〞国际标准全部采用优质冷轧钢板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2）、厚度：方孔条2.0mm，其他1.2mm，机柜表面采用先喷砂，后喷塑的表面处理工艺，保证机柜表面涂层的牢固可靠，耐酸碱、耐腐蚀、防静电</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3）、前门采用5mm厚钢化玻璃，高级旋把门锁，美观大方，可拆卸的左右侧门，方便安装调试，可同时安装脚轮和支撑脚，方便移动，结构坚固，承载达500Kg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4）、风机单元的外壳采用一次成型技术，有效减少风机的震动，提高风机单元的使用寿命，风机单元采用独立电源线，方便维护</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5）、增强型固定托盘，底部附有加强筋，承载达100Kg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6）、高度：18U，深度：600mm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7）、颜色：黑色，门板：玻璃门。</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一舟、德塔森特、清华同方</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壁挂支架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定制壁挂支架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辅材</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定制，含接头、跳线等</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批</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2、发言系统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真分集无线手持话筒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采用世界先进的DPLL数字锁相环多信道频率合成技术及杂讯自动控制技术（带导频）。</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使用UHF630MHz~680MHz频段，避免干扰频率；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语音压缩扩展电路，极大地提高信噪比,独特的语音压限器设计，歌手使劲唱歌都不会出现裂音；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采用最新型的高频声表面滤波器，最大限度地滤除带外干扰信号；</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真分集式接收电路，保证有效距离内不断迅，消除死角；使用高增益天线，有效开阔使用距离可达100米完备的输入输出接口，方便连接各种设备；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装备高亮度LCD显示屏，可动态显示系统信号、音量、通道、频点数值；</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采用二次变频的高频电路设计，具有极高的灵敏度；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高保真音色,独特的干扰噪音静噪功能；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具有独立接收灵敏度调节功能，可对系统输出信号人性化调节，可初始化音频调节；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接收机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信道数目：2*100；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载波频率：630-680MHz（可调）；</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消耗功率：13W；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频带宽度：60Hz；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音频输出：混合输出: 0～200mV， 平衡输出: 0～400mV；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天线数量：4条；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S/N信噪比：≥96dB；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失真度：＜0.01%；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频率响应：30Hz -20KHz；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电源适配器使用电压：AC110V-230V 50Hz/60Hz（请按机壳和电源适配器标注使用）；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直流输入电压：DC12—DC15V 1500mA；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发射机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载波频率：630-680MHz；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发射功率：10dBm；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最大调制度：±45KHz；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S/N信噪比：≥96dB；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失真度：＜0.01%；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频率响应：30Hz -20KHz；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高次谐波：低于主波基准60dB以上；</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使用电池电压：3V；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连续使用时间：8小时。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6"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真分集无线鹅颈话筒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集成中央处理器CPU的总线控制，配合数字液晶界面显示，操作自如，性能出众；</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采用多级窄带高频及中频选频滤波，充分消除干扰信号；</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采用音频压缩一扩展技术，噪音大大减少，动态范围加大；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设有回输啸叫抑制减弱功能，能有效减少回输啸叫；</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接收机采用多级高频放大，具有极高的灵敏度；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多重噪音监测电路，特设ID身份码验证系统，使之具有无与伦比的抗干扰特性；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选用极佳晶片及优质零部件，使本机音质极为出色；</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空阔最大使用范围100米以上，理想空阔使用范围60米；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接收机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使用UHF550-980MHz频段，应用PLL频率合成锁相环技术，频率可调，发射功率可调，避免干扰频率；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载波频率：550-980MHz（可调）；</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电源适配器使用电压：AC110V-230V 50Hz/60Hz（请按机壳和电源适配器标注使用）；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直流输入电压：DC12—DC15V 1500mA；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消耗功率：13W；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S/N信噪比：≥95dB；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T.H.D失真：＜0.5%；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频率响应：60Hz -16KHz；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发射机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载波频率：550-980MHz；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发射功率：10dBm；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输入音频调制信号选择：MIC IN电容咪输入（内供电）LINE IN音频线路输入；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调制方式：FM；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最大调制度：±45KHz；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高次谐波：低于主波基准60dB以上；</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使用电池电压：3V；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连续使用时间：8小时。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3、显示系统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激光投影机</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1.亮度：≥6000LM(ISO21118标准)；</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2.分辨率：1920x1200（2,304,000像素）；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3.显示宽高比：16：10（兼容4：3，16：9）；</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4.对比度：1,500,000:1(动态模式)；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5.成像系统：HTPS高温多晶硅有源矩阵式液晶显示板≥0.64英寸（显示宽高比16：10）；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6.成像技术：3LCD技术；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7.光源类型：激光二极管；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8.光源寿命：20,000小时(标准模式/静音);30,000小时(模式1);50,000小时(模式2)；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9.整机功率：正常模式≤420W；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10.待机功耗：≤0.35W(节能模式)；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11.工作温度：0~40℃；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12.重量：约8.5kg（工程机型）;</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13.输入接口：15针微型D-sub端子×2、RCA端子x1、HDMIx2、HDBaseTx1、AUDIO（3.5mm接口）x2、RCAL/R端子x1、RS-232x1、LANx1、USB-Ax1;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14.输出接口：15针微型D-sub端子×1、AUDIO（3.5mm接口）x1；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15.ACCENTUALIZER(图像分明处理)技术，通过强化适用于激光光源颜色特性的“精细感”“阴影感”“鲜艳度”等来增强影像的真实感。同时，第二代HDCR调整功能进行了“高演色化”改善，能够更为深入地校正因室内照明或者外界光源对画面造成的影响，从而提升画面对比效果，优化视觉感受。即使在明亮的环境下，也能够清晰显示影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16.内置8点校正、弧形校正，可调节不规则平面幕；</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17.内置画面重影修正功能可将重影画面调节为高质量图像；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18.支持双数字信号画中画、画外画显示；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19.1.7倍手动变焦、覆盖投射比1.4-2.4范围、通过手动控制聚焦、变焦、位移(垂直-56.5%水平+/-4.6%)；</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20.电子快门，可根据需要快速关闭影像，光源自动节能；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21.自定义开机显示画面和无信号显示画面；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22.无线传输、有线网络功能显示，多台投影模式；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23.支持无线双频段（2.4GHz/5GHz），连接更快速，传输更流畅。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24.高保真16W扬声器；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25.气压传感监控功能、状态监视功能；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26.支持网络集中控制功能兼容RoomView,AMX、PJ-Link、XTP协议；</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27.支持快速开关机、信号源激活开机；</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索诺克、松下、爱普生</w:t>
            </w:r>
          </w:p>
        </w:tc>
        <w:tc>
          <w:tcPr>
            <w:tcW w:w="697"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投影机幕布</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150寸幕布，幕布类型电动幕，幕布材质玻珠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打开方式电动方式，对角线150英寸</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幕布比例16:10，增益2.5倍</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固定安装支架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定制，固定安装支架，可手动调节</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副</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二、形体舞蹈教室</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1、扩声系统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有源超低音箱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(1)数字功放，最高1000W额定功率，效率高，重量轻。</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(2)内置高精度DSP芯片，4档预设可调，EQ和延时LCD可视化操作。</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(3)最大声压126dB.2*6.5"+1*1"压缩高音。低音强劲，15英寸超低音喇叭，使用3"音圈。</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(4)多角度可选。音柱直管0度/8度两个角度可选，也可选配墙面悬挂架（RB-01）,垂直角度可调20度，水平各80度。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(5)特殊线怀技术设计，超宽音频，覆盖面积大，保证清晰自然的声音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(6)2进1出，Combo输入Line&amp;Mic信号，平衡XLR混合输出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(7)独有的箱体造型，高端大气，符合人体工学的内嵌式拉手，运输安全方便。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(8)防水防尘设计，升级加厚网罩，背面加装三明织布，有效防尘，加强保护单元：                                                    15"低音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频响范围(Hz): 40-160K</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阻抗: 4欧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额定功率(W): 500W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节目功率(W): 1000W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最大声压级（1w/1m)：128dB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连接方式：COMBO</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产品重量: 20.5KG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产品尺寸：40*53.6*52.8CM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无源音柱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单元：2*6.5"低音+1.34"高音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频响范围(Hz): 85-15K</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阻抗: 4欧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额定功率(W): 200W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节目功率(W): 400W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最大声压级（1w/1m)：120dB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连接方式：SPEAKON</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产品重量: 7KG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产品尺寸：20*22*56CM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12路调音台</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输入方式：8路话筒卡龙母，4路莲花;</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输出方式：主声道双声道平衡、6.35插座;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单声道输入配备高品质话筒放大器;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功能：高中低音调节，话筒48V供电选择，录音输出，2编组输出，2路辅助输出，数码混响;</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备有录音输入输出功能;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最大输出电平:19dBm(1KHz,THD=0.5%);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剩余噪声：-75dB;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信噪比：71dB;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等效噪声源输入电动势：-12dBm;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均衡： 低频：80Hz±15dB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         中频2.5KHz±15dB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         高频：12KHz±15dB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增益控制：单声道：-55dB～0 dB。立体声：-10dB～0dB;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频率响应：80Hz～15KHz（+1dB,-3dB);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总谐波失真+噪声：≤0.05%（1KHz，0.775V）;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输入电压： 220V；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重量：5.57Kg；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尺寸：443X400X45mm。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音频媒体矩阵</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1.8寸TFT彩色显示屏；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前面板轨迹球导航旋钮或Windows 操作平台控制，仅需几个步骤就能设置好整套系统；</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双31段图示均衡器，输出延时共2000毫秒，每个输出都有限幅器，4 级保护；</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每路输出通道都配置有可达2000ms的延时；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高精度96KHz/24bit数据处理，可达到极佳的110dB动态范围和高质数的声音品质；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内置SHARC高速浮点运算DSP芯片，拥有多个音响厂家生产的音箱的处理系统的部件结构；</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真分集无线手持话筒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采用世界先进的DPLL数字锁相环多信道频率合成技术及杂讯自动控制技术（带导频）。</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使用UHF630MHz~680MHz频段，避免干扰频率；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语音压缩扩展电路，极大地提高信噪比,独特的语音压限器设计，歌手使劲唱歌都不会出现裂音；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采用最新型的高频声表面滤波器，最大限度地滤除带外干扰信号；</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真分集式接收电路，保证有效距离内不断迅，消除死角；使用高增益天线，有效开阔使用距离可达100米完备的输入输出接口，方便连接各种设备；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装备高亮度LCD显示屏，可动态显示系统信号、音量、通道、频点数值；</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采用二次变频的高频电路设计，具有极高的灵敏度；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高保真音色,独特的干扰噪音静噪功能；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具有独立接收灵敏度调节功能，可对系统输出信号人性化调节，可初始化音频调节；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接收机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信道数目：2*100；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载波频率：630-680MHz（可调）；</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消耗功率：13W；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频带宽度：60Hz；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音频输出：混合输出: 0～200mV， 平衡输出: 0～400mV；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天线数量：4条；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S/N信噪比：≥96dB；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失真度：＜0.01%；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频率响应：30Hz -20KHz；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电源适配器使用电压：AC110V-230V 50Hz/60Hz（请按机壳和电源适配器标注使用）；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直流输入电压：DC12—DC15V 1500mA；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发射机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载波频率：630-680MHz；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发射功率：10dBm；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最大调制度：±45KHz；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S/N信噪比：≥96dB；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失真度：＜0.01%；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频率响应：30Hz -20KHz；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高次谐波：低于主波基准60dB以上；</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使用电池电压：3V；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连续使用时间：8小时。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电源时序器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输出电源插座：万用插座，符合欧美标准。后面板8个受控万用插座；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插座材质：每个插座材质磷铜，均通过检验才安装；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每一路开关间隔时间：1秒每通道带开关指示1个；</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电路板线路：采用60%高纯度锡，高端分流技术，大电流线路处加焊铜条；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变压器：专供定制变压器，减少干扰前级，音源敏感设备；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电压显示表：LED数字显示电压表；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最大负载7000W，单路负载4000W;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支持RS232、RS485串口输入控制。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输出方式：8路电源输出，标准通用三芯插座；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负载：40A；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中控接口：RS-232；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指示灯：独立电源指示；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单路最大输出电流：30A；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工作电源：AC100V~240V 50/60Hz；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重量：4.2Kg；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尺寸：270mmX483mmX48mm。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0"/>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音箱支撑杆</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定制支架，可手动调节高度</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根</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辅材</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定制，含接头、跳线等</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批</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三、体育馆</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1、扩声系统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全频音箱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驱动单元：LF: 1×15″″，HF: 1×1.75″；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频响：55HZ-18KHZ(±3db)；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灵敏度：99dB；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最大声压：131dB（持续）138dB（峰值）；</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阻抗：8Ω；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额定功率：400W；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峰值功率:1600W；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覆盖角度: 80°×50°；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箱体结构: 15mm优质高密度板(MDF)；</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箱体表面处理: 黑色耐磨点漆；</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连接器：2 x Speakon NL4；</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箱体尺寸(高H*宽W*深D）mm：690x465x445mm；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净重：29Kg。</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9"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全频音箱功放</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8Ω额定功率2*800W   4Ω额定功率2*1300W  桥接8Ω2400W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通道数：2CH；</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谐波失真+噪声（1kHz,-10dB,4ohms) ：&lt;0.1%；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频率响应：15Hz-20kHz: ±0.1dB (1W/8Ω)；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输入阻抗：平衡20K ohm 非平衡 10K Ohm度:0.775V；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信噪比：≥100dB；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阻尼系数:（350:1,1Khz 8ohms）；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转换速率：28V/US；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输出级：Class-D；</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LED指示灯：电源/信号/失真/削波；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输入连接器：平衡卡侬公母座；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输出连接器：SPEAKON(可以定制）,接线柱；</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散热系统：双变速风扇，从前到后排风；</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保护功能：过热，短路，直流输出；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电源要求：AC220V (可以定制AC110V)；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尺寸：482×295×44mm。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12路调音台</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输入方式：8路话筒卡龙母，4路莲花;</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输出方式：主声道双声道平衡、6.35插座;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单声道输入配备高品质话筒放大器;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功能：高中低音调节，话筒48V供电选择，录音输出，2编组输出，2路辅助输出，数码混响;</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备有录音输入输出功能;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最大输出电平:19dBm(1KHz,THD=0.5%);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剩余噪声：-75dB;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信噪比：71dB;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等效噪声源输入电动势：-12dBm;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均衡： 低频：80Hz±15dB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         中频2.5KHz±15dB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         高频：12KHz±15dB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增益控制：单声道：-55dB～0 dB。立体声：-10dB～0dB;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频率响应：80Hz～15KHz（+1dB,-3dB);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总谐波失真+噪声：≤0.05%（1KHz，0.775V）;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输入电压： 220V；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重量：5.57Kg；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尺寸：443X400X45mm。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音频媒体矩阵</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采用ARM Cortex A8的32位工业级嵌入式处理器，主频高达800MHz，512M内存，系统稳定性强，运算速度快；</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显示屏：2.8寸LCD，系统主机支持双机热备份，系统稳定性强，适合大型会议中心应用；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插卡式设计，可根据现场需求配置数字或模拟输入、输出卡，通道数量可改变；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内置SHARC高速浮点运算DSP芯片，24位数模的转换，96KHz采样频率；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模拟输入：插卡可配置成4~24路单通道（话筒/线路），本次配置支持4路模拟信号输入，提供设备产品彩页；</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模拟输出：插卡可配置成4~16路单通道（线路），本次配置支持12路模拟信号输出，提供设备产品彩页；</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带多话筒自动混音功能，具有权限设定，可实现会议讨论话筒数量管理及视频跟踪；</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嵌入式控制面板可对系统进行多分区预设和远程音量控制；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支持APP、RS485、TCP/IP控制；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本机带中控专用RS485接口，在本机不配中控卡的时候，由外部中控控制本设备；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内置插卡式可编程中控系统，每个中控卡有4个RS232，8个HGPIO接口（可作红外IR输出或者普通IO使用），使得与各种硬触点及逻辑控制系统的连接变得更为便捷。</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电源时序器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输出电源插座：万用插座，符合欧美标准。后面板8个受控万用插座；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插座材质：每个插座材质磷铜，均通过检验才安装；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每一路开关间隔时间：1秒每通道带开关指示1个；</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电路板线路：采用60%高纯度锡，高端分流技术，大电流线路处加焊铜条；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变压器：专供定制变压器，减少干扰前级，音源敏感设备；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电压显示表：LED数字显示电压表；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最大负载7000W，单路负载4000W;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支持RS232、RS485串口输入控制。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输出方式：8路电源输出，标准通用三芯插座；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负载：40A；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中控接口：RS-232；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指示灯：独立电源指示；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单路最大输出电流：30A；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工作电源：AC100V~240V 50/60Hz；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重量：4.2Kg；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尺寸：270mmX483mmX48mm。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0"/>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监听音箱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输出功率 LF: 40W HF: 27W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输出电平 (1m; 轴向) 101dB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I/O 接口 XLR-3-31型Phone型</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处理器 高频消减 (15kHz; +1.5/0/-1.5dB) 低频消减 (60Hz; +1.5/0/-1.5/-3dB)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功耗 60W</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0"/>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32U机柜</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1）、符合GB/T3047.2标准，兼容19〞国际标准全部采用优质冷轧钢板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2）、厚度：方孔条2.0mm，其他1.2mm，机柜表面采用先喷砂，后喷塑的表面处理工艺，保证机柜表面涂层的牢固可靠，耐酸碱、耐腐蚀、防静电</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3）、前门采用5mm厚钢化玻璃，高级旋把门锁，美观大方，可拆卸的左右侧门，方便安装调试，可同时安装脚轮和支撑脚，方便移动，结构坚固，承载达500Kg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4）、风机单元的外壳采用一次成型技术，有效减少风机的震动，提高风机单元的使用寿命，风机单元采用独立电源线，方便维护</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5）、增强型固定托盘，底部附有加强筋，承载达100Kg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6）、高度：32U，深度：600mm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7）、颜色：黑色，门板：玻璃门。</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一舟、德塔森特、清华同方</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0"/>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辅材</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定制，含接头、跳线等</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批</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0"/>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壁挂支架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2、发言系统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真分集无线手持话筒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采用世界先进的DPLL数字锁相环多信道频率合成技术及杂讯自动控制技术（带导频）。</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使用UHF630MHz~680MHz频段，避免干扰频率；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语音压缩扩展电路，极大地提高信噪比,独特的语音压限器设计，歌手使劲唱歌都不会出现裂音；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采用最新型的高频声表面滤波器，最大限度地滤除带外干扰信号；</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真分集式接收电路，保证有效距离内不断迅，消除死角；使用高增益天线，有效开阔使用距离可达100米完备的输入输出接口，方便连接各种设备；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装备高亮度LCD显示屏，可动态显示系统信号、音量、通道、频点数值；</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采用二次变频的高频电路设计，具有极高的灵敏度；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高保真音色,独特的干扰噪音静噪功能；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具有独立接收灵敏度调节功能，可对系统输出信号人性化调节，可初始化音频调节；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接收机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信道数目：2*100；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载波频率：630-680MHz（可调）；</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消耗功率：13W；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频带宽度：60Hz；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音频输出：混合输出: 0～200mV， 平衡输出: 0～400mV；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天线数量：4条；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S/N信噪比：≥96dB；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失真度：＜0.01%；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频率响应：30Hz -20KHz；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电源适配器使用电压：AC110V-230V 50Hz/60Hz（请按机壳和电源适配器标注使用）；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直流输入电压：DC12—DC15V 1500mA；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发射机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载波频率：630-680MHz；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发射功率：10dBm；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最大调制度：±45KHz；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S/N信噪比：≥96dB；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失真度：＜0.01%；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频率响应：30Hz -20KHz；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高次谐波：低于主波基准60dB以上；</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使用电池电压：3V；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连续使用时间：8小时。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天线放大器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专业无线放大器（无线天线放大器），是针对无线麦克风接收距离短而设计，具有接收距离远，信号稳定等功能。适合UHF无线麦500KHZ---950KHZ使用；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为UHF频段500-950MHz的无线系统提供2合1式的高增益的接收能力，而接收频带已覆盖整个UHF电视通道；</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对装式的定向天线设计，为分集式UHF无线话筒系统提供理想的远距离和稳定的接收表现；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设计于需要远距离接收和发射的应用，如体育场馆,演唱会、剧场、及大型演出场所；或一些会阻挡视线及接收的环境；</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另外，天线可轻易稳固的安装；同时亦可容易地拆除，方便携带；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八通道低损耗天线分配电路设计，4套单频道自动选讯接收机可共同一对天线；TNC 接头，保证连接的可靠性；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低噪放大电路设计。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输入截断点+22dBm；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噪声比4.0dB Type(Center Band)；</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增益+6-9dB(Center Band)；</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输出阻抗15dB min；</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阻抗50Ω；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插座TNC femal；</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电源供应100-240V/50/60Hz；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电源消耗170mA；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天线放大器；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天线输入阻抗：50Ω；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天线输出阻抗：50Ω；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天线输入插座：TNC；</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天线输出插座：TNC；</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增益：13dB；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带宽：400MHz；</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指向性天线</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指向性天线；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天线输入阻抗：50Ω；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天线输出阻抗：50Ω；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天线输入插座：TNC；</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天线输出插座：TNC；</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增益：3dB；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带宽：40MHz；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供电电流:12-18V 100mA。</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3、显示系统（详见信息发布系统）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4、高清混插系统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无缝混合切换矩阵</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全数字化切换, 每通道4x6G传输带宽；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标准插卡式工业机箱，一卡1路，任意信号输入输出；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5寸触屏操作，实时无缝切换；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输入信号分辨率自适应，输出分辨率可调；</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2U插卡可实现9x9或12x6或6x12，部分槽位可输入输出混插；</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HDMI接口兼容DVI1.0和HDMI1.4，支持HDCP1.2，支持蓝光播放器，支持DeepColor；</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CVBS、VGA和YPbPr模拟输入数字化处理，ADC最高采样频率205Mhz,内部图像处理24-bit处理，色彩还原真实, 最高分辨率到1920x1200@60Hz;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CVBS输入集成高级3D自适应梳状滤波器和去隔行处理，自动PAL，NTSC制式识别；</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支持4Kx2K输入输出，支持4K和2K混合变换切换；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SDI输入支持3G/HD/SD-SDI，速率143Mbps～2.97Gbps，兼容SMPTE 259M、292M、344M、424M、ITU R BT.601、ITU R BT.1120 串行视频标准；</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支持模拟音频输入和输出, 支持数字模拟音频混合切换；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支持SDI音频加解嵌（SMPTE291）；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支持32个场景存储和调用；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支持红外控制；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支持RS232和以太网控制，开放控制协议，方便第三方串口控制；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支持断电现场保护；</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单路高清HDMI输入板卡</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单路HDMI输入，支持音频分离输入；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时钟频率：25Mhz-225Mhz；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标准：DVI1.0 HDMI1.3；HDCP1.2；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接口类型：Type A 19pin；HDMI或DVI-D；</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单路高清SDI输入板卡</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单路SDI输入，支持音频分离输入；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速率：143Mbps～2.97Gbps；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标准：SMPTE 259M、292M、344M、424M,音频兼容SMPTE291；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接口类型：BNC；</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单路高清HDMI输出板卡</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单路HDMI输出，支持音频分离输出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时钟频率：25Mhz-225Mhz；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标准：DVI1.0 HDMI1.3；HDCP1.2；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接口类型：Type A 19pin；HDMI或DVI-D；</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单路高清SDI输出板卡</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单路SDI输出，支持音频分离输出；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速率：143Mbps～2.97Gbps；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标准：SMPTE 259M、292M、344M、424M,音频兼容SMPTE291；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接口类型：BNC；</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四、报告厅</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1、扩声系统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有源线阵列主音箱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采用2*8”钕磁低音+2*1.75”高音组成</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内置音频处理系统   可预设8种情景模式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优质扬声器的选取，可以有效保证声音的还原输出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简单安全的吊挂组合</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电声参数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系统组成：2*8”钕磁低音+2*1.75”高音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阻抗：4Ω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额定功率：500W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节目功率：1000W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峰值功率：2000W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最大声压级（PEAK）： 131 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覆盖角度：水平100°，垂直依据与阵列配置</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频响范围：80Hz-20kHz(－3 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频响范围：55Hz-20kHz(－10 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功放模块参数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电路类型：D类</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处理器：内置音频处理器，可预设8种情景模式，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功率输出：2000W峰值功率,1000W连续功率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频率响应：&lt;±0.5dB(20~20kHz)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输入阻抗：20kΩ（平衡），10kΩ（不平衡）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信号连接：XLR</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保护：短路、直流、过载、过热</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AC电源：220V/50Hz（±10%）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电源线：PowerCon</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物理规格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吊装方式：阵列快速连杆</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音箱净重：26Kg</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9"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有源线阵列超低音箱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系统组成：18″</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阻抗：8Ω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功率：600W RMS，2400W PEAK</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最大声压级（PEAK）：132dB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频响范围：32Hz～140Hz（-3dB）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频响范围：30Hz～150Hz（-10dB）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功放模块参数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电路类型：D类</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处理器：内置音频处理器，可预设8种情景模式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功率输出：2400W峰值，1200W连续</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频率响应：〈±0.5 dB（20Hz～20KHz）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输入阻抗：20KΩ(平衡)，10KΩ(不平衡)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信号连接：XLR</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保护：短路、直流、过载、过热</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AC电源：220V/50Hz(±10%)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电源线：PowerCon</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9"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台唇音箱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单元类型：5.6寸低音×4，高音单元：34芯高音×1；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系统类型：5.6寸二路五单元全频；</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额定功率：250W；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最大输入功率：1000W；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阻抗：6.3Ω；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频率响应：45Hz-20KHz；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指向性覆盖角：120°（H）x60°（V）；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最大声压级：123dB；灵敏度（1W/1m）：95dB /W(lm)；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连接器： SPEAKON NL4×2 PIN1+/2+POS.  PIN1-/2-NEG（正负4芯安全插头）；</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吊挂硬件：10xM8吊点、底托；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材质及表面处理：18mm夹板，环保水性漆；</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颜色：黑色；</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安装方式：壁挂式安装（带专用支架）；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箱体尺寸 200*215*720mm；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重量：6Kg。</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9"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台唇音箱功放</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8Ω额定功率2*600W   4Ω额定功率2*950W  桥接8Ω1800W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通道数：2CH；</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谐波失真+噪声（1kHz,-10dB,4ohms) ：&lt;0.1%；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频率响应：15Hz-20kHz: ±0.1dB (1W/8Ω)；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输入阻抗：平衡20K ohm 非平衡 10K Ohm度:0.775V；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信噪比：≥100dB；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阻尼系数:（350:1,1Khz 8ohms）；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转换速率：28V/US；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输出级：Class-D；</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LED指示灯：电源/信号/失真/削波；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输入连接器：平衡卡侬公母座；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输出连接器：SPEAKON(可以定制）,接线柱；</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散热系统：双变速风扇，从前到后排风；</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保护功能：过热，短路，直流输出；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电源要求：AC220V (可以定制AC110V)；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尺寸：482×295×44mm。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返听音箱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驱动单元：LF: 1×12″   HF: 1×75″；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频响：60HZ-20KHZ(±3db)；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灵敏度：98dB；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最大声压：129dB（持续）135dB（峰值）；</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阻抗：8Ω；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额定功率：350W；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峰值功率：1400W；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覆盖角度: 90°×60°；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箱体结构: 桦木夹板；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箱体表面处理: 黑色点漆；</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连接器：2 x NL4；</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箱体尺寸 (高H*宽W*深D）mm：540x350x265mm；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净重 Net：15Kg。</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返听音箱功放</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8Ω额定功率2*600W   4Ω额定功率2*950W  桥接8Ω1800W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通道数：2CH；</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谐波失真+噪声（1kHz,-10dB,4ohms) ：&lt;0.1%；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频率响应：15Hz-20kHz: ±0.1dB (1W/8Ω)；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输入阻抗：平衡20K ohm 非平衡 10K Ohm度:0.775V；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信噪比：≥100dB；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阻尼系数:（350:1,1Khz 8ohms）；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转换速率：28V/US；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输出级：Class-D；</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LED指示灯：电源/信号/失真/削波；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输入连接器：平衡卡侬公母座；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输出连接器：SPEAKON(可以定制）,接线柱；</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散热系统：双变速风扇，从前到后排风；</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保护功能：过热，短路，直流输出；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电源要求：AC220V (可以定制AC110V)；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尺寸：482×295×44mm。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24路调音台</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输入方式：24路单声道，24路话筒卡龙母，4路立体声；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输出方式：主声道双声道平衡、6.35插座;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单声道输入配备高品质话筒放大器;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功能：高中低音调节，话筒48V供电选择，录音输出，2编组输出，2路辅助输出，数码混响;</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备有录音输入输出功能;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最大输出电平:19dBm(1KHz,THD=0.5%);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剩余噪声：-75dB;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信噪比：71dB;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等效噪声源输入电动势：-12dBm;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均衡： 低频：80Hz±15dB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         中频2.5KHz±15dB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         高频：12KHz±15dB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增益控制：单声道：-55dB～0 dB。立体声：-10dB～0dB;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频率响应：80Hz～15KHz（+1dB,-3dB);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总谐波失真+噪声：≤0.05%（1KHz，0.775V）;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输入电压： 220V；</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重量： 7Kg；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尺寸：560X400X90mm。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5"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音频媒体矩阵</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该款设备采用32位工业级嵌入式处理器，主频高达500MHz，512M内存，系统稳定性强，运算速度快；</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高精度96KHz/24bit数据处理，可达到极佳的110dB动态范围和高质数的声音品质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具备24位数模的转换，96KHz采样频率；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具备16通道平衡输入音频通道；</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具备16通道支持MIC输入；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每路MIC输入支持48V幻象供电；</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具备16个平衡音频输出通道；</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具备16通道独立的自适应反馈抑制器；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具备16通道自动混音；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输入31段PEQ可调，输出10段PEQ可调、增益（Gaina）电平范围：+-18dB,Q值：0.4-128，每段均支持直通（Bypass）；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内置信号发生器：正弦波信号、粉红噪声、白噪声；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输入通道的噪声门阀值、压缩器启动时间、恢复时间连续可调。拐点0-30连续可调，起控电平0-21dB连续可调，起控时间0-2895ms连续可调，释放时间0-2895ms连续可调；</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具备摄像跟踪控制功能，通过预设位可实现自动摄像联动功能；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基于 Windows 操作平台的全新控制界面；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支持手机APP软件网络控制；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使用嵌入式控制面板可对系统进行分区预设和远程音量大小控制；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支持21个场景保存，支持12dB／18dB／24dB／48dB斜率，180相应；</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支持GPIO口控制，支持网口，支持232／485管理控制；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采用三级防静电、防雷保护技术；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AEC回声消除功能和ANC噪声消除功能；</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5"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电源时序器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输出电源插座：万用插座，符合欧美标准。后面板8个受控万用插座；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插座材质：每个插座材质磷铜，均通过检验才安装；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每一路开关间隔时间：1秒每通道带开关指示1个；</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电路板线路：采用60%高纯度锡，高端分流技术，大电流线路处加焊铜条；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变压器：专供定制变压器，减少干扰前级，音源敏感设备；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电压显示表：LED数字显示电压表；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最大负载7000W，单路负载4000W;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支持RS232、RS485串口输入控制。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产品参数: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输出方式：8路电源输出，标准通用三芯插座；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负载：40A；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中控接口：RS-232；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指示灯：独立电源指示；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单路最大输出电流：30A；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工作电源：AC100V~240V 50/60Hz；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重量：4.2Kg；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尺寸：270mmX483mmX48mm。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线阵列专用吊架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定制专用吊架；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电动葫芦</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定制；1T承重，电动升降吊装葫芦</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0"/>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42U机柜</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1）、符合GB/T3047.2标准，兼容19〞国际标准全部采用优质冷轧钢板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2）、厚度：方孔条2.0mm，其他1.2mm，机柜表面采用先喷砂，后喷塑的表面处理工艺，保证机柜表面涂层的牢固可靠，耐酸碱、耐腐蚀、防静电</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3）、前门采用5mm厚钢化玻璃，高级旋把门锁，美观大方，可拆卸的左右侧门，方便安装调试，可同时安装脚轮和支撑脚，方便移动，结构坚固，承载达500Kg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4）、风机单元的外壳采用一次成型技术，有效减少风机的震动，提高风机单元的使用寿命，风机单元采用独立电源线，方便维护</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5）、增强型固定托盘，底部附有加强筋，承载达100Kg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6）、高度：42U，深度：600mm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7）、颜色：黑色，门板：玻璃门。</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一舟、德塔森特、清华同方</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副</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多媒体地插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含一路音箱接口，一路HDMI，一路MIC；</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副</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多媒体墙插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含一路HDMI，一路MIC，一路音频接口；</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辅材</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定制，含接头、跳线等</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2、发言系统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真分集无线手持话筒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采用世界先进的DPLL数字锁相环多信道频率合成技术及杂讯自动控制技术（带导频）。</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使用UHF630MHz~680MHz频段，避免干扰频率；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语音压缩扩展电路，极大地提高信噪比,独特的语音压限器设计，歌手使劲唱歌都不会出现裂音；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采用最新型的高频声表面滤波器，最大限度地滤除带外干扰信号；</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真分集式接收电路，保证有效距离内不断迅，消除死角；使用高增益天线，有效开阔使用距离可达100米完备的输入输出接口，方便连接各种设备；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装备高亮度LCD显示屏，可动态显示系统信号、音量、通道、频点数值；</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采用二次变频的高频电路设计，具有极高的灵敏度；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高保真音色,独特的干扰噪音静噪功能；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具有独立接收灵敏度调节功能，可对系统输出信号人性化调节，可初始化音频调节；</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真分集无线头戴话筒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采用世界先进的DPLL数字锁相环多信道频率合成技术及杂讯自动控制技术（带导频）。</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使用UHF630MHz~680MHz频段，避免干扰频率；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语音压缩扩展电路，极大地提高信噪比,独特的语音压限器设计，歌手使劲唱歌都不会出现裂音；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采用最新型的高频声表面滤波器，最大限度地滤除带外干扰信号；</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真分集式接收电路，保证有效距离内不断迅，消除死角；使用高增益天线，有效开阔使用距离可达100米完备的输入输出接口，方便连接各种设备；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装备高亮度LCD显示屏，可动态显示系统信号、音量、通道、频点数值；</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采用二次变频的高频电路设计，具有极高的灵敏度；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语音压缩扩展电路，极大地提高信噪比，独特的语音压限器设计；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高保真音色,独特的干扰噪音静噪功能；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具有独立接收灵敏度调节功能，可对系统输出信号人性化调节，可初始化音频调节；</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鹅颈话筒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换能方式：电容式；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频率响应：40Hz-18kHz；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指向性：超心型指向；</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输出阻抗（欧姆）：75Ω；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灵敏度：-45dB；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最高输入音量：128dB 声压；</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动态范围：109 dB，1KHz；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讯噪比：75 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供电电压：幻象48V（幻象指既传输电流，也传输声音）；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咪管长度：200mm。</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天线放大器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专业无线放大器（无线天线放大器），是针对无线麦克风接收距离短而设计，具有接收距离远，信号稳定等功能。适合UHF无线麦500KHZ---950KHZ使用；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为UHF频段500-950MHz的无线系统提供2合1式的高增益的接收能力，而接收频带已覆盖整个UHF电视通道；</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对装式的定向天线设计，为分集式UHF无线话筒系统提供理想的远距离和稳定的接收表现；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设计于需要远距离接收和发射的应用，如体育场馆,演唱会、剧场、及大型演出场所；或一些会阻挡视线及接收的环境；</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另外，天线可轻易稳固的安装；同时亦可容易地拆除，方便携带；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八通道低损耗天线分配电路设计，4套单频道自动选讯接收机可共同一对天线；TNC 接头，保证连接的可靠性；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低噪放大电路设计。</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指向性天线</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指向性天线；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天线输入阻抗：50Ω；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天线输出阻抗：50Ω；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天线输入插座：TNC；</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天线输出插座：TNC；</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增益：3dB；</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带宽：40MHz；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供电电流:12-18V 100mA。</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天线壁挂支架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定制壁挂支架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3、显示系统（详见信息发布系统）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4、高清混插系统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7"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无缝混合切换矩阵</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全数字化切换, 每通道4x6G传输带宽；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标准插卡式工业机箱，一卡1路，任意信号输入输出；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5寸触屏操作，实时无缝切换；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输入信号分辨率自适应，输出分辨率可调；</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2U插卡可实现9x9或12x6或6x12，部分槽位可输入输出混插；</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HDMI接口兼容DVI1.0和HDMI1.4，支持HDCP1.2，支持蓝光播放器，支持DeepColor；</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CVBS、VGA和YPbPr模拟输入数字化处理，ADC最高采样频率205Mhz,内部图像处理24-bit处理，色彩还原真实, 最高分辨率到1920x1200@60Hz;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CVBS输入集成高级3D自适应梳状滤波器和去隔行处理，自动PAL，NTSC制式识别；</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支持4Kx2K输入输出，支持4K和2K混合变换切换；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SDI输入支持3G/HD/SD-SDI，速率143Mbps～2.97Gbps，兼容SMPTE 259M、292M、344M、424M、ITU R BT.601、ITU R BT.1120 串行视频标准；</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支持模拟音频输入和输出, 支持数字模拟音频混合切换；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支持SDI音频加解嵌（SMPTE291）；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支持32个场景存储和调用；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支持红外控制；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支持RS232和以太网控制，开放控制协议，方便第三方串口控制；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支持断电现场保护；</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单路高清HDMI输入板卡</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单路HDMI输入，支持音频分离输入；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时钟频率：25Mhz-225Mhz；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标准：DVI1.0 HDMI1.3；HDCP1.2；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接口类型：Type A 19pin；HDMI或DVI-D；</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单路高清SDI输入板卡</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单路SDI输入，支持音频分离输入；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速率：143Mbps～2.97Gbps；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标准：SMPTE 259M、292M、344M、424M,音频兼容SMPTE291；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接口类型：BNC；</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单路高清HDMI输出板卡</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单路HDMI输出，支持音频分离输出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时钟频率：25Mhz-225Mhz；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标准：DVI1.0 HDMI1.3；HDCP1.2；</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接口类型：Type A 19pin；HDMI或DVI-D；</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单路高清SDI输出板卡</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单路SDI输出，支持音频分离输出；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速率：143Mbps～2.97Gbps；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标准：SMPTE 259M、292M、344M、424M,音频兼容SMPTE291；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接口类型：BNC；</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5、环境控制系统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1"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中央控制主机</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全面支持远程网络控制，内建网络接口，支持网络级联，支持任意分辨率的平板手持终端，通过wifi与主机通讯；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平板人机界面编程全面兼容传统触屏编程方式，无需重新学习新的编程方法，极其方便升级更换；</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采用可编程控制平台，中英文可编程界面，交互式的控制结构；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采用最新32位内嵌式处理器，处理速度最高可达533MHZ；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大量采用高度集成化协处理芯片，考究的LAY OUT让系统运行非常稳定、流畅；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主机内置8MB内存及16MB的大容量FLASH 存储器；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8路独立可编程RS-232控制接口，可以收发RS232、RS485、Rs422格式数据；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主机能串口环出，串口1-8，任意一个输入，可以从另外一个串口环出；8路独立可编程IR红外发射口，红外发射口可以做串口使用，使可编程口总数达到16个；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8路数字I/0输入输出控制口，带保护电路；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8路弱电继电器控制接口；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3个网络控制接口，可以并接最大256个网络设备；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客户可编程设置的任何控制协议或者控制代码；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内嵌智能红外学习功能模块，无须配置专业学习器；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支持双代码的控制，即一键发二种代码</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电源控制器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可由多媒体控制系统的24VDC或AC 100-240V两种供电模式；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8路独立节点控制接口，每路都有常开，常闭两种接口选择；</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ID CODE 可调节网络ID，实现与可编程控制主机RS-485网络通讯；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内置光电隔离模块，可保障负载和主机安全可靠；                    电源通道 每路220V  50Hz  30A;</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控制模式 8路独立继电器控制;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通讯控制 专用A-NET接线端子/RS485;</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无线路由器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采用双路双频设计，802.11a/n和802.11b/g/n可同时使用，实现灵活部署；</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触摸屏平板</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屏幕尺寸：9.7英寸</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屏幕分辨率：2048x1536</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屏幕像素密度：264PPI</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屏幕描述：电容式触摸屏，多点式触摸屏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屏幕特性：IPS屏幕，防指纹涂层，视网膜屏幕，全层压显示屏，抗反射涂层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支持语言：支持多国语言</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WiFi功能：支持802.11a/b/g/n/ac无线协议，双频（2.4GHz和5GHz）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蓝牙功能：支持，蓝牙4.2模块</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红外发射棒</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配套中控使用,用于红外设备的远程控制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辅材及中控编程</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SPON、CREATOR、TOG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6、录播系统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录播主机（含软件）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录播主机采用嵌入式系统，确保系统稳定性；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系统CPU采用国产芯片；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录播主机电源开关按键采用自锁技术，支持上电即开机；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支持3路SDI输入接口（每个接口自适应3G-SDI/HD-SDI信号）、1路HDMI输入接口或1路VGA输入接口；</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支持2路视频同时输出，1路VGA-OUT、 HDMI-OUT，输出分辨率为1080P图像，输出内容可自定义为直播图像或导播界面，HDMI-OUT支持音视频同时输出；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支持2路音频输入和2路音频输出接口；1路音频3.5mm耳机监听接口，可监听直播声音；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支持2组RS232和4组RS485接口，支持对接外设导播台与中控，支持运维平台远程控制；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支持1个千兆网络接口；</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支持4组DC-12V电源输出，可给外设设备供电如导播键盘；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为保证视频录制音频效果，降低录播课室环境噪声，同时保证主机系统正常散热，要求采用无风扇散热设计。</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高清摄像头</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全高清图像：采用1/2.8英寸高品质图像传感器，最大分辨率可达1920x1080，输出帧率高达60帧/秒；</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多种光学变倍镜头：具有8X、10X、12X、20X等多种光学变倍镜头选择，镜头具有72.5°无畸变宽视角；</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领先的自动聚焦技术：先进的自动聚焦算法使得镜头快速、准确、稳定地完成自动聚焦；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低噪声高信噪比：低噪声CMOS有效地保证了摄像机视频的超高信噪比，采用先进的2D、3D降噪技术，进一步降低了噪声，同时又能确保图像清晰度；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音频输入接口：支持16000、32000、44100、48000采样频率，支持AAC、MP3、PCM音频编码；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超级静音云台：采用高精度步进电机以及精密电机驱动控制器，确保云台低速运行平稳，并且无噪声；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多种视频输出接口：支持DVI（HDMI），3G-SDI，USB、有线LAN、无线LAN接口（5GWiFi模块），3G-SDI支持在1080P 60格式下传输100米；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多种音视频压缩标准：支持H.265/H.264视频压缩，支持AAC、MP3、PCM音频压缩；支持高达1920x1080分辨率60帧/秒压缩；支持2路1920x1080分辨率30帧/秒压缩；</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多种遥控器：用户可以根据所使用的环境条件，选择红外遥控器或无线遥控器，2.4G无线遥控器不受角度、距离、红外干扰影响，支持遥控器信号透传功能，方便后端设备使用；　</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低功耗休眠功能：支持低功耗休眠/唤醒，休眠时功耗低于400mW；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多种控制协议：支持VISCA、PELCO-D、PELCO-P协议，支持自动识别协议。</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SPON、DESFINE、TOG</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9" w:hRule="atLeast"/>
        </w:trPr>
        <w:tc>
          <w:tcPr>
            <w:tcW w:w="625"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显示器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屏幕尺寸  23.8英寸；</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最佳分辨率  1920x1080；</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屏幕比例 16:9（宽屏）；</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高清标准 1080p（全高清）；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面板类型 IPS；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背光类型 LED背光；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静态对比度  1000:1；</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响应时间 5ms；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显示参数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亮度  250cd/㎡；</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可视角度 178/178°；</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显示颜色 16.7M；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色域  sRGB：127％ NTSC：109％；</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接口参数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视频接口 D-Sub（VGA），DVI-D，HDMI，Displayport；</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其它接口 音频输出；</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41" w:type="dxa"/>
            <w:gridSpan w:val="2"/>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7、舞台机械灯光系统</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jc w:val="left"/>
              <w:rPr>
                <w:rFonts w:hint="eastAsia" w:ascii="宋体" w:hAnsi="宋体" w:cs="宋体"/>
                <w:b/>
                <w:bCs/>
                <w:color w:val="auto"/>
                <w:sz w:val="20"/>
                <w:szCs w:val="20"/>
                <w:highlight w:val="none"/>
              </w:rPr>
            </w:pPr>
          </w:p>
        </w:tc>
        <w:tc>
          <w:tcPr>
            <w:tcW w:w="1516" w:type="dxa"/>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舞台灯光部分</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面光-LED成像灯</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光通量: 8800LM/12500LM，色温: 3200K/4000K/5500K 可选，光    源：大功率LED，光的角度：19°/26°/36°/50°，额定电压：100～240V，额定功率：150W/200W，控制模式：DMX512，防护等级：IP33，最大环境温度：55°C，最小环境温度：-30°C，灯体最高表面温度：40°C～55°C，寿    命：50000小时，外形尺寸：610X380X495(mm)，重    量:9.5KG</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只</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电动翻转LED会议平板灯（一顶）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额定电压：AC110-240V  50/60Hz，额定功率：192W ，光源：384颗0.5W LED，使用寿命：50000H，色温：3200K+6000K双色温，显色指数：Ra≥85，调光：0-100%线性调光，角度范围:-20-20°电动调节，控制模式: DMX512 、手动，通道数：6个DMX512通道，工作环境：适合与演播室、会议室、多功能厅、礼堂等，散热方式:机箱+风扇(静音)，外壳材料：铝合金+柔光板(白色)</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只</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电动翻转LED会议平板灯（二顶）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额定电压：AC110-240V  50/60Hz，额定功率：192W ，光源：384颗0.5W LED，使用寿命：50000H，色温：3200K+6000K双色温，显色指数：Ra≥85，调光：0-100%线性调光，角度范围:-20-20°电动调节，控制模式: DMX512 、手动，通道数：6个DMX512通道，工作环境：适合与演播室、会议室、多功能厅、礼堂等，散热方式:机箱+风扇(静音)，外壳材料：铝合金+柔光板(白色)</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只</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电动翻转LED会议平板灯（三顶）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额定电压：AC110-240V  50/60Hz，额定功率：192W ，光源：384颗0.5W LED，使用寿命：50000H，色温：3200K+6000K双色温，显色指数：Ra≥85，调光：0-100%线性调光，角度范围:-20-20°电动调节，控制模式: DMX512 、手动，通道数：6个DMX512通道，工作环境：适合与演播室、会议室、多功能厅、礼堂等，散热方式:机箱+风扇(静音)，外壳材料：铝合金+柔光板(白色)</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只</w:t>
            </w:r>
          </w:p>
        </w:tc>
        <w:tc>
          <w:tcPr>
            <w:tcW w:w="632"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电脑摇头图案灯（三合一）</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 电 压: AC100-240V 50/60Hz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 灯 泡: YODN R17/350W兼容OSRAM PHILIPS R17/350W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 色 温: 7500K</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 灯泡寿命: 2000小时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 颜 色: 1个颜色盘，13色+白光，可半色、可双向流动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 图 案: 1个旋转图案盘，9个可更换图案片+白光，单向旋转，图案盘可抖动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 固定图案：1个固定图案盘，17种图案，图案盘可抖动，可双向流动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 棱 镜:1个可旋转十六棱镜,另一个旋转排镜或八棱镜，单向旋转</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 镜 头: 高精密多组胶合光学镜头</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 柔光效果: 可调节柔光角度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 光 束: 多级光束角度变化效果</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12. 调 焦: 线性调焦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13. 调 光: 0-100%线性调节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14. 光束角度：2度-56度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15. 投光范围: X向540度,Y向270度,可自动校正定位</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16. 扫描速度: X向2.6秒/540度，Y向1.24秒/270度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17. 频 闪: 双频闪结构 ，频闪0.5-14次/秒</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18. 马达数量: 16个超静音马达，其中二个三相马达，16Bit驱动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19. 控制方式: 国际标准DMX512，自走模式等。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20. 控制通道：2个控制通道模式选择，16/24通道。</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21. 时间功能：在菜单内可记录灯具和灯泡的工作总时间和工作时间</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22. 外 观: 耐高温塑料外壳，高强度合金冷压成型内核材料</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23. 智能散热： 采用风向引流与温度智能监控技术，根据灯具不同位置的温度高低，自动驱动灯具里面不同部位的冷却风扇，对灯具部件进行有效的冷却</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24. 防护等级: IP20，可选防雨罩防护等级高达IP45.</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25. 灯体重量：18.6KG</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26.灯体规格尺寸: 361*300.8*601.8mm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27.灯具附件： 说明书1本；保险绳1条；灯钩2个；5米信号线1条,电源线一条</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只</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DMX灯光控制台</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MX512数码输出，512DMX控制通道，2个光隔离独立驱动信号输出端口，可控制32台16通道电脑灯，1600个走灯程序步储存容量。48个走灯程序，每程序最多100步。每步速度、渐变参数独立设置。可选音乐同步或手动速率控制可同时运行4个走灯程序、48个场景，并可同时对32台电脑灯进行提灯操作。关机数据保持，DMX信号输出连接器：XLR-3F×2，可选配12V鹅颈工作灯电源：AC 100-240V 50-60Hz</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DMX控制台放大器</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路DMX512数码输入，1路DMX512直接输出。输入输出光电隔离。8路独立放大驱动输出。信号放大整形功能，延长信号传输距离。增强数据总线接入设备数量的能力。保护灯光控制台DMX512输出接口，故障现场隔离，提高数字式灯光控制系统的安全可靠性。独立的LED信号指示。电源：AC100~240V/50-60Hz。</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电源直通箱</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 供电：三相五线制AC380V±10％，频率50Hz±5％。(2) 额定功率：12路×4KW; 可适用于任何负载。(3) 过载与短路双重保护高分断空气开关。(4) A.B.C三相工作指示灯. 设两脚和三脚万能备用插座方便使用。(5) 外形尺寸(mm):L515×W485×H133. 单机重量:12KG。使用前请先接好所需要的供电设备,本产品可直接接入12只X4KW常规舞台灯具或12只X4KW电脑特效灯,12路单独控制；再接入AC380V三相电,注意火线（A.B.C）与零线（N）不可接反,接地线(PE)要良好接地,此时面板指示灯亮起,空气开关打到ON状态,这时接入的灯具应亮起。</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灯钩</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配套</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保险绳</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配套</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12U机柜</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12U机柜灯光控制柜</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一舟、清华同方、德塔森特</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ign w:val="center"/>
          </w:tcPr>
          <w:p>
            <w:pPr>
              <w:jc w:val="left"/>
              <w:rPr>
                <w:rFonts w:hint="eastAsia" w:ascii="宋体" w:hAnsi="宋体" w:cs="宋体"/>
                <w:b/>
                <w:bCs/>
                <w:color w:val="auto"/>
                <w:sz w:val="20"/>
                <w:szCs w:val="20"/>
                <w:highlight w:val="none"/>
              </w:rPr>
            </w:pPr>
          </w:p>
        </w:tc>
        <w:tc>
          <w:tcPr>
            <w:tcW w:w="1516" w:type="dxa"/>
            <w:noWrap/>
            <w:vAlign w:val="center"/>
          </w:tcPr>
          <w:p>
            <w:pPr>
              <w:widowControl/>
              <w:jc w:val="left"/>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舞台机械部分</w:t>
            </w:r>
          </w:p>
        </w:tc>
        <w:tc>
          <w:tcPr>
            <w:tcW w:w="3910" w:type="dxa"/>
            <w:noWrap/>
            <w:vAlign w:val="center"/>
          </w:tcPr>
          <w:p>
            <w:pPr>
              <w:jc w:val="left"/>
              <w:rPr>
                <w:rFonts w:hint="eastAsia" w:ascii="宋体" w:hAnsi="宋体" w:cs="宋体"/>
                <w:color w:val="auto"/>
                <w:sz w:val="20"/>
                <w:szCs w:val="20"/>
                <w:highlight w:val="none"/>
              </w:rPr>
            </w:pPr>
          </w:p>
        </w:tc>
        <w:tc>
          <w:tcPr>
            <w:tcW w:w="1071" w:type="dxa"/>
            <w:noWrap/>
            <w:vAlign w:val="center"/>
          </w:tcPr>
          <w:p>
            <w:pPr>
              <w:jc w:val="center"/>
              <w:rPr>
                <w:rFonts w:hint="eastAsia" w:ascii="宋体" w:hAnsi="宋体" w:cs="宋体"/>
                <w:color w:val="auto"/>
                <w:sz w:val="20"/>
                <w:szCs w:val="20"/>
                <w:highlight w:val="none"/>
              </w:rPr>
            </w:pPr>
          </w:p>
        </w:tc>
        <w:tc>
          <w:tcPr>
            <w:tcW w:w="697" w:type="dxa"/>
            <w:noWrap/>
            <w:vAlign w:val="center"/>
          </w:tcPr>
          <w:p>
            <w:pPr>
              <w:jc w:val="left"/>
              <w:rPr>
                <w:rFonts w:hint="eastAsia" w:ascii="宋体" w:hAnsi="宋体" w:cs="宋体"/>
                <w:color w:val="auto"/>
                <w:sz w:val="20"/>
                <w:szCs w:val="20"/>
                <w:highlight w:val="none"/>
              </w:rPr>
            </w:pPr>
          </w:p>
        </w:tc>
        <w:tc>
          <w:tcPr>
            <w:tcW w:w="632" w:type="dxa"/>
            <w:noWrap/>
            <w:vAlign w:val="center"/>
          </w:tcPr>
          <w:p>
            <w:pPr>
              <w:jc w:val="left"/>
              <w:rPr>
                <w:rFonts w:hint="eastAsia" w:ascii="宋体" w:hAnsi="宋体" w:cs="宋体"/>
                <w:color w:val="auto"/>
                <w:sz w:val="20"/>
                <w:szCs w:val="20"/>
                <w:highlight w:val="none"/>
              </w:rPr>
            </w:pP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吊杆机专用滑轮组</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装配件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镀锌航空钢丝绳</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装配件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632"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舞台机械控制台</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控制吊杆升降和幕布对开，模拟控制，开关按钮等元器件国内知名品牌；具有起动按钮，急停按钮；可以控制吊杆上升或下降，也可以控制对开幕的开、闭及自动限位等功能； 上下限保护</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吊杆机钢结构固定支架</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定制</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632"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面灯光吊杆片式杆体</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国标，钢结构定制，¢48mm钢管焊接，H型杆体，根据现场实际调整</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道</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25"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516"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电动升降面灯吊杆机</w:t>
            </w:r>
          </w:p>
        </w:tc>
        <w:tc>
          <w:tcPr>
            <w:tcW w:w="3910" w:type="dxa"/>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升降速度：0.30m/s；吊点数：5吊点，载荷：400KG（含杆重）；噪音≤50dB；电机功率：2.2KW；多层排绕；机械定位；安全措施:上下限位保护、相序保护、防跳绳保护等保护装置</w:t>
            </w:r>
          </w:p>
        </w:tc>
        <w:tc>
          <w:tcPr>
            <w:tcW w:w="107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东蒙、明道、珠江</w:t>
            </w:r>
          </w:p>
        </w:tc>
        <w:tc>
          <w:tcPr>
            <w:tcW w:w="69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632"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39" w:type="dxa"/>
            <w:noWrap/>
            <w:vAlign w:val="center"/>
          </w:tcPr>
          <w:p>
            <w:pPr>
              <w:rPr>
                <w:rFonts w:hint="eastAsia" w:ascii="宋体" w:hAnsi="宋体" w:cs="宋体"/>
                <w:color w:val="auto"/>
                <w:sz w:val="20"/>
                <w:szCs w:val="20"/>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3"/>
        <w:tblW w:w="0" w:type="auto"/>
        <w:tblInd w:w="96" w:type="dxa"/>
        <w:tblLayout w:type="fixed"/>
        <w:tblCellMar>
          <w:top w:w="0" w:type="dxa"/>
          <w:left w:w="108" w:type="dxa"/>
          <w:bottom w:w="0" w:type="dxa"/>
          <w:right w:w="108" w:type="dxa"/>
        </w:tblCellMar>
      </w:tblPr>
      <w:tblGrid>
        <w:gridCol w:w="515"/>
        <w:gridCol w:w="1203"/>
        <w:gridCol w:w="4149"/>
        <w:gridCol w:w="1255"/>
        <w:gridCol w:w="632"/>
        <w:gridCol w:w="637"/>
        <w:gridCol w:w="728"/>
      </w:tblGrid>
      <w:tr>
        <w:tblPrEx>
          <w:tblCellMar>
            <w:top w:w="0" w:type="dxa"/>
            <w:left w:w="108" w:type="dxa"/>
            <w:bottom w:w="0" w:type="dxa"/>
            <w:right w:w="108" w:type="dxa"/>
          </w:tblCellMar>
        </w:tblPrEx>
        <w:trPr>
          <w:trHeight w:val="513" w:hRule="atLeast"/>
        </w:trPr>
        <w:tc>
          <w:tcPr>
            <w:tcW w:w="9119" w:type="dxa"/>
            <w:gridSpan w:val="7"/>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机房建设工程系统设备清单</w:t>
            </w:r>
          </w:p>
        </w:tc>
      </w:tr>
      <w:tr>
        <w:tblPrEx>
          <w:tblCellMar>
            <w:top w:w="0" w:type="dxa"/>
            <w:left w:w="108" w:type="dxa"/>
            <w:bottom w:w="0" w:type="dxa"/>
            <w:right w:w="108" w:type="dxa"/>
          </w:tblCellMar>
        </w:tblPrEx>
        <w:trPr>
          <w:trHeight w:val="513" w:hRule="atLeast"/>
        </w:trPr>
        <w:tc>
          <w:tcPr>
            <w:tcW w:w="9119" w:type="dxa"/>
            <w:gridSpan w:val="7"/>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子系统名称：机房建设工程系统</w:t>
            </w:r>
          </w:p>
        </w:tc>
      </w:tr>
      <w:tr>
        <w:tblPrEx>
          <w:tblCellMar>
            <w:top w:w="0" w:type="dxa"/>
            <w:left w:w="108" w:type="dxa"/>
            <w:bottom w:w="0" w:type="dxa"/>
            <w:right w:w="108" w:type="dxa"/>
          </w:tblCellMar>
        </w:tblPrEx>
        <w:trPr>
          <w:trHeight w:val="1026"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序号</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设备名称</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技术参数</w:t>
            </w:r>
          </w:p>
        </w:tc>
        <w:tc>
          <w:tcPr>
            <w:tcW w:w="125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推荐品牌</w:t>
            </w:r>
          </w:p>
        </w:tc>
        <w:tc>
          <w:tcPr>
            <w:tcW w:w="63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单位</w:t>
            </w:r>
          </w:p>
        </w:tc>
        <w:tc>
          <w:tcPr>
            <w:tcW w:w="637"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 xml:space="preserve">数量 </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b/>
                <w:bCs/>
                <w:color w:val="auto"/>
                <w:sz w:val="18"/>
                <w:szCs w:val="18"/>
                <w:highlight w:val="none"/>
              </w:rPr>
            </w:pPr>
            <w:r>
              <w:rPr>
                <w:rFonts w:hint="eastAsia"/>
                <w:b/>
                <w:bCs/>
                <w:color w:val="auto"/>
                <w:sz w:val="18"/>
                <w:szCs w:val="18"/>
                <w:highlight w:val="none"/>
              </w:rPr>
              <w:t>备注</w:t>
            </w:r>
          </w:p>
        </w:tc>
      </w:tr>
      <w:tr>
        <w:tblPrEx>
          <w:tblCellMar>
            <w:top w:w="0" w:type="dxa"/>
            <w:left w:w="108" w:type="dxa"/>
            <w:bottom w:w="0" w:type="dxa"/>
            <w:right w:w="108" w:type="dxa"/>
          </w:tblCellMar>
        </w:tblPrEx>
        <w:trPr>
          <w:trHeight w:val="51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监控中心UPS</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2528"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UPS主机（2KVA）</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1.2KVA单进单出主机，单机最大带载能力≥1.6KW。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2.220V输入，220V输出，双变换在线式高频主机。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3.输入电压范围176～264VAC,频率范围46～54Hz；输出电压：220VAC±1%,逆变器效率93%以上，输入输出功率均大于0.8。</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具备手机APP远程实时在线监控、控制功能，具备浏览器网页实时在线监控功能，具备微信接收实时报警信息功能，网页端最多可存储1000条报警信息以及最近7天内的运行数据；5.逆变过载能力：125%负载30S，150%负载100mS，大于150%立即转旁路。</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科华、科士达、艾特网能</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584"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蓄电池(24H)</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1.阀控式12V/100AH密封铅酸蓄电池。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2.产品在温度为25℃时，电池的设计寿命≥10年。</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3.为保证蓄电池产品能与UPS主机安全稳定的配合运行，投标蓄电池产品必须与UPS主机为同一制造厂商生产的原装电池，不接受OEM产品。</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科华、科士达、艾特网能</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节</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36</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电池箱</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定制电池箱，最多可放置20节蓄电池</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科华、科士达、艾特网能</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268"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UPS主机（30KVA）</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1.30KVA塔式主机，最大带载能力≥24KW，采用可控硅整流、IGBT逆变技术，双变换在线式工频机，带输出隔离变压器，保证负载和公用电网全隔离。</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2.具备超大中英文液晶显示屏，可直观查看输入、输出、电流、电池组、频率、报警记录等信息。</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3.输入电压范围304～456VAC,频率范围50/60Hz±10%；输出电压精度：220/380VAC±1%,逆变器效率93%以上，输入输出功率均大于0.8。</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4.冗余并机模式：最大可进行8台并机，按UPS大小自动分配负载量；</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5.具备手机APP远程实时在线监控、控制功能，具备浏览器网页实时在线监控功能，具备微信接收实时报警信息功能，网页端最多可存储1000条报警信息以及最近7天内的运行数据；</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6.逆变过载能力：125%维持10分钟，150%维持1分钟，大于150%维持300ms。</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科华、科士达、艾特网能</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1584"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蓄电池(4H)</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1.阀控式12V/100AH密封铅酸蓄电池。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2.产品在温度为25℃时，电池的设计寿命≥10年。</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3.为保证蓄电池产品能与UPS主机安全稳定的配合运行，投标蓄电池产品必须与UPS主机为同一制造厂商生产的原装电池，不接受OEM产品。</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科华、科士达、艾特网能</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节</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96</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电池箱</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定制电池箱，最多可放置32节蓄电池</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科华、科士达、艾特网能</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UPS配电箱（2KVA）</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按系统图的回路个数分别定制；内含断路器、汇流排、接线端子等；</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科华、科士达、艾特网能</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UPS配电箱（30KVA）</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按系统图的回路个数分别定制；内含断路器、汇流排、接线端子等；</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科华、科士达、艾特网能</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防雷系统</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bCs/>
                <w:color w:val="auto"/>
                <w:sz w:val="18"/>
                <w:szCs w:val="18"/>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639"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三相电源防雷模块</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标称工作电压：380V/50HZ；持续耐压：385V；标称放电电流：30KA；最大放电电流：60KA；保护水平：＜1.8KV；响应时间：25ns</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639"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单相电源防雷模块</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标称工作电压：220V/50HZ；持续耐压：275V；标称放电电流：10KA；最大放电电流：20KA；保护水平：＜1.5KV；响应时间：25ns</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954"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电源防雷插座</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便携式多功能单相防雷插座。适用于电子设备或电器设备保护（末级保护）、最大持续工作电压范围Uc=275-330V额定通流In=5KA、最大通流Imax=10KA(8/20μs)、保护水平UP:小于1KV、D7(分离器件)（七位）</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20</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954"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二合一网络防雷器</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产品带有远程遥讯报警干接点；二合一网络防雷器，摄像机额定工作电压12V，由电源避雷器、网络信号RJ45避雷器组成，设备进场需提供原厂盖公章的质保函，享受原厂质保。</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52</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954"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485控制信号防雷器</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适用于通讯专线/遥测信号/遥控信号等设备的防雷保护。额定电压6 V,最大持续运行电压8V, 额定负载电流0.5A，标称放电电流5kA, 最大放电电流10kA,限制电压15V,最大传输速率2Mbps,插入损耗＜0.1dB。</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639"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广播信号防雷器</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工作电压:200V DC，标称放电电流:In≥10kA/(8/20μs)，Up≤300V(8/20µs)；响应时间：≤1ns</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个</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639"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接地系统（监控中心）</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18"/>
                <w:szCs w:val="18"/>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8"/>
                <w:szCs w:val="18"/>
                <w:highlight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18"/>
                <w:szCs w:val="18"/>
                <w:highlight w:val="none"/>
              </w:rPr>
            </w:pPr>
          </w:p>
        </w:tc>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639"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防静电地板（含安装支架）</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1.采用联合接地体方式，要求接地电阻≤1欧姆；</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2.机房内部做好局部等电位联结；</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平方米</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b/>
                <w:bCs/>
                <w:color w:val="auto"/>
                <w:sz w:val="18"/>
                <w:szCs w:val="18"/>
                <w:highlight w:val="none"/>
              </w:rPr>
            </w:pPr>
          </w:p>
        </w:tc>
      </w:tr>
      <w:tr>
        <w:tblPrEx>
          <w:tblCellMar>
            <w:top w:w="0" w:type="dxa"/>
            <w:left w:w="108" w:type="dxa"/>
            <w:bottom w:w="0" w:type="dxa"/>
            <w:right w:w="108" w:type="dxa"/>
          </w:tblCellMar>
        </w:tblPrEx>
        <w:trPr>
          <w:trHeight w:val="51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40mm*4mm紫铜排</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规格：40*4mm</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M</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25</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6mm多股铜芯线</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规格：60*0.6mm</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M</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150</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1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其它辅材等</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焊料、防腐、紧固件、支撑件、绝缘胶木板等</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r>
        <w:tblPrEx>
          <w:tblCellMar>
            <w:top w:w="0" w:type="dxa"/>
            <w:left w:w="108" w:type="dxa"/>
            <w:bottom w:w="0" w:type="dxa"/>
            <w:right w:w="108" w:type="dxa"/>
          </w:tblCellMar>
        </w:tblPrEx>
        <w:trPr>
          <w:trHeight w:val="523" w:hRule="atLeast"/>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辅材</w:t>
            </w:r>
          </w:p>
        </w:tc>
        <w:tc>
          <w:tcPr>
            <w:tcW w:w="414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满足系统正常运行的，除主材设备和管线外所需配置的附件材料</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批</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rPr>
                <w:color w:val="auto"/>
                <w:sz w:val="18"/>
                <w:szCs w:val="18"/>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3"/>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97"/>
        <w:gridCol w:w="4127"/>
        <w:gridCol w:w="1249"/>
        <w:gridCol w:w="658"/>
        <w:gridCol w:w="601"/>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079" w:type="dxa"/>
            <w:gridSpan w:val="7"/>
            <w:noWrap/>
            <w:vAlign w:val="bottom"/>
          </w:tcPr>
          <w:p>
            <w:pPr>
              <w:jc w:val="cente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网络中心机房建设系统设备清单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079" w:type="dxa"/>
            <w:gridSpan w:val="7"/>
            <w:noWrap/>
            <w:vAlign w:val="bottom"/>
          </w:tcPr>
          <w:p>
            <w:pPr>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lang w:bidi="ar"/>
              </w:rPr>
              <w:t>子系统名称：网络中心机房建设系统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23" w:type="dxa"/>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序号</w:t>
            </w:r>
          </w:p>
        </w:tc>
        <w:tc>
          <w:tcPr>
            <w:tcW w:w="1197" w:type="dxa"/>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设备名称</w:t>
            </w:r>
          </w:p>
        </w:tc>
        <w:tc>
          <w:tcPr>
            <w:tcW w:w="4127" w:type="dxa"/>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技术参数</w:t>
            </w:r>
          </w:p>
        </w:tc>
        <w:tc>
          <w:tcPr>
            <w:tcW w:w="1249" w:type="dxa"/>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推荐品牌</w:t>
            </w:r>
          </w:p>
        </w:tc>
        <w:tc>
          <w:tcPr>
            <w:tcW w:w="658" w:type="dxa"/>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单位</w:t>
            </w:r>
          </w:p>
        </w:tc>
        <w:tc>
          <w:tcPr>
            <w:tcW w:w="601" w:type="dxa"/>
            <w:noWrap w:val="0"/>
            <w:vAlign w:val="center"/>
          </w:tcPr>
          <w:p>
            <w:pPr>
              <w:widowControl/>
              <w:jc w:val="center"/>
              <w:textAlignment w:val="center"/>
              <w:rPr>
                <w:rFonts w:hint="eastAsia" w:ascii="宋体" w:hAnsi="宋体" w:cs="宋体"/>
                <w:b/>
                <w:bCs/>
                <w:color w:val="auto"/>
                <w:sz w:val="18"/>
                <w:szCs w:val="18"/>
                <w:highlight w:val="none"/>
              </w:rPr>
            </w:pPr>
            <w:r>
              <w:rPr>
                <w:rFonts w:hint="eastAsia" w:ascii="宋体" w:hAnsi="宋体" w:cs="宋体"/>
                <w:b/>
                <w:bCs/>
                <w:color w:val="auto"/>
                <w:kern w:val="0"/>
                <w:sz w:val="18"/>
                <w:szCs w:val="18"/>
                <w:highlight w:val="none"/>
                <w:lang w:bidi="ar"/>
              </w:rPr>
              <w:t xml:space="preserve">数量 </w:t>
            </w:r>
          </w:p>
        </w:tc>
        <w:tc>
          <w:tcPr>
            <w:tcW w:w="724" w:type="dxa"/>
            <w:noWrap/>
            <w:vAlign w:val="center"/>
          </w:tcPr>
          <w:p>
            <w:pPr>
              <w:jc w:val="center"/>
              <w:rPr>
                <w:rFonts w:hint="eastAsia"/>
                <w:b/>
                <w:bCs/>
                <w:color w:val="auto"/>
                <w:sz w:val="18"/>
                <w:szCs w:val="18"/>
                <w:highlight w:val="none"/>
              </w:rPr>
            </w:pPr>
            <w:r>
              <w:rPr>
                <w:rFonts w:hint="eastAsia"/>
                <w:b/>
                <w:bCs/>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23" w:type="dxa"/>
            <w:noWrap w:val="0"/>
            <w:vAlign w:val="center"/>
          </w:tcPr>
          <w:p>
            <w:pPr>
              <w:widowControl/>
              <w:jc w:val="center"/>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一</w:t>
            </w:r>
          </w:p>
        </w:tc>
        <w:tc>
          <w:tcPr>
            <w:tcW w:w="1197" w:type="dxa"/>
            <w:noWrap w:val="0"/>
            <w:vAlign w:val="center"/>
          </w:tcPr>
          <w:p>
            <w:pPr>
              <w:widowControl/>
              <w:jc w:val="left"/>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模块化微型数据机房一体机</w:t>
            </w:r>
          </w:p>
        </w:tc>
        <w:tc>
          <w:tcPr>
            <w:tcW w:w="4127" w:type="dxa"/>
            <w:noWrap w:val="0"/>
            <w:vAlign w:val="center"/>
          </w:tcPr>
          <w:p>
            <w:pPr>
              <w:jc w:val="left"/>
              <w:rPr>
                <w:rFonts w:hint="eastAsia" w:ascii="宋体" w:hAnsi="宋体" w:cs="宋体"/>
                <w:color w:val="auto"/>
                <w:sz w:val="16"/>
                <w:szCs w:val="16"/>
                <w:highlight w:val="none"/>
              </w:rPr>
            </w:pPr>
          </w:p>
        </w:tc>
        <w:tc>
          <w:tcPr>
            <w:tcW w:w="1249" w:type="dxa"/>
            <w:noWrap w:val="0"/>
            <w:vAlign w:val="center"/>
          </w:tcPr>
          <w:p>
            <w:pPr>
              <w:jc w:val="center"/>
              <w:rPr>
                <w:rFonts w:hint="eastAsia" w:ascii="宋体" w:hAnsi="宋体" w:cs="宋体"/>
                <w:color w:val="auto"/>
                <w:sz w:val="16"/>
                <w:szCs w:val="16"/>
                <w:highlight w:val="none"/>
              </w:rPr>
            </w:pPr>
          </w:p>
        </w:tc>
        <w:tc>
          <w:tcPr>
            <w:tcW w:w="658" w:type="dxa"/>
            <w:noWrap w:val="0"/>
            <w:vAlign w:val="center"/>
          </w:tcPr>
          <w:p>
            <w:pPr>
              <w:jc w:val="center"/>
              <w:rPr>
                <w:rFonts w:hint="eastAsia" w:ascii="宋体" w:hAnsi="宋体" w:cs="宋体"/>
                <w:color w:val="auto"/>
                <w:sz w:val="16"/>
                <w:szCs w:val="16"/>
                <w:highlight w:val="none"/>
              </w:rPr>
            </w:pPr>
          </w:p>
        </w:tc>
        <w:tc>
          <w:tcPr>
            <w:tcW w:w="601" w:type="dxa"/>
            <w:noWrap w:val="0"/>
            <w:vAlign w:val="center"/>
          </w:tcPr>
          <w:p>
            <w:pPr>
              <w:rPr>
                <w:rFonts w:hint="eastAsia" w:ascii="宋体" w:hAnsi="宋体" w:cs="宋体"/>
                <w:color w:val="auto"/>
                <w:sz w:val="16"/>
                <w:szCs w:val="16"/>
                <w:highlight w:val="none"/>
              </w:rPr>
            </w:pPr>
          </w:p>
        </w:tc>
        <w:tc>
          <w:tcPr>
            <w:tcW w:w="724" w:type="dxa"/>
            <w:noWrap/>
            <w:vAlign w:val="center"/>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9"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MicroD-A 型五联机</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1、单柜框架尺寸：600*1200*2000mm(宽*深*高)</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2、整体安装尺寸：3000*1280*2000mm(宽*深*高)</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3、融合柜体模块：全封闭，前门中空钢化玻璃门，柜内设冷热通道气流循环，内置智能应急辅助散热装置，散热装置设有三位大风量轴流风机及密封自垂百叶装置，感应照明系统以及局部空载密闭组件；</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4、绿色变频制冷模块：双模块设计，支持最大制冷量12kW （标配5米铜管辅材）;支持IT设备分步进场,实现节能；</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5、不间断电源模块：最大支持 15KVA/12kW；</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6、智能配电模块：柜内基础设施市电、不间断电源分配；为 IT 设备提供两路完全独立的电源，一路不间断电源，一路市电；</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7、智能管理模块：7 英寸智能触摸屏实现柜内环境、基础设施设备本地化管理，支持远程集中管理，短信、Email 报警功能，实现 7x24 小时无人值守；</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8、IT 设备可用空间：≥ 176U</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长飞、华为、台达</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4" w:type="dxa"/>
            <w:noWrap/>
            <w:vAlign w:val="center"/>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二</w:t>
            </w:r>
          </w:p>
        </w:tc>
        <w:tc>
          <w:tcPr>
            <w:tcW w:w="1197" w:type="dxa"/>
            <w:noWrap w:val="0"/>
            <w:vAlign w:val="center"/>
          </w:tcPr>
          <w:p>
            <w:pPr>
              <w:widowControl/>
              <w:jc w:val="left"/>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UPS后备两小时</w:t>
            </w:r>
          </w:p>
        </w:tc>
        <w:tc>
          <w:tcPr>
            <w:tcW w:w="4127" w:type="dxa"/>
            <w:noWrap w:val="0"/>
            <w:vAlign w:val="center"/>
          </w:tcPr>
          <w:p>
            <w:pPr>
              <w:jc w:val="left"/>
              <w:rPr>
                <w:rFonts w:hint="eastAsia" w:ascii="宋体" w:hAnsi="宋体" w:cs="宋体"/>
                <w:color w:val="auto"/>
                <w:sz w:val="16"/>
                <w:szCs w:val="16"/>
                <w:highlight w:val="none"/>
              </w:rPr>
            </w:pPr>
          </w:p>
        </w:tc>
        <w:tc>
          <w:tcPr>
            <w:tcW w:w="1249" w:type="dxa"/>
            <w:noWrap w:val="0"/>
            <w:vAlign w:val="center"/>
          </w:tcPr>
          <w:p>
            <w:pPr>
              <w:jc w:val="center"/>
              <w:rPr>
                <w:rFonts w:hint="eastAsia" w:ascii="宋体" w:hAnsi="宋体" w:cs="宋体"/>
                <w:color w:val="auto"/>
                <w:sz w:val="16"/>
                <w:szCs w:val="16"/>
                <w:highlight w:val="none"/>
              </w:rPr>
            </w:pPr>
          </w:p>
        </w:tc>
        <w:tc>
          <w:tcPr>
            <w:tcW w:w="658" w:type="dxa"/>
            <w:noWrap w:val="0"/>
            <w:vAlign w:val="center"/>
          </w:tcPr>
          <w:p>
            <w:pPr>
              <w:jc w:val="center"/>
              <w:rPr>
                <w:rFonts w:hint="eastAsia" w:ascii="宋体" w:hAnsi="宋体" w:cs="宋体"/>
                <w:color w:val="auto"/>
                <w:sz w:val="16"/>
                <w:szCs w:val="16"/>
                <w:highlight w:val="none"/>
              </w:rPr>
            </w:pPr>
          </w:p>
        </w:tc>
        <w:tc>
          <w:tcPr>
            <w:tcW w:w="601" w:type="dxa"/>
            <w:noWrap w:val="0"/>
            <w:vAlign w:val="center"/>
          </w:tcPr>
          <w:p>
            <w:pPr>
              <w:rPr>
                <w:rFonts w:hint="eastAsia" w:ascii="宋体" w:hAnsi="宋体" w:cs="宋体"/>
                <w:color w:val="auto"/>
                <w:sz w:val="16"/>
                <w:szCs w:val="16"/>
                <w:highlight w:val="none"/>
              </w:rPr>
            </w:pPr>
          </w:p>
        </w:tc>
        <w:tc>
          <w:tcPr>
            <w:tcW w:w="724" w:type="dxa"/>
            <w:noWrap/>
            <w:vAlign w:val="center"/>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铅酸电池</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铅酸电池，12V,20HR 1.75V/C 150Ah</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科华、科士达、艾特网能</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节</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32</w:t>
            </w:r>
          </w:p>
        </w:tc>
        <w:tc>
          <w:tcPr>
            <w:tcW w:w="724" w:type="dxa"/>
            <w:noWrap/>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电池箱</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16节150AH电池箱；包含电池间连接线16平方及直流空开100A和空开箱，不包含架（箱）并机线及连接到UPS的电缆</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科华、科士达、艾特网能</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台</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724" w:type="dxa"/>
            <w:noWrap/>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三</w:t>
            </w:r>
          </w:p>
        </w:tc>
        <w:tc>
          <w:tcPr>
            <w:tcW w:w="1197" w:type="dxa"/>
            <w:noWrap w:val="0"/>
            <w:vAlign w:val="center"/>
          </w:tcPr>
          <w:p>
            <w:pPr>
              <w:widowControl/>
              <w:jc w:val="left"/>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辅材</w:t>
            </w:r>
          </w:p>
        </w:tc>
        <w:tc>
          <w:tcPr>
            <w:tcW w:w="4127" w:type="dxa"/>
            <w:noWrap w:val="0"/>
            <w:vAlign w:val="center"/>
          </w:tcPr>
          <w:p>
            <w:pPr>
              <w:jc w:val="left"/>
              <w:rPr>
                <w:rFonts w:hint="eastAsia" w:ascii="宋体" w:hAnsi="宋体" w:cs="宋体"/>
                <w:color w:val="auto"/>
                <w:sz w:val="16"/>
                <w:szCs w:val="16"/>
                <w:highlight w:val="none"/>
              </w:rPr>
            </w:pPr>
          </w:p>
        </w:tc>
        <w:tc>
          <w:tcPr>
            <w:tcW w:w="1249" w:type="dxa"/>
            <w:noWrap w:val="0"/>
            <w:vAlign w:val="center"/>
          </w:tcPr>
          <w:p>
            <w:pPr>
              <w:jc w:val="center"/>
              <w:rPr>
                <w:rFonts w:hint="eastAsia" w:ascii="宋体" w:hAnsi="宋体" w:cs="宋体"/>
                <w:color w:val="auto"/>
                <w:sz w:val="16"/>
                <w:szCs w:val="16"/>
                <w:highlight w:val="none"/>
              </w:rPr>
            </w:pPr>
          </w:p>
        </w:tc>
        <w:tc>
          <w:tcPr>
            <w:tcW w:w="658" w:type="dxa"/>
            <w:noWrap w:val="0"/>
            <w:vAlign w:val="center"/>
          </w:tcPr>
          <w:p>
            <w:pPr>
              <w:jc w:val="center"/>
              <w:rPr>
                <w:rFonts w:hint="eastAsia" w:ascii="宋体" w:hAnsi="宋体" w:cs="宋体"/>
                <w:color w:val="auto"/>
                <w:sz w:val="16"/>
                <w:szCs w:val="16"/>
                <w:highlight w:val="none"/>
              </w:rPr>
            </w:pPr>
          </w:p>
        </w:tc>
        <w:tc>
          <w:tcPr>
            <w:tcW w:w="601" w:type="dxa"/>
            <w:noWrap w:val="0"/>
            <w:vAlign w:val="center"/>
          </w:tcPr>
          <w:p>
            <w:pPr>
              <w:rPr>
                <w:rFonts w:hint="eastAsia" w:ascii="宋体" w:hAnsi="宋体" w:cs="宋体"/>
                <w:color w:val="auto"/>
                <w:sz w:val="16"/>
                <w:szCs w:val="16"/>
                <w:highlight w:val="none"/>
              </w:rPr>
            </w:pPr>
          </w:p>
        </w:tc>
        <w:tc>
          <w:tcPr>
            <w:tcW w:w="724" w:type="dxa"/>
            <w:noWrap/>
            <w:vAlign w:val="center"/>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A10A托盘</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489mm宽*750mm深，SPCC=1.2mm，承重120公斤</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长飞、华为、台达</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9</w:t>
            </w:r>
          </w:p>
        </w:tc>
        <w:tc>
          <w:tcPr>
            <w:tcW w:w="724" w:type="dxa"/>
            <w:noWrap/>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1U塑料盲板</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19吋安装，1U免工具安装盲板，ABS材质</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长飞、华为、台达</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166</w:t>
            </w:r>
          </w:p>
        </w:tc>
        <w:tc>
          <w:tcPr>
            <w:tcW w:w="724" w:type="dxa"/>
            <w:noWrap/>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1U毛刷盲板</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19吋安装，1U带毛刷盲板，后部具有理线功能</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长飞、华为、台达</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块</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724" w:type="dxa"/>
            <w:noWrap/>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四</w:t>
            </w:r>
          </w:p>
        </w:tc>
        <w:tc>
          <w:tcPr>
            <w:tcW w:w="1197" w:type="dxa"/>
            <w:noWrap w:val="0"/>
            <w:vAlign w:val="center"/>
          </w:tcPr>
          <w:p>
            <w:pPr>
              <w:widowControl/>
              <w:jc w:val="left"/>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背景照明组件</w:t>
            </w:r>
          </w:p>
        </w:tc>
        <w:tc>
          <w:tcPr>
            <w:tcW w:w="4127" w:type="dxa"/>
            <w:noWrap w:val="0"/>
            <w:vAlign w:val="center"/>
          </w:tcPr>
          <w:p>
            <w:pPr>
              <w:jc w:val="left"/>
              <w:rPr>
                <w:rFonts w:hint="eastAsia" w:ascii="宋体" w:hAnsi="宋体" w:cs="宋体"/>
                <w:color w:val="auto"/>
                <w:sz w:val="16"/>
                <w:szCs w:val="16"/>
                <w:highlight w:val="none"/>
              </w:rPr>
            </w:pPr>
          </w:p>
        </w:tc>
        <w:tc>
          <w:tcPr>
            <w:tcW w:w="1249" w:type="dxa"/>
            <w:noWrap w:val="0"/>
            <w:vAlign w:val="center"/>
          </w:tcPr>
          <w:p>
            <w:pPr>
              <w:jc w:val="center"/>
              <w:rPr>
                <w:rFonts w:hint="eastAsia" w:ascii="宋体" w:hAnsi="宋体" w:cs="宋体"/>
                <w:color w:val="auto"/>
                <w:sz w:val="16"/>
                <w:szCs w:val="16"/>
                <w:highlight w:val="none"/>
              </w:rPr>
            </w:pPr>
          </w:p>
        </w:tc>
        <w:tc>
          <w:tcPr>
            <w:tcW w:w="658" w:type="dxa"/>
            <w:noWrap w:val="0"/>
            <w:vAlign w:val="center"/>
          </w:tcPr>
          <w:p>
            <w:pPr>
              <w:jc w:val="center"/>
              <w:rPr>
                <w:rFonts w:hint="eastAsia" w:ascii="宋体" w:hAnsi="宋体" w:cs="宋体"/>
                <w:color w:val="auto"/>
                <w:sz w:val="16"/>
                <w:szCs w:val="16"/>
                <w:highlight w:val="none"/>
              </w:rPr>
            </w:pPr>
          </w:p>
        </w:tc>
        <w:tc>
          <w:tcPr>
            <w:tcW w:w="601" w:type="dxa"/>
            <w:noWrap w:val="0"/>
            <w:vAlign w:val="center"/>
          </w:tcPr>
          <w:p>
            <w:pPr>
              <w:rPr>
                <w:rFonts w:hint="eastAsia" w:ascii="宋体" w:hAnsi="宋体" w:cs="宋体"/>
                <w:color w:val="auto"/>
                <w:sz w:val="16"/>
                <w:szCs w:val="16"/>
                <w:highlight w:val="none"/>
              </w:rPr>
            </w:pPr>
          </w:p>
        </w:tc>
        <w:tc>
          <w:tcPr>
            <w:tcW w:w="724" w:type="dxa"/>
            <w:noWrap/>
            <w:vAlign w:val="center"/>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背景灯</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适用于MD一体机背景照明，LED蓝色灯带，24V</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长飞、华为、台达</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10</w:t>
            </w:r>
          </w:p>
        </w:tc>
        <w:tc>
          <w:tcPr>
            <w:tcW w:w="724" w:type="dxa"/>
            <w:noWrap/>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电源控制模块</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用于MD一体机背景照明的电源控制箱（含一对托架）；</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长飞、华为、台达</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4" w:type="dxa"/>
            <w:noWrap/>
            <w:vAlign w:val="center"/>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五</w:t>
            </w:r>
          </w:p>
        </w:tc>
        <w:tc>
          <w:tcPr>
            <w:tcW w:w="1197" w:type="dxa"/>
            <w:noWrap w:val="0"/>
            <w:vAlign w:val="center"/>
          </w:tcPr>
          <w:p>
            <w:pPr>
              <w:widowControl/>
              <w:jc w:val="left"/>
              <w:textAlignment w:val="center"/>
              <w:rPr>
                <w:rFonts w:hint="eastAsia" w:ascii="宋体" w:hAnsi="宋体" w:cs="宋体"/>
                <w:b/>
                <w:bCs/>
                <w:color w:val="auto"/>
                <w:sz w:val="16"/>
                <w:szCs w:val="16"/>
                <w:highlight w:val="none"/>
              </w:rPr>
            </w:pPr>
            <w:r>
              <w:rPr>
                <w:rFonts w:hint="eastAsia" w:ascii="宋体" w:hAnsi="宋体" w:cs="宋体"/>
                <w:b/>
                <w:bCs/>
                <w:color w:val="auto"/>
                <w:kern w:val="0"/>
                <w:sz w:val="16"/>
                <w:szCs w:val="16"/>
                <w:highlight w:val="none"/>
                <w:lang w:bidi="ar"/>
              </w:rPr>
              <w:t>接地系统（网络机房）</w:t>
            </w:r>
          </w:p>
        </w:tc>
        <w:tc>
          <w:tcPr>
            <w:tcW w:w="4127" w:type="dxa"/>
            <w:noWrap w:val="0"/>
            <w:vAlign w:val="center"/>
          </w:tcPr>
          <w:p>
            <w:pPr>
              <w:jc w:val="left"/>
              <w:rPr>
                <w:rFonts w:hint="eastAsia" w:ascii="宋体" w:hAnsi="宋体" w:cs="宋体"/>
                <w:color w:val="auto"/>
                <w:sz w:val="16"/>
                <w:szCs w:val="16"/>
                <w:highlight w:val="none"/>
              </w:rPr>
            </w:pPr>
          </w:p>
        </w:tc>
        <w:tc>
          <w:tcPr>
            <w:tcW w:w="1249" w:type="dxa"/>
            <w:noWrap w:val="0"/>
            <w:vAlign w:val="center"/>
          </w:tcPr>
          <w:p>
            <w:pPr>
              <w:jc w:val="center"/>
              <w:rPr>
                <w:rFonts w:hint="eastAsia" w:ascii="宋体" w:hAnsi="宋体" w:cs="宋体"/>
                <w:color w:val="auto"/>
                <w:sz w:val="16"/>
                <w:szCs w:val="16"/>
                <w:highlight w:val="none"/>
              </w:rPr>
            </w:pPr>
          </w:p>
        </w:tc>
        <w:tc>
          <w:tcPr>
            <w:tcW w:w="658" w:type="dxa"/>
            <w:noWrap w:val="0"/>
            <w:vAlign w:val="center"/>
          </w:tcPr>
          <w:p>
            <w:pPr>
              <w:jc w:val="center"/>
              <w:rPr>
                <w:rFonts w:hint="eastAsia" w:ascii="宋体" w:hAnsi="宋体" w:cs="宋体"/>
                <w:color w:val="auto"/>
                <w:sz w:val="16"/>
                <w:szCs w:val="16"/>
                <w:highlight w:val="none"/>
              </w:rPr>
            </w:pPr>
          </w:p>
        </w:tc>
        <w:tc>
          <w:tcPr>
            <w:tcW w:w="601" w:type="dxa"/>
            <w:noWrap w:val="0"/>
            <w:vAlign w:val="center"/>
          </w:tcPr>
          <w:p>
            <w:pPr>
              <w:rPr>
                <w:rFonts w:hint="eastAsia" w:ascii="宋体" w:hAnsi="宋体" w:cs="宋体"/>
                <w:color w:val="auto"/>
                <w:sz w:val="16"/>
                <w:szCs w:val="16"/>
                <w:highlight w:val="none"/>
              </w:rPr>
            </w:pPr>
          </w:p>
        </w:tc>
        <w:tc>
          <w:tcPr>
            <w:tcW w:w="724" w:type="dxa"/>
            <w:noWrap/>
            <w:vAlign w:val="center"/>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防静电地板（含安装支架）</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1.采用联合接地体方式，要求接地电阻≤1欧姆；</w:t>
            </w:r>
            <w:r>
              <w:rPr>
                <w:rFonts w:hint="eastAsia" w:ascii="宋体" w:hAnsi="宋体" w:cs="宋体"/>
                <w:color w:val="auto"/>
                <w:kern w:val="0"/>
                <w:sz w:val="18"/>
                <w:szCs w:val="18"/>
                <w:highlight w:val="none"/>
                <w:lang w:bidi="ar"/>
              </w:rPr>
              <w:br w:type="textWrapping"/>
            </w:r>
            <w:r>
              <w:rPr>
                <w:rFonts w:hint="eastAsia" w:ascii="宋体" w:hAnsi="宋体" w:cs="宋体"/>
                <w:color w:val="auto"/>
                <w:kern w:val="0"/>
                <w:sz w:val="18"/>
                <w:szCs w:val="18"/>
                <w:highlight w:val="none"/>
                <w:lang w:bidi="ar"/>
              </w:rPr>
              <w:t>2.机房内部做好局部等电位联结；</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平方米</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42</w:t>
            </w:r>
          </w:p>
        </w:tc>
        <w:tc>
          <w:tcPr>
            <w:tcW w:w="724" w:type="dxa"/>
            <w:noWrap/>
            <w:vAlign w:val="center"/>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40mm*4mm紫铜排</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规格：40*4mm</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米</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25</w:t>
            </w:r>
          </w:p>
        </w:tc>
        <w:tc>
          <w:tcPr>
            <w:tcW w:w="724" w:type="dxa"/>
            <w:noWrap/>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3</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6mm多股铜芯线</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规格：60*0.6mm</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米</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130</w:t>
            </w:r>
          </w:p>
        </w:tc>
        <w:tc>
          <w:tcPr>
            <w:tcW w:w="724" w:type="dxa"/>
            <w:noWrap/>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4</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其它辅材等</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焊料、防腐、紧固件、支撑件、绝缘胶木板等</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套</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4" w:type="dxa"/>
            <w:noWrap/>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23"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19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辅材</w:t>
            </w:r>
          </w:p>
        </w:tc>
        <w:tc>
          <w:tcPr>
            <w:tcW w:w="4127" w:type="dxa"/>
            <w:noWrap w:val="0"/>
            <w:vAlign w:val="center"/>
          </w:tcPr>
          <w:p>
            <w:pPr>
              <w:widowControl/>
              <w:jc w:val="lef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满足系统正常运行的，除主材设备和管线外所需配置的附件材料</w:t>
            </w:r>
          </w:p>
        </w:tc>
        <w:tc>
          <w:tcPr>
            <w:tcW w:w="1249"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国产</w:t>
            </w:r>
          </w:p>
        </w:tc>
        <w:tc>
          <w:tcPr>
            <w:tcW w:w="658"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批</w:t>
            </w:r>
          </w:p>
        </w:tc>
        <w:tc>
          <w:tcPr>
            <w:tcW w:w="601" w:type="dxa"/>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724" w:type="dxa"/>
            <w:noWrap/>
            <w:vAlign w:val="center"/>
          </w:tcPr>
          <w:p>
            <w:pPr>
              <w:rPr>
                <w:color w:val="auto"/>
                <w:sz w:val="18"/>
                <w:szCs w:val="18"/>
                <w:highlight w:val="none"/>
              </w:rPr>
            </w:pPr>
          </w:p>
        </w:tc>
      </w:tr>
    </w:tbl>
    <w:p>
      <w:pPr>
        <w:spacing w:line="360" w:lineRule="auto"/>
        <w:rPr>
          <w:rFonts w:ascii="宋体" w:hAnsi="宋体" w:cs="宋体"/>
          <w:b/>
          <w:color w:val="auto"/>
          <w:sz w:val="20"/>
          <w:szCs w:val="20"/>
          <w:highlight w:val="none"/>
        </w:rPr>
        <w:sectPr>
          <w:pgSz w:w="11906" w:h="16838"/>
          <w:pgMar w:top="1474" w:right="1418" w:bottom="1418" w:left="1418" w:header="851" w:footer="851" w:gutter="0"/>
          <w:cols w:space="720" w:num="1"/>
          <w:docGrid w:type="linesAndChars" w:linePitch="312" w:charSpace="0"/>
        </w:sectPr>
      </w:pPr>
    </w:p>
    <w:tbl>
      <w:tblPr>
        <w:tblStyle w:val="13"/>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366"/>
        <w:gridCol w:w="1183"/>
        <w:gridCol w:w="1491"/>
        <w:gridCol w:w="1133"/>
        <w:gridCol w:w="8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199" w:type="dxa"/>
            <w:gridSpan w:val="7"/>
            <w:noWrap/>
            <w:vAlign w:val="center"/>
          </w:tcPr>
          <w:p>
            <w:pPr>
              <w:jc w:val="center"/>
              <w:rPr>
                <w:color w:val="auto"/>
                <w:sz w:val="18"/>
                <w:szCs w:val="18"/>
                <w:highlight w:val="none"/>
              </w:rPr>
            </w:pPr>
            <w:r>
              <w:rPr>
                <w:rFonts w:hint="eastAsia" w:ascii="宋体" w:hAnsi="宋体" w:cs="宋体"/>
                <w:b/>
                <w:bCs/>
                <w:color w:val="auto"/>
                <w:kern w:val="0"/>
                <w:sz w:val="20"/>
                <w:szCs w:val="20"/>
                <w:highlight w:val="none"/>
                <w:lang w:bidi="ar"/>
              </w:rPr>
              <w:t>综合管线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33"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序号</w:t>
            </w:r>
          </w:p>
        </w:tc>
        <w:tc>
          <w:tcPr>
            <w:tcW w:w="2366"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产品名称</w:t>
            </w:r>
          </w:p>
        </w:tc>
        <w:tc>
          <w:tcPr>
            <w:tcW w:w="1183"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参考品牌</w:t>
            </w:r>
          </w:p>
        </w:tc>
        <w:tc>
          <w:tcPr>
            <w:tcW w:w="1491"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参数</w:t>
            </w:r>
          </w:p>
        </w:tc>
        <w:tc>
          <w:tcPr>
            <w:tcW w:w="1133"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数量</w:t>
            </w:r>
          </w:p>
        </w:tc>
        <w:tc>
          <w:tcPr>
            <w:tcW w:w="867" w:type="dxa"/>
            <w:noWrap w:val="0"/>
            <w:vAlign w:val="center"/>
          </w:tcPr>
          <w:p>
            <w:pPr>
              <w:widowControl/>
              <w:jc w:val="center"/>
              <w:textAlignment w:val="center"/>
              <w:rPr>
                <w:rFonts w:hint="eastAsia" w:ascii="宋体" w:hAnsi="宋体" w:cs="宋体"/>
                <w:b/>
                <w:bCs/>
                <w:color w:val="auto"/>
                <w:sz w:val="20"/>
                <w:szCs w:val="20"/>
                <w:highlight w:val="none"/>
              </w:rPr>
            </w:pPr>
            <w:r>
              <w:rPr>
                <w:rFonts w:hint="eastAsia" w:ascii="宋体" w:hAnsi="宋体" w:cs="宋体"/>
                <w:b/>
                <w:bCs/>
                <w:color w:val="auto"/>
                <w:kern w:val="0"/>
                <w:sz w:val="20"/>
                <w:szCs w:val="20"/>
                <w:highlight w:val="none"/>
                <w:lang w:bidi="ar"/>
              </w:rPr>
              <w:t>单位</w:t>
            </w:r>
          </w:p>
        </w:tc>
        <w:tc>
          <w:tcPr>
            <w:tcW w:w="1326" w:type="dxa"/>
            <w:noWrap/>
            <w:vAlign w:val="center"/>
          </w:tcPr>
          <w:p>
            <w:pPr>
              <w:jc w:val="center"/>
              <w:rPr>
                <w:rFonts w:hint="eastAsia"/>
                <w:color w:val="auto"/>
                <w:sz w:val="18"/>
                <w:szCs w:val="18"/>
                <w:highlight w:val="none"/>
              </w:rPr>
            </w:pPr>
            <w:r>
              <w:rPr>
                <w:rFonts w:hint="eastAsia" w:ascii="宋体" w:hAnsi="宋体" w:cs="宋体"/>
                <w:b/>
                <w:bCs/>
                <w:color w:val="auto"/>
                <w:kern w:val="0"/>
                <w:sz w:val="20"/>
                <w:szCs w:val="20"/>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金属热镀锌桥架</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200*100mm（国标）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网格弱电桥架</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200*100mm（国标）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jc w:val="center"/>
              <w:rPr>
                <w:rFonts w:hint="eastAsia" w:ascii="宋体" w:hAnsi="宋体" w:cs="宋体"/>
                <w:color w:val="auto"/>
                <w:sz w:val="20"/>
                <w:szCs w:val="20"/>
                <w:highlight w:val="none"/>
              </w:rPr>
            </w:pP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网格强电桥架</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100*100mm（国标）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JDG管</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25mm（国标）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JDG管</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20mm（国标）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JDG管</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32mm（国标）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SC镀锌钢管</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32mm（国标）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SC镀锌钢管</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50mm（国标）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SC镀锌钢管</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100mm（国标）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KVVS2*2.5</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RVS2*1.5</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RVV2*1.5</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RVV4*1.0</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KVV2*1.5</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RVV2*1.0</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27</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HDMI</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防火材料封堵</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国标</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1326" w:type="dxa"/>
            <w:noWrap/>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33" w:type="dxa"/>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29</w:t>
            </w:r>
          </w:p>
        </w:tc>
        <w:tc>
          <w:tcPr>
            <w:tcW w:w="2366"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室外窨井</w:t>
            </w:r>
          </w:p>
        </w:tc>
        <w:tc>
          <w:tcPr>
            <w:tcW w:w="118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国产</w:t>
            </w:r>
          </w:p>
        </w:tc>
        <w:tc>
          <w:tcPr>
            <w:tcW w:w="1491"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600*600*900</w:t>
            </w:r>
          </w:p>
        </w:tc>
        <w:tc>
          <w:tcPr>
            <w:tcW w:w="1133"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投标方自行核算</w:t>
            </w:r>
          </w:p>
        </w:tc>
        <w:tc>
          <w:tcPr>
            <w:tcW w:w="867" w:type="dxa"/>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1326" w:type="dxa"/>
            <w:noWrap/>
            <w:vAlign w:val="center"/>
          </w:tcPr>
          <w:p>
            <w:pPr>
              <w:jc w:val="center"/>
              <w:rPr>
                <w:color w:val="auto"/>
                <w:sz w:val="18"/>
                <w:szCs w:val="18"/>
                <w:highlight w:val="none"/>
              </w:rPr>
            </w:pPr>
          </w:p>
        </w:tc>
      </w:tr>
    </w:tbl>
    <w:p>
      <w:pPr>
        <w:rPr>
          <w:rFonts w:ascii="仿宋" w:hAnsi="仿宋" w:eastAsia="仿宋"/>
          <w:b/>
          <w:color w:val="auto"/>
          <w:highlight w:val="none"/>
        </w:rPr>
      </w:pPr>
      <w:r>
        <w:rPr>
          <w:rFonts w:hint="eastAsia" w:ascii="仿宋" w:hAnsi="仿宋" w:eastAsia="仿宋"/>
          <w:b/>
          <w:color w:val="auto"/>
          <w:highlight w:val="none"/>
        </w:rPr>
        <w:t>特别说明：设备到场后供应商需提供原厂针对项目的质保证明，并附供货清单加盖原厂公章。</w:t>
      </w:r>
    </w:p>
    <w:p>
      <w:pPr>
        <w:pStyle w:val="4"/>
        <w:widowControl/>
        <w:jc w:val="left"/>
        <w:rPr>
          <w:color w:val="auto"/>
          <w:highlight w:val="none"/>
        </w:rPr>
      </w:pPr>
      <w:r>
        <w:rPr>
          <w:color w:val="auto"/>
          <w:highlight w:val="none"/>
        </w:rPr>
        <w:br w:type="page"/>
      </w:r>
    </w:p>
    <w:p>
      <w:pPr>
        <w:rPr>
          <w:rFonts w:ascii="宋体" w:hAnsi="宋体"/>
          <w:b/>
          <w:color w:val="auto"/>
          <w:highlight w:val="none"/>
        </w:rPr>
      </w:pPr>
      <w:r>
        <w:rPr>
          <w:rFonts w:hint="eastAsia" w:ascii="宋体" w:hAnsi="宋体"/>
          <w:b/>
          <w:color w:val="auto"/>
          <w:highlight w:val="none"/>
        </w:rPr>
        <w:t>三、关于报价</w:t>
      </w:r>
    </w:p>
    <w:p>
      <w:pPr>
        <w:spacing w:line="360" w:lineRule="auto"/>
        <w:rPr>
          <w:rFonts w:ascii="宋体" w:hAnsi="宋体"/>
          <w:color w:val="auto"/>
          <w:highlight w:val="none"/>
        </w:rPr>
      </w:pPr>
      <w:r>
        <w:rPr>
          <w:rFonts w:hint="eastAsia" w:ascii="宋体" w:hAnsi="宋体"/>
          <w:color w:val="auto"/>
          <w:highlight w:val="none"/>
        </w:rPr>
        <w:t>本项目投标报价为完成招标文件所规定招标内容的一次性包干总报价，包含系统深化设计、设备和材料采购、运输及装卸、安装、系统集成、调试及试运行、备品备件费（随机备品备件已含于本合同价内）、产品保护、验收、技术培训、保修期内的售后服务、利润、税金等内容及合同总价2%的总包配合费。</w:t>
      </w:r>
    </w:p>
    <w:p>
      <w:pPr>
        <w:spacing w:line="360" w:lineRule="auto"/>
        <w:rPr>
          <w:rFonts w:ascii="宋体" w:hAnsi="宋体"/>
          <w:b/>
          <w:bCs/>
          <w:color w:val="auto"/>
          <w:highlight w:val="none"/>
        </w:rPr>
      </w:pPr>
      <w:r>
        <w:rPr>
          <w:rFonts w:hint="eastAsia" w:ascii="宋体" w:hAnsi="宋体"/>
          <w:b/>
          <w:bCs/>
          <w:color w:val="auto"/>
          <w:highlight w:val="none"/>
        </w:rPr>
        <w:t>总包配合费不单独计算，由投标人在报价中综合考虑，由中标人进场前一次性支付给施工总包单位。</w:t>
      </w:r>
    </w:p>
    <w:p>
      <w:pPr>
        <w:spacing w:line="360" w:lineRule="auto"/>
        <w:rPr>
          <w:rFonts w:ascii="宋体" w:hAnsi="宋体"/>
          <w:b/>
          <w:color w:val="auto"/>
          <w:highlight w:val="none"/>
        </w:rPr>
      </w:pPr>
      <w:r>
        <w:rPr>
          <w:rFonts w:hint="eastAsia" w:ascii="宋体" w:hAnsi="宋体"/>
          <w:b/>
          <w:color w:val="auto"/>
          <w:highlight w:val="none"/>
        </w:rPr>
        <w:t>四、特别说明</w:t>
      </w:r>
    </w:p>
    <w:p>
      <w:pPr>
        <w:spacing w:line="360" w:lineRule="auto"/>
        <w:rPr>
          <w:rFonts w:ascii="宋体" w:hAnsi="宋体"/>
          <w:color w:val="auto"/>
          <w:highlight w:val="none"/>
        </w:rPr>
      </w:pPr>
      <w:r>
        <w:rPr>
          <w:rFonts w:hint="eastAsia" w:ascii="宋体" w:hAnsi="宋体"/>
          <w:color w:val="auto"/>
          <w:highlight w:val="none"/>
        </w:rPr>
        <w:t>1、采购需求中，带“★”（如有）的为实质性条款，不得出现负偏离，否则做无效标处理。</w:t>
      </w:r>
    </w:p>
    <w:p>
      <w:pPr>
        <w:spacing w:line="360" w:lineRule="auto"/>
        <w:rPr>
          <w:rFonts w:ascii="宋体" w:hAnsi="宋体"/>
          <w:color w:val="auto"/>
          <w:highlight w:val="none"/>
        </w:rPr>
      </w:pPr>
      <w:r>
        <w:rPr>
          <w:rFonts w:hint="eastAsia" w:ascii="宋体" w:hAnsi="宋体"/>
          <w:color w:val="auto"/>
          <w:highlight w:val="none"/>
        </w:rPr>
        <w:t>2、采购需求中的品牌、型号（如有）仅供投标人参考，没有任何限制性，投标人可选择同等或更优档次的产品，但必须满足相应（实质性）技术要求、规格及安装条件。</w:t>
      </w:r>
    </w:p>
    <w:p>
      <w:pPr>
        <w:spacing w:line="360" w:lineRule="auto"/>
        <w:rPr>
          <w:rFonts w:ascii="宋体" w:hAnsi="宋体"/>
          <w:color w:val="auto"/>
          <w:highlight w:val="none"/>
        </w:rPr>
      </w:pPr>
      <w:r>
        <w:rPr>
          <w:rFonts w:hint="eastAsia" w:ascii="宋体" w:hAnsi="宋体"/>
          <w:color w:val="auto"/>
          <w:highlight w:val="none"/>
        </w:rPr>
        <w:t>3、以上设备清单中的设备和工程量供参考，投标人应根据采购人提供的施工设计图纸及招标文件设计方案由投标人自行核算和填写设备的清单和工程量；未提供工程量的由投标人自行计算和填写。投标人报价有漏项、缺项的，为无效标。</w:t>
      </w:r>
    </w:p>
    <w:p>
      <w:pPr>
        <w:spacing w:line="360" w:lineRule="auto"/>
        <w:rPr>
          <w:rFonts w:ascii="宋体" w:hAnsi="宋体"/>
          <w:color w:val="auto"/>
          <w:highlight w:val="none"/>
        </w:rPr>
      </w:pPr>
      <w:r>
        <w:rPr>
          <w:rFonts w:hint="eastAsia" w:ascii="宋体" w:hAnsi="宋体"/>
          <w:color w:val="auto"/>
          <w:highlight w:val="none"/>
        </w:rPr>
        <w:t>4、施工图纸中，当平面图与系统图冲突时，以系统图为准。</w:t>
      </w:r>
    </w:p>
    <w:p>
      <w:pPr>
        <w:spacing w:line="360" w:lineRule="auto"/>
        <w:rPr>
          <w:rFonts w:ascii="宋体" w:hAnsi="宋体"/>
          <w:color w:val="auto"/>
          <w:highlight w:val="none"/>
        </w:rPr>
      </w:pPr>
      <w:r>
        <w:rPr>
          <w:rFonts w:hint="eastAsia" w:ascii="宋体" w:hAnsi="宋体"/>
          <w:color w:val="auto"/>
          <w:highlight w:val="none"/>
        </w:rPr>
        <w:t>5、招标文件采购清单中参考品牌项有具体品牌名称的，投标人投标时需列明品牌，否则为无效标（所列参考品牌为国产的，投标人投标时也可列国产）。</w:t>
      </w:r>
    </w:p>
    <w:p>
      <w:pPr>
        <w:spacing w:line="360" w:lineRule="auto"/>
        <w:rPr>
          <w:rFonts w:ascii="宋体" w:hAnsi="宋体"/>
          <w:color w:val="auto"/>
          <w:highlight w:val="none"/>
        </w:rPr>
      </w:pPr>
      <w:r>
        <w:rPr>
          <w:rFonts w:hint="eastAsia" w:ascii="宋体" w:hAnsi="宋体"/>
          <w:color w:val="auto"/>
          <w:highlight w:val="none"/>
        </w:rPr>
        <w:t>6、采购需求中如对货物相关证书有要求的，投标人应在技术标中提供相关证书复印件。</w:t>
      </w:r>
    </w:p>
    <w:p>
      <w:pPr>
        <w:spacing w:line="360" w:lineRule="auto"/>
        <w:rPr>
          <w:rFonts w:ascii="宋体" w:hAnsi="宋体"/>
          <w:color w:val="auto"/>
          <w:highlight w:val="none"/>
        </w:rPr>
      </w:pPr>
      <w:r>
        <w:rPr>
          <w:rFonts w:hint="eastAsia" w:ascii="宋体" w:hAnsi="宋体"/>
          <w:color w:val="auto"/>
          <w:highlight w:val="none"/>
        </w:rPr>
        <w:t>7、发包方（采购人）对承包人项目经理和安全员进行人员到岗履职考核。自本项目合同签订之日至主体工程中间结构验收，每次监理例会项目经理需到场，不得请假；主体工程中间结构验收至履约验收，每个工作日项目经理和安全员均需到场，如有特殊情况经发包方（采购人）同意后可向监理请假（每月请假日期不得超过四天）。项目经理和安全员到工程现场到岗履职当月天数不满足要求，有脱岗情况的，分别处以每天500元和200元的违约金。</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pStyle w:val="3"/>
        <w:rPr>
          <w:color w:val="auto"/>
          <w:highlight w:val="none"/>
        </w:rPr>
      </w:pPr>
      <w:r>
        <w:rPr>
          <w:color w:val="auto"/>
          <w:highlight w:val="none"/>
        </w:rPr>
        <w:br w:type="page"/>
      </w:r>
      <w:bookmarkStart w:id="32" w:name="_Toc65753669"/>
      <w:r>
        <w:rPr>
          <w:rFonts w:hint="eastAsia"/>
          <w:color w:val="auto"/>
          <w:highlight w:val="none"/>
        </w:rPr>
        <w:t>第四部分  评标办法及评分标准</w:t>
      </w:r>
      <w:bookmarkEnd w:id="32"/>
    </w:p>
    <w:p>
      <w:pPr>
        <w:spacing w:line="360" w:lineRule="auto"/>
        <w:rPr>
          <w:rFonts w:ascii="宋体" w:hAnsi="宋体"/>
          <w:b/>
          <w:color w:val="auto"/>
          <w:highlight w:val="none"/>
        </w:rPr>
      </w:pPr>
      <w:r>
        <w:rPr>
          <w:rFonts w:hint="eastAsia" w:ascii="宋体" w:hAnsi="宋体"/>
          <w:b/>
          <w:color w:val="auto"/>
          <w:highlight w:val="none"/>
        </w:rPr>
        <w:t xml:space="preserve">    本办法严格遵照《中华人民共和国政府采购法》、《政府采购货物和服务招标投标管理办法》、《中华人民共和国政府采购法实施条例》，结合项目所在地政府有关政府采购规定和项目的实际情况制定。</w:t>
      </w:r>
    </w:p>
    <w:p>
      <w:pPr>
        <w:spacing w:line="360" w:lineRule="auto"/>
        <w:rPr>
          <w:rFonts w:ascii="宋体" w:hAnsi="宋体"/>
          <w:b/>
          <w:bCs/>
          <w:color w:val="auto"/>
          <w:sz w:val="24"/>
          <w:highlight w:val="none"/>
        </w:rPr>
      </w:pPr>
      <w:r>
        <w:rPr>
          <w:rFonts w:hint="eastAsia" w:ascii="宋体" w:hAnsi="宋体"/>
          <w:b/>
          <w:bCs/>
          <w:color w:val="auto"/>
          <w:sz w:val="24"/>
          <w:highlight w:val="none"/>
        </w:rPr>
        <w:t>1.评标原则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招标活动遵循公平、公正、科学、择优的原则依法进行，招标活动及当事人接受依法实施的监督。本次招标采用综合评分法。</w:t>
      </w:r>
    </w:p>
    <w:p>
      <w:pPr>
        <w:spacing w:line="360" w:lineRule="auto"/>
        <w:rPr>
          <w:rFonts w:ascii="宋体" w:hAnsi="宋体"/>
          <w:b/>
          <w:bCs/>
          <w:color w:val="auto"/>
          <w:sz w:val="24"/>
          <w:highlight w:val="none"/>
        </w:rPr>
      </w:pPr>
      <w:r>
        <w:rPr>
          <w:rFonts w:hint="eastAsia" w:ascii="宋体" w:hAnsi="宋体"/>
          <w:b/>
          <w:bCs/>
          <w:color w:val="auto"/>
          <w:sz w:val="24"/>
          <w:highlight w:val="none"/>
        </w:rPr>
        <w:t>2.评标办法</w:t>
      </w:r>
    </w:p>
    <w:p>
      <w:pPr>
        <w:spacing w:line="360" w:lineRule="auto"/>
        <w:rPr>
          <w:rFonts w:ascii="宋体" w:hAnsi="宋体"/>
          <w:color w:val="auto"/>
          <w:highlight w:val="none"/>
        </w:rPr>
      </w:pPr>
      <w:r>
        <w:rPr>
          <w:rFonts w:hint="eastAsia" w:ascii="宋体" w:hAnsi="宋体"/>
          <w:color w:val="auto"/>
          <w:highlight w:val="none"/>
        </w:rPr>
        <w:t xml:space="preserve">    本次招标采用综合评分法。满分100分。</w:t>
      </w:r>
    </w:p>
    <w:p>
      <w:pPr>
        <w:spacing w:line="360" w:lineRule="auto"/>
        <w:rPr>
          <w:rFonts w:ascii="宋体" w:hAnsi="宋体"/>
          <w:b/>
          <w:bCs/>
          <w:color w:val="auto"/>
          <w:sz w:val="24"/>
          <w:highlight w:val="none"/>
        </w:rPr>
      </w:pPr>
      <w:r>
        <w:rPr>
          <w:rFonts w:hint="eastAsia" w:ascii="宋体" w:hAnsi="宋体"/>
          <w:b/>
          <w:bCs/>
          <w:color w:val="auto"/>
          <w:sz w:val="24"/>
          <w:highlight w:val="none"/>
        </w:rPr>
        <w:t>3.评标组织</w:t>
      </w:r>
    </w:p>
    <w:p>
      <w:pPr>
        <w:spacing w:line="360" w:lineRule="auto"/>
        <w:rPr>
          <w:rFonts w:ascii="宋体" w:hAnsi="宋体"/>
          <w:color w:val="auto"/>
          <w:highlight w:val="none"/>
        </w:rPr>
      </w:pPr>
      <w:r>
        <w:rPr>
          <w:rFonts w:hint="eastAsia" w:ascii="宋体" w:hAnsi="宋体"/>
          <w:color w:val="auto"/>
          <w:highlight w:val="none"/>
        </w:rPr>
        <w:t xml:space="preserve">    采购人和采购代理机构根据采购项目的内容特点按照规定组建评标委员会。</w:t>
      </w:r>
    </w:p>
    <w:p>
      <w:pPr>
        <w:spacing w:line="360" w:lineRule="auto"/>
        <w:rPr>
          <w:rFonts w:ascii="宋体" w:hAnsi="宋体"/>
          <w:color w:val="auto"/>
          <w:highlight w:val="none"/>
        </w:rPr>
      </w:pPr>
      <w:r>
        <w:rPr>
          <w:rFonts w:hint="eastAsia" w:ascii="宋体" w:hAnsi="宋体"/>
          <w:color w:val="auto"/>
          <w:highlight w:val="none"/>
        </w:rPr>
        <w:t xml:space="preserve">    评标委员会由采购人代表和评审专家或全部由评审专家组成，成员人数为</w:t>
      </w:r>
      <w:r>
        <w:rPr>
          <w:rFonts w:hint="eastAsia" w:ascii="宋体" w:hAnsi="宋体"/>
          <w:color w:val="auto"/>
          <w:highlight w:val="none"/>
          <w:lang w:val="en-US" w:eastAsia="zh-CN"/>
        </w:rPr>
        <w:t>5</w:t>
      </w:r>
      <w:r>
        <w:rPr>
          <w:rFonts w:hint="eastAsia" w:ascii="宋体" w:hAnsi="宋体"/>
          <w:color w:val="auto"/>
          <w:highlight w:val="none"/>
        </w:rPr>
        <w:t>人以上单数，其中评审专家不少于成员总数的三分之二。</w:t>
      </w:r>
    </w:p>
    <w:p>
      <w:pPr>
        <w:spacing w:line="360" w:lineRule="auto"/>
        <w:rPr>
          <w:rFonts w:ascii="宋体" w:hAnsi="宋体"/>
          <w:b/>
          <w:bCs/>
          <w:color w:val="auto"/>
          <w:sz w:val="24"/>
          <w:highlight w:val="none"/>
        </w:rPr>
      </w:pPr>
      <w:r>
        <w:rPr>
          <w:rFonts w:hint="eastAsia" w:ascii="宋体" w:hAnsi="宋体"/>
          <w:b/>
          <w:bCs/>
          <w:color w:val="auto"/>
          <w:sz w:val="24"/>
          <w:highlight w:val="none"/>
        </w:rPr>
        <w:t>4.评标程序</w:t>
      </w:r>
    </w:p>
    <w:p>
      <w:pPr>
        <w:spacing w:line="360" w:lineRule="auto"/>
        <w:rPr>
          <w:rFonts w:ascii="宋体" w:hAnsi="宋体"/>
          <w:color w:val="auto"/>
          <w:highlight w:val="none"/>
        </w:rPr>
      </w:pPr>
      <w:r>
        <w:rPr>
          <w:rFonts w:hint="eastAsia" w:ascii="宋体" w:hAnsi="宋体"/>
          <w:color w:val="auto"/>
          <w:highlight w:val="none"/>
        </w:rPr>
        <w:t xml:space="preserve">    4.1采购代理机构按招标文件规定的时间、地点组织开标。开标会议由采购代理机构组织，按招标文件的规定对投标人的基本情况进行审核。</w:t>
      </w:r>
    </w:p>
    <w:p>
      <w:pPr>
        <w:spacing w:line="360" w:lineRule="auto"/>
        <w:ind w:firstLine="420"/>
        <w:rPr>
          <w:rFonts w:ascii="宋体" w:hAnsi="宋体" w:cs="宋体"/>
          <w:bCs/>
          <w:color w:val="auto"/>
          <w:szCs w:val="21"/>
          <w:highlight w:val="none"/>
        </w:rPr>
      </w:pPr>
      <w:r>
        <w:rPr>
          <w:rFonts w:hint="eastAsia" w:ascii="宋体" w:hAnsi="宋体"/>
          <w:color w:val="auto"/>
          <w:highlight w:val="none"/>
        </w:rPr>
        <w:t>4.2</w:t>
      </w:r>
      <w:r>
        <w:rPr>
          <w:rFonts w:hint="eastAsia" w:ascii="宋体" w:hAnsi="宋体" w:cs="宋体"/>
          <w:bCs/>
          <w:color w:val="auto"/>
          <w:szCs w:val="21"/>
          <w:highlight w:val="none"/>
        </w:rPr>
        <w:t>本次公开招标投标文件先开启资格证明文件、商务技术文件，资格证明文件和商务技术文件评审结束后，公布资格审查和商务技术评审符合采购需求的供应商名单并公布商务技术得分情况后再开启报价文件，由唱标人公布投标人名称、投标内容、投标价格等以及采购代理机构认为合适的其他内容，并由记录人做开标记录。</w:t>
      </w:r>
    </w:p>
    <w:p>
      <w:pPr>
        <w:spacing w:line="360" w:lineRule="auto"/>
        <w:ind w:firstLine="420"/>
        <w:rPr>
          <w:rFonts w:ascii="宋体" w:hAnsi="宋体"/>
          <w:color w:val="auto"/>
          <w:highlight w:val="none"/>
        </w:rPr>
      </w:pPr>
      <w:r>
        <w:rPr>
          <w:rFonts w:hint="eastAsia" w:ascii="宋体" w:hAnsi="宋体" w:cs="宋体"/>
          <w:bCs/>
          <w:color w:val="auto"/>
          <w:szCs w:val="21"/>
          <w:highlight w:val="none"/>
        </w:rPr>
        <w:t>4.3根据各有效投标人的商务技术得分和报价得分计算各投标人的总得分（总得分保留小数点后二位）。</w:t>
      </w:r>
    </w:p>
    <w:p>
      <w:pPr>
        <w:spacing w:line="360" w:lineRule="auto"/>
        <w:rPr>
          <w:rFonts w:ascii="宋体" w:hAnsi="宋体"/>
          <w:color w:val="auto"/>
          <w:highlight w:val="none"/>
        </w:rPr>
      </w:pPr>
      <w:r>
        <w:rPr>
          <w:rFonts w:hint="eastAsia" w:ascii="宋体" w:hAnsi="宋体"/>
          <w:color w:val="auto"/>
          <w:highlight w:val="none"/>
        </w:rPr>
        <w:t xml:space="preserve">    4.4按照评标办法，评标委员会推荐中标候选人，经采购人确认中标供应商后，</w:t>
      </w:r>
      <w:r>
        <w:rPr>
          <w:rFonts w:hint="eastAsia" w:ascii="宋体" w:hAnsi="宋体" w:cs="宋体"/>
          <w:color w:val="auto"/>
          <w:szCs w:val="21"/>
          <w:highlight w:val="none"/>
        </w:rPr>
        <w:t>最后在招标公告发布的网站上公布评标结果。</w:t>
      </w:r>
    </w:p>
    <w:p>
      <w:pPr>
        <w:spacing w:line="360" w:lineRule="auto"/>
        <w:rPr>
          <w:rFonts w:ascii="宋体" w:hAnsi="宋体"/>
          <w:b/>
          <w:bCs/>
          <w:color w:val="auto"/>
          <w:sz w:val="24"/>
          <w:highlight w:val="none"/>
        </w:rPr>
      </w:pPr>
      <w:r>
        <w:rPr>
          <w:rFonts w:hint="eastAsia" w:ascii="宋体" w:hAnsi="宋体"/>
          <w:b/>
          <w:bCs/>
          <w:color w:val="auto"/>
          <w:sz w:val="24"/>
          <w:highlight w:val="none"/>
        </w:rPr>
        <w:t>5.评标过程</w:t>
      </w:r>
    </w:p>
    <w:p>
      <w:pPr>
        <w:spacing w:line="360" w:lineRule="auto"/>
        <w:rPr>
          <w:rFonts w:ascii="宋体" w:hAnsi="宋体"/>
          <w:b/>
          <w:color w:val="auto"/>
          <w:highlight w:val="none"/>
        </w:rPr>
      </w:pPr>
      <w:r>
        <w:rPr>
          <w:rFonts w:hint="eastAsia" w:ascii="宋体" w:hAnsi="宋体"/>
          <w:b/>
          <w:color w:val="auto"/>
          <w:highlight w:val="none"/>
        </w:rPr>
        <w:t xml:space="preserve">    5.1 初步审查</w:t>
      </w:r>
    </w:p>
    <w:p>
      <w:pPr>
        <w:spacing w:line="360" w:lineRule="auto"/>
        <w:rPr>
          <w:rFonts w:ascii="宋体" w:hAnsi="宋体"/>
          <w:color w:val="auto"/>
          <w:highlight w:val="none"/>
        </w:rPr>
      </w:pPr>
      <w:r>
        <w:rPr>
          <w:rFonts w:hint="eastAsia" w:ascii="宋体" w:hAnsi="宋体"/>
          <w:color w:val="auto"/>
          <w:highlight w:val="none"/>
        </w:rPr>
        <w:t xml:space="preserve">    初审分为资格性审查和符合性审查。</w:t>
      </w:r>
    </w:p>
    <w:p>
      <w:pPr>
        <w:spacing w:line="360" w:lineRule="auto"/>
        <w:rPr>
          <w:rFonts w:ascii="宋体" w:hAnsi="宋体"/>
          <w:color w:val="auto"/>
          <w:highlight w:val="none"/>
        </w:rPr>
      </w:pPr>
      <w:r>
        <w:rPr>
          <w:rFonts w:hint="eastAsia" w:ascii="宋体" w:hAnsi="宋体"/>
          <w:color w:val="auto"/>
          <w:highlight w:val="none"/>
        </w:rPr>
        <w:t xml:space="preserve">    资格性检查。采购人或者采购代理机构对投标人的资格进行审查。依据法律法规和招标文件的规定，对投标文件中的资格证明进行审查，以确定投标人是否具备投标资格。</w:t>
      </w:r>
    </w:p>
    <w:p>
      <w:pPr>
        <w:spacing w:line="360" w:lineRule="auto"/>
        <w:rPr>
          <w:rFonts w:ascii="宋体" w:hAnsi="宋体"/>
          <w:color w:val="auto"/>
          <w:highlight w:val="none"/>
        </w:rPr>
      </w:pPr>
      <w:r>
        <w:rPr>
          <w:rFonts w:hint="eastAsia" w:ascii="宋体" w:hAnsi="宋体"/>
          <w:color w:val="auto"/>
          <w:highlight w:val="none"/>
        </w:rPr>
        <w:t xml:space="preserve">    符合性检查。评标委员会依据招标文件的规定，从投标文件的有效性、完整性和对招标文件的响应程度进行审查，以确定是否对招标文件的实质性要求作出响应。</w:t>
      </w:r>
    </w:p>
    <w:p>
      <w:pPr>
        <w:spacing w:line="360" w:lineRule="auto"/>
        <w:rPr>
          <w:rFonts w:ascii="宋体" w:hAnsi="宋体"/>
          <w:color w:val="auto"/>
          <w:highlight w:val="none"/>
        </w:rPr>
      </w:pPr>
      <w:r>
        <w:rPr>
          <w:rFonts w:hint="eastAsia" w:ascii="宋体" w:hAnsi="宋体"/>
          <w:color w:val="auto"/>
          <w:highlight w:val="none"/>
        </w:rPr>
        <w:t xml:space="preserve">    审查投标文件是否对招标文件提出的所有实质性要求和条件作出响应，有无重大偏差；如有重大偏差者，作无效投标处理，不予进入详细评审。（具体见本招标文件第二部分投标无效的情形）</w:t>
      </w:r>
    </w:p>
    <w:p>
      <w:pPr>
        <w:pStyle w:val="7"/>
        <w:ind w:left="0" w:firstLine="0"/>
        <w:rPr>
          <w:color w:val="auto"/>
          <w:sz w:val="21"/>
          <w:highlight w:val="none"/>
        </w:rPr>
      </w:pPr>
      <w:r>
        <w:rPr>
          <w:rFonts w:hint="eastAsia"/>
          <w:color w:val="auto"/>
          <w:sz w:val="21"/>
          <w:highlight w:val="none"/>
        </w:rPr>
        <w:t>5.2澄清问题</w:t>
      </w:r>
    </w:p>
    <w:p>
      <w:pPr>
        <w:spacing w:line="360" w:lineRule="auto"/>
        <w:rPr>
          <w:rFonts w:ascii="宋体" w:hAnsi="宋体"/>
          <w:color w:val="auto"/>
          <w:highlight w:val="none"/>
        </w:rPr>
      </w:pPr>
      <w:r>
        <w:rPr>
          <w:rFonts w:hint="eastAsia" w:ascii="宋体" w:hAnsi="宋体"/>
          <w:color w:val="auto"/>
          <w:highlight w:val="none"/>
        </w:rPr>
        <w:t xml:space="preserve">    对于投标文件中含义不明确、同类问题表述不一致或者有明显文字和计算错误的内容，评标委员会可要求投标人以书面形式作出必要的澄清、说明或者补正。</w:t>
      </w:r>
    </w:p>
    <w:p>
      <w:pPr>
        <w:spacing w:line="360" w:lineRule="auto"/>
        <w:rPr>
          <w:rFonts w:ascii="宋体" w:hAnsi="宋体"/>
          <w:color w:val="auto"/>
          <w:highlight w:val="none"/>
        </w:rPr>
      </w:pPr>
      <w:r>
        <w:rPr>
          <w:rFonts w:hint="eastAsia" w:ascii="宋体" w:hAnsi="宋体"/>
          <w:color w:val="auto"/>
          <w:highlight w:val="none"/>
        </w:rPr>
        <w:t xml:space="preserve">    投标人的澄清、说明或者补正应当采用书面形式，并加盖公章，或者由法定代表人或其授权代表签字确认，投标人的澄清、说明或者补正不得超出投标文件的范围或者改变投标文件的实质性内容。</w:t>
      </w:r>
    </w:p>
    <w:p>
      <w:pPr>
        <w:pStyle w:val="7"/>
        <w:ind w:left="0" w:firstLine="0"/>
        <w:rPr>
          <w:color w:val="auto"/>
          <w:sz w:val="21"/>
          <w:highlight w:val="none"/>
        </w:rPr>
      </w:pPr>
      <w:r>
        <w:rPr>
          <w:rFonts w:hint="eastAsia"/>
          <w:color w:val="auto"/>
          <w:sz w:val="21"/>
          <w:highlight w:val="none"/>
        </w:rPr>
        <w:t>5.3详细评审</w:t>
      </w:r>
    </w:p>
    <w:p>
      <w:pPr>
        <w:pStyle w:val="7"/>
        <w:ind w:left="0" w:firstLine="0"/>
        <w:rPr>
          <w:b w:val="0"/>
          <w:color w:val="auto"/>
          <w:sz w:val="21"/>
          <w:highlight w:val="none"/>
        </w:rPr>
      </w:pPr>
      <w:r>
        <w:rPr>
          <w:rFonts w:hint="eastAsia"/>
          <w:b w:val="0"/>
          <w:color w:val="auto"/>
          <w:sz w:val="21"/>
          <w:highlight w:val="none"/>
        </w:rPr>
        <w:t xml:space="preserve">    </w:t>
      </w:r>
      <w:r>
        <w:rPr>
          <w:rFonts w:hint="eastAsia" w:cs="宋体"/>
          <w:b w:val="0"/>
          <w:bCs/>
          <w:color w:val="auto"/>
          <w:sz w:val="21"/>
          <w:szCs w:val="21"/>
          <w:highlight w:val="none"/>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ascii="宋体" w:hAnsi="宋体" w:cs="宋体"/>
          <w:color w:val="auto"/>
          <w:highlight w:val="none"/>
        </w:rPr>
      </w:pPr>
      <w:r>
        <w:rPr>
          <w:rFonts w:hint="eastAsia" w:ascii="宋体" w:hAnsi="宋体"/>
          <w:color w:val="auto"/>
          <w:highlight w:val="none"/>
        </w:rPr>
        <w:t>评委参照本部分附表（评分标准表）打分。</w:t>
      </w:r>
      <w:r>
        <w:rPr>
          <w:rFonts w:hint="eastAsia" w:ascii="宋体" w:hAnsi="宋体" w:cs="宋体"/>
          <w:color w:val="auto"/>
          <w:szCs w:val="21"/>
          <w:highlight w:val="none"/>
        </w:rPr>
        <w:t>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注：评标委员会认为投标文件无效的，应组织相关投标人代表进行陈述、澄清或申辩。</w:t>
      </w:r>
    </w:p>
    <w:p>
      <w:pPr>
        <w:widowControl/>
        <w:spacing w:line="360" w:lineRule="auto"/>
        <w:ind w:firstLine="421"/>
        <w:rPr>
          <w:rFonts w:ascii="宋体" w:hAnsi="宋体" w:cs="宋体"/>
          <w:color w:val="auto"/>
          <w:szCs w:val="21"/>
          <w:highlight w:val="none"/>
        </w:rPr>
      </w:pPr>
      <w:r>
        <w:rPr>
          <w:rFonts w:hint="eastAsia" w:ascii="宋体" w:hAnsi="宋体" w:cs="宋体"/>
          <w:b/>
          <w:bCs/>
          <w:color w:val="auto"/>
          <w:szCs w:val="21"/>
          <w:highlight w:val="none"/>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spacing w:line="360" w:lineRule="auto"/>
        <w:rPr>
          <w:rFonts w:ascii="宋体" w:hAnsi="宋体"/>
          <w:color w:val="auto"/>
          <w:highlight w:val="none"/>
        </w:rPr>
      </w:pPr>
      <w:r>
        <w:rPr>
          <w:rFonts w:hint="eastAsia" w:ascii="宋体" w:hAnsi="宋体" w:cs="宋体"/>
          <w:color w:val="auto"/>
          <w:szCs w:val="21"/>
          <w:highlight w:val="none"/>
        </w:rPr>
        <w:t xml:space="preserve">    采购代理机构可协助评审小组组长对打分结果进行校对、核对并汇总统计；对明显畸高、畸低的评分（评审小组成员个人主观打分偏离所有评审小组成员主观打分平均值30%以上的，由评审委员会启动评分畸高、畸低行为认定程序，限制专家自由裁量权），评审小组组长应提醒相关评标委员会成员进行复核或书面说明理由，评标委员会成员拒绝说明的，由现场监督员据实记录；评标委员会成员的评审、修改记录应保留原件，随项目其他资料一并存档。</w:t>
      </w:r>
    </w:p>
    <w:p>
      <w:pPr>
        <w:pStyle w:val="7"/>
        <w:ind w:left="0" w:firstLine="0"/>
        <w:rPr>
          <w:color w:val="auto"/>
          <w:sz w:val="21"/>
          <w:highlight w:val="none"/>
        </w:rPr>
      </w:pPr>
      <w:r>
        <w:rPr>
          <w:rFonts w:hint="eastAsia"/>
          <w:color w:val="auto"/>
          <w:sz w:val="21"/>
          <w:highlight w:val="none"/>
        </w:rPr>
        <w:t>5.4中标原则</w:t>
      </w:r>
    </w:p>
    <w:p>
      <w:pPr>
        <w:spacing w:line="360" w:lineRule="auto"/>
        <w:rPr>
          <w:rFonts w:ascii="宋体" w:hAnsi="宋体"/>
          <w:b/>
          <w:color w:val="auto"/>
          <w:highlight w:val="none"/>
        </w:rPr>
      </w:pPr>
      <w:r>
        <w:rPr>
          <w:rFonts w:hint="eastAsia" w:ascii="宋体" w:hAnsi="宋体"/>
          <w:color w:val="auto"/>
          <w:highlight w:val="none"/>
        </w:rPr>
        <w:t xml:space="preserve">   </w:t>
      </w:r>
      <w:r>
        <w:rPr>
          <w:rFonts w:hint="eastAsia" w:ascii="宋体" w:hAnsi="宋体"/>
          <w:b/>
          <w:color w:val="auto"/>
          <w:highlight w:val="none"/>
        </w:rPr>
        <w:t>评标委员会根据投标人的综合得分由高到低排定顺序，推荐综合得分排序第一的投标人为本项目的第一中标候选人。如投标人的综合得分相同，则投标价低者优先；如投标价也相同，则技术分高者优先；如技术分也相同，则由投标人抽签决定。</w:t>
      </w:r>
    </w:p>
    <w:p>
      <w:pPr>
        <w:spacing w:line="360" w:lineRule="auto"/>
        <w:ind w:firstLine="420"/>
        <w:rPr>
          <w:rFonts w:ascii="宋体" w:hAnsi="宋体"/>
          <w:color w:val="auto"/>
          <w:highlight w:val="none"/>
        </w:rPr>
      </w:pPr>
      <w:r>
        <w:rPr>
          <w:rFonts w:hint="eastAsia" w:ascii="宋体" w:hAnsi="宋体"/>
          <w:color w:val="auto"/>
          <w:highlight w:val="none"/>
        </w:rPr>
        <w:t>采购人根据评审报告推荐的中标候选人确定中标供应商。</w:t>
      </w:r>
    </w:p>
    <w:p>
      <w:pPr>
        <w:pStyle w:val="7"/>
        <w:tabs>
          <w:tab w:val="left" w:pos="5880"/>
        </w:tabs>
        <w:ind w:left="0" w:firstLine="0"/>
        <w:rPr>
          <w:color w:val="auto"/>
          <w:sz w:val="21"/>
          <w:highlight w:val="none"/>
        </w:rPr>
      </w:pPr>
      <w:r>
        <w:rPr>
          <w:rFonts w:hint="eastAsia"/>
          <w:color w:val="auto"/>
          <w:sz w:val="21"/>
          <w:highlight w:val="none"/>
        </w:rPr>
        <w:t>5.5中标结果</w:t>
      </w:r>
      <w:r>
        <w:rPr>
          <w:color w:val="auto"/>
          <w:sz w:val="21"/>
          <w:highlight w:val="none"/>
        </w:rPr>
        <w:tab/>
      </w:r>
    </w:p>
    <w:p>
      <w:pPr>
        <w:spacing w:line="360" w:lineRule="auto"/>
        <w:rPr>
          <w:rFonts w:ascii="宋体" w:hAnsi="宋体"/>
          <w:color w:val="auto"/>
          <w:highlight w:val="none"/>
        </w:rPr>
      </w:pPr>
      <w:r>
        <w:rPr>
          <w:rFonts w:hint="eastAsia" w:ascii="宋体" w:hAnsi="宋体"/>
          <w:color w:val="auto"/>
          <w:highlight w:val="none"/>
        </w:rPr>
        <w:t xml:space="preserve">    采购代理机构将中标结果在政府采购指定媒体上公告，并同时</w:t>
      </w:r>
      <w:r>
        <w:rPr>
          <w:rFonts w:ascii="宋体" w:hAnsi="宋体"/>
          <w:color w:val="auto"/>
          <w:highlight w:val="none"/>
        </w:rPr>
        <w:t>向中标</w:t>
      </w:r>
      <w:r>
        <w:rPr>
          <w:rFonts w:hint="eastAsia" w:ascii="宋体" w:hAnsi="宋体"/>
          <w:color w:val="auto"/>
          <w:highlight w:val="none"/>
        </w:rPr>
        <w:t>供应商</w:t>
      </w:r>
      <w:r>
        <w:rPr>
          <w:rFonts w:ascii="宋体" w:hAnsi="宋体"/>
          <w:color w:val="auto"/>
          <w:highlight w:val="none"/>
        </w:rPr>
        <w:t>发出中标通知书。</w:t>
      </w:r>
    </w:p>
    <w:p>
      <w:pPr>
        <w:spacing w:line="360" w:lineRule="auto"/>
        <w:rPr>
          <w:rFonts w:ascii="宋体" w:hAnsi="宋体"/>
          <w:b/>
          <w:bCs/>
          <w:color w:val="auto"/>
          <w:sz w:val="24"/>
          <w:highlight w:val="none"/>
        </w:rPr>
      </w:pPr>
      <w:r>
        <w:rPr>
          <w:rFonts w:hint="eastAsia" w:ascii="宋体" w:hAnsi="宋体"/>
          <w:b/>
          <w:bCs/>
          <w:color w:val="auto"/>
          <w:sz w:val="24"/>
          <w:highlight w:val="none"/>
        </w:rPr>
        <w:t>6.评分标准</w:t>
      </w:r>
    </w:p>
    <w:p>
      <w:pPr>
        <w:spacing w:line="360" w:lineRule="auto"/>
        <w:rPr>
          <w:rFonts w:ascii="宋体" w:hAnsi="宋体"/>
          <w:color w:val="auto"/>
          <w:highlight w:val="none"/>
        </w:rPr>
      </w:pPr>
      <w:r>
        <w:rPr>
          <w:rFonts w:hint="eastAsia" w:ascii="宋体" w:hAnsi="宋体"/>
          <w:color w:val="auto"/>
          <w:highlight w:val="none"/>
        </w:rPr>
        <w:t>详见后附评分标准表。</w:t>
      </w:r>
    </w:p>
    <w:p>
      <w:pPr>
        <w:pStyle w:val="7"/>
        <w:ind w:left="0" w:firstLine="0"/>
        <w:jc w:val="left"/>
        <w:rPr>
          <w:color w:val="auto"/>
          <w:highlight w:val="none"/>
        </w:rPr>
      </w:pPr>
      <w:r>
        <w:rPr>
          <w:rFonts w:hint="eastAsia"/>
          <w:color w:val="auto"/>
          <w:sz w:val="21"/>
          <w:highlight w:val="none"/>
        </w:rPr>
        <w:t>附：评分标准表</w:t>
      </w:r>
    </w:p>
    <w:p>
      <w:pPr>
        <w:spacing w:line="360" w:lineRule="auto"/>
        <w:rPr>
          <w:rFonts w:ascii="宋体" w:hAnsi="宋体"/>
          <w:color w:val="auto"/>
          <w:highlight w:val="none"/>
        </w:rPr>
      </w:pPr>
    </w:p>
    <w:p>
      <w:pPr>
        <w:pStyle w:val="7"/>
        <w:ind w:left="0" w:firstLine="0"/>
        <w:jc w:val="left"/>
        <w:rPr>
          <w:color w:val="auto"/>
          <w:sz w:val="21"/>
          <w:highlight w:val="none"/>
        </w:rPr>
      </w:pPr>
      <w:r>
        <w:rPr>
          <w:color w:val="auto"/>
          <w:sz w:val="21"/>
          <w:highlight w:val="none"/>
        </w:rPr>
        <w:br w:type="page"/>
      </w:r>
      <w:r>
        <w:rPr>
          <w:rFonts w:hint="eastAsia"/>
          <w:color w:val="auto"/>
          <w:sz w:val="21"/>
          <w:highlight w:val="none"/>
        </w:rPr>
        <w:t>附：</w:t>
      </w:r>
    </w:p>
    <w:p>
      <w:pPr>
        <w:adjustRightInd w:val="0"/>
        <w:snapToGrid w:val="0"/>
        <w:spacing w:before="156" w:beforeLines="50" w:after="156" w:afterLines="50" w:line="360" w:lineRule="auto"/>
        <w:jc w:val="center"/>
        <w:rPr>
          <w:b/>
          <w:color w:val="auto"/>
          <w:sz w:val="32"/>
          <w:szCs w:val="32"/>
          <w:highlight w:val="none"/>
        </w:rPr>
      </w:pPr>
      <w:r>
        <w:rPr>
          <w:rFonts w:hint="eastAsia"/>
          <w:b/>
          <w:color w:val="auto"/>
          <w:sz w:val="32"/>
          <w:szCs w:val="32"/>
          <w:highlight w:val="none"/>
        </w:rPr>
        <w:t>评分标准表</w:t>
      </w:r>
    </w:p>
    <w:tbl>
      <w:tblPr>
        <w:tblStyle w:val="13"/>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42"/>
        <w:gridCol w:w="581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rPr>
        <w:tc>
          <w:tcPr>
            <w:tcW w:w="852" w:type="dxa"/>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1842" w:type="dxa"/>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评分项目</w:t>
            </w:r>
          </w:p>
        </w:tc>
        <w:tc>
          <w:tcPr>
            <w:tcW w:w="5812" w:type="dxa"/>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评分内容及标准</w:t>
            </w:r>
          </w:p>
        </w:tc>
        <w:tc>
          <w:tcPr>
            <w:tcW w:w="1134" w:type="dxa"/>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96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商务技术分60分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842" w:type="dxa"/>
            <w:vMerge w:val="restart"/>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技术方案</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完整性（5分）：技术方案组成结构清晰，各子系统方案描述详细、完整。由评委进行评审，最高得5分。</w:t>
            </w: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b/>
                <w:color w:val="auto"/>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先进性（5分）：采用成熟、主流的技术构建系统，兼顾需求和技术的发展；考虑与其他系统的连接，建设的可扩展性；具有适度的技术前瞻性。由评委进行评审，最高得5分。</w:t>
            </w:r>
          </w:p>
        </w:tc>
        <w:tc>
          <w:tcPr>
            <w:tcW w:w="1134" w:type="dxa"/>
            <w:vMerge w:val="continue"/>
            <w:tcBorders>
              <w:left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合理性（5分）：系统构建完善、架构合理，在保持系统开放性和兼容性、满足不同业务需求的同时，按照统一平台、信息共享的原则统筹建设。由评委进行评审，最高得5分。</w:t>
            </w:r>
          </w:p>
        </w:tc>
        <w:tc>
          <w:tcPr>
            <w:tcW w:w="1134" w:type="dxa"/>
            <w:vMerge w:val="continue"/>
            <w:tcBorders>
              <w:left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实用性（3分）：满足实际需求，系统安装、使用、维护简便，满足当前的需要又可为今后系统扩展留有余地。由评委进行评审，最高得3分。</w:t>
            </w:r>
          </w:p>
        </w:tc>
        <w:tc>
          <w:tcPr>
            <w:tcW w:w="113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842" w:type="dxa"/>
            <w:vMerge w:val="restart"/>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设备选型</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主要设备品牌知名度、信誉度。（10分）</w:t>
            </w:r>
          </w:p>
          <w:p>
            <w:pPr>
              <w:rPr>
                <w:rFonts w:ascii="宋体" w:hAnsi="宋体"/>
                <w:color w:val="auto"/>
                <w:szCs w:val="21"/>
                <w:highlight w:val="none"/>
              </w:rPr>
            </w:pPr>
            <w:r>
              <w:rPr>
                <w:rFonts w:hint="eastAsia" w:ascii="宋体" w:hAnsi="宋体"/>
                <w:color w:val="auto"/>
                <w:szCs w:val="21"/>
                <w:highlight w:val="none"/>
              </w:rPr>
              <w:t>由评委根据响应程度进行评审，最高得10分。</w:t>
            </w: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设备参数描述规范、详细、准确。（4分）</w:t>
            </w:r>
          </w:p>
          <w:p>
            <w:pPr>
              <w:rPr>
                <w:rFonts w:ascii="宋体" w:hAnsi="宋体"/>
                <w:color w:val="auto"/>
                <w:szCs w:val="21"/>
                <w:highlight w:val="none"/>
              </w:rPr>
            </w:pPr>
            <w:r>
              <w:rPr>
                <w:rFonts w:hint="eastAsia" w:ascii="宋体" w:hAnsi="宋体"/>
                <w:color w:val="auto"/>
                <w:szCs w:val="21"/>
                <w:highlight w:val="none"/>
              </w:rPr>
              <w:t>由评委进行评审，最高得4分。</w:t>
            </w:r>
          </w:p>
        </w:tc>
        <w:tc>
          <w:tcPr>
            <w:tcW w:w="1134" w:type="dxa"/>
            <w:vMerge w:val="continue"/>
            <w:tcBorders>
              <w:left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1842" w:type="dxa"/>
            <w:vMerge w:val="continue"/>
            <w:tcBorders>
              <w:left w:val="single" w:color="auto" w:sz="4" w:space="0"/>
              <w:right w:val="single" w:color="auto" w:sz="4" w:space="0"/>
            </w:tcBorders>
            <w:noWrap w:val="0"/>
            <w:vAlign w:val="center"/>
          </w:tcPr>
          <w:p>
            <w:pPr>
              <w:jc w:val="center"/>
              <w:rPr>
                <w:rFonts w:ascii="宋体" w:hAnsi="宋体"/>
                <w:color w:val="auto"/>
                <w:szCs w:val="21"/>
                <w:highlight w:val="none"/>
              </w:rPr>
            </w:pP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设备性能参数优劣。（4分）</w:t>
            </w:r>
          </w:p>
          <w:p>
            <w:pPr>
              <w:rPr>
                <w:rFonts w:ascii="宋体" w:hAnsi="宋体"/>
                <w:color w:val="auto"/>
                <w:szCs w:val="21"/>
                <w:highlight w:val="none"/>
              </w:rPr>
            </w:pPr>
            <w:r>
              <w:rPr>
                <w:rFonts w:hint="eastAsia" w:ascii="宋体" w:hAnsi="宋体"/>
                <w:color w:val="auto"/>
                <w:szCs w:val="21"/>
                <w:highlight w:val="none"/>
              </w:rPr>
              <w:t>由评委根据对招标文件的响应程度进行评审，最高得4分。</w:t>
            </w:r>
          </w:p>
        </w:tc>
        <w:tc>
          <w:tcPr>
            <w:tcW w:w="113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1842" w:type="dxa"/>
            <w:vMerge w:val="restart"/>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项目实施方案</w:t>
            </w:r>
          </w:p>
        </w:tc>
        <w:tc>
          <w:tcPr>
            <w:tcW w:w="5812" w:type="dxa"/>
            <w:tcBorders>
              <w:top w:val="single" w:color="auto" w:sz="4" w:space="0"/>
              <w:left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组织设计、进度计划（5分）：根据组织设计、进度计划等编制响应情况，由评委进行评审。施工进度计划编制应明确、合理、可行；关键点控制措施有力。由评委进行评审，最高得5分。</w:t>
            </w: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1842" w:type="dxa"/>
            <w:vMerge w:val="continue"/>
            <w:tcBorders>
              <w:left w:val="single" w:color="auto" w:sz="4" w:space="0"/>
              <w:right w:val="single" w:color="auto" w:sz="4" w:space="0"/>
            </w:tcBorders>
            <w:noWrap w:val="0"/>
            <w:vAlign w:val="center"/>
          </w:tcPr>
          <w:p>
            <w:pPr>
              <w:jc w:val="left"/>
              <w:rPr>
                <w:rFonts w:ascii="宋体" w:hAnsi="宋体"/>
                <w:color w:val="auto"/>
                <w:szCs w:val="21"/>
                <w:highlight w:val="none"/>
              </w:rPr>
            </w:pPr>
          </w:p>
        </w:tc>
        <w:tc>
          <w:tcPr>
            <w:tcW w:w="5812" w:type="dxa"/>
            <w:tcBorders>
              <w:left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人员安排（5分）：根据项目施工人员配置情况、人员的到岗、响应速度等情况，由评委进行评审，最高得5分。</w:t>
            </w:r>
          </w:p>
        </w:tc>
        <w:tc>
          <w:tcPr>
            <w:tcW w:w="1134" w:type="dxa"/>
            <w:vMerge w:val="continue"/>
            <w:tcBorders>
              <w:left w:val="single" w:color="auto" w:sz="4" w:space="0"/>
              <w:right w:val="single" w:color="auto" w:sz="4" w:space="0"/>
            </w:tcBorders>
            <w:noWrap w:val="0"/>
            <w:vAlign w:val="center"/>
          </w:tcPr>
          <w:p>
            <w:pPr>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质量保证及售后服务</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由评委根据供应商的质量保证及售后服务方案的响应程度进行评审打分，最高得3分。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技术培训方案</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由评委根据供应商的技术培训方案进行评审打分，最高得4分。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优惠承诺及合理化建议</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由评委根据供应商提供的合理化建议和优惠承诺进行评审，最高得3分。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8"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13</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类似业绩</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rFonts w:ascii="宋体" w:hAnsi="宋体"/>
                <w:color w:val="auto"/>
                <w:szCs w:val="21"/>
                <w:highlight w:val="none"/>
              </w:rPr>
            </w:pPr>
            <w:r>
              <w:rPr>
                <w:rFonts w:hint="eastAsia" w:ascii="宋体" w:hAnsi="宋体"/>
                <w:color w:val="auto"/>
                <w:szCs w:val="21"/>
                <w:highlight w:val="none"/>
              </w:rPr>
              <w:t>投标人自提交投标文件截止之日（不含投标截止日）前三年内完成过与本招标项目类似的智能化项目业绩，</w:t>
            </w:r>
            <w:r>
              <w:rPr>
                <w:rFonts w:hint="eastAsia" w:ascii="宋体" w:hAnsi="宋体"/>
                <w:b/>
                <w:color w:val="auto"/>
                <w:szCs w:val="21"/>
                <w:highlight w:val="none"/>
              </w:rPr>
              <w:t>类似业绩需包含综合布线系统、计算机网络系统、视频监控系统、会议系统、电子巡查系统、出入口控制系统、背景音乐系统（广播系统）、一卡通系统、网络中心机房建设系统的</w:t>
            </w:r>
            <w:r>
              <w:rPr>
                <w:rFonts w:hint="eastAsia" w:ascii="宋体" w:hAnsi="宋体"/>
                <w:b/>
                <w:color w:val="auto"/>
                <w:highlight w:val="none"/>
              </w:rPr>
              <w:t>其中五个系统，否则不予认可</w:t>
            </w:r>
            <w:r>
              <w:rPr>
                <w:rFonts w:hint="eastAsia" w:ascii="宋体" w:hAnsi="宋体"/>
                <w:b/>
                <w:color w:val="auto"/>
                <w:szCs w:val="21"/>
                <w:highlight w:val="none"/>
              </w:rPr>
              <w:t>。</w:t>
            </w:r>
          </w:p>
          <w:p>
            <w:pPr>
              <w:rPr>
                <w:rFonts w:ascii="宋体" w:hAnsi="宋体"/>
                <w:color w:val="auto"/>
                <w:szCs w:val="21"/>
                <w:highlight w:val="none"/>
              </w:rPr>
            </w:pPr>
            <w:r>
              <w:rPr>
                <w:rFonts w:hint="eastAsia" w:ascii="宋体" w:hAnsi="宋体"/>
                <w:color w:val="auto"/>
                <w:szCs w:val="21"/>
                <w:highlight w:val="none"/>
              </w:rPr>
              <w:t>投标人每提供一个与本招标项目类似的智能化项目得1分，本项最高得3分。</w:t>
            </w:r>
          </w:p>
          <w:p>
            <w:pPr>
              <w:rPr>
                <w:rFonts w:ascii="宋体" w:hAnsi="宋体"/>
                <w:color w:val="auto"/>
                <w:szCs w:val="21"/>
                <w:highlight w:val="none"/>
              </w:rPr>
            </w:pPr>
            <w:r>
              <w:rPr>
                <w:rFonts w:hint="eastAsia" w:ascii="宋体" w:hAnsi="宋体"/>
                <w:color w:val="auto"/>
                <w:szCs w:val="21"/>
                <w:highlight w:val="none"/>
              </w:rPr>
              <w:t>时间以验收证明时间为准。</w:t>
            </w:r>
          </w:p>
          <w:p>
            <w:pPr>
              <w:rPr>
                <w:rFonts w:ascii="宋体" w:hAnsi="宋体"/>
                <w:color w:val="auto"/>
                <w:szCs w:val="21"/>
                <w:highlight w:val="none"/>
              </w:rPr>
            </w:pPr>
            <w:r>
              <w:rPr>
                <w:rFonts w:hint="eastAsia" w:hAnsi="宋体"/>
                <w:b/>
                <w:color w:val="auto"/>
                <w:szCs w:val="21"/>
                <w:highlight w:val="none"/>
              </w:rPr>
              <w:t>在投标文件中提供合同、类似业绩的履约或竣工验收证明复印件并加盖投标人公章，合同和验收证明缺一不可，否则不得分。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14</w:t>
            </w:r>
          </w:p>
        </w:tc>
        <w:tc>
          <w:tcPr>
            <w:tcW w:w="1842" w:type="dxa"/>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非强制节能环保产品</w:t>
            </w:r>
          </w:p>
        </w:tc>
        <w:tc>
          <w:tcPr>
            <w:tcW w:w="5812" w:type="dxa"/>
            <w:tcBorders>
              <w:top w:val="single" w:color="auto" w:sz="4" w:space="0"/>
              <w:left w:val="single" w:color="auto" w:sz="4" w:space="0"/>
              <w:bottom w:val="single" w:color="auto" w:sz="4" w:space="0"/>
              <w:right w:val="single" w:color="auto" w:sz="4" w:space="0"/>
            </w:tcBorders>
            <w:noWrap w:val="0"/>
            <w:tcMar>
              <w:top w:w="85" w:type="dxa"/>
              <w:left w:w="85" w:type="dxa"/>
              <w:bottom w:w="85" w:type="dxa"/>
              <w:right w:w="85" w:type="dxa"/>
            </w:tcMar>
            <w:vAlign w:val="center"/>
          </w:tcPr>
          <w:p>
            <w:pPr>
              <w:rPr>
                <w:color w:val="auto"/>
                <w:highlight w:val="none"/>
              </w:rPr>
            </w:pPr>
            <w:r>
              <w:rPr>
                <w:rFonts w:hint="eastAsia"/>
                <w:color w:val="auto"/>
                <w:highlight w:val="none"/>
              </w:rPr>
              <w:t>投标人所投货物如列入现行节能产品（或环境标志产品）政府采购品目清单的（强制产品除外），每个得0.5分，最高得1分。投标文件中提供投标产品有效的节能产品（或环境标志产品）认证证书彩色扫描件或者提供投标产品在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color w:val="auto"/>
                <w:highlight w:val="none"/>
              </w:rPr>
              <w:t>www.ccgp.gov.cn</w:t>
            </w:r>
            <w:r>
              <w:rPr>
                <w:rFonts w:hint="eastAsia"/>
                <w:color w:val="auto"/>
                <w:highlight w:val="none"/>
              </w:rPr>
              <w:fldChar w:fldCharType="end"/>
            </w:r>
            <w:r>
              <w:rPr>
                <w:rFonts w:hint="eastAsia"/>
                <w:color w:val="auto"/>
                <w:highlight w:val="none"/>
              </w:rPr>
              <w:t>）节能产品（或环境标志产品）查询结果的网页截图的证明材料，否则不得分。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640" w:type="dxa"/>
            <w:gridSpan w:val="4"/>
            <w:tcBorders>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b/>
                <w:color w:val="auto"/>
                <w:szCs w:val="21"/>
                <w:highlight w:val="none"/>
              </w:rPr>
              <w:t>价格分40分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trPr>
        <w:tc>
          <w:tcPr>
            <w:tcW w:w="852" w:type="dxa"/>
            <w:tcBorders>
              <w:left w:val="single" w:color="auto" w:sz="4" w:space="0"/>
              <w:right w:val="single" w:color="auto" w:sz="4" w:space="0"/>
            </w:tcBorders>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15</w:t>
            </w:r>
          </w:p>
        </w:tc>
        <w:tc>
          <w:tcPr>
            <w:tcW w:w="8788" w:type="dxa"/>
            <w:gridSpan w:val="3"/>
            <w:tcBorders>
              <w:left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评标基准价：满足招标文件要求且最低的参与评审的价格</w:t>
            </w:r>
          </w:p>
          <w:p>
            <w:pPr>
              <w:tabs>
                <w:tab w:val="left" w:pos="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参与评审的价格=投标报价-小微企业价格扣除优惠值20%（如有）。</w:t>
            </w:r>
          </w:p>
          <w:p>
            <w:pPr>
              <w:tabs>
                <w:tab w:val="left" w:pos="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参与评审的价格为评标基准价的其价格得分得满分40分。</w:t>
            </w:r>
          </w:p>
          <w:p>
            <w:pPr>
              <w:tabs>
                <w:tab w:val="left" w:pos="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其他投标人价格得分按照下列公式计算：</w:t>
            </w:r>
          </w:p>
          <w:p>
            <w:pPr>
              <w:tabs>
                <w:tab w:val="left" w:pos="0"/>
              </w:tabs>
              <w:spacing w:line="360" w:lineRule="exact"/>
              <w:rPr>
                <w:rFonts w:ascii="宋体" w:hAnsi="宋体" w:cs="宋体"/>
                <w:bCs/>
                <w:color w:val="auto"/>
                <w:szCs w:val="21"/>
                <w:highlight w:val="none"/>
              </w:rPr>
            </w:pPr>
            <w:r>
              <w:rPr>
                <w:rFonts w:hint="eastAsia" w:ascii="宋体" w:hAnsi="宋体" w:cs="宋体"/>
                <w:bCs/>
                <w:color w:val="auto"/>
                <w:szCs w:val="21"/>
                <w:highlight w:val="none"/>
              </w:rPr>
              <w:t>价格得分=（评标基准价/各投标人参与评审的价格）×40%×100。</w:t>
            </w:r>
          </w:p>
          <w:p>
            <w:pPr>
              <w:tabs>
                <w:tab w:val="left" w:pos="0"/>
              </w:tabs>
              <w:spacing w:line="360" w:lineRule="exact"/>
              <w:rPr>
                <w:rFonts w:ascii="宋体" w:hAnsi="宋体" w:cs="宋体"/>
                <w:b/>
                <w:bCs/>
                <w:color w:val="auto"/>
                <w:szCs w:val="21"/>
                <w:highlight w:val="none"/>
              </w:rPr>
            </w:pPr>
            <w:r>
              <w:rPr>
                <w:rFonts w:hint="eastAsia" w:ascii="宋体" w:hAnsi="宋体" w:cs="宋体"/>
                <w:b/>
                <w:bCs/>
                <w:color w:val="auto"/>
                <w:szCs w:val="21"/>
                <w:highlight w:val="none"/>
              </w:rPr>
              <w:t>注：1、投标报价超过最高限价的作无效标处理。</w:t>
            </w:r>
          </w:p>
          <w:p>
            <w:pPr>
              <w:jc w:val="left"/>
              <w:rPr>
                <w:rFonts w:ascii="宋体" w:hAnsi="宋体"/>
                <w:b/>
                <w:color w:val="auto"/>
                <w:szCs w:val="21"/>
                <w:highlight w:val="none"/>
              </w:rPr>
            </w:pPr>
            <w:r>
              <w:rPr>
                <w:rFonts w:hint="eastAsia" w:ascii="宋体" w:hAnsi="宋体" w:cs="宋体"/>
                <w:b/>
                <w:bCs/>
                <w:color w:val="auto"/>
                <w:szCs w:val="21"/>
                <w:highlight w:val="none"/>
              </w:rPr>
              <w:t>2、价格得分小数点后保留2位小数，第3位小数四舍五入。</w:t>
            </w:r>
          </w:p>
        </w:tc>
      </w:tr>
    </w:tbl>
    <w:p>
      <w:pPr>
        <w:spacing w:line="360" w:lineRule="auto"/>
        <w:rPr>
          <w:rFonts w:ascii="宋体" w:hAnsi="宋体"/>
          <w:color w:val="auto"/>
          <w:highlight w:val="none"/>
        </w:rPr>
      </w:pPr>
    </w:p>
    <w:p>
      <w:pPr>
        <w:spacing w:line="360" w:lineRule="auto"/>
        <w:rPr>
          <w:rFonts w:ascii="宋体" w:hAnsi="宋体"/>
          <w:color w:val="auto"/>
          <w:highlight w:val="none"/>
        </w:rPr>
      </w:pPr>
    </w:p>
    <w:p>
      <w:pPr>
        <w:rPr>
          <w:color w:val="auto"/>
          <w:highlight w:val="none"/>
        </w:rPr>
      </w:pPr>
      <w:r>
        <w:rPr>
          <w:color w:val="auto"/>
          <w:highlight w:val="none"/>
        </w:rPr>
        <w:br w:type="page"/>
      </w:r>
    </w:p>
    <w:p>
      <w:pPr>
        <w:pStyle w:val="3"/>
        <w:rPr>
          <w:color w:val="auto"/>
          <w:highlight w:val="none"/>
        </w:rPr>
      </w:pPr>
      <w:bookmarkStart w:id="33" w:name="_Toc65753670"/>
      <w:r>
        <w:rPr>
          <w:rFonts w:hint="eastAsia"/>
          <w:color w:val="auto"/>
          <w:highlight w:val="none"/>
        </w:rPr>
        <w:t>第五部分  合同主要条款及格式</w:t>
      </w:r>
      <w:bookmarkEnd w:id="33"/>
    </w:p>
    <w:p>
      <w:pPr>
        <w:spacing w:line="360" w:lineRule="auto"/>
        <w:rPr>
          <w:rFonts w:ascii="宋体" w:hAnsi="宋体"/>
          <w:color w:val="auto"/>
          <w:highlight w:val="none"/>
        </w:rPr>
      </w:pPr>
    </w:p>
    <w:p>
      <w:pPr>
        <w:spacing w:line="360" w:lineRule="auto"/>
        <w:rPr>
          <w:rFonts w:ascii="宋体" w:hAnsi="宋体"/>
          <w:color w:val="auto"/>
          <w:highlight w:val="none"/>
        </w:rPr>
      </w:pPr>
    </w:p>
    <w:p>
      <w:pPr>
        <w:pStyle w:val="6"/>
        <w:jc w:val="center"/>
        <w:rPr>
          <w:b/>
          <w:snapToGrid w:val="0"/>
          <w:color w:val="auto"/>
          <w:kern w:val="0"/>
          <w:sz w:val="28"/>
          <w:szCs w:val="28"/>
          <w:highlight w:val="none"/>
          <w:u w:val="single"/>
        </w:rPr>
      </w:pPr>
      <w:r>
        <w:rPr>
          <w:rFonts w:hint="eastAsia"/>
          <w:b/>
          <w:snapToGrid w:val="0"/>
          <w:color w:val="auto"/>
          <w:kern w:val="0"/>
          <w:sz w:val="28"/>
          <w:szCs w:val="28"/>
          <w:highlight w:val="none"/>
        </w:rPr>
        <w:t xml:space="preserve">                          合同编号：</w:t>
      </w:r>
      <w:r>
        <w:rPr>
          <w:rFonts w:hint="eastAsia"/>
          <w:b/>
          <w:snapToGrid w:val="0"/>
          <w:color w:val="auto"/>
          <w:kern w:val="0"/>
          <w:sz w:val="28"/>
          <w:szCs w:val="28"/>
          <w:highlight w:val="none"/>
          <w:u w:val="single"/>
        </w:rPr>
        <w:t xml:space="preserve">         </w:t>
      </w:r>
    </w:p>
    <w:p>
      <w:pPr>
        <w:spacing w:line="540" w:lineRule="exact"/>
        <w:rPr>
          <w:rFonts w:ascii="华文中宋" w:hAnsi="华文中宋" w:eastAsia="华文中宋"/>
          <w:b/>
          <w:snapToGrid w:val="0"/>
          <w:color w:val="auto"/>
          <w:kern w:val="0"/>
          <w:sz w:val="48"/>
          <w:highlight w:val="none"/>
        </w:rPr>
      </w:pPr>
    </w:p>
    <w:p>
      <w:pPr>
        <w:spacing w:line="540" w:lineRule="exact"/>
        <w:rPr>
          <w:rFonts w:ascii="华文中宋" w:hAnsi="华文中宋" w:eastAsia="华文中宋"/>
          <w:b/>
          <w:snapToGrid w:val="0"/>
          <w:color w:val="auto"/>
          <w:kern w:val="0"/>
          <w:sz w:val="48"/>
          <w:highlight w:val="none"/>
        </w:rPr>
      </w:pPr>
    </w:p>
    <w:p>
      <w:pPr>
        <w:spacing w:line="540" w:lineRule="exact"/>
        <w:rPr>
          <w:rFonts w:ascii="华文中宋" w:hAnsi="华文中宋" w:eastAsia="华文中宋"/>
          <w:b/>
          <w:snapToGrid w:val="0"/>
          <w:color w:val="auto"/>
          <w:kern w:val="0"/>
          <w:sz w:val="48"/>
          <w:highlight w:val="none"/>
        </w:rPr>
      </w:pPr>
    </w:p>
    <w:p>
      <w:pPr>
        <w:spacing w:line="540" w:lineRule="exact"/>
        <w:rPr>
          <w:rFonts w:ascii="华文中宋" w:hAnsi="华文中宋" w:eastAsia="华文中宋"/>
          <w:b/>
          <w:snapToGrid w:val="0"/>
          <w:color w:val="auto"/>
          <w:kern w:val="0"/>
          <w:sz w:val="48"/>
          <w:highlight w:val="none"/>
        </w:rPr>
      </w:pPr>
    </w:p>
    <w:p>
      <w:pPr>
        <w:spacing w:line="540" w:lineRule="exact"/>
        <w:rPr>
          <w:rFonts w:ascii="华文中宋" w:hAnsi="华文中宋" w:eastAsia="华文中宋"/>
          <w:b/>
          <w:snapToGrid w:val="0"/>
          <w:color w:val="auto"/>
          <w:kern w:val="0"/>
          <w:sz w:val="48"/>
          <w:highlight w:val="none"/>
        </w:rPr>
      </w:pPr>
    </w:p>
    <w:p>
      <w:pPr>
        <w:spacing w:line="800" w:lineRule="exact"/>
        <w:jc w:val="center"/>
        <w:rPr>
          <w:rFonts w:ascii="黑体" w:hAnsi="宋体" w:eastAsia="黑体"/>
          <w:b/>
          <w:snapToGrid w:val="0"/>
          <w:color w:val="auto"/>
          <w:kern w:val="0"/>
          <w:sz w:val="48"/>
          <w:szCs w:val="48"/>
          <w:highlight w:val="none"/>
        </w:rPr>
      </w:pPr>
      <w:r>
        <w:rPr>
          <w:rFonts w:hint="eastAsia" w:ascii="黑体" w:hAnsi="宋体" w:eastAsia="黑体"/>
          <w:b/>
          <w:snapToGrid w:val="0"/>
          <w:color w:val="auto"/>
          <w:kern w:val="0"/>
          <w:sz w:val="48"/>
          <w:szCs w:val="48"/>
          <w:highlight w:val="none"/>
        </w:rPr>
        <w:t>智能化采购合同</w:t>
      </w:r>
    </w:p>
    <w:p>
      <w:pPr>
        <w:spacing w:line="540" w:lineRule="exact"/>
        <w:jc w:val="center"/>
        <w:rPr>
          <w:rFonts w:ascii="华文中宋" w:hAnsi="华文中宋" w:eastAsia="华文中宋"/>
          <w:b/>
          <w:snapToGrid w:val="0"/>
          <w:color w:val="auto"/>
          <w:kern w:val="0"/>
          <w:sz w:val="52"/>
          <w:highlight w:val="none"/>
        </w:rPr>
      </w:pPr>
    </w:p>
    <w:p>
      <w:pPr>
        <w:spacing w:line="540" w:lineRule="exact"/>
        <w:jc w:val="center"/>
        <w:rPr>
          <w:rFonts w:ascii="华文中宋" w:hAnsi="华文中宋" w:eastAsia="华文中宋"/>
          <w:b/>
          <w:snapToGrid w:val="0"/>
          <w:color w:val="auto"/>
          <w:kern w:val="0"/>
          <w:sz w:val="36"/>
          <w:highlight w:val="none"/>
        </w:rPr>
      </w:pPr>
    </w:p>
    <w:p>
      <w:pPr>
        <w:spacing w:line="540" w:lineRule="exact"/>
        <w:rPr>
          <w:rFonts w:ascii="宋体" w:hAnsi="宋体"/>
          <w:b/>
          <w:snapToGrid w:val="0"/>
          <w:color w:val="auto"/>
          <w:kern w:val="0"/>
          <w:sz w:val="28"/>
          <w:szCs w:val="28"/>
          <w:highlight w:val="none"/>
        </w:rPr>
      </w:pPr>
    </w:p>
    <w:p>
      <w:pPr>
        <w:spacing w:line="540" w:lineRule="exact"/>
        <w:rPr>
          <w:rFonts w:ascii="宋体" w:hAnsi="宋体"/>
          <w:b/>
          <w:snapToGrid w:val="0"/>
          <w:color w:val="auto"/>
          <w:kern w:val="0"/>
          <w:sz w:val="28"/>
          <w:szCs w:val="28"/>
          <w:highlight w:val="none"/>
        </w:rPr>
      </w:pPr>
    </w:p>
    <w:p>
      <w:pPr>
        <w:spacing w:line="540" w:lineRule="exact"/>
        <w:rPr>
          <w:rFonts w:ascii="宋体" w:hAnsi="宋体"/>
          <w:b/>
          <w:snapToGrid w:val="0"/>
          <w:color w:val="auto"/>
          <w:kern w:val="0"/>
          <w:sz w:val="28"/>
          <w:szCs w:val="28"/>
          <w:highlight w:val="none"/>
        </w:rPr>
      </w:pPr>
    </w:p>
    <w:p>
      <w:pPr>
        <w:spacing w:line="540" w:lineRule="exact"/>
        <w:rPr>
          <w:rFonts w:ascii="宋体" w:hAnsi="宋体"/>
          <w:b/>
          <w:snapToGrid w:val="0"/>
          <w:color w:val="auto"/>
          <w:kern w:val="0"/>
          <w:sz w:val="28"/>
          <w:szCs w:val="28"/>
          <w:highlight w:val="none"/>
        </w:rPr>
      </w:pPr>
    </w:p>
    <w:p>
      <w:pPr>
        <w:tabs>
          <w:tab w:val="left" w:pos="1800"/>
        </w:tabs>
        <w:spacing w:line="780" w:lineRule="exact"/>
        <w:ind w:firstLine="558" w:firstLineChars="150"/>
        <w:rPr>
          <w:rFonts w:ascii="宋体" w:hAnsi="宋体"/>
          <w:color w:val="auto"/>
          <w:spacing w:val="20"/>
          <w:sz w:val="32"/>
          <w:szCs w:val="32"/>
          <w:highlight w:val="none"/>
          <w:u w:val="single"/>
        </w:rPr>
      </w:pPr>
      <w:r>
        <w:rPr>
          <w:rFonts w:hint="eastAsia" w:ascii="宋体" w:hAnsi="宋体"/>
          <w:color w:val="auto"/>
          <w:spacing w:val="26"/>
          <w:sz w:val="32"/>
          <w:szCs w:val="32"/>
          <w:highlight w:val="none"/>
        </w:rPr>
        <w:t>项目名称</w:t>
      </w:r>
      <w:r>
        <w:rPr>
          <w:rFonts w:hint="eastAsia" w:ascii="宋体" w:hAnsi="宋体"/>
          <w:color w:val="auto"/>
          <w:spacing w:val="20"/>
          <w:sz w:val="32"/>
          <w:szCs w:val="32"/>
          <w:highlight w:val="none"/>
        </w:rPr>
        <w:t>：</w:t>
      </w:r>
      <w:r>
        <w:rPr>
          <w:rFonts w:hint="eastAsia" w:ascii="宋体" w:hAnsi="宋体"/>
          <w:snapToGrid w:val="0"/>
          <w:color w:val="auto"/>
          <w:kern w:val="0"/>
          <w:sz w:val="32"/>
          <w:szCs w:val="32"/>
          <w:highlight w:val="none"/>
          <w:u w:val="single"/>
        </w:rPr>
        <w:t xml:space="preserve">淮河小学东校区新建工程智能化采购项目 </w:t>
      </w:r>
    </w:p>
    <w:p>
      <w:pPr>
        <w:tabs>
          <w:tab w:val="left" w:pos="1800"/>
        </w:tabs>
        <w:spacing w:line="780" w:lineRule="exact"/>
        <w:ind w:firstLine="558" w:firstLineChars="150"/>
        <w:rPr>
          <w:color w:val="auto"/>
          <w:spacing w:val="26"/>
          <w:sz w:val="32"/>
          <w:szCs w:val="32"/>
          <w:highlight w:val="none"/>
        </w:rPr>
      </w:pPr>
      <w:r>
        <w:rPr>
          <w:rFonts w:hint="eastAsia"/>
          <w:color w:val="auto"/>
          <w:spacing w:val="26"/>
          <w:sz w:val="32"/>
          <w:szCs w:val="32"/>
          <w:highlight w:val="none"/>
        </w:rPr>
        <w:t>发 包 人：</w:t>
      </w:r>
      <w:r>
        <w:rPr>
          <w:rFonts w:hint="eastAsia" w:ascii="宋体" w:hAnsi="宋体"/>
          <w:snapToGrid w:val="0"/>
          <w:color w:val="auto"/>
          <w:kern w:val="0"/>
          <w:sz w:val="32"/>
          <w:szCs w:val="32"/>
          <w:highlight w:val="none"/>
          <w:u w:val="single"/>
        </w:rPr>
        <w:t xml:space="preserve">宁波市北仑区公共项目建设管理中心     </w:t>
      </w:r>
    </w:p>
    <w:p>
      <w:pPr>
        <w:tabs>
          <w:tab w:val="left" w:pos="1800"/>
        </w:tabs>
        <w:spacing w:line="780" w:lineRule="exact"/>
        <w:ind w:firstLine="558" w:firstLineChars="150"/>
        <w:rPr>
          <w:color w:val="auto"/>
          <w:spacing w:val="26"/>
          <w:sz w:val="32"/>
          <w:szCs w:val="32"/>
          <w:highlight w:val="none"/>
        </w:rPr>
      </w:pPr>
      <w:r>
        <w:rPr>
          <w:rFonts w:hint="eastAsia"/>
          <w:color w:val="auto"/>
          <w:spacing w:val="26"/>
          <w:sz w:val="32"/>
          <w:szCs w:val="32"/>
          <w:highlight w:val="none"/>
        </w:rPr>
        <w:t>承 包 人：</w:t>
      </w:r>
      <w:r>
        <w:rPr>
          <w:rFonts w:hint="eastAsia" w:ascii="宋体" w:hAnsi="宋体"/>
          <w:color w:val="auto"/>
          <w:spacing w:val="20"/>
          <w:sz w:val="32"/>
          <w:szCs w:val="32"/>
          <w:highlight w:val="none"/>
          <w:u w:val="single"/>
        </w:rPr>
        <w:t xml:space="preserve">                             </w:t>
      </w:r>
    </w:p>
    <w:p>
      <w:pPr>
        <w:tabs>
          <w:tab w:val="left" w:pos="1800"/>
        </w:tabs>
        <w:spacing w:line="780" w:lineRule="exact"/>
        <w:ind w:firstLine="558" w:firstLineChars="150"/>
        <w:rPr>
          <w:rFonts w:ascii="宋体" w:hAnsi="宋体"/>
          <w:color w:val="auto"/>
          <w:sz w:val="32"/>
          <w:szCs w:val="32"/>
          <w:highlight w:val="none"/>
          <w:u w:val="single"/>
        </w:rPr>
      </w:pPr>
      <w:r>
        <w:rPr>
          <w:rFonts w:hint="eastAsia"/>
          <w:color w:val="auto"/>
          <w:spacing w:val="26"/>
          <w:sz w:val="32"/>
          <w:szCs w:val="32"/>
          <w:highlight w:val="none"/>
        </w:rPr>
        <w:t>丙   方：</w:t>
      </w:r>
      <w:r>
        <w:rPr>
          <w:rFonts w:hint="eastAsia"/>
          <w:color w:val="auto"/>
          <w:spacing w:val="26"/>
          <w:sz w:val="32"/>
          <w:szCs w:val="32"/>
          <w:highlight w:val="none"/>
          <w:u w:val="single"/>
        </w:rPr>
        <w:t>宁波市北仑教育发展有限公司</w:t>
      </w:r>
      <w:r>
        <w:rPr>
          <w:rFonts w:hint="eastAsia" w:ascii="宋体" w:hAnsi="宋体"/>
          <w:snapToGrid w:val="0"/>
          <w:color w:val="auto"/>
          <w:kern w:val="0"/>
          <w:sz w:val="32"/>
          <w:szCs w:val="32"/>
          <w:highlight w:val="none"/>
          <w:u w:val="single"/>
        </w:rPr>
        <w:t xml:space="preserve">       </w:t>
      </w:r>
    </w:p>
    <w:p>
      <w:pPr>
        <w:spacing w:before="240" w:after="240" w:line="360" w:lineRule="auto"/>
        <w:jc w:val="center"/>
        <w:rPr>
          <w:rFonts w:ascii="宋体" w:hAnsi="宋体"/>
          <w:b/>
          <w:snapToGrid w:val="0"/>
          <w:color w:val="auto"/>
          <w:kern w:val="0"/>
          <w:sz w:val="28"/>
          <w:szCs w:val="28"/>
          <w:highlight w:val="none"/>
        </w:rPr>
      </w:pPr>
      <w:r>
        <w:rPr>
          <w:rFonts w:ascii="宋体" w:hAnsi="宋体"/>
          <w:color w:val="auto"/>
          <w:sz w:val="32"/>
          <w:szCs w:val="32"/>
          <w:highlight w:val="none"/>
          <w:u w:val="single"/>
        </w:rPr>
        <w:br w:type="page"/>
      </w:r>
      <w:r>
        <w:rPr>
          <w:rFonts w:hint="eastAsia" w:ascii="宋体" w:hAnsi="宋体"/>
          <w:b/>
          <w:snapToGrid w:val="0"/>
          <w:color w:val="auto"/>
          <w:kern w:val="0"/>
          <w:sz w:val="28"/>
          <w:szCs w:val="28"/>
          <w:highlight w:val="none"/>
        </w:rPr>
        <w:t>智能化采购合同</w:t>
      </w:r>
    </w:p>
    <w:p>
      <w:pPr>
        <w:snapToGrid w:val="0"/>
        <w:spacing w:before="240"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宁波市北仑区公共项目建设管理中心</w:t>
      </w:r>
      <w:r>
        <w:rPr>
          <w:rFonts w:ascii="宋体" w:hAnsi="宋体"/>
          <w:color w:val="auto"/>
          <w:szCs w:val="21"/>
          <w:highlight w:val="none"/>
        </w:rPr>
        <w:t xml:space="preserve"> (</w:t>
      </w:r>
      <w:r>
        <w:rPr>
          <w:rFonts w:hint="eastAsia" w:ascii="宋体" w:hAnsi="宋体"/>
          <w:color w:val="auto"/>
          <w:szCs w:val="21"/>
          <w:highlight w:val="none"/>
        </w:rPr>
        <w:t>以下简称“发包人”</w:t>
      </w:r>
      <w:r>
        <w:rPr>
          <w:rFonts w:ascii="宋体" w:hAnsi="宋体"/>
          <w:color w:val="auto"/>
          <w:szCs w:val="21"/>
          <w:highlight w:val="none"/>
        </w:rPr>
        <w:t>)</w:t>
      </w:r>
      <w:r>
        <w:rPr>
          <w:rFonts w:hint="eastAsia" w:ascii="宋体" w:hAnsi="宋体"/>
          <w:color w:val="auto"/>
          <w:szCs w:val="21"/>
          <w:highlight w:val="none"/>
        </w:rPr>
        <w:t>的</w:t>
      </w:r>
      <w:r>
        <w:rPr>
          <w:rFonts w:hint="eastAsia" w:ascii="宋体" w:hAnsi="宋体"/>
          <w:color w:val="auto"/>
          <w:szCs w:val="21"/>
          <w:highlight w:val="none"/>
          <w:u w:val="single"/>
        </w:rPr>
        <w:t xml:space="preserve">                         </w:t>
      </w:r>
      <w:r>
        <w:rPr>
          <w:rFonts w:hint="eastAsia" w:ascii="宋体" w:hAnsi="宋体"/>
          <w:color w:val="auto"/>
          <w:szCs w:val="21"/>
          <w:highlight w:val="none"/>
        </w:rPr>
        <w:t>经浙江天诚工程咨询有限公司以</w:t>
      </w:r>
      <w:r>
        <w:rPr>
          <w:rFonts w:hint="eastAsia" w:ascii="宋体" w:hAnsi="宋体"/>
          <w:color w:val="auto"/>
          <w:szCs w:val="21"/>
          <w:highlight w:val="none"/>
          <w:u w:val="single"/>
        </w:rPr>
        <w:t xml:space="preserve">           </w:t>
      </w:r>
      <w:r>
        <w:rPr>
          <w:rFonts w:hint="eastAsia" w:ascii="宋体" w:hAnsi="宋体"/>
          <w:color w:val="auto"/>
          <w:szCs w:val="21"/>
          <w:highlight w:val="none"/>
        </w:rPr>
        <w:t>号《招标文件》进行公开招标。经评标委员会评定，</w:t>
      </w:r>
      <w:r>
        <w:rPr>
          <w:rFonts w:hint="eastAsia" w:ascii="宋体" w:hAnsi="宋体"/>
          <w:color w:val="auto"/>
          <w:szCs w:val="21"/>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rPr>
        <w:t>以下简称“承包人”</w:t>
      </w:r>
      <w:r>
        <w:rPr>
          <w:rFonts w:ascii="宋体" w:hAnsi="宋体"/>
          <w:color w:val="auto"/>
          <w:szCs w:val="21"/>
          <w:highlight w:val="none"/>
        </w:rPr>
        <w:t>)</w:t>
      </w:r>
      <w:r>
        <w:rPr>
          <w:rFonts w:hint="eastAsia" w:ascii="宋体" w:hAnsi="宋体"/>
          <w:color w:val="auto"/>
          <w:szCs w:val="21"/>
          <w:highlight w:val="none"/>
        </w:rPr>
        <w:t>为中标人，</w:t>
      </w:r>
      <w:r>
        <w:rPr>
          <w:rFonts w:hint="eastAsia" w:ascii="宋体" w:hAnsi="宋体"/>
          <w:color w:val="auto"/>
          <w:kern w:val="0"/>
          <w:szCs w:val="21"/>
          <w:highlight w:val="none"/>
        </w:rPr>
        <w:t>合同三方同意</w:t>
      </w:r>
      <w:r>
        <w:rPr>
          <w:rFonts w:hint="eastAsia" w:ascii="宋体" w:hAnsi="宋体"/>
          <w:color w:val="auto"/>
          <w:szCs w:val="21"/>
          <w:highlight w:val="none"/>
        </w:rPr>
        <w:t>按照下述的条款和条件签署本合同。</w:t>
      </w:r>
    </w:p>
    <w:p>
      <w:pPr>
        <w:numPr>
          <w:ilvl w:val="0"/>
          <w:numId w:val="7"/>
        </w:numPr>
        <w:snapToGrid w:val="0"/>
        <w:spacing w:line="360" w:lineRule="auto"/>
        <w:rPr>
          <w:rFonts w:ascii="宋体" w:hAnsi="宋体"/>
          <w:color w:val="auto"/>
          <w:szCs w:val="21"/>
          <w:highlight w:val="none"/>
        </w:rPr>
      </w:pPr>
      <w:r>
        <w:rPr>
          <w:rFonts w:hint="eastAsia" w:ascii="宋体" w:hAnsi="宋体"/>
          <w:b/>
          <w:bCs/>
          <w:color w:val="auto"/>
          <w:szCs w:val="21"/>
          <w:highlight w:val="none"/>
        </w:rPr>
        <w:t>采购清单（需注明主要系统、子系统及主要设备名称）</w:t>
      </w:r>
      <w:r>
        <w:rPr>
          <w:rFonts w:hint="eastAsia" w:ascii="宋体" w:hAnsi="宋体"/>
          <w:color w:val="auto"/>
          <w:szCs w:val="21"/>
          <w:highlight w:val="none"/>
        </w:rPr>
        <w:t>：</w:t>
      </w:r>
    </w:p>
    <w:p>
      <w:pPr>
        <w:snapToGrid w:val="0"/>
        <w:spacing w:line="360" w:lineRule="auto"/>
        <w:ind w:left="472"/>
        <w:jc w:val="right"/>
        <w:rPr>
          <w:rFonts w:ascii="宋体" w:hAnsi="宋体"/>
          <w:color w:val="auto"/>
          <w:szCs w:val="21"/>
          <w:highlight w:val="none"/>
        </w:rPr>
      </w:pPr>
      <w:r>
        <w:rPr>
          <w:rFonts w:hint="eastAsia" w:ascii="宋体" w:hAnsi="宋体"/>
          <w:color w:val="auto"/>
          <w:szCs w:val="21"/>
          <w:highlight w:val="none"/>
        </w:rPr>
        <w:t>单位：元</w:t>
      </w:r>
    </w:p>
    <w:tbl>
      <w:tblPr>
        <w:tblStyle w:val="13"/>
        <w:tblW w:w="0" w:type="auto"/>
        <w:tblInd w:w="19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36"/>
        <w:gridCol w:w="4224"/>
        <w:gridCol w:w="1620"/>
        <w:gridCol w:w="2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836" w:type="dxa"/>
            <w:noWrap w:val="0"/>
            <w:tcMar>
              <w:top w:w="20" w:type="dxa"/>
              <w:left w:w="20" w:type="dxa"/>
              <w:bottom w:w="0" w:type="dxa"/>
              <w:right w:w="20" w:type="dxa"/>
            </w:tcMar>
            <w:vAlign w:val="center"/>
          </w:tcPr>
          <w:p>
            <w:pPr>
              <w:jc w:val="center"/>
              <w:rPr>
                <w:b/>
                <w:color w:val="auto"/>
                <w:highlight w:val="none"/>
              </w:rPr>
            </w:pPr>
            <w:r>
              <w:rPr>
                <w:rFonts w:hint="eastAsia"/>
                <w:b/>
                <w:color w:val="auto"/>
                <w:highlight w:val="none"/>
              </w:rPr>
              <w:t>序号</w:t>
            </w:r>
          </w:p>
        </w:tc>
        <w:tc>
          <w:tcPr>
            <w:tcW w:w="4224" w:type="dxa"/>
            <w:noWrap w:val="0"/>
            <w:tcMar>
              <w:top w:w="20" w:type="dxa"/>
              <w:left w:w="20" w:type="dxa"/>
              <w:bottom w:w="0" w:type="dxa"/>
              <w:right w:w="20" w:type="dxa"/>
            </w:tcMar>
            <w:vAlign w:val="center"/>
          </w:tcPr>
          <w:p>
            <w:pPr>
              <w:jc w:val="center"/>
              <w:rPr>
                <w:b/>
                <w:color w:val="auto"/>
                <w:highlight w:val="none"/>
              </w:rPr>
            </w:pPr>
            <w:r>
              <w:rPr>
                <w:rFonts w:hint="eastAsia"/>
                <w:b/>
                <w:color w:val="auto"/>
                <w:highlight w:val="none"/>
              </w:rPr>
              <w:t>系统名称</w:t>
            </w:r>
          </w:p>
        </w:tc>
        <w:tc>
          <w:tcPr>
            <w:tcW w:w="1620" w:type="dxa"/>
            <w:noWrap w:val="0"/>
            <w:vAlign w:val="center"/>
          </w:tcPr>
          <w:p>
            <w:pPr>
              <w:jc w:val="center"/>
              <w:rPr>
                <w:b/>
                <w:color w:val="auto"/>
                <w:highlight w:val="none"/>
              </w:rPr>
            </w:pPr>
            <w:r>
              <w:rPr>
                <w:rFonts w:hint="eastAsia"/>
                <w:b/>
                <w:color w:val="auto"/>
                <w:highlight w:val="none"/>
              </w:rPr>
              <w:t>小计</w:t>
            </w:r>
          </w:p>
        </w:tc>
        <w:tc>
          <w:tcPr>
            <w:tcW w:w="2222" w:type="dxa"/>
            <w:noWrap w:val="0"/>
            <w:vAlign w:val="center"/>
          </w:tcPr>
          <w:p>
            <w:pPr>
              <w:jc w:val="center"/>
              <w:rPr>
                <w:b/>
                <w:color w:val="auto"/>
                <w:highlight w:val="none"/>
              </w:rPr>
            </w:pPr>
            <w:r>
              <w:rPr>
                <w:rFonts w:hint="eastAsia"/>
                <w:b/>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restart"/>
            <w:noWrap w:val="0"/>
            <w:vAlign w:val="center"/>
          </w:tcPr>
          <w:p>
            <w:pPr>
              <w:jc w:val="center"/>
              <w:rPr>
                <w:rFonts w:ascii="宋体" w:hAnsi="宋体"/>
                <w:color w:val="auto"/>
                <w:highlight w:val="none"/>
              </w:rPr>
            </w:pPr>
            <w:r>
              <w:rPr>
                <w:rFonts w:hint="eastAsia" w:ascii="宋体" w:hAnsi="宋体"/>
                <w:color w:val="auto"/>
                <w:highlight w:val="none"/>
              </w:rPr>
              <w:t>具体设备清单价格及技术参数详见招标、投标文件及图纸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2" w:hRule="atLeast"/>
        </w:trPr>
        <w:tc>
          <w:tcPr>
            <w:tcW w:w="836" w:type="dxa"/>
            <w:noWrap w:val="0"/>
            <w:tcMar>
              <w:top w:w="20" w:type="dxa"/>
              <w:left w:w="20" w:type="dxa"/>
              <w:bottom w:w="0" w:type="dxa"/>
              <w:right w:w="20" w:type="dxa"/>
            </w:tcMar>
            <w:vAlign w:val="center"/>
          </w:tcPr>
          <w:p>
            <w:pPr>
              <w:jc w:val="center"/>
              <w:rPr>
                <w:rFonts w:ascii="宋体" w:hAnsi="宋体"/>
                <w:color w:val="auto"/>
                <w:highlight w:val="none"/>
              </w:rPr>
            </w:pPr>
          </w:p>
        </w:tc>
        <w:tc>
          <w:tcPr>
            <w:tcW w:w="4224" w:type="dxa"/>
            <w:noWrap w:val="0"/>
            <w:tcMar>
              <w:top w:w="20" w:type="dxa"/>
              <w:left w:w="20" w:type="dxa"/>
              <w:bottom w:w="0" w:type="dxa"/>
              <w:right w:w="20" w:type="dxa"/>
            </w:tcMar>
            <w:vAlign w:val="center"/>
          </w:tcPr>
          <w:p>
            <w:pPr>
              <w:jc w:val="center"/>
              <w:rPr>
                <w:rFonts w:ascii="宋体" w:hAnsi="宋体"/>
                <w:color w:val="auto"/>
                <w:highlight w:val="none"/>
              </w:rPr>
            </w:pPr>
          </w:p>
        </w:tc>
        <w:tc>
          <w:tcPr>
            <w:tcW w:w="1620" w:type="dxa"/>
            <w:noWrap w:val="0"/>
            <w:vAlign w:val="center"/>
          </w:tcPr>
          <w:p>
            <w:pPr>
              <w:jc w:val="center"/>
              <w:rPr>
                <w:rFonts w:ascii="宋体" w:hAnsi="宋体"/>
                <w:color w:val="auto"/>
                <w:highlight w:val="none"/>
              </w:rPr>
            </w:pPr>
          </w:p>
        </w:tc>
        <w:tc>
          <w:tcPr>
            <w:tcW w:w="2222" w:type="dxa"/>
            <w:vMerge w:val="continue"/>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5060" w:type="dxa"/>
            <w:gridSpan w:val="2"/>
            <w:noWrap w:val="0"/>
            <w:tcMar>
              <w:top w:w="20" w:type="dxa"/>
              <w:left w:w="20" w:type="dxa"/>
              <w:bottom w:w="0" w:type="dxa"/>
              <w:right w:w="20" w:type="dxa"/>
            </w:tcMar>
            <w:vAlign w:val="center"/>
          </w:tcPr>
          <w:p>
            <w:pPr>
              <w:jc w:val="center"/>
              <w:rPr>
                <w:rFonts w:ascii="宋体" w:hAnsi="宋体"/>
                <w:color w:val="auto"/>
                <w:highlight w:val="none"/>
              </w:rPr>
            </w:pPr>
            <w:r>
              <w:rPr>
                <w:rFonts w:hint="eastAsia" w:ascii="宋体" w:hAnsi="宋体"/>
                <w:color w:val="auto"/>
                <w:highlight w:val="none"/>
              </w:rPr>
              <w:t>合同总价</w:t>
            </w:r>
          </w:p>
        </w:tc>
        <w:tc>
          <w:tcPr>
            <w:tcW w:w="1620" w:type="dxa"/>
            <w:noWrap w:val="0"/>
            <w:vAlign w:val="center"/>
          </w:tcPr>
          <w:p>
            <w:pPr>
              <w:jc w:val="center"/>
              <w:rPr>
                <w:rFonts w:ascii="宋体" w:hAnsi="宋体"/>
                <w:color w:val="auto"/>
                <w:highlight w:val="none"/>
              </w:rPr>
            </w:pPr>
          </w:p>
        </w:tc>
        <w:tc>
          <w:tcPr>
            <w:tcW w:w="2222" w:type="dxa"/>
            <w:noWrap w:val="0"/>
            <w:vAlign w:val="center"/>
          </w:tcPr>
          <w:p>
            <w:pPr>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8902" w:type="dxa"/>
            <w:gridSpan w:val="4"/>
            <w:noWrap w:val="0"/>
            <w:tcMar>
              <w:top w:w="20" w:type="dxa"/>
              <w:left w:w="20" w:type="dxa"/>
              <w:bottom w:w="0" w:type="dxa"/>
              <w:right w:w="20" w:type="dxa"/>
            </w:tcMar>
            <w:vAlign w:val="center"/>
          </w:tcPr>
          <w:p>
            <w:pPr>
              <w:snapToGrid w:val="0"/>
              <w:ind w:left="4" w:leftChars="2" w:firstLine="302" w:firstLineChars="144"/>
              <w:jc w:val="left"/>
              <w:rPr>
                <w:rFonts w:ascii="宋体" w:hAnsi="宋体"/>
                <w:color w:val="auto"/>
                <w:szCs w:val="21"/>
                <w:highlight w:val="none"/>
              </w:rPr>
            </w:pPr>
            <w:r>
              <w:rPr>
                <w:rFonts w:hint="eastAsia" w:ascii="宋体" w:hAnsi="宋体"/>
                <w:bCs/>
                <w:color w:val="auto"/>
                <w:szCs w:val="21"/>
                <w:highlight w:val="none"/>
              </w:rPr>
              <w:t>大写：人民币</w:t>
            </w:r>
            <w:r>
              <w:rPr>
                <w:rFonts w:hint="eastAsia" w:ascii="宋体" w:hAnsi="宋体"/>
                <w:bCs/>
                <w:color w:val="auto"/>
                <w:szCs w:val="21"/>
                <w:highlight w:val="none"/>
                <w:u w:val="single"/>
              </w:rPr>
              <w:t xml:space="preserve">                       </w:t>
            </w:r>
            <w:r>
              <w:rPr>
                <w:rFonts w:hint="eastAsia" w:ascii="宋体" w:hAnsi="宋体"/>
                <w:bCs/>
                <w:color w:val="auto"/>
                <w:szCs w:val="21"/>
                <w:highlight w:val="none"/>
              </w:rPr>
              <w:t xml:space="preserve">元整  </w:t>
            </w:r>
          </w:p>
        </w:tc>
      </w:tr>
    </w:tbl>
    <w:p>
      <w:pPr>
        <w:snapToGrid w:val="0"/>
        <w:spacing w:before="156" w:beforeLines="50"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注：合同总价包含系统深化设计、设备和材料采购、运输及装卸、安装、系统集成、调试及试运行、备品备件费（随机备品备件已含于本合同价内）、产品保护、履约验收、技术培训、保修期内的售后服务、利润、税金等内容及合同总价</w:t>
      </w:r>
      <w:r>
        <w:rPr>
          <w:rFonts w:hint="eastAsia" w:ascii="宋体" w:hAnsi="宋体"/>
          <w:color w:val="auto"/>
          <w:szCs w:val="21"/>
          <w:highlight w:val="none"/>
          <w:u w:val="single"/>
          <w:lang w:val="zh-CN"/>
        </w:rPr>
        <w:t xml:space="preserve"> 2 </w:t>
      </w:r>
      <w:r>
        <w:rPr>
          <w:rFonts w:ascii="宋体" w:hAnsi="宋体"/>
          <w:color w:val="auto"/>
          <w:szCs w:val="21"/>
          <w:highlight w:val="none"/>
          <w:lang w:val="zh-CN"/>
        </w:rPr>
        <w:t>%</w:t>
      </w:r>
      <w:r>
        <w:rPr>
          <w:rFonts w:hint="eastAsia" w:ascii="宋体" w:hAnsi="宋体"/>
          <w:color w:val="auto"/>
          <w:szCs w:val="21"/>
          <w:highlight w:val="none"/>
          <w:lang w:val="zh-CN"/>
        </w:rPr>
        <w:t>的总包配合费。</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2、承包方式</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2.1本合同的承包范围按施工设计图纸及《招标文件》规定，合同总价为完成本项目的全部工作内容。</w:t>
      </w:r>
    </w:p>
    <w:p>
      <w:pPr>
        <w:snapToGrid w:val="0"/>
        <w:spacing w:line="360" w:lineRule="auto"/>
        <w:ind w:firstLine="420" w:firstLineChars="200"/>
        <w:rPr>
          <w:rFonts w:ascii="宋体" w:hAnsi="宋体"/>
          <w:b/>
          <w:color w:val="auto"/>
          <w:szCs w:val="21"/>
          <w:highlight w:val="none"/>
          <w:lang w:val="zh-CN"/>
        </w:rPr>
      </w:pPr>
      <w:r>
        <w:rPr>
          <w:rFonts w:hint="eastAsia" w:ascii="宋体" w:hAnsi="宋体"/>
          <w:b/>
          <w:color w:val="auto"/>
          <w:szCs w:val="21"/>
          <w:highlight w:val="none"/>
          <w:lang w:val="zh-CN"/>
        </w:rPr>
        <w:t>3、合同价</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3.1本合同总价为</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万元（大写：人民币</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元整），其中合同总价的</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%为总包配合费。工程量单价见投标文件的《投标报价明细表》。</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3.2合同总价为完成工作内容的全部费用，实行固定总价包干，包干范围为招标文件的施工设计图纸及招标文件设计方案，任何由于承包人对工程量的少算、漏报等，中标后不得调整。</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3.3发包人提出的设计变更或由承包人提出的合理化建议（经发包人同意采纳）的设计变更，均凭签证联系单，根据实际发生调整费用。设备材料的数量如因设计方案变化而更改，结算时则按投标单价为准予以调整。</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3.4</w:t>
      </w:r>
      <w:r>
        <w:rPr>
          <w:rFonts w:hint="eastAsia" w:ascii="宋体" w:hAnsi="宋体"/>
          <w:b/>
          <w:color w:val="auto"/>
          <w:szCs w:val="21"/>
          <w:highlight w:val="none"/>
          <w:lang w:val="zh-CN"/>
        </w:rPr>
        <w:t>凡属承包人投标时漏项少算的费用不得追补，投标文件中</w:t>
      </w:r>
      <w:r>
        <w:rPr>
          <w:rFonts w:hint="eastAsia" w:ascii="宋体" w:hAnsi="宋体"/>
          <w:b/>
          <w:color w:val="auto"/>
          <w:highlight w:val="none"/>
        </w:rPr>
        <w:t>单价金额、单价汇总金额与投标一览表不一致的，结算时按不利于承包人的原则调整</w:t>
      </w:r>
      <w:r>
        <w:rPr>
          <w:rFonts w:hint="eastAsia" w:ascii="宋体" w:hAnsi="宋体"/>
          <w:color w:val="auto"/>
          <w:szCs w:val="21"/>
          <w:highlight w:val="none"/>
          <w:lang w:val="zh-CN"/>
        </w:rPr>
        <w:t>。</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4、付款方式</w:t>
      </w:r>
      <w:r>
        <w:rPr>
          <w:rFonts w:ascii="宋体" w:hAnsi="宋体"/>
          <w:b/>
          <w:bCs/>
          <w:color w:val="auto"/>
          <w:szCs w:val="21"/>
          <w:highlight w:val="none"/>
        </w:rPr>
        <w:t xml:space="preserve"> </w:t>
      </w:r>
    </w:p>
    <w:p>
      <w:pPr>
        <w:adjustRightInd w:val="0"/>
        <w:snapToGrid w:val="0"/>
        <w:spacing w:line="360" w:lineRule="auto"/>
        <w:ind w:firstLine="420" w:firstLineChars="200"/>
        <w:jc w:val="left"/>
        <w:rPr>
          <w:rFonts w:hint="eastAsia" w:ascii="宋体" w:hAnsi="宋体"/>
          <w:color w:val="auto"/>
          <w:szCs w:val="21"/>
          <w:highlight w:val="none"/>
          <w:lang w:val="zh-CN"/>
        </w:rPr>
      </w:pPr>
      <w:r>
        <w:rPr>
          <w:rFonts w:hint="eastAsia" w:ascii="宋体" w:hAnsi="宋体"/>
          <w:color w:val="auto"/>
          <w:szCs w:val="21"/>
          <w:highlight w:val="none"/>
          <w:lang w:val="zh-CN"/>
        </w:rPr>
        <w:t>（1）合同生效并具备实施条件后7个工作日内，</w:t>
      </w:r>
      <w:r>
        <w:rPr>
          <w:rFonts w:hint="eastAsia" w:ascii="宋体" w:hAnsi="宋体"/>
          <w:color w:val="auto"/>
          <w:szCs w:val="21"/>
          <w:highlight w:val="none"/>
          <w:lang w:val="en-US" w:eastAsia="zh-CN"/>
        </w:rPr>
        <w:t>买方</w:t>
      </w:r>
      <w:r>
        <w:rPr>
          <w:rFonts w:hint="eastAsia" w:ascii="宋体" w:hAnsi="宋体"/>
          <w:color w:val="auto"/>
          <w:szCs w:val="21"/>
          <w:highlight w:val="none"/>
          <w:lang w:val="zh-CN"/>
        </w:rPr>
        <w:t>收到</w:t>
      </w:r>
      <w:r>
        <w:rPr>
          <w:rFonts w:hint="eastAsia" w:ascii="宋体" w:hAnsi="宋体"/>
          <w:color w:val="auto"/>
          <w:szCs w:val="21"/>
          <w:highlight w:val="none"/>
          <w:lang w:val="en-US" w:eastAsia="zh-CN"/>
        </w:rPr>
        <w:t>卖方</w:t>
      </w:r>
      <w:r>
        <w:rPr>
          <w:rFonts w:hint="eastAsia" w:ascii="宋体" w:hAnsi="宋体"/>
          <w:color w:val="auto"/>
          <w:szCs w:val="21"/>
          <w:highlight w:val="none"/>
          <w:lang w:val="zh-CN"/>
        </w:rPr>
        <w:t>开具的发票及预付款保函后，出资方支付合同金额的40%的货款；预付款保函由银行、保险公司等金融机构出具且与预付款等同金额。</w:t>
      </w:r>
    </w:p>
    <w:p>
      <w:pPr>
        <w:adjustRightInd w:val="0"/>
        <w:snapToGrid w:val="0"/>
        <w:spacing w:line="360" w:lineRule="auto"/>
        <w:ind w:firstLine="420" w:firstLineChars="200"/>
        <w:jc w:val="left"/>
        <w:rPr>
          <w:rFonts w:hint="eastAsia" w:ascii="宋体" w:hAnsi="宋体"/>
          <w:color w:val="auto"/>
          <w:szCs w:val="21"/>
          <w:highlight w:val="none"/>
          <w:lang w:val="zh-CN"/>
        </w:rPr>
      </w:pPr>
      <w:r>
        <w:rPr>
          <w:rFonts w:hint="eastAsia" w:ascii="宋体" w:hAnsi="宋体"/>
          <w:color w:val="auto"/>
          <w:szCs w:val="21"/>
          <w:highlight w:val="none"/>
          <w:lang w:val="zh-CN"/>
        </w:rPr>
        <w:t>（2）各子系统的主要关键设备到位后，承包人及时向发包人提出到货验收申请，通过发包人验收后，出资人向承包人支付合同总价的20%。</w:t>
      </w:r>
    </w:p>
    <w:p>
      <w:pPr>
        <w:adjustRightInd w:val="0"/>
        <w:snapToGrid w:val="0"/>
        <w:spacing w:line="360" w:lineRule="auto"/>
        <w:ind w:firstLine="420" w:firstLineChars="200"/>
        <w:jc w:val="left"/>
        <w:rPr>
          <w:rFonts w:hint="eastAsia" w:ascii="宋体" w:hAnsi="宋体"/>
          <w:color w:val="auto"/>
          <w:szCs w:val="21"/>
          <w:highlight w:val="none"/>
          <w:lang w:val="zh-CN"/>
        </w:rPr>
      </w:pPr>
      <w:r>
        <w:rPr>
          <w:rFonts w:hint="eastAsia" w:ascii="宋体" w:hAnsi="宋体"/>
          <w:color w:val="auto"/>
          <w:szCs w:val="21"/>
          <w:highlight w:val="none"/>
          <w:lang w:val="zh-CN"/>
        </w:rPr>
        <w:t>（3）安装调试完成后，承包人及时向发包人提出初步验收申请，经发包人初步验收合格，出资人向承包人支付合同总价的20%。</w:t>
      </w:r>
    </w:p>
    <w:p>
      <w:pPr>
        <w:adjustRightInd w:val="0"/>
        <w:snapToGrid w:val="0"/>
        <w:spacing w:line="360" w:lineRule="auto"/>
        <w:ind w:firstLine="420" w:firstLineChars="200"/>
        <w:jc w:val="left"/>
        <w:rPr>
          <w:rFonts w:hint="eastAsia" w:ascii="宋体" w:hAnsi="宋体"/>
          <w:color w:val="auto"/>
          <w:szCs w:val="21"/>
          <w:highlight w:val="none"/>
          <w:lang w:val="zh-CN"/>
        </w:rPr>
      </w:pPr>
      <w:r>
        <w:rPr>
          <w:rFonts w:hint="eastAsia" w:ascii="宋体" w:hAnsi="宋体"/>
          <w:color w:val="auto"/>
          <w:szCs w:val="21"/>
          <w:highlight w:val="none"/>
          <w:lang w:val="zh-CN"/>
        </w:rPr>
        <w:t>（4）初步验收合格，全部系统试运行满1个月后，承包人及时向发包人提出最终验收申请，最终验收通过后，出资人向承包人支付余款，且在承包人出具由使用单位书面签字盖章确认的设备正常运行函后退还预付款保函。</w:t>
      </w:r>
    </w:p>
    <w:p>
      <w:pPr>
        <w:adjustRightInd w:val="0"/>
        <w:snapToGrid w:val="0"/>
        <w:spacing w:line="360" w:lineRule="auto"/>
        <w:ind w:firstLine="420" w:firstLineChars="200"/>
        <w:jc w:val="left"/>
        <w:rPr>
          <w:rFonts w:hint="eastAsia" w:ascii="宋体" w:hAnsi="宋体"/>
          <w:color w:val="auto"/>
          <w:szCs w:val="21"/>
          <w:highlight w:val="none"/>
          <w:lang w:val="zh-CN"/>
        </w:rPr>
      </w:pPr>
      <w:r>
        <w:rPr>
          <w:rFonts w:hint="eastAsia" w:ascii="宋体" w:hAnsi="宋体"/>
          <w:color w:val="auto"/>
          <w:szCs w:val="21"/>
          <w:highlight w:val="none"/>
          <w:lang w:val="zh-CN"/>
        </w:rPr>
        <w:t>（5）承包人不按规定提出验收申请的，当次支付申请不予受理，相关验收内容延至下一道验收程序中进行。</w:t>
      </w:r>
    </w:p>
    <w:p>
      <w:pPr>
        <w:adjustRightInd w:val="0"/>
        <w:snapToGrid w:val="0"/>
        <w:spacing w:line="360" w:lineRule="auto"/>
        <w:ind w:firstLine="411" w:firstLineChars="196"/>
        <w:jc w:val="left"/>
        <w:rPr>
          <w:rFonts w:ascii="宋体" w:hAnsi="宋体"/>
          <w:b/>
          <w:bCs/>
          <w:color w:val="auto"/>
          <w:szCs w:val="21"/>
          <w:highlight w:val="none"/>
          <w:lang w:val="zh-CN"/>
        </w:rPr>
      </w:pPr>
      <w:r>
        <w:rPr>
          <w:rFonts w:hint="eastAsia" w:ascii="宋体" w:hAnsi="宋体"/>
          <w:b/>
          <w:bCs/>
          <w:color w:val="auto"/>
          <w:szCs w:val="21"/>
          <w:highlight w:val="none"/>
          <w:lang w:val="zh-CN"/>
        </w:rPr>
        <w:t>5、工期</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5</w:t>
      </w:r>
      <w:r>
        <w:rPr>
          <w:rFonts w:ascii="宋体" w:hAnsi="宋体"/>
          <w:color w:val="auto"/>
          <w:szCs w:val="21"/>
          <w:highlight w:val="none"/>
          <w:lang w:val="zh-CN"/>
        </w:rPr>
        <w:t>.1</w:t>
      </w:r>
      <w:r>
        <w:rPr>
          <w:rFonts w:hint="eastAsia" w:ascii="宋体" w:hAnsi="宋体"/>
          <w:color w:val="auto"/>
          <w:szCs w:val="21"/>
          <w:highlight w:val="none"/>
          <w:lang w:val="zh-CN"/>
        </w:rPr>
        <w:t>配合土建施工进度要求，</w:t>
      </w:r>
      <w:r>
        <w:rPr>
          <w:rFonts w:hint="eastAsia" w:ascii="宋体" w:hAnsi="宋体"/>
          <w:color w:val="auto"/>
          <w:highlight w:val="none"/>
          <w:lang w:val="zh-CN"/>
        </w:rPr>
        <w:t>并</w:t>
      </w:r>
      <w:r>
        <w:rPr>
          <w:rFonts w:hint="eastAsia" w:ascii="宋体" w:hAnsi="宋体"/>
          <w:color w:val="auto"/>
          <w:highlight w:val="none"/>
        </w:rPr>
        <w:t>在</w:t>
      </w:r>
      <w:r>
        <w:rPr>
          <w:rFonts w:hint="eastAsia" w:ascii="宋体" w:hAnsi="宋体"/>
          <w:color w:val="auto"/>
          <w:highlight w:val="none"/>
          <w:u w:val="single"/>
        </w:rPr>
        <w:t>2024</w:t>
      </w:r>
      <w:r>
        <w:rPr>
          <w:rFonts w:hint="eastAsia" w:ascii="宋体" w:hAnsi="宋体"/>
          <w:color w:val="auto"/>
          <w:highlight w:val="none"/>
        </w:rPr>
        <w:t>年</w:t>
      </w:r>
      <w:r>
        <w:rPr>
          <w:rFonts w:hint="eastAsia" w:ascii="宋体" w:hAnsi="宋体"/>
          <w:color w:val="auto"/>
          <w:highlight w:val="none"/>
          <w:u w:val="single"/>
        </w:rPr>
        <w:t>4</w:t>
      </w:r>
      <w:r>
        <w:rPr>
          <w:rFonts w:hint="eastAsia" w:ascii="宋体" w:hAnsi="宋体"/>
          <w:color w:val="auto"/>
          <w:highlight w:val="none"/>
        </w:rPr>
        <w:t>月</w:t>
      </w:r>
      <w:r>
        <w:rPr>
          <w:rFonts w:hint="eastAsia" w:ascii="宋体" w:hAnsi="宋体"/>
          <w:color w:val="auto"/>
          <w:highlight w:val="none"/>
          <w:u w:val="single"/>
        </w:rPr>
        <w:t>30</w:t>
      </w:r>
      <w:r>
        <w:rPr>
          <w:rFonts w:hint="eastAsia" w:ascii="宋体" w:hAnsi="宋体"/>
          <w:color w:val="auto"/>
          <w:highlight w:val="none"/>
        </w:rPr>
        <w:t>日前完成安装调试工作，并通过初验进入试运行，试运行期满后进行终验。若总包工期延期，则智能化施工工期相应顺延，合同总价不予调整。</w:t>
      </w:r>
      <w:r>
        <w:rPr>
          <w:rFonts w:hint="eastAsia" w:ascii="宋体" w:hAnsi="宋体"/>
          <w:color w:val="auto"/>
          <w:szCs w:val="21"/>
          <w:highlight w:val="none"/>
        </w:rPr>
        <w:t>承包人</w:t>
      </w:r>
      <w:r>
        <w:rPr>
          <w:rFonts w:hint="eastAsia" w:ascii="宋体" w:hAnsi="宋体"/>
          <w:color w:val="auto"/>
          <w:szCs w:val="21"/>
          <w:highlight w:val="none"/>
          <w:lang w:val="zh-CN"/>
        </w:rPr>
        <w:t>须配合总工程建设进度要求，接到发包人的进场通知后，按照通知要求的时间和内容进场施工，因承包人未在规定时间内进场施工而耽误工程总进度，由此造成的损失由承包人负责。</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5</w:t>
      </w:r>
      <w:r>
        <w:rPr>
          <w:rFonts w:ascii="宋体" w:hAnsi="宋体"/>
          <w:color w:val="auto"/>
          <w:szCs w:val="21"/>
          <w:highlight w:val="none"/>
          <w:lang w:val="zh-CN"/>
        </w:rPr>
        <w:t>.</w:t>
      </w:r>
      <w:r>
        <w:rPr>
          <w:rFonts w:hint="eastAsia" w:ascii="宋体" w:hAnsi="宋体"/>
          <w:color w:val="auto"/>
          <w:szCs w:val="21"/>
          <w:highlight w:val="none"/>
          <w:lang w:val="zh-CN"/>
        </w:rPr>
        <w:t>2发包人应提前5天发出进场通知，承包人按照通知的时间准时进场施工。因承包人未在规定时间内进场施工而耽误工程总进度，由此造成的损失由承包人负责。</w:t>
      </w:r>
    </w:p>
    <w:p>
      <w:pPr>
        <w:adjustRightInd w:val="0"/>
        <w:snapToGrid w:val="0"/>
        <w:spacing w:line="360" w:lineRule="auto"/>
        <w:ind w:firstLine="420" w:firstLineChars="200"/>
        <w:jc w:val="left"/>
        <w:rPr>
          <w:rFonts w:ascii="宋体" w:hAnsi="宋体"/>
          <w:b/>
          <w:color w:val="auto"/>
          <w:szCs w:val="21"/>
          <w:highlight w:val="none"/>
          <w:lang w:val="zh-CN"/>
        </w:rPr>
      </w:pPr>
      <w:r>
        <w:rPr>
          <w:rFonts w:hint="eastAsia" w:ascii="宋体" w:hAnsi="宋体"/>
          <w:b/>
          <w:color w:val="auto"/>
          <w:szCs w:val="21"/>
          <w:highlight w:val="none"/>
          <w:lang w:val="zh-CN"/>
        </w:rPr>
        <w:t>6、承包人工作及出资方权责</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6</w:t>
      </w:r>
      <w:r>
        <w:rPr>
          <w:rFonts w:ascii="宋体" w:hAnsi="宋体"/>
          <w:color w:val="auto"/>
          <w:szCs w:val="21"/>
          <w:highlight w:val="none"/>
          <w:lang w:val="zh-CN"/>
        </w:rPr>
        <w:t>.1</w:t>
      </w:r>
      <w:r>
        <w:rPr>
          <w:rFonts w:hint="eastAsia" w:ascii="宋体" w:hAnsi="宋体"/>
          <w:color w:val="auto"/>
          <w:szCs w:val="21"/>
          <w:highlight w:val="none"/>
          <w:lang w:val="zh-CN"/>
        </w:rPr>
        <w:t>负责本项目的设备材料采购、运输及装卸、安装</w:t>
      </w:r>
      <w:r>
        <w:rPr>
          <w:rFonts w:hint="eastAsia" w:ascii="宋体" w:hAnsi="宋体"/>
          <w:color w:val="auto"/>
          <w:szCs w:val="21"/>
          <w:highlight w:val="none"/>
          <w:lang w:val="en-US" w:eastAsia="zh-CN"/>
        </w:rPr>
        <w:t>施工</w:t>
      </w:r>
      <w:r>
        <w:rPr>
          <w:rFonts w:hint="eastAsia" w:ascii="宋体" w:hAnsi="宋体"/>
          <w:color w:val="auto"/>
          <w:szCs w:val="21"/>
          <w:highlight w:val="none"/>
          <w:lang w:val="zh-CN"/>
        </w:rPr>
        <w:t>、系统集成、调试与试运行、设备保护、履约验收、技术培训及售后服务等工作。</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6</w:t>
      </w:r>
      <w:r>
        <w:rPr>
          <w:rFonts w:ascii="宋体" w:hAnsi="宋体"/>
          <w:color w:val="auto"/>
          <w:szCs w:val="21"/>
          <w:highlight w:val="none"/>
          <w:lang w:val="zh-CN"/>
        </w:rPr>
        <w:t>.2</w:t>
      </w:r>
      <w:r>
        <w:rPr>
          <w:rFonts w:hint="eastAsia" w:ascii="宋体" w:hAnsi="宋体"/>
          <w:color w:val="auto"/>
          <w:szCs w:val="21"/>
          <w:highlight w:val="none"/>
          <w:lang w:val="zh-CN"/>
        </w:rPr>
        <w:t>根据发包人要求，免费完成对本系统项目的深化设计，深化设计必须全面满足发包人项目需求，不得降低项目规格或档次，并出施工图。施工图必须由本项目设计单位审核、签发。</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6</w:t>
      </w:r>
      <w:r>
        <w:rPr>
          <w:rFonts w:ascii="宋体" w:hAnsi="宋体"/>
          <w:color w:val="auto"/>
          <w:szCs w:val="21"/>
          <w:highlight w:val="none"/>
          <w:lang w:val="zh-CN"/>
        </w:rPr>
        <w:t>.3</w:t>
      </w:r>
      <w:r>
        <w:rPr>
          <w:rFonts w:hint="eastAsia" w:ascii="宋体" w:hAnsi="宋体"/>
          <w:color w:val="auto"/>
          <w:szCs w:val="21"/>
          <w:highlight w:val="none"/>
          <w:lang w:val="zh-CN"/>
        </w:rPr>
        <w:t>施工前针对本项目的要求，向发包人提供施工组织设计。</w:t>
      </w:r>
    </w:p>
    <w:p>
      <w:pPr>
        <w:adjustRightInd w:val="0"/>
        <w:snapToGrid w:val="0"/>
        <w:spacing w:line="360" w:lineRule="auto"/>
        <w:ind w:firstLine="420" w:firstLineChars="200"/>
        <w:jc w:val="left"/>
        <w:rPr>
          <w:rFonts w:ascii="宋体" w:hAnsi="宋体"/>
          <w:color w:val="auto"/>
          <w:szCs w:val="21"/>
          <w:highlight w:val="none"/>
          <w:lang w:val="zh-CN"/>
        </w:rPr>
      </w:pPr>
      <w:r>
        <w:rPr>
          <w:rFonts w:hint="eastAsia" w:ascii="宋体" w:hAnsi="宋体"/>
          <w:color w:val="auto"/>
          <w:szCs w:val="21"/>
          <w:highlight w:val="none"/>
          <w:lang w:val="zh-CN"/>
        </w:rPr>
        <w:t>6</w:t>
      </w:r>
      <w:r>
        <w:rPr>
          <w:rFonts w:ascii="宋体" w:hAnsi="宋体"/>
          <w:color w:val="auto"/>
          <w:szCs w:val="21"/>
          <w:highlight w:val="none"/>
          <w:lang w:val="zh-CN"/>
        </w:rPr>
        <w:t>.4</w:t>
      </w:r>
      <w:r>
        <w:rPr>
          <w:rFonts w:hint="eastAsia" w:ascii="宋体" w:hAnsi="宋体"/>
          <w:color w:val="auto"/>
          <w:szCs w:val="21"/>
          <w:highlight w:val="none"/>
          <w:lang w:val="zh-CN"/>
        </w:rPr>
        <w:t>施工阶段应按时向发包人提供施工进度统计报表。</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6</w:t>
      </w:r>
      <w:r>
        <w:rPr>
          <w:rFonts w:ascii="宋体" w:hAnsi="宋体"/>
          <w:color w:val="auto"/>
          <w:kern w:val="0"/>
          <w:szCs w:val="21"/>
          <w:highlight w:val="none"/>
          <w:lang w:val="zh-CN"/>
        </w:rPr>
        <w:t>.5</w:t>
      </w:r>
      <w:r>
        <w:rPr>
          <w:rFonts w:hint="eastAsia" w:ascii="宋体" w:hAnsi="宋体"/>
          <w:color w:val="auto"/>
          <w:kern w:val="0"/>
          <w:szCs w:val="21"/>
          <w:highlight w:val="none"/>
          <w:lang w:val="zh-CN"/>
        </w:rPr>
        <w:t>提供本项目各类技术资料、合同履约验收报告单、合同履约验收意见书（到货验收）等，参加履约验收。</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6</w:t>
      </w:r>
      <w:r>
        <w:rPr>
          <w:rFonts w:ascii="宋体" w:hAnsi="宋体"/>
          <w:color w:val="auto"/>
          <w:kern w:val="0"/>
          <w:szCs w:val="21"/>
          <w:highlight w:val="none"/>
          <w:lang w:val="zh-CN"/>
        </w:rPr>
        <w:t>.6</w:t>
      </w:r>
      <w:r>
        <w:rPr>
          <w:rFonts w:hint="eastAsia" w:ascii="宋体" w:hAnsi="宋体"/>
          <w:color w:val="auto"/>
          <w:kern w:val="0"/>
          <w:szCs w:val="21"/>
          <w:highlight w:val="none"/>
          <w:lang w:val="zh-CN"/>
        </w:rPr>
        <w:t>与工程总包单位配合、协调工作，收到第一次进度款后直接支付工程总包单位配合费。</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kern w:val="0"/>
          <w:szCs w:val="21"/>
          <w:highlight w:val="none"/>
          <w:lang w:val="zh-CN"/>
        </w:rPr>
        <w:t>6.7接受发包人授权的监理单位的监理，并配合监理单位的工作。</w:t>
      </w:r>
    </w:p>
    <w:p>
      <w:pPr>
        <w:snapToGrid w:val="0"/>
        <w:spacing w:line="360" w:lineRule="auto"/>
        <w:ind w:firstLine="420" w:firstLineChars="200"/>
        <w:rPr>
          <w:rFonts w:hint="eastAsia" w:ascii="宋体" w:hAnsi="宋体"/>
          <w:color w:val="auto"/>
          <w:kern w:val="0"/>
          <w:szCs w:val="21"/>
          <w:highlight w:val="none"/>
          <w:lang w:val="zh-CN"/>
        </w:rPr>
      </w:pPr>
      <w:r>
        <w:rPr>
          <w:rFonts w:hint="eastAsia" w:ascii="宋体" w:hAnsi="宋体"/>
          <w:color w:val="auto"/>
          <w:kern w:val="0"/>
          <w:szCs w:val="21"/>
          <w:highlight w:val="none"/>
          <w:lang w:val="zh-CN"/>
        </w:rPr>
        <w:t>6.8出资人在发包方式、合同支付条款等符合国家、省、市、区相关规定的前提下，严格按合同要求向承包人支付合同价款；</w:t>
      </w:r>
      <w:r>
        <w:rPr>
          <w:rFonts w:hint="eastAsia" w:ascii="宋体" w:hAnsi="宋体"/>
          <w:color w:val="auto"/>
          <w:kern w:val="0"/>
          <w:szCs w:val="21"/>
          <w:highlight w:val="none"/>
          <w:lang w:val="zh-CN"/>
        </w:rPr>
        <w:br w:type="textWrapping"/>
      </w:r>
      <w:r>
        <w:rPr>
          <w:rFonts w:hint="eastAsia" w:ascii="宋体" w:hAnsi="宋体"/>
          <w:color w:val="auto"/>
          <w:kern w:val="0"/>
          <w:szCs w:val="21"/>
          <w:highlight w:val="none"/>
          <w:lang w:val="zh-CN"/>
        </w:rPr>
        <w:t xml:space="preserve">    6.9支付合同款项时，出资人有权要求发包人或承包人提供合同的发包、履约、验收等相关资料，发包人或承包人未提供的，出资人可不予支付合同价款；</w:t>
      </w:r>
    </w:p>
    <w:p>
      <w:pPr>
        <w:snapToGrid w:val="0"/>
        <w:spacing w:line="360" w:lineRule="auto"/>
        <w:ind w:firstLine="420" w:firstLineChars="200"/>
        <w:rPr>
          <w:rFonts w:hint="eastAsia" w:ascii="宋体" w:hAnsi="宋体"/>
          <w:color w:val="auto"/>
          <w:kern w:val="0"/>
          <w:szCs w:val="21"/>
          <w:highlight w:val="none"/>
          <w:lang w:val="zh-CN"/>
        </w:rPr>
      </w:pPr>
      <w:r>
        <w:rPr>
          <w:rFonts w:hint="eastAsia" w:ascii="宋体" w:hAnsi="宋体"/>
          <w:color w:val="auto"/>
          <w:kern w:val="0"/>
          <w:szCs w:val="21"/>
          <w:highlight w:val="none"/>
          <w:lang w:val="zh-CN"/>
        </w:rPr>
        <w:t>6.10发包人确保合同结算价不超过概算审定价（单项），如若超出，由发包人负责办理该项内容的变更手续，未办理变更手续的，出资人可不予支付超过概算审定价以外的合同价款；</w:t>
      </w:r>
    </w:p>
    <w:p>
      <w:pPr>
        <w:snapToGrid w:val="0"/>
        <w:spacing w:line="360" w:lineRule="auto"/>
        <w:ind w:firstLine="420" w:firstLineChars="200"/>
        <w:rPr>
          <w:rFonts w:hint="eastAsia" w:ascii="宋体" w:hAnsi="宋体"/>
          <w:color w:val="auto"/>
          <w:szCs w:val="21"/>
          <w:highlight w:val="none"/>
          <w:lang w:val="zh-CN"/>
        </w:rPr>
      </w:pPr>
      <w:r>
        <w:rPr>
          <w:rFonts w:hint="eastAsia" w:ascii="宋体" w:hAnsi="宋体"/>
          <w:color w:val="auto"/>
          <w:kern w:val="0"/>
          <w:szCs w:val="21"/>
          <w:highlight w:val="none"/>
          <w:lang w:val="zh-CN"/>
        </w:rPr>
        <w:t>6.11出资人在付款前，承包人向出资人提供合法有效、足额的发票，发票抬头均为</w:t>
      </w:r>
      <w:r>
        <w:rPr>
          <w:rFonts w:hint="eastAsia" w:ascii="宋体" w:hAnsi="宋体"/>
          <w:color w:val="auto"/>
          <w:szCs w:val="21"/>
          <w:highlight w:val="none"/>
          <w:lang w:val="zh-CN"/>
        </w:rPr>
        <w:t>宁波市北仑教育发展有限公司。</w:t>
      </w:r>
    </w:p>
    <w:p>
      <w:pPr>
        <w:snapToGrid w:val="0"/>
        <w:spacing w:line="360" w:lineRule="auto"/>
        <w:ind w:firstLine="420" w:firstLineChars="200"/>
        <w:rPr>
          <w:rFonts w:ascii="宋体" w:hAnsi="宋体"/>
          <w:b/>
          <w:bCs/>
          <w:color w:val="auto"/>
          <w:szCs w:val="21"/>
          <w:highlight w:val="none"/>
        </w:rPr>
      </w:pPr>
      <w:r>
        <w:rPr>
          <w:rFonts w:hint="eastAsia" w:ascii="宋体" w:hAnsi="宋体"/>
          <w:b/>
          <w:bCs/>
          <w:color w:val="auto"/>
          <w:szCs w:val="21"/>
          <w:highlight w:val="none"/>
        </w:rPr>
        <w:t>7、</w:t>
      </w:r>
      <w:r>
        <w:rPr>
          <w:rFonts w:hint="eastAsia" w:ascii="宋体" w:hAnsi="宋体"/>
          <w:b/>
          <w:bCs/>
          <w:color w:val="auto"/>
          <w:szCs w:val="21"/>
          <w:highlight w:val="none"/>
          <w:lang w:val="zh-CN"/>
        </w:rPr>
        <w:t>施工管理</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.1</w:t>
      </w:r>
      <w:r>
        <w:rPr>
          <w:rFonts w:hint="eastAsia" w:ascii="宋体" w:hAnsi="宋体"/>
          <w:color w:val="auto"/>
          <w:szCs w:val="21"/>
          <w:highlight w:val="none"/>
          <w:lang w:val="zh-CN"/>
        </w:rPr>
        <w:t>项目管理机构</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承包人派驻本项目的项目经理姓名：</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，身份证号</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承包人派驻本项目的</w:t>
      </w:r>
      <w:r>
        <w:rPr>
          <w:rFonts w:hint="eastAsia" w:ascii="宋体" w:hAnsi="宋体"/>
          <w:color w:val="auto"/>
          <w:kern w:val="0"/>
          <w:szCs w:val="21"/>
          <w:highlight w:val="none"/>
        </w:rPr>
        <w:t>安全员</w:t>
      </w:r>
      <w:r>
        <w:rPr>
          <w:rFonts w:hint="eastAsia" w:ascii="宋体" w:hAnsi="宋体"/>
          <w:color w:val="auto"/>
          <w:szCs w:val="21"/>
          <w:highlight w:val="none"/>
          <w:lang w:val="zh-CN"/>
        </w:rPr>
        <w:t>姓名：</w:t>
      </w:r>
      <w:r>
        <w:rPr>
          <w:rFonts w:hint="eastAsia" w:ascii="宋体" w:hAnsi="宋体"/>
          <w:color w:val="auto"/>
          <w:szCs w:val="21"/>
          <w:highlight w:val="none"/>
          <w:u w:val="single"/>
          <w:lang w:val="zh-CN"/>
        </w:rPr>
        <w:t xml:space="preserve">        </w:t>
      </w:r>
      <w:r>
        <w:rPr>
          <w:rFonts w:ascii="宋体" w:hAnsi="宋体"/>
          <w:color w:val="auto"/>
          <w:szCs w:val="21"/>
          <w:highlight w:val="none"/>
          <w:u w:val="single"/>
          <w:lang w:val="zh-CN"/>
        </w:rPr>
        <w:t xml:space="preserve"> </w:t>
      </w:r>
      <w:r>
        <w:rPr>
          <w:rFonts w:hint="eastAsia" w:ascii="宋体" w:hAnsi="宋体"/>
          <w:color w:val="auto"/>
          <w:szCs w:val="21"/>
          <w:highlight w:val="none"/>
          <w:lang w:val="zh-CN"/>
        </w:rPr>
        <w:t>，身份证号</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派驻的管理人员须与《投标文件》中的《项目管理机构配备情况表》相符。本合同在实施中，如承包人的施工队伍素质、力量、现场管理班子、施工设备、现场文明安全施工不符合投标文件的承诺，造成现场管理混乱，质量和进度达不到招标文件所要求时，发包人有权要求其调整充实施工力量，承包人必须接受，否则作违约处理，发包人可以中止合同。</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发包人对承包人项目经理和安全员进行人员到岗履职考核。本合同签订之日至主体工程中间结构验收，每次监理例会经发包人通知项目经理需到场，不得请假；主体工程中间结构验收至履约验收，每个工作日项目经理和安全员均需到场，如有特殊情况经发包方同意后可向监理请假（每月请假日期不得超过4天）。项目经理到施工现场到岗履职当月天数不满足要求，有脱岗情况的，处以每天500的违约金；安全员到施工现场到岗履职当月天数不满足要求，有脱岗情况的，处以每天200的违约金。</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.2</w:t>
      </w:r>
      <w:r>
        <w:rPr>
          <w:rFonts w:hint="eastAsia" w:ascii="宋体" w:hAnsi="宋体"/>
          <w:color w:val="auto"/>
          <w:szCs w:val="21"/>
          <w:highlight w:val="none"/>
          <w:lang w:val="zh-CN"/>
        </w:rPr>
        <w:t>施工组织设计</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承包人必须严格遵照发包人同意的施工组织设计内容进行施工，确保质量、进度、安全生产及文明施工。</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.3</w:t>
      </w:r>
      <w:r>
        <w:rPr>
          <w:rFonts w:hint="eastAsia" w:ascii="宋体" w:hAnsi="宋体"/>
          <w:color w:val="auto"/>
          <w:szCs w:val="21"/>
          <w:highlight w:val="none"/>
          <w:lang w:val="zh-CN"/>
        </w:rPr>
        <w:t>质量</w:t>
      </w:r>
    </w:p>
    <w:p>
      <w:pPr>
        <w:snapToGrid w:val="0"/>
        <w:spacing w:line="360" w:lineRule="auto"/>
        <w:ind w:firstLine="420" w:firstLineChars="200"/>
        <w:rPr>
          <w:rFonts w:hint="eastAsia" w:ascii="宋体" w:hAnsi="宋体"/>
          <w:color w:val="auto"/>
          <w:highlight w:val="none"/>
        </w:rPr>
      </w:pPr>
      <w:r>
        <w:rPr>
          <w:rFonts w:hint="eastAsia" w:ascii="宋体" w:hAnsi="宋体"/>
          <w:color w:val="auto"/>
          <w:szCs w:val="21"/>
          <w:highlight w:val="none"/>
          <w:lang w:val="zh-CN"/>
        </w:rPr>
        <w:t>质量标准：</w:t>
      </w:r>
      <w:r>
        <w:rPr>
          <w:rFonts w:hint="eastAsia" w:ascii="宋体" w:hAnsi="宋体"/>
          <w:color w:val="auto"/>
          <w:highlight w:val="none"/>
        </w:rPr>
        <w:t>达到国家相关质量验收标准，项目验收一次性通过，并配合总包确保“甬江建设杯优质工程奖”。</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承包人应对设备材料采购、安装、调试、试运行等各个环节进行严格的质量管理，保证质量具有使发包人满意的使用性能。</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承包人必须严格按国家现行施工验收规范等有关规定，精心组织施工，严格把好每道工序的质量关，保证本项目按时通过验收及投入运行。</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承包人在施工中如发现设计、质量、材料等问题，应及时与发包人联系，共同协商处理。</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发包人如发现施工不符合技术、质量要求的，有权通知承包人暂停施工，并要求整改。</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.4</w:t>
      </w:r>
      <w:r>
        <w:rPr>
          <w:rFonts w:hint="eastAsia" w:ascii="宋体" w:hAnsi="宋体"/>
          <w:color w:val="auto"/>
          <w:szCs w:val="21"/>
          <w:highlight w:val="none"/>
          <w:lang w:val="zh-CN"/>
        </w:rPr>
        <w:t>进度</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承包人必须按发包人确认的进度计划组织施工，接受发包人对进度的检查、监督。实际进度与经确认的进度计划不符时，承包人应按发包人的要求提出改进措施，经发包人确认后执行。</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w:t>
      </w:r>
      <w:r>
        <w:rPr>
          <w:rFonts w:ascii="宋体" w:hAnsi="宋体"/>
          <w:color w:val="auto"/>
          <w:szCs w:val="21"/>
          <w:highlight w:val="none"/>
          <w:lang w:val="zh-CN"/>
        </w:rPr>
        <w:t>.5</w:t>
      </w:r>
      <w:r>
        <w:rPr>
          <w:rFonts w:hint="eastAsia" w:ascii="宋体" w:hAnsi="宋体"/>
          <w:color w:val="auto"/>
          <w:szCs w:val="21"/>
          <w:highlight w:val="none"/>
          <w:lang w:val="zh-CN"/>
        </w:rPr>
        <w:t>安全生产</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应遵守工程建设安全生产有关管理规定，严格按安全标准组织施工，并随时接受安全检查人员依法实施的监督检查，采取必要的安全防护措施，消除事故隐患。由于承包人安全措施不力造成事故的责任和因此发生的费用由承包人承担。</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7.6监理</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7.6.1为确保项目建设的质量，本项目建设实行专业监理。监理单位按监理合同的约定，做好项目质量、投资、工期的控制工作，确保本项目目标实现，公正地维护各方的权益。</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7.6.2承发包人双方承认监理单位的下述权利：</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(1)在事先向发包人报告征得同意后，监理单位可以发布停工令和复工令；</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(2)项目上使用的设备、材料与软件和施工质量的检验权和确认权。对于不符合设计要求及国家质量标准的设备与软件，有权通知承包人停止使用。承包人取得监理机构复工令后才能复工；</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(3)项目施工进度的检查、监督权，以及项目实际竣工日期提前或超过项目建设合同规定的竣工期限的签认权；</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(4)在项目建设合同约定的项目价格范围内，项目款支付的审核和签认权，以及结算项目款的复核确认权与否决权。未经监理机构签字确认，丙方不支付项目款；</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(5)在监理过程中如发现承包人工作不力，监理机构有权提出调换有关人员建议。</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7.6.3承包人应向监理方提交项目各阶段的计划、方案、报告和质量标准，项目进展状况等资料，并接受监理方的监督和合理化建议。</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zh-CN"/>
        </w:rPr>
        <w:t>7.6.4承发包双方均同意配合监理工作，方便监理单位履行</w:t>
      </w:r>
      <w:r>
        <w:rPr>
          <w:rFonts w:hint="eastAsia" w:ascii="宋体" w:hAnsi="宋体"/>
          <w:color w:val="auto"/>
          <w:szCs w:val="21"/>
          <w:highlight w:val="none"/>
        </w:rPr>
        <w:t>监理责任。</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8、设备及材料</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8</w:t>
      </w:r>
      <w:r>
        <w:rPr>
          <w:rFonts w:ascii="宋体" w:hAnsi="宋体"/>
          <w:color w:val="auto"/>
          <w:szCs w:val="21"/>
          <w:highlight w:val="none"/>
          <w:lang w:val="zh-CN"/>
        </w:rPr>
        <w:t>.1</w:t>
      </w:r>
      <w:r>
        <w:rPr>
          <w:rFonts w:hint="eastAsia" w:ascii="宋体" w:hAnsi="宋体"/>
          <w:color w:val="auto"/>
          <w:szCs w:val="21"/>
          <w:highlight w:val="none"/>
          <w:lang w:val="zh-CN"/>
        </w:rPr>
        <w:t>本项目承包范围内设备及材料均由承包人提供。承包人所采购的全部设备和材料均必须具有产品合格证、质保书、使用说明书等技术资料，进口设备或材料还应提交原产地证明及相关的产品国际认证标识和通关证明。如发现不合格的设备和材料，必须停止使用，并由承包人承担责任。</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8</w:t>
      </w:r>
      <w:r>
        <w:rPr>
          <w:rFonts w:ascii="宋体" w:hAnsi="宋体"/>
          <w:color w:val="auto"/>
          <w:szCs w:val="21"/>
          <w:highlight w:val="none"/>
          <w:lang w:val="zh-CN"/>
        </w:rPr>
        <w:t>.2</w:t>
      </w:r>
      <w:r>
        <w:rPr>
          <w:rFonts w:hint="eastAsia" w:ascii="宋体" w:hAnsi="宋体"/>
          <w:color w:val="auto"/>
          <w:szCs w:val="21"/>
          <w:highlight w:val="none"/>
          <w:lang w:val="zh-CN"/>
        </w:rPr>
        <w:t>设备材料的制造商、品牌、规格及价格在采购前必须经过发包人的审核和确认，产品到货后，承包人应向发包人办理报验手续，报验时须附有上述8</w:t>
      </w:r>
      <w:r>
        <w:rPr>
          <w:rFonts w:ascii="宋体" w:hAnsi="宋体"/>
          <w:color w:val="auto"/>
          <w:szCs w:val="21"/>
          <w:highlight w:val="none"/>
          <w:lang w:val="zh-CN"/>
        </w:rPr>
        <w:t>.1</w:t>
      </w:r>
      <w:r>
        <w:rPr>
          <w:rFonts w:hint="eastAsia" w:ascii="宋体" w:hAnsi="宋体"/>
          <w:color w:val="auto"/>
          <w:szCs w:val="21"/>
          <w:highlight w:val="none"/>
          <w:lang w:val="zh-CN"/>
        </w:rPr>
        <w:t>条规定的技术资料。</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8</w:t>
      </w:r>
      <w:r>
        <w:rPr>
          <w:rFonts w:ascii="宋体" w:hAnsi="宋体"/>
          <w:color w:val="auto"/>
          <w:szCs w:val="21"/>
          <w:highlight w:val="none"/>
          <w:lang w:val="zh-CN"/>
        </w:rPr>
        <w:t>.3</w:t>
      </w:r>
      <w:r>
        <w:rPr>
          <w:rFonts w:hint="eastAsia" w:ascii="宋体" w:hAnsi="宋体"/>
          <w:color w:val="auto"/>
          <w:szCs w:val="21"/>
          <w:highlight w:val="none"/>
          <w:lang w:val="zh-CN"/>
        </w:rPr>
        <w:t>如果承包人提供设备材料与《招标文件》、《投标文件》、相关澄清文件、项目联系单、合同等要约中承诺内容不一致，经发包人发现确认，必须接受无条件退货并赔偿该设备材料合同金额</w:t>
      </w:r>
      <w:r>
        <w:rPr>
          <w:rFonts w:ascii="宋体" w:hAnsi="宋体"/>
          <w:color w:val="auto"/>
          <w:szCs w:val="21"/>
          <w:highlight w:val="none"/>
          <w:lang w:val="zh-CN"/>
        </w:rPr>
        <w:t>100%</w:t>
      </w:r>
      <w:r>
        <w:rPr>
          <w:rFonts w:hint="eastAsia" w:ascii="宋体" w:hAnsi="宋体"/>
          <w:color w:val="auto"/>
          <w:szCs w:val="21"/>
          <w:highlight w:val="none"/>
          <w:lang w:val="zh-CN"/>
        </w:rPr>
        <w:t>的赔款。</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kern w:val="0"/>
          <w:szCs w:val="21"/>
          <w:highlight w:val="none"/>
          <w:lang w:val="zh-CN"/>
        </w:rPr>
        <w:t>8</w:t>
      </w:r>
      <w:r>
        <w:rPr>
          <w:rFonts w:ascii="宋体" w:hAnsi="宋体"/>
          <w:color w:val="auto"/>
          <w:kern w:val="0"/>
          <w:szCs w:val="21"/>
          <w:highlight w:val="none"/>
          <w:lang w:val="zh-CN"/>
        </w:rPr>
        <w:t>.4</w:t>
      </w:r>
      <w:r>
        <w:rPr>
          <w:rFonts w:hint="eastAsia" w:ascii="宋体" w:hAnsi="宋体"/>
          <w:color w:val="auto"/>
          <w:szCs w:val="21"/>
          <w:highlight w:val="none"/>
          <w:lang w:val="zh-CN"/>
        </w:rPr>
        <w:t>为保证设备有较好的质量和服务，承包人在交货时应提供关键设备原厂商出具的针对本项目的</w:t>
      </w:r>
      <w:r>
        <w:rPr>
          <w:rFonts w:ascii="宋体" w:hAnsi="宋体"/>
          <w:color w:val="auto"/>
          <w:szCs w:val="21"/>
          <w:highlight w:val="none"/>
          <w:lang w:val="zh-CN"/>
        </w:rPr>
        <w:t>“</w:t>
      </w:r>
      <w:r>
        <w:rPr>
          <w:rFonts w:hint="eastAsia" w:ascii="宋体" w:hAnsi="宋体"/>
          <w:color w:val="auto"/>
          <w:szCs w:val="21"/>
          <w:highlight w:val="none"/>
          <w:lang w:val="zh-CN"/>
        </w:rPr>
        <w:t>质量保证和售后服务承诺书</w:t>
      </w:r>
      <w:r>
        <w:rPr>
          <w:rFonts w:ascii="宋体" w:hAnsi="宋体"/>
          <w:color w:val="auto"/>
          <w:szCs w:val="21"/>
          <w:highlight w:val="none"/>
          <w:lang w:val="zh-CN"/>
        </w:rPr>
        <w:t>”</w:t>
      </w:r>
      <w:r>
        <w:rPr>
          <w:rFonts w:hint="eastAsia" w:ascii="宋体" w:hAnsi="宋体"/>
          <w:color w:val="auto"/>
          <w:szCs w:val="21"/>
          <w:highlight w:val="none"/>
          <w:lang w:val="zh-CN"/>
        </w:rPr>
        <w:t>，承诺书中应说明设备的具体保修时间、售后服务办法。</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8</w:t>
      </w:r>
      <w:r>
        <w:rPr>
          <w:rFonts w:ascii="宋体" w:hAnsi="宋体"/>
          <w:color w:val="auto"/>
          <w:szCs w:val="21"/>
          <w:highlight w:val="none"/>
          <w:lang w:val="zh-CN"/>
        </w:rPr>
        <w:t>.5</w:t>
      </w:r>
      <w:r>
        <w:rPr>
          <w:rFonts w:hint="eastAsia" w:ascii="宋体" w:hAnsi="宋体"/>
          <w:color w:val="auto"/>
          <w:szCs w:val="21"/>
          <w:highlight w:val="none"/>
          <w:lang w:val="zh-CN"/>
        </w:rPr>
        <w:t>验货时承包人应出具原厂商针对本项目的“质量保证和售后服务承诺书”，若因厂商原因承包人无法提供此承诺书，则承包人须针对这些无承诺书的设备，承诺提供不少于两年的免费质保服务。</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9、质量保证</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9</w:t>
      </w:r>
      <w:r>
        <w:rPr>
          <w:rFonts w:ascii="宋体" w:hAnsi="宋体"/>
          <w:color w:val="auto"/>
          <w:szCs w:val="21"/>
          <w:highlight w:val="none"/>
          <w:lang w:val="zh-CN"/>
        </w:rPr>
        <w:t>.1</w:t>
      </w:r>
      <w:r>
        <w:rPr>
          <w:rFonts w:hint="eastAsia" w:ascii="宋体" w:hAnsi="宋体"/>
          <w:color w:val="auto"/>
          <w:szCs w:val="21"/>
          <w:highlight w:val="none"/>
          <w:lang w:val="zh-CN"/>
        </w:rPr>
        <w:t>承包人应保证本项目质量符合合同规定的要求，所提供的设备材料为</w:t>
      </w:r>
      <w:r>
        <w:rPr>
          <w:rFonts w:hint="eastAsia" w:ascii="宋体" w:hAnsi="宋体"/>
          <w:color w:val="auto"/>
          <w:kern w:val="0"/>
          <w:szCs w:val="21"/>
          <w:highlight w:val="none"/>
          <w:lang w:val="zh-CN"/>
        </w:rPr>
        <w:t>未使用过的全新产品，安装施工方法符合国家标准、规范的要求。</w:t>
      </w:r>
      <w:r>
        <w:rPr>
          <w:rFonts w:ascii="宋体" w:hAnsi="宋体"/>
          <w:color w:val="auto"/>
          <w:szCs w:val="21"/>
          <w:highlight w:val="none"/>
          <w:lang w:val="zh-CN"/>
        </w:rPr>
        <w:t xml:space="preserve"> </w:t>
      </w:r>
    </w:p>
    <w:p>
      <w:pPr>
        <w:snapToGrid w:val="0"/>
        <w:spacing w:line="360" w:lineRule="auto"/>
        <w:ind w:firstLine="420" w:firstLineChars="200"/>
        <w:jc w:val="left"/>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.2</w:t>
      </w:r>
      <w:r>
        <w:rPr>
          <w:rFonts w:hint="eastAsia" w:ascii="宋体" w:hAnsi="宋体"/>
          <w:color w:val="auto"/>
          <w:kern w:val="0"/>
          <w:szCs w:val="21"/>
          <w:highlight w:val="none"/>
          <w:lang w:val="zh-CN"/>
        </w:rPr>
        <w:t>质量标准的评定以国家或行业的质量检验评定标准为依据。因承包人原因质量达不到约定的质量标准，承包人承担违约责任。</w:t>
      </w:r>
    </w:p>
    <w:p>
      <w:pPr>
        <w:snapToGrid w:val="0"/>
        <w:spacing w:line="360" w:lineRule="auto"/>
        <w:ind w:firstLine="420" w:firstLineChars="200"/>
        <w:jc w:val="left"/>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.3</w:t>
      </w:r>
      <w:r>
        <w:rPr>
          <w:rFonts w:hint="eastAsia" w:ascii="宋体" w:hAnsi="宋体"/>
          <w:color w:val="auto"/>
          <w:kern w:val="0"/>
          <w:szCs w:val="21"/>
          <w:highlight w:val="none"/>
          <w:lang w:val="zh-CN"/>
        </w:rPr>
        <w:t>双方对项目质量有争议，则可以委托工程质量检测机构鉴定，所需费用及因此造成的损失，由责任方承担。</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.4</w:t>
      </w:r>
      <w:r>
        <w:rPr>
          <w:rFonts w:hint="eastAsia" w:ascii="宋体" w:hAnsi="宋体"/>
          <w:color w:val="auto"/>
          <w:szCs w:val="21"/>
          <w:highlight w:val="none"/>
          <w:lang w:val="zh-CN"/>
        </w:rPr>
        <w:t>本</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整体质保期为两年。其中，设备的制造商若提供产品质保期大</w:t>
      </w:r>
      <w:r>
        <w:rPr>
          <w:rFonts w:hint="eastAsia" w:ascii="宋体" w:hAnsi="宋体"/>
          <w:color w:val="auto"/>
          <w:kern w:val="0"/>
          <w:szCs w:val="21"/>
          <w:highlight w:val="none"/>
          <w:lang w:val="zh-CN"/>
        </w:rPr>
        <w:t>于</w:t>
      </w:r>
      <w:r>
        <w:rPr>
          <w:rFonts w:hint="eastAsia" w:ascii="宋体" w:hAnsi="宋体"/>
          <w:color w:val="auto"/>
          <w:szCs w:val="21"/>
          <w:highlight w:val="none"/>
          <w:lang w:val="zh-CN"/>
        </w:rPr>
        <w:t>两</w:t>
      </w:r>
      <w:r>
        <w:rPr>
          <w:rFonts w:hint="eastAsia" w:ascii="宋体" w:hAnsi="宋体"/>
          <w:color w:val="auto"/>
          <w:kern w:val="0"/>
          <w:szCs w:val="21"/>
          <w:highlight w:val="none"/>
          <w:lang w:val="zh-CN"/>
        </w:rPr>
        <w:t>年的，则以制造商的质保期为准；</w:t>
      </w:r>
      <w:r>
        <w:rPr>
          <w:rFonts w:hint="eastAsia" w:ascii="宋体" w:hAnsi="宋体"/>
          <w:color w:val="auto"/>
          <w:szCs w:val="21"/>
          <w:highlight w:val="none"/>
          <w:lang w:val="zh-CN"/>
        </w:rPr>
        <w:t>设备的制造商若提供产品质保期小</w:t>
      </w:r>
      <w:r>
        <w:rPr>
          <w:rFonts w:hint="eastAsia" w:ascii="宋体" w:hAnsi="宋体"/>
          <w:color w:val="auto"/>
          <w:kern w:val="0"/>
          <w:szCs w:val="21"/>
          <w:highlight w:val="none"/>
          <w:lang w:val="zh-CN"/>
        </w:rPr>
        <w:t>于</w:t>
      </w:r>
      <w:r>
        <w:rPr>
          <w:rFonts w:hint="eastAsia" w:ascii="宋体" w:hAnsi="宋体"/>
          <w:color w:val="auto"/>
          <w:szCs w:val="21"/>
          <w:highlight w:val="none"/>
          <w:lang w:val="zh-CN"/>
        </w:rPr>
        <w:t>两</w:t>
      </w:r>
      <w:r>
        <w:rPr>
          <w:rFonts w:hint="eastAsia" w:ascii="宋体" w:hAnsi="宋体"/>
          <w:color w:val="auto"/>
          <w:kern w:val="0"/>
          <w:szCs w:val="21"/>
          <w:highlight w:val="none"/>
          <w:lang w:val="zh-CN"/>
        </w:rPr>
        <w:t>年的，则以</w:t>
      </w:r>
      <w:r>
        <w:rPr>
          <w:rFonts w:hint="eastAsia" w:ascii="宋体" w:hAnsi="宋体"/>
          <w:color w:val="auto"/>
          <w:szCs w:val="21"/>
          <w:highlight w:val="none"/>
          <w:lang w:val="zh-CN"/>
        </w:rPr>
        <w:t>两</w:t>
      </w:r>
      <w:r>
        <w:rPr>
          <w:rFonts w:hint="eastAsia" w:ascii="宋体" w:hAnsi="宋体"/>
          <w:color w:val="auto"/>
          <w:kern w:val="0"/>
          <w:szCs w:val="21"/>
          <w:highlight w:val="none"/>
          <w:lang w:val="zh-CN"/>
        </w:rPr>
        <w:t>年为准。</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.5</w:t>
      </w:r>
      <w:r>
        <w:rPr>
          <w:rFonts w:hint="eastAsia" w:ascii="宋体" w:hAnsi="宋体"/>
          <w:color w:val="auto"/>
          <w:kern w:val="0"/>
          <w:szCs w:val="21"/>
          <w:highlight w:val="none"/>
          <w:lang w:val="zh-CN"/>
        </w:rPr>
        <w:t>在质保期内，承包人须免费负责修理和替换任何由于质量问题造成的损坏及故障。</w:t>
      </w:r>
    </w:p>
    <w:p>
      <w:pPr>
        <w:snapToGrid w:val="0"/>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9</w:t>
      </w:r>
      <w:r>
        <w:rPr>
          <w:rFonts w:ascii="宋体" w:hAnsi="宋体"/>
          <w:color w:val="auto"/>
          <w:kern w:val="0"/>
          <w:szCs w:val="21"/>
          <w:highlight w:val="none"/>
          <w:lang w:val="zh-CN"/>
        </w:rPr>
        <w:t>.6</w:t>
      </w:r>
      <w:r>
        <w:rPr>
          <w:rFonts w:hint="eastAsia" w:ascii="宋体" w:hAnsi="宋体"/>
          <w:color w:val="auto"/>
          <w:kern w:val="0"/>
          <w:szCs w:val="21"/>
          <w:highlight w:val="none"/>
          <w:lang w:val="zh-CN"/>
        </w:rPr>
        <w:t>投标文件的质量保证书中其它更好的质保条款。</w:t>
      </w:r>
    </w:p>
    <w:p>
      <w:pPr>
        <w:snapToGrid w:val="0"/>
        <w:spacing w:line="360" w:lineRule="auto"/>
        <w:ind w:firstLine="420" w:firstLineChars="200"/>
        <w:rPr>
          <w:rFonts w:ascii="宋体" w:hAnsi="宋体"/>
          <w:b/>
          <w:bCs/>
          <w:color w:val="auto"/>
          <w:szCs w:val="21"/>
          <w:highlight w:val="none"/>
        </w:rPr>
      </w:pPr>
      <w:r>
        <w:rPr>
          <w:rFonts w:hint="eastAsia" w:ascii="宋体" w:hAnsi="宋体"/>
          <w:b/>
          <w:bCs/>
          <w:color w:val="auto"/>
          <w:szCs w:val="21"/>
          <w:highlight w:val="none"/>
          <w:lang w:val="zh-CN"/>
        </w:rPr>
        <w:t>10、调试及试运行</w:t>
      </w:r>
    </w:p>
    <w:p>
      <w:pPr>
        <w:snapToGrid w:val="0"/>
        <w:spacing w:line="360" w:lineRule="auto"/>
        <w:ind w:firstLine="420" w:firstLineChars="200"/>
        <w:rPr>
          <w:rFonts w:ascii="宋体" w:hAnsi="宋体"/>
          <w:b/>
          <w:bCs/>
          <w:color w:val="auto"/>
          <w:szCs w:val="21"/>
          <w:highlight w:val="none"/>
          <w:lang w:val="zh-CN"/>
        </w:rPr>
      </w:pPr>
      <w:r>
        <w:rPr>
          <w:rFonts w:hint="eastAsia" w:ascii="宋体" w:hAnsi="宋体"/>
          <w:color w:val="auto"/>
          <w:szCs w:val="21"/>
          <w:highlight w:val="none"/>
          <w:lang w:val="zh-CN"/>
        </w:rPr>
        <w:t>10</w:t>
      </w:r>
      <w:r>
        <w:rPr>
          <w:rFonts w:ascii="宋体" w:hAnsi="宋体"/>
          <w:color w:val="auto"/>
          <w:szCs w:val="21"/>
          <w:highlight w:val="none"/>
          <w:lang w:val="zh-CN"/>
        </w:rPr>
        <w:t>.1</w:t>
      </w:r>
      <w:r>
        <w:rPr>
          <w:rFonts w:hint="eastAsia" w:ascii="宋体" w:hAnsi="宋体"/>
          <w:color w:val="auto"/>
          <w:szCs w:val="21"/>
          <w:highlight w:val="none"/>
          <w:lang w:val="zh-CN"/>
        </w:rPr>
        <w:t>在</w:t>
      </w:r>
      <w:r>
        <w:rPr>
          <w:rFonts w:hint="eastAsia" w:ascii="宋体" w:hAnsi="宋体"/>
          <w:color w:val="auto"/>
          <w:kern w:val="0"/>
          <w:szCs w:val="21"/>
          <w:highlight w:val="none"/>
          <w:lang w:val="zh-CN"/>
        </w:rPr>
        <w:t>安装完成后，承包人应对整个项目的质量、性能等，按照国家或行业标准和规范进行准确和全面的调试、检验，并把测试结果用书面报告的方式交给发包人。</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10</w:t>
      </w:r>
      <w:r>
        <w:rPr>
          <w:rFonts w:ascii="宋体" w:hAnsi="宋体"/>
          <w:color w:val="auto"/>
          <w:szCs w:val="21"/>
          <w:highlight w:val="none"/>
          <w:lang w:val="zh-CN"/>
        </w:rPr>
        <w:t>.2</w:t>
      </w:r>
      <w:r>
        <w:rPr>
          <w:rFonts w:hint="eastAsia" w:ascii="宋体" w:hAnsi="宋体"/>
          <w:color w:val="auto"/>
          <w:szCs w:val="21"/>
          <w:highlight w:val="none"/>
          <w:lang w:val="zh-CN"/>
        </w:rPr>
        <w:t>发包人有权要求派代表参加承包人对本系统的调试。</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10</w:t>
      </w:r>
      <w:r>
        <w:rPr>
          <w:rFonts w:ascii="宋体" w:hAnsi="宋体"/>
          <w:color w:val="auto"/>
          <w:szCs w:val="21"/>
          <w:highlight w:val="none"/>
          <w:lang w:val="zh-CN"/>
        </w:rPr>
        <w:t>.3</w:t>
      </w:r>
      <w:r>
        <w:rPr>
          <w:rFonts w:hint="eastAsia" w:ascii="宋体" w:hAnsi="宋体"/>
          <w:color w:val="auto"/>
          <w:szCs w:val="21"/>
          <w:highlight w:val="none"/>
          <w:lang w:val="zh-CN"/>
        </w:rPr>
        <w:t>调试完成后，应经过</w:t>
      </w:r>
      <w:r>
        <w:rPr>
          <w:rFonts w:hint="eastAsia" w:ascii="宋体" w:hAnsi="宋体"/>
          <w:color w:val="auto"/>
          <w:szCs w:val="21"/>
          <w:highlight w:val="none"/>
          <w:u w:val="single"/>
          <w:lang w:val="zh-CN"/>
        </w:rPr>
        <w:t xml:space="preserve"> 1</w:t>
      </w:r>
      <w:r>
        <w:rPr>
          <w:rFonts w:hint="eastAsia" w:ascii="宋体" w:hAnsi="宋体"/>
          <w:color w:val="auto"/>
          <w:szCs w:val="21"/>
          <w:highlight w:val="none"/>
          <w:lang w:val="zh-CN"/>
        </w:rPr>
        <w:t>个月的试运行。试运行合格，由发包人进行统一验收。</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10</w:t>
      </w:r>
      <w:r>
        <w:rPr>
          <w:rFonts w:ascii="宋体" w:hAnsi="宋体"/>
          <w:color w:val="auto"/>
          <w:szCs w:val="21"/>
          <w:highlight w:val="none"/>
          <w:lang w:val="zh-CN"/>
        </w:rPr>
        <w:t>.4</w:t>
      </w:r>
      <w:r>
        <w:rPr>
          <w:rFonts w:hint="eastAsia" w:ascii="宋体" w:hAnsi="宋体"/>
          <w:color w:val="auto"/>
          <w:szCs w:val="21"/>
          <w:highlight w:val="none"/>
          <w:lang w:val="zh-CN"/>
        </w:rPr>
        <w:t>调试及试运行期间，承包人应派经验丰富的专业技术人员到现场进行操作。</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11.5试运行期间，如各系统仍存在问题，发包人可以延长试运行时间。</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11、验收</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1</w:t>
      </w:r>
      <w:r>
        <w:rPr>
          <w:rFonts w:ascii="宋体" w:hAnsi="宋体"/>
          <w:color w:val="auto"/>
          <w:szCs w:val="21"/>
          <w:highlight w:val="none"/>
          <w:lang w:val="zh-CN"/>
        </w:rPr>
        <w:t>.1</w:t>
      </w:r>
      <w:r>
        <w:rPr>
          <w:rFonts w:hint="eastAsia" w:ascii="宋体" w:hAnsi="宋体"/>
          <w:color w:val="auto"/>
          <w:szCs w:val="21"/>
          <w:highlight w:val="none"/>
          <w:lang w:val="zh-CN"/>
        </w:rPr>
        <w:t>验收合格条件必须满足以下要求：已提供合同要求的全部设备和资料；经过调试及试运行，质量和性能符合要求；调试、试运行及验收时出现的问题已被解决；</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通过发包人委托的第三方检测。</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1</w:t>
      </w:r>
      <w:r>
        <w:rPr>
          <w:rFonts w:ascii="宋体" w:hAnsi="宋体"/>
          <w:color w:val="auto"/>
          <w:szCs w:val="21"/>
          <w:highlight w:val="none"/>
          <w:lang w:val="zh-CN"/>
        </w:rPr>
        <w:t>.2</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完工具备履约验收条件，承包人按国家政府采购履约验收有关规定，向发包人提供完整合同履约验收报告单及合同履约验收意见书（到货验收）。</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1</w:t>
      </w:r>
      <w:r>
        <w:rPr>
          <w:rFonts w:ascii="宋体" w:hAnsi="宋体"/>
          <w:color w:val="auto"/>
          <w:szCs w:val="21"/>
          <w:highlight w:val="none"/>
          <w:lang w:val="zh-CN"/>
        </w:rPr>
        <w:t>.3</w:t>
      </w:r>
      <w:r>
        <w:rPr>
          <w:rFonts w:hint="eastAsia" w:ascii="宋体" w:hAnsi="宋体"/>
          <w:color w:val="auto"/>
          <w:szCs w:val="21"/>
          <w:highlight w:val="none"/>
          <w:lang w:val="zh-CN"/>
        </w:rPr>
        <w:t>发包人组织有关单位进行验收，并在验收后</w:t>
      </w:r>
      <w:r>
        <w:rPr>
          <w:rFonts w:ascii="宋体" w:hAnsi="宋体"/>
          <w:color w:val="auto"/>
          <w:szCs w:val="21"/>
          <w:highlight w:val="none"/>
          <w:lang w:val="zh-CN"/>
        </w:rPr>
        <w:t>15</w:t>
      </w:r>
      <w:r>
        <w:rPr>
          <w:rFonts w:hint="eastAsia" w:ascii="宋体" w:hAnsi="宋体"/>
          <w:color w:val="auto"/>
          <w:szCs w:val="21"/>
          <w:highlight w:val="none"/>
          <w:lang w:val="zh-CN"/>
        </w:rPr>
        <w:t>天内给予认可或提出修改意见。承包人按要求修改，并承担由自身原因造成修改的费用。</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1</w:t>
      </w:r>
      <w:r>
        <w:rPr>
          <w:rFonts w:ascii="宋体" w:hAnsi="宋体"/>
          <w:color w:val="auto"/>
          <w:szCs w:val="21"/>
          <w:highlight w:val="none"/>
          <w:lang w:val="zh-CN"/>
        </w:rPr>
        <w:t>.4</w:t>
      </w:r>
      <w:r>
        <w:rPr>
          <w:rFonts w:hint="eastAsia" w:ascii="宋体" w:hAnsi="宋体"/>
          <w:color w:val="auto"/>
          <w:szCs w:val="21"/>
          <w:highlight w:val="none"/>
          <w:lang w:val="zh-CN"/>
        </w:rPr>
        <w:t>合同履约验收应以国家颁发的有关规范和质量检验评定标准、相关的国际标准为依据。</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12、验收资料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2</w:t>
      </w:r>
      <w:r>
        <w:rPr>
          <w:rFonts w:ascii="宋体" w:hAnsi="宋体"/>
          <w:color w:val="auto"/>
          <w:szCs w:val="21"/>
          <w:highlight w:val="none"/>
          <w:lang w:val="zh-CN"/>
        </w:rPr>
        <w:t>.1</w:t>
      </w:r>
      <w:r>
        <w:rPr>
          <w:rFonts w:hint="eastAsia" w:ascii="宋体" w:hAnsi="宋体"/>
          <w:color w:val="auto"/>
          <w:szCs w:val="21"/>
          <w:highlight w:val="none"/>
          <w:lang w:val="zh-CN"/>
        </w:rPr>
        <w:t>系统全部设备的档案资料包括：系统所安装硬件设备的数量、型号、规格，设备制造商的产品合格证、质保书、说明书等有关资料。设备开箱后的全部随机资料所有权归发包人所有，开箱验收后由发包人保管。</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lang w:val="zh-CN"/>
        </w:rPr>
        <w:t>1</w:t>
      </w:r>
      <w:r>
        <w:rPr>
          <w:rFonts w:hint="eastAsia" w:ascii="宋体" w:hAnsi="宋体"/>
          <w:color w:val="auto"/>
          <w:szCs w:val="21"/>
          <w:highlight w:val="none"/>
          <w:lang w:val="zh-CN"/>
        </w:rPr>
        <w:t>2</w:t>
      </w:r>
      <w:r>
        <w:rPr>
          <w:rFonts w:ascii="宋体" w:hAnsi="宋体"/>
          <w:color w:val="auto"/>
          <w:szCs w:val="21"/>
          <w:highlight w:val="none"/>
          <w:lang w:val="zh-CN"/>
        </w:rPr>
        <w:t>.2</w:t>
      </w:r>
      <w:r>
        <w:rPr>
          <w:rFonts w:hint="eastAsia" w:ascii="宋体" w:hAnsi="宋体"/>
          <w:color w:val="auto"/>
          <w:szCs w:val="21"/>
          <w:highlight w:val="none"/>
          <w:lang w:val="zh-CN"/>
        </w:rPr>
        <w:t>提供给操作人员、维护人员使用的主要技术资料包括：设备及系统说明书和原理图、设备及系统安装线路图、安装手册、操作和维修手册、施工标准及技术规范、其它必须的技术资料。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2</w:t>
      </w:r>
      <w:r>
        <w:rPr>
          <w:rFonts w:ascii="宋体" w:hAnsi="宋体"/>
          <w:color w:val="auto"/>
          <w:szCs w:val="21"/>
          <w:highlight w:val="none"/>
          <w:lang w:val="zh-CN"/>
        </w:rPr>
        <w:t>.3</w:t>
      </w:r>
      <w:r>
        <w:rPr>
          <w:rFonts w:hint="eastAsia" w:ascii="宋体" w:hAnsi="宋体"/>
          <w:color w:val="auto"/>
          <w:szCs w:val="21"/>
          <w:highlight w:val="none"/>
          <w:lang w:val="zh-CN"/>
        </w:rPr>
        <w:t>资料应包括如下内容：</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szCs w:val="21"/>
          <w:highlight w:val="none"/>
          <w:lang w:val="zh-CN"/>
        </w:rPr>
        <w:t>图纸；</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全过程原始记录及验收资料；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szCs w:val="21"/>
          <w:highlight w:val="none"/>
          <w:lang w:val="zh-CN"/>
        </w:rPr>
        <w:t>有关设计变更的技术资料；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的检测数据、质量评定报告；</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szCs w:val="21"/>
          <w:highlight w:val="none"/>
          <w:lang w:val="zh-CN"/>
        </w:rPr>
        <w:t>验收决算的全部资料；</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w:t>
      </w:r>
      <w:r>
        <w:rPr>
          <w:rFonts w:hint="eastAsia" w:ascii="宋体" w:hAnsi="宋体"/>
          <w:color w:val="auto"/>
          <w:szCs w:val="21"/>
          <w:highlight w:val="none"/>
          <w:lang w:val="zh-CN"/>
        </w:rPr>
        <w:t>其它按规定应提交的资料。</w:t>
      </w:r>
    </w:p>
    <w:p>
      <w:pPr>
        <w:snapToGrid w:val="0"/>
        <w:spacing w:line="360" w:lineRule="auto"/>
        <w:ind w:firstLine="420" w:firstLineChars="200"/>
        <w:rPr>
          <w:rFonts w:ascii="宋体" w:hAnsi="宋体"/>
          <w:b/>
          <w:color w:val="auto"/>
          <w:szCs w:val="21"/>
          <w:highlight w:val="none"/>
          <w:lang w:val="zh-CN"/>
        </w:rPr>
      </w:pPr>
      <w:r>
        <w:rPr>
          <w:rFonts w:hint="eastAsia" w:ascii="宋体" w:hAnsi="宋体"/>
          <w:b/>
          <w:color w:val="auto"/>
          <w:szCs w:val="21"/>
          <w:highlight w:val="none"/>
          <w:lang w:val="zh-CN"/>
        </w:rPr>
        <w:t>13、设计变更</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3</w:t>
      </w:r>
      <w:r>
        <w:rPr>
          <w:rFonts w:ascii="宋体" w:hAnsi="宋体"/>
          <w:color w:val="auto"/>
          <w:szCs w:val="21"/>
          <w:highlight w:val="none"/>
          <w:lang w:val="zh-CN"/>
        </w:rPr>
        <w:t>.1</w:t>
      </w:r>
      <w:r>
        <w:rPr>
          <w:rFonts w:hint="eastAsia" w:ascii="宋体" w:hAnsi="宋体"/>
          <w:color w:val="auto"/>
          <w:szCs w:val="21"/>
          <w:highlight w:val="none"/>
          <w:lang w:val="zh-CN"/>
        </w:rPr>
        <w:t>承包人在</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施工中如发现设计、施工不合理的情况需要进行变更时，需在实施前提出申请，经发包人同意后实施，变更完成后报送正式变更资料由发包人、监理人确认。承包人不得擅自修改设计、施工方案，因承包人擅自变更设计发生的费用和由此导致发包人的损失，由承包人承担。</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3</w:t>
      </w:r>
      <w:r>
        <w:rPr>
          <w:rFonts w:ascii="宋体" w:hAnsi="宋体"/>
          <w:color w:val="auto"/>
          <w:szCs w:val="21"/>
          <w:highlight w:val="none"/>
          <w:lang w:val="zh-CN"/>
        </w:rPr>
        <w:t>.2</w:t>
      </w:r>
      <w:r>
        <w:rPr>
          <w:rFonts w:hint="eastAsia" w:ascii="宋体" w:hAnsi="宋体"/>
          <w:color w:val="auto"/>
          <w:szCs w:val="21"/>
          <w:highlight w:val="none"/>
          <w:lang w:val="zh-CN"/>
        </w:rPr>
        <w:t>发包人发出的设计变更联系单，同样属于合同文件，承包人必须实施。</w:t>
      </w:r>
    </w:p>
    <w:p>
      <w:pPr>
        <w:snapToGrid w:val="0"/>
        <w:spacing w:line="360" w:lineRule="auto"/>
        <w:ind w:firstLine="411" w:firstLineChars="196"/>
        <w:jc w:val="left"/>
        <w:rPr>
          <w:rFonts w:ascii="宋体" w:hAnsi="宋体"/>
          <w:b/>
          <w:color w:val="auto"/>
          <w:szCs w:val="21"/>
          <w:highlight w:val="none"/>
          <w:lang w:val="zh-CN"/>
        </w:rPr>
      </w:pPr>
      <w:r>
        <w:rPr>
          <w:rFonts w:hint="eastAsia" w:ascii="宋体" w:hAnsi="宋体"/>
          <w:b/>
          <w:color w:val="auto"/>
          <w:szCs w:val="21"/>
          <w:highlight w:val="none"/>
          <w:lang w:val="zh-CN"/>
        </w:rPr>
        <w:t>14、技术培训</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.1</w:t>
      </w:r>
      <w:r>
        <w:rPr>
          <w:rFonts w:hint="eastAsia" w:ascii="宋体" w:hAnsi="宋体"/>
          <w:color w:val="auto"/>
          <w:szCs w:val="21"/>
          <w:highlight w:val="none"/>
          <w:lang w:val="zh-CN"/>
        </w:rPr>
        <w:t>为使用户对本系统</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能够有效使用和正确操作、维护，承包人须对用户指派的操作、维护人员进行培训，培训内容包括理论培训和实际操作培训，承包人在投标文件中应提出有关技术培训的方案</w:t>
      </w:r>
      <w:r>
        <w:rPr>
          <w:rFonts w:ascii="宋体" w:hAnsi="宋体"/>
          <w:color w:val="auto"/>
          <w:szCs w:val="21"/>
          <w:highlight w:val="none"/>
          <w:lang w:val="zh-CN"/>
        </w:rPr>
        <w:t>(</w:t>
      </w:r>
      <w:r>
        <w:rPr>
          <w:rFonts w:hint="eastAsia" w:ascii="宋体" w:hAnsi="宋体"/>
          <w:color w:val="auto"/>
          <w:szCs w:val="21"/>
          <w:highlight w:val="none"/>
          <w:lang w:val="zh-CN"/>
        </w:rPr>
        <w:t>包括培训地点、时间、人数</w:t>
      </w:r>
      <w:r>
        <w:rPr>
          <w:rFonts w:ascii="宋体" w:hAnsi="宋体"/>
          <w:color w:val="auto"/>
          <w:szCs w:val="21"/>
          <w:highlight w:val="none"/>
          <w:lang w:val="zh-CN"/>
        </w:rPr>
        <w:t>)</w:t>
      </w:r>
      <w:r>
        <w:rPr>
          <w:rFonts w:hint="eastAsia" w:ascii="宋体" w:hAnsi="宋体"/>
          <w:color w:val="auto"/>
          <w:szCs w:val="21"/>
          <w:highlight w:val="none"/>
          <w:lang w:val="zh-CN"/>
        </w:rPr>
        <w:t>。</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.2</w:t>
      </w:r>
      <w:r>
        <w:rPr>
          <w:rFonts w:hint="eastAsia" w:ascii="宋体" w:hAnsi="宋体"/>
          <w:color w:val="auto"/>
          <w:szCs w:val="21"/>
          <w:highlight w:val="none"/>
          <w:lang w:val="zh-CN"/>
        </w:rPr>
        <w:t>培训开始之前，应提出培训计划，编写培训教材，由用户确认后实施培训。</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.3</w:t>
      </w:r>
      <w:r>
        <w:rPr>
          <w:rFonts w:hint="eastAsia" w:ascii="宋体" w:hAnsi="宋体"/>
          <w:color w:val="auto"/>
          <w:szCs w:val="21"/>
          <w:highlight w:val="none"/>
          <w:lang w:val="zh-CN"/>
        </w:rPr>
        <w:t>应负责使接受培训的人员达到能正确操作和维护的上岗资格。</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.4</w:t>
      </w:r>
      <w:r>
        <w:rPr>
          <w:rFonts w:hint="eastAsia" w:ascii="宋体" w:hAnsi="宋体"/>
          <w:color w:val="auto"/>
          <w:szCs w:val="21"/>
          <w:highlight w:val="none"/>
          <w:lang w:val="zh-CN"/>
        </w:rPr>
        <w:t>培训应包括</w:t>
      </w:r>
      <w:r>
        <w:rPr>
          <w:rFonts w:ascii="宋体" w:hAnsi="宋体"/>
          <w:color w:val="auto"/>
          <w:szCs w:val="21"/>
          <w:highlight w:val="none"/>
          <w:lang w:val="zh-CN"/>
        </w:rPr>
        <w:t>(</w:t>
      </w:r>
      <w:r>
        <w:rPr>
          <w:rFonts w:hint="eastAsia" w:ascii="宋体" w:hAnsi="宋体"/>
          <w:color w:val="auto"/>
          <w:szCs w:val="21"/>
          <w:highlight w:val="none"/>
          <w:lang w:val="zh-CN"/>
        </w:rPr>
        <w:t>但不仅限于</w:t>
      </w:r>
      <w:r>
        <w:rPr>
          <w:rFonts w:ascii="宋体" w:hAnsi="宋体"/>
          <w:color w:val="auto"/>
          <w:szCs w:val="21"/>
          <w:highlight w:val="none"/>
          <w:lang w:val="zh-CN"/>
        </w:rPr>
        <w:t>)</w:t>
      </w:r>
      <w:r>
        <w:rPr>
          <w:rFonts w:hint="eastAsia" w:ascii="宋体" w:hAnsi="宋体"/>
          <w:color w:val="auto"/>
          <w:szCs w:val="21"/>
          <w:highlight w:val="none"/>
          <w:lang w:val="zh-CN"/>
        </w:rPr>
        <w:t>下列内容：</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14.4.1对使用人员进行操作培训：</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·系统概述，包括系统的构成和功能。</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·系统操作程序（常见故障的排除）。</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·现场操作实习。</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14.4.2对系统运行保障人员进行技术和系统维护培训：</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·系统概述，系统原理。</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·系统各部件的检查，系统的调整和维护。</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·系统故障排除。</w:t>
      </w:r>
    </w:p>
    <w:p>
      <w:pPr>
        <w:snapToGrid w:val="0"/>
        <w:spacing w:line="360" w:lineRule="auto"/>
        <w:ind w:firstLine="420" w:firstLineChars="200"/>
        <w:rPr>
          <w:rFonts w:ascii="宋体" w:hAnsi="宋体"/>
          <w:b/>
          <w:bCs/>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.5</w:t>
      </w:r>
      <w:r>
        <w:rPr>
          <w:rFonts w:hint="eastAsia" w:ascii="宋体" w:hAnsi="宋体"/>
          <w:color w:val="auto"/>
          <w:szCs w:val="21"/>
          <w:highlight w:val="none"/>
          <w:lang w:val="zh-CN"/>
        </w:rPr>
        <w:t>承包人须协助用户建立起维护和维修制度。制定系统备份方案和安全保障预案。</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4</w:t>
      </w:r>
      <w:r>
        <w:rPr>
          <w:rFonts w:ascii="宋体" w:hAnsi="宋体"/>
          <w:color w:val="auto"/>
          <w:szCs w:val="21"/>
          <w:highlight w:val="none"/>
          <w:lang w:val="zh-CN"/>
        </w:rPr>
        <w:t>.6</w:t>
      </w:r>
      <w:r>
        <w:rPr>
          <w:rFonts w:hint="eastAsia" w:ascii="宋体" w:hAnsi="宋体"/>
          <w:color w:val="auto"/>
          <w:szCs w:val="21"/>
          <w:highlight w:val="none"/>
          <w:lang w:val="zh-CN"/>
        </w:rPr>
        <w:t>投标文件的技术培训方案中其它更详尽、更好的条款。</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15、售后服务</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.1</w:t>
      </w:r>
      <w:r>
        <w:rPr>
          <w:rFonts w:hint="eastAsia" w:ascii="宋体" w:hAnsi="宋体"/>
          <w:color w:val="auto"/>
          <w:kern w:val="0"/>
          <w:szCs w:val="21"/>
          <w:highlight w:val="none"/>
          <w:lang w:val="zh-CN"/>
        </w:rPr>
        <w:t>本项目投入运行起三个月内，承包人必须有专业工程师常驻现场，负责指导和处理系统使用问题。</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.2</w:t>
      </w:r>
      <w:r>
        <w:rPr>
          <w:rFonts w:hint="eastAsia" w:ascii="宋体" w:hAnsi="宋体"/>
          <w:color w:val="auto"/>
          <w:kern w:val="0"/>
          <w:szCs w:val="21"/>
          <w:highlight w:val="none"/>
          <w:lang w:val="zh-CN"/>
        </w:rPr>
        <w:t>承包人应对本项目提供长期有效的技术支持，开通全年24小时/天的不间断服务电话。在接到用户的故障维修电话后，承包人应在1小时内响应，简单故障能通过电话予以解决，如用户提出需要上门服务，应在4小时内赶到现场，并在</w:t>
      </w:r>
      <w:r>
        <w:rPr>
          <w:rFonts w:ascii="宋体" w:hAnsi="宋体"/>
          <w:color w:val="auto"/>
          <w:kern w:val="0"/>
          <w:szCs w:val="21"/>
          <w:highlight w:val="none"/>
          <w:lang w:val="zh-CN"/>
        </w:rPr>
        <w:t>2</w:t>
      </w:r>
      <w:r>
        <w:rPr>
          <w:rFonts w:hint="eastAsia" w:ascii="宋体" w:hAnsi="宋体"/>
          <w:color w:val="auto"/>
          <w:kern w:val="0"/>
          <w:szCs w:val="21"/>
          <w:highlight w:val="none"/>
          <w:lang w:val="zh-CN"/>
        </w:rPr>
        <w:t>个日历天内解决问题。如在规定时间内不能解决问题，应提供同规格的替代设备给用户代用，直至设备故障修复。</w:t>
      </w:r>
    </w:p>
    <w:p>
      <w:pPr>
        <w:snapToGrid w:val="0"/>
        <w:spacing w:line="360" w:lineRule="auto"/>
        <w:ind w:firstLine="420" w:firstLineChars="200"/>
        <w:rPr>
          <w:rFonts w:ascii="宋体" w:hAnsi="宋体"/>
          <w:color w:val="auto"/>
          <w:kern w:val="0"/>
          <w:szCs w:val="21"/>
          <w:highlight w:val="none"/>
          <w:u w:val="singl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.3</w:t>
      </w:r>
      <w:r>
        <w:rPr>
          <w:rFonts w:hint="eastAsia" w:ascii="宋体" w:hAnsi="宋体"/>
          <w:color w:val="auto"/>
          <w:kern w:val="0"/>
          <w:szCs w:val="21"/>
          <w:highlight w:val="none"/>
          <w:lang w:val="zh-CN"/>
        </w:rPr>
        <w:t>为保证能够及时维修维护，承包人应免费提供一些常用的、易损的备品备件，并放在用户处，这些备品备件列述在投标文件的备品备件清单中。</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.4</w:t>
      </w:r>
      <w:r>
        <w:rPr>
          <w:rFonts w:hint="eastAsia" w:ascii="宋体" w:hAnsi="宋体"/>
          <w:color w:val="auto"/>
          <w:kern w:val="0"/>
          <w:szCs w:val="21"/>
          <w:highlight w:val="none"/>
          <w:lang w:val="zh-CN"/>
        </w:rPr>
        <w:t>在质保期内，承包人应对整个系统免费提供每季度一次的维护和保养，记录系统各项运行数据，并形成维护保养书面报告交给用户。</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.5</w:t>
      </w:r>
      <w:r>
        <w:rPr>
          <w:rFonts w:hint="eastAsia" w:ascii="宋体" w:hAnsi="宋体"/>
          <w:color w:val="auto"/>
          <w:kern w:val="0"/>
          <w:szCs w:val="21"/>
          <w:highlight w:val="none"/>
          <w:lang w:val="zh-CN"/>
        </w:rPr>
        <w:t>质保期结束前，须由承包人和用户的代表进行一次全面检查，属于本项目范围内的任何缺陷必须由承包人负责修理。在修复之后，承包人应将缺陷原因、修理内容、修复的时间和日期等报告给用户，报告一式两份。</w:t>
      </w:r>
    </w:p>
    <w:p>
      <w:pPr>
        <w:snapToGrid w:val="0"/>
        <w:spacing w:line="360" w:lineRule="auto"/>
        <w:ind w:firstLine="420" w:firstLineChars="200"/>
        <w:rPr>
          <w:rFonts w:ascii="宋体" w:hAnsi="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olor w:val="auto"/>
          <w:kern w:val="0"/>
          <w:szCs w:val="21"/>
          <w:highlight w:val="none"/>
          <w:lang w:val="zh-CN"/>
        </w:rPr>
        <w:t>5</w:t>
      </w:r>
      <w:r>
        <w:rPr>
          <w:rFonts w:ascii="宋体" w:hAnsi="宋体"/>
          <w:color w:val="auto"/>
          <w:kern w:val="0"/>
          <w:szCs w:val="21"/>
          <w:highlight w:val="none"/>
          <w:lang w:val="zh-CN"/>
        </w:rPr>
        <w:t>.6</w:t>
      </w:r>
      <w:r>
        <w:rPr>
          <w:rFonts w:hint="eastAsia" w:ascii="宋体" w:hAnsi="宋体"/>
          <w:color w:val="auto"/>
          <w:kern w:val="0"/>
          <w:szCs w:val="21"/>
          <w:highlight w:val="none"/>
          <w:lang w:val="zh-CN"/>
        </w:rPr>
        <w:t>投标文件的售后服务承诺中其它更好的条款。</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16、违约赔偿</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6</w:t>
      </w:r>
      <w:r>
        <w:rPr>
          <w:rFonts w:ascii="宋体" w:hAnsi="宋体"/>
          <w:color w:val="auto"/>
          <w:szCs w:val="21"/>
          <w:highlight w:val="none"/>
          <w:lang w:val="zh-CN"/>
        </w:rPr>
        <w:t>.1</w:t>
      </w:r>
      <w:r>
        <w:rPr>
          <w:rFonts w:hint="eastAsia" w:ascii="宋体" w:hAnsi="宋体"/>
          <w:color w:val="auto"/>
          <w:szCs w:val="21"/>
          <w:highlight w:val="none"/>
          <w:lang w:val="zh-CN"/>
        </w:rPr>
        <w:t>工期延迟</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除不可抗力外，承包人未经发包人同意而拖延工期的，每逾期一天处以1000元的违约金。工期延迟的违约金金额达到合同总价</w:t>
      </w:r>
      <w:r>
        <w:rPr>
          <w:rFonts w:ascii="宋体" w:hAnsi="宋体"/>
          <w:color w:val="auto"/>
          <w:szCs w:val="21"/>
          <w:highlight w:val="none"/>
          <w:lang w:val="zh-CN"/>
        </w:rPr>
        <w:t>5</w:t>
      </w:r>
      <w:r>
        <w:rPr>
          <w:rFonts w:hint="eastAsia" w:ascii="宋体" w:hAnsi="宋体"/>
          <w:color w:val="auto"/>
          <w:szCs w:val="21"/>
          <w:highlight w:val="none"/>
          <w:lang w:val="zh-CN"/>
        </w:rPr>
        <w:t xml:space="preserve">%时，承包人仍不能完工的，发包人可以终止合同，由此造成发包人损失的，承包人应承担赔偿责任。  </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6</w:t>
      </w:r>
      <w:r>
        <w:rPr>
          <w:rFonts w:ascii="宋体" w:hAnsi="宋体"/>
          <w:color w:val="auto"/>
          <w:szCs w:val="21"/>
          <w:highlight w:val="none"/>
          <w:lang w:val="zh-CN"/>
        </w:rPr>
        <w:t>.2</w:t>
      </w:r>
      <w:r>
        <w:rPr>
          <w:rFonts w:hint="eastAsia" w:ascii="宋体" w:hAnsi="宋体"/>
          <w:color w:val="auto"/>
          <w:szCs w:val="21"/>
          <w:highlight w:val="none"/>
          <w:lang w:val="zh-CN"/>
        </w:rPr>
        <w:t>质量</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承包人提供的设备材料、安装施工未达到合同规定的质量要求，造成本</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的缺陷，承包人除负担发生的一切损失费用外，发包人对造成的损失保留索赔的权力。</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6</w:t>
      </w:r>
      <w:r>
        <w:rPr>
          <w:rFonts w:ascii="宋体" w:hAnsi="宋体"/>
          <w:color w:val="auto"/>
          <w:szCs w:val="21"/>
          <w:highlight w:val="none"/>
          <w:lang w:val="zh-CN"/>
        </w:rPr>
        <w:t>.</w:t>
      </w:r>
      <w:r>
        <w:rPr>
          <w:rFonts w:hint="eastAsia" w:ascii="宋体" w:hAnsi="宋体"/>
          <w:color w:val="auto"/>
          <w:szCs w:val="21"/>
          <w:highlight w:val="none"/>
          <w:lang w:val="zh-CN"/>
        </w:rPr>
        <w:t>3承包人未能履行合同规定的义务，并在收到发包人的违约通知后未能纠正其过失的，</w:t>
      </w:r>
      <w:r>
        <w:rPr>
          <w:rFonts w:hint="eastAsia" w:ascii="宋体" w:hAnsi="宋体"/>
          <w:color w:val="auto"/>
          <w:kern w:val="0"/>
          <w:szCs w:val="21"/>
          <w:highlight w:val="none"/>
        </w:rPr>
        <w:t>发包人和丙方</w:t>
      </w:r>
      <w:r>
        <w:rPr>
          <w:rFonts w:hint="eastAsia" w:ascii="宋体" w:hAnsi="宋体"/>
          <w:color w:val="auto"/>
          <w:szCs w:val="21"/>
          <w:highlight w:val="none"/>
          <w:lang w:val="zh-CN"/>
        </w:rPr>
        <w:t>有权从未支付的合同款中扣除其违约金，如果这些金额不足以补偿索赔金额，</w:t>
      </w:r>
      <w:r>
        <w:rPr>
          <w:rFonts w:hint="eastAsia" w:ascii="宋体" w:hAnsi="宋体"/>
          <w:color w:val="auto"/>
          <w:kern w:val="0"/>
          <w:szCs w:val="21"/>
          <w:highlight w:val="none"/>
        </w:rPr>
        <w:t>发包人和丙方</w:t>
      </w:r>
      <w:r>
        <w:rPr>
          <w:rFonts w:hint="eastAsia" w:ascii="宋体" w:hAnsi="宋体"/>
          <w:color w:val="auto"/>
          <w:szCs w:val="21"/>
          <w:highlight w:val="none"/>
          <w:lang w:val="zh-CN"/>
        </w:rPr>
        <w:t>有权向承包人提出不足部分的补偿。</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16.4承包人因验收不合格更换货物、重新提供服务或整改后应保证一次性验收合格，如果再次验收不合格，发包方可退货并终止合同，因此给发包方造成损失的，承包人须承担赔偿责任。</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rPr>
        <w:t>17、合同纠纷</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7</w:t>
      </w:r>
      <w:r>
        <w:rPr>
          <w:rFonts w:ascii="宋体" w:hAnsi="宋体"/>
          <w:color w:val="auto"/>
          <w:szCs w:val="21"/>
          <w:highlight w:val="none"/>
          <w:lang w:val="zh-CN"/>
        </w:rPr>
        <w:t>.1</w:t>
      </w:r>
      <w:r>
        <w:rPr>
          <w:rFonts w:hint="eastAsia" w:ascii="宋体" w:hAnsi="宋体"/>
          <w:color w:val="auto"/>
          <w:szCs w:val="21"/>
          <w:highlight w:val="none"/>
          <w:lang w:val="zh-CN"/>
        </w:rPr>
        <w:t>合同各方通过友好协商，解决在执行本合同中所发生的或与本合同有关的一切争端，如果协商仍得不到解决，</w:t>
      </w:r>
      <w:r>
        <w:rPr>
          <w:rFonts w:hint="eastAsia" w:ascii="宋体" w:hAnsi="宋体"/>
          <w:color w:val="auto"/>
          <w:szCs w:val="21"/>
          <w:highlight w:val="none"/>
        </w:rPr>
        <w:t>可向宁波市北仑区人民法院申请诉讼。</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7</w:t>
      </w:r>
      <w:r>
        <w:rPr>
          <w:rFonts w:ascii="宋体" w:hAnsi="宋体"/>
          <w:color w:val="auto"/>
          <w:szCs w:val="21"/>
          <w:highlight w:val="none"/>
          <w:lang w:val="zh-CN"/>
        </w:rPr>
        <w:t>.2</w:t>
      </w:r>
      <w:r>
        <w:rPr>
          <w:rFonts w:hint="eastAsia" w:ascii="宋体" w:hAnsi="宋体"/>
          <w:color w:val="auto"/>
          <w:szCs w:val="21"/>
          <w:highlight w:val="none"/>
          <w:lang w:val="zh-CN"/>
        </w:rPr>
        <w:t>在诉讼期间，除正在进行诉讼的部分外，本合同其它部分应继续执行。</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18、转让和分包</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8</w:t>
      </w:r>
      <w:r>
        <w:rPr>
          <w:rFonts w:ascii="宋体" w:hAnsi="宋体"/>
          <w:color w:val="auto"/>
          <w:szCs w:val="21"/>
          <w:highlight w:val="none"/>
          <w:lang w:val="zh-CN"/>
        </w:rPr>
        <w:t>.1</w:t>
      </w:r>
      <w:r>
        <w:rPr>
          <w:rFonts w:hint="eastAsia" w:ascii="宋体" w:hAnsi="宋体"/>
          <w:color w:val="auto"/>
          <w:szCs w:val="21"/>
          <w:highlight w:val="none"/>
          <w:lang w:val="zh-CN"/>
        </w:rPr>
        <w:t>未经发包人书面同意，承包人不得部分转让或全部转让其应履行的合同义务。</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1</w:t>
      </w:r>
      <w:r>
        <w:rPr>
          <w:rFonts w:hint="eastAsia" w:ascii="宋体" w:hAnsi="宋体"/>
          <w:color w:val="auto"/>
          <w:szCs w:val="21"/>
          <w:highlight w:val="none"/>
          <w:lang w:val="zh-CN"/>
        </w:rPr>
        <w:t>8</w:t>
      </w:r>
      <w:r>
        <w:rPr>
          <w:rFonts w:ascii="宋体" w:hAnsi="宋体"/>
          <w:color w:val="auto"/>
          <w:szCs w:val="21"/>
          <w:highlight w:val="none"/>
          <w:lang w:val="zh-CN"/>
        </w:rPr>
        <w:t>.2</w:t>
      </w:r>
      <w:r>
        <w:rPr>
          <w:rFonts w:hint="eastAsia" w:ascii="宋体" w:hAnsi="宋体"/>
          <w:color w:val="auto"/>
          <w:szCs w:val="21"/>
          <w:highlight w:val="none"/>
          <w:lang w:val="zh-CN"/>
        </w:rPr>
        <w:t>承包人如果征得发包人同意，可以采取分包方式履行合同，承包人就整个合同内容和分包合同内容向发包人负责。</w:t>
      </w:r>
    </w:p>
    <w:p>
      <w:pPr>
        <w:snapToGrid w:val="0"/>
        <w:spacing w:line="360" w:lineRule="auto"/>
        <w:ind w:firstLine="420" w:firstLineChars="200"/>
        <w:rPr>
          <w:rFonts w:ascii="宋体" w:hAnsi="宋体"/>
          <w:b/>
          <w:color w:val="auto"/>
          <w:szCs w:val="21"/>
          <w:highlight w:val="none"/>
          <w:lang w:val="zh-CN"/>
        </w:rPr>
      </w:pPr>
      <w:r>
        <w:rPr>
          <w:rFonts w:hint="eastAsia" w:ascii="宋体" w:hAnsi="宋体"/>
          <w:b/>
          <w:color w:val="auto"/>
          <w:szCs w:val="21"/>
          <w:highlight w:val="none"/>
          <w:lang w:val="zh-CN"/>
        </w:rPr>
        <w:t>19、总包配合规定</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19.1总包配合费为本合同价的</w:t>
      </w:r>
      <w:r>
        <w:rPr>
          <w:rFonts w:hint="eastAsia" w:ascii="宋体" w:hAnsi="宋体"/>
          <w:color w:val="auto"/>
          <w:szCs w:val="21"/>
          <w:highlight w:val="none"/>
          <w:u w:val="single"/>
          <w:lang w:val="zh-CN"/>
        </w:rPr>
        <w:t xml:space="preserve"> 2 </w:t>
      </w:r>
      <w:r>
        <w:rPr>
          <w:rFonts w:hint="eastAsia" w:ascii="宋体" w:hAnsi="宋体"/>
          <w:color w:val="auto"/>
          <w:szCs w:val="21"/>
          <w:highlight w:val="none"/>
          <w:lang w:val="zh-CN"/>
        </w:rPr>
        <w:t>%，已包含在总投标价中。总包配合费在承包人收到第一笔</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款后支付给本</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的总承包方</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，水电费按实计量，履约验收后与总承包方结算。</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19.2承包人应配合总承包人的管理。</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19.3承包人必须满足发包人的合理要求，并通知合同相关条款约定责任及义务。</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rPr>
        <w:t>20、</w:t>
      </w:r>
      <w:r>
        <w:rPr>
          <w:rFonts w:hint="eastAsia" w:ascii="宋体" w:hAnsi="宋体"/>
          <w:b/>
          <w:bCs/>
          <w:color w:val="auto"/>
          <w:szCs w:val="21"/>
          <w:highlight w:val="none"/>
          <w:lang w:val="zh-CN"/>
        </w:rPr>
        <w:t>税费</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20.1根据国家现行税法对买方征收的与本合同有关的一切税费均由买方负担。</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20.2根据国家现行税法对供应商征收的与本合同有关的一切税费均由供应商负担。</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20</w:t>
      </w:r>
      <w:r>
        <w:rPr>
          <w:rFonts w:ascii="宋体" w:hAnsi="宋体"/>
          <w:color w:val="auto"/>
          <w:szCs w:val="21"/>
          <w:highlight w:val="none"/>
          <w:lang w:val="zh-CN"/>
        </w:rPr>
        <w:t>.3</w:t>
      </w:r>
      <w:r>
        <w:rPr>
          <w:rFonts w:hint="eastAsia" w:ascii="宋体" w:hAnsi="宋体"/>
          <w:color w:val="auto"/>
          <w:szCs w:val="21"/>
          <w:highlight w:val="none"/>
          <w:lang w:val="zh-CN"/>
        </w:rPr>
        <w:t>在中国境外发生的与本合同执行有关的一切税费均由供应商负担。</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rPr>
        <w:t>21、廉政建设</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21.1发、承包双方应建立健全廉政制度，互相监督并认真查处违法违纪行为。发现对方在业务活动中有违反本合同行为的，有及时提醒对方纠正的权利和义务。情节严重的，有向其上级有关部门举报、建议给予处分并要求告知处理结果的权利。</w:t>
      </w:r>
    </w:p>
    <w:p>
      <w:pPr>
        <w:pStyle w:val="5"/>
        <w:snapToGrid w:val="0"/>
        <w:spacing w:after="0" w:line="360" w:lineRule="auto"/>
        <w:ind w:left="0" w:leftChars="0" w:firstLine="420" w:firstLineChars="200"/>
        <w:rPr>
          <w:rFonts w:ascii="宋体" w:hAnsi="宋体"/>
          <w:color w:val="auto"/>
          <w:szCs w:val="21"/>
          <w:highlight w:val="none"/>
          <w:lang w:val="zh-CN"/>
        </w:rPr>
      </w:pPr>
      <w:r>
        <w:rPr>
          <w:rFonts w:hint="eastAsia" w:ascii="宋体" w:hAnsi="宋体"/>
          <w:color w:val="auto"/>
          <w:szCs w:val="21"/>
          <w:highlight w:val="none"/>
          <w:lang w:val="zh-CN"/>
        </w:rPr>
        <w:t>21.2承包方承诺，如违反廉政规定，违规向发包方工作人员赠物送钱，发包方可向建设行政等部门提议并将其列入不良市场行为进行通报公示，限制承包方在北仑区承接政府投资项目施工业务5年。</w:t>
      </w:r>
    </w:p>
    <w:p>
      <w:pPr>
        <w:pStyle w:val="5"/>
        <w:snapToGrid w:val="0"/>
        <w:spacing w:after="0" w:line="360" w:lineRule="auto"/>
        <w:ind w:left="0" w:leftChars="0" w:firstLine="420" w:firstLineChars="200"/>
        <w:rPr>
          <w:rFonts w:ascii="宋体" w:hAnsi="宋体"/>
          <w:color w:val="auto"/>
          <w:szCs w:val="21"/>
          <w:highlight w:val="none"/>
          <w:lang w:val="zh-CN"/>
        </w:rPr>
      </w:pPr>
      <w:r>
        <w:rPr>
          <w:rFonts w:hint="eastAsia" w:ascii="宋体" w:hAnsi="宋体"/>
          <w:color w:val="auto"/>
          <w:szCs w:val="21"/>
          <w:highlight w:val="none"/>
          <w:lang w:val="zh-CN"/>
        </w:rPr>
        <w:t>21.3双方约定：承包方发生行贿等违反廉政法规的行为，导致发包方工作人员受行政处分乃至刑事处罚的，发包方出具通知书直接从合同款中进行扣除，扣款额度视情节严重程度计算；</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验收合格后两年内如发现承包方有违反廉政法规行为，发包方有权追索。</w:t>
      </w:r>
    </w:p>
    <w:p>
      <w:pPr>
        <w:pStyle w:val="5"/>
        <w:snapToGrid w:val="0"/>
        <w:spacing w:after="0" w:line="360" w:lineRule="auto"/>
        <w:ind w:left="0" w:leftChars="0" w:firstLine="420" w:firstLineChars="200"/>
        <w:rPr>
          <w:rFonts w:ascii="宋体" w:hAnsi="宋体"/>
          <w:b/>
          <w:color w:val="auto"/>
          <w:szCs w:val="21"/>
          <w:highlight w:val="none"/>
          <w:lang w:val="zh-CN"/>
        </w:rPr>
      </w:pPr>
      <w:r>
        <w:rPr>
          <w:rFonts w:hint="eastAsia" w:ascii="宋体" w:hAnsi="宋体"/>
          <w:b/>
          <w:color w:val="auto"/>
          <w:szCs w:val="21"/>
          <w:highlight w:val="none"/>
          <w:lang w:val="zh-CN"/>
        </w:rPr>
        <w:t>22、其它约定</w:t>
      </w:r>
    </w:p>
    <w:p>
      <w:pPr>
        <w:pStyle w:val="5"/>
        <w:snapToGrid w:val="0"/>
        <w:spacing w:after="0" w:line="360" w:lineRule="auto"/>
        <w:ind w:left="0" w:leftChars="0" w:firstLine="420" w:firstLineChars="200"/>
        <w:rPr>
          <w:rFonts w:ascii="宋体" w:hAnsi="宋体"/>
          <w:color w:val="auto"/>
          <w:szCs w:val="21"/>
          <w:highlight w:val="none"/>
          <w:lang w:val="zh-CN"/>
        </w:rPr>
      </w:pPr>
      <w:r>
        <w:rPr>
          <w:rFonts w:hint="eastAsia" w:ascii="宋体" w:hAnsi="宋体"/>
          <w:color w:val="auto"/>
          <w:szCs w:val="21"/>
          <w:highlight w:val="none"/>
          <w:lang w:val="zh-CN"/>
        </w:rPr>
        <w:t>发包方若发现承包方投标文件中所提供货物的规格、型号、技术参数等有低于招标文件及图纸要求的，承包方应按招标文件及图纸的要求予以调高，且中标价不作调整，否则发包方有权不签订合同或终止合同的执行，重新组织评标或招标，由此所产生的相关费用及损失均由承包方承担。</w:t>
      </w:r>
    </w:p>
    <w:p>
      <w:pPr>
        <w:pStyle w:val="5"/>
        <w:snapToGrid w:val="0"/>
        <w:spacing w:after="0" w:line="360" w:lineRule="auto"/>
        <w:ind w:left="0" w:leftChars="0" w:firstLine="420" w:firstLineChars="200"/>
        <w:rPr>
          <w:rFonts w:ascii="宋体" w:hAnsi="宋体"/>
          <w:color w:val="auto"/>
          <w:szCs w:val="21"/>
          <w:highlight w:val="none"/>
          <w:lang w:val="zh-CN"/>
        </w:rPr>
      </w:pPr>
      <w:r>
        <w:rPr>
          <w:rFonts w:hint="eastAsia" w:ascii="宋体" w:hAnsi="宋体"/>
          <w:color w:val="auto"/>
          <w:szCs w:val="21"/>
          <w:highlight w:val="none"/>
          <w:lang w:val="zh-CN"/>
        </w:rPr>
        <w:t>履约最终验收合格后，发包方将对承包方进行履约考核评分。</w:t>
      </w:r>
    </w:p>
    <w:p>
      <w:pPr>
        <w:snapToGrid w:val="0"/>
        <w:spacing w:line="360" w:lineRule="auto"/>
        <w:ind w:firstLine="411" w:firstLineChars="196"/>
        <w:rPr>
          <w:rFonts w:ascii="宋体" w:hAnsi="宋体"/>
          <w:b/>
          <w:bCs/>
          <w:color w:val="auto"/>
          <w:szCs w:val="21"/>
          <w:highlight w:val="none"/>
        </w:rPr>
      </w:pPr>
      <w:r>
        <w:rPr>
          <w:rFonts w:ascii="宋体" w:hAnsi="宋体"/>
          <w:b/>
          <w:bCs/>
          <w:color w:val="auto"/>
          <w:szCs w:val="21"/>
          <w:highlight w:val="none"/>
        </w:rPr>
        <w:t>2</w:t>
      </w:r>
      <w:r>
        <w:rPr>
          <w:rFonts w:hint="eastAsia" w:ascii="宋体" w:hAnsi="宋体"/>
          <w:b/>
          <w:bCs/>
          <w:color w:val="auto"/>
          <w:szCs w:val="21"/>
          <w:highlight w:val="none"/>
        </w:rPr>
        <w:t>3、</w:t>
      </w:r>
      <w:r>
        <w:rPr>
          <w:rFonts w:hint="eastAsia" w:ascii="宋体" w:hAnsi="宋体"/>
          <w:b/>
          <w:bCs/>
          <w:color w:val="auto"/>
          <w:szCs w:val="21"/>
          <w:highlight w:val="none"/>
          <w:lang w:val="zh-CN"/>
        </w:rPr>
        <w:t>合同附件</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与本合同有关的招标文件、投标文件、设计图纸、询标答疑或承诺书（若有）、中标通知书、补充合同（若有）及有关本</w:t>
      </w:r>
      <w:r>
        <w:rPr>
          <w:rFonts w:hint="eastAsia" w:ascii="宋体" w:hAnsi="宋体"/>
          <w:color w:val="auto"/>
          <w:kern w:val="0"/>
          <w:szCs w:val="21"/>
          <w:highlight w:val="none"/>
          <w:lang w:val="zh-CN"/>
        </w:rPr>
        <w:t>项目</w:t>
      </w:r>
      <w:r>
        <w:rPr>
          <w:rFonts w:hint="eastAsia" w:ascii="宋体" w:hAnsi="宋体"/>
          <w:color w:val="auto"/>
          <w:szCs w:val="21"/>
          <w:highlight w:val="none"/>
          <w:lang w:val="zh-CN"/>
        </w:rPr>
        <w:t>往来文件（会议纪要、往来信函、签证联系单等）均为合同的组成部分，与本合同具有同等法律效力。</w:t>
      </w:r>
    </w:p>
    <w:p>
      <w:pPr>
        <w:snapToGrid w:val="0"/>
        <w:spacing w:line="360" w:lineRule="auto"/>
        <w:ind w:firstLine="411" w:firstLineChars="196"/>
        <w:rPr>
          <w:rFonts w:ascii="宋体" w:hAnsi="宋体"/>
          <w:b/>
          <w:bCs/>
          <w:color w:val="auto"/>
          <w:szCs w:val="21"/>
          <w:highlight w:val="none"/>
        </w:rPr>
      </w:pPr>
      <w:r>
        <w:rPr>
          <w:rFonts w:ascii="宋体" w:hAnsi="宋体"/>
          <w:b/>
          <w:bCs/>
          <w:color w:val="auto"/>
          <w:szCs w:val="21"/>
          <w:highlight w:val="none"/>
        </w:rPr>
        <w:t>2</w:t>
      </w:r>
      <w:r>
        <w:rPr>
          <w:rFonts w:hint="eastAsia" w:ascii="宋体" w:hAnsi="宋体"/>
          <w:b/>
          <w:bCs/>
          <w:color w:val="auto"/>
          <w:szCs w:val="21"/>
          <w:highlight w:val="none"/>
        </w:rPr>
        <w:t>4、</w:t>
      </w:r>
      <w:r>
        <w:rPr>
          <w:rFonts w:hint="eastAsia" w:ascii="宋体" w:hAnsi="宋体"/>
          <w:b/>
          <w:bCs/>
          <w:color w:val="auto"/>
          <w:szCs w:val="21"/>
          <w:highlight w:val="none"/>
          <w:lang w:val="zh-CN"/>
        </w:rPr>
        <w:t>未尽事宜</w:t>
      </w:r>
    </w:p>
    <w:p>
      <w:pPr>
        <w:snapToGrid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未尽事宜，三方协商解决，欲对合同条款进行任何改动，均须由三方签署书面的补充合同。</w:t>
      </w:r>
    </w:p>
    <w:p>
      <w:pPr>
        <w:snapToGrid w:val="0"/>
        <w:spacing w:line="360" w:lineRule="auto"/>
        <w:ind w:firstLine="411" w:firstLineChars="196"/>
        <w:rPr>
          <w:rFonts w:ascii="宋体" w:hAnsi="宋体"/>
          <w:b/>
          <w:bCs/>
          <w:color w:val="auto"/>
          <w:szCs w:val="21"/>
          <w:highlight w:val="none"/>
        </w:rPr>
      </w:pPr>
      <w:r>
        <w:rPr>
          <w:rFonts w:hint="eastAsia" w:ascii="宋体" w:hAnsi="宋体"/>
          <w:b/>
          <w:bCs/>
          <w:color w:val="auto"/>
          <w:szCs w:val="21"/>
          <w:highlight w:val="none"/>
          <w:lang w:val="zh-CN"/>
        </w:rPr>
        <w:t>25、合同生效</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2</w:t>
      </w:r>
      <w:r>
        <w:rPr>
          <w:rFonts w:hint="eastAsia" w:ascii="宋体" w:hAnsi="宋体"/>
          <w:color w:val="auto"/>
          <w:szCs w:val="21"/>
          <w:highlight w:val="none"/>
          <w:lang w:val="zh-CN"/>
        </w:rPr>
        <w:t>5</w:t>
      </w:r>
      <w:r>
        <w:rPr>
          <w:rFonts w:ascii="宋体" w:hAnsi="宋体"/>
          <w:color w:val="auto"/>
          <w:szCs w:val="21"/>
          <w:highlight w:val="none"/>
          <w:lang w:val="zh-CN"/>
        </w:rPr>
        <w:t>.</w:t>
      </w:r>
      <w:r>
        <w:rPr>
          <w:rFonts w:hint="eastAsia" w:ascii="宋体" w:hAnsi="宋体"/>
          <w:color w:val="auto"/>
          <w:szCs w:val="21"/>
          <w:highlight w:val="none"/>
          <w:lang w:val="zh-CN"/>
        </w:rPr>
        <w:t>1合同订立地点：</w:t>
      </w:r>
      <w:r>
        <w:rPr>
          <w:rFonts w:ascii="宋体" w:hAnsi="宋体"/>
          <w:color w:val="auto"/>
          <w:szCs w:val="21"/>
          <w:highlight w:val="none"/>
          <w:u w:val="single"/>
          <w:lang w:val="zh-CN"/>
        </w:rPr>
        <w:t xml:space="preserve"> </w:t>
      </w:r>
      <w:r>
        <w:rPr>
          <w:rFonts w:hint="eastAsia" w:ascii="宋体" w:hAnsi="宋体"/>
          <w:color w:val="auto"/>
          <w:szCs w:val="21"/>
          <w:highlight w:val="none"/>
          <w:u w:val="single"/>
          <w:lang w:val="zh-CN"/>
        </w:rPr>
        <w:t>宁波市北仑区</w:t>
      </w:r>
      <w:r>
        <w:rPr>
          <w:rFonts w:ascii="宋体" w:hAnsi="宋体"/>
          <w:color w:val="auto"/>
          <w:szCs w:val="21"/>
          <w:highlight w:val="none"/>
          <w:u w:val="single"/>
          <w:lang w:val="zh-CN"/>
        </w:rPr>
        <w:t xml:space="preserve">          </w:t>
      </w:r>
      <w:r>
        <w:rPr>
          <w:rFonts w:hint="eastAsia" w:ascii="宋体" w:hAnsi="宋体"/>
          <w:color w:val="auto"/>
          <w:szCs w:val="21"/>
          <w:highlight w:val="none"/>
          <w:lang w:val="zh-CN"/>
        </w:rPr>
        <w:t>。</w:t>
      </w:r>
    </w:p>
    <w:p>
      <w:pPr>
        <w:snapToGrid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2</w:t>
      </w:r>
      <w:r>
        <w:rPr>
          <w:rFonts w:hint="eastAsia" w:ascii="宋体" w:hAnsi="宋体"/>
          <w:color w:val="auto"/>
          <w:szCs w:val="21"/>
          <w:highlight w:val="none"/>
          <w:lang w:val="zh-CN"/>
        </w:rPr>
        <w:t>5.2</w:t>
      </w:r>
      <w:r>
        <w:rPr>
          <w:rFonts w:hint="eastAsia" w:ascii="宋体" w:hAnsi="宋体"/>
          <w:color w:val="auto"/>
          <w:szCs w:val="21"/>
          <w:highlight w:val="none"/>
        </w:rPr>
        <w:t>本合同一式</w:t>
      </w:r>
      <w:r>
        <w:rPr>
          <w:rFonts w:hint="eastAsia" w:ascii="宋体" w:hAnsi="宋体"/>
          <w:color w:val="auto"/>
          <w:szCs w:val="21"/>
          <w:highlight w:val="none"/>
          <w:u w:val="single"/>
        </w:rPr>
        <w:t xml:space="preserve">   </w:t>
      </w:r>
      <w:r>
        <w:rPr>
          <w:rFonts w:hint="eastAsia" w:ascii="宋体" w:hAnsi="宋体"/>
          <w:color w:val="auto"/>
          <w:szCs w:val="21"/>
          <w:highlight w:val="none"/>
        </w:rPr>
        <w:t>份，发包人、承包人和丙方三方各执</w:t>
      </w:r>
      <w:r>
        <w:rPr>
          <w:rFonts w:hint="eastAsia" w:ascii="宋体" w:hAnsi="宋体"/>
          <w:color w:val="auto"/>
          <w:szCs w:val="21"/>
          <w:highlight w:val="none"/>
          <w:u w:val="single"/>
        </w:rPr>
        <w:t xml:space="preserve">   </w:t>
      </w:r>
      <w:r>
        <w:rPr>
          <w:rFonts w:hint="eastAsia" w:ascii="宋体" w:hAnsi="宋体"/>
          <w:color w:val="auto"/>
          <w:szCs w:val="21"/>
          <w:highlight w:val="none"/>
        </w:rPr>
        <w:t>份。</w:t>
      </w:r>
      <w:r>
        <w:rPr>
          <w:rFonts w:hint="eastAsia" w:ascii="宋体" w:hAnsi="宋体"/>
          <w:color w:val="auto"/>
          <w:szCs w:val="21"/>
          <w:highlight w:val="none"/>
          <w:lang w:val="zh-CN"/>
        </w:rPr>
        <w:t>在三方签字盖章后开始生效。</w:t>
      </w:r>
    </w:p>
    <w:p>
      <w:pPr>
        <w:snapToGrid w:val="0"/>
        <w:spacing w:line="360" w:lineRule="auto"/>
        <w:rPr>
          <w:rFonts w:ascii="宋体" w:hAnsi="宋体"/>
          <w:color w:val="auto"/>
          <w:kern w:val="0"/>
          <w:szCs w:val="21"/>
          <w:highlight w:val="none"/>
          <w:lang w:val="zh-CN"/>
        </w:rPr>
      </w:pPr>
    </w:p>
    <w:p>
      <w:pPr>
        <w:snapToGrid w:val="0"/>
        <w:spacing w:line="360" w:lineRule="auto"/>
        <w:rPr>
          <w:rFonts w:ascii="宋体" w:hAnsi="宋体"/>
          <w:color w:val="auto"/>
          <w:kern w:val="0"/>
          <w:szCs w:val="21"/>
          <w:highlight w:val="none"/>
          <w:lang w:val="zh-CN"/>
        </w:rPr>
      </w:pPr>
    </w:p>
    <w:p>
      <w:pPr>
        <w:snapToGrid w:val="0"/>
        <w:spacing w:line="360" w:lineRule="auto"/>
        <w:rPr>
          <w:rFonts w:ascii="宋体" w:hAnsi="宋体"/>
          <w:color w:val="auto"/>
          <w:kern w:val="0"/>
          <w:szCs w:val="21"/>
          <w:highlight w:val="none"/>
          <w:lang w:val="zh-CN"/>
        </w:rPr>
      </w:pPr>
      <w:r>
        <w:rPr>
          <w:rFonts w:hint="eastAsia" w:ascii="宋体" w:hAnsi="宋体"/>
          <w:color w:val="auto"/>
          <w:kern w:val="0"/>
          <w:szCs w:val="21"/>
          <w:highlight w:val="none"/>
          <w:lang w:val="zh-CN"/>
        </w:rPr>
        <w:t>发包人：</w:t>
      </w:r>
      <w:r>
        <w:rPr>
          <w:rFonts w:hint="eastAsia"/>
          <w:color w:val="auto"/>
          <w:highlight w:val="none"/>
        </w:rPr>
        <w:t>宁波市北仑区公共项目建设管理中心</w:t>
      </w:r>
      <w:r>
        <w:rPr>
          <w:rFonts w:ascii="宋体" w:hAnsi="宋体"/>
          <w:color w:val="auto"/>
          <w:kern w:val="0"/>
          <w:szCs w:val="21"/>
          <w:highlight w:val="none"/>
          <w:lang w:val="zh-CN"/>
        </w:rPr>
        <w:t xml:space="preserve">  </w:t>
      </w:r>
      <w:r>
        <w:rPr>
          <w:rFonts w:hint="eastAsia" w:ascii="宋体" w:hAnsi="宋体"/>
          <w:color w:val="auto"/>
          <w:kern w:val="0"/>
          <w:szCs w:val="21"/>
          <w:highlight w:val="none"/>
          <w:lang w:val="zh-CN"/>
        </w:rPr>
        <w:t xml:space="preserve">    </w:t>
      </w:r>
      <w:r>
        <w:rPr>
          <w:rFonts w:ascii="宋体" w:hAnsi="宋体"/>
          <w:color w:val="auto"/>
          <w:kern w:val="0"/>
          <w:szCs w:val="21"/>
          <w:highlight w:val="none"/>
          <w:lang w:val="zh-CN"/>
        </w:rPr>
        <w:t xml:space="preserve"> </w:t>
      </w:r>
      <w:r>
        <w:rPr>
          <w:rFonts w:hint="eastAsia" w:ascii="宋体" w:hAnsi="宋体"/>
          <w:color w:val="auto"/>
          <w:kern w:val="0"/>
          <w:szCs w:val="21"/>
          <w:highlight w:val="none"/>
          <w:lang w:val="zh-CN"/>
        </w:rPr>
        <w:t>承包人：</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rPr>
          <w:rFonts w:ascii="宋体" w:hAnsi="宋体"/>
          <w:color w:val="auto"/>
          <w:szCs w:val="21"/>
          <w:highlight w:val="none"/>
        </w:rPr>
      </w:pPr>
      <w:r>
        <w:rPr>
          <w:rFonts w:hint="eastAsia" w:ascii="宋体" w:hAnsi="宋体"/>
          <w:color w:val="auto"/>
          <w:szCs w:val="21"/>
          <w:highlight w:val="none"/>
        </w:rPr>
        <w:t>法定代表人或授权代表（签字）：                  法定代表人或授权代表（签字）：</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rPr>
          <w:rFonts w:ascii="宋体" w:hAnsi="宋体"/>
          <w:color w:val="auto"/>
          <w:szCs w:val="21"/>
          <w:highlight w:val="none"/>
        </w:rPr>
      </w:pPr>
      <w:r>
        <w:rPr>
          <w:rFonts w:hint="eastAsia" w:ascii="宋体" w:hAnsi="宋体"/>
          <w:color w:val="auto"/>
          <w:szCs w:val="21"/>
          <w:highlight w:val="none"/>
        </w:rPr>
        <w:t>联系方式：（电话）                              联系方式：（电话）</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日期：      年   月   日                       日期：     年   月   日</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napToGrid w:val="0"/>
        <w:spacing w:line="360" w:lineRule="auto"/>
        <w:rPr>
          <w:rFonts w:ascii="宋体" w:hAnsi="宋体"/>
          <w:strike/>
          <w:color w:val="auto"/>
          <w:kern w:val="0"/>
          <w:szCs w:val="21"/>
          <w:highlight w:val="none"/>
          <w:lang w:val="zh-CN"/>
        </w:rPr>
      </w:pPr>
      <w:r>
        <w:rPr>
          <w:rFonts w:hint="eastAsia" w:ascii="宋体" w:hAnsi="宋体"/>
          <w:color w:val="auto"/>
          <w:kern w:val="0"/>
          <w:szCs w:val="21"/>
          <w:highlight w:val="none"/>
          <w:lang w:val="zh-CN"/>
        </w:rPr>
        <w:t>丙方：宁波市北仑教育发展有限公司</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rPr>
          <w:rFonts w:ascii="宋体" w:hAnsi="宋体"/>
          <w:color w:val="auto"/>
          <w:szCs w:val="21"/>
          <w:highlight w:val="none"/>
        </w:rPr>
      </w:pPr>
      <w:r>
        <w:rPr>
          <w:rFonts w:hint="eastAsia" w:ascii="宋体" w:hAnsi="宋体"/>
          <w:color w:val="auto"/>
          <w:szCs w:val="21"/>
          <w:highlight w:val="none"/>
        </w:rPr>
        <w:t>法定代表人或授权代表（签字）：</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rPr>
          <w:rFonts w:ascii="宋体" w:hAnsi="宋体"/>
          <w:color w:val="auto"/>
          <w:szCs w:val="21"/>
          <w:highlight w:val="none"/>
        </w:rPr>
      </w:pPr>
      <w:r>
        <w:rPr>
          <w:rFonts w:hint="eastAsia" w:ascii="宋体" w:hAnsi="宋体"/>
          <w:color w:val="auto"/>
          <w:szCs w:val="21"/>
          <w:highlight w:val="none"/>
        </w:rPr>
        <w:t>联系方式：（电话）</w:t>
      </w:r>
    </w:p>
    <w:p>
      <w:pPr>
        <w:tabs>
          <w:tab w:val="left" w:pos="2310"/>
        </w:tabs>
        <w:snapToGrid w:val="0"/>
        <w:spacing w:line="360" w:lineRule="auto"/>
        <w:rPr>
          <w:rFonts w:ascii="宋体" w:hAnsi="宋体"/>
          <w:color w:val="auto"/>
          <w:szCs w:val="21"/>
          <w:highlight w:val="none"/>
        </w:rPr>
      </w:pPr>
    </w:p>
    <w:p>
      <w:pPr>
        <w:tabs>
          <w:tab w:val="left" w:pos="2310"/>
        </w:tabs>
        <w:snapToGrid w:val="0"/>
        <w:spacing w:line="360" w:lineRule="auto"/>
        <w:jc w:val="left"/>
        <w:rPr>
          <w:rFonts w:ascii="宋体" w:hAnsi="宋体"/>
          <w:color w:val="auto"/>
          <w:szCs w:val="21"/>
          <w:highlight w:val="none"/>
        </w:rPr>
      </w:pPr>
      <w:r>
        <w:rPr>
          <w:rFonts w:hint="eastAsia" w:ascii="宋体" w:hAnsi="宋体"/>
          <w:color w:val="auto"/>
          <w:szCs w:val="21"/>
          <w:highlight w:val="none"/>
        </w:rPr>
        <w:t>日期：      年   月   日</w:t>
      </w:r>
    </w:p>
    <w:p>
      <w:pPr>
        <w:spacing w:line="360" w:lineRule="auto"/>
        <w:rPr>
          <w:rFonts w:ascii="宋体" w:hAnsi="宋体"/>
          <w:color w:val="auto"/>
          <w:highlight w:val="none"/>
        </w:rPr>
      </w:pPr>
    </w:p>
    <w:p>
      <w:pPr>
        <w:rPr>
          <w:rFonts w:ascii="宋体" w:hAnsi="宋体"/>
          <w:b/>
          <w:bCs/>
          <w:color w:val="auto"/>
          <w:sz w:val="36"/>
          <w:szCs w:val="36"/>
          <w:highlight w:val="none"/>
        </w:rPr>
      </w:pPr>
      <w:r>
        <w:rPr>
          <w:rFonts w:ascii="宋体" w:hAnsi="宋体"/>
          <w:b/>
          <w:bCs/>
          <w:color w:val="auto"/>
          <w:sz w:val="36"/>
          <w:szCs w:val="36"/>
          <w:highlight w:val="none"/>
        </w:rPr>
        <w:br w:type="page"/>
      </w:r>
    </w:p>
    <w:p>
      <w:pPr>
        <w:spacing w:before="240" w:after="312" w:afterLines="100" w:line="480" w:lineRule="auto"/>
        <w:jc w:val="center"/>
        <w:rPr>
          <w:rFonts w:ascii="宋体" w:hAnsi="宋体"/>
          <w:b/>
          <w:bCs/>
          <w:color w:val="auto"/>
          <w:sz w:val="36"/>
          <w:szCs w:val="36"/>
          <w:highlight w:val="none"/>
        </w:rPr>
      </w:pPr>
    </w:p>
    <w:p>
      <w:pPr>
        <w:spacing w:before="240" w:after="312" w:afterLines="100" w:line="480" w:lineRule="auto"/>
        <w:jc w:val="center"/>
        <w:rPr>
          <w:rFonts w:ascii="宋体" w:hAnsi="宋体"/>
          <w:b/>
          <w:bCs/>
          <w:color w:val="auto"/>
          <w:sz w:val="36"/>
          <w:szCs w:val="36"/>
          <w:highlight w:val="none"/>
        </w:rPr>
      </w:pPr>
    </w:p>
    <w:p>
      <w:pPr>
        <w:pStyle w:val="3"/>
        <w:rPr>
          <w:color w:val="auto"/>
          <w:highlight w:val="none"/>
        </w:rPr>
      </w:pPr>
      <w:bookmarkStart w:id="34" w:name="_Toc65753671"/>
      <w:r>
        <w:rPr>
          <w:rFonts w:hint="eastAsia"/>
          <w:color w:val="auto"/>
          <w:highlight w:val="none"/>
        </w:rPr>
        <w:t>第六部分  投标文件格式</w:t>
      </w:r>
      <w:bookmarkEnd w:id="34"/>
    </w:p>
    <w:p>
      <w:pPr>
        <w:spacing w:after="312" w:afterLines="100" w:line="360" w:lineRule="auto"/>
        <w:jc w:val="center"/>
        <w:rPr>
          <w:rFonts w:eastAsia="黑体"/>
          <w:color w:val="auto"/>
          <w:spacing w:val="20"/>
          <w:sz w:val="36"/>
          <w:szCs w:val="32"/>
          <w:highlight w:val="none"/>
        </w:rPr>
        <w:sectPr>
          <w:pgSz w:w="11906" w:h="16838"/>
          <w:pgMar w:top="1474" w:right="1418" w:bottom="1418" w:left="1418" w:header="851" w:footer="851" w:gutter="0"/>
          <w:cols w:space="720" w:num="1"/>
          <w:docGrid w:type="linesAndChars" w:linePitch="312" w:charSpace="0"/>
        </w:sectPr>
      </w:pPr>
    </w:p>
    <w:p>
      <w:pPr>
        <w:snapToGrid w:val="0"/>
        <w:spacing w:before="156" w:beforeLines="50" w:after="50"/>
        <w:rPr>
          <w:rFonts w:ascii="宋体" w:hAnsi="宋体" w:cs="宋体"/>
          <w:bCs/>
          <w:color w:val="auto"/>
          <w:szCs w:val="21"/>
          <w:highlight w:val="none"/>
        </w:rPr>
      </w:pPr>
      <w:r>
        <w:rPr>
          <w:rFonts w:hint="eastAsia" w:ascii="宋体" w:hAnsi="宋体" w:cs="宋体"/>
          <w:color w:val="auto"/>
          <w:szCs w:val="21"/>
          <w:highlight w:val="none"/>
        </w:rPr>
        <w:t>1.</w:t>
      </w:r>
      <w:r>
        <w:rPr>
          <w:rFonts w:hint="eastAsia" w:ascii="宋体" w:hAnsi="宋体" w:cs="宋体"/>
          <w:bCs/>
          <w:color w:val="auto"/>
          <w:szCs w:val="21"/>
          <w:highlight w:val="none"/>
        </w:rPr>
        <w:t>投标文件的外包装封面格式（可选用）：</w:t>
      </w:r>
    </w:p>
    <w:p>
      <w:pPr>
        <w:snapToGrid w:val="0"/>
        <w:spacing w:before="156" w:beforeLines="50" w:after="50"/>
        <w:rPr>
          <w:rFonts w:ascii="宋体" w:hAnsi="宋体" w:cs="宋体"/>
          <w:bCs/>
          <w:color w:val="auto"/>
          <w:szCs w:val="21"/>
          <w:highlight w:val="none"/>
        </w:rPr>
      </w:pPr>
    </w:p>
    <w:p>
      <w:pPr>
        <w:snapToGrid w:val="0"/>
        <w:spacing w:before="156" w:beforeLines="50" w:after="50"/>
        <w:jc w:val="center"/>
        <w:rPr>
          <w:rFonts w:ascii="宋体" w:hAnsi="宋体" w:cs="宋体"/>
          <w:bCs/>
          <w:color w:val="auto"/>
          <w:szCs w:val="21"/>
          <w:highlight w:val="none"/>
        </w:rPr>
      </w:pPr>
    </w:p>
    <w:p>
      <w:pPr>
        <w:snapToGrid w:val="0"/>
        <w:spacing w:before="156" w:beforeLines="50" w:after="5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投标文件</w:t>
      </w:r>
    </w:p>
    <w:p>
      <w:pPr>
        <w:snapToGrid w:val="0"/>
        <w:spacing w:before="156" w:beforeLines="50" w:after="50"/>
        <w:rPr>
          <w:rFonts w:ascii="宋体" w:hAnsi="宋体" w:cs="宋体"/>
          <w:bCs/>
          <w:color w:val="auto"/>
          <w:szCs w:val="21"/>
          <w:highlight w:val="none"/>
        </w:rPr>
      </w:pPr>
    </w:p>
    <w:p>
      <w:pPr>
        <w:snapToGrid w:val="0"/>
        <w:spacing w:line="400" w:lineRule="exact"/>
        <w:ind w:firstLine="1039" w:firstLineChars="495"/>
        <w:rPr>
          <w:rFonts w:ascii="宋体" w:hAnsi="宋体" w:cs="宋体"/>
          <w:bCs/>
          <w:color w:val="auto"/>
          <w:szCs w:val="21"/>
          <w:highlight w:val="none"/>
        </w:rPr>
      </w:pPr>
      <w:r>
        <w:rPr>
          <w:rFonts w:hint="eastAsia" w:ascii="宋体" w:hAnsi="宋体" w:cs="宋体"/>
          <w:bCs/>
          <w:color w:val="auto"/>
          <w:szCs w:val="21"/>
          <w:highlight w:val="none"/>
        </w:rPr>
        <w:t>项目名称：</w:t>
      </w:r>
      <w:r>
        <w:rPr>
          <w:rFonts w:hint="eastAsia" w:ascii="宋体" w:hAnsi="宋体" w:cs="宋体"/>
          <w:color w:val="auto"/>
          <w:szCs w:val="21"/>
          <w:highlight w:val="none"/>
        </w:rPr>
        <w:t xml:space="preserve"> </w:t>
      </w:r>
    </w:p>
    <w:p>
      <w:pPr>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      项目编号：</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投标文件名称：资格证明文件/报价文件/技术商务文件</w:t>
      </w:r>
      <w:r>
        <w:rPr>
          <w:rFonts w:ascii="宋体" w:hAnsi="宋体" w:cs="宋体"/>
          <w:bCs/>
          <w:color w:val="auto"/>
          <w:kern w:val="0"/>
          <w:szCs w:val="21"/>
          <w:highlight w:val="none"/>
        </w:rPr>
        <w:t xml:space="preserve"> </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投标人名称（盖章）：</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投标人地址：</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法定代表人或授权代表人（签字或盖章）</w:t>
      </w:r>
    </w:p>
    <w:p>
      <w:pPr>
        <w:pStyle w:val="2"/>
        <w:snapToGrid w:val="0"/>
        <w:spacing w:line="400" w:lineRule="exact"/>
        <w:ind w:firstLine="978" w:firstLineChars="466"/>
        <w:rPr>
          <w:rFonts w:hAnsi="宋体" w:cs="宋体"/>
          <w:bCs/>
          <w:color w:val="auto"/>
          <w:szCs w:val="21"/>
          <w:highlight w:val="none"/>
        </w:rPr>
      </w:pPr>
      <w:r>
        <w:rPr>
          <w:rFonts w:hint="eastAsia" w:hAnsi="宋体" w:cs="宋体"/>
          <w:bCs/>
          <w:color w:val="auto"/>
          <w:szCs w:val="21"/>
          <w:highlight w:val="none"/>
        </w:rPr>
        <w:t xml:space="preserve">                  开标时启封</w:t>
      </w:r>
    </w:p>
    <w:p>
      <w:pPr>
        <w:snapToGrid w:val="0"/>
        <w:spacing w:line="400" w:lineRule="exact"/>
        <w:ind w:firstLine="645"/>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before="156" w:beforeLines="50" w:after="50"/>
        <w:jc w:val="center"/>
        <w:rPr>
          <w:rFonts w:ascii="宋体" w:hAnsi="宋体" w:cs="宋体"/>
          <w:color w:val="auto"/>
          <w:szCs w:val="21"/>
          <w:highlight w:val="none"/>
        </w:rPr>
      </w:pPr>
    </w:p>
    <w:p>
      <w:pPr>
        <w:snapToGrid w:val="0"/>
        <w:spacing w:before="156" w:beforeLines="50" w:after="50"/>
        <w:jc w:val="center"/>
        <w:rPr>
          <w:rFonts w:ascii="宋体" w:hAnsi="宋体" w:cs="宋体"/>
          <w:color w:val="auto"/>
          <w:szCs w:val="21"/>
          <w:highlight w:val="none"/>
        </w:rPr>
      </w:pPr>
    </w:p>
    <w:p>
      <w:pPr>
        <w:snapToGrid w:val="0"/>
        <w:spacing w:before="156" w:beforeLines="50" w:after="50"/>
        <w:jc w:val="center"/>
        <w:rPr>
          <w:rFonts w:ascii="宋体" w:hAnsi="宋体" w:cs="宋体"/>
          <w:color w:val="auto"/>
          <w:szCs w:val="21"/>
          <w:highlight w:val="none"/>
        </w:rPr>
      </w:pPr>
    </w:p>
    <w:p>
      <w:pPr>
        <w:snapToGrid w:val="0"/>
        <w:spacing w:before="156" w:beforeLines="50" w:after="50"/>
        <w:jc w:val="center"/>
        <w:rPr>
          <w:rFonts w:ascii="宋体" w:hAnsi="宋体" w:cs="宋体"/>
          <w:color w:val="auto"/>
          <w:szCs w:val="21"/>
          <w:highlight w:val="none"/>
        </w:rPr>
      </w:pPr>
    </w:p>
    <w:p>
      <w:pPr>
        <w:snapToGrid w:val="0"/>
        <w:spacing w:before="156" w:beforeLines="50" w:after="50"/>
        <w:rPr>
          <w:rFonts w:ascii="宋体" w:hAnsi="宋体" w:cs="宋体"/>
          <w:color w:val="auto"/>
          <w:szCs w:val="21"/>
          <w:highlight w:val="none"/>
        </w:rPr>
      </w:pPr>
      <w:r>
        <w:rPr>
          <w:rFonts w:hint="eastAsia" w:ascii="宋体" w:hAnsi="宋体" w:cs="宋体"/>
          <w:color w:val="auto"/>
          <w:szCs w:val="21"/>
          <w:highlight w:val="none"/>
        </w:rPr>
        <w:t xml:space="preserve">2.封面格式： </w:t>
      </w:r>
    </w:p>
    <w:p>
      <w:pPr>
        <w:snapToGrid w:val="0"/>
        <w:spacing w:before="156" w:beforeLines="50" w:after="50"/>
        <w:rPr>
          <w:rFonts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正本/或副本</w:t>
      </w:r>
    </w:p>
    <w:p>
      <w:pPr>
        <w:snapToGrid w:val="0"/>
        <w:spacing w:before="156" w:beforeLines="50" w:after="50"/>
        <w:rPr>
          <w:rFonts w:ascii="宋体" w:hAnsi="宋体" w:cs="宋体"/>
          <w:color w:val="auto"/>
          <w:szCs w:val="21"/>
          <w:highlight w:val="none"/>
        </w:rPr>
      </w:pPr>
    </w:p>
    <w:p>
      <w:pPr>
        <w:snapToGrid w:val="0"/>
        <w:spacing w:before="156" w:beforeLines="50" w:after="50"/>
        <w:jc w:val="center"/>
        <w:rPr>
          <w:rFonts w:ascii="宋体" w:hAnsi="宋体" w:cs="宋体"/>
          <w:bCs/>
          <w:color w:val="auto"/>
          <w:szCs w:val="21"/>
          <w:highlight w:val="none"/>
        </w:rPr>
      </w:pPr>
    </w:p>
    <w:p>
      <w:pPr>
        <w:snapToGrid w:val="0"/>
        <w:spacing w:before="156" w:beforeLines="50" w:after="5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投标文件</w:t>
      </w:r>
    </w:p>
    <w:p>
      <w:pPr>
        <w:snapToGrid w:val="0"/>
        <w:spacing w:before="156" w:beforeLines="50" w:after="50"/>
        <w:rPr>
          <w:rFonts w:ascii="宋体" w:hAnsi="宋体" w:cs="宋体"/>
          <w:bCs/>
          <w:color w:val="auto"/>
          <w:szCs w:val="21"/>
          <w:highlight w:val="none"/>
        </w:rPr>
      </w:pPr>
    </w:p>
    <w:p>
      <w:pPr>
        <w:snapToGrid w:val="0"/>
        <w:spacing w:line="400" w:lineRule="exact"/>
        <w:ind w:firstLine="1039" w:firstLineChars="495"/>
        <w:rPr>
          <w:rFonts w:ascii="宋体" w:hAnsi="宋体" w:cs="宋体"/>
          <w:bCs/>
          <w:color w:val="auto"/>
          <w:szCs w:val="21"/>
          <w:highlight w:val="none"/>
        </w:rPr>
      </w:pPr>
      <w:r>
        <w:rPr>
          <w:rFonts w:hint="eastAsia" w:ascii="宋体" w:hAnsi="宋体" w:cs="宋体"/>
          <w:bCs/>
          <w:color w:val="auto"/>
          <w:szCs w:val="21"/>
          <w:highlight w:val="none"/>
        </w:rPr>
        <w:t>项目名称：</w:t>
      </w:r>
      <w:r>
        <w:rPr>
          <w:rFonts w:hint="eastAsia" w:ascii="宋体" w:hAnsi="宋体" w:cs="宋体"/>
          <w:color w:val="auto"/>
          <w:szCs w:val="21"/>
          <w:highlight w:val="none"/>
        </w:rPr>
        <w:t xml:space="preserve"> </w:t>
      </w:r>
    </w:p>
    <w:p>
      <w:pPr>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      项目编号：</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投标文件名称：资格证明文件/报价文件/技术商务文件</w:t>
      </w:r>
      <w:r>
        <w:rPr>
          <w:rFonts w:ascii="宋体" w:hAnsi="宋体" w:cs="宋体"/>
          <w:bCs/>
          <w:color w:val="auto"/>
          <w:kern w:val="0"/>
          <w:szCs w:val="21"/>
          <w:highlight w:val="none"/>
        </w:rPr>
        <w:t xml:space="preserve"> </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投标人名称（盖章）：</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投标人地址：</w:t>
      </w:r>
    </w:p>
    <w:p>
      <w:pPr>
        <w:snapToGrid w:val="0"/>
        <w:spacing w:line="400" w:lineRule="exact"/>
        <w:ind w:firstLine="1050" w:firstLineChars="500"/>
        <w:rPr>
          <w:rFonts w:ascii="宋体" w:hAnsi="宋体" w:cs="宋体"/>
          <w:bCs/>
          <w:color w:val="auto"/>
          <w:kern w:val="0"/>
          <w:szCs w:val="21"/>
          <w:highlight w:val="none"/>
        </w:rPr>
      </w:pPr>
      <w:r>
        <w:rPr>
          <w:rFonts w:hint="eastAsia" w:ascii="宋体" w:hAnsi="宋体" w:cs="宋体"/>
          <w:bCs/>
          <w:color w:val="auto"/>
          <w:kern w:val="0"/>
          <w:szCs w:val="21"/>
          <w:highlight w:val="none"/>
        </w:rPr>
        <w:t>法定代表人或授权代表人（签字或盖章）</w:t>
      </w:r>
    </w:p>
    <w:p>
      <w:pPr>
        <w:pStyle w:val="2"/>
        <w:snapToGrid w:val="0"/>
        <w:spacing w:line="400" w:lineRule="exact"/>
        <w:ind w:firstLine="978" w:firstLineChars="466"/>
        <w:rPr>
          <w:rFonts w:hAnsi="宋体" w:cs="宋体"/>
          <w:bCs/>
          <w:color w:val="auto"/>
          <w:szCs w:val="21"/>
          <w:highlight w:val="none"/>
        </w:rPr>
      </w:pPr>
      <w:r>
        <w:rPr>
          <w:rFonts w:hint="eastAsia" w:hAnsi="宋体" w:cs="宋体"/>
          <w:bCs/>
          <w:color w:val="auto"/>
          <w:szCs w:val="21"/>
          <w:highlight w:val="none"/>
        </w:rPr>
        <w:t xml:space="preserve">                  </w:t>
      </w:r>
    </w:p>
    <w:p>
      <w:pPr>
        <w:snapToGrid w:val="0"/>
        <w:spacing w:line="400" w:lineRule="exact"/>
        <w:ind w:firstLine="645"/>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pacing w:after="312" w:afterLines="100" w:line="360" w:lineRule="auto"/>
        <w:jc w:val="left"/>
        <w:rPr>
          <w:rFonts w:ascii="宋体" w:hAnsi="宋体" w:cs="宋体"/>
          <w:color w:val="auto"/>
          <w:szCs w:val="21"/>
          <w:highlight w:val="none"/>
        </w:rPr>
      </w:pPr>
      <w:r>
        <w:rPr>
          <w:rFonts w:hint="eastAsia" w:ascii="宋体" w:hAnsi="宋体" w:cs="宋体"/>
          <w:b/>
          <w:color w:val="auto"/>
          <w:szCs w:val="21"/>
          <w:highlight w:val="none"/>
        </w:rPr>
        <w:br w:type="page"/>
      </w:r>
      <w:r>
        <w:rPr>
          <w:rFonts w:hint="eastAsia" w:ascii="宋体" w:hAnsi="宋体" w:cs="宋体"/>
          <w:color w:val="auto"/>
          <w:szCs w:val="21"/>
          <w:highlight w:val="none"/>
        </w:rPr>
        <w:t>附件1：</w:t>
      </w:r>
    </w:p>
    <w:p>
      <w:pPr>
        <w:adjustRightInd w:val="0"/>
        <w:snapToGrid w:val="0"/>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投标人资格条件自查表</w:t>
      </w:r>
    </w:p>
    <w:p>
      <w:pPr>
        <w:adjustRightInd w:val="0"/>
        <w:snapToGrid w:val="0"/>
        <w:jc w:val="center"/>
        <w:rPr>
          <w:rFonts w:ascii="宋体" w:hAnsi="宋体" w:cs="宋体"/>
          <w:b/>
          <w:color w:val="auto"/>
          <w:szCs w:val="21"/>
          <w:highlight w:val="none"/>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5219"/>
        <w:gridCol w:w="1240"/>
        <w:gridCol w:w="14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noWrap w:val="0"/>
            <w:vAlign w:val="center"/>
          </w:tcPr>
          <w:p>
            <w:pPr>
              <w:adjustRightInd w:val="0"/>
              <w:snapToGrid w:val="0"/>
              <w:jc w:val="center"/>
              <w:rPr>
                <w:rFonts w:ascii="宋体" w:hAnsi="宋体" w:cs="宋体"/>
                <w:color w:val="auto"/>
                <w:szCs w:val="21"/>
                <w:highlight w:val="none"/>
              </w:rPr>
            </w:pPr>
            <w:r>
              <w:rPr>
                <w:rStyle w:val="15"/>
                <w:rFonts w:hint="eastAsia" w:ascii="宋体" w:hAnsi="宋体" w:cs="宋体"/>
                <w:color w:val="auto"/>
                <w:szCs w:val="21"/>
                <w:highlight w:val="none"/>
              </w:rPr>
              <w:t>评审内容</w:t>
            </w:r>
          </w:p>
        </w:tc>
        <w:tc>
          <w:tcPr>
            <w:tcW w:w="5219" w:type="dxa"/>
            <w:noWrap w:val="0"/>
            <w:vAlign w:val="center"/>
          </w:tcPr>
          <w:p>
            <w:pPr>
              <w:adjustRightInd w:val="0"/>
              <w:snapToGrid w:val="0"/>
              <w:jc w:val="center"/>
              <w:rPr>
                <w:rFonts w:ascii="宋体" w:hAnsi="宋体" w:cs="宋体"/>
                <w:color w:val="auto"/>
                <w:szCs w:val="21"/>
                <w:highlight w:val="none"/>
              </w:rPr>
            </w:pPr>
            <w:r>
              <w:rPr>
                <w:rStyle w:val="15"/>
                <w:rFonts w:hint="eastAsia" w:ascii="宋体" w:hAnsi="宋体" w:cs="宋体"/>
                <w:color w:val="auto"/>
                <w:szCs w:val="21"/>
                <w:highlight w:val="none"/>
              </w:rPr>
              <w:t>招标文件要求</w:t>
            </w:r>
          </w:p>
        </w:tc>
        <w:tc>
          <w:tcPr>
            <w:tcW w:w="1240" w:type="dxa"/>
            <w:noWrap w:val="0"/>
            <w:vAlign w:val="center"/>
          </w:tcPr>
          <w:p>
            <w:pPr>
              <w:adjustRightInd w:val="0"/>
              <w:snapToGrid w:val="0"/>
              <w:jc w:val="center"/>
              <w:rPr>
                <w:rFonts w:ascii="宋体" w:hAnsi="宋体" w:cs="宋体"/>
                <w:color w:val="auto"/>
                <w:szCs w:val="21"/>
                <w:highlight w:val="none"/>
              </w:rPr>
            </w:pPr>
            <w:r>
              <w:rPr>
                <w:rStyle w:val="15"/>
                <w:rFonts w:hint="eastAsia" w:ascii="宋体" w:hAnsi="宋体" w:cs="宋体"/>
                <w:color w:val="auto"/>
                <w:szCs w:val="21"/>
                <w:highlight w:val="none"/>
              </w:rPr>
              <w:t>自查结论</w:t>
            </w:r>
          </w:p>
        </w:tc>
        <w:tc>
          <w:tcPr>
            <w:tcW w:w="1468" w:type="dxa"/>
            <w:noWrap w:val="0"/>
            <w:vAlign w:val="center"/>
          </w:tcPr>
          <w:p>
            <w:pPr>
              <w:adjustRightInd w:val="0"/>
              <w:snapToGrid w:val="0"/>
              <w:jc w:val="center"/>
              <w:rPr>
                <w:rFonts w:ascii="宋体" w:hAnsi="宋体" w:cs="宋体"/>
                <w:color w:val="auto"/>
                <w:szCs w:val="21"/>
                <w:highlight w:val="none"/>
              </w:rPr>
            </w:pPr>
            <w:r>
              <w:rPr>
                <w:rStyle w:val="15"/>
                <w:rFonts w:hint="eastAsia" w:ascii="宋体" w:hAnsi="宋体" w:cs="宋体"/>
                <w:color w:val="auto"/>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restart"/>
            <w:noWrap w:val="0"/>
            <w:vAlign w:val="center"/>
          </w:tcPr>
          <w:p>
            <w:pPr>
              <w:pStyle w:val="37"/>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资</w:t>
            </w:r>
          </w:p>
          <w:p>
            <w:pPr>
              <w:pStyle w:val="37"/>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格</w:t>
            </w:r>
          </w:p>
          <w:p>
            <w:pPr>
              <w:pStyle w:val="37"/>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性</w:t>
            </w:r>
          </w:p>
          <w:p>
            <w:pPr>
              <w:pStyle w:val="37"/>
              <w:adjustRightInd w:val="0"/>
              <w:snapToGrid w:val="0"/>
              <w:spacing w:before="0" w:beforeAutospacing="0" w:after="0" w:afterAutospacing="0"/>
              <w:jc w:val="center"/>
              <w:rPr>
                <w:rFonts w:cs="宋体"/>
                <w:b/>
                <w:color w:val="auto"/>
                <w:sz w:val="21"/>
                <w:szCs w:val="21"/>
                <w:highlight w:val="none"/>
              </w:rPr>
            </w:pPr>
            <w:r>
              <w:rPr>
                <w:rFonts w:hint="eastAsia" w:cs="宋体"/>
                <w:b/>
                <w:color w:val="auto"/>
                <w:sz w:val="21"/>
                <w:szCs w:val="21"/>
                <w:highlight w:val="none"/>
              </w:rPr>
              <w:t>审</w:t>
            </w:r>
          </w:p>
          <w:p>
            <w:pPr>
              <w:pStyle w:val="37"/>
              <w:adjustRightInd w:val="0"/>
              <w:snapToGrid w:val="0"/>
              <w:spacing w:before="0" w:beforeAutospacing="0" w:after="0" w:afterAutospacing="0"/>
              <w:jc w:val="center"/>
              <w:rPr>
                <w:rStyle w:val="15"/>
                <w:rFonts w:cs="宋体"/>
                <w:color w:val="auto"/>
                <w:szCs w:val="21"/>
                <w:highlight w:val="none"/>
              </w:rPr>
            </w:pPr>
            <w:r>
              <w:rPr>
                <w:rFonts w:hint="eastAsia" w:cs="宋体"/>
                <w:b/>
                <w:color w:val="auto"/>
                <w:sz w:val="21"/>
                <w:szCs w:val="21"/>
                <w:highlight w:val="none"/>
              </w:rPr>
              <w:t>查</w:t>
            </w:r>
          </w:p>
        </w:tc>
        <w:tc>
          <w:tcPr>
            <w:tcW w:w="5219" w:type="dxa"/>
            <w:noWrap w:val="0"/>
            <w:vAlign w:val="center"/>
          </w:tcPr>
          <w:p>
            <w:pPr>
              <w:adjustRightInd w:val="0"/>
              <w:snapToGrid w:val="0"/>
              <w:jc w:val="left"/>
              <w:rPr>
                <w:rStyle w:val="15"/>
                <w:rFonts w:ascii="宋体" w:hAnsi="宋体" w:cs="宋体"/>
                <w:color w:val="auto"/>
                <w:szCs w:val="21"/>
                <w:highlight w:val="none"/>
              </w:rPr>
            </w:pPr>
            <w:r>
              <w:rPr>
                <w:rFonts w:hint="eastAsia" w:ascii="宋体" w:hAnsi="宋体" w:cs="宋体"/>
                <w:color w:val="auto"/>
                <w:szCs w:val="21"/>
                <w:highlight w:val="none"/>
              </w:rPr>
              <w:t>一、符合《中华人民共和国政府采购法》第22条的一般资格条件的规定</w:t>
            </w:r>
          </w:p>
        </w:tc>
        <w:tc>
          <w:tcPr>
            <w:tcW w:w="1240"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pStyle w:val="37"/>
              <w:adjustRightInd w:val="0"/>
              <w:snapToGrid w:val="0"/>
              <w:spacing w:before="0" w:beforeAutospacing="0" w:after="0" w:afterAutospacing="0"/>
              <w:jc w:val="center"/>
              <w:rPr>
                <w:rFonts w:cs="宋体"/>
                <w:b/>
                <w:color w:val="auto"/>
                <w:sz w:val="21"/>
                <w:szCs w:val="21"/>
                <w:highlight w:val="none"/>
              </w:rPr>
            </w:pPr>
          </w:p>
        </w:tc>
        <w:tc>
          <w:tcPr>
            <w:tcW w:w="5219" w:type="dxa"/>
            <w:noWrap w:val="0"/>
            <w:vAlign w:val="center"/>
          </w:tcPr>
          <w:p>
            <w:pPr>
              <w:adjustRightInd w:val="0"/>
              <w:snapToGrid w:val="0"/>
              <w:jc w:val="left"/>
              <w:rPr>
                <w:rFonts w:ascii="宋体" w:hAnsi="宋体" w:cs="宋体"/>
                <w:color w:val="auto"/>
                <w:szCs w:val="21"/>
                <w:highlight w:val="none"/>
              </w:rPr>
            </w:pPr>
            <w:r>
              <w:rPr>
                <w:rFonts w:hint="eastAsia" w:ascii="宋体" w:hAnsi="宋体" w:cs="宋体"/>
                <w:color w:val="auto"/>
                <w:szCs w:val="21"/>
                <w:highlight w:val="none"/>
              </w:rPr>
              <w:t xml:space="preserve">二、投标人未被 </w:t>
            </w:r>
            <w:r>
              <w:rPr>
                <w:rFonts w:hint="eastAsia" w:ascii="宋体" w:hAnsi="宋体" w:cs="宋体"/>
                <w:color w:val="auto"/>
                <w:highlight w:val="none"/>
              </w:rPr>
              <w:t>“信用中国”（www.creditchina.gov.cn)、中国政府采购网（www.ccgp.gov.cn）列入失信被执行人、重大税收违法案件当事人名单（税收违法黑名单）、政府采购严重违法失信行为记录名单。</w:t>
            </w:r>
          </w:p>
        </w:tc>
        <w:tc>
          <w:tcPr>
            <w:tcW w:w="1240"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sym w:font="Wingdings 2" w:char="00A3"/>
            </w: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831" w:type="dxa"/>
            <w:vMerge w:val="continue"/>
            <w:noWrap w:val="0"/>
            <w:vAlign w:val="center"/>
          </w:tcPr>
          <w:p>
            <w:pPr>
              <w:pStyle w:val="37"/>
              <w:adjustRightInd w:val="0"/>
              <w:snapToGrid w:val="0"/>
              <w:spacing w:before="0" w:beforeAutospacing="0" w:after="0" w:afterAutospacing="0"/>
              <w:jc w:val="center"/>
              <w:rPr>
                <w:rFonts w:cs="宋体"/>
                <w:b/>
                <w:color w:val="auto"/>
                <w:sz w:val="21"/>
                <w:szCs w:val="21"/>
                <w:highlight w:val="none"/>
              </w:rPr>
            </w:pPr>
          </w:p>
        </w:tc>
        <w:tc>
          <w:tcPr>
            <w:tcW w:w="5219" w:type="dxa"/>
            <w:noWrap w:val="0"/>
            <w:vAlign w:val="center"/>
          </w:tcPr>
          <w:p>
            <w:pPr>
              <w:adjustRightInd w:val="0"/>
              <w:snapToGrid w:val="0"/>
              <w:rPr>
                <w:rFonts w:ascii="宋体" w:hAnsi="宋体"/>
                <w:color w:val="auto"/>
                <w:highlight w:val="none"/>
              </w:rPr>
            </w:pPr>
            <w:r>
              <w:rPr>
                <w:rFonts w:hint="eastAsia" w:ascii="宋体" w:hAnsi="宋体"/>
                <w:color w:val="auto"/>
                <w:highlight w:val="none"/>
              </w:rPr>
              <w:t>二、本项目特定资格条件：</w:t>
            </w:r>
          </w:p>
        </w:tc>
        <w:tc>
          <w:tcPr>
            <w:tcW w:w="1240" w:type="dxa"/>
            <w:vMerge w:val="restart"/>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831" w:type="dxa"/>
            <w:vMerge w:val="continue"/>
            <w:noWrap w:val="0"/>
            <w:vAlign w:val="center"/>
          </w:tcPr>
          <w:p>
            <w:pPr>
              <w:pStyle w:val="37"/>
              <w:adjustRightInd w:val="0"/>
              <w:snapToGrid w:val="0"/>
              <w:spacing w:before="0" w:beforeAutospacing="0" w:after="0" w:afterAutospacing="0"/>
              <w:jc w:val="center"/>
              <w:rPr>
                <w:rFonts w:cs="宋体"/>
                <w:b/>
                <w:color w:val="auto"/>
                <w:sz w:val="21"/>
                <w:szCs w:val="21"/>
                <w:highlight w:val="none"/>
              </w:rPr>
            </w:pPr>
          </w:p>
        </w:tc>
        <w:tc>
          <w:tcPr>
            <w:tcW w:w="5219" w:type="dxa"/>
            <w:noWrap w:val="0"/>
            <w:vAlign w:val="center"/>
          </w:tcPr>
          <w:p>
            <w:pPr>
              <w:rPr>
                <w:rFonts w:ascii="宋体" w:hAnsi="宋体" w:cs="宋体"/>
                <w:color w:val="auto"/>
                <w:highlight w:val="none"/>
              </w:rPr>
            </w:pPr>
            <w:r>
              <w:rPr>
                <w:rFonts w:hint="eastAsia" w:ascii="宋体" w:hAnsi="宋体" w:cs="宋体"/>
                <w:color w:val="auto"/>
                <w:highlight w:val="none"/>
              </w:rPr>
              <w:t>1、投标人的营业执照副本复印件或扫描件（</w:t>
            </w:r>
            <w:r>
              <w:rPr>
                <w:rFonts w:hint="eastAsia" w:ascii="宋体" w:hAnsi="宋体" w:cs="宋体"/>
                <w:color w:val="auto"/>
                <w:szCs w:val="21"/>
                <w:highlight w:val="none"/>
              </w:rPr>
              <w:t>投标人如果有名称变更的，应提供由行政主管部门出具的变更证明文件</w:t>
            </w:r>
            <w:r>
              <w:rPr>
                <w:rFonts w:hint="eastAsia" w:ascii="宋体" w:hAnsi="宋体" w:cs="宋体"/>
                <w:color w:val="auto"/>
                <w:highlight w:val="none"/>
              </w:rPr>
              <w:t>）；</w:t>
            </w:r>
          </w:p>
        </w:tc>
        <w:tc>
          <w:tcPr>
            <w:tcW w:w="1240" w:type="dxa"/>
            <w:vMerge w:val="continue"/>
            <w:noWrap w:val="0"/>
            <w:vAlign w:val="center"/>
          </w:tcPr>
          <w:p>
            <w:pPr>
              <w:adjustRightInd w:val="0"/>
              <w:snapToGrid w:val="0"/>
              <w:rPr>
                <w:rFonts w:ascii="宋体" w:hAnsi="宋体" w:cs="宋体"/>
                <w:color w:val="auto"/>
                <w:szCs w:val="21"/>
                <w:highlight w:val="none"/>
              </w:rPr>
            </w:pP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926" w:hRule="atLeast"/>
          <w:jc w:val="center"/>
        </w:trPr>
        <w:tc>
          <w:tcPr>
            <w:tcW w:w="831" w:type="dxa"/>
            <w:vMerge w:val="continue"/>
            <w:noWrap w:val="0"/>
            <w:vAlign w:val="center"/>
          </w:tcPr>
          <w:p>
            <w:pPr>
              <w:pStyle w:val="37"/>
              <w:adjustRightInd w:val="0"/>
              <w:snapToGrid w:val="0"/>
              <w:spacing w:before="0" w:beforeAutospacing="0" w:after="0" w:afterAutospacing="0"/>
              <w:jc w:val="center"/>
              <w:rPr>
                <w:rFonts w:cs="宋体"/>
                <w:b/>
                <w:color w:val="auto"/>
                <w:sz w:val="21"/>
                <w:szCs w:val="21"/>
                <w:highlight w:val="none"/>
              </w:rPr>
            </w:pPr>
          </w:p>
        </w:tc>
        <w:tc>
          <w:tcPr>
            <w:tcW w:w="5219"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olor w:val="auto"/>
                <w:highlight w:val="none"/>
              </w:rPr>
              <w:t>具有建设行政主管部门颁发的电子与智能化工程专业承包二级及以上资质证书；</w:t>
            </w:r>
          </w:p>
        </w:tc>
        <w:tc>
          <w:tcPr>
            <w:tcW w:w="1240" w:type="dxa"/>
            <w:vMerge w:val="continue"/>
            <w:noWrap w:val="0"/>
            <w:vAlign w:val="center"/>
          </w:tcPr>
          <w:p>
            <w:pPr>
              <w:adjustRightInd w:val="0"/>
              <w:snapToGrid w:val="0"/>
              <w:rPr>
                <w:rFonts w:ascii="宋体" w:hAnsi="宋体" w:cs="宋体"/>
                <w:color w:val="auto"/>
                <w:szCs w:val="21"/>
                <w:highlight w:val="none"/>
              </w:rPr>
            </w:pP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adjustRightInd w:val="0"/>
              <w:snapToGrid w:val="0"/>
              <w:rPr>
                <w:rFonts w:ascii="宋体" w:hAnsi="宋体" w:cs="宋体"/>
                <w:color w:val="auto"/>
                <w:szCs w:val="21"/>
                <w:highlight w:val="none"/>
              </w:rPr>
            </w:pPr>
          </w:p>
        </w:tc>
        <w:tc>
          <w:tcPr>
            <w:tcW w:w="5219"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三、本项目不接受联合体投标。</w:t>
            </w:r>
          </w:p>
        </w:tc>
        <w:tc>
          <w:tcPr>
            <w:tcW w:w="1240" w:type="dxa"/>
            <w:noWrap w:val="0"/>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□通过</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1468" w:type="dxa"/>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bl>
    <w:p>
      <w:pPr>
        <w:snapToGrid w:val="0"/>
        <w:spacing w:before="50" w:after="156" w:afterLines="50"/>
        <w:jc w:val="left"/>
        <w:rPr>
          <w:rFonts w:ascii="宋体" w:hAnsi="宋体" w:cs="宋体"/>
          <w:color w:val="auto"/>
          <w:szCs w:val="21"/>
          <w:highlight w:val="none"/>
        </w:rPr>
      </w:pPr>
      <w:r>
        <w:rPr>
          <w:rFonts w:hint="eastAsia" w:ascii="宋体" w:hAnsi="宋体" w:cs="宋体"/>
          <w:b/>
          <w:color w:val="auto"/>
          <w:szCs w:val="21"/>
          <w:highlight w:val="none"/>
        </w:rPr>
        <w:t>备注：投标人自查表将作为投标人有效性审查的重要内容之一，投标投标人必须严格按照其内容及序列要求在投标文件中对应如实提供，对资格性证明文件的任何缺漏和不符合项将会直接导致投标无效！</w:t>
      </w:r>
    </w:p>
    <w:p>
      <w:pPr>
        <w:rPr>
          <w:rFonts w:ascii="宋体" w:hAnsi="宋体" w:cs="宋体"/>
          <w:b/>
          <w:color w:val="auto"/>
          <w:sz w:val="30"/>
          <w:szCs w:val="30"/>
          <w:highlight w:val="none"/>
        </w:rPr>
      </w:pPr>
      <w:r>
        <w:rPr>
          <w:rFonts w:hint="eastAsia" w:ascii="宋体" w:hAnsi="宋体" w:cs="宋体"/>
          <w:b/>
          <w:color w:val="auto"/>
          <w:sz w:val="30"/>
          <w:szCs w:val="30"/>
          <w:highlight w:val="none"/>
        </w:rPr>
        <w:br w:type="page"/>
      </w:r>
    </w:p>
    <w:p>
      <w:pPr>
        <w:rPr>
          <w:color w:val="auto"/>
          <w:highlight w:val="none"/>
        </w:rPr>
      </w:pPr>
      <w:r>
        <w:rPr>
          <w:rFonts w:hint="eastAsia" w:ascii="宋体" w:hAnsi="宋体" w:cs="宋体"/>
          <w:color w:val="auto"/>
          <w:szCs w:val="21"/>
          <w:highlight w:val="none"/>
        </w:rPr>
        <w:t>附件2：</w:t>
      </w:r>
    </w:p>
    <w:p>
      <w:pPr>
        <w:adjustRightInd w:val="0"/>
        <w:snapToGrid w:val="0"/>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投标人资格声明函</w:t>
      </w:r>
    </w:p>
    <w:p>
      <w:pPr>
        <w:spacing w:line="480" w:lineRule="auto"/>
        <w:rPr>
          <w:b/>
          <w:color w:val="auto"/>
          <w:szCs w:val="21"/>
          <w:highlight w:val="none"/>
        </w:rPr>
      </w:pPr>
      <w:r>
        <w:rPr>
          <w:rFonts w:hint="eastAsia"/>
          <w:b/>
          <w:color w:val="auto"/>
          <w:szCs w:val="21"/>
          <w:highlight w:val="none"/>
        </w:rPr>
        <w:t>浙江天诚工程咨询有限公司：</w:t>
      </w:r>
    </w:p>
    <w:p>
      <w:pPr>
        <w:snapToGrid w:val="0"/>
        <w:spacing w:before="156" w:beforeLines="50" w:line="360" w:lineRule="auto"/>
        <w:ind w:firstLine="424" w:firstLineChars="202"/>
        <w:rPr>
          <w:rFonts w:ascii="宋体" w:hAnsi="宋体"/>
          <w:color w:val="auto"/>
          <w:highlight w:val="none"/>
        </w:rPr>
      </w:pPr>
      <w:r>
        <w:rPr>
          <w:rFonts w:hint="eastAsia" w:ascii="宋体" w:hAnsi="宋体" w:cs="宋体"/>
          <w:color w:val="auto"/>
          <w:highlight w:val="none"/>
        </w:rPr>
        <w:t>关于</w:t>
      </w:r>
      <w:r>
        <w:rPr>
          <w:rFonts w:hint="eastAsia" w:ascii="宋体" w:hAnsi="宋体" w:cs="宋体"/>
          <w:color w:val="auto"/>
          <w:highlight w:val="none"/>
          <w:u w:val="single"/>
        </w:rPr>
        <w:t xml:space="preserve">  </w:t>
      </w:r>
      <w:r>
        <w:rPr>
          <w:rFonts w:hint="eastAsia" w:ascii="宋体" w:hAnsi="宋体" w:cs="宋体"/>
          <w:color w:val="auto"/>
          <w:kern w:val="28"/>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项目（项目编号：</w:t>
      </w:r>
      <w:r>
        <w:rPr>
          <w:rFonts w:hint="eastAsia" w:ascii="宋体" w:hAnsi="宋体" w:cs="宋体"/>
          <w:color w:val="auto"/>
          <w:highlight w:val="none"/>
          <w:u w:val="single"/>
        </w:rPr>
        <w:t>　　　</w:t>
      </w:r>
      <w:r>
        <w:rPr>
          <w:rFonts w:hint="eastAsia" w:ascii="宋体" w:hAnsi="宋体" w:cs="宋体"/>
          <w:color w:val="auto"/>
          <w:highlight w:val="none"/>
        </w:rPr>
        <w:t>），我方愿意参加投标，并</w:t>
      </w:r>
      <w:r>
        <w:rPr>
          <w:rFonts w:hint="eastAsia" w:ascii="宋体" w:hAnsi="宋体"/>
          <w:color w:val="auto"/>
          <w:highlight w:val="none"/>
        </w:rPr>
        <w:t>郑重声明如下：</w:t>
      </w:r>
    </w:p>
    <w:p>
      <w:pPr>
        <w:spacing w:line="480" w:lineRule="auto"/>
        <w:ind w:firstLine="420" w:firstLineChars="200"/>
        <w:rPr>
          <w:rFonts w:ascii="宋体" w:hAnsi="宋体"/>
          <w:color w:val="auto"/>
          <w:highlight w:val="none"/>
        </w:rPr>
      </w:pPr>
      <w:r>
        <w:rPr>
          <w:rFonts w:hint="eastAsia" w:ascii="宋体" w:hAnsi="宋体"/>
          <w:color w:val="auto"/>
          <w:highlight w:val="none"/>
        </w:rPr>
        <w:t>1、我方提交的所有投标文件、资料都是准确的和真实的。</w:t>
      </w:r>
    </w:p>
    <w:p>
      <w:pPr>
        <w:spacing w:line="480" w:lineRule="auto"/>
        <w:ind w:firstLine="420" w:firstLineChars="200"/>
        <w:rPr>
          <w:rFonts w:ascii="宋体" w:hAnsi="宋体"/>
          <w:color w:val="auto"/>
          <w:highlight w:val="none"/>
        </w:rPr>
      </w:pPr>
      <w:r>
        <w:rPr>
          <w:rFonts w:hint="eastAsia" w:ascii="宋体" w:hAnsi="宋体"/>
          <w:color w:val="auto"/>
          <w:highlight w:val="none"/>
        </w:rPr>
        <w:t>2、我方不是采购人的附属机构；与采购人聘请的为此项目进行设计、编制规范、提供咨询服务的公司及其附属机构没有任何直接或间接的关联。</w:t>
      </w:r>
    </w:p>
    <w:p>
      <w:pPr>
        <w:spacing w:line="480" w:lineRule="auto"/>
        <w:ind w:firstLine="420" w:firstLineChars="200"/>
        <w:rPr>
          <w:rFonts w:ascii="宋体" w:hAnsi="宋体"/>
          <w:color w:val="auto"/>
          <w:highlight w:val="none"/>
        </w:rPr>
      </w:pPr>
      <w:r>
        <w:rPr>
          <w:rFonts w:hint="eastAsia" w:ascii="宋体" w:hAnsi="宋体"/>
          <w:color w:val="auto"/>
          <w:highlight w:val="none"/>
        </w:rPr>
        <w:t>3、我方已具备履行本项目所必需的设备和专业技术能力。</w:t>
      </w:r>
    </w:p>
    <w:p>
      <w:pPr>
        <w:spacing w:line="480" w:lineRule="auto"/>
        <w:ind w:firstLine="420" w:firstLineChars="200"/>
        <w:rPr>
          <w:rFonts w:ascii="宋体" w:hAnsi="宋体"/>
          <w:color w:val="auto"/>
          <w:highlight w:val="none"/>
        </w:rPr>
      </w:pPr>
      <w:r>
        <w:rPr>
          <w:rFonts w:hint="eastAsia" w:ascii="宋体" w:hAnsi="宋体"/>
          <w:color w:val="auto"/>
          <w:highlight w:val="none"/>
        </w:rPr>
        <w:t>4、我方未被“信用中国”（www.creditchina.gov.cn)、中国政府采购网（www.ccgp.gov.cn）列入失信被执行人、重大税收违法案件当事人名单（税收违法黑名单）、政府采购严重违法失信行为记录名单。</w:t>
      </w:r>
    </w:p>
    <w:p>
      <w:pPr>
        <w:spacing w:line="480" w:lineRule="auto"/>
        <w:ind w:firstLine="420" w:firstLineChars="200"/>
        <w:rPr>
          <w:rFonts w:ascii="宋体" w:hAnsi="宋体"/>
          <w:color w:val="auto"/>
          <w:highlight w:val="none"/>
        </w:rPr>
      </w:pPr>
      <w:r>
        <w:rPr>
          <w:rFonts w:hint="eastAsia" w:ascii="宋体" w:hAnsi="宋体"/>
          <w:color w:val="auto"/>
          <w:highlight w:val="none"/>
        </w:rPr>
        <w:t>我方对上述声明的真实性负责。本次招标采购活动中，如有违法、违规、弄虚作假行为，所造成的损失、不良后果及法律责任，一律由我我方承担。</w:t>
      </w:r>
    </w:p>
    <w:p>
      <w:pPr>
        <w:spacing w:line="480" w:lineRule="auto"/>
        <w:rPr>
          <w:rFonts w:ascii="宋体" w:hAnsi="宋体"/>
          <w:color w:val="auto"/>
          <w:highlight w:val="none"/>
        </w:rPr>
      </w:pPr>
    </w:p>
    <w:p>
      <w:pPr>
        <w:spacing w:line="360" w:lineRule="auto"/>
        <w:ind w:firstLine="420"/>
        <w:rPr>
          <w:rFonts w:ascii="宋体" w:hAnsi="宋体" w:cs="宋体"/>
          <w:b/>
          <w:color w:val="auto"/>
          <w:highlight w:val="none"/>
        </w:rPr>
      </w:pPr>
      <w:r>
        <w:rPr>
          <w:rFonts w:hint="eastAsia" w:ascii="宋体" w:hAnsi="宋体" w:cs="宋体"/>
          <w:b/>
          <w:color w:val="auto"/>
          <w:highlight w:val="none"/>
        </w:rPr>
        <w:t>特此声明！</w:t>
      </w:r>
    </w:p>
    <w:p>
      <w:pPr>
        <w:spacing w:line="480" w:lineRule="auto"/>
        <w:rPr>
          <w:rFonts w:ascii="宋体" w:hAnsi="宋体"/>
          <w:color w:val="auto"/>
          <w:highlight w:val="none"/>
        </w:rPr>
      </w:pPr>
    </w:p>
    <w:p>
      <w:pPr>
        <w:spacing w:line="480" w:lineRule="auto"/>
        <w:ind w:left="2940" w:firstLine="420"/>
        <w:jc w:val="left"/>
        <w:rPr>
          <w:rFonts w:ascii="宋体" w:hAnsi="宋体"/>
          <w:color w:val="auto"/>
          <w:highlight w:val="none"/>
        </w:rPr>
      </w:pPr>
      <w:r>
        <w:rPr>
          <w:rFonts w:hint="eastAsia" w:ascii="宋体" w:hAnsi="宋体"/>
          <w:color w:val="auto"/>
          <w:highlight w:val="none"/>
        </w:rPr>
        <w:t>投标人名称（加盖公章）：</w:t>
      </w:r>
      <w:r>
        <w:rPr>
          <w:rFonts w:hint="eastAsia" w:ascii="宋体" w:hAnsi="宋体"/>
          <w:color w:val="auto"/>
          <w:highlight w:val="none"/>
          <w:u w:val="single"/>
        </w:rPr>
        <w:t xml:space="preserve">                            </w:t>
      </w:r>
    </w:p>
    <w:p>
      <w:pPr>
        <w:spacing w:line="480" w:lineRule="auto"/>
        <w:ind w:left="2940" w:firstLine="420"/>
        <w:jc w:val="left"/>
        <w:rPr>
          <w:rFonts w:ascii="宋体" w:hAnsi="宋体"/>
          <w:color w:val="auto"/>
          <w:highlight w:val="none"/>
          <w:u w:val="single"/>
        </w:rPr>
      </w:pPr>
      <w:r>
        <w:rPr>
          <w:rFonts w:hint="eastAsia" w:ascii="宋体" w:hAnsi="宋体"/>
          <w:color w:val="auto"/>
          <w:highlight w:val="none"/>
        </w:rPr>
        <w:t>日      期：</w:t>
      </w:r>
      <w:r>
        <w:rPr>
          <w:rFonts w:hint="eastAsia" w:ascii="宋体" w:hAnsi="宋体"/>
          <w:color w:val="auto"/>
          <w:highlight w:val="none"/>
          <w:u w:val="single"/>
        </w:rPr>
        <w:t xml:space="preserve">                                       </w:t>
      </w:r>
    </w:p>
    <w:p>
      <w:pPr>
        <w:spacing w:line="360" w:lineRule="auto"/>
        <w:rPr>
          <w:rFonts w:ascii="宋体" w:hAnsi="宋体"/>
          <w:color w:val="auto"/>
          <w:highlight w:val="none"/>
        </w:rPr>
      </w:pPr>
    </w:p>
    <w:p>
      <w:pPr>
        <w:adjustRightInd w:val="0"/>
        <w:snapToGrid w:val="0"/>
        <w:jc w:val="left"/>
        <w:rPr>
          <w:color w:val="auto"/>
          <w:highlight w:val="none"/>
        </w:rPr>
      </w:pPr>
      <w:r>
        <w:rPr>
          <w:rFonts w:ascii="宋体" w:hAnsi="宋体"/>
          <w:color w:val="auto"/>
          <w:highlight w:val="none"/>
        </w:rPr>
        <w:br w:type="page"/>
      </w:r>
      <w:r>
        <w:rPr>
          <w:rFonts w:hint="eastAsia" w:ascii="宋体" w:hAnsi="宋体" w:cs="宋体"/>
          <w:color w:val="auto"/>
          <w:szCs w:val="21"/>
          <w:highlight w:val="none"/>
        </w:rPr>
        <w:t>附件3：</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法定代表人身份</w:t>
      </w:r>
      <w:r>
        <w:rPr>
          <w:rFonts w:ascii="宋体" w:hAnsi="宋体" w:cs="宋体"/>
          <w:b/>
          <w:color w:val="auto"/>
          <w:sz w:val="30"/>
          <w:szCs w:val="30"/>
          <w:highlight w:val="none"/>
        </w:rPr>
        <w:t>证</w:t>
      </w:r>
      <w:r>
        <w:rPr>
          <w:rFonts w:hint="eastAsia" w:ascii="宋体" w:hAnsi="宋体" w:cs="宋体"/>
          <w:b/>
          <w:color w:val="auto"/>
          <w:sz w:val="30"/>
          <w:szCs w:val="30"/>
          <w:highlight w:val="none"/>
        </w:rPr>
        <w:t>明</w:t>
      </w:r>
      <w:r>
        <w:rPr>
          <w:rFonts w:ascii="宋体" w:hAnsi="宋体" w:cs="宋体"/>
          <w:b/>
          <w:color w:val="auto"/>
          <w:sz w:val="30"/>
          <w:szCs w:val="30"/>
          <w:highlight w:val="none"/>
        </w:rPr>
        <w:t>书</w:t>
      </w:r>
    </w:p>
    <w:p>
      <w:pPr>
        <w:spacing w:line="360" w:lineRule="auto"/>
        <w:rPr>
          <w:rFonts w:ascii="宋体" w:hAnsi="宋体"/>
          <w:color w:val="auto"/>
          <w:highlight w:val="none"/>
        </w:rPr>
      </w:pPr>
    </w:p>
    <w:p>
      <w:pPr>
        <w:spacing w:line="480" w:lineRule="auto"/>
        <w:ind w:firstLine="420"/>
        <w:rPr>
          <w:rFonts w:ascii="宋体" w:hAnsi="宋体"/>
          <w:color w:val="auto"/>
          <w:szCs w:val="21"/>
          <w:highlight w:val="none"/>
        </w:rPr>
      </w:pPr>
      <w:r>
        <w:rPr>
          <w:rFonts w:hint="eastAsia" w:ascii="宋体" w:hAnsi="宋体"/>
          <w:color w:val="auto"/>
          <w:szCs w:val="21"/>
          <w:highlight w:val="none"/>
        </w:rPr>
        <w:t>投</w:t>
      </w:r>
      <w:r>
        <w:rPr>
          <w:rFonts w:ascii="宋体" w:hAnsi="宋体"/>
          <w:color w:val="auto"/>
          <w:szCs w:val="21"/>
          <w:highlight w:val="none"/>
        </w:rPr>
        <w:t>标</w:t>
      </w:r>
      <w:r>
        <w:rPr>
          <w:rFonts w:hint="eastAsia" w:ascii="宋体" w:hAnsi="宋体"/>
          <w:color w:val="auto"/>
          <w:szCs w:val="21"/>
          <w:highlight w:val="none"/>
        </w:rPr>
        <w:t>人名</w:t>
      </w:r>
      <w:r>
        <w:rPr>
          <w:rFonts w:ascii="宋体" w:hAnsi="宋体"/>
          <w:color w:val="auto"/>
          <w:szCs w:val="21"/>
          <w:highlight w:val="none"/>
        </w:rPr>
        <w:t>称</w:t>
      </w:r>
      <w:r>
        <w:rPr>
          <w:rFonts w:hint="eastAsia" w:ascii="宋体" w:hAnsi="宋体"/>
          <w:color w:val="auto"/>
          <w:szCs w:val="21"/>
          <w:highlight w:val="none"/>
        </w:rPr>
        <w:t>：</w:t>
      </w:r>
    </w:p>
    <w:p>
      <w:pPr>
        <w:spacing w:line="480" w:lineRule="auto"/>
        <w:ind w:firstLine="420"/>
        <w:rPr>
          <w:rFonts w:ascii="宋体" w:hAnsi="宋体"/>
          <w:color w:val="auto"/>
          <w:szCs w:val="21"/>
          <w:highlight w:val="none"/>
        </w:rPr>
      </w:pPr>
      <w:r>
        <w:rPr>
          <w:rFonts w:hint="eastAsia" w:ascii="宋体" w:hAnsi="宋体"/>
          <w:color w:val="auto"/>
          <w:szCs w:val="21"/>
          <w:highlight w:val="none"/>
        </w:rPr>
        <w:t>地址：</w:t>
      </w:r>
    </w:p>
    <w:p>
      <w:pPr>
        <w:spacing w:line="480" w:lineRule="auto"/>
        <w:ind w:firstLine="420"/>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rPr>
        <w:t xml:space="preserve">          </w:t>
      </w:r>
      <w:r>
        <w:rPr>
          <w:rFonts w:hint="eastAsia" w:ascii="宋体" w:hAnsi="宋体"/>
          <w:color w:val="auto"/>
          <w:szCs w:val="21"/>
          <w:highlight w:val="none"/>
        </w:rPr>
        <w:t>性</w:t>
      </w:r>
      <w:r>
        <w:rPr>
          <w:rFonts w:ascii="宋体" w:hAnsi="宋体"/>
          <w:color w:val="auto"/>
          <w:szCs w:val="21"/>
          <w:highlight w:val="none"/>
        </w:rPr>
        <w:t>别</w:t>
      </w: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龄</w:t>
      </w:r>
      <w:r>
        <w:rPr>
          <w:rFonts w:hint="eastAsia" w:ascii="宋体" w:hAnsi="宋体"/>
          <w:color w:val="auto"/>
          <w:szCs w:val="21"/>
          <w:highlight w:val="none"/>
        </w:rPr>
        <w:t>：</w:t>
      </w:r>
      <w:r>
        <w:rPr>
          <w:rFonts w:ascii="宋体" w:hAnsi="宋体"/>
          <w:color w:val="auto"/>
          <w:szCs w:val="21"/>
          <w:highlight w:val="none"/>
        </w:rPr>
        <w:t xml:space="preserve">            职务</w:t>
      </w:r>
      <w:r>
        <w:rPr>
          <w:rFonts w:hint="eastAsia" w:ascii="宋体" w:hAnsi="宋体"/>
          <w:color w:val="auto"/>
          <w:szCs w:val="21"/>
          <w:highlight w:val="none"/>
        </w:rPr>
        <w:t xml:space="preserve">： </w:t>
      </w:r>
    </w:p>
    <w:p>
      <w:pPr>
        <w:spacing w:line="480" w:lineRule="auto"/>
        <w:ind w:firstLine="420"/>
        <w:rPr>
          <w:rFonts w:ascii="宋体" w:hAnsi="宋体"/>
          <w:color w:val="auto"/>
          <w:szCs w:val="21"/>
          <w:highlight w:val="none"/>
        </w:rPr>
      </w:pPr>
      <w:r>
        <w:rPr>
          <w:rFonts w:hint="eastAsia" w:ascii="宋体" w:hAnsi="宋体"/>
          <w:color w:val="auto"/>
          <w:szCs w:val="21"/>
          <w:highlight w:val="none"/>
        </w:rPr>
        <w:t>本人系</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&lt; 投</w:t>
      </w:r>
      <w:r>
        <w:rPr>
          <w:rFonts w:ascii="宋体" w:hAnsi="宋体"/>
          <w:color w:val="auto"/>
          <w:szCs w:val="21"/>
          <w:highlight w:val="none"/>
          <w:u w:val="single"/>
        </w:rPr>
        <w:t>标</w:t>
      </w:r>
      <w:r>
        <w:rPr>
          <w:rFonts w:hint="eastAsia" w:ascii="宋体" w:hAnsi="宋体"/>
          <w:color w:val="auto"/>
          <w:szCs w:val="21"/>
          <w:highlight w:val="none"/>
          <w:u w:val="single"/>
        </w:rPr>
        <w:t>人名</w:t>
      </w:r>
      <w:r>
        <w:rPr>
          <w:rFonts w:ascii="宋体" w:hAnsi="宋体"/>
          <w:color w:val="auto"/>
          <w:szCs w:val="21"/>
          <w:highlight w:val="none"/>
          <w:u w:val="single"/>
        </w:rPr>
        <w:t>称</w:t>
      </w:r>
      <w:r>
        <w:rPr>
          <w:rFonts w:hint="eastAsia" w:ascii="宋体" w:hAnsi="宋体"/>
          <w:color w:val="auto"/>
          <w:szCs w:val="21"/>
          <w:highlight w:val="none"/>
          <w:u w:val="single"/>
        </w:rPr>
        <w:t xml:space="preserve"> &gt;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的法定代表人。</w:t>
      </w:r>
      <w:r>
        <w:rPr>
          <w:rFonts w:ascii="宋体" w:hAnsi="宋体"/>
          <w:color w:val="auto"/>
          <w:szCs w:val="21"/>
          <w:highlight w:val="none"/>
        </w:rPr>
        <w:t>为</w:t>
      </w:r>
      <w:r>
        <w:rPr>
          <w:rFonts w:hint="eastAsia" w:ascii="宋体" w:hAnsi="宋体"/>
          <w:color w:val="auto"/>
          <w:szCs w:val="21"/>
          <w:highlight w:val="none"/>
        </w:rPr>
        <w:t>你中心</w:t>
      </w:r>
      <w:r>
        <w:rPr>
          <w:rFonts w:ascii="宋体" w:hAnsi="宋体"/>
          <w:color w:val="auto"/>
          <w:szCs w:val="21"/>
          <w:highlight w:val="none"/>
        </w:rPr>
        <w:t>组织的</w:t>
      </w:r>
      <w:r>
        <w:rPr>
          <w:rFonts w:hint="eastAsia" w:ascii="宋体" w:hAnsi="宋体"/>
          <w:color w:val="auto"/>
          <w:szCs w:val="21"/>
          <w:highlight w:val="none"/>
        </w:rPr>
        <w:t>项目</w:t>
      </w:r>
      <w:r>
        <w:rPr>
          <w:rFonts w:ascii="宋体" w:hAnsi="宋体"/>
          <w:color w:val="auto"/>
          <w:szCs w:val="21"/>
          <w:highlight w:val="none"/>
        </w:rPr>
        <w:t>编号为</w:t>
      </w:r>
      <w:r>
        <w:rPr>
          <w:rFonts w:hint="eastAsia" w:ascii="宋体" w:hAnsi="宋体"/>
          <w:b/>
          <w:color w:val="auto"/>
          <w:szCs w:val="21"/>
          <w:highlight w:val="none"/>
          <w:u w:val="single"/>
        </w:rPr>
        <w:t xml:space="preserve"> </w:t>
      </w:r>
      <w:r>
        <w:rPr>
          <w:rFonts w:hint="eastAsia" w:ascii="宋体" w:hAnsi="宋体"/>
          <w:color w:val="auto"/>
          <w:szCs w:val="21"/>
          <w:highlight w:val="none"/>
        </w:rPr>
        <w:t>的</w:t>
      </w:r>
      <w:r>
        <w:rPr>
          <w:rFonts w:hint="eastAsia"/>
          <w:b/>
          <w:bCs/>
          <w:color w:val="auto"/>
          <w:highlight w:val="none"/>
          <w:u w:val="single"/>
        </w:rPr>
        <w:t xml:space="preserve">               </w:t>
      </w:r>
      <w:r>
        <w:rPr>
          <w:rFonts w:hint="eastAsia" w:ascii="宋体" w:hAnsi="宋体"/>
          <w:color w:val="auto"/>
          <w:szCs w:val="21"/>
          <w:highlight w:val="none"/>
        </w:rPr>
        <w:t>政府采购项目，</w:t>
      </w:r>
      <w:r>
        <w:rPr>
          <w:rFonts w:ascii="宋体" w:hAnsi="宋体"/>
          <w:color w:val="auto"/>
          <w:szCs w:val="21"/>
          <w:highlight w:val="none"/>
        </w:rPr>
        <w:t>签</w:t>
      </w:r>
      <w:r>
        <w:rPr>
          <w:rFonts w:hint="eastAsia" w:ascii="宋体" w:hAnsi="宋体"/>
          <w:color w:val="auto"/>
          <w:szCs w:val="21"/>
          <w:highlight w:val="none"/>
        </w:rPr>
        <w:t>署上</w:t>
      </w:r>
      <w:r>
        <w:rPr>
          <w:rFonts w:ascii="宋体" w:hAnsi="宋体"/>
          <w:color w:val="auto"/>
          <w:szCs w:val="21"/>
          <w:highlight w:val="none"/>
        </w:rPr>
        <w:t>述项目</w:t>
      </w:r>
      <w:r>
        <w:rPr>
          <w:rFonts w:hint="eastAsia" w:ascii="宋体" w:hAnsi="宋体"/>
          <w:color w:val="auto"/>
          <w:szCs w:val="21"/>
          <w:highlight w:val="none"/>
        </w:rPr>
        <w:t>的</w:t>
      </w:r>
      <w:r>
        <w:rPr>
          <w:rFonts w:ascii="宋体" w:hAnsi="宋体"/>
          <w:color w:val="auto"/>
          <w:szCs w:val="21"/>
          <w:highlight w:val="none"/>
        </w:rPr>
        <w:t>投标文件、进行合同谈判、签署合同和处理与之有关的一切事务</w:t>
      </w:r>
      <w:r>
        <w:rPr>
          <w:rFonts w:hint="eastAsia" w:ascii="宋体" w:hAnsi="宋体"/>
          <w:color w:val="auto"/>
          <w:szCs w:val="21"/>
          <w:highlight w:val="none"/>
        </w:rPr>
        <w:t>。</w:t>
      </w:r>
    </w:p>
    <w:p>
      <w:pPr>
        <w:spacing w:line="480" w:lineRule="auto"/>
        <w:ind w:firstLine="420"/>
        <w:rPr>
          <w:rFonts w:ascii="宋体" w:hAnsi="宋体"/>
          <w:color w:val="auto"/>
          <w:szCs w:val="21"/>
          <w:highlight w:val="none"/>
        </w:rPr>
      </w:pPr>
      <w:r>
        <w:rPr>
          <w:rFonts w:hint="eastAsia" w:ascii="宋体" w:hAnsi="宋体"/>
          <w:color w:val="auto"/>
          <w:szCs w:val="21"/>
          <w:highlight w:val="none"/>
        </w:rPr>
        <w:t>特此</w:t>
      </w:r>
      <w:r>
        <w:rPr>
          <w:rFonts w:ascii="宋体" w:hAnsi="宋体"/>
          <w:color w:val="auto"/>
          <w:szCs w:val="21"/>
          <w:highlight w:val="none"/>
        </w:rPr>
        <w:t>证</w:t>
      </w:r>
      <w:r>
        <w:rPr>
          <w:rFonts w:hint="eastAsia" w:ascii="宋体" w:hAnsi="宋体"/>
          <w:color w:val="auto"/>
          <w:szCs w:val="21"/>
          <w:highlight w:val="none"/>
        </w:rPr>
        <w:t>明。</w:t>
      </w: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jc w:val="center"/>
        <w:rPr>
          <w:rFonts w:ascii="宋体" w:hAnsi="宋体"/>
          <w:b/>
          <w:color w:val="auto"/>
          <w:highlight w:val="none"/>
          <w:u w:val="single"/>
        </w:rPr>
      </w:pPr>
      <w:r>
        <w:rPr>
          <w:rFonts w:hint="eastAsia" w:ascii="宋体" w:hAnsi="宋体"/>
          <w:b/>
          <w:color w:val="auto"/>
          <w:highlight w:val="none"/>
          <w:u w:val="single"/>
        </w:rPr>
        <w:t>（</w:t>
      </w:r>
      <w:r>
        <w:rPr>
          <w:rFonts w:ascii="宋体" w:hAnsi="宋体"/>
          <w:b/>
          <w:color w:val="auto"/>
          <w:highlight w:val="none"/>
          <w:u w:val="single"/>
        </w:rPr>
        <w:t>※</w:t>
      </w:r>
      <w:r>
        <w:rPr>
          <w:rFonts w:hint="eastAsia" w:ascii="宋体" w:hAnsi="宋体"/>
          <w:b/>
          <w:color w:val="auto"/>
          <w:highlight w:val="none"/>
          <w:u w:val="single"/>
        </w:rPr>
        <w:t xml:space="preserve"> 此</w:t>
      </w:r>
      <w:r>
        <w:rPr>
          <w:rFonts w:ascii="宋体" w:hAnsi="宋体"/>
          <w:b/>
          <w:color w:val="auto"/>
          <w:highlight w:val="none"/>
          <w:u w:val="single"/>
        </w:rPr>
        <w:t>处</w:t>
      </w:r>
      <w:r>
        <w:rPr>
          <w:rFonts w:hint="eastAsia" w:ascii="宋体" w:hAnsi="宋体"/>
          <w:b/>
          <w:color w:val="auto"/>
          <w:highlight w:val="none"/>
          <w:u w:val="single"/>
        </w:rPr>
        <w:t>附法定代表人身份</w:t>
      </w:r>
      <w:r>
        <w:rPr>
          <w:rFonts w:ascii="宋体" w:hAnsi="宋体"/>
          <w:b/>
          <w:color w:val="auto"/>
          <w:highlight w:val="none"/>
          <w:u w:val="single"/>
        </w:rPr>
        <w:t>证复</w:t>
      </w:r>
      <w:r>
        <w:rPr>
          <w:rFonts w:hint="eastAsia" w:ascii="宋体" w:hAnsi="宋体"/>
          <w:b/>
          <w:color w:val="auto"/>
          <w:highlight w:val="none"/>
          <w:u w:val="single"/>
        </w:rPr>
        <w:t>印件（正反两面）</w:t>
      </w:r>
      <w:r>
        <w:rPr>
          <w:rFonts w:ascii="宋体" w:hAnsi="宋体"/>
          <w:b/>
          <w:color w:val="auto"/>
          <w:highlight w:val="none"/>
          <w:u w:val="single"/>
        </w:rPr>
        <w:t>※</w:t>
      </w:r>
      <w:r>
        <w:rPr>
          <w:rFonts w:hint="eastAsia" w:ascii="宋体" w:hAnsi="宋体"/>
          <w:b/>
          <w:color w:val="auto"/>
          <w:highlight w:val="none"/>
          <w:u w:val="single"/>
        </w:rPr>
        <w:t>）</w:t>
      </w: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360" w:lineRule="auto"/>
        <w:ind w:firstLine="420"/>
        <w:rPr>
          <w:rFonts w:ascii="宋体" w:hAnsi="宋体"/>
          <w:color w:val="auto"/>
          <w:szCs w:val="21"/>
          <w:highlight w:val="none"/>
        </w:rPr>
      </w:pPr>
    </w:p>
    <w:p>
      <w:pPr>
        <w:spacing w:line="480" w:lineRule="auto"/>
        <w:ind w:firstLine="420"/>
        <w:rPr>
          <w:rFonts w:ascii="宋体" w:hAnsi="宋体"/>
          <w:color w:val="auto"/>
          <w:highlight w:val="none"/>
        </w:rPr>
      </w:pPr>
      <w:r>
        <w:rPr>
          <w:rFonts w:hint="eastAsia" w:ascii="宋体" w:hAnsi="宋体"/>
          <w:color w:val="auto"/>
          <w:highlight w:val="none"/>
        </w:rPr>
        <w:t>投标人名称（加盖公章）：</w:t>
      </w:r>
      <w:r>
        <w:rPr>
          <w:rFonts w:hint="eastAsia" w:ascii="宋体" w:hAnsi="宋体"/>
          <w:color w:val="auto"/>
          <w:highlight w:val="none"/>
          <w:u w:val="single"/>
        </w:rPr>
        <w:t xml:space="preserve">                            </w:t>
      </w:r>
    </w:p>
    <w:p>
      <w:pPr>
        <w:spacing w:line="480" w:lineRule="auto"/>
        <w:ind w:firstLine="420"/>
        <w:rPr>
          <w:rFonts w:ascii="宋体" w:hAnsi="宋体"/>
          <w:color w:val="auto"/>
          <w:highlight w:val="none"/>
        </w:rPr>
      </w:pPr>
      <w:r>
        <w:rPr>
          <w:rFonts w:hint="eastAsia" w:ascii="宋体" w:hAnsi="宋体"/>
          <w:color w:val="auto"/>
          <w:highlight w:val="none"/>
        </w:rPr>
        <w:t>法定代表人（签字或盖章）：</w:t>
      </w:r>
      <w:r>
        <w:rPr>
          <w:rFonts w:hint="eastAsia" w:ascii="宋体" w:hAnsi="宋体"/>
          <w:color w:val="auto"/>
          <w:highlight w:val="none"/>
          <w:u w:val="single"/>
        </w:rPr>
        <w:t xml:space="preserve">                                </w:t>
      </w:r>
    </w:p>
    <w:p>
      <w:pPr>
        <w:spacing w:line="480" w:lineRule="auto"/>
        <w:ind w:firstLine="420"/>
        <w:rPr>
          <w:rFonts w:ascii="宋体" w:hAnsi="宋体"/>
          <w:color w:val="auto"/>
          <w:highlight w:val="none"/>
        </w:rPr>
      </w:pPr>
      <w:r>
        <w:rPr>
          <w:rFonts w:hint="eastAsia" w:ascii="宋体" w:hAnsi="宋体"/>
          <w:color w:val="auto"/>
          <w:highlight w:val="none"/>
        </w:rPr>
        <w:t>签署日期：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480" w:lineRule="auto"/>
        <w:rPr>
          <w:rFonts w:ascii="宋体" w:hAnsi="宋体"/>
          <w:color w:val="auto"/>
          <w:szCs w:val="21"/>
          <w:highlight w:val="none"/>
        </w:rPr>
      </w:pPr>
    </w:p>
    <w:p>
      <w:pPr>
        <w:spacing w:line="360" w:lineRule="auto"/>
        <w:rPr>
          <w:rFonts w:ascii="宋体" w:hAnsi="宋体"/>
          <w:b/>
          <w:color w:val="auto"/>
          <w:highlight w:val="none"/>
        </w:rPr>
      </w:pPr>
      <w:r>
        <w:rPr>
          <w:rFonts w:hint="eastAsia" w:ascii="宋体" w:hAnsi="宋体"/>
          <w:b/>
          <w:color w:val="auto"/>
          <w:highlight w:val="none"/>
        </w:rPr>
        <w:t>说明：法定代表人</w:t>
      </w:r>
      <w:r>
        <w:rPr>
          <w:rFonts w:ascii="宋体" w:hAnsi="宋体"/>
          <w:b/>
          <w:color w:val="auto"/>
          <w:highlight w:val="none"/>
        </w:rPr>
        <w:t>参</w:t>
      </w:r>
      <w:r>
        <w:rPr>
          <w:rFonts w:hint="eastAsia" w:ascii="宋体" w:hAnsi="宋体"/>
          <w:b/>
          <w:color w:val="auto"/>
          <w:highlight w:val="none"/>
        </w:rPr>
        <w:t>加本招</w:t>
      </w:r>
      <w:r>
        <w:rPr>
          <w:rFonts w:ascii="宋体" w:hAnsi="宋体"/>
          <w:b/>
          <w:color w:val="auto"/>
          <w:highlight w:val="none"/>
        </w:rPr>
        <w:t>标项目</w:t>
      </w:r>
      <w:r>
        <w:rPr>
          <w:rFonts w:hint="eastAsia" w:ascii="宋体" w:hAnsi="宋体"/>
          <w:b/>
          <w:color w:val="auto"/>
          <w:highlight w:val="none"/>
        </w:rPr>
        <w:t>投</w:t>
      </w:r>
      <w:r>
        <w:rPr>
          <w:rFonts w:ascii="宋体" w:hAnsi="宋体"/>
          <w:b/>
          <w:color w:val="auto"/>
          <w:highlight w:val="none"/>
        </w:rPr>
        <w:t>标</w:t>
      </w:r>
      <w:r>
        <w:rPr>
          <w:rFonts w:hint="eastAsia" w:ascii="宋体" w:hAnsi="宋体"/>
          <w:b/>
          <w:color w:val="auto"/>
          <w:highlight w:val="none"/>
        </w:rPr>
        <w:t>的，</w:t>
      </w:r>
      <w:r>
        <w:rPr>
          <w:rFonts w:ascii="宋体" w:hAnsi="宋体"/>
          <w:b/>
          <w:color w:val="auto"/>
          <w:highlight w:val="none"/>
        </w:rPr>
        <w:t>仅须</w:t>
      </w:r>
      <w:r>
        <w:rPr>
          <w:rFonts w:hint="eastAsia" w:ascii="宋体" w:hAnsi="宋体"/>
          <w:b/>
          <w:color w:val="auto"/>
          <w:highlight w:val="none"/>
        </w:rPr>
        <w:t>提供此</w:t>
      </w:r>
      <w:r>
        <w:rPr>
          <w:rFonts w:ascii="宋体" w:hAnsi="宋体"/>
          <w:b/>
          <w:color w:val="auto"/>
          <w:highlight w:val="none"/>
        </w:rPr>
        <w:t>证</w:t>
      </w:r>
      <w:r>
        <w:rPr>
          <w:rFonts w:hint="eastAsia" w:ascii="宋体" w:hAnsi="宋体"/>
          <w:b/>
          <w:color w:val="auto"/>
          <w:highlight w:val="none"/>
        </w:rPr>
        <w:t>明</w:t>
      </w:r>
      <w:r>
        <w:rPr>
          <w:rFonts w:ascii="宋体" w:hAnsi="宋体"/>
          <w:b/>
          <w:color w:val="auto"/>
          <w:highlight w:val="none"/>
        </w:rPr>
        <w:t>书</w:t>
      </w:r>
      <w:r>
        <w:rPr>
          <w:rFonts w:hint="eastAsia" w:ascii="宋体" w:hAnsi="宋体"/>
          <w:b/>
          <w:color w:val="auto"/>
          <w:highlight w:val="none"/>
        </w:rPr>
        <w:t>。</w:t>
      </w:r>
    </w:p>
    <w:p>
      <w:pPr>
        <w:spacing w:line="360" w:lineRule="auto"/>
        <w:rPr>
          <w:rFonts w:ascii="宋体" w:hAnsi="宋体"/>
          <w:color w:val="auto"/>
          <w:highlight w:val="none"/>
        </w:rPr>
      </w:pPr>
      <w:r>
        <w:rPr>
          <w:rFonts w:ascii="宋体" w:hAnsi="宋体"/>
          <w:color w:val="auto"/>
          <w:highlight w:val="none"/>
        </w:rPr>
        <w:br w:type="page"/>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法定代表人授权书</w:t>
      </w:r>
    </w:p>
    <w:p>
      <w:pPr>
        <w:spacing w:line="480" w:lineRule="auto"/>
        <w:rPr>
          <w:b/>
          <w:color w:val="auto"/>
          <w:szCs w:val="21"/>
          <w:highlight w:val="none"/>
        </w:rPr>
      </w:pPr>
      <w:r>
        <w:rPr>
          <w:rFonts w:hint="eastAsia"/>
          <w:b/>
          <w:color w:val="auto"/>
          <w:szCs w:val="21"/>
          <w:highlight w:val="none"/>
        </w:rPr>
        <w:t>浙江天诚工程咨询有限公司：</w:t>
      </w:r>
    </w:p>
    <w:p>
      <w:pPr>
        <w:spacing w:line="480" w:lineRule="auto"/>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u w:val="single"/>
        </w:rPr>
        <w:t xml:space="preserve">         &lt; 投</w:t>
      </w:r>
      <w:r>
        <w:rPr>
          <w:rFonts w:ascii="宋体" w:hAnsi="宋体"/>
          <w:color w:val="auto"/>
          <w:highlight w:val="none"/>
          <w:u w:val="single"/>
        </w:rPr>
        <w:t>标</w:t>
      </w:r>
      <w:r>
        <w:rPr>
          <w:rFonts w:hint="eastAsia" w:ascii="宋体" w:hAnsi="宋体"/>
          <w:color w:val="auto"/>
          <w:highlight w:val="none"/>
          <w:u w:val="single"/>
        </w:rPr>
        <w:t>人名</w:t>
      </w:r>
      <w:r>
        <w:rPr>
          <w:rFonts w:ascii="宋体" w:hAnsi="宋体"/>
          <w:color w:val="auto"/>
          <w:highlight w:val="none"/>
          <w:u w:val="single"/>
        </w:rPr>
        <w:t>称</w:t>
      </w:r>
      <w:r>
        <w:rPr>
          <w:rFonts w:hint="eastAsia" w:ascii="宋体" w:hAnsi="宋体"/>
          <w:color w:val="auto"/>
          <w:highlight w:val="none"/>
          <w:u w:val="single"/>
        </w:rPr>
        <w:t xml:space="preserve"> &gt;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法定代表人</w:t>
      </w:r>
      <w:r>
        <w:rPr>
          <w:rFonts w:hint="eastAsia" w:ascii="宋体" w:hAnsi="宋体"/>
          <w:color w:val="auto"/>
          <w:highlight w:val="none"/>
          <w:u w:val="single"/>
        </w:rPr>
        <w:t xml:space="preserve">     &lt; 法定代表人姓名 &gt;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授权本单位</w:t>
      </w:r>
      <w:r>
        <w:rPr>
          <w:rFonts w:hint="eastAsia" w:ascii="宋体" w:hAnsi="宋体"/>
          <w:color w:val="auto"/>
          <w:highlight w:val="none"/>
          <w:u w:val="single"/>
        </w:rPr>
        <w:t xml:space="preserve">      &lt; 全权代表任职部门 &gt;         &lt;全权代表姓名&gt;      </w:t>
      </w:r>
      <w:r>
        <w:rPr>
          <w:rFonts w:hint="eastAsia" w:ascii="宋体" w:hAnsi="宋体"/>
          <w:color w:val="auto"/>
          <w:highlight w:val="none"/>
        </w:rPr>
        <w:t>为本公司的合法全权代表，参加你中心组织的</w:t>
      </w:r>
      <w:r>
        <w:rPr>
          <w:rFonts w:hint="eastAsia" w:ascii="宋体" w:hAnsi="宋体"/>
          <w:color w:val="auto"/>
          <w:highlight w:val="none"/>
          <w:u w:val="single"/>
        </w:rPr>
        <w:t xml:space="preserve">  </w:t>
      </w:r>
      <w:r>
        <w:rPr>
          <w:rFonts w:hint="eastAsia" w:ascii="宋体" w:hAnsi="宋体"/>
          <w:b/>
          <w:color w:val="auto"/>
          <w:highlight w:val="none"/>
          <w:u w:val="single"/>
        </w:rPr>
        <w:t xml:space="preserve">                  （项目编号：）</w:t>
      </w:r>
      <w:r>
        <w:rPr>
          <w:rFonts w:hint="eastAsia" w:ascii="宋体" w:hAnsi="宋体"/>
          <w:color w:val="auto"/>
          <w:highlight w:val="none"/>
          <w:u w:val="single"/>
        </w:rPr>
        <w:t xml:space="preserve"> </w:t>
      </w:r>
      <w:r>
        <w:rPr>
          <w:rFonts w:hint="eastAsia" w:ascii="宋体" w:hAnsi="宋体"/>
          <w:color w:val="auto"/>
          <w:highlight w:val="none"/>
        </w:rPr>
        <w:t>公</w:t>
      </w:r>
      <w:r>
        <w:rPr>
          <w:rFonts w:ascii="宋体" w:hAnsi="宋体"/>
          <w:color w:val="auto"/>
          <w:highlight w:val="none"/>
        </w:rPr>
        <w:t>开</w:t>
      </w:r>
      <w:r>
        <w:rPr>
          <w:rFonts w:hint="eastAsia" w:ascii="宋体" w:hAnsi="宋体"/>
          <w:color w:val="auto"/>
          <w:highlight w:val="none"/>
        </w:rPr>
        <w:t>招</w:t>
      </w:r>
      <w:r>
        <w:rPr>
          <w:rFonts w:ascii="宋体" w:hAnsi="宋体"/>
          <w:color w:val="auto"/>
          <w:highlight w:val="none"/>
        </w:rPr>
        <w:t>标项</w:t>
      </w:r>
      <w:r>
        <w:rPr>
          <w:rFonts w:hint="eastAsia" w:ascii="宋体" w:hAnsi="宋体"/>
          <w:color w:val="auto"/>
          <w:highlight w:val="none"/>
        </w:rPr>
        <w:t>目的投</w:t>
      </w:r>
      <w:r>
        <w:rPr>
          <w:rFonts w:ascii="宋体" w:hAnsi="宋体"/>
          <w:color w:val="auto"/>
          <w:highlight w:val="none"/>
        </w:rPr>
        <w:t>标报价、签订</w:t>
      </w:r>
      <w:r>
        <w:rPr>
          <w:rFonts w:hint="eastAsia" w:ascii="宋体" w:hAnsi="宋体"/>
          <w:color w:val="auto"/>
          <w:highlight w:val="none"/>
        </w:rPr>
        <w:t>合同以及合同的</w:t>
      </w:r>
      <w:r>
        <w:rPr>
          <w:rFonts w:ascii="宋体" w:hAnsi="宋体"/>
          <w:color w:val="auto"/>
          <w:highlight w:val="none"/>
        </w:rPr>
        <w:t>执</w:t>
      </w:r>
      <w:r>
        <w:rPr>
          <w:rFonts w:hint="eastAsia" w:ascii="宋体" w:hAnsi="宋体"/>
          <w:color w:val="auto"/>
          <w:highlight w:val="none"/>
        </w:rPr>
        <w:t>行、完成、服</w:t>
      </w:r>
      <w:r>
        <w:rPr>
          <w:rFonts w:ascii="宋体" w:hAnsi="宋体"/>
          <w:color w:val="auto"/>
          <w:highlight w:val="none"/>
        </w:rPr>
        <w:t>务</w:t>
      </w:r>
      <w:r>
        <w:rPr>
          <w:rFonts w:hint="eastAsia" w:ascii="宋体" w:hAnsi="宋体"/>
          <w:color w:val="auto"/>
          <w:highlight w:val="none"/>
        </w:rPr>
        <w:t>和保修，以本公司名</w:t>
      </w:r>
      <w:r>
        <w:rPr>
          <w:rFonts w:ascii="宋体" w:hAnsi="宋体"/>
          <w:color w:val="auto"/>
          <w:highlight w:val="none"/>
        </w:rPr>
        <w:t>义处</w:t>
      </w:r>
      <w:r>
        <w:rPr>
          <w:rFonts w:hint="eastAsia" w:ascii="宋体" w:hAnsi="宋体"/>
          <w:color w:val="auto"/>
          <w:highlight w:val="none"/>
        </w:rPr>
        <w:t>理一切与之有</w:t>
      </w:r>
      <w:r>
        <w:rPr>
          <w:rFonts w:ascii="宋体" w:hAnsi="宋体"/>
          <w:color w:val="auto"/>
          <w:highlight w:val="none"/>
        </w:rPr>
        <w:t>关的</w:t>
      </w:r>
      <w:r>
        <w:rPr>
          <w:rFonts w:hint="eastAsia" w:ascii="宋体" w:hAnsi="宋体"/>
          <w:color w:val="auto"/>
          <w:highlight w:val="none"/>
        </w:rPr>
        <w:t>事</w:t>
      </w:r>
      <w:r>
        <w:rPr>
          <w:rFonts w:ascii="宋体" w:hAnsi="宋体"/>
          <w:color w:val="auto"/>
          <w:highlight w:val="none"/>
        </w:rPr>
        <w:t>务</w:t>
      </w:r>
      <w:r>
        <w:rPr>
          <w:rFonts w:hint="eastAsia" w:ascii="宋体" w:hAnsi="宋体"/>
          <w:color w:val="auto"/>
          <w:highlight w:val="none"/>
        </w:rPr>
        <w:t>。</w:t>
      </w:r>
    </w:p>
    <w:p>
      <w:pPr>
        <w:spacing w:line="480" w:lineRule="auto"/>
        <w:rPr>
          <w:rFonts w:ascii="宋体" w:hAnsi="宋体"/>
          <w:color w:val="auto"/>
          <w:highlight w:val="none"/>
        </w:rPr>
      </w:pPr>
      <w:r>
        <w:rPr>
          <w:rFonts w:hint="eastAsia" w:ascii="宋体" w:hAnsi="宋体"/>
          <w:color w:val="auto"/>
          <w:highlight w:val="none"/>
        </w:rPr>
        <w:t>本授</w:t>
      </w:r>
      <w:r>
        <w:rPr>
          <w:rFonts w:ascii="宋体" w:hAnsi="宋体"/>
          <w:color w:val="auto"/>
          <w:highlight w:val="none"/>
        </w:rPr>
        <w:t>权书</w:t>
      </w:r>
      <w:r>
        <w:rPr>
          <w:rFonts w:hint="eastAsia" w:ascii="宋体" w:hAnsi="宋体"/>
          <w:color w:val="auto"/>
          <w:highlight w:val="none"/>
        </w:rPr>
        <w:t>于</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日签</w:t>
      </w:r>
      <w:r>
        <w:rPr>
          <w:rFonts w:hint="eastAsia" w:ascii="宋体" w:hAnsi="宋体"/>
          <w:color w:val="auto"/>
          <w:highlight w:val="none"/>
        </w:rPr>
        <w:t>字生效，</w:t>
      </w:r>
      <w:r>
        <w:rPr>
          <w:rFonts w:ascii="宋体" w:hAnsi="宋体"/>
          <w:color w:val="auto"/>
          <w:highlight w:val="none"/>
        </w:rPr>
        <w:t>无转</w:t>
      </w:r>
      <w:r>
        <w:rPr>
          <w:rFonts w:hint="eastAsia" w:ascii="宋体" w:hAnsi="宋体"/>
          <w:color w:val="auto"/>
          <w:highlight w:val="none"/>
        </w:rPr>
        <w:t>委</w:t>
      </w:r>
      <w:r>
        <w:rPr>
          <w:rFonts w:ascii="宋体" w:hAnsi="宋体"/>
          <w:color w:val="auto"/>
          <w:highlight w:val="none"/>
        </w:rPr>
        <w:t>权</w:t>
      </w:r>
      <w:r>
        <w:rPr>
          <w:rFonts w:hint="eastAsia" w:ascii="宋体" w:hAnsi="宋体"/>
          <w:color w:val="auto"/>
          <w:highlight w:val="none"/>
        </w:rPr>
        <w:t>，特此</w:t>
      </w:r>
      <w:r>
        <w:rPr>
          <w:rFonts w:ascii="宋体" w:hAnsi="宋体"/>
          <w:color w:val="auto"/>
          <w:highlight w:val="none"/>
        </w:rPr>
        <w:t>声</w:t>
      </w:r>
      <w:r>
        <w:rPr>
          <w:rFonts w:hint="eastAsia" w:ascii="宋体" w:hAnsi="宋体"/>
          <w:color w:val="auto"/>
          <w:highlight w:val="none"/>
        </w:rPr>
        <w:t>明。</w:t>
      </w:r>
    </w:p>
    <w:p>
      <w:pPr>
        <w:spacing w:line="360" w:lineRule="auto"/>
        <w:rPr>
          <w:rFonts w:ascii="宋体" w:hAnsi="宋体"/>
          <w:color w:val="auto"/>
          <w:highlight w:val="none"/>
        </w:rPr>
      </w:pPr>
    </w:p>
    <w:p>
      <w:pPr>
        <w:spacing w:line="360" w:lineRule="auto"/>
        <w:ind w:firstLine="420"/>
        <w:rPr>
          <w:rFonts w:ascii="宋体" w:hAnsi="宋体"/>
          <w:color w:val="auto"/>
          <w:szCs w:val="21"/>
          <w:highlight w:val="none"/>
        </w:rPr>
      </w:pPr>
      <w:r>
        <w:rPr>
          <w:rFonts w:hint="eastAsia" w:ascii="宋体" w:hAnsi="宋体"/>
          <w:color w:val="auto"/>
          <w:szCs w:val="21"/>
          <w:highlight w:val="none"/>
        </w:rPr>
        <w:t>投标人全称（加盖公章）</w:t>
      </w:r>
      <w:r>
        <w:rPr>
          <w:rFonts w:hint="eastAsia" w:ascii="宋体" w:hAnsi="宋体"/>
          <w:color w:val="auto"/>
          <w:szCs w:val="21"/>
          <w:highlight w:val="none"/>
          <w:u w:val="single"/>
        </w:rPr>
        <w:t xml:space="preserve">                                   </w:t>
      </w:r>
    </w:p>
    <w:p>
      <w:pPr>
        <w:spacing w:line="360" w:lineRule="auto"/>
        <w:ind w:firstLine="420"/>
        <w:rPr>
          <w:rFonts w:ascii="宋体" w:hAnsi="宋体"/>
          <w:color w:val="auto"/>
          <w:szCs w:val="21"/>
          <w:highlight w:val="none"/>
        </w:rPr>
      </w:pPr>
      <w:r>
        <w:rPr>
          <w:rFonts w:hint="eastAsia" w:ascii="宋体" w:hAnsi="宋体"/>
          <w:color w:val="auto"/>
          <w:szCs w:val="21"/>
          <w:highlight w:val="none"/>
        </w:rPr>
        <w:t>法定代表人（签字或盖章）</w:t>
      </w:r>
      <w:r>
        <w:rPr>
          <w:rFonts w:hint="eastAsia" w:ascii="宋体" w:hAnsi="宋体"/>
          <w:color w:val="auto"/>
          <w:szCs w:val="21"/>
          <w:highlight w:val="none"/>
          <w:u w:val="single"/>
        </w:rPr>
        <w:t xml:space="preserve">                                 </w:t>
      </w:r>
    </w:p>
    <w:p>
      <w:pPr>
        <w:spacing w:line="360" w:lineRule="auto"/>
        <w:ind w:firstLine="420"/>
        <w:rPr>
          <w:rFonts w:ascii="宋体" w:hAnsi="宋体"/>
          <w:color w:val="auto"/>
          <w:szCs w:val="21"/>
          <w:highlight w:val="none"/>
        </w:rPr>
      </w:pPr>
      <w:r>
        <w:rPr>
          <w:rFonts w:hint="eastAsia" w:ascii="宋体" w:hAnsi="宋体"/>
          <w:color w:val="auto"/>
          <w:szCs w:val="21"/>
          <w:highlight w:val="none"/>
        </w:rPr>
        <w:t>被授权人（签字）</w:t>
      </w:r>
      <w:r>
        <w:rPr>
          <w:rFonts w:hint="eastAsia" w:ascii="宋体" w:hAnsi="宋体"/>
          <w:color w:val="auto"/>
          <w:szCs w:val="21"/>
          <w:highlight w:val="none"/>
          <w:u w:val="single"/>
        </w:rPr>
        <w:t xml:space="preserve">                                         </w:t>
      </w:r>
    </w:p>
    <w:p>
      <w:pPr>
        <w:spacing w:line="360" w:lineRule="auto"/>
        <w:ind w:firstLine="420"/>
        <w:rPr>
          <w:rFonts w:ascii="宋体" w:hAnsi="宋体"/>
          <w:color w:val="auto"/>
          <w:szCs w:val="21"/>
          <w:highlight w:val="none"/>
        </w:rPr>
      </w:pPr>
      <w:r>
        <w:rPr>
          <w:rFonts w:hint="eastAsia" w:ascii="宋体" w:hAnsi="宋体"/>
          <w:color w:val="auto"/>
          <w:szCs w:val="21"/>
          <w:highlight w:val="none"/>
        </w:rPr>
        <w:t>日          期</w:t>
      </w:r>
      <w:r>
        <w:rPr>
          <w:rFonts w:hint="eastAsia" w:ascii="宋体" w:hAnsi="宋体"/>
          <w:color w:val="auto"/>
          <w:szCs w:val="21"/>
          <w:highlight w:val="none"/>
          <w:u w:val="single"/>
        </w:rPr>
        <w:t xml:space="preserve">                                           </w:t>
      </w: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附：</w:t>
      </w:r>
    </w:p>
    <w:p>
      <w:pPr>
        <w:spacing w:line="360" w:lineRule="auto"/>
        <w:rPr>
          <w:rFonts w:ascii="宋体" w:hAnsi="宋体"/>
          <w:color w:val="auto"/>
          <w:szCs w:val="21"/>
          <w:highlight w:val="none"/>
        </w:rPr>
      </w:pPr>
      <w:r>
        <w:rPr>
          <w:rFonts w:hint="eastAsia" w:ascii="宋体" w:hAnsi="宋体"/>
          <w:color w:val="auto"/>
          <w:szCs w:val="21"/>
          <w:highlight w:val="none"/>
        </w:rPr>
        <w:t>全权代表姓名：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性</w:t>
      </w:r>
      <w:r>
        <w:rPr>
          <w:rFonts w:ascii="宋体" w:hAnsi="宋体"/>
          <w:color w:val="auto"/>
          <w:szCs w:val="21"/>
          <w:highlight w:val="none"/>
        </w:rPr>
        <w:t>别</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ascii="宋体" w:hAnsi="宋体"/>
          <w:color w:val="auto"/>
          <w:szCs w:val="21"/>
          <w:highlight w:val="none"/>
        </w:rPr>
        <w:t>龄</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ascii="宋体" w:hAnsi="宋体"/>
          <w:color w:val="auto"/>
          <w:szCs w:val="21"/>
          <w:highlight w:val="none"/>
        </w:rPr>
        <w:t>部门</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职务</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联系电话：</w:t>
      </w:r>
      <w:r>
        <w:rPr>
          <w:rFonts w:hint="eastAsia" w:ascii="宋体" w:hAnsi="宋体"/>
          <w:color w:val="auto"/>
          <w:szCs w:val="21"/>
          <w:highlight w:val="none"/>
          <w:u w:val="single"/>
        </w:rPr>
        <w:t xml:space="preserve">               </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jc w:val="center"/>
        <w:rPr>
          <w:b/>
          <w:color w:val="auto"/>
          <w:highlight w:val="none"/>
          <w:u w:val="single"/>
        </w:rPr>
      </w:pPr>
      <w:r>
        <w:rPr>
          <w:rFonts w:hint="eastAsia"/>
          <w:b/>
          <w:color w:val="auto"/>
          <w:highlight w:val="none"/>
          <w:u w:val="single"/>
        </w:rPr>
        <w:t>（</w:t>
      </w:r>
      <w:r>
        <w:rPr>
          <w:rFonts w:hint="eastAsia" w:ascii="宋体" w:hAnsi="宋体" w:cs="宋体"/>
          <w:b/>
          <w:color w:val="auto"/>
          <w:highlight w:val="none"/>
          <w:u w:val="single"/>
        </w:rPr>
        <w:t>※</w:t>
      </w:r>
      <w:r>
        <w:rPr>
          <w:rFonts w:hint="eastAsia"/>
          <w:b/>
          <w:color w:val="auto"/>
          <w:highlight w:val="none"/>
          <w:u w:val="single"/>
        </w:rPr>
        <w:t xml:space="preserve"> 此</w:t>
      </w:r>
      <w:r>
        <w:rPr>
          <w:b/>
          <w:color w:val="auto"/>
          <w:highlight w:val="none"/>
          <w:u w:val="single"/>
        </w:rPr>
        <w:t>处</w:t>
      </w:r>
      <w:r>
        <w:rPr>
          <w:rFonts w:hint="eastAsia"/>
          <w:b/>
          <w:color w:val="auto"/>
          <w:highlight w:val="none"/>
          <w:u w:val="single"/>
        </w:rPr>
        <w:t>附全权代表身份</w:t>
      </w:r>
      <w:r>
        <w:rPr>
          <w:b/>
          <w:color w:val="auto"/>
          <w:highlight w:val="none"/>
          <w:u w:val="single"/>
        </w:rPr>
        <w:t>证复</w:t>
      </w:r>
      <w:r>
        <w:rPr>
          <w:rFonts w:hint="eastAsia"/>
          <w:b/>
          <w:color w:val="auto"/>
          <w:highlight w:val="none"/>
          <w:u w:val="single"/>
        </w:rPr>
        <w:t>印件（正反两面）</w:t>
      </w:r>
      <w:r>
        <w:rPr>
          <w:rFonts w:hint="eastAsia" w:ascii="宋体" w:hAnsi="宋体" w:cs="宋体"/>
          <w:b/>
          <w:color w:val="auto"/>
          <w:highlight w:val="none"/>
          <w:u w:val="single"/>
        </w:rPr>
        <w:t>※</w:t>
      </w:r>
      <w:r>
        <w:rPr>
          <w:rFonts w:hint="eastAsia"/>
          <w:b/>
          <w:color w:val="auto"/>
          <w:highlight w:val="none"/>
          <w:u w:val="single"/>
        </w:rPr>
        <w:t>）</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b/>
          <w:color w:val="auto"/>
          <w:highlight w:val="none"/>
        </w:rPr>
        <w:t>说明：全权代表</w:t>
      </w:r>
      <w:r>
        <w:rPr>
          <w:rFonts w:ascii="宋体" w:hAnsi="宋体"/>
          <w:b/>
          <w:color w:val="auto"/>
          <w:highlight w:val="none"/>
        </w:rPr>
        <w:t>参</w:t>
      </w:r>
      <w:r>
        <w:rPr>
          <w:rFonts w:hint="eastAsia" w:ascii="宋体" w:hAnsi="宋体"/>
          <w:b/>
          <w:color w:val="auto"/>
          <w:highlight w:val="none"/>
        </w:rPr>
        <w:t>加本招</w:t>
      </w:r>
      <w:r>
        <w:rPr>
          <w:rFonts w:ascii="宋体" w:hAnsi="宋体"/>
          <w:b/>
          <w:color w:val="auto"/>
          <w:highlight w:val="none"/>
        </w:rPr>
        <w:t>标项目</w:t>
      </w:r>
      <w:r>
        <w:rPr>
          <w:rFonts w:hint="eastAsia" w:ascii="宋体" w:hAnsi="宋体"/>
          <w:b/>
          <w:color w:val="auto"/>
          <w:highlight w:val="none"/>
        </w:rPr>
        <w:t>投</w:t>
      </w:r>
      <w:r>
        <w:rPr>
          <w:rFonts w:ascii="宋体" w:hAnsi="宋体"/>
          <w:b/>
          <w:color w:val="auto"/>
          <w:highlight w:val="none"/>
        </w:rPr>
        <w:t>标</w:t>
      </w:r>
      <w:r>
        <w:rPr>
          <w:rFonts w:hint="eastAsia" w:ascii="宋体" w:hAnsi="宋体"/>
          <w:b/>
          <w:color w:val="auto"/>
          <w:highlight w:val="none"/>
        </w:rPr>
        <w:t>的，</w:t>
      </w:r>
      <w:r>
        <w:rPr>
          <w:rFonts w:ascii="宋体" w:hAnsi="宋体"/>
          <w:b/>
          <w:color w:val="auto"/>
          <w:highlight w:val="none"/>
        </w:rPr>
        <w:t>仅须</w:t>
      </w:r>
      <w:r>
        <w:rPr>
          <w:rFonts w:hint="eastAsia" w:ascii="宋体" w:hAnsi="宋体"/>
          <w:b/>
          <w:color w:val="auto"/>
          <w:highlight w:val="none"/>
        </w:rPr>
        <w:t>提供此</w:t>
      </w:r>
      <w:r>
        <w:rPr>
          <w:rFonts w:ascii="宋体" w:hAnsi="宋体"/>
          <w:b/>
          <w:color w:val="auto"/>
          <w:highlight w:val="none"/>
        </w:rPr>
        <w:t>证</w:t>
      </w:r>
      <w:r>
        <w:rPr>
          <w:rFonts w:hint="eastAsia" w:ascii="宋体" w:hAnsi="宋体"/>
          <w:b/>
          <w:color w:val="auto"/>
          <w:highlight w:val="none"/>
        </w:rPr>
        <w:t>明</w:t>
      </w:r>
      <w:r>
        <w:rPr>
          <w:rFonts w:ascii="宋体" w:hAnsi="宋体"/>
          <w:b/>
          <w:color w:val="auto"/>
          <w:highlight w:val="none"/>
        </w:rPr>
        <w:t>书</w:t>
      </w:r>
      <w:r>
        <w:rPr>
          <w:rFonts w:hint="eastAsia" w:ascii="宋体" w:hAnsi="宋体"/>
          <w:b/>
          <w:color w:val="auto"/>
          <w:highlight w:val="none"/>
        </w:rPr>
        <w:t>。</w:t>
      </w:r>
    </w:p>
    <w:p>
      <w:pPr>
        <w:adjustRightInd w:val="0"/>
        <w:snapToGrid w:val="0"/>
        <w:jc w:val="left"/>
        <w:rPr>
          <w:color w:val="auto"/>
          <w:highlight w:val="none"/>
        </w:rPr>
      </w:pPr>
      <w:r>
        <w:rPr>
          <w:rFonts w:ascii="宋体" w:hAnsi="宋体"/>
          <w:color w:val="auto"/>
          <w:highlight w:val="none"/>
        </w:rPr>
        <w:br w:type="page"/>
      </w:r>
      <w:r>
        <w:rPr>
          <w:rFonts w:hint="eastAsia" w:ascii="宋体" w:hAnsi="宋体" w:cs="宋体"/>
          <w:color w:val="auto"/>
          <w:szCs w:val="21"/>
          <w:highlight w:val="none"/>
        </w:rPr>
        <w:t>附件4：</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投</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标</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函</w:t>
      </w:r>
    </w:p>
    <w:p>
      <w:pPr>
        <w:spacing w:line="360" w:lineRule="auto"/>
        <w:rPr>
          <w:rFonts w:ascii="宋体" w:hAnsi="宋体"/>
          <w:b/>
          <w:color w:val="auto"/>
          <w:sz w:val="24"/>
          <w:highlight w:val="none"/>
        </w:rPr>
      </w:pPr>
      <w:r>
        <w:rPr>
          <w:rFonts w:hint="eastAsia" w:ascii="宋体" w:hAnsi="宋体"/>
          <w:b/>
          <w:color w:val="auto"/>
          <w:sz w:val="24"/>
          <w:highlight w:val="none"/>
        </w:rPr>
        <w:t>浙江天诚工程咨询有限公司：</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u w:val="single"/>
        </w:rPr>
        <w:t xml:space="preserve">       &lt;投标人名称&gt;      </w:t>
      </w:r>
      <w:r>
        <w:rPr>
          <w:rFonts w:hint="eastAsia" w:ascii="宋体" w:hAnsi="宋体"/>
          <w:color w:val="auto"/>
          <w:kern w:val="0"/>
          <w:highlight w:val="none"/>
        </w:rPr>
        <w:t xml:space="preserve"> 正式授权</w:t>
      </w:r>
      <w:r>
        <w:rPr>
          <w:rFonts w:hint="eastAsia" w:ascii="宋体" w:hAnsi="宋体"/>
          <w:color w:val="auto"/>
          <w:kern w:val="0"/>
          <w:highlight w:val="none"/>
          <w:u w:val="single"/>
        </w:rPr>
        <w:t xml:space="preserve">      &lt;投标人代表姓名、职务、职称&gt;      </w:t>
      </w:r>
      <w:r>
        <w:rPr>
          <w:rFonts w:hint="eastAsia" w:ascii="宋体" w:hAnsi="宋体"/>
          <w:color w:val="auto"/>
          <w:kern w:val="0"/>
          <w:highlight w:val="none"/>
        </w:rPr>
        <w:t xml:space="preserve">为我方代表，参加贵方组织的 </w:t>
      </w:r>
      <w:r>
        <w:rPr>
          <w:rFonts w:hint="eastAsia" w:ascii="宋体" w:hAnsi="宋体"/>
          <w:color w:val="auto"/>
          <w:kern w:val="0"/>
          <w:highlight w:val="none"/>
          <w:u w:val="single"/>
        </w:rPr>
        <w:t xml:space="preserve">      &lt;项目名称、项目编号&gt;      </w:t>
      </w:r>
      <w:r>
        <w:rPr>
          <w:rFonts w:hint="eastAsia" w:ascii="宋体" w:hAnsi="宋体"/>
          <w:color w:val="auto"/>
          <w:kern w:val="0"/>
          <w:highlight w:val="none"/>
        </w:rPr>
        <w:t xml:space="preserve"> 项目公开招标的有关活动，并对此招标项目进行投标。为此：</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1. 我方同意在本招标项目招标文件中规定的开标日起90日历天内遵守本投标文件中的承诺且在此期限期满之前均具有约束力。</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2．本项目投标总价见投标报价文件所附《开标一览表》的“投标总价”。</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3. 提供招标文件规定的全部投标文件，包括投标文件电子文档1份。</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4. 如果我方中标，保证忠实地执行双方所签订的政府采购合同，并承担政府采购合同规定的责任和义务。</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5. 我方保证遵守招标文件的全部规定。</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6. 我方保证尊重评标委员会的评标结果，完全理解本招标项目不一定接受最低报价的投标。</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7. 我方愿意向你中心提供任何与本招标项目投标有关的数据，并根据需要提供一切承诺的证明材料。</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8. 我方已详细审查全部招标文件，在投标之前已经与招标方进行了充分的沟通，完全理解并接受招标文件的各项规定和要求，对招标文件的合理性、合法性不再有异议。</w:t>
      </w:r>
    </w:p>
    <w:p>
      <w:pPr>
        <w:spacing w:line="360" w:lineRule="auto"/>
        <w:ind w:firstLine="420" w:firstLineChars="200"/>
        <w:rPr>
          <w:rFonts w:ascii="宋体" w:hAnsi="宋体"/>
          <w:color w:val="auto"/>
          <w:kern w:val="0"/>
          <w:highlight w:val="none"/>
        </w:rPr>
      </w:pPr>
      <w:r>
        <w:rPr>
          <w:rFonts w:hint="eastAsia" w:ascii="宋体" w:hAnsi="宋体"/>
          <w:color w:val="auto"/>
          <w:kern w:val="0"/>
          <w:highlight w:val="none"/>
        </w:rPr>
        <w:t>9. 与本项目投标活动有关的一切正式往来信函请寄：</w:t>
      </w:r>
    </w:p>
    <w:p>
      <w:pPr>
        <w:spacing w:line="360" w:lineRule="auto"/>
        <w:rPr>
          <w:rFonts w:ascii="宋体" w:hAnsi="宋体"/>
          <w:color w:val="auto"/>
          <w:kern w:val="0"/>
          <w:szCs w:val="21"/>
          <w:highlight w:val="none"/>
        </w:rPr>
      </w:pPr>
      <w:r>
        <w:rPr>
          <w:rFonts w:hint="eastAsia" w:ascii="宋体" w:hAnsi="宋体"/>
          <w:color w:val="auto"/>
          <w:kern w:val="0"/>
          <w:szCs w:val="21"/>
          <w:highlight w:val="none"/>
        </w:rPr>
        <w:t>地址：</w:t>
      </w:r>
      <w:r>
        <w:rPr>
          <w:rFonts w:hint="eastAsia" w:ascii="宋体" w:hAnsi="宋体"/>
          <w:color w:val="auto"/>
          <w:kern w:val="0"/>
          <w:szCs w:val="21"/>
          <w:highlight w:val="none"/>
          <w:u w:val="single"/>
        </w:rPr>
        <w:t xml:space="preserve">                                                                         </w:t>
      </w:r>
    </w:p>
    <w:p>
      <w:pPr>
        <w:spacing w:line="360" w:lineRule="auto"/>
        <w:rPr>
          <w:rFonts w:ascii="宋体" w:hAnsi="宋体"/>
          <w:color w:val="auto"/>
          <w:kern w:val="0"/>
          <w:szCs w:val="21"/>
          <w:highlight w:val="none"/>
        </w:rPr>
      </w:pPr>
      <w:r>
        <w:rPr>
          <w:rFonts w:hint="eastAsia" w:ascii="宋体" w:hAnsi="宋体"/>
          <w:color w:val="auto"/>
          <w:kern w:val="0"/>
          <w:szCs w:val="21"/>
          <w:highlight w:val="none"/>
        </w:rPr>
        <w:t>邮编：</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电话：</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传真：</w:t>
      </w:r>
      <w:r>
        <w:rPr>
          <w:rFonts w:hint="eastAsia" w:ascii="宋体" w:hAnsi="宋体"/>
          <w:color w:val="auto"/>
          <w:kern w:val="0"/>
          <w:szCs w:val="21"/>
          <w:highlight w:val="none"/>
          <w:u w:val="single"/>
        </w:rPr>
        <w:t xml:space="preserve">                    </w:t>
      </w:r>
    </w:p>
    <w:p>
      <w:pPr>
        <w:spacing w:line="360" w:lineRule="auto"/>
        <w:rPr>
          <w:color w:val="auto"/>
          <w:kern w:val="0"/>
          <w:highlight w:val="none"/>
        </w:rPr>
      </w:pPr>
    </w:p>
    <w:p>
      <w:pPr>
        <w:spacing w:line="360" w:lineRule="auto"/>
        <w:ind w:firstLine="3675" w:firstLineChars="1750"/>
        <w:rPr>
          <w:rFonts w:ascii="宋体" w:hAnsi="宋体"/>
          <w:color w:val="auto"/>
          <w:kern w:val="0"/>
          <w:szCs w:val="21"/>
          <w:highlight w:val="none"/>
          <w:u w:val="single"/>
        </w:rPr>
      </w:pPr>
      <w:r>
        <w:rPr>
          <w:rFonts w:hint="eastAsia" w:ascii="宋体" w:hAnsi="宋体"/>
          <w:color w:val="auto"/>
          <w:kern w:val="0"/>
          <w:szCs w:val="21"/>
          <w:highlight w:val="none"/>
        </w:rPr>
        <w:t xml:space="preserve">投标人（盖章）： </w:t>
      </w:r>
      <w:r>
        <w:rPr>
          <w:rFonts w:hint="eastAsia" w:ascii="宋体" w:hAnsi="宋体"/>
          <w:color w:val="auto"/>
          <w:kern w:val="0"/>
          <w:szCs w:val="21"/>
          <w:highlight w:val="none"/>
          <w:u w:val="single"/>
        </w:rPr>
        <w:t xml:space="preserve">                                </w:t>
      </w:r>
    </w:p>
    <w:p>
      <w:pPr>
        <w:spacing w:line="360" w:lineRule="auto"/>
        <w:ind w:firstLine="3675" w:firstLineChars="1750"/>
        <w:rPr>
          <w:rFonts w:ascii="宋体" w:hAnsi="宋体"/>
          <w:color w:val="auto"/>
          <w:kern w:val="0"/>
          <w:szCs w:val="21"/>
          <w:highlight w:val="none"/>
          <w:u w:val="single"/>
        </w:rPr>
      </w:pPr>
      <w:r>
        <w:rPr>
          <w:rFonts w:hint="eastAsia" w:ascii="宋体" w:hAnsi="宋体"/>
          <w:color w:val="auto"/>
          <w:kern w:val="0"/>
          <w:szCs w:val="21"/>
          <w:highlight w:val="none"/>
        </w:rPr>
        <w:t>法定代表人（或全权代表）签字或盖章：</w:t>
      </w:r>
      <w:r>
        <w:rPr>
          <w:rFonts w:hint="eastAsia" w:ascii="宋体" w:hAnsi="宋体"/>
          <w:color w:val="auto"/>
          <w:kern w:val="0"/>
          <w:szCs w:val="21"/>
          <w:highlight w:val="none"/>
          <w:u w:val="single"/>
        </w:rPr>
        <w:t xml:space="preserve">              </w:t>
      </w:r>
    </w:p>
    <w:p>
      <w:pPr>
        <w:spacing w:line="360" w:lineRule="auto"/>
        <w:ind w:firstLine="3675" w:firstLineChars="1750"/>
        <w:rPr>
          <w:rFonts w:ascii="宋体" w:hAnsi="宋体"/>
          <w:color w:val="auto"/>
          <w:kern w:val="0"/>
          <w:szCs w:val="21"/>
          <w:highlight w:val="none"/>
          <w:u w:val="single"/>
        </w:rPr>
      </w:pPr>
      <w:r>
        <w:rPr>
          <w:rFonts w:hint="eastAsia" w:ascii="宋体" w:hAnsi="宋体"/>
          <w:color w:val="auto"/>
          <w:kern w:val="0"/>
          <w:szCs w:val="21"/>
          <w:highlight w:val="none"/>
        </w:rPr>
        <w:t>日   期：</w:t>
      </w:r>
      <w:r>
        <w:rPr>
          <w:rFonts w:hint="eastAsia" w:ascii="宋体" w:hAnsi="宋体"/>
          <w:color w:val="auto"/>
          <w:kern w:val="0"/>
          <w:szCs w:val="21"/>
          <w:highlight w:val="none"/>
          <w:u w:val="single"/>
        </w:rPr>
        <w:t xml:space="preserve">                                         </w:t>
      </w:r>
    </w:p>
    <w:p>
      <w:pPr>
        <w:spacing w:line="360" w:lineRule="auto"/>
        <w:rPr>
          <w:rFonts w:ascii="宋体" w:hAnsi="宋体"/>
          <w:color w:val="auto"/>
          <w:kern w:val="0"/>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附件5：</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开</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标</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一</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览</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p>
    <w:tbl>
      <w:tblPr>
        <w:tblStyle w:val="13"/>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850"/>
        <w:gridCol w:w="2694"/>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433" w:type="dxa"/>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项目名称</w:t>
            </w:r>
          </w:p>
        </w:tc>
        <w:tc>
          <w:tcPr>
            <w:tcW w:w="850" w:type="dxa"/>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2694" w:type="dxa"/>
            <w:noWrap w:val="0"/>
            <w:vAlign w:val="center"/>
          </w:tcPr>
          <w:p>
            <w:pPr>
              <w:jc w:val="center"/>
              <w:rPr>
                <w:rFonts w:ascii="宋体" w:hAnsi="宋体" w:cs="宋体"/>
                <w:b/>
                <w:bCs/>
                <w:color w:val="auto"/>
                <w:kern w:val="0"/>
                <w:szCs w:val="21"/>
                <w:highlight w:val="none"/>
              </w:rPr>
            </w:pPr>
            <w:r>
              <w:rPr>
                <w:rFonts w:hint="eastAsia" w:ascii="宋体" w:hAnsi="宋体"/>
                <w:b/>
                <w:bCs/>
                <w:color w:val="auto"/>
                <w:szCs w:val="21"/>
                <w:highlight w:val="none"/>
              </w:rPr>
              <w:t>系统名称</w:t>
            </w:r>
          </w:p>
        </w:tc>
        <w:tc>
          <w:tcPr>
            <w:tcW w:w="1842" w:type="dxa"/>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小计小写</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（人民币：元）</w:t>
            </w:r>
          </w:p>
        </w:tc>
        <w:tc>
          <w:tcPr>
            <w:tcW w:w="2127" w:type="dxa"/>
            <w:noWrap w:val="0"/>
            <w:vAlign w:val="center"/>
          </w:tcPr>
          <w:p>
            <w:pPr>
              <w:widowControl/>
              <w:jc w:val="center"/>
              <w:rPr>
                <w:rFonts w:ascii="宋体" w:hAnsi="宋体"/>
                <w:b/>
                <w:bCs/>
                <w:color w:val="auto"/>
                <w:szCs w:val="21"/>
                <w:highlight w:val="none"/>
              </w:rPr>
            </w:pPr>
            <w:r>
              <w:rPr>
                <w:rFonts w:hint="eastAsia" w:ascii="宋体" w:hAnsi="宋体"/>
                <w:b/>
                <w:bCs/>
                <w:color w:val="auto"/>
                <w:szCs w:val="21"/>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33" w:type="dxa"/>
            <w:vMerge w:val="restart"/>
            <w:noWrap w:val="0"/>
            <w:vAlign w:val="center"/>
          </w:tcPr>
          <w:p>
            <w:pPr>
              <w:widowControl/>
              <w:jc w:val="center"/>
              <w:rPr>
                <w:rFonts w:hint="eastAsia" w:ascii="宋体" w:hAnsi="宋体" w:cs="宋体"/>
                <w:color w:val="auto"/>
                <w:kern w:val="0"/>
                <w:szCs w:val="21"/>
                <w:highlight w:val="none"/>
              </w:rPr>
            </w:pPr>
            <w:r>
              <w:rPr>
                <w:rFonts w:hint="eastAsia"/>
                <w:color w:val="auto"/>
                <w:highlight w:val="none"/>
              </w:rPr>
              <w:t>淮河小学东校区新建工程智能化采购项目</w:t>
            </w:r>
          </w:p>
        </w:tc>
        <w:tc>
          <w:tcPr>
            <w:tcW w:w="850" w:type="dxa"/>
            <w:noWrap w:val="0"/>
            <w:vAlign w:val="center"/>
          </w:tcPr>
          <w:p>
            <w:pPr>
              <w:widowControl/>
              <w:jc w:val="center"/>
              <w:rPr>
                <w:color w:val="auto"/>
                <w:highlight w:val="none"/>
              </w:rPr>
            </w:pPr>
            <w:r>
              <w:rPr>
                <w:rFonts w:hint="eastAsia"/>
                <w:color w:val="auto"/>
                <w:highlight w:val="none"/>
              </w:rPr>
              <w:t>1</w:t>
            </w:r>
          </w:p>
        </w:tc>
        <w:tc>
          <w:tcPr>
            <w:tcW w:w="2694" w:type="dxa"/>
            <w:noWrap w:val="0"/>
            <w:vAlign w:val="center"/>
          </w:tcPr>
          <w:p>
            <w:pPr>
              <w:widowControl/>
              <w:rPr>
                <w:color w:val="auto"/>
                <w:highlight w:val="none"/>
              </w:rPr>
            </w:pPr>
            <w:r>
              <w:rPr>
                <w:rFonts w:hint="eastAsia"/>
                <w:color w:val="auto"/>
                <w:highlight w:val="none"/>
              </w:rPr>
              <w:t>综合布线系统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restart"/>
            <w:noWrap w:val="0"/>
            <w:vAlign w:val="center"/>
          </w:tcPr>
          <w:p>
            <w:pPr>
              <w:widowControl/>
              <w:jc w:val="center"/>
              <w:rPr>
                <w:rFonts w:ascii="宋体" w:hAnsi="宋体" w:cs="宋体"/>
                <w:color w:val="auto"/>
                <w:kern w:val="0"/>
                <w:szCs w:val="21"/>
                <w:highlight w:val="none"/>
              </w:rPr>
            </w:pPr>
            <w:r>
              <w:rPr>
                <w:rFonts w:hint="eastAsia" w:ascii="宋体" w:hAnsi="宋体"/>
                <w:color w:val="auto"/>
                <w:highlight w:val="none"/>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2</w:t>
            </w:r>
          </w:p>
        </w:tc>
        <w:tc>
          <w:tcPr>
            <w:tcW w:w="2694" w:type="dxa"/>
            <w:noWrap w:val="0"/>
            <w:vAlign w:val="center"/>
          </w:tcPr>
          <w:p>
            <w:pPr>
              <w:widowControl/>
              <w:rPr>
                <w:color w:val="auto"/>
                <w:highlight w:val="none"/>
              </w:rPr>
            </w:pPr>
            <w:r>
              <w:rPr>
                <w:rFonts w:hint="eastAsia"/>
                <w:color w:val="auto"/>
                <w:highlight w:val="none"/>
              </w:rPr>
              <w:t>计算机网络系统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3</w:t>
            </w:r>
          </w:p>
        </w:tc>
        <w:tc>
          <w:tcPr>
            <w:tcW w:w="2694" w:type="dxa"/>
            <w:noWrap w:val="0"/>
            <w:vAlign w:val="center"/>
          </w:tcPr>
          <w:p>
            <w:pPr>
              <w:widowControl/>
              <w:rPr>
                <w:color w:val="auto"/>
                <w:highlight w:val="none"/>
              </w:rPr>
            </w:pPr>
            <w:r>
              <w:rPr>
                <w:rFonts w:hint="eastAsia"/>
                <w:color w:val="auto"/>
                <w:highlight w:val="none"/>
              </w:rPr>
              <w:t>数字化校园广播</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4</w:t>
            </w:r>
          </w:p>
        </w:tc>
        <w:tc>
          <w:tcPr>
            <w:tcW w:w="2694" w:type="dxa"/>
            <w:noWrap w:val="0"/>
            <w:vAlign w:val="center"/>
          </w:tcPr>
          <w:p>
            <w:pPr>
              <w:widowControl/>
              <w:rPr>
                <w:color w:val="auto"/>
                <w:highlight w:val="none"/>
              </w:rPr>
            </w:pPr>
            <w:r>
              <w:rPr>
                <w:rFonts w:hint="eastAsia"/>
                <w:color w:val="auto"/>
                <w:highlight w:val="none"/>
              </w:rPr>
              <w:t>监控系统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5</w:t>
            </w:r>
          </w:p>
        </w:tc>
        <w:tc>
          <w:tcPr>
            <w:tcW w:w="2694" w:type="dxa"/>
            <w:noWrap w:val="0"/>
            <w:vAlign w:val="center"/>
          </w:tcPr>
          <w:p>
            <w:pPr>
              <w:widowControl/>
              <w:rPr>
                <w:color w:val="auto"/>
                <w:highlight w:val="none"/>
              </w:rPr>
            </w:pPr>
            <w:r>
              <w:rPr>
                <w:rFonts w:hint="eastAsia"/>
                <w:color w:val="auto"/>
                <w:highlight w:val="none"/>
              </w:rPr>
              <w:t>报警系统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6</w:t>
            </w:r>
          </w:p>
        </w:tc>
        <w:tc>
          <w:tcPr>
            <w:tcW w:w="2694" w:type="dxa"/>
            <w:noWrap w:val="0"/>
            <w:vAlign w:val="center"/>
          </w:tcPr>
          <w:p>
            <w:pPr>
              <w:widowControl/>
              <w:rPr>
                <w:color w:val="auto"/>
                <w:highlight w:val="none"/>
              </w:rPr>
            </w:pPr>
            <w:r>
              <w:rPr>
                <w:rFonts w:hint="eastAsia"/>
                <w:color w:val="auto"/>
                <w:highlight w:val="none"/>
              </w:rPr>
              <w:t>电子巡更系统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7</w:t>
            </w:r>
          </w:p>
        </w:tc>
        <w:tc>
          <w:tcPr>
            <w:tcW w:w="2694" w:type="dxa"/>
            <w:noWrap w:val="0"/>
            <w:vAlign w:val="center"/>
          </w:tcPr>
          <w:p>
            <w:pPr>
              <w:widowControl/>
              <w:rPr>
                <w:color w:val="auto"/>
                <w:highlight w:val="none"/>
              </w:rPr>
            </w:pPr>
            <w:r>
              <w:rPr>
                <w:rFonts w:hint="eastAsia"/>
                <w:color w:val="auto"/>
                <w:highlight w:val="none"/>
              </w:rPr>
              <w:t>一卡通管理系统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8</w:t>
            </w:r>
          </w:p>
        </w:tc>
        <w:tc>
          <w:tcPr>
            <w:tcW w:w="2694" w:type="dxa"/>
            <w:noWrap w:val="0"/>
            <w:vAlign w:val="center"/>
          </w:tcPr>
          <w:p>
            <w:pPr>
              <w:widowControl/>
              <w:rPr>
                <w:color w:val="auto"/>
                <w:highlight w:val="none"/>
              </w:rPr>
            </w:pPr>
            <w:r>
              <w:rPr>
                <w:rFonts w:hint="eastAsia"/>
                <w:color w:val="auto"/>
                <w:highlight w:val="none"/>
              </w:rPr>
              <w:t>出入口控制系统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9</w:t>
            </w:r>
          </w:p>
        </w:tc>
        <w:tc>
          <w:tcPr>
            <w:tcW w:w="2694" w:type="dxa"/>
            <w:noWrap w:val="0"/>
            <w:vAlign w:val="center"/>
          </w:tcPr>
          <w:p>
            <w:pPr>
              <w:widowControl/>
              <w:rPr>
                <w:color w:val="auto"/>
                <w:highlight w:val="none"/>
              </w:rPr>
            </w:pPr>
            <w:r>
              <w:rPr>
                <w:rFonts w:hint="eastAsia"/>
                <w:color w:val="auto"/>
                <w:highlight w:val="none"/>
              </w:rPr>
              <w:t>信息发布系统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10</w:t>
            </w:r>
          </w:p>
        </w:tc>
        <w:tc>
          <w:tcPr>
            <w:tcW w:w="2694" w:type="dxa"/>
            <w:noWrap w:val="0"/>
            <w:vAlign w:val="center"/>
          </w:tcPr>
          <w:p>
            <w:pPr>
              <w:widowControl/>
              <w:rPr>
                <w:color w:val="auto"/>
                <w:highlight w:val="none"/>
              </w:rPr>
            </w:pPr>
            <w:r>
              <w:rPr>
                <w:rFonts w:hint="eastAsia"/>
                <w:color w:val="auto"/>
                <w:highlight w:val="none"/>
              </w:rPr>
              <w:t>会议系统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11</w:t>
            </w:r>
          </w:p>
        </w:tc>
        <w:tc>
          <w:tcPr>
            <w:tcW w:w="2694" w:type="dxa"/>
            <w:noWrap w:val="0"/>
            <w:vAlign w:val="center"/>
          </w:tcPr>
          <w:p>
            <w:pPr>
              <w:widowControl/>
              <w:rPr>
                <w:color w:val="auto"/>
                <w:highlight w:val="none"/>
              </w:rPr>
            </w:pPr>
            <w:r>
              <w:rPr>
                <w:rFonts w:hint="eastAsia"/>
                <w:color w:val="auto"/>
                <w:highlight w:val="none"/>
              </w:rPr>
              <w:t>机房建设工程系统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12</w:t>
            </w:r>
          </w:p>
        </w:tc>
        <w:tc>
          <w:tcPr>
            <w:tcW w:w="2694" w:type="dxa"/>
            <w:noWrap w:val="0"/>
            <w:vAlign w:val="center"/>
          </w:tcPr>
          <w:p>
            <w:pPr>
              <w:widowControl/>
              <w:rPr>
                <w:color w:val="auto"/>
                <w:highlight w:val="none"/>
              </w:rPr>
            </w:pPr>
            <w:r>
              <w:rPr>
                <w:rFonts w:hint="eastAsia"/>
                <w:color w:val="auto"/>
                <w:highlight w:val="none"/>
              </w:rPr>
              <w:t>网络中心机房建设系统</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r>
              <w:rPr>
                <w:rFonts w:hint="eastAsia"/>
                <w:color w:val="auto"/>
                <w:highlight w:val="none"/>
              </w:rPr>
              <w:t>13</w:t>
            </w:r>
          </w:p>
        </w:tc>
        <w:tc>
          <w:tcPr>
            <w:tcW w:w="2694" w:type="dxa"/>
            <w:noWrap w:val="0"/>
            <w:vAlign w:val="center"/>
          </w:tcPr>
          <w:p>
            <w:pPr>
              <w:widowControl/>
              <w:rPr>
                <w:color w:val="auto"/>
                <w:highlight w:val="none"/>
              </w:rPr>
            </w:pPr>
            <w:r>
              <w:rPr>
                <w:rFonts w:hint="eastAsia"/>
                <w:color w:val="auto"/>
                <w:highlight w:val="none"/>
              </w:rPr>
              <w:t>综合管线</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33" w:type="dxa"/>
            <w:vMerge w:val="continue"/>
            <w:noWrap w:val="0"/>
            <w:vAlign w:val="center"/>
          </w:tcPr>
          <w:p>
            <w:pPr>
              <w:widowControl/>
              <w:jc w:val="center"/>
              <w:rPr>
                <w:rFonts w:ascii="宋体" w:hAnsi="宋体"/>
                <w:color w:val="auto"/>
                <w:highlight w:val="none"/>
              </w:rPr>
            </w:pPr>
          </w:p>
        </w:tc>
        <w:tc>
          <w:tcPr>
            <w:tcW w:w="850" w:type="dxa"/>
            <w:noWrap w:val="0"/>
            <w:vAlign w:val="center"/>
          </w:tcPr>
          <w:p>
            <w:pPr>
              <w:widowControl/>
              <w:jc w:val="center"/>
              <w:rPr>
                <w:color w:val="auto"/>
                <w:highlight w:val="none"/>
              </w:rPr>
            </w:pPr>
          </w:p>
        </w:tc>
        <w:tc>
          <w:tcPr>
            <w:tcW w:w="2694" w:type="dxa"/>
            <w:noWrap w:val="0"/>
            <w:vAlign w:val="center"/>
          </w:tcPr>
          <w:p>
            <w:pPr>
              <w:widowControl/>
              <w:rPr>
                <w:color w:val="auto"/>
                <w:highlight w:val="none"/>
              </w:rPr>
            </w:pPr>
            <w:r>
              <w:rPr>
                <w:rFonts w:ascii="宋体" w:hAnsi="宋体" w:cs="宋体"/>
                <w:b/>
                <w:color w:val="auto"/>
                <w:kern w:val="0"/>
                <w:sz w:val="18"/>
                <w:szCs w:val="18"/>
                <w:highlight w:val="none"/>
              </w:rPr>
              <w:t>……</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977" w:type="dxa"/>
            <w:gridSpan w:val="3"/>
            <w:noWrap w:val="0"/>
            <w:vAlign w:val="center"/>
          </w:tcPr>
          <w:p>
            <w:pPr>
              <w:widowControl/>
              <w:jc w:val="center"/>
              <w:rPr>
                <w:color w:val="auto"/>
                <w:highlight w:val="none"/>
              </w:rPr>
            </w:pPr>
            <w:r>
              <w:rPr>
                <w:rFonts w:hint="eastAsia"/>
                <w:color w:val="auto"/>
                <w:highlight w:val="none"/>
              </w:rPr>
              <w:t>投标总价</w:t>
            </w:r>
          </w:p>
        </w:tc>
        <w:tc>
          <w:tcPr>
            <w:tcW w:w="1842" w:type="dxa"/>
            <w:noWrap w:val="0"/>
            <w:vAlign w:val="center"/>
          </w:tcPr>
          <w:p>
            <w:pPr>
              <w:widowControl/>
              <w:rPr>
                <w:rFonts w:ascii="宋体" w:hAnsi="宋体" w:cs="宋体"/>
                <w:color w:val="auto"/>
                <w:kern w:val="0"/>
                <w:szCs w:val="21"/>
                <w:highlight w:val="none"/>
              </w:rPr>
            </w:pPr>
          </w:p>
        </w:tc>
        <w:tc>
          <w:tcPr>
            <w:tcW w:w="2127" w:type="dxa"/>
            <w:vMerge w:val="continue"/>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946" w:type="dxa"/>
            <w:gridSpan w:val="5"/>
            <w:noWrap w:val="0"/>
            <w:vAlign w:val="center"/>
          </w:tcPr>
          <w:p>
            <w:pPr>
              <w:widowControl/>
              <w:ind w:firstLine="420" w:firstLineChars="200"/>
              <w:jc w:val="left"/>
              <w:rPr>
                <w:rFonts w:ascii="宋体" w:hAnsi="宋体" w:cs="宋体"/>
                <w:color w:val="auto"/>
                <w:kern w:val="0"/>
                <w:szCs w:val="21"/>
                <w:highlight w:val="none"/>
              </w:rPr>
            </w:pPr>
            <w:r>
              <w:rPr>
                <w:rFonts w:hint="eastAsia" w:ascii="宋体" w:hAnsi="宋体"/>
                <w:b/>
                <w:bCs/>
                <w:color w:val="auto"/>
                <w:szCs w:val="21"/>
                <w:highlight w:val="none"/>
              </w:rPr>
              <w:t>投标总价大写：人民币</w:t>
            </w:r>
            <w:r>
              <w:rPr>
                <w:rFonts w:hint="eastAsia" w:ascii="宋体" w:hAnsi="宋体"/>
                <w:b/>
                <w:bCs/>
                <w:color w:val="auto"/>
                <w:szCs w:val="21"/>
                <w:highlight w:val="none"/>
                <w:u w:val="single"/>
              </w:rPr>
              <w:t xml:space="preserve">                       </w:t>
            </w:r>
            <w:r>
              <w:rPr>
                <w:rFonts w:hint="eastAsia" w:ascii="宋体" w:hAnsi="宋体"/>
                <w:b/>
                <w:bCs/>
                <w:color w:val="auto"/>
                <w:szCs w:val="21"/>
                <w:highlight w:val="none"/>
              </w:rPr>
              <w:t>元整</w:t>
            </w: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2"/>
        <w:spacing w:line="360" w:lineRule="auto"/>
        <w:ind w:firstLine="0"/>
        <w:rPr>
          <w:color w:val="auto"/>
          <w:highlight w:val="none"/>
        </w:rPr>
      </w:pPr>
      <w:r>
        <w:rPr>
          <w:rFonts w:hint="eastAsia"/>
          <w:color w:val="auto"/>
          <w:highlight w:val="none"/>
        </w:rPr>
        <w:t>1、投</w:t>
      </w:r>
      <w:r>
        <w:rPr>
          <w:color w:val="auto"/>
          <w:highlight w:val="none"/>
        </w:rPr>
        <w:t>标总</w:t>
      </w:r>
      <w:r>
        <w:rPr>
          <w:rFonts w:hint="eastAsia"/>
          <w:color w:val="auto"/>
          <w:highlight w:val="none"/>
        </w:rPr>
        <w:t>价应为供应商提供本项目采购范围内的货物和服务所需的一切费用。</w:t>
      </w:r>
    </w:p>
    <w:p>
      <w:pPr>
        <w:pStyle w:val="2"/>
        <w:spacing w:line="360" w:lineRule="auto"/>
        <w:ind w:firstLine="0"/>
        <w:rPr>
          <w:color w:val="auto"/>
          <w:highlight w:val="none"/>
        </w:rPr>
      </w:pPr>
      <w:r>
        <w:rPr>
          <w:rFonts w:hint="eastAsia"/>
          <w:color w:val="auto"/>
          <w:highlight w:val="none"/>
        </w:rPr>
        <w:t>2、本表格的“投标总价”应与投标报价明细表的“投</w:t>
      </w:r>
      <w:r>
        <w:rPr>
          <w:color w:val="auto"/>
          <w:highlight w:val="none"/>
        </w:rPr>
        <w:t>标总</w:t>
      </w:r>
      <w:r>
        <w:rPr>
          <w:rFonts w:hint="eastAsia"/>
          <w:color w:val="auto"/>
          <w:highlight w:val="none"/>
        </w:rPr>
        <w:t>价”一致。</w:t>
      </w:r>
    </w:p>
    <w:p>
      <w:pPr>
        <w:pStyle w:val="2"/>
        <w:spacing w:line="360" w:lineRule="auto"/>
        <w:ind w:firstLine="0"/>
        <w:rPr>
          <w:color w:val="auto"/>
          <w:highlight w:val="none"/>
        </w:rPr>
      </w:pPr>
      <w:r>
        <w:rPr>
          <w:rFonts w:hint="eastAsia"/>
          <w:color w:val="auto"/>
          <w:highlight w:val="none"/>
        </w:rPr>
        <w:t>3、</w:t>
      </w:r>
      <w:r>
        <w:rPr>
          <w:rFonts w:hAnsi="宋体"/>
          <w:b/>
          <w:color w:val="auto"/>
          <w:highlight w:val="none"/>
        </w:rPr>
        <w:t>开标一览表</w:t>
      </w:r>
      <w:r>
        <w:rPr>
          <w:rFonts w:hint="eastAsia" w:hAnsi="宋体"/>
          <w:b/>
          <w:color w:val="auto"/>
          <w:highlight w:val="none"/>
        </w:rPr>
        <w:t>中各系统汇总金额与总价不一致的，以总价为准。</w:t>
      </w:r>
    </w:p>
    <w:p>
      <w:pPr>
        <w:pStyle w:val="2"/>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rPr>
          <w:b/>
          <w:color w:val="auto"/>
          <w:sz w:val="24"/>
          <w:highlight w:val="none"/>
        </w:rPr>
      </w:pPr>
      <w:r>
        <w:rPr>
          <w:b/>
          <w:color w:val="auto"/>
          <w:sz w:val="24"/>
          <w:highlight w:val="none"/>
        </w:rPr>
        <w:br w:type="page"/>
      </w:r>
    </w:p>
    <w:p>
      <w:pPr>
        <w:spacing w:line="360" w:lineRule="auto"/>
        <w:rPr>
          <w:rFonts w:ascii="宋体" w:hAnsi="宋体"/>
          <w:color w:val="auto"/>
          <w:highlight w:val="none"/>
        </w:rPr>
      </w:pPr>
      <w:r>
        <w:rPr>
          <w:rFonts w:hint="eastAsia" w:ascii="宋体" w:hAnsi="宋体"/>
          <w:color w:val="auto"/>
          <w:highlight w:val="none"/>
        </w:rPr>
        <w:t>附件6：</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投标报价明细表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r>
        <w:rPr>
          <w:rFonts w:hint="eastAsia" w:ascii="宋体" w:hAnsi="宋体"/>
          <w:bCs/>
          <w:color w:val="auto"/>
          <w:spacing w:val="20"/>
          <w:szCs w:val="21"/>
          <w:highlight w:val="non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891"/>
        <w:gridCol w:w="2330"/>
        <w:gridCol w:w="871"/>
        <w:gridCol w:w="871"/>
        <w:gridCol w:w="145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31" w:type="dxa"/>
            <w:noWrap w:val="0"/>
            <w:vAlign w:val="center"/>
          </w:tcPr>
          <w:p>
            <w:pPr>
              <w:jc w:val="center"/>
              <w:rPr>
                <w:rFonts w:ascii="宋体" w:hAnsi="宋体"/>
                <w:b/>
                <w:color w:val="auto"/>
                <w:highlight w:val="none"/>
              </w:rPr>
            </w:pPr>
            <w:r>
              <w:rPr>
                <w:rFonts w:hint="eastAsia" w:ascii="宋体" w:hAnsi="宋体"/>
                <w:b/>
                <w:color w:val="auto"/>
                <w:highlight w:val="none"/>
              </w:rPr>
              <w:t>序号</w:t>
            </w:r>
          </w:p>
        </w:tc>
        <w:tc>
          <w:tcPr>
            <w:tcW w:w="1891" w:type="dxa"/>
            <w:noWrap w:val="0"/>
            <w:vAlign w:val="center"/>
          </w:tcPr>
          <w:p>
            <w:pPr>
              <w:jc w:val="center"/>
              <w:rPr>
                <w:rFonts w:ascii="宋体" w:hAnsi="宋体"/>
                <w:b/>
                <w:color w:val="auto"/>
                <w:highlight w:val="none"/>
              </w:rPr>
            </w:pPr>
            <w:r>
              <w:rPr>
                <w:rFonts w:hint="eastAsia" w:ascii="宋体" w:hAnsi="宋体"/>
                <w:b/>
                <w:color w:val="auto"/>
                <w:highlight w:val="none"/>
              </w:rPr>
              <w:t>名称</w:t>
            </w:r>
          </w:p>
        </w:tc>
        <w:tc>
          <w:tcPr>
            <w:tcW w:w="2330" w:type="dxa"/>
            <w:noWrap w:val="0"/>
            <w:vAlign w:val="center"/>
          </w:tcPr>
          <w:p>
            <w:pPr>
              <w:jc w:val="center"/>
              <w:rPr>
                <w:rFonts w:ascii="宋体" w:hAnsi="宋体"/>
                <w:b/>
                <w:color w:val="auto"/>
                <w:highlight w:val="none"/>
              </w:rPr>
            </w:pPr>
            <w:r>
              <w:rPr>
                <w:rFonts w:hint="eastAsia" w:ascii="宋体" w:hAnsi="宋体"/>
                <w:b/>
                <w:bCs/>
                <w:color w:val="auto"/>
                <w:szCs w:val="21"/>
                <w:highlight w:val="none"/>
              </w:rPr>
              <w:t>品牌、规格及型号</w:t>
            </w:r>
          </w:p>
        </w:tc>
        <w:tc>
          <w:tcPr>
            <w:tcW w:w="871" w:type="dxa"/>
            <w:noWrap w:val="0"/>
            <w:vAlign w:val="center"/>
          </w:tcPr>
          <w:p>
            <w:pPr>
              <w:jc w:val="center"/>
              <w:rPr>
                <w:rFonts w:ascii="宋体" w:hAnsi="宋体"/>
                <w:b/>
                <w:color w:val="auto"/>
                <w:highlight w:val="none"/>
              </w:rPr>
            </w:pPr>
            <w:r>
              <w:rPr>
                <w:rFonts w:hint="eastAsia" w:ascii="宋体" w:hAnsi="宋体"/>
                <w:b/>
                <w:color w:val="auto"/>
                <w:highlight w:val="none"/>
              </w:rPr>
              <w:t>单位</w:t>
            </w:r>
          </w:p>
        </w:tc>
        <w:tc>
          <w:tcPr>
            <w:tcW w:w="871" w:type="dxa"/>
            <w:noWrap w:val="0"/>
            <w:vAlign w:val="center"/>
          </w:tcPr>
          <w:p>
            <w:pPr>
              <w:jc w:val="center"/>
              <w:rPr>
                <w:rFonts w:ascii="宋体" w:hAnsi="宋体"/>
                <w:b/>
                <w:color w:val="auto"/>
                <w:highlight w:val="none"/>
              </w:rPr>
            </w:pPr>
            <w:r>
              <w:rPr>
                <w:rFonts w:hint="eastAsia" w:ascii="宋体" w:hAnsi="宋体"/>
                <w:b/>
                <w:color w:val="auto"/>
                <w:highlight w:val="none"/>
              </w:rPr>
              <w:t>数量</w:t>
            </w:r>
          </w:p>
        </w:tc>
        <w:tc>
          <w:tcPr>
            <w:tcW w:w="1450" w:type="dxa"/>
            <w:noWrap w:val="0"/>
            <w:vAlign w:val="center"/>
          </w:tcPr>
          <w:p>
            <w:pPr>
              <w:jc w:val="center"/>
              <w:rPr>
                <w:rFonts w:ascii="宋体" w:hAnsi="宋体"/>
                <w:b/>
                <w:color w:val="auto"/>
                <w:highlight w:val="none"/>
              </w:rPr>
            </w:pPr>
            <w:r>
              <w:rPr>
                <w:rFonts w:hint="eastAsia" w:ascii="宋体" w:hAnsi="宋体"/>
                <w:b/>
                <w:color w:val="auto"/>
                <w:highlight w:val="none"/>
              </w:rPr>
              <w:t>综合单价</w:t>
            </w:r>
          </w:p>
          <w:p>
            <w:pPr>
              <w:jc w:val="center"/>
              <w:rPr>
                <w:rFonts w:ascii="宋体" w:hAnsi="宋体"/>
                <w:b/>
                <w:color w:val="auto"/>
                <w:highlight w:val="none"/>
              </w:rPr>
            </w:pPr>
            <w:r>
              <w:rPr>
                <w:rFonts w:hint="eastAsia" w:ascii="宋体" w:hAnsi="宋体"/>
                <w:b/>
                <w:color w:val="auto"/>
                <w:highlight w:val="none"/>
              </w:rPr>
              <w:t>(元/单位)</w:t>
            </w:r>
          </w:p>
        </w:tc>
        <w:tc>
          <w:tcPr>
            <w:tcW w:w="1306" w:type="dxa"/>
            <w:noWrap w:val="0"/>
            <w:vAlign w:val="center"/>
          </w:tcPr>
          <w:p>
            <w:pPr>
              <w:jc w:val="center"/>
              <w:rPr>
                <w:rFonts w:ascii="宋体" w:hAnsi="宋体"/>
                <w:b/>
                <w:color w:val="auto"/>
                <w:highlight w:val="none"/>
              </w:rPr>
            </w:pPr>
            <w:r>
              <w:rPr>
                <w:rFonts w:hint="eastAsia" w:ascii="宋体" w:hAnsi="宋体"/>
                <w:b/>
                <w:color w:val="auto"/>
                <w:highlight w:val="none"/>
              </w:rPr>
              <w:t>总价</w:t>
            </w:r>
          </w:p>
          <w:p>
            <w:pPr>
              <w:jc w:val="center"/>
              <w:rPr>
                <w:rFonts w:ascii="宋体" w:hAnsi="宋体"/>
                <w:b/>
                <w:color w:val="auto"/>
                <w:highlight w:val="none"/>
              </w:rPr>
            </w:pPr>
            <w:r>
              <w:rPr>
                <w:rFonts w:hint="eastAsia" w:ascii="宋体" w:hAnsi="宋体"/>
                <w:b/>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50" w:type="dxa"/>
            <w:gridSpan w:val="7"/>
            <w:noWrap w:val="0"/>
            <w:vAlign w:val="center"/>
          </w:tcPr>
          <w:p>
            <w:pPr>
              <w:widowControl/>
              <w:jc w:val="left"/>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一、</w:t>
            </w:r>
            <w:r>
              <w:rPr>
                <w:rFonts w:ascii="宋体" w:hAnsi="宋体" w:cs="宋体"/>
                <w:b/>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722"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小计</w:t>
            </w:r>
          </w:p>
        </w:tc>
        <w:tc>
          <w:tcPr>
            <w:tcW w:w="233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50" w:type="dxa"/>
            <w:gridSpan w:val="7"/>
            <w:noWrap w:val="0"/>
            <w:vAlign w:val="center"/>
          </w:tcPr>
          <w:p>
            <w:pPr>
              <w:widowControl/>
              <w:jc w:val="left"/>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二、</w:t>
            </w:r>
            <w:r>
              <w:rPr>
                <w:rFonts w:ascii="宋体" w:hAnsi="宋体" w:cs="宋体"/>
                <w:b/>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722"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小计</w:t>
            </w:r>
          </w:p>
        </w:tc>
        <w:tc>
          <w:tcPr>
            <w:tcW w:w="233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50" w:type="dxa"/>
            <w:gridSpan w:val="7"/>
            <w:noWrap w:val="0"/>
            <w:vAlign w:val="center"/>
          </w:tcPr>
          <w:p>
            <w:pPr>
              <w:widowControl/>
              <w:jc w:val="left"/>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三、</w:t>
            </w:r>
            <w:r>
              <w:rPr>
                <w:rFonts w:ascii="宋体" w:hAnsi="宋体" w:cs="宋体"/>
                <w:b/>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widowControl/>
              <w:jc w:val="center"/>
              <w:rPr>
                <w:rFonts w:ascii="宋体" w:hAnsi="宋体" w:cs="宋体"/>
                <w:color w:val="auto"/>
                <w:kern w:val="0"/>
                <w:sz w:val="18"/>
                <w:szCs w:val="18"/>
                <w:highlight w:val="none"/>
              </w:rPr>
            </w:pPr>
          </w:p>
        </w:tc>
        <w:tc>
          <w:tcPr>
            <w:tcW w:w="1891" w:type="dxa"/>
            <w:noWrap w:val="0"/>
            <w:vAlign w:val="center"/>
          </w:tcPr>
          <w:p>
            <w:pPr>
              <w:widowControl/>
              <w:jc w:val="center"/>
              <w:rPr>
                <w:rFonts w:ascii="宋体" w:hAnsi="宋体" w:cs="宋体"/>
                <w:color w:val="auto"/>
                <w:kern w:val="0"/>
                <w:sz w:val="18"/>
                <w:szCs w:val="18"/>
                <w:highlight w:val="none"/>
              </w:rPr>
            </w:pPr>
          </w:p>
        </w:tc>
        <w:tc>
          <w:tcPr>
            <w:tcW w:w="2330"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871" w:type="dxa"/>
            <w:noWrap w:val="0"/>
            <w:vAlign w:val="center"/>
          </w:tcPr>
          <w:p>
            <w:pPr>
              <w:widowControl/>
              <w:jc w:val="center"/>
              <w:rPr>
                <w:rFonts w:ascii="宋体" w:hAnsi="宋体" w:cs="宋体"/>
                <w:color w:val="auto"/>
                <w:kern w:val="0"/>
                <w:sz w:val="18"/>
                <w:szCs w:val="18"/>
                <w:highlight w:val="none"/>
              </w:rPr>
            </w:pPr>
          </w:p>
        </w:tc>
        <w:tc>
          <w:tcPr>
            <w:tcW w:w="1450" w:type="dxa"/>
            <w:noWrap w:val="0"/>
            <w:vAlign w:val="center"/>
          </w:tcPr>
          <w:p>
            <w:pPr>
              <w:widowControl/>
              <w:jc w:val="center"/>
              <w:rPr>
                <w:rFonts w:ascii="宋体" w:hAnsi="宋体" w:cs="宋体"/>
                <w:color w:val="auto"/>
                <w:kern w:val="0"/>
                <w:sz w:val="18"/>
                <w:szCs w:val="18"/>
                <w:highlight w:val="none"/>
              </w:rPr>
            </w:pP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722" w:type="dxa"/>
            <w:gridSpan w:val="2"/>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小计</w:t>
            </w:r>
          </w:p>
        </w:tc>
        <w:tc>
          <w:tcPr>
            <w:tcW w:w="233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87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306" w:type="dxa"/>
            <w:noWrap w:val="0"/>
            <w:vAlign w:val="center"/>
          </w:tcPr>
          <w:p>
            <w:pPr>
              <w:widowControl/>
              <w:jc w:val="center"/>
              <w:rPr>
                <w:rFonts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restart"/>
            <w:noWrap w:val="0"/>
            <w:vAlign w:val="center"/>
          </w:tcPr>
          <w:p>
            <w:pPr>
              <w:spacing w:line="260" w:lineRule="exact"/>
              <w:jc w:val="center"/>
              <w:rPr>
                <w:rFonts w:ascii="宋体" w:hAnsi="宋体"/>
                <w:color w:val="auto"/>
                <w:szCs w:val="21"/>
                <w:highlight w:val="none"/>
              </w:rPr>
            </w:pPr>
            <w:r>
              <w:rPr>
                <w:rFonts w:hint="eastAsia" w:ascii="宋体" w:hAnsi="宋体"/>
                <w:b/>
                <w:color w:val="auto"/>
                <w:szCs w:val="21"/>
                <w:highlight w:val="none"/>
              </w:rPr>
              <w:t>投标总价</w:t>
            </w:r>
            <w:r>
              <w:rPr>
                <w:rFonts w:hint="eastAsia" w:ascii="宋体" w:hAnsi="宋体"/>
                <w:b/>
                <w:bCs/>
                <w:color w:val="auto"/>
                <w:szCs w:val="21"/>
                <w:highlight w:val="none"/>
              </w:rPr>
              <w:t>（元）</w:t>
            </w:r>
          </w:p>
        </w:tc>
        <w:tc>
          <w:tcPr>
            <w:tcW w:w="6828" w:type="dxa"/>
            <w:gridSpan w:val="5"/>
            <w:noWrap w:val="0"/>
            <w:vAlign w:val="center"/>
          </w:tcPr>
          <w:p>
            <w:pPr>
              <w:widowControl/>
              <w:rPr>
                <w:rFonts w:ascii="宋体" w:hAnsi="宋体" w:cs="宋体"/>
                <w:b/>
                <w:color w:val="auto"/>
                <w:kern w:val="0"/>
                <w:szCs w:val="21"/>
                <w:highlight w:val="none"/>
              </w:rPr>
            </w:pPr>
            <w:r>
              <w:rPr>
                <w:rFonts w:hint="eastAsia" w:ascii="宋体" w:hAnsi="宋体" w:cs="宋体"/>
                <w:b/>
                <w:color w:val="auto"/>
                <w:kern w:val="0"/>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continue"/>
            <w:noWrap w:val="0"/>
            <w:vAlign w:val="center"/>
          </w:tcPr>
          <w:p>
            <w:pPr>
              <w:spacing w:line="260" w:lineRule="exact"/>
              <w:rPr>
                <w:rFonts w:ascii="宋体" w:hAnsi="宋体"/>
                <w:color w:val="auto"/>
                <w:sz w:val="18"/>
                <w:szCs w:val="18"/>
                <w:highlight w:val="none"/>
              </w:rPr>
            </w:pPr>
          </w:p>
        </w:tc>
        <w:tc>
          <w:tcPr>
            <w:tcW w:w="6828" w:type="dxa"/>
            <w:gridSpan w:val="5"/>
            <w:noWrap w:val="0"/>
            <w:vAlign w:val="center"/>
          </w:tcPr>
          <w:p>
            <w:pPr>
              <w:widowControl/>
              <w:rPr>
                <w:rFonts w:ascii="宋体" w:hAnsi="宋体" w:cs="宋体"/>
                <w:b/>
                <w:color w:val="auto"/>
                <w:kern w:val="0"/>
                <w:szCs w:val="21"/>
                <w:highlight w:val="none"/>
              </w:rPr>
            </w:pPr>
            <w:r>
              <w:rPr>
                <w:rFonts w:hint="eastAsia" w:ascii="宋体" w:hAnsi="宋体" w:cs="宋体"/>
                <w:b/>
                <w:color w:val="auto"/>
                <w:kern w:val="0"/>
                <w:szCs w:val="21"/>
                <w:highlight w:val="none"/>
              </w:rPr>
              <w:t>大写：</w:t>
            </w: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2"/>
        <w:spacing w:line="360" w:lineRule="auto"/>
        <w:ind w:firstLine="0"/>
        <w:rPr>
          <w:color w:val="auto"/>
          <w:highlight w:val="none"/>
        </w:rPr>
      </w:pPr>
      <w:r>
        <w:rPr>
          <w:rFonts w:hint="eastAsia"/>
          <w:color w:val="auto"/>
          <w:highlight w:val="none"/>
        </w:rPr>
        <w:t>1、本表设备名称填写的顺序应与本招标文件第三部分中的采购清单相一致，按子系统小计金额。</w:t>
      </w:r>
      <w:r>
        <w:rPr>
          <w:rFonts w:hint="eastAsia" w:hAnsi="宋体"/>
          <w:color w:val="auto"/>
          <w:szCs w:val="21"/>
          <w:highlight w:val="none"/>
        </w:rPr>
        <w:t>投标人报价有漏项、缺项的，为无效标。</w:t>
      </w:r>
    </w:p>
    <w:p>
      <w:pPr>
        <w:spacing w:line="360" w:lineRule="auto"/>
        <w:rPr>
          <w:rFonts w:ascii="宋体" w:hAnsi="宋体"/>
          <w:color w:val="auto"/>
          <w:szCs w:val="21"/>
          <w:highlight w:val="none"/>
        </w:rPr>
      </w:pPr>
      <w:r>
        <w:rPr>
          <w:rFonts w:hint="eastAsia" w:ascii="宋体" w:hAnsi="宋体"/>
          <w:color w:val="auto"/>
          <w:szCs w:val="21"/>
          <w:highlight w:val="none"/>
        </w:rPr>
        <w:t>2、本表格的“投标总价”应与开标一览表的“投</w:t>
      </w:r>
      <w:r>
        <w:rPr>
          <w:rFonts w:ascii="宋体" w:hAnsi="宋体"/>
          <w:color w:val="auto"/>
          <w:szCs w:val="21"/>
          <w:highlight w:val="none"/>
        </w:rPr>
        <w:t>标总</w:t>
      </w:r>
      <w:r>
        <w:rPr>
          <w:rFonts w:hint="eastAsia" w:ascii="宋体" w:hAnsi="宋体"/>
          <w:color w:val="auto"/>
          <w:szCs w:val="21"/>
          <w:highlight w:val="none"/>
        </w:rPr>
        <w:t>价”一致。</w:t>
      </w:r>
    </w:p>
    <w:p>
      <w:pPr>
        <w:spacing w:line="360" w:lineRule="auto"/>
        <w:rPr>
          <w:rFonts w:ascii="宋体" w:hAnsi="宋体"/>
          <w:color w:val="auto"/>
          <w:szCs w:val="21"/>
          <w:highlight w:val="none"/>
        </w:rPr>
      </w:pPr>
      <w:r>
        <w:rPr>
          <w:rFonts w:hint="eastAsia" w:ascii="宋体" w:hAnsi="宋体"/>
          <w:color w:val="auto"/>
          <w:szCs w:val="21"/>
          <w:highlight w:val="none"/>
        </w:rPr>
        <w:t>3、此表在不改变表式的情况下，可自行制作。</w:t>
      </w:r>
    </w:p>
    <w:p>
      <w:pPr>
        <w:pStyle w:val="2"/>
        <w:spacing w:line="360" w:lineRule="auto"/>
        <w:ind w:firstLine="0"/>
        <w:rPr>
          <w:color w:val="auto"/>
          <w:highlight w:val="none"/>
        </w:rPr>
      </w:pPr>
    </w:p>
    <w:p>
      <w:pPr>
        <w:pStyle w:val="2"/>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附件7：</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备品备件清单</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5"/>
        <w:gridCol w:w="1984"/>
        <w:gridCol w:w="709"/>
        <w:gridCol w:w="709"/>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48" w:type="dxa"/>
            <w:noWrap w:val="0"/>
            <w:vAlign w:val="center"/>
          </w:tcPr>
          <w:p>
            <w:pPr>
              <w:jc w:val="center"/>
              <w:rPr>
                <w:b/>
                <w:color w:val="auto"/>
                <w:highlight w:val="none"/>
              </w:rPr>
            </w:pPr>
            <w:r>
              <w:rPr>
                <w:rFonts w:hint="eastAsia"/>
                <w:b/>
                <w:color w:val="auto"/>
                <w:highlight w:val="none"/>
              </w:rPr>
              <w:t>序号</w:t>
            </w:r>
          </w:p>
        </w:tc>
        <w:tc>
          <w:tcPr>
            <w:tcW w:w="1445" w:type="dxa"/>
            <w:noWrap w:val="0"/>
            <w:vAlign w:val="center"/>
          </w:tcPr>
          <w:p>
            <w:pPr>
              <w:jc w:val="center"/>
              <w:rPr>
                <w:b/>
                <w:color w:val="auto"/>
                <w:highlight w:val="none"/>
              </w:rPr>
            </w:pPr>
            <w:r>
              <w:rPr>
                <w:rFonts w:hint="eastAsia"/>
                <w:b/>
                <w:color w:val="auto"/>
                <w:highlight w:val="none"/>
              </w:rPr>
              <w:t>名称</w:t>
            </w:r>
          </w:p>
        </w:tc>
        <w:tc>
          <w:tcPr>
            <w:tcW w:w="1984" w:type="dxa"/>
            <w:noWrap w:val="0"/>
            <w:vAlign w:val="center"/>
          </w:tcPr>
          <w:p>
            <w:pPr>
              <w:jc w:val="center"/>
              <w:rPr>
                <w:b/>
                <w:color w:val="auto"/>
                <w:highlight w:val="none"/>
              </w:rPr>
            </w:pPr>
            <w:r>
              <w:rPr>
                <w:rFonts w:hint="eastAsia"/>
                <w:b/>
                <w:color w:val="auto"/>
                <w:highlight w:val="none"/>
              </w:rPr>
              <w:t>规格、型号</w:t>
            </w:r>
          </w:p>
        </w:tc>
        <w:tc>
          <w:tcPr>
            <w:tcW w:w="709" w:type="dxa"/>
            <w:noWrap w:val="0"/>
            <w:vAlign w:val="center"/>
          </w:tcPr>
          <w:p>
            <w:pPr>
              <w:jc w:val="center"/>
              <w:rPr>
                <w:b/>
                <w:color w:val="auto"/>
                <w:highlight w:val="none"/>
              </w:rPr>
            </w:pPr>
            <w:r>
              <w:rPr>
                <w:rFonts w:hint="eastAsia"/>
                <w:b/>
                <w:color w:val="auto"/>
                <w:highlight w:val="none"/>
              </w:rPr>
              <w:t>单位</w:t>
            </w:r>
          </w:p>
        </w:tc>
        <w:tc>
          <w:tcPr>
            <w:tcW w:w="709" w:type="dxa"/>
            <w:noWrap w:val="0"/>
            <w:vAlign w:val="center"/>
          </w:tcPr>
          <w:p>
            <w:pPr>
              <w:jc w:val="center"/>
              <w:rPr>
                <w:b/>
                <w:color w:val="auto"/>
                <w:highlight w:val="none"/>
              </w:rPr>
            </w:pPr>
            <w:r>
              <w:rPr>
                <w:rFonts w:hint="eastAsia"/>
                <w:b/>
                <w:color w:val="auto"/>
                <w:highlight w:val="none"/>
              </w:rPr>
              <w:t>数量</w:t>
            </w:r>
          </w:p>
        </w:tc>
        <w:tc>
          <w:tcPr>
            <w:tcW w:w="1134" w:type="dxa"/>
            <w:noWrap w:val="0"/>
            <w:vAlign w:val="center"/>
          </w:tcPr>
          <w:p>
            <w:pPr>
              <w:jc w:val="center"/>
              <w:rPr>
                <w:b/>
                <w:color w:val="auto"/>
                <w:highlight w:val="none"/>
              </w:rPr>
            </w:pPr>
            <w:r>
              <w:rPr>
                <w:rFonts w:hint="eastAsia"/>
                <w:b/>
                <w:color w:val="auto"/>
                <w:highlight w:val="none"/>
              </w:rPr>
              <w:t>单价</w:t>
            </w:r>
          </w:p>
        </w:tc>
        <w:tc>
          <w:tcPr>
            <w:tcW w:w="1134" w:type="dxa"/>
            <w:noWrap w:val="0"/>
            <w:vAlign w:val="center"/>
          </w:tcPr>
          <w:p>
            <w:pPr>
              <w:jc w:val="center"/>
              <w:rPr>
                <w:b/>
                <w:color w:val="auto"/>
                <w:highlight w:val="none"/>
              </w:rPr>
            </w:pPr>
            <w:r>
              <w:rPr>
                <w:rFonts w:hint="eastAsia"/>
                <w:b/>
                <w:color w:val="auto"/>
                <w:highlight w:val="none"/>
              </w:rPr>
              <w:t>总价</w:t>
            </w:r>
          </w:p>
        </w:tc>
        <w:tc>
          <w:tcPr>
            <w:tcW w:w="1417" w:type="dxa"/>
            <w:noWrap w:val="0"/>
            <w:vAlign w:val="center"/>
          </w:tcPr>
          <w:p>
            <w:pPr>
              <w:jc w:val="center"/>
              <w:rPr>
                <w:b/>
                <w:color w:val="auto"/>
                <w:highlight w:val="none"/>
              </w:rPr>
            </w:pPr>
            <w:r>
              <w:rPr>
                <w:rFonts w:hint="eastAsia"/>
                <w:b/>
                <w:color w:val="auto"/>
                <w:highlight w:val="none"/>
              </w:rPr>
              <w:t>所属货物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snapToGrid w:val="0"/>
              <w:jc w:val="center"/>
              <w:rPr>
                <w:rFonts w:ascii="宋体" w:hAnsi="宋体"/>
                <w:color w:val="auto"/>
                <w:spacing w:val="20"/>
                <w:sz w:val="18"/>
                <w:szCs w:val="18"/>
                <w:highlight w:val="none"/>
              </w:rPr>
            </w:pPr>
          </w:p>
        </w:tc>
        <w:tc>
          <w:tcPr>
            <w:tcW w:w="1445" w:type="dxa"/>
            <w:noWrap w:val="0"/>
            <w:vAlign w:val="center"/>
          </w:tcPr>
          <w:p>
            <w:pPr>
              <w:snapToGrid w:val="0"/>
              <w:jc w:val="center"/>
              <w:rPr>
                <w:rFonts w:ascii="宋体" w:hAnsi="宋体"/>
                <w:color w:val="auto"/>
                <w:spacing w:val="20"/>
                <w:sz w:val="18"/>
                <w:szCs w:val="18"/>
                <w:highlight w:val="none"/>
              </w:rPr>
            </w:pPr>
          </w:p>
        </w:tc>
        <w:tc>
          <w:tcPr>
            <w:tcW w:w="1984"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709"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134" w:type="dxa"/>
            <w:noWrap w:val="0"/>
            <w:vAlign w:val="center"/>
          </w:tcPr>
          <w:p>
            <w:pPr>
              <w:snapToGrid w:val="0"/>
              <w:jc w:val="center"/>
              <w:rPr>
                <w:rFonts w:ascii="宋体" w:hAnsi="宋体"/>
                <w:color w:val="auto"/>
                <w:spacing w:val="20"/>
                <w:sz w:val="18"/>
                <w:szCs w:val="18"/>
                <w:highlight w:val="none"/>
              </w:rPr>
            </w:pPr>
          </w:p>
        </w:tc>
        <w:tc>
          <w:tcPr>
            <w:tcW w:w="1417" w:type="dxa"/>
            <w:noWrap w:val="0"/>
            <w:vAlign w:val="center"/>
          </w:tcPr>
          <w:p>
            <w:pPr>
              <w:snapToGrid w:val="0"/>
              <w:jc w:val="center"/>
              <w:rPr>
                <w:rFonts w:ascii="宋体" w:hAnsi="宋体"/>
                <w:color w:val="auto"/>
                <w:spacing w:val="2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gridSpan w:val="2"/>
            <w:noWrap w:val="0"/>
            <w:vAlign w:val="center"/>
          </w:tcPr>
          <w:p>
            <w:pPr>
              <w:snapToGrid w:val="0"/>
              <w:jc w:val="center"/>
              <w:rPr>
                <w:b/>
                <w:color w:val="auto"/>
                <w:highlight w:val="none"/>
              </w:rPr>
            </w:pPr>
            <w:r>
              <w:rPr>
                <w:rFonts w:hint="eastAsia"/>
                <w:b/>
                <w:color w:val="auto"/>
                <w:highlight w:val="none"/>
              </w:rPr>
              <w:t>合计</w:t>
            </w:r>
          </w:p>
        </w:tc>
        <w:tc>
          <w:tcPr>
            <w:tcW w:w="7087" w:type="dxa"/>
            <w:gridSpan w:val="6"/>
            <w:noWrap w:val="0"/>
            <w:vAlign w:val="center"/>
          </w:tcPr>
          <w:p>
            <w:pPr>
              <w:snapToGrid w:val="0"/>
              <w:jc w:val="center"/>
              <w:rPr>
                <w:b/>
                <w:color w:val="auto"/>
                <w:highlight w:val="none"/>
              </w:rPr>
            </w:pP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2"/>
        <w:spacing w:line="360" w:lineRule="auto"/>
        <w:ind w:firstLine="0"/>
        <w:rPr>
          <w:color w:val="auto"/>
          <w:highlight w:val="none"/>
        </w:rPr>
      </w:pPr>
      <w:r>
        <w:rPr>
          <w:rFonts w:hint="eastAsia"/>
          <w:color w:val="auto"/>
          <w:highlight w:val="none"/>
        </w:rPr>
        <w:t>1、供应商按招标文件要求列出备品、备件、检修工具等。</w:t>
      </w:r>
    </w:p>
    <w:p>
      <w:pPr>
        <w:pStyle w:val="2"/>
        <w:spacing w:line="360" w:lineRule="auto"/>
        <w:ind w:firstLine="0"/>
        <w:rPr>
          <w:color w:val="auto"/>
          <w:highlight w:val="none"/>
        </w:rPr>
      </w:pPr>
      <w:r>
        <w:rPr>
          <w:rFonts w:hint="eastAsia"/>
          <w:color w:val="auto"/>
          <w:highlight w:val="none"/>
        </w:rPr>
        <w:t>2、此表在不改变表式的情况下，可自行制作。</w:t>
      </w:r>
    </w:p>
    <w:p>
      <w:pPr>
        <w:pStyle w:val="2"/>
        <w:spacing w:line="360" w:lineRule="auto"/>
        <w:ind w:firstLine="0"/>
        <w:rPr>
          <w:color w:val="auto"/>
          <w:highlight w:val="none"/>
        </w:rPr>
      </w:pPr>
    </w:p>
    <w:p>
      <w:pPr>
        <w:pStyle w:val="2"/>
        <w:spacing w:line="360" w:lineRule="auto"/>
        <w:ind w:firstLine="0"/>
        <w:rPr>
          <w:color w:val="auto"/>
          <w:szCs w:val="21"/>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附件8：</w:t>
      </w:r>
    </w:p>
    <w:p>
      <w:pPr>
        <w:spacing w:line="360" w:lineRule="auto"/>
        <w:jc w:val="center"/>
        <w:rPr>
          <w:b/>
          <w:bCs/>
          <w:color w:val="auto"/>
          <w:sz w:val="32"/>
          <w:szCs w:val="32"/>
          <w:highlight w:val="none"/>
        </w:rPr>
      </w:pPr>
      <w:r>
        <w:rPr>
          <w:rFonts w:hint="eastAsia"/>
          <w:b/>
          <w:bCs/>
          <w:color w:val="auto"/>
          <w:sz w:val="32"/>
          <w:szCs w:val="32"/>
          <w:highlight w:val="none"/>
        </w:rPr>
        <w:t>中小企业声明函（货物）</w:t>
      </w:r>
    </w:p>
    <w:p>
      <w:pPr>
        <w:spacing w:line="360" w:lineRule="auto"/>
        <w:rPr>
          <w:color w:val="auto"/>
          <w:sz w:val="24"/>
          <w:szCs w:val="24"/>
          <w:highlight w:val="none"/>
        </w:rPr>
      </w:pPr>
    </w:p>
    <w:p>
      <w:pPr>
        <w:spacing w:line="360" w:lineRule="auto"/>
        <w:ind w:firstLine="420" w:firstLineChars="200"/>
        <w:rPr>
          <w:color w:val="auto"/>
          <w:szCs w:val="21"/>
          <w:highlight w:val="none"/>
        </w:rPr>
      </w:pPr>
      <w:r>
        <w:rPr>
          <w:rFonts w:hint="eastAsia"/>
          <w:color w:val="auto"/>
          <w:szCs w:val="21"/>
          <w:highlight w:val="none"/>
        </w:rPr>
        <w:t>本公司（联合体）郑重声明，根据《政府采购促进中小企业发展管理办法》（财库﹝2020﹞46 号）的规定，本公司（联合体）参加</w:t>
      </w:r>
      <w:r>
        <w:rPr>
          <w:rStyle w:val="16"/>
          <w:rFonts w:hint="eastAsia"/>
          <w:color w:val="000000"/>
          <w:sz w:val="21"/>
          <w:szCs w:val="21"/>
          <w:highlight w:val="none"/>
          <w:u w:val="single"/>
        </w:rPr>
        <w:t>宁波市北仑区公共项目建设管理中心</w:t>
      </w:r>
      <w:r>
        <w:rPr>
          <w:rFonts w:hint="eastAsia"/>
          <w:color w:val="auto"/>
          <w:szCs w:val="21"/>
          <w:highlight w:val="none"/>
        </w:rPr>
        <w:t>的</w:t>
      </w:r>
      <w:r>
        <w:rPr>
          <w:rFonts w:hint="eastAsia"/>
          <w:color w:val="auto"/>
          <w:szCs w:val="21"/>
          <w:highlight w:val="none"/>
          <w:u w:val="single"/>
        </w:rPr>
        <w:t>淮河小学东校区新建工程智能化采购项目</w:t>
      </w:r>
      <w:r>
        <w:rPr>
          <w:rFonts w:hint="eastAsia"/>
          <w:color w:val="auto"/>
          <w:szCs w:val="21"/>
          <w:highlight w:val="none"/>
        </w:rPr>
        <w:t>采购活动，提供的货物全部由符合政策要求的中小企业制造。相关企业（含联合体中的中小企业、签订分包意向协议的中小企业）的具体情况如下：</w:t>
      </w:r>
    </w:p>
    <w:p>
      <w:pPr>
        <w:spacing w:line="360" w:lineRule="auto"/>
        <w:ind w:firstLine="420" w:firstLineChars="200"/>
        <w:rPr>
          <w:color w:val="auto"/>
          <w:szCs w:val="21"/>
          <w:highlight w:val="none"/>
        </w:rPr>
      </w:pPr>
      <w:r>
        <w:rPr>
          <w:rFonts w:hint="eastAsia"/>
          <w:color w:val="auto"/>
          <w:szCs w:val="21"/>
          <w:highlight w:val="none"/>
        </w:rPr>
        <w:t xml:space="preserve">1. </w:t>
      </w:r>
      <w:r>
        <w:rPr>
          <w:rFonts w:hint="eastAsia"/>
          <w:color w:val="auto"/>
          <w:szCs w:val="21"/>
          <w:highlight w:val="none"/>
          <w:u w:val="single"/>
        </w:rPr>
        <w:t>（标的名称）</w:t>
      </w:r>
      <w:r>
        <w:rPr>
          <w:rFonts w:hint="eastAsia"/>
          <w:color w:val="auto"/>
          <w:szCs w:val="21"/>
          <w:highlight w:val="none"/>
          <w:u w:val="single"/>
          <w:lang w:val="en-US" w:eastAsia="zh-CN"/>
        </w:rPr>
        <w:t xml:space="preserve">     </w:t>
      </w:r>
      <w:r>
        <w:rPr>
          <w:rFonts w:hint="eastAsia"/>
          <w:color w:val="auto"/>
          <w:szCs w:val="21"/>
          <w:highlight w:val="none"/>
        </w:rPr>
        <w:t xml:space="preserve"> ，属于</w:t>
      </w:r>
      <w:r>
        <w:rPr>
          <w:rFonts w:hint="eastAsia"/>
          <w:color w:val="auto"/>
          <w:szCs w:val="21"/>
          <w:highlight w:val="none"/>
          <w:u w:val="single"/>
        </w:rPr>
        <w:t xml:space="preserve"> 工业 </w:t>
      </w:r>
      <w:r>
        <w:rPr>
          <w:rFonts w:hint="eastAsia"/>
          <w:color w:val="auto"/>
          <w:szCs w:val="21"/>
          <w:highlight w:val="none"/>
        </w:rPr>
        <w:t>行业；制造商为</w:t>
      </w:r>
      <w:r>
        <w:rPr>
          <w:rFonts w:hint="eastAsia"/>
          <w:color w:val="auto"/>
          <w:szCs w:val="21"/>
          <w:highlight w:val="none"/>
          <w:u w:val="single"/>
        </w:rPr>
        <w:t>（企业名称）</w:t>
      </w:r>
      <w:r>
        <w:rPr>
          <w:rFonts w:hint="eastAsia"/>
          <w:color w:val="auto"/>
          <w:szCs w:val="21"/>
          <w:highlight w:val="none"/>
        </w:rPr>
        <w:t>，从业人员</w:t>
      </w:r>
      <w:r>
        <w:rPr>
          <w:rFonts w:hint="eastAsia"/>
          <w:color w:val="auto"/>
          <w:szCs w:val="21"/>
          <w:highlight w:val="none"/>
          <w:u w:val="single"/>
        </w:rPr>
        <w:t xml:space="preserve">     </w:t>
      </w:r>
      <w:r>
        <w:rPr>
          <w:rFonts w:hint="eastAsia"/>
          <w:color w:val="auto"/>
          <w:szCs w:val="21"/>
          <w:highlight w:val="none"/>
        </w:rPr>
        <w:t>人，营业收入为</w:t>
      </w:r>
      <w:r>
        <w:rPr>
          <w:rFonts w:hint="eastAsia"/>
          <w:color w:val="auto"/>
          <w:szCs w:val="21"/>
          <w:highlight w:val="none"/>
          <w:u w:val="single"/>
        </w:rPr>
        <w:t xml:space="preserve">      </w:t>
      </w:r>
      <w:r>
        <w:rPr>
          <w:rFonts w:hint="eastAsia"/>
          <w:color w:val="auto"/>
          <w:szCs w:val="21"/>
          <w:highlight w:val="none"/>
        </w:rPr>
        <w:t>万元，资产总额为</w:t>
      </w:r>
      <w:r>
        <w:rPr>
          <w:rFonts w:hint="eastAsia"/>
          <w:color w:val="auto"/>
          <w:szCs w:val="21"/>
          <w:highlight w:val="none"/>
          <w:u w:val="single"/>
        </w:rPr>
        <w:t xml:space="preserve">        </w:t>
      </w:r>
      <w:r>
        <w:rPr>
          <w:rFonts w:hint="eastAsia"/>
          <w:color w:val="auto"/>
          <w:szCs w:val="21"/>
          <w:highlight w:val="none"/>
        </w:rPr>
        <w:t>万元，属于</w:t>
      </w:r>
      <w:r>
        <w:rPr>
          <w:rFonts w:hint="eastAsia"/>
          <w:color w:val="auto"/>
          <w:szCs w:val="21"/>
          <w:highlight w:val="none"/>
          <w:u w:val="single"/>
        </w:rPr>
        <w:t>（中型企业、小型企业、微型企业）</w:t>
      </w:r>
      <w:r>
        <w:rPr>
          <w:rFonts w:hint="eastAsia"/>
          <w:color w:val="auto"/>
          <w:szCs w:val="21"/>
          <w:highlight w:val="none"/>
          <w:u w:val="single"/>
          <w:lang w:val="en-US" w:eastAsia="zh-CN"/>
        </w:rPr>
        <w:t xml:space="preserve">            </w:t>
      </w:r>
      <w:r>
        <w:rPr>
          <w:rFonts w:hint="eastAsia"/>
          <w:color w:val="auto"/>
          <w:szCs w:val="21"/>
          <w:highlight w:val="none"/>
        </w:rPr>
        <w:t>；</w:t>
      </w:r>
    </w:p>
    <w:p>
      <w:pPr>
        <w:spacing w:line="360" w:lineRule="auto"/>
        <w:ind w:firstLine="420" w:firstLineChars="200"/>
        <w:rPr>
          <w:color w:val="auto"/>
          <w:szCs w:val="21"/>
          <w:highlight w:val="none"/>
        </w:rPr>
      </w:pPr>
      <w:r>
        <w:rPr>
          <w:rFonts w:hint="eastAsia"/>
          <w:color w:val="auto"/>
          <w:szCs w:val="21"/>
          <w:highlight w:val="none"/>
        </w:rPr>
        <w:t xml:space="preserve">2.  </w:t>
      </w:r>
      <w:r>
        <w:rPr>
          <w:rFonts w:hint="eastAsia"/>
          <w:color w:val="auto"/>
          <w:szCs w:val="21"/>
          <w:highlight w:val="none"/>
          <w:u w:val="single"/>
        </w:rPr>
        <w:t>（标的名称）</w:t>
      </w:r>
      <w:r>
        <w:rPr>
          <w:rFonts w:hint="eastAsia"/>
          <w:color w:val="auto"/>
          <w:szCs w:val="21"/>
          <w:highlight w:val="none"/>
          <w:u w:val="single"/>
          <w:lang w:val="en-US" w:eastAsia="zh-CN"/>
        </w:rPr>
        <w:t xml:space="preserve">      </w:t>
      </w:r>
      <w:r>
        <w:rPr>
          <w:rFonts w:hint="eastAsia"/>
          <w:color w:val="auto"/>
          <w:szCs w:val="21"/>
          <w:highlight w:val="none"/>
        </w:rPr>
        <w:t xml:space="preserve"> ，属于</w:t>
      </w:r>
      <w:r>
        <w:rPr>
          <w:rFonts w:hint="eastAsia"/>
          <w:color w:val="auto"/>
          <w:szCs w:val="21"/>
          <w:highlight w:val="none"/>
          <w:u w:val="single"/>
        </w:rPr>
        <w:t>（采购文件中明确的所属行业）</w:t>
      </w:r>
      <w:r>
        <w:rPr>
          <w:rFonts w:hint="eastAsia"/>
          <w:color w:val="auto"/>
          <w:szCs w:val="21"/>
          <w:highlight w:val="none"/>
        </w:rPr>
        <w:t>行业；制造商为</w:t>
      </w:r>
      <w:r>
        <w:rPr>
          <w:rFonts w:hint="eastAsia"/>
          <w:color w:val="auto"/>
          <w:szCs w:val="21"/>
          <w:highlight w:val="none"/>
          <w:u w:val="single"/>
        </w:rPr>
        <w:t>（企业名称）</w:t>
      </w:r>
      <w:r>
        <w:rPr>
          <w:rFonts w:hint="eastAsia"/>
          <w:color w:val="auto"/>
          <w:szCs w:val="21"/>
          <w:highlight w:val="none"/>
        </w:rPr>
        <w:t>，从业人员</w:t>
      </w:r>
      <w:r>
        <w:rPr>
          <w:rFonts w:hint="eastAsia"/>
          <w:color w:val="auto"/>
          <w:szCs w:val="21"/>
          <w:highlight w:val="none"/>
          <w:u w:val="single"/>
        </w:rPr>
        <w:t xml:space="preserve">      </w:t>
      </w:r>
      <w:r>
        <w:rPr>
          <w:rFonts w:hint="eastAsia"/>
          <w:color w:val="auto"/>
          <w:szCs w:val="21"/>
          <w:highlight w:val="none"/>
        </w:rPr>
        <w:t>人，营业收入为</w:t>
      </w:r>
      <w:r>
        <w:rPr>
          <w:rFonts w:hint="eastAsia"/>
          <w:color w:val="auto"/>
          <w:szCs w:val="21"/>
          <w:highlight w:val="none"/>
          <w:u w:val="single"/>
        </w:rPr>
        <w:t xml:space="preserve">       </w:t>
      </w:r>
      <w:r>
        <w:rPr>
          <w:rFonts w:hint="eastAsia"/>
          <w:color w:val="auto"/>
          <w:szCs w:val="21"/>
          <w:highlight w:val="none"/>
        </w:rPr>
        <w:t>万元，资产总额为</w:t>
      </w:r>
      <w:r>
        <w:rPr>
          <w:rFonts w:hint="eastAsia"/>
          <w:color w:val="auto"/>
          <w:szCs w:val="21"/>
          <w:highlight w:val="none"/>
          <w:u w:val="single"/>
        </w:rPr>
        <w:t xml:space="preserve">       </w:t>
      </w:r>
      <w:r>
        <w:rPr>
          <w:rFonts w:hint="eastAsia"/>
          <w:color w:val="auto"/>
          <w:szCs w:val="21"/>
          <w:highlight w:val="none"/>
        </w:rPr>
        <w:t>万元，属于</w:t>
      </w:r>
      <w:r>
        <w:rPr>
          <w:rFonts w:hint="eastAsia"/>
          <w:color w:val="auto"/>
          <w:szCs w:val="21"/>
          <w:highlight w:val="none"/>
          <w:u w:val="single"/>
        </w:rPr>
        <w:t>（中型企业、小型企业、微型企业）</w:t>
      </w:r>
      <w:r>
        <w:rPr>
          <w:rFonts w:hint="eastAsia"/>
          <w:color w:val="auto"/>
          <w:szCs w:val="21"/>
          <w:highlight w:val="none"/>
        </w:rPr>
        <w:t>；</w:t>
      </w:r>
    </w:p>
    <w:p>
      <w:pPr>
        <w:spacing w:line="360" w:lineRule="auto"/>
        <w:ind w:firstLine="420" w:firstLineChars="200"/>
        <w:rPr>
          <w:color w:val="auto"/>
          <w:szCs w:val="21"/>
          <w:highlight w:val="none"/>
        </w:rPr>
      </w:pPr>
      <w:r>
        <w:rPr>
          <w:rFonts w:hint="eastAsia"/>
          <w:color w:val="auto"/>
          <w:szCs w:val="21"/>
          <w:highlight w:val="none"/>
        </w:rPr>
        <w:t>……</w:t>
      </w:r>
    </w:p>
    <w:p>
      <w:pPr>
        <w:spacing w:line="360" w:lineRule="auto"/>
        <w:ind w:firstLine="420" w:firstLineChars="200"/>
        <w:rPr>
          <w:color w:val="auto"/>
          <w:szCs w:val="21"/>
          <w:highlight w:val="none"/>
        </w:rPr>
      </w:pPr>
      <w:r>
        <w:rPr>
          <w:rFonts w:hint="eastAsia"/>
          <w:color w:val="auto"/>
          <w:szCs w:val="21"/>
          <w:highlight w:val="none"/>
        </w:rPr>
        <w:t>以上企业，不属于大企业的分支机构，不存在控股股东为大企业的情形，也不存在与大企业的负责人为同一人的情形。</w:t>
      </w:r>
    </w:p>
    <w:p>
      <w:pPr>
        <w:spacing w:line="360" w:lineRule="auto"/>
        <w:ind w:firstLine="420" w:firstLineChars="200"/>
        <w:rPr>
          <w:color w:val="auto"/>
          <w:szCs w:val="21"/>
          <w:highlight w:val="none"/>
        </w:rPr>
      </w:pPr>
      <w:r>
        <w:rPr>
          <w:rFonts w:hint="eastAsia"/>
          <w:color w:val="auto"/>
          <w:szCs w:val="21"/>
          <w:highlight w:val="none"/>
        </w:rPr>
        <w:t>本企业对上述声明内容的真实性负责。如有虚假，将依法承担相应责任。</w:t>
      </w:r>
    </w:p>
    <w:p>
      <w:pPr>
        <w:spacing w:line="360" w:lineRule="auto"/>
        <w:ind w:firstLine="5250" w:firstLineChars="2500"/>
        <w:rPr>
          <w:color w:val="auto"/>
          <w:szCs w:val="21"/>
          <w:highlight w:val="none"/>
        </w:rPr>
      </w:pPr>
    </w:p>
    <w:p>
      <w:pPr>
        <w:spacing w:line="360" w:lineRule="auto"/>
        <w:ind w:firstLine="3990" w:firstLineChars="1900"/>
        <w:rPr>
          <w:color w:val="auto"/>
          <w:szCs w:val="21"/>
          <w:highlight w:val="none"/>
        </w:rPr>
      </w:pPr>
      <w:r>
        <w:rPr>
          <w:rFonts w:hint="eastAsia"/>
          <w:color w:val="auto"/>
          <w:szCs w:val="21"/>
          <w:highlight w:val="none"/>
        </w:rPr>
        <w:t>企业名称（盖章）：</w:t>
      </w:r>
    </w:p>
    <w:p>
      <w:pPr>
        <w:spacing w:line="360" w:lineRule="auto"/>
        <w:ind w:firstLine="3990" w:firstLineChars="1900"/>
        <w:rPr>
          <w:color w:val="auto"/>
          <w:szCs w:val="21"/>
          <w:highlight w:val="none"/>
        </w:rPr>
      </w:pPr>
      <w:r>
        <w:rPr>
          <w:rFonts w:hint="eastAsia"/>
          <w:color w:val="auto"/>
          <w:szCs w:val="21"/>
          <w:highlight w:val="none"/>
        </w:rPr>
        <w:t>日 期：</w:t>
      </w:r>
    </w:p>
    <w:p>
      <w:pPr>
        <w:spacing w:line="360" w:lineRule="auto"/>
        <w:rPr>
          <w:color w:val="auto"/>
          <w:sz w:val="24"/>
          <w:szCs w:val="24"/>
          <w:highlight w:val="none"/>
        </w:rPr>
      </w:pPr>
    </w:p>
    <w:p>
      <w:pPr>
        <w:spacing w:line="360" w:lineRule="auto"/>
        <w:rPr>
          <w:color w:val="auto"/>
          <w:szCs w:val="21"/>
          <w:highlight w:val="none"/>
        </w:rPr>
      </w:pPr>
    </w:p>
    <w:p>
      <w:pPr>
        <w:spacing w:line="360" w:lineRule="auto"/>
        <w:rPr>
          <w:color w:val="auto"/>
          <w:szCs w:val="21"/>
          <w:highlight w:val="none"/>
        </w:rPr>
      </w:pPr>
      <w:r>
        <w:rPr>
          <w:rFonts w:hint="eastAsia"/>
          <w:color w:val="auto"/>
          <w:szCs w:val="21"/>
          <w:highlight w:val="none"/>
        </w:rPr>
        <w:t>注：从业人员、营业收入、资产总额填报上一年度数据，无上一年度数据的新成立企业可不填报。</w:t>
      </w:r>
    </w:p>
    <w:p>
      <w:pPr>
        <w:rPr>
          <w:color w:val="auto"/>
          <w:szCs w:val="21"/>
          <w:highlight w:val="none"/>
        </w:rPr>
      </w:pPr>
    </w:p>
    <w:p>
      <w:pPr>
        <w:pStyle w:val="36"/>
        <w:ind w:left="0" w:firstLine="0"/>
        <w:rPr>
          <w:rFonts w:hAnsi="宋体"/>
          <w:color w:val="auto"/>
          <w:sz w:val="18"/>
          <w:szCs w:val="18"/>
          <w:highlight w:val="none"/>
        </w:rPr>
      </w:pPr>
      <w:r>
        <w:rPr>
          <w:rFonts w:hAnsi="宋体" w:cs="宋体"/>
          <w:color w:val="auto"/>
          <w:sz w:val="18"/>
          <w:szCs w:val="18"/>
          <w:highlight w:val="none"/>
        </w:rPr>
        <w:t>风险提示：</w:t>
      </w:r>
      <w:r>
        <w:rPr>
          <w:rFonts w:hAnsi="宋体" w:cs="宋体"/>
          <w:color w:val="auto"/>
          <w:sz w:val="18"/>
          <w:szCs w:val="18"/>
          <w:highlight w:val="none"/>
        </w:rPr>
        <w:br w:type="textWrapping"/>
      </w:r>
      <w:r>
        <w:rPr>
          <w:rFonts w:hAnsi="宋体" w:cs="宋体"/>
          <w:color w:val="auto"/>
          <w:sz w:val="18"/>
          <w:szCs w:val="18"/>
          <w:highlight w:val="none"/>
        </w:rPr>
        <w:t>1.对于非面向联合体的项目，在货物采购项目中，供应商提供的货物既有中型企业制造，也有小微企业制造的，不享受办法规定的小微企业扶持政策。</w:t>
      </w:r>
      <w:r>
        <w:rPr>
          <w:rFonts w:hAnsi="宋体" w:cs="宋体"/>
          <w:color w:val="auto"/>
          <w:sz w:val="18"/>
          <w:szCs w:val="18"/>
          <w:highlight w:val="none"/>
        </w:rPr>
        <w:br w:type="textWrapping"/>
      </w:r>
      <w:r>
        <w:rPr>
          <w:rFonts w:hAnsi="宋体" w:cs="宋体"/>
          <w:color w:val="auto"/>
          <w:sz w:val="18"/>
          <w:szCs w:val="18"/>
          <w:highlight w:val="none"/>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jc w:val="center"/>
        <w:rPr>
          <w:rFonts w:ascii="宋体" w:hAnsi="宋体" w:cs="宋体"/>
          <w:b/>
          <w:color w:val="auto"/>
          <w:sz w:val="30"/>
          <w:szCs w:val="30"/>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color w:val="auto"/>
          <w:highlight w:val="none"/>
        </w:rPr>
      </w:pPr>
      <w:r>
        <w:rPr>
          <w:rFonts w:hint="eastAsia" w:ascii="宋体" w:hAnsi="宋体"/>
          <w:color w:val="auto"/>
          <w:highlight w:val="none"/>
        </w:rPr>
        <w:t>附件9：</w:t>
      </w:r>
    </w:p>
    <w:p>
      <w:pPr>
        <w:spacing w:line="360" w:lineRule="auto"/>
        <w:rPr>
          <w:rFonts w:ascii="宋体" w:hAnsi="宋体"/>
          <w:color w:val="auto"/>
          <w:highlight w:val="none"/>
        </w:rPr>
      </w:pPr>
    </w:p>
    <w:p>
      <w:pPr>
        <w:spacing w:line="360" w:lineRule="auto"/>
        <w:jc w:val="center"/>
        <w:rPr>
          <w:rFonts w:ascii="宋体" w:hAnsi="宋体" w:cs="宋体"/>
          <w:b/>
          <w:color w:val="auto"/>
          <w:sz w:val="30"/>
          <w:szCs w:val="30"/>
          <w:highlight w:val="none"/>
        </w:rPr>
      </w:pPr>
      <w:bookmarkStart w:id="35" w:name="OLE_LINK13"/>
      <w:bookmarkStart w:id="36" w:name="OLE_LINK14"/>
      <w:r>
        <w:rPr>
          <w:rFonts w:hint="eastAsia" w:ascii="宋体" w:hAnsi="宋体" w:cs="宋体"/>
          <w:b/>
          <w:color w:val="auto"/>
          <w:sz w:val="30"/>
          <w:szCs w:val="30"/>
          <w:highlight w:val="none"/>
        </w:rPr>
        <w:t>残疾人福利性单位声明函</w:t>
      </w:r>
    </w:p>
    <w:bookmarkEnd w:id="35"/>
    <w:bookmarkEnd w:id="36"/>
    <w:p>
      <w:pPr>
        <w:spacing w:line="588" w:lineRule="exact"/>
        <w:rPr>
          <w:rFonts w:ascii="宋体" w:hAnsi="宋体" w:cs="宋体"/>
          <w:b/>
          <w:color w:val="auto"/>
          <w:spacing w:val="6"/>
          <w:szCs w:val="21"/>
          <w:highlight w:val="none"/>
        </w:rPr>
      </w:pP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w:t>
      </w:r>
      <w:r>
        <w:rPr>
          <w:rStyle w:val="16"/>
          <w:rFonts w:hint="eastAsia"/>
          <w:color w:val="000000"/>
          <w:sz w:val="21"/>
          <w:szCs w:val="21"/>
          <w:highlight w:val="none"/>
          <w:u w:val="single"/>
        </w:rPr>
        <w:t>宁波市北仑区公共项目建设管理中心</w:t>
      </w:r>
      <w:r>
        <w:rPr>
          <w:rFonts w:hint="eastAsia"/>
          <w:color w:val="auto"/>
          <w:szCs w:val="21"/>
          <w:highlight w:val="none"/>
        </w:rPr>
        <w:t>的</w:t>
      </w:r>
      <w:r>
        <w:rPr>
          <w:rFonts w:hint="eastAsia"/>
          <w:color w:val="auto"/>
          <w:szCs w:val="21"/>
          <w:highlight w:val="none"/>
          <w:u w:val="single"/>
        </w:rPr>
        <w:t>淮河小学东校区新建工程智能化采购</w:t>
      </w:r>
      <w:r>
        <w:rPr>
          <w:rFonts w:hint="eastAsia" w:ascii="宋体" w:hAnsi="宋体" w:cs="宋体"/>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588" w:lineRule="exact"/>
        <w:ind w:firstLine="444" w:firstLineChars="200"/>
        <w:rPr>
          <w:rFonts w:ascii="宋体" w:hAnsi="宋体" w:cs="宋体"/>
          <w:color w:val="auto"/>
          <w:spacing w:val="6"/>
          <w:szCs w:val="21"/>
          <w:highlight w:val="none"/>
        </w:rPr>
      </w:pPr>
    </w:p>
    <w:p>
      <w:pPr>
        <w:spacing w:line="588" w:lineRule="exact"/>
        <w:ind w:firstLine="444" w:firstLineChars="200"/>
        <w:rPr>
          <w:rFonts w:ascii="宋体" w:hAnsi="宋体" w:cs="宋体"/>
          <w:color w:val="auto"/>
          <w:spacing w:val="6"/>
          <w:szCs w:val="21"/>
          <w:highlight w:val="none"/>
        </w:rPr>
      </w:pPr>
    </w:p>
    <w:p>
      <w:pPr>
        <w:spacing w:line="360" w:lineRule="auto"/>
        <w:ind w:firstLine="5106" w:firstLineChars="2300"/>
        <w:rPr>
          <w:rFonts w:ascii="宋体" w:hAnsi="宋体" w:cs="宋体"/>
          <w:color w:val="auto"/>
          <w:highlight w:val="none"/>
        </w:rPr>
      </w:pPr>
      <w:r>
        <w:rPr>
          <w:rFonts w:hint="eastAsia" w:ascii="宋体" w:hAnsi="宋体" w:cs="宋体"/>
          <w:color w:val="auto"/>
          <w:spacing w:val="6"/>
          <w:szCs w:val="21"/>
          <w:highlight w:val="none"/>
        </w:rPr>
        <w:t xml:space="preserve">       </w:t>
      </w:r>
      <w:r>
        <w:rPr>
          <w:rFonts w:hint="eastAsia" w:ascii="宋体" w:hAnsi="宋体" w:cs="宋体"/>
          <w:color w:val="auto"/>
          <w:highlight w:val="none"/>
        </w:rPr>
        <w:t>投标人（盖公章）：</w:t>
      </w:r>
    </w:p>
    <w:p>
      <w:pPr>
        <w:tabs>
          <w:tab w:val="left" w:pos="4860"/>
        </w:tabs>
        <w:spacing w:line="588" w:lineRule="exact"/>
        <w:ind w:right="1560" w:firstLine="420" w:firstLineChars="200"/>
        <w:jc w:val="center"/>
        <w:rPr>
          <w:rFonts w:ascii="宋体" w:hAnsi="宋体" w:cs="宋体"/>
          <w:color w:val="auto"/>
          <w:spacing w:val="6"/>
          <w:szCs w:val="21"/>
          <w:highlight w:val="none"/>
        </w:rPr>
      </w:pPr>
      <w:r>
        <w:rPr>
          <w:rFonts w:hint="eastAsia" w:ascii="宋体" w:hAnsi="宋体" w:cs="宋体"/>
          <w:color w:val="auto"/>
          <w:highlight w:val="none"/>
        </w:rPr>
        <w:t xml:space="preserve">                                              日期：</w:t>
      </w:r>
    </w:p>
    <w:p>
      <w:pPr>
        <w:spacing w:line="588" w:lineRule="exact"/>
        <w:ind w:firstLine="444" w:firstLineChars="200"/>
        <w:rPr>
          <w:rFonts w:ascii="宋体" w:hAnsi="宋体" w:cs="宋体"/>
          <w:color w:val="auto"/>
          <w:spacing w:val="6"/>
          <w:szCs w:val="21"/>
          <w:highlight w:val="none"/>
        </w:rPr>
      </w:pPr>
    </w:p>
    <w:p>
      <w:pPr>
        <w:spacing w:line="360" w:lineRule="auto"/>
        <w:rPr>
          <w:rFonts w:ascii="宋体" w:hAnsi="宋体"/>
          <w:color w:val="auto"/>
          <w:highlight w:val="none"/>
        </w:rPr>
        <w:sectPr>
          <w:pgSz w:w="11906" w:h="16838"/>
          <w:pgMar w:top="1474" w:right="1418" w:bottom="1418" w:left="1418" w:header="851" w:footer="851" w:gutter="0"/>
          <w:cols w:space="720" w:num="1"/>
          <w:docGrid w:type="linesAndChars" w:linePitch="312" w:charSpace="0"/>
        </w:sectPr>
      </w:pPr>
    </w:p>
    <w:p>
      <w:pPr>
        <w:spacing w:line="360" w:lineRule="auto"/>
        <w:rPr>
          <w:rFonts w:ascii="宋体" w:hAnsi="宋体"/>
          <w:color w:val="auto"/>
          <w:highlight w:val="none"/>
        </w:rPr>
      </w:pPr>
      <w:r>
        <w:rPr>
          <w:rFonts w:hint="eastAsia" w:ascii="宋体" w:hAnsi="宋体"/>
          <w:color w:val="auto"/>
          <w:highlight w:val="none"/>
        </w:rPr>
        <w:t>附件10：</w:t>
      </w:r>
    </w:p>
    <w:p>
      <w:pP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投标人符合性自查表</w:t>
      </w:r>
    </w:p>
    <w:p>
      <w:pPr>
        <w:jc w:val="center"/>
        <w:rPr>
          <w:rFonts w:ascii="宋体" w:hAnsi="宋体" w:cs="宋体"/>
          <w:b/>
          <w:color w:val="auto"/>
          <w:highlight w:val="none"/>
        </w:rPr>
      </w:pPr>
    </w:p>
    <w:tbl>
      <w:tblPr>
        <w:tblStyle w:val="13"/>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46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招标文件要求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自查结论</w:t>
            </w:r>
          </w:p>
        </w:tc>
        <w:tc>
          <w:tcPr>
            <w:tcW w:w="2461" w:type="dxa"/>
            <w:tcBorders>
              <w:top w:val="single" w:color="auto" w:sz="12" w:space="0"/>
              <w:left w:val="outset" w:color="111111" w:sz="6" w:space="0"/>
              <w:bottom w:val="outset" w:color="111111" w:sz="6" w:space="0"/>
              <w:right w:val="single" w:color="auto" w:sz="12" w:space="0"/>
            </w:tcBorders>
            <w:noWrap w:val="0"/>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符</w:t>
            </w:r>
          </w:p>
          <w:p>
            <w:pPr>
              <w:spacing w:line="240" w:lineRule="exact"/>
              <w:rPr>
                <w:rFonts w:ascii="宋体" w:hAnsi="宋体" w:cs="宋体"/>
                <w:color w:val="auto"/>
                <w:highlight w:val="none"/>
              </w:rPr>
            </w:pPr>
            <w:r>
              <w:rPr>
                <w:rFonts w:hint="eastAsia" w:ascii="宋体" w:hAnsi="宋体" w:cs="宋体"/>
                <w:color w:val="auto"/>
                <w:highlight w:val="none"/>
              </w:rPr>
              <w:t>合</w:t>
            </w:r>
          </w:p>
          <w:p>
            <w:pPr>
              <w:spacing w:line="240" w:lineRule="exact"/>
              <w:rPr>
                <w:rFonts w:ascii="宋体" w:hAnsi="宋体" w:cs="宋体"/>
                <w:color w:val="auto"/>
                <w:highlight w:val="none"/>
              </w:rPr>
            </w:pPr>
            <w:r>
              <w:rPr>
                <w:rFonts w:hint="eastAsia" w:ascii="宋体" w:hAnsi="宋体" w:cs="宋体"/>
                <w:color w:val="auto"/>
                <w:highlight w:val="none"/>
              </w:rPr>
              <w:t>性</w:t>
            </w:r>
          </w:p>
          <w:p>
            <w:pPr>
              <w:spacing w:line="240" w:lineRule="exact"/>
              <w:rPr>
                <w:rFonts w:ascii="宋体" w:hAnsi="宋体" w:cs="宋体"/>
                <w:color w:val="auto"/>
                <w:highlight w:val="none"/>
              </w:rPr>
            </w:pPr>
            <w:r>
              <w:rPr>
                <w:rFonts w:hint="eastAsia" w:ascii="宋体" w:hAnsi="宋体" w:cs="宋体"/>
                <w:color w:val="auto"/>
                <w:highlight w:val="none"/>
              </w:rPr>
              <w:t>审</w:t>
            </w:r>
          </w:p>
          <w:p>
            <w:pPr>
              <w:spacing w:line="240" w:lineRule="exact"/>
              <w:rPr>
                <w:rFonts w:ascii="宋体" w:hAnsi="宋体" w:cs="宋体"/>
                <w:color w:val="auto"/>
                <w:highlight w:val="none"/>
              </w:rPr>
            </w:pPr>
            <w:r>
              <w:rPr>
                <w:rFonts w:hint="eastAsia" w:ascii="宋体" w:hAnsi="宋体" w:cs="宋体"/>
                <w:color w:val="auto"/>
                <w:highlight w:val="none"/>
              </w:rPr>
              <w:t>查</w:t>
            </w: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1、</w:t>
            </w:r>
            <w:r>
              <w:rPr>
                <w:rFonts w:hint="eastAsia" w:hAnsi="宋体" w:cs="宋体"/>
                <w:bCs/>
                <w:color w:val="auto"/>
                <w:szCs w:val="21"/>
                <w:highlight w:val="none"/>
              </w:rPr>
              <w:t>按招标文件要求签署、签章的；</w:t>
            </w:r>
          </w:p>
        </w:tc>
        <w:tc>
          <w:tcPr>
            <w:tcW w:w="1270" w:type="dxa"/>
            <w:tcBorders>
              <w:top w:val="outset" w:color="111111" w:sz="6" w:space="0"/>
              <w:left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single" w:color="auto" w:sz="4"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、提供法定代表人证明书或法定代表人授权委托书，内容齐全。</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3</w:t>
            </w:r>
            <w:r>
              <w:rPr>
                <w:rFonts w:hint="eastAsia" w:ascii="宋体" w:hAnsi="宋体" w:cs="宋体"/>
                <w:color w:val="auto"/>
                <w:highlight w:val="none"/>
              </w:rPr>
              <w:t>、</w:t>
            </w:r>
            <w:r>
              <w:rPr>
                <w:rFonts w:hint="eastAsia" w:ascii="宋体" w:hAnsi="宋体"/>
                <w:color w:val="auto"/>
                <w:szCs w:val="21"/>
                <w:highlight w:val="none"/>
              </w:rPr>
              <w:t>投标文件格式规范、提供资料齐全或者未提供虚假内容。</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4</w:t>
            </w:r>
            <w:r>
              <w:rPr>
                <w:rFonts w:hint="eastAsia" w:ascii="宋体" w:hAnsi="宋体" w:cs="宋体"/>
                <w:color w:val="auto"/>
                <w:highlight w:val="none"/>
              </w:rPr>
              <w:t>、</w:t>
            </w:r>
            <w:r>
              <w:rPr>
                <w:rFonts w:hint="eastAsia" w:ascii="宋体" w:hAnsi="宋体"/>
                <w:color w:val="auto"/>
                <w:szCs w:val="21"/>
                <w:highlight w:val="none"/>
              </w:rPr>
              <w:t>投标文件的实质性内容使用中文表述、表述明确、前后不矛盾或者使用计量单位符合招标文件要求的（经评标委员会认定并允许其当场更正的笔误除外）。</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5</w:t>
            </w:r>
            <w:r>
              <w:rPr>
                <w:rFonts w:hint="eastAsia" w:ascii="宋体" w:hAnsi="宋体" w:cs="宋体"/>
                <w:color w:val="auto"/>
                <w:highlight w:val="none"/>
              </w:rPr>
              <w:t>、</w:t>
            </w:r>
            <w:r>
              <w:rPr>
                <w:rFonts w:hint="eastAsia" w:ascii="宋体" w:hAnsi="宋体"/>
                <w:color w:val="auto"/>
                <w:szCs w:val="21"/>
                <w:highlight w:val="none"/>
              </w:rPr>
              <w:t>投标有效期满足招标文件要求。</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ascii="宋体" w:hAnsi="宋体" w:cs="宋体"/>
                <w:color w:val="auto"/>
                <w:highlight w:val="none"/>
              </w:rPr>
              <w:t>6</w:t>
            </w:r>
            <w:r>
              <w:rPr>
                <w:rFonts w:hint="eastAsia" w:ascii="宋体" w:hAnsi="宋体" w:cs="宋体"/>
                <w:color w:val="auto"/>
                <w:highlight w:val="none"/>
              </w:rPr>
              <w:t>、</w:t>
            </w:r>
            <w:r>
              <w:rPr>
                <w:rFonts w:hint="eastAsia" w:ascii="宋体" w:hAnsi="宋体" w:cs="宋体"/>
                <w:color w:val="auto"/>
                <w:szCs w:val="21"/>
                <w:highlight w:val="none"/>
              </w:rPr>
              <w:t>带“★”的条款满足招标文件要求、响应招标文件要求，投标文件无采购方不能接受的附加条件的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7、</w:t>
            </w:r>
            <w:r>
              <w:rPr>
                <w:rFonts w:hint="eastAsia" w:ascii="宋体" w:hAnsi="宋体" w:cs="宋体"/>
                <w:color w:val="auto"/>
                <w:szCs w:val="21"/>
                <w:highlight w:val="none"/>
              </w:rPr>
              <w:t>与其他参加本次供应商的投标文件（技术文件）的文字表述内容差错相同3处以下</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8、</w:t>
            </w:r>
            <w:r>
              <w:rPr>
                <w:rFonts w:hint="eastAsia" w:ascii="宋体" w:hAnsi="宋体"/>
                <w:color w:val="auto"/>
                <w:szCs w:val="21"/>
                <w:highlight w:val="none"/>
              </w:rPr>
              <w:t>投标文件的关键内容字迹清晰、易辨认的，或者投标文件中经修正的内容字迹易辩认或者修改处按规定签署、盖章。</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r>
              <w:rPr>
                <w:rFonts w:hint="eastAsia" w:ascii="宋体" w:hAnsi="宋体" w:cs="宋体"/>
                <w:color w:val="auto"/>
                <w:highlight w:val="none"/>
              </w:rPr>
              <w:t>9、</w:t>
            </w:r>
            <w:r>
              <w:rPr>
                <w:rFonts w:hint="eastAsia" w:ascii="宋体" w:hAnsi="宋体"/>
                <w:color w:val="auto"/>
                <w:szCs w:val="21"/>
                <w:highlight w:val="none"/>
              </w:rPr>
              <w:t>未发现法律、法规和招标文件规定的其他无效情形。</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color w:val="auto"/>
                <w:highlight w:val="none"/>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ascii="宋体" w:hAnsi="宋体" w:cs="宋体"/>
                <w:color w:val="auto"/>
                <w:highlight w:val="none"/>
              </w:rPr>
            </w:pPr>
          </w:p>
        </w:tc>
      </w:tr>
    </w:tbl>
    <w:p>
      <w:pPr>
        <w:adjustRightInd w:val="0"/>
        <w:snapToGrid w:val="0"/>
        <w:spacing w:line="440" w:lineRule="exact"/>
        <w:rPr>
          <w:rFonts w:ascii="宋体" w:hAnsi="宋体"/>
          <w:b/>
          <w:color w:val="auto"/>
          <w:szCs w:val="21"/>
          <w:highlight w:val="none"/>
        </w:rPr>
      </w:pPr>
      <w:r>
        <w:rPr>
          <w:rFonts w:hint="eastAsia" w:ascii="宋体" w:hAnsi="宋体"/>
          <w:b/>
          <w:color w:val="auto"/>
          <w:szCs w:val="21"/>
          <w:highlight w:val="none"/>
        </w:rPr>
        <w:t xml:space="preserve">备注：投标人自查表将作为投标投标人有效性审查的重要内容之一，投标投标人必须严格按照其内容及序列要求在投标文件中对应如实提供。 </w:t>
      </w:r>
    </w:p>
    <w:p>
      <w:pPr>
        <w:spacing w:line="360" w:lineRule="auto"/>
        <w:rPr>
          <w:rFonts w:ascii="宋体" w:hAnsi="宋体"/>
          <w:color w:val="auto"/>
          <w:highlight w:val="none"/>
        </w:rPr>
      </w:pPr>
    </w:p>
    <w:p>
      <w:pPr>
        <w:pStyle w:val="36"/>
        <w:rPr>
          <w:rFonts w:hAnsi="宋体"/>
          <w:color w:val="auto"/>
          <w:highlight w:val="none"/>
        </w:rPr>
      </w:pPr>
    </w:p>
    <w:p>
      <w:pPr>
        <w:pStyle w:val="36"/>
        <w:rPr>
          <w:rFonts w:hAnsi="宋体"/>
          <w:color w:val="auto"/>
          <w:highlight w:val="none"/>
        </w:rPr>
      </w:pPr>
    </w:p>
    <w:p>
      <w:pPr>
        <w:pStyle w:val="36"/>
        <w:rPr>
          <w:rFonts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 xml:space="preserve">附件11： </w:t>
      </w:r>
    </w:p>
    <w:p>
      <w:pP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技术及服务条款偏离表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690"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名称</w:t>
            </w:r>
          </w:p>
        </w:tc>
        <w:tc>
          <w:tcPr>
            <w:tcW w:w="3402"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招标文件技术、服务要求</w:t>
            </w:r>
          </w:p>
        </w:tc>
        <w:tc>
          <w:tcPr>
            <w:tcW w:w="3188"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bl>
    <w:p>
      <w:pPr>
        <w:spacing w:line="360" w:lineRule="auto"/>
        <w:rPr>
          <w:b/>
          <w:color w:val="auto"/>
          <w:highlight w:val="none"/>
        </w:rPr>
      </w:pPr>
      <w:r>
        <w:rPr>
          <w:rFonts w:hint="eastAsia"/>
          <w:b/>
          <w:color w:val="auto"/>
          <w:highlight w:val="none"/>
        </w:rPr>
        <w:t>说明：</w:t>
      </w:r>
    </w:p>
    <w:p>
      <w:pPr>
        <w:pStyle w:val="2"/>
        <w:spacing w:line="360" w:lineRule="auto"/>
        <w:ind w:firstLine="0"/>
        <w:rPr>
          <w:color w:val="auto"/>
          <w:highlight w:val="none"/>
        </w:rPr>
      </w:pPr>
      <w:r>
        <w:rPr>
          <w:rFonts w:hint="eastAsia"/>
          <w:color w:val="auto"/>
          <w:highlight w:val="none"/>
        </w:rPr>
        <w:t>1、技术、服务条款内容主要是针对招标文件有关的技术规格、服务要求等内容。</w:t>
      </w:r>
    </w:p>
    <w:p>
      <w:pPr>
        <w:pStyle w:val="2"/>
        <w:spacing w:line="360" w:lineRule="auto"/>
        <w:ind w:firstLine="0"/>
        <w:rPr>
          <w:color w:val="auto"/>
          <w:highlight w:val="none"/>
        </w:rPr>
      </w:pPr>
      <w:r>
        <w:rPr>
          <w:rFonts w:hint="eastAsia"/>
          <w:color w:val="auto"/>
          <w:highlight w:val="none"/>
        </w:rPr>
        <w:t>2、无偏离应在本表“投标文件响应情况”栏注明“无技术及服务条款偏离”的字样。</w:t>
      </w:r>
    </w:p>
    <w:p>
      <w:pPr>
        <w:pStyle w:val="2"/>
        <w:spacing w:line="360" w:lineRule="auto"/>
        <w:ind w:firstLine="0"/>
        <w:rPr>
          <w:color w:val="auto"/>
          <w:highlight w:val="none"/>
        </w:rPr>
      </w:pPr>
    </w:p>
    <w:p>
      <w:pPr>
        <w:pStyle w:val="2"/>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附件12：</w:t>
      </w:r>
    </w:p>
    <w:p>
      <w:pP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商务条款偏离表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690"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名称</w:t>
            </w:r>
          </w:p>
        </w:tc>
        <w:tc>
          <w:tcPr>
            <w:tcW w:w="3402"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招标文件商务要求</w:t>
            </w:r>
          </w:p>
        </w:tc>
        <w:tc>
          <w:tcPr>
            <w:tcW w:w="3188" w:type="dxa"/>
            <w:noWrap w:val="0"/>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交付时间</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质保期</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690"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ascii="宋体" w:hAnsi="宋体"/>
                <w:color w:val="auto"/>
                <w:szCs w:val="21"/>
                <w:highlight w:val="none"/>
              </w:rPr>
            </w:pPr>
          </w:p>
        </w:tc>
        <w:tc>
          <w:tcPr>
            <w:tcW w:w="1690" w:type="dxa"/>
            <w:noWrap w:val="0"/>
            <w:vAlign w:val="center"/>
          </w:tcPr>
          <w:p>
            <w:pPr>
              <w:jc w:val="center"/>
              <w:rPr>
                <w:rFonts w:ascii="宋体" w:hAnsi="宋体"/>
                <w:color w:val="auto"/>
                <w:sz w:val="18"/>
                <w:szCs w:val="18"/>
                <w:highlight w:val="none"/>
              </w:rPr>
            </w:pPr>
          </w:p>
        </w:tc>
        <w:tc>
          <w:tcPr>
            <w:tcW w:w="3402" w:type="dxa"/>
            <w:noWrap w:val="0"/>
            <w:vAlign w:val="center"/>
          </w:tcPr>
          <w:p>
            <w:pPr>
              <w:rPr>
                <w:rFonts w:ascii="宋体" w:hAnsi="宋体"/>
                <w:color w:val="auto"/>
                <w:sz w:val="18"/>
                <w:szCs w:val="18"/>
                <w:highlight w:val="none"/>
              </w:rPr>
            </w:pPr>
          </w:p>
        </w:tc>
        <w:tc>
          <w:tcPr>
            <w:tcW w:w="3188" w:type="dxa"/>
            <w:noWrap w:val="0"/>
            <w:vAlign w:val="center"/>
          </w:tcPr>
          <w:p>
            <w:pPr>
              <w:rPr>
                <w:rFonts w:ascii="宋体" w:hAnsi="宋体"/>
                <w:color w:val="auto"/>
                <w:sz w:val="18"/>
                <w:szCs w:val="18"/>
                <w:highlight w:val="none"/>
              </w:rPr>
            </w:pPr>
          </w:p>
        </w:tc>
      </w:tr>
    </w:tbl>
    <w:p>
      <w:pPr>
        <w:spacing w:line="360" w:lineRule="auto"/>
        <w:rPr>
          <w:b/>
          <w:color w:val="auto"/>
          <w:highlight w:val="none"/>
        </w:rPr>
      </w:pPr>
      <w:r>
        <w:rPr>
          <w:rFonts w:hint="eastAsia"/>
          <w:b/>
          <w:color w:val="auto"/>
          <w:highlight w:val="none"/>
        </w:rPr>
        <w:t>说明：</w:t>
      </w:r>
    </w:p>
    <w:p>
      <w:pPr>
        <w:pStyle w:val="2"/>
        <w:spacing w:line="360" w:lineRule="auto"/>
        <w:ind w:firstLine="0"/>
        <w:rPr>
          <w:color w:val="auto"/>
          <w:highlight w:val="none"/>
        </w:rPr>
      </w:pPr>
      <w:r>
        <w:rPr>
          <w:rFonts w:hint="eastAsia"/>
          <w:color w:val="auto"/>
          <w:highlight w:val="none"/>
        </w:rPr>
        <w:t>1、商务条款内容主要是针对招标文件有关的付款条件、交付期、质保期、合同主要条款等内容。</w:t>
      </w:r>
    </w:p>
    <w:p>
      <w:pPr>
        <w:pStyle w:val="2"/>
        <w:spacing w:line="360" w:lineRule="auto"/>
        <w:ind w:firstLine="0"/>
        <w:rPr>
          <w:color w:val="auto"/>
          <w:highlight w:val="none"/>
        </w:rPr>
      </w:pPr>
      <w:r>
        <w:rPr>
          <w:rFonts w:hint="eastAsia"/>
          <w:color w:val="auto"/>
          <w:highlight w:val="none"/>
        </w:rPr>
        <w:t>2、无偏离应在本表“投标文件响应情况”栏注明“无商务条款偏离”的字样。</w:t>
      </w:r>
    </w:p>
    <w:p>
      <w:pPr>
        <w:pStyle w:val="2"/>
        <w:spacing w:line="360" w:lineRule="auto"/>
        <w:ind w:firstLine="0"/>
        <w:rPr>
          <w:color w:val="auto"/>
          <w:highlight w:val="none"/>
        </w:rPr>
      </w:pPr>
    </w:p>
    <w:p>
      <w:pPr>
        <w:pStyle w:val="2"/>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附件13：</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投标货物（服务）清单</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67"/>
        <w:gridCol w:w="1560"/>
        <w:gridCol w:w="2551"/>
        <w:gridCol w:w="709"/>
        <w:gridCol w:w="70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09" w:type="dxa"/>
            <w:noWrap w:val="0"/>
            <w:vAlign w:val="center"/>
          </w:tcPr>
          <w:p>
            <w:pPr>
              <w:jc w:val="center"/>
              <w:rPr>
                <w:b/>
                <w:color w:val="auto"/>
                <w:szCs w:val="21"/>
                <w:highlight w:val="none"/>
              </w:rPr>
            </w:pPr>
            <w:r>
              <w:rPr>
                <w:rFonts w:hint="eastAsia"/>
                <w:b/>
                <w:color w:val="auto"/>
                <w:szCs w:val="21"/>
                <w:highlight w:val="none"/>
              </w:rPr>
              <w:t>序号</w:t>
            </w:r>
          </w:p>
        </w:tc>
        <w:tc>
          <w:tcPr>
            <w:tcW w:w="1667" w:type="dxa"/>
            <w:noWrap w:val="0"/>
            <w:vAlign w:val="center"/>
          </w:tcPr>
          <w:p>
            <w:pPr>
              <w:jc w:val="center"/>
              <w:rPr>
                <w:b/>
                <w:color w:val="auto"/>
                <w:szCs w:val="21"/>
                <w:highlight w:val="none"/>
              </w:rPr>
            </w:pPr>
            <w:r>
              <w:rPr>
                <w:rFonts w:hint="eastAsia"/>
                <w:b/>
                <w:color w:val="auto"/>
                <w:szCs w:val="21"/>
                <w:highlight w:val="none"/>
              </w:rPr>
              <w:t>名称</w:t>
            </w:r>
          </w:p>
        </w:tc>
        <w:tc>
          <w:tcPr>
            <w:tcW w:w="1560" w:type="dxa"/>
            <w:noWrap w:val="0"/>
            <w:vAlign w:val="center"/>
          </w:tcPr>
          <w:p>
            <w:pPr>
              <w:jc w:val="center"/>
              <w:rPr>
                <w:b/>
                <w:color w:val="auto"/>
                <w:szCs w:val="21"/>
                <w:highlight w:val="none"/>
              </w:rPr>
            </w:pPr>
            <w:r>
              <w:rPr>
                <w:rFonts w:hint="eastAsia"/>
                <w:b/>
                <w:color w:val="auto"/>
                <w:szCs w:val="21"/>
                <w:highlight w:val="none"/>
              </w:rPr>
              <w:t>规格、型号</w:t>
            </w:r>
          </w:p>
        </w:tc>
        <w:tc>
          <w:tcPr>
            <w:tcW w:w="2551" w:type="dxa"/>
            <w:noWrap w:val="0"/>
            <w:vAlign w:val="center"/>
          </w:tcPr>
          <w:p>
            <w:pPr>
              <w:jc w:val="center"/>
              <w:rPr>
                <w:b/>
                <w:color w:val="auto"/>
                <w:szCs w:val="21"/>
                <w:highlight w:val="none"/>
              </w:rPr>
            </w:pPr>
            <w:r>
              <w:rPr>
                <w:rFonts w:hint="eastAsia"/>
                <w:b/>
                <w:color w:val="auto"/>
                <w:szCs w:val="21"/>
                <w:highlight w:val="none"/>
              </w:rPr>
              <w:t>主要性能参数</w:t>
            </w:r>
          </w:p>
        </w:tc>
        <w:tc>
          <w:tcPr>
            <w:tcW w:w="709" w:type="dxa"/>
            <w:noWrap w:val="0"/>
            <w:vAlign w:val="center"/>
          </w:tcPr>
          <w:p>
            <w:pPr>
              <w:jc w:val="center"/>
              <w:rPr>
                <w:b/>
                <w:color w:val="auto"/>
                <w:szCs w:val="21"/>
                <w:highlight w:val="none"/>
              </w:rPr>
            </w:pPr>
            <w:r>
              <w:rPr>
                <w:rFonts w:hint="eastAsia"/>
                <w:b/>
                <w:color w:val="auto"/>
                <w:szCs w:val="21"/>
                <w:highlight w:val="none"/>
              </w:rPr>
              <w:t>单位</w:t>
            </w:r>
          </w:p>
        </w:tc>
        <w:tc>
          <w:tcPr>
            <w:tcW w:w="709" w:type="dxa"/>
            <w:noWrap w:val="0"/>
            <w:vAlign w:val="center"/>
          </w:tcPr>
          <w:p>
            <w:pPr>
              <w:jc w:val="center"/>
              <w:rPr>
                <w:b/>
                <w:color w:val="auto"/>
                <w:szCs w:val="21"/>
                <w:highlight w:val="none"/>
              </w:rPr>
            </w:pPr>
            <w:r>
              <w:rPr>
                <w:rFonts w:hint="eastAsia"/>
                <w:b/>
                <w:color w:val="auto"/>
                <w:szCs w:val="21"/>
                <w:highlight w:val="none"/>
              </w:rPr>
              <w:t>数量</w:t>
            </w:r>
          </w:p>
        </w:tc>
        <w:tc>
          <w:tcPr>
            <w:tcW w:w="1342" w:type="dxa"/>
            <w:noWrap w:val="0"/>
            <w:vAlign w:val="center"/>
          </w:tcPr>
          <w:p>
            <w:pPr>
              <w:jc w:val="center"/>
              <w:rPr>
                <w:b/>
                <w:color w:val="auto"/>
                <w:szCs w:val="21"/>
                <w:highlight w:val="none"/>
              </w:rPr>
            </w:pPr>
            <w:r>
              <w:rPr>
                <w:rFonts w:hint="eastAsia"/>
                <w:b/>
                <w:color w:val="auto"/>
                <w:szCs w:val="21"/>
                <w:highlight w:val="none"/>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0"/>
            <w:vAlign w:val="center"/>
          </w:tcPr>
          <w:p>
            <w:pPr>
              <w:snapToGrid w:val="0"/>
              <w:jc w:val="center"/>
              <w:rPr>
                <w:rFonts w:ascii="宋体" w:hAnsi="宋体"/>
                <w:color w:val="auto"/>
                <w:sz w:val="18"/>
                <w:szCs w:val="18"/>
                <w:highlight w:val="none"/>
              </w:rPr>
            </w:pPr>
          </w:p>
        </w:tc>
        <w:tc>
          <w:tcPr>
            <w:tcW w:w="1667" w:type="dxa"/>
            <w:noWrap w:val="0"/>
            <w:vAlign w:val="center"/>
          </w:tcPr>
          <w:p>
            <w:pPr>
              <w:snapToGrid w:val="0"/>
              <w:jc w:val="center"/>
              <w:rPr>
                <w:rFonts w:ascii="宋体" w:hAnsi="宋体"/>
                <w:color w:val="auto"/>
                <w:sz w:val="18"/>
                <w:szCs w:val="18"/>
                <w:highlight w:val="none"/>
              </w:rPr>
            </w:pPr>
          </w:p>
        </w:tc>
        <w:tc>
          <w:tcPr>
            <w:tcW w:w="1560" w:type="dxa"/>
            <w:noWrap w:val="0"/>
            <w:vAlign w:val="center"/>
          </w:tcPr>
          <w:p>
            <w:pPr>
              <w:snapToGrid w:val="0"/>
              <w:jc w:val="center"/>
              <w:rPr>
                <w:rFonts w:ascii="宋体" w:hAnsi="宋体"/>
                <w:color w:val="auto"/>
                <w:sz w:val="18"/>
                <w:szCs w:val="18"/>
                <w:highlight w:val="none"/>
              </w:rPr>
            </w:pPr>
          </w:p>
        </w:tc>
        <w:tc>
          <w:tcPr>
            <w:tcW w:w="2551"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709" w:type="dxa"/>
            <w:noWrap w:val="0"/>
            <w:vAlign w:val="center"/>
          </w:tcPr>
          <w:p>
            <w:pPr>
              <w:snapToGrid w:val="0"/>
              <w:jc w:val="center"/>
              <w:rPr>
                <w:rFonts w:ascii="宋体" w:hAnsi="宋体"/>
                <w:color w:val="auto"/>
                <w:sz w:val="18"/>
                <w:szCs w:val="18"/>
                <w:highlight w:val="none"/>
              </w:rPr>
            </w:pPr>
          </w:p>
        </w:tc>
        <w:tc>
          <w:tcPr>
            <w:tcW w:w="1342" w:type="dxa"/>
            <w:noWrap w:val="0"/>
            <w:vAlign w:val="center"/>
          </w:tcPr>
          <w:p>
            <w:pPr>
              <w:snapToGrid w:val="0"/>
              <w:jc w:val="center"/>
              <w:rPr>
                <w:rFonts w:ascii="宋体" w:hAnsi="宋体"/>
                <w:color w:val="auto"/>
                <w:sz w:val="18"/>
                <w:szCs w:val="18"/>
                <w:highlight w:val="none"/>
              </w:rPr>
            </w:pP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2"/>
        <w:spacing w:line="360" w:lineRule="auto"/>
        <w:ind w:firstLine="0"/>
        <w:rPr>
          <w:color w:val="auto"/>
          <w:highlight w:val="none"/>
        </w:rPr>
      </w:pPr>
      <w:r>
        <w:rPr>
          <w:rFonts w:hint="eastAsia"/>
          <w:color w:val="auto"/>
          <w:highlight w:val="none"/>
        </w:rPr>
        <w:t>1、本表设备名称填写的顺序应与本招标文件第三部分中的采购清单相一致。</w:t>
      </w:r>
    </w:p>
    <w:p>
      <w:pPr>
        <w:pStyle w:val="2"/>
        <w:spacing w:line="360" w:lineRule="auto"/>
        <w:ind w:firstLine="0"/>
        <w:rPr>
          <w:color w:val="auto"/>
          <w:highlight w:val="none"/>
        </w:rPr>
      </w:pPr>
      <w:r>
        <w:rPr>
          <w:rFonts w:hint="eastAsia"/>
          <w:color w:val="auto"/>
          <w:highlight w:val="none"/>
        </w:rPr>
        <w:t>2、采购清单中有具体参考品牌名称的，投标人投标时需例明投标产品品牌，否则为无效标（如采购清单所例参考品牌为国产的，投标人投标时也可例国产）。</w:t>
      </w:r>
    </w:p>
    <w:p>
      <w:pPr>
        <w:pStyle w:val="2"/>
        <w:spacing w:line="360" w:lineRule="auto"/>
        <w:ind w:firstLine="0"/>
        <w:rPr>
          <w:color w:val="auto"/>
          <w:highlight w:val="none"/>
        </w:rPr>
      </w:pPr>
      <w:r>
        <w:rPr>
          <w:rFonts w:hint="eastAsia"/>
          <w:color w:val="auto"/>
          <w:highlight w:val="none"/>
        </w:rPr>
        <w:t>3、此表在不改变表式的情况下，可自行制作。</w:t>
      </w:r>
    </w:p>
    <w:p>
      <w:pPr>
        <w:pStyle w:val="2"/>
        <w:spacing w:line="360" w:lineRule="auto"/>
        <w:ind w:firstLine="0"/>
        <w:rPr>
          <w:color w:val="auto"/>
          <w:highlight w:val="none"/>
        </w:rPr>
      </w:pPr>
    </w:p>
    <w:p>
      <w:pPr>
        <w:pStyle w:val="2"/>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附件14：</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项目管理机构配备情况表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620"/>
        <w:gridCol w:w="189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noWrap w:val="0"/>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1475" w:type="dxa"/>
            <w:noWrap w:val="0"/>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拟在本项目中担任职务</w:t>
            </w:r>
          </w:p>
        </w:tc>
        <w:tc>
          <w:tcPr>
            <w:tcW w:w="1620" w:type="dxa"/>
            <w:noWrap w:val="0"/>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姓名</w:t>
            </w:r>
          </w:p>
        </w:tc>
        <w:tc>
          <w:tcPr>
            <w:tcW w:w="1898" w:type="dxa"/>
            <w:noWrap w:val="0"/>
            <w:vAlign w:val="center"/>
          </w:tcPr>
          <w:p>
            <w:pPr>
              <w:snapToGrid w:val="0"/>
              <w:jc w:val="center"/>
              <w:rPr>
                <w:rFonts w:ascii="宋体" w:hAnsi="宋体"/>
                <w:b/>
                <w:color w:val="auto"/>
                <w:szCs w:val="21"/>
                <w:highlight w:val="none"/>
              </w:rPr>
            </w:pPr>
            <w:r>
              <w:rPr>
                <w:rFonts w:hint="eastAsia" w:ascii="宋体" w:hAnsi="宋体"/>
                <w:b/>
                <w:color w:val="auto"/>
                <w:szCs w:val="21"/>
                <w:highlight w:val="none"/>
              </w:rPr>
              <w:t>身份证号码</w:t>
            </w:r>
          </w:p>
        </w:tc>
        <w:tc>
          <w:tcPr>
            <w:tcW w:w="3595" w:type="dxa"/>
            <w:noWrap w:val="0"/>
            <w:vAlign w:val="center"/>
          </w:tcPr>
          <w:p>
            <w:pPr>
              <w:pStyle w:val="40"/>
              <w:tabs>
                <w:tab w:val="left" w:pos="0"/>
              </w:tabs>
              <w:adjustRightInd w:val="0"/>
              <w:snapToGrid w:val="0"/>
              <w:jc w:val="center"/>
              <w:rPr>
                <w:rFonts w:ascii="宋体" w:hAnsi="宋体"/>
                <w:color w:val="auto"/>
                <w:sz w:val="21"/>
                <w:szCs w:val="21"/>
                <w:highlight w:val="none"/>
              </w:rPr>
            </w:pPr>
            <w:r>
              <w:rPr>
                <w:rFonts w:hint="eastAsia" w:ascii="宋体" w:hAnsi="宋体"/>
                <w:b/>
                <w:color w:val="auto"/>
                <w:sz w:val="21"/>
                <w:szCs w:val="21"/>
                <w:highlight w:val="none"/>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noWrap w:val="0"/>
            <w:vAlign w:val="center"/>
          </w:tcPr>
          <w:p>
            <w:pPr>
              <w:pStyle w:val="6"/>
              <w:tabs>
                <w:tab w:val="left" w:pos="0"/>
              </w:tabs>
              <w:adjustRightInd w:val="0"/>
              <w:snapToGrid w:val="0"/>
              <w:jc w:val="center"/>
              <w:rPr>
                <w:color w:val="auto"/>
                <w:highlight w:val="none"/>
              </w:rPr>
            </w:pPr>
          </w:p>
        </w:tc>
        <w:tc>
          <w:tcPr>
            <w:tcW w:w="1475" w:type="dxa"/>
            <w:noWrap w:val="0"/>
            <w:vAlign w:val="center"/>
          </w:tcPr>
          <w:p>
            <w:pPr>
              <w:pStyle w:val="6"/>
              <w:tabs>
                <w:tab w:val="left" w:pos="0"/>
              </w:tabs>
              <w:adjustRightInd w:val="0"/>
              <w:snapToGrid w:val="0"/>
              <w:jc w:val="center"/>
              <w:rPr>
                <w:color w:val="auto"/>
                <w:highlight w:val="none"/>
              </w:rPr>
            </w:pPr>
          </w:p>
        </w:tc>
        <w:tc>
          <w:tcPr>
            <w:tcW w:w="1620" w:type="dxa"/>
            <w:noWrap w:val="0"/>
            <w:vAlign w:val="center"/>
          </w:tcPr>
          <w:p>
            <w:pPr>
              <w:pStyle w:val="6"/>
              <w:tabs>
                <w:tab w:val="left" w:pos="0"/>
              </w:tabs>
              <w:adjustRightInd w:val="0"/>
              <w:snapToGrid w:val="0"/>
              <w:jc w:val="center"/>
              <w:rPr>
                <w:color w:val="auto"/>
                <w:highlight w:val="none"/>
              </w:rPr>
            </w:pPr>
          </w:p>
        </w:tc>
        <w:tc>
          <w:tcPr>
            <w:tcW w:w="1898" w:type="dxa"/>
            <w:noWrap w:val="0"/>
            <w:vAlign w:val="center"/>
          </w:tcPr>
          <w:p>
            <w:pPr>
              <w:pStyle w:val="6"/>
              <w:tabs>
                <w:tab w:val="left" w:pos="0"/>
              </w:tabs>
              <w:adjustRightInd w:val="0"/>
              <w:snapToGrid w:val="0"/>
              <w:jc w:val="center"/>
              <w:rPr>
                <w:color w:val="auto"/>
                <w:highlight w:val="none"/>
              </w:rPr>
            </w:pPr>
          </w:p>
        </w:tc>
        <w:tc>
          <w:tcPr>
            <w:tcW w:w="3595" w:type="dxa"/>
            <w:noWrap w:val="0"/>
            <w:vAlign w:val="center"/>
          </w:tcPr>
          <w:p>
            <w:pPr>
              <w:pStyle w:val="6"/>
              <w:tabs>
                <w:tab w:val="left" w:pos="0"/>
              </w:tabs>
              <w:adjustRightInd w:val="0"/>
              <w:snapToGri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9342" w:type="dxa"/>
            <w:gridSpan w:val="5"/>
            <w:noWrap w:val="0"/>
            <w:vAlign w:val="center"/>
          </w:tcPr>
          <w:p>
            <w:pPr>
              <w:pStyle w:val="6"/>
              <w:tabs>
                <w:tab w:val="left" w:pos="0"/>
              </w:tabs>
              <w:adjustRightInd w:val="0"/>
              <w:snapToGrid w:val="0"/>
              <w:spacing w:line="276" w:lineRule="auto"/>
              <w:rPr>
                <w:color w:val="auto"/>
                <w:highlight w:val="none"/>
              </w:rPr>
            </w:pPr>
            <w:r>
              <w:rPr>
                <w:rFonts w:hint="eastAsia"/>
                <w:color w:val="auto"/>
                <w:highlight w:val="none"/>
              </w:rPr>
              <w:t>声明：一旦我单位中标，将实行项目经理负责制，并配备上述项目实施人员。我方保证上述填报内容真实，若不真实，愿按有关规定接受处理。</w:t>
            </w:r>
          </w:p>
        </w:tc>
      </w:tr>
    </w:tbl>
    <w:p>
      <w:pPr>
        <w:spacing w:line="360" w:lineRule="auto"/>
        <w:rPr>
          <w:rFonts w:ascii="宋体" w:hAnsi="宋体"/>
          <w:b/>
          <w:color w:val="auto"/>
          <w:highlight w:val="none"/>
        </w:rPr>
      </w:pPr>
      <w:r>
        <w:rPr>
          <w:rFonts w:hint="eastAsia" w:ascii="宋体" w:hAnsi="宋体"/>
          <w:b/>
          <w:color w:val="auto"/>
          <w:highlight w:val="none"/>
        </w:rPr>
        <w:t>说明：</w:t>
      </w:r>
    </w:p>
    <w:p>
      <w:pPr>
        <w:pStyle w:val="2"/>
        <w:spacing w:line="360" w:lineRule="auto"/>
        <w:ind w:firstLine="0"/>
        <w:rPr>
          <w:color w:val="auto"/>
          <w:highlight w:val="none"/>
        </w:rPr>
      </w:pPr>
      <w:r>
        <w:rPr>
          <w:rFonts w:hint="eastAsia"/>
          <w:color w:val="auto"/>
          <w:highlight w:val="none"/>
        </w:rPr>
        <w:t>1、表后附拟派人员的社保证明、有关证书、业绩证明的复印件。</w:t>
      </w:r>
    </w:p>
    <w:p>
      <w:pPr>
        <w:pStyle w:val="2"/>
        <w:spacing w:line="360" w:lineRule="auto"/>
        <w:ind w:firstLine="0"/>
        <w:rPr>
          <w:color w:val="auto"/>
          <w:highlight w:val="none"/>
        </w:rPr>
      </w:pPr>
      <w:r>
        <w:rPr>
          <w:rFonts w:hint="eastAsia"/>
          <w:color w:val="auto"/>
          <w:highlight w:val="none"/>
        </w:rPr>
        <w:t>2、拟派主要人员（项目经理、技术负责人、专职安全员）未经许可不得更换，否则取消中标资格，赔偿采购人损失。</w:t>
      </w:r>
    </w:p>
    <w:p>
      <w:pPr>
        <w:pStyle w:val="2"/>
        <w:spacing w:line="360" w:lineRule="auto"/>
        <w:ind w:firstLine="0"/>
        <w:rPr>
          <w:color w:val="auto"/>
          <w:highlight w:val="none"/>
        </w:rPr>
      </w:pPr>
      <w:r>
        <w:rPr>
          <w:rFonts w:hint="eastAsia"/>
          <w:color w:val="auto"/>
          <w:highlight w:val="none"/>
        </w:rPr>
        <w:t>3、此表在不改变表式的情况下，可自行制作。</w:t>
      </w:r>
    </w:p>
    <w:p>
      <w:pPr>
        <w:pStyle w:val="2"/>
        <w:spacing w:line="360" w:lineRule="auto"/>
        <w:ind w:firstLine="0"/>
        <w:rPr>
          <w:color w:val="auto"/>
          <w:highlight w:val="none"/>
        </w:rPr>
      </w:pPr>
    </w:p>
    <w:p>
      <w:pPr>
        <w:pStyle w:val="2"/>
        <w:spacing w:line="360" w:lineRule="auto"/>
        <w:ind w:firstLine="0"/>
        <w:rPr>
          <w:color w:val="auto"/>
          <w:highlight w:val="none"/>
        </w:rPr>
      </w:pPr>
    </w:p>
    <w:p>
      <w:pPr>
        <w:spacing w:line="360" w:lineRule="auto"/>
        <w:rPr>
          <w:rFonts w:ascii="宋体" w:hAnsi="宋体"/>
          <w:b/>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highlight w:val="none"/>
        </w:rPr>
      </w:pPr>
      <w:r>
        <w:rPr>
          <w:rFonts w:ascii="宋体" w:hAnsi="宋体"/>
          <w:color w:val="auto"/>
          <w:highlight w:val="none"/>
        </w:rPr>
        <w:br w:type="page"/>
      </w:r>
      <w:r>
        <w:rPr>
          <w:rFonts w:hint="eastAsia" w:ascii="宋体" w:hAnsi="宋体"/>
          <w:color w:val="auto"/>
          <w:highlight w:val="none"/>
        </w:rPr>
        <w:t>附件15：</w:t>
      </w:r>
    </w:p>
    <w:p>
      <w:pPr>
        <w:spacing w:after="312" w:after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类似项目业绩表</w:t>
      </w:r>
    </w:p>
    <w:p>
      <w:pPr>
        <w:spacing w:before="156" w:beforeLines="50" w:after="156" w:afterLines="50" w:line="360" w:lineRule="auto"/>
        <w:rPr>
          <w:rFonts w:ascii="宋体" w:hAnsi="宋体"/>
          <w:color w:val="auto"/>
          <w:szCs w:val="21"/>
          <w:highlight w:val="none"/>
        </w:rPr>
      </w:pPr>
      <w:r>
        <w:rPr>
          <w:rFonts w:hint="eastAsia" w:ascii="宋体" w:hAnsi="宋体"/>
          <w:color w:val="auto"/>
          <w:szCs w:val="21"/>
          <w:highlight w:val="none"/>
        </w:rPr>
        <w:t>投标人全称：</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before="156" w:beforeLines="50" w:after="312" w:afterLines="100"/>
        <w:rPr>
          <w:rFonts w:ascii="宋体" w:hAnsi="宋体"/>
          <w:b/>
          <w:bCs/>
          <w:color w:val="auto"/>
          <w:spacing w:val="20"/>
          <w:szCs w:val="21"/>
          <w:highlight w:val="none"/>
          <w:u w:val="single"/>
        </w:rPr>
      </w:pPr>
      <w:r>
        <w:rPr>
          <w:rFonts w:hint="eastAsia" w:ascii="宋体" w:hAnsi="宋体"/>
          <w:color w:val="auto"/>
          <w:szCs w:val="21"/>
          <w:highlight w:val="none"/>
        </w:rPr>
        <w:t>项目编号：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53"/>
        <w:gridCol w:w="1843"/>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9"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2853"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项目名称</w:t>
            </w:r>
          </w:p>
        </w:tc>
        <w:tc>
          <w:tcPr>
            <w:tcW w:w="1843"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业主名称</w:t>
            </w:r>
          </w:p>
        </w:tc>
        <w:tc>
          <w:tcPr>
            <w:tcW w:w="1134"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合同金额</w:t>
            </w:r>
          </w:p>
        </w:tc>
        <w:tc>
          <w:tcPr>
            <w:tcW w:w="1134"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合同签订时间</w:t>
            </w:r>
          </w:p>
        </w:tc>
        <w:tc>
          <w:tcPr>
            <w:tcW w:w="1417" w:type="dxa"/>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noWrap w:val="0"/>
            <w:vAlign w:val="center"/>
          </w:tcPr>
          <w:p>
            <w:pPr>
              <w:widowControl/>
              <w:jc w:val="center"/>
              <w:rPr>
                <w:rFonts w:ascii="宋体" w:hAnsi="宋体" w:cs="宋体"/>
                <w:color w:val="auto"/>
                <w:kern w:val="0"/>
                <w:szCs w:val="21"/>
                <w:highlight w:val="none"/>
              </w:rPr>
            </w:pPr>
          </w:p>
        </w:tc>
        <w:tc>
          <w:tcPr>
            <w:tcW w:w="2853" w:type="dxa"/>
            <w:noWrap w:val="0"/>
            <w:vAlign w:val="center"/>
          </w:tcPr>
          <w:p>
            <w:pPr>
              <w:widowControl/>
              <w:jc w:val="center"/>
              <w:rPr>
                <w:rFonts w:ascii="宋体" w:hAnsi="宋体" w:cs="宋体"/>
                <w:color w:val="auto"/>
                <w:kern w:val="0"/>
                <w:szCs w:val="21"/>
                <w:highlight w:val="none"/>
              </w:rPr>
            </w:pPr>
          </w:p>
        </w:tc>
        <w:tc>
          <w:tcPr>
            <w:tcW w:w="1843"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134" w:type="dxa"/>
            <w:noWrap w:val="0"/>
            <w:vAlign w:val="center"/>
          </w:tcPr>
          <w:p>
            <w:pPr>
              <w:widowControl/>
              <w:jc w:val="center"/>
              <w:rPr>
                <w:rFonts w:ascii="宋体" w:hAnsi="宋体" w:cs="宋体"/>
                <w:color w:val="auto"/>
                <w:kern w:val="0"/>
                <w:szCs w:val="21"/>
                <w:highlight w:val="none"/>
              </w:rPr>
            </w:pPr>
          </w:p>
        </w:tc>
        <w:tc>
          <w:tcPr>
            <w:tcW w:w="1417" w:type="dxa"/>
            <w:noWrap w:val="0"/>
            <w:vAlign w:val="center"/>
          </w:tcPr>
          <w:p>
            <w:pPr>
              <w:widowControl/>
              <w:jc w:val="center"/>
              <w:rPr>
                <w:rFonts w:ascii="宋体" w:hAnsi="宋体" w:cs="宋体"/>
                <w:color w:val="auto"/>
                <w:kern w:val="0"/>
                <w:szCs w:val="21"/>
                <w:highlight w:val="none"/>
              </w:rPr>
            </w:pPr>
          </w:p>
        </w:tc>
      </w:tr>
    </w:tbl>
    <w:p>
      <w:pPr>
        <w:tabs>
          <w:tab w:val="left" w:pos="7740"/>
        </w:tabs>
        <w:spacing w:line="360" w:lineRule="auto"/>
        <w:rPr>
          <w:rFonts w:ascii="宋体" w:hAnsi="宋体"/>
          <w:b/>
          <w:color w:val="auto"/>
          <w:szCs w:val="21"/>
          <w:highlight w:val="none"/>
        </w:rPr>
      </w:pPr>
      <w:r>
        <w:rPr>
          <w:rFonts w:hint="eastAsia" w:ascii="宋体" w:hAnsi="宋体"/>
          <w:b/>
          <w:color w:val="auto"/>
          <w:szCs w:val="21"/>
          <w:highlight w:val="none"/>
        </w:rPr>
        <w:t>说明：</w:t>
      </w:r>
    </w:p>
    <w:p>
      <w:pPr>
        <w:pStyle w:val="2"/>
        <w:spacing w:line="360" w:lineRule="auto"/>
        <w:ind w:firstLine="0"/>
        <w:rPr>
          <w:color w:val="auto"/>
          <w:highlight w:val="none"/>
        </w:rPr>
      </w:pPr>
      <w:r>
        <w:rPr>
          <w:rFonts w:hint="eastAsia"/>
          <w:color w:val="auto"/>
          <w:highlight w:val="none"/>
        </w:rPr>
        <w:t>1、提供符合本招标文件要求的类似项目业绩，表后附合同和验收证明复印件（加盖投标人公章），否则相关评分项目不得分。</w:t>
      </w:r>
    </w:p>
    <w:p>
      <w:pPr>
        <w:pStyle w:val="2"/>
        <w:spacing w:line="360" w:lineRule="auto"/>
        <w:ind w:firstLine="0"/>
        <w:rPr>
          <w:color w:val="auto"/>
          <w:highlight w:val="none"/>
        </w:rPr>
      </w:pPr>
      <w:r>
        <w:rPr>
          <w:rFonts w:hint="eastAsia"/>
          <w:color w:val="auto"/>
          <w:highlight w:val="none"/>
        </w:rPr>
        <w:t>2、投标人所提供合同必须是真实有效的。在合同签订前，如采购人经核实后发现与实际情况不符，取消其中标资格，并按有关规定处理。</w:t>
      </w:r>
    </w:p>
    <w:p>
      <w:pPr>
        <w:pStyle w:val="2"/>
        <w:spacing w:line="360" w:lineRule="auto"/>
        <w:ind w:firstLine="0"/>
        <w:rPr>
          <w:color w:val="auto"/>
          <w:highlight w:val="none"/>
        </w:rPr>
      </w:pPr>
      <w:r>
        <w:rPr>
          <w:rFonts w:hint="eastAsia"/>
          <w:color w:val="auto"/>
          <w:highlight w:val="none"/>
        </w:rPr>
        <w:t>3、此表在不改变表式的情况下，可自行制作。</w:t>
      </w:r>
    </w:p>
    <w:p>
      <w:pPr>
        <w:pStyle w:val="2"/>
        <w:spacing w:line="360" w:lineRule="auto"/>
        <w:ind w:firstLine="0"/>
        <w:rPr>
          <w:color w:val="auto"/>
          <w:highlight w:val="none"/>
        </w:rPr>
      </w:pPr>
    </w:p>
    <w:p>
      <w:pPr>
        <w:pStyle w:val="2"/>
        <w:spacing w:line="360" w:lineRule="auto"/>
        <w:ind w:firstLine="0"/>
        <w:rPr>
          <w:color w:val="auto"/>
          <w:highlight w:val="none"/>
        </w:rPr>
      </w:pPr>
    </w:p>
    <w:p>
      <w:pPr>
        <w:spacing w:line="360" w:lineRule="auto"/>
        <w:rPr>
          <w:rFonts w:hint="eastAsia" w:ascii="宋体" w:hAnsi="宋体"/>
          <w:color w:val="auto"/>
          <w:szCs w:val="21"/>
          <w:highlight w:val="none"/>
          <w:u w:val="single"/>
        </w:rPr>
      </w:pPr>
      <w:r>
        <w:rPr>
          <w:rFonts w:hint="eastAsia" w:ascii="宋体" w:hAnsi="宋体"/>
          <w:color w:val="auto"/>
          <w:szCs w:val="21"/>
          <w:highlight w:val="none"/>
        </w:rPr>
        <w:t>法定代表人(或全权代表)签字或盖章：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p>
    <w:p>
      <w:pPr>
        <w:pStyle w:val="12"/>
        <w:rPr>
          <w:rFonts w:hint="eastAsia" w:ascii="宋体" w:hAnsi="宋体"/>
          <w:color w:val="auto"/>
          <w:szCs w:val="21"/>
          <w:highlight w:val="none"/>
          <w:u w:val="single"/>
        </w:rPr>
      </w:pPr>
    </w:p>
    <w:p>
      <w:pPr>
        <w:rPr>
          <w:rFonts w:hint="eastAsia" w:ascii="宋体" w:hAnsi="宋体"/>
          <w:color w:val="auto"/>
          <w:szCs w:val="21"/>
          <w:highlight w:val="none"/>
          <w:u w:val="single"/>
        </w:rPr>
      </w:pPr>
    </w:p>
    <w:p>
      <w:pPr>
        <w:pStyle w:val="12"/>
        <w:rPr>
          <w:rFonts w:hint="eastAsia" w:ascii="宋体" w:hAnsi="宋体"/>
          <w:color w:val="auto"/>
          <w:szCs w:val="21"/>
          <w:highlight w:val="none"/>
          <w:u w:val="single"/>
        </w:rPr>
      </w:pPr>
    </w:p>
    <w:p>
      <w:pPr>
        <w:rPr>
          <w:rFonts w:hint="eastAsia" w:ascii="宋体" w:hAnsi="宋体"/>
          <w:color w:val="auto"/>
          <w:szCs w:val="21"/>
          <w:highlight w:val="none"/>
          <w:u w:val="single"/>
        </w:rPr>
      </w:pPr>
    </w:p>
    <w:p>
      <w:pPr>
        <w:widowControl/>
        <w:wordWrap w:val="0"/>
        <w:jc w:val="center"/>
        <w:rPr>
          <w:rFonts w:hint="eastAsia" w:ascii="宋体" w:hAnsi="宋体" w:cs="宋体"/>
          <w:b/>
          <w:bCs/>
          <w:color w:val="000000"/>
          <w:kern w:val="0"/>
          <w:sz w:val="24"/>
          <w:highlight w:val="none"/>
        </w:rPr>
        <w:sectPr>
          <w:pgSz w:w="11906" w:h="16838"/>
          <w:pgMar w:top="1474" w:right="1418" w:bottom="1418" w:left="1418" w:header="851" w:footer="851" w:gutter="0"/>
          <w:cols w:space="720" w:num="1"/>
          <w:docGrid w:type="linesAndChars" w:linePitch="312" w:charSpace="0"/>
        </w:sectPr>
      </w:pPr>
    </w:p>
    <w:tbl>
      <w:tblPr>
        <w:tblStyle w:val="13"/>
        <w:tblW w:w="15100" w:type="dxa"/>
        <w:tblInd w:w="-176" w:type="dxa"/>
        <w:tblLayout w:type="fixed"/>
        <w:tblCellMar>
          <w:top w:w="0" w:type="dxa"/>
          <w:left w:w="108" w:type="dxa"/>
          <w:bottom w:w="0" w:type="dxa"/>
          <w:right w:w="108" w:type="dxa"/>
        </w:tblCellMar>
      </w:tblPr>
      <w:tblGrid>
        <w:gridCol w:w="2006"/>
        <w:gridCol w:w="1514"/>
        <w:gridCol w:w="1781"/>
        <w:gridCol w:w="1680"/>
        <w:gridCol w:w="1253"/>
        <w:gridCol w:w="1496"/>
        <w:gridCol w:w="1539"/>
        <w:gridCol w:w="1298"/>
        <w:gridCol w:w="1288"/>
        <w:gridCol w:w="1237"/>
        <w:gridCol w:w="8"/>
      </w:tblGrid>
      <w:tr>
        <w:tblPrEx>
          <w:tblCellMar>
            <w:top w:w="0" w:type="dxa"/>
            <w:left w:w="108" w:type="dxa"/>
            <w:bottom w:w="0" w:type="dxa"/>
            <w:right w:w="108" w:type="dxa"/>
          </w:tblCellMar>
        </w:tblPrEx>
        <w:trPr>
          <w:trHeight w:val="244" w:hRule="atLeast"/>
        </w:trPr>
        <w:tc>
          <w:tcPr>
            <w:tcW w:w="15100" w:type="dxa"/>
            <w:gridSpan w:val="11"/>
            <w:tcBorders>
              <w:top w:val="nil"/>
              <w:left w:val="nil"/>
              <w:bottom w:val="nil"/>
              <w:right w:val="nil"/>
            </w:tcBorders>
            <w:noWrap w:val="0"/>
            <w:vAlign w:val="bottom"/>
          </w:tcPr>
          <w:p>
            <w:pPr>
              <w:widowControl/>
              <w:wordWrap w:val="0"/>
              <w:jc w:val="center"/>
              <w:rPr>
                <w:rFonts w:ascii="宋体" w:hAnsi="宋体" w:cs="宋体"/>
                <w:b/>
                <w:bCs/>
                <w:color w:val="000000"/>
                <w:kern w:val="0"/>
                <w:sz w:val="32"/>
                <w:szCs w:val="32"/>
                <w:highlight w:val="none"/>
              </w:rPr>
            </w:pPr>
            <w:r>
              <w:rPr>
                <w:rFonts w:hint="eastAsia" w:ascii="宋体" w:hAnsi="宋体" w:cs="宋体"/>
                <w:b/>
                <w:bCs/>
                <w:color w:val="000000"/>
                <w:kern w:val="0"/>
                <w:sz w:val="24"/>
                <w:highlight w:val="none"/>
              </w:rPr>
              <w:t>中小微行业划型标准规定（根据工信部联企业〔</w:t>
            </w:r>
            <w:r>
              <w:rPr>
                <w:rFonts w:ascii="宋体" w:hAnsi="宋体" w:cs="宋体"/>
                <w:b/>
                <w:bCs/>
                <w:color w:val="000000"/>
                <w:kern w:val="0"/>
                <w:sz w:val="24"/>
                <w:highlight w:val="none"/>
              </w:rPr>
              <w:t>2011</w:t>
            </w:r>
            <w:r>
              <w:rPr>
                <w:rFonts w:hint="eastAsia" w:ascii="宋体" w:hAnsi="宋体" w:cs="宋体"/>
                <w:b/>
                <w:bCs/>
                <w:color w:val="000000"/>
                <w:kern w:val="0"/>
                <w:sz w:val="24"/>
                <w:highlight w:val="none"/>
              </w:rPr>
              <w:t>〕</w:t>
            </w:r>
            <w:r>
              <w:rPr>
                <w:rFonts w:ascii="宋体" w:hAnsi="宋体" w:cs="宋体"/>
                <w:b/>
                <w:bCs/>
                <w:color w:val="000000"/>
                <w:kern w:val="0"/>
                <w:sz w:val="24"/>
                <w:highlight w:val="none"/>
              </w:rPr>
              <w:t>300</w:t>
            </w:r>
            <w:r>
              <w:rPr>
                <w:rFonts w:hint="eastAsia" w:ascii="宋体" w:hAnsi="宋体" w:cs="宋体"/>
                <w:b/>
                <w:bCs/>
                <w:color w:val="000000"/>
                <w:kern w:val="0"/>
                <w:sz w:val="24"/>
                <w:highlight w:val="none"/>
              </w:rPr>
              <w:t>号制定）</w:t>
            </w:r>
          </w:p>
        </w:tc>
      </w:tr>
      <w:tr>
        <w:tblPrEx>
          <w:tblCellMar>
            <w:top w:w="0" w:type="dxa"/>
            <w:left w:w="108" w:type="dxa"/>
            <w:bottom w:w="0" w:type="dxa"/>
            <w:right w:w="108" w:type="dxa"/>
          </w:tblCellMar>
        </w:tblPrEx>
        <w:trPr>
          <w:gridAfter w:val="1"/>
          <w:wAfter w:w="8" w:type="dxa"/>
          <w:trHeight w:val="260" w:hRule="atLeast"/>
        </w:trPr>
        <w:tc>
          <w:tcPr>
            <w:tcW w:w="2006"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wordWrap w:val="0"/>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行业</w:t>
            </w:r>
          </w:p>
        </w:tc>
        <w:tc>
          <w:tcPr>
            <w:tcW w:w="4975" w:type="dxa"/>
            <w:gridSpan w:val="3"/>
            <w:tcBorders>
              <w:top w:val="single" w:color="auto" w:sz="8" w:space="0"/>
              <w:left w:val="nil"/>
              <w:bottom w:val="single" w:color="auto" w:sz="4" w:space="0"/>
              <w:right w:val="single" w:color="000000" w:sz="8" w:space="0"/>
            </w:tcBorders>
            <w:noWrap w:val="0"/>
            <w:vAlign w:val="bottom"/>
          </w:tcPr>
          <w:p>
            <w:pPr>
              <w:widowControl/>
              <w:wordWrap w:val="0"/>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中型企业</w:t>
            </w:r>
          </w:p>
        </w:tc>
        <w:tc>
          <w:tcPr>
            <w:tcW w:w="4288" w:type="dxa"/>
            <w:gridSpan w:val="3"/>
            <w:tcBorders>
              <w:top w:val="single" w:color="auto" w:sz="8" w:space="0"/>
              <w:left w:val="nil"/>
              <w:bottom w:val="single" w:color="auto" w:sz="4" w:space="0"/>
              <w:right w:val="single" w:color="000000" w:sz="8" w:space="0"/>
            </w:tcBorders>
            <w:noWrap w:val="0"/>
            <w:vAlign w:val="bottom"/>
          </w:tcPr>
          <w:p>
            <w:pPr>
              <w:widowControl/>
              <w:wordWrap w:val="0"/>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小型企业</w:t>
            </w:r>
          </w:p>
        </w:tc>
        <w:tc>
          <w:tcPr>
            <w:tcW w:w="3823" w:type="dxa"/>
            <w:gridSpan w:val="3"/>
            <w:tcBorders>
              <w:top w:val="single" w:color="auto" w:sz="8" w:space="0"/>
              <w:left w:val="nil"/>
              <w:bottom w:val="single" w:color="auto" w:sz="4" w:space="0"/>
              <w:right w:val="single" w:color="000000" w:sz="8" w:space="0"/>
            </w:tcBorders>
            <w:noWrap w:val="0"/>
            <w:vAlign w:val="bottom"/>
          </w:tcPr>
          <w:p>
            <w:pPr>
              <w:widowControl/>
              <w:wordWrap w:val="0"/>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微型企业</w:t>
            </w:r>
          </w:p>
        </w:tc>
      </w:tr>
      <w:tr>
        <w:tblPrEx>
          <w:tblCellMar>
            <w:top w:w="0" w:type="dxa"/>
            <w:left w:w="108" w:type="dxa"/>
            <w:bottom w:w="0" w:type="dxa"/>
            <w:right w:w="108" w:type="dxa"/>
          </w:tblCellMar>
        </w:tblPrEx>
        <w:trPr>
          <w:gridAfter w:val="1"/>
          <w:wAfter w:w="8" w:type="dxa"/>
          <w:trHeight w:val="504" w:hRule="atLeast"/>
        </w:trPr>
        <w:tc>
          <w:tcPr>
            <w:tcW w:w="2006"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wordWrap w:val="0"/>
              <w:jc w:val="left"/>
              <w:rPr>
                <w:rFonts w:ascii="宋体" w:hAnsi="宋体" w:cs="宋体"/>
                <w:b/>
                <w:bCs/>
                <w:color w:val="000000"/>
                <w:kern w:val="0"/>
                <w:sz w:val="24"/>
                <w:highlight w:val="none"/>
              </w:rPr>
            </w:pPr>
          </w:p>
        </w:tc>
        <w:tc>
          <w:tcPr>
            <w:tcW w:w="1514"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从业人员</w:t>
            </w:r>
            <w:r>
              <w:rPr>
                <w:rFonts w:ascii="宋体" w:hAnsi="宋体" w:cs="宋体"/>
                <w:color w:val="000000"/>
                <w:kern w:val="0"/>
                <w:sz w:val="20"/>
                <w:highlight w:val="none"/>
              </w:rPr>
              <w:t>X</w:t>
            </w:r>
            <w:r>
              <w:rPr>
                <w:rFonts w:hint="eastAsia" w:ascii="宋体" w:hAnsi="宋体" w:cs="宋体"/>
                <w:color w:val="000000"/>
                <w:kern w:val="0"/>
                <w:sz w:val="20"/>
                <w:highlight w:val="none"/>
              </w:rPr>
              <w:t>（人）</w:t>
            </w:r>
          </w:p>
        </w:tc>
        <w:tc>
          <w:tcPr>
            <w:tcW w:w="1781"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营业收入</w:t>
            </w:r>
            <w:r>
              <w:rPr>
                <w:rFonts w:ascii="宋体" w:hAnsi="宋体" w:cs="宋体"/>
                <w:color w:val="000000"/>
                <w:kern w:val="0"/>
                <w:sz w:val="20"/>
                <w:highlight w:val="none"/>
              </w:rPr>
              <w:t>Y</w:t>
            </w:r>
          </w:p>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（万元）</w:t>
            </w:r>
          </w:p>
        </w:tc>
        <w:tc>
          <w:tcPr>
            <w:tcW w:w="1680" w:type="dxa"/>
            <w:tcBorders>
              <w:top w:val="nil"/>
              <w:left w:val="nil"/>
              <w:bottom w:val="single" w:color="auto" w:sz="4" w:space="0"/>
              <w:right w:val="single" w:color="auto" w:sz="8" w:space="0"/>
            </w:tcBorders>
            <w:noWrap w:val="0"/>
            <w:vAlign w:val="bottom"/>
          </w:tcPr>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资产总额</w:t>
            </w:r>
            <w:r>
              <w:rPr>
                <w:rFonts w:ascii="宋体" w:hAnsi="宋体" w:cs="宋体"/>
                <w:color w:val="000000"/>
                <w:kern w:val="0"/>
                <w:sz w:val="20"/>
                <w:highlight w:val="none"/>
              </w:rPr>
              <w:t>Z</w:t>
            </w:r>
          </w:p>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（万元）</w:t>
            </w:r>
          </w:p>
        </w:tc>
        <w:tc>
          <w:tcPr>
            <w:tcW w:w="1253"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从业人员</w:t>
            </w:r>
            <w:r>
              <w:rPr>
                <w:rFonts w:ascii="宋体" w:hAnsi="宋体" w:cs="宋体"/>
                <w:color w:val="000000"/>
                <w:kern w:val="0"/>
                <w:sz w:val="20"/>
                <w:highlight w:val="none"/>
              </w:rPr>
              <w:t>X</w:t>
            </w:r>
            <w:r>
              <w:rPr>
                <w:rFonts w:hint="eastAsia" w:ascii="宋体" w:hAnsi="宋体" w:cs="宋体"/>
                <w:color w:val="000000"/>
                <w:kern w:val="0"/>
                <w:sz w:val="20"/>
                <w:highlight w:val="none"/>
              </w:rPr>
              <w:t>（人）</w:t>
            </w:r>
          </w:p>
        </w:tc>
        <w:tc>
          <w:tcPr>
            <w:tcW w:w="1496"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营业收入</w:t>
            </w:r>
            <w:r>
              <w:rPr>
                <w:rFonts w:ascii="宋体" w:hAnsi="宋体" w:cs="宋体"/>
                <w:color w:val="000000"/>
                <w:kern w:val="0"/>
                <w:sz w:val="20"/>
                <w:highlight w:val="none"/>
              </w:rPr>
              <w:t>Y</w:t>
            </w:r>
          </w:p>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（万元）</w:t>
            </w:r>
          </w:p>
        </w:tc>
        <w:tc>
          <w:tcPr>
            <w:tcW w:w="1539" w:type="dxa"/>
            <w:tcBorders>
              <w:top w:val="nil"/>
              <w:left w:val="nil"/>
              <w:bottom w:val="single" w:color="auto" w:sz="4" w:space="0"/>
              <w:right w:val="single" w:color="auto" w:sz="8" w:space="0"/>
            </w:tcBorders>
            <w:noWrap w:val="0"/>
            <w:vAlign w:val="bottom"/>
          </w:tcPr>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资产总额</w:t>
            </w:r>
            <w:r>
              <w:rPr>
                <w:rFonts w:ascii="宋体" w:hAnsi="宋体" w:cs="宋体"/>
                <w:color w:val="000000"/>
                <w:kern w:val="0"/>
                <w:sz w:val="20"/>
                <w:highlight w:val="none"/>
              </w:rPr>
              <w:t>Z</w:t>
            </w:r>
          </w:p>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（万元）</w:t>
            </w:r>
          </w:p>
        </w:tc>
        <w:tc>
          <w:tcPr>
            <w:tcW w:w="1298"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从业人员</w:t>
            </w:r>
            <w:r>
              <w:rPr>
                <w:rFonts w:ascii="宋体" w:hAnsi="宋体" w:cs="宋体"/>
                <w:color w:val="000000"/>
                <w:kern w:val="0"/>
                <w:sz w:val="20"/>
                <w:highlight w:val="none"/>
              </w:rPr>
              <w:t>X</w:t>
            </w:r>
            <w:r>
              <w:rPr>
                <w:rFonts w:hint="eastAsia" w:ascii="宋体" w:hAnsi="宋体" w:cs="宋体"/>
                <w:color w:val="000000"/>
                <w:kern w:val="0"/>
                <w:sz w:val="20"/>
                <w:highlight w:val="none"/>
              </w:rPr>
              <w:t>（人）</w:t>
            </w:r>
          </w:p>
        </w:tc>
        <w:tc>
          <w:tcPr>
            <w:tcW w:w="1288" w:type="dxa"/>
            <w:tcBorders>
              <w:top w:val="nil"/>
              <w:left w:val="nil"/>
              <w:bottom w:val="single" w:color="auto" w:sz="4" w:space="0"/>
              <w:right w:val="single" w:color="auto" w:sz="4" w:space="0"/>
            </w:tcBorders>
            <w:noWrap w:val="0"/>
            <w:vAlign w:val="bottom"/>
          </w:tcPr>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营业收入</w:t>
            </w:r>
            <w:r>
              <w:rPr>
                <w:rFonts w:ascii="宋体" w:hAnsi="宋体" w:cs="宋体"/>
                <w:color w:val="000000"/>
                <w:kern w:val="0"/>
                <w:sz w:val="20"/>
                <w:highlight w:val="none"/>
              </w:rPr>
              <w:t>Y</w:t>
            </w:r>
            <w:r>
              <w:rPr>
                <w:rFonts w:hint="eastAsia" w:ascii="宋体" w:hAnsi="宋体" w:cs="宋体"/>
                <w:color w:val="000000"/>
                <w:kern w:val="0"/>
                <w:sz w:val="20"/>
                <w:highlight w:val="none"/>
              </w:rPr>
              <w:t>（万元）</w:t>
            </w:r>
          </w:p>
        </w:tc>
        <w:tc>
          <w:tcPr>
            <w:tcW w:w="1237" w:type="dxa"/>
            <w:tcBorders>
              <w:top w:val="nil"/>
              <w:left w:val="nil"/>
              <w:bottom w:val="single" w:color="auto" w:sz="4" w:space="0"/>
              <w:right w:val="single" w:color="auto" w:sz="8" w:space="0"/>
            </w:tcBorders>
            <w:noWrap w:val="0"/>
            <w:vAlign w:val="bottom"/>
          </w:tcPr>
          <w:p>
            <w:pPr>
              <w:widowControl/>
              <w:wordWrap w:val="0"/>
              <w:jc w:val="center"/>
              <w:rPr>
                <w:rFonts w:ascii="宋体" w:hAnsi="宋体" w:cs="宋体"/>
                <w:color w:val="000000"/>
                <w:kern w:val="0"/>
                <w:sz w:val="20"/>
                <w:highlight w:val="none"/>
              </w:rPr>
            </w:pPr>
            <w:r>
              <w:rPr>
                <w:rFonts w:hint="eastAsia" w:ascii="宋体" w:hAnsi="宋体" w:cs="宋体"/>
                <w:color w:val="000000"/>
                <w:kern w:val="0"/>
                <w:sz w:val="20"/>
                <w:highlight w:val="none"/>
              </w:rPr>
              <w:t>资产总额</w:t>
            </w:r>
            <w:r>
              <w:rPr>
                <w:rFonts w:ascii="宋体" w:hAnsi="宋体" w:cs="宋体"/>
                <w:color w:val="000000"/>
                <w:kern w:val="0"/>
                <w:sz w:val="20"/>
                <w:highlight w:val="none"/>
              </w:rPr>
              <w:t>Z</w:t>
            </w:r>
            <w:r>
              <w:rPr>
                <w:rFonts w:hint="eastAsia" w:ascii="宋体" w:hAnsi="宋体" w:cs="宋体"/>
                <w:color w:val="000000"/>
                <w:kern w:val="0"/>
                <w:sz w:val="20"/>
                <w:highlight w:val="none"/>
              </w:rPr>
              <w:t>（万元）</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 xml:space="preserve"> 1</w:t>
            </w:r>
            <w:r>
              <w:rPr>
                <w:rFonts w:hint="eastAsia" w:ascii="宋体" w:hAnsi="宋体" w:cs="宋体"/>
                <w:color w:val="000000"/>
                <w:kern w:val="0"/>
                <w:sz w:val="20"/>
                <w:highlight w:val="none"/>
              </w:rPr>
              <w:t>、农林牧渔业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 xml:space="preserve"> 500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20000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 xml:space="preserve"> 50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500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50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 xml:space="preserve"> 2</w:t>
            </w:r>
            <w:r>
              <w:rPr>
                <w:rFonts w:hint="eastAsia" w:ascii="宋体" w:hAnsi="宋体" w:cs="宋体"/>
                <w:color w:val="000000"/>
                <w:kern w:val="0"/>
                <w:sz w:val="20"/>
                <w:highlight w:val="none"/>
              </w:rPr>
              <w:t>、工业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300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40000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300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2000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20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 xml:space="preserve"> 3</w:t>
            </w:r>
            <w:r>
              <w:rPr>
                <w:rFonts w:hint="eastAsia" w:ascii="宋体" w:hAnsi="宋体" w:cs="宋体"/>
                <w:color w:val="000000"/>
                <w:kern w:val="0"/>
                <w:sz w:val="20"/>
                <w:highlight w:val="none"/>
              </w:rPr>
              <w:t>、建筑业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6000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80000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5000</w:t>
            </w:r>
            <w:r>
              <w:rPr>
                <w:rFonts w:hint="eastAsia" w:ascii="宋体" w:hAnsi="宋体" w:cs="宋体"/>
                <w:color w:val="000000"/>
                <w:kern w:val="0"/>
                <w:sz w:val="20"/>
                <w:highlight w:val="none"/>
              </w:rPr>
              <w:t>≤</w:t>
            </w:r>
            <w:r>
              <w:rPr>
                <w:rFonts w:ascii="宋体" w:hAnsi="宋体" w:cs="宋体"/>
                <w:color w:val="000000"/>
                <w:kern w:val="0"/>
                <w:sz w:val="20"/>
                <w:highlight w:val="none"/>
              </w:rPr>
              <w:t>Z</w:t>
            </w:r>
            <w:r>
              <w:rPr>
                <w:rFonts w:hint="eastAsia" w:ascii="宋体" w:hAnsi="宋体" w:cs="宋体"/>
                <w:color w:val="000000"/>
                <w:kern w:val="0"/>
                <w:sz w:val="20"/>
                <w:highlight w:val="none"/>
              </w:rPr>
              <w:t>＜</w:t>
            </w:r>
            <w:r>
              <w:rPr>
                <w:rFonts w:ascii="宋体" w:hAnsi="宋体" w:cs="宋体"/>
                <w:color w:val="000000"/>
                <w:kern w:val="0"/>
                <w:sz w:val="20"/>
                <w:highlight w:val="none"/>
              </w:rPr>
              <w:t>80000</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300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6000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 xml:space="preserve"> 300</w:t>
            </w:r>
            <w:r>
              <w:rPr>
                <w:rFonts w:hint="eastAsia" w:ascii="宋体" w:hAnsi="宋体" w:cs="宋体"/>
                <w:color w:val="000000"/>
                <w:kern w:val="0"/>
                <w:sz w:val="20"/>
                <w:highlight w:val="none"/>
              </w:rPr>
              <w:t>≤</w:t>
            </w:r>
            <w:r>
              <w:rPr>
                <w:rFonts w:ascii="宋体" w:hAnsi="宋体" w:cs="宋体"/>
                <w:color w:val="000000"/>
                <w:kern w:val="0"/>
                <w:sz w:val="20"/>
                <w:highlight w:val="none"/>
              </w:rPr>
              <w:t>Z</w:t>
            </w:r>
            <w:r>
              <w:rPr>
                <w:rFonts w:hint="eastAsia" w:ascii="宋体" w:hAnsi="宋体" w:cs="宋体"/>
                <w:color w:val="000000"/>
                <w:kern w:val="0"/>
                <w:sz w:val="20"/>
                <w:highlight w:val="none"/>
              </w:rPr>
              <w:t>＜</w:t>
            </w:r>
            <w:r>
              <w:rPr>
                <w:rFonts w:ascii="宋体" w:hAnsi="宋体" w:cs="宋体"/>
                <w:color w:val="000000"/>
                <w:kern w:val="0"/>
                <w:sz w:val="20"/>
                <w:highlight w:val="none"/>
              </w:rPr>
              <w:t>5000</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Z</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r>
      <w:tr>
        <w:tblPrEx>
          <w:tblCellMar>
            <w:top w:w="0" w:type="dxa"/>
            <w:left w:w="108" w:type="dxa"/>
            <w:bottom w:w="0" w:type="dxa"/>
            <w:right w:w="108" w:type="dxa"/>
          </w:tblCellMar>
        </w:tblPrEx>
        <w:trPr>
          <w:gridAfter w:val="1"/>
          <w:wAfter w:w="8" w:type="dxa"/>
          <w:trHeight w:val="496"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 xml:space="preserve"> 4</w:t>
            </w:r>
            <w:r>
              <w:rPr>
                <w:rFonts w:hint="eastAsia" w:ascii="宋体" w:hAnsi="宋体" w:cs="宋体"/>
                <w:color w:val="000000"/>
                <w:kern w:val="0"/>
                <w:sz w:val="20"/>
                <w:highlight w:val="none"/>
              </w:rPr>
              <w:t>、批发业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 xml:space="preserve"> 20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200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5000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40000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 xml:space="preserve"> 5</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20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5000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5</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 xml:space="preserve"> 5</w:t>
            </w:r>
            <w:r>
              <w:rPr>
                <w:rFonts w:hint="eastAsia" w:ascii="宋体" w:hAnsi="宋体" w:cs="宋体"/>
                <w:color w:val="000000"/>
                <w:kern w:val="0"/>
                <w:sz w:val="20"/>
                <w:highlight w:val="none"/>
              </w:rPr>
              <w:t>、零售业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 xml:space="preserve"> 50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 xml:space="preserve"> 500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20000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50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500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 xml:space="preserve"> 6</w:t>
            </w:r>
            <w:r>
              <w:rPr>
                <w:rFonts w:hint="eastAsia" w:ascii="宋体" w:hAnsi="宋体" w:cs="宋体"/>
                <w:color w:val="000000"/>
                <w:kern w:val="0"/>
                <w:sz w:val="20"/>
                <w:highlight w:val="none"/>
              </w:rPr>
              <w:t>、交通运输业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300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3000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30000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3000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20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V</w:t>
            </w:r>
            <w:r>
              <w:rPr>
                <w:rFonts w:hint="eastAsia" w:ascii="宋体" w:hAnsi="宋体" w:cs="宋体"/>
                <w:color w:val="000000"/>
                <w:kern w:val="0"/>
                <w:sz w:val="20"/>
                <w:highlight w:val="none"/>
              </w:rPr>
              <w:t>＜</w:t>
            </w:r>
            <w:r>
              <w:rPr>
                <w:rFonts w:ascii="宋体" w:hAnsi="宋体" w:cs="宋体"/>
                <w:color w:val="000000"/>
                <w:kern w:val="0"/>
                <w:sz w:val="20"/>
                <w:highlight w:val="none"/>
              </w:rPr>
              <w:t>200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 xml:space="preserve"> 7</w:t>
            </w:r>
            <w:r>
              <w:rPr>
                <w:rFonts w:hint="eastAsia" w:ascii="宋体" w:hAnsi="宋体" w:cs="宋体"/>
                <w:color w:val="000000"/>
                <w:kern w:val="0"/>
                <w:sz w:val="20"/>
                <w:highlight w:val="none"/>
              </w:rPr>
              <w:t>、仓储业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200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30000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20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 xml:space="preserve"> 8</w:t>
            </w:r>
            <w:r>
              <w:rPr>
                <w:rFonts w:hint="eastAsia" w:ascii="宋体" w:hAnsi="宋体" w:cs="宋体"/>
                <w:color w:val="000000"/>
                <w:kern w:val="0"/>
                <w:sz w:val="20"/>
                <w:highlight w:val="none"/>
              </w:rPr>
              <w:t>、邮政业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300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30000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2000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20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 xml:space="preserve"> 9</w:t>
            </w:r>
            <w:r>
              <w:rPr>
                <w:rFonts w:hint="eastAsia" w:ascii="宋体" w:hAnsi="宋体" w:cs="宋体"/>
                <w:color w:val="000000"/>
                <w:kern w:val="0"/>
                <w:sz w:val="20"/>
                <w:highlight w:val="none"/>
              </w:rPr>
              <w:t>、住宿业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2000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10</w:t>
            </w:r>
            <w:r>
              <w:rPr>
                <w:rFonts w:hint="eastAsia" w:ascii="宋体" w:hAnsi="宋体" w:cs="宋体"/>
                <w:color w:val="000000"/>
                <w:kern w:val="0"/>
                <w:sz w:val="20"/>
                <w:highlight w:val="none"/>
              </w:rPr>
              <w:t>、餐饮业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2000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V</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11</w:t>
            </w:r>
            <w:r>
              <w:rPr>
                <w:rFonts w:hint="eastAsia" w:ascii="宋体" w:hAnsi="宋体" w:cs="宋体"/>
                <w:color w:val="000000"/>
                <w:kern w:val="0"/>
                <w:sz w:val="20"/>
                <w:highlight w:val="none"/>
              </w:rPr>
              <w:t>、信息传输业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2000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496"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12</w:t>
            </w:r>
            <w:r>
              <w:rPr>
                <w:rFonts w:hint="eastAsia" w:ascii="宋体" w:hAnsi="宋体" w:cs="宋体"/>
                <w:color w:val="000000"/>
                <w:kern w:val="0"/>
                <w:sz w:val="20"/>
                <w:highlight w:val="none"/>
              </w:rPr>
              <w:t>、软件和信息技术服务业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 xml:space="preserve"> 50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50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13</w:t>
            </w:r>
            <w:r>
              <w:rPr>
                <w:rFonts w:hint="eastAsia" w:ascii="宋体" w:hAnsi="宋体" w:cs="宋体"/>
                <w:color w:val="000000"/>
                <w:kern w:val="0"/>
                <w:sz w:val="20"/>
                <w:highlight w:val="none"/>
              </w:rPr>
              <w:t>、房地产开发经营</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200000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5000</w:t>
            </w:r>
            <w:r>
              <w:rPr>
                <w:rFonts w:hint="eastAsia" w:ascii="宋体" w:hAnsi="宋体" w:cs="宋体"/>
                <w:color w:val="000000"/>
                <w:kern w:val="0"/>
                <w:sz w:val="20"/>
                <w:highlight w:val="none"/>
              </w:rPr>
              <w:t>≤</w:t>
            </w:r>
            <w:r>
              <w:rPr>
                <w:rFonts w:ascii="宋体" w:hAnsi="宋体" w:cs="宋体"/>
                <w:color w:val="000000"/>
                <w:kern w:val="0"/>
                <w:sz w:val="20"/>
                <w:highlight w:val="none"/>
              </w:rPr>
              <w:t>Z</w:t>
            </w:r>
            <w:r>
              <w:rPr>
                <w:rFonts w:hint="eastAsia" w:ascii="宋体" w:hAnsi="宋体" w:cs="宋体"/>
                <w:color w:val="000000"/>
                <w:kern w:val="0"/>
                <w:sz w:val="20"/>
                <w:highlight w:val="none"/>
              </w:rPr>
              <w:t>＜</w:t>
            </w:r>
            <w:r>
              <w:rPr>
                <w:rFonts w:ascii="宋体" w:hAnsi="宋体" w:cs="宋体"/>
                <w:color w:val="000000"/>
                <w:kern w:val="0"/>
                <w:sz w:val="20"/>
                <w:highlight w:val="none"/>
              </w:rPr>
              <w:t>10000</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2000</w:t>
            </w:r>
            <w:r>
              <w:rPr>
                <w:rFonts w:hint="eastAsia" w:ascii="宋体" w:hAnsi="宋体" w:cs="宋体"/>
                <w:color w:val="000000"/>
                <w:kern w:val="0"/>
                <w:sz w:val="20"/>
                <w:highlight w:val="none"/>
              </w:rPr>
              <w:t>≤</w:t>
            </w:r>
            <w:r>
              <w:rPr>
                <w:rFonts w:ascii="宋体" w:hAnsi="宋体" w:cs="宋体"/>
                <w:color w:val="000000"/>
                <w:kern w:val="0"/>
                <w:sz w:val="20"/>
                <w:highlight w:val="none"/>
              </w:rPr>
              <w:t>Z</w:t>
            </w:r>
            <w:r>
              <w:rPr>
                <w:rFonts w:hint="eastAsia" w:ascii="宋体" w:hAnsi="宋体" w:cs="宋体"/>
                <w:color w:val="000000"/>
                <w:kern w:val="0"/>
                <w:sz w:val="20"/>
                <w:highlight w:val="none"/>
              </w:rPr>
              <w:t>＜</w:t>
            </w:r>
            <w:r>
              <w:rPr>
                <w:rFonts w:ascii="宋体" w:hAnsi="宋体" w:cs="宋体"/>
                <w:color w:val="000000"/>
                <w:kern w:val="0"/>
                <w:sz w:val="20"/>
                <w:highlight w:val="none"/>
              </w:rPr>
              <w:t>5000</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Z</w:t>
            </w:r>
            <w:r>
              <w:rPr>
                <w:rFonts w:hint="eastAsia" w:ascii="宋体" w:hAnsi="宋体" w:cs="宋体"/>
                <w:color w:val="000000"/>
                <w:kern w:val="0"/>
                <w:sz w:val="20"/>
                <w:highlight w:val="none"/>
              </w:rPr>
              <w:t>＜</w:t>
            </w:r>
            <w:r>
              <w:rPr>
                <w:rFonts w:ascii="宋体" w:hAnsi="宋体" w:cs="宋体"/>
                <w:color w:val="000000"/>
                <w:kern w:val="0"/>
                <w:sz w:val="20"/>
                <w:highlight w:val="none"/>
              </w:rPr>
              <w:t>2000</w:t>
            </w:r>
          </w:p>
        </w:tc>
      </w:tr>
      <w:tr>
        <w:tblPrEx>
          <w:tblCellMar>
            <w:top w:w="0" w:type="dxa"/>
            <w:left w:w="108" w:type="dxa"/>
            <w:bottom w:w="0" w:type="dxa"/>
            <w:right w:w="108" w:type="dxa"/>
          </w:tblCellMar>
        </w:tblPrEx>
        <w:trPr>
          <w:gridAfter w:val="1"/>
          <w:wAfter w:w="8" w:type="dxa"/>
          <w:trHeight w:val="496"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14</w:t>
            </w:r>
            <w:r>
              <w:rPr>
                <w:rFonts w:hint="eastAsia" w:ascii="宋体" w:hAnsi="宋体" w:cs="宋体"/>
                <w:color w:val="000000"/>
                <w:kern w:val="0"/>
                <w:sz w:val="20"/>
                <w:highlight w:val="none"/>
              </w:rPr>
              <w:t>、物业管理</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300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5000</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500</w:t>
            </w:r>
            <w:r>
              <w:rPr>
                <w:rFonts w:hint="eastAsia" w:ascii="宋体" w:hAnsi="宋体" w:cs="宋体"/>
                <w:color w:val="000000"/>
                <w:kern w:val="0"/>
                <w:sz w:val="20"/>
                <w:highlight w:val="none"/>
              </w:rPr>
              <w:t>≤</w:t>
            </w: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1000</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Y</w:t>
            </w:r>
            <w:r>
              <w:rPr>
                <w:rFonts w:hint="eastAsia" w:ascii="宋体" w:hAnsi="宋体" w:cs="宋体"/>
                <w:color w:val="000000"/>
                <w:kern w:val="0"/>
                <w:sz w:val="20"/>
                <w:highlight w:val="none"/>
              </w:rPr>
              <w:t>＜</w:t>
            </w:r>
            <w:r>
              <w:rPr>
                <w:rFonts w:ascii="宋体" w:hAnsi="宋体" w:cs="宋体"/>
                <w:color w:val="000000"/>
                <w:kern w:val="0"/>
                <w:sz w:val="20"/>
                <w:highlight w:val="none"/>
              </w:rPr>
              <w:t>500</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rPr>
          <w:gridAfter w:val="1"/>
          <w:wAfter w:w="8" w:type="dxa"/>
          <w:trHeight w:val="496" w:hRule="atLeast"/>
        </w:trPr>
        <w:tc>
          <w:tcPr>
            <w:tcW w:w="2006" w:type="dxa"/>
            <w:tcBorders>
              <w:top w:val="nil"/>
              <w:left w:val="single" w:color="auto" w:sz="8" w:space="0"/>
              <w:bottom w:val="single" w:color="auto" w:sz="4"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15</w:t>
            </w:r>
            <w:r>
              <w:rPr>
                <w:rFonts w:hint="eastAsia" w:ascii="宋体" w:hAnsi="宋体" w:cs="宋体"/>
                <w:color w:val="000000"/>
                <w:kern w:val="0"/>
                <w:sz w:val="20"/>
                <w:highlight w:val="none"/>
              </w:rPr>
              <w:t>、租赁和商务服务业</w:t>
            </w:r>
          </w:p>
        </w:tc>
        <w:tc>
          <w:tcPr>
            <w:tcW w:w="1514"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781"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680"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8000</w:t>
            </w:r>
            <w:r>
              <w:rPr>
                <w:rFonts w:hint="eastAsia" w:ascii="宋体" w:hAnsi="宋体" w:cs="宋体"/>
                <w:color w:val="000000"/>
                <w:kern w:val="0"/>
                <w:sz w:val="20"/>
                <w:highlight w:val="none"/>
              </w:rPr>
              <w:t>≤</w:t>
            </w:r>
            <w:r>
              <w:rPr>
                <w:rFonts w:ascii="宋体" w:hAnsi="宋体" w:cs="宋体"/>
                <w:color w:val="000000"/>
                <w:kern w:val="0"/>
                <w:sz w:val="20"/>
                <w:highlight w:val="none"/>
              </w:rPr>
              <w:t>Z</w:t>
            </w:r>
            <w:r>
              <w:rPr>
                <w:rFonts w:hint="eastAsia" w:ascii="宋体" w:hAnsi="宋体" w:cs="宋体"/>
                <w:color w:val="000000"/>
                <w:kern w:val="0"/>
                <w:sz w:val="20"/>
                <w:highlight w:val="none"/>
              </w:rPr>
              <w:t>＜</w:t>
            </w:r>
            <w:r>
              <w:rPr>
                <w:rFonts w:ascii="宋体" w:hAnsi="宋体" w:cs="宋体"/>
                <w:color w:val="000000"/>
                <w:kern w:val="0"/>
                <w:sz w:val="20"/>
                <w:highlight w:val="none"/>
              </w:rPr>
              <w:t>120000</w:t>
            </w:r>
          </w:p>
        </w:tc>
        <w:tc>
          <w:tcPr>
            <w:tcW w:w="1253"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496"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39"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 xml:space="preserve"> 100</w:t>
            </w:r>
            <w:r>
              <w:rPr>
                <w:rFonts w:hint="eastAsia" w:ascii="宋体" w:hAnsi="宋体" w:cs="宋体"/>
                <w:color w:val="000000"/>
                <w:kern w:val="0"/>
                <w:sz w:val="20"/>
                <w:highlight w:val="none"/>
              </w:rPr>
              <w:t>≤</w:t>
            </w:r>
            <w:r>
              <w:rPr>
                <w:rFonts w:ascii="宋体" w:hAnsi="宋体" w:cs="宋体"/>
                <w:color w:val="000000"/>
                <w:kern w:val="0"/>
                <w:sz w:val="20"/>
                <w:highlight w:val="none"/>
              </w:rPr>
              <w:t>Z</w:t>
            </w:r>
            <w:r>
              <w:rPr>
                <w:rFonts w:hint="eastAsia" w:ascii="宋体" w:hAnsi="宋体" w:cs="宋体"/>
                <w:color w:val="000000"/>
                <w:kern w:val="0"/>
                <w:sz w:val="20"/>
                <w:highlight w:val="none"/>
              </w:rPr>
              <w:t>＜</w:t>
            </w:r>
            <w:r>
              <w:rPr>
                <w:rFonts w:ascii="宋体" w:hAnsi="宋体" w:cs="宋体"/>
                <w:color w:val="000000"/>
                <w:kern w:val="0"/>
                <w:sz w:val="20"/>
                <w:highlight w:val="none"/>
              </w:rPr>
              <w:t>8000</w:t>
            </w:r>
          </w:p>
        </w:tc>
        <w:tc>
          <w:tcPr>
            <w:tcW w:w="129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w:t>
            </w:r>
          </w:p>
        </w:tc>
        <w:tc>
          <w:tcPr>
            <w:tcW w:w="1288" w:type="dxa"/>
            <w:tcBorders>
              <w:top w:val="nil"/>
              <w:left w:val="nil"/>
              <w:bottom w:val="single" w:color="auto" w:sz="4"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37" w:type="dxa"/>
            <w:tcBorders>
              <w:top w:val="nil"/>
              <w:left w:val="nil"/>
              <w:bottom w:val="single" w:color="auto" w:sz="4" w:space="0"/>
              <w:right w:val="single" w:color="auto" w:sz="8"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Z</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r>
      <w:tr>
        <w:tblPrEx>
          <w:tblCellMar>
            <w:top w:w="0" w:type="dxa"/>
            <w:left w:w="108" w:type="dxa"/>
            <w:bottom w:w="0" w:type="dxa"/>
            <w:right w:w="108" w:type="dxa"/>
          </w:tblCellMar>
        </w:tblPrEx>
        <w:trPr>
          <w:gridAfter w:val="1"/>
          <w:wAfter w:w="8" w:type="dxa"/>
          <w:trHeight w:val="277" w:hRule="atLeast"/>
        </w:trPr>
        <w:tc>
          <w:tcPr>
            <w:tcW w:w="2006" w:type="dxa"/>
            <w:tcBorders>
              <w:top w:val="nil"/>
              <w:left w:val="single" w:color="auto" w:sz="8" w:space="0"/>
              <w:bottom w:val="single" w:color="auto" w:sz="8" w:space="0"/>
              <w:right w:val="single" w:color="auto" w:sz="8" w:space="0"/>
            </w:tcBorders>
            <w:noWrap w:val="0"/>
            <w:vAlign w:val="bottom"/>
          </w:tcPr>
          <w:p>
            <w:pPr>
              <w:widowControl/>
              <w:wordWrap w:val="0"/>
              <w:jc w:val="left"/>
              <w:rPr>
                <w:rFonts w:ascii="宋体" w:hAnsi="宋体" w:cs="宋体"/>
                <w:color w:val="000000"/>
                <w:kern w:val="0"/>
                <w:sz w:val="20"/>
                <w:highlight w:val="none"/>
              </w:rPr>
            </w:pPr>
            <w:r>
              <w:rPr>
                <w:rFonts w:ascii="宋体" w:hAnsi="宋体" w:cs="宋体"/>
                <w:color w:val="000000"/>
                <w:kern w:val="0"/>
                <w:sz w:val="20"/>
                <w:highlight w:val="none"/>
              </w:rPr>
              <w:t>16</w:t>
            </w:r>
            <w:r>
              <w:rPr>
                <w:rFonts w:hint="eastAsia" w:ascii="宋体" w:hAnsi="宋体" w:cs="宋体"/>
                <w:color w:val="000000"/>
                <w:kern w:val="0"/>
                <w:sz w:val="20"/>
                <w:highlight w:val="none"/>
              </w:rPr>
              <w:t>、其他未列明行业</w:t>
            </w:r>
          </w:p>
        </w:tc>
        <w:tc>
          <w:tcPr>
            <w:tcW w:w="1514" w:type="dxa"/>
            <w:tcBorders>
              <w:top w:val="nil"/>
              <w:left w:val="nil"/>
              <w:bottom w:val="single" w:color="auto" w:sz="8"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300</w:t>
            </w:r>
          </w:p>
        </w:tc>
        <w:tc>
          <w:tcPr>
            <w:tcW w:w="1781" w:type="dxa"/>
            <w:tcBorders>
              <w:top w:val="nil"/>
              <w:left w:val="nil"/>
              <w:bottom w:val="single" w:color="auto" w:sz="8"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680" w:type="dxa"/>
            <w:tcBorders>
              <w:top w:val="nil"/>
              <w:left w:val="nil"/>
              <w:bottom w:val="single" w:color="auto" w:sz="8"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53" w:type="dxa"/>
            <w:tcBorders>
              <w:top w:val="nil"/>
              <w:left w:val="nil"/>
              <w:bottom w:val="single" w:color="auto" w:sz="8"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10</w:t>
            </w:r>
            <w:r>
              <w:rPr>
                <w:rFonts w:hint="eastAsia" w:ascii="宋体" w:hAnsi="宋体" w:cs="宋体"/>
                <w:color w:val="000000"/>
                <w:kern w:val="0"/>
                <w:sz w:val="20"/>
                <w:highlight w:val="none"/>
              </w:rPr>
              <w:t>≤</w:t>
            </w: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100</w:t>
            </w:r>
          </w:p>
        </w:tc>
        <w:tc>
          <w:tcPr>
            <w:tcW w:w="1496" w:type="dxa"/>
            <w:tcBorders>
              <w:top w:val="nil"/>
              <w:left w:val="nil"/>
              <w:bottom w:val="single" w:color="auto" w:sz="8"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539" w:type="dxa"/>
            <w:tcBorders>
              <w:top w:val="nil"/>
              <w:left w:val="nil"/>
              <w:bottom w:val="single" w:color="auto" w:sz="8"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98" w:type="dxa"/>
            <w:tcBorders>
              <w:top w:val="nil"/>
              <w:left w:val="nil"/>
              <w:bottom w:val="single" w:color="auto" w:sz="8" w:space="0"/>
              <w:right w:val="single" w:color="auto" w:sz="4" w:space="0"/>
            </w:tcBorders>
            <w:noWrap w:val="0"/>
            <w:vAlign w:val="center"/>
          </w:tcPr>
          <w:p>
            <w:pPr>
              <w:widowControl/>
              <w:wordWrap w:val="0"/>
              <w:rPr>
                <w:rFonts w:ascii="宋体" w:hAnsi="宋体" w:cs="宋体"/>
                <w:color w:val="000000"/>
                <w:kern w:val="0"/>
                <w:sz w:val="20"/>
                <w:highlight w:val="none"/>
              </w:rPr>
            </w:pPr>
            <w:r>
              <w:rPr>
                <w:rFonts w:ascii="宋体" w:hAnsi="宋体" w:cs="宋体"/>
                <w:color w:val="000000"/>
                <w:kern w:val="0"/>
                <w:sz w:val="20"/>
                <w:highlight w:val="none"/>
              </w:rPr>
              <w:t>X</w:t>
            </w:r>
            <w:r>
              <w:rPr>
                <w:rFonts w:hint="eastAsia" w:ascii="宋体" w:hAnsi="宋体" w:cs="宋体"/>
                <w:color w:val="000000"/>
                <w:kern w:val="0"/>
                <w:sz w:val="20"/>
                <w:highlight w:val="none"/>
              </w:rPr>
              <w:t>＜</w:t>
            </w:r>
            <w:r>
              <w:rPr>
                <w:rFonts w:ascii="宋体" w:hAnsi="宋体" w:cs="宋体"/>
                <w:color w:val="000000"/>
                <w:kern w:val="0"/>
                <w:sz w:val="20"/>
                <w:highlight w:val="none"/>
              </w:rPr>
              <w:t>10</w:t>
            </w:r>
          </w:p>
        </w:tc>
        <w:tc>
          <w:tcPr>
            <w:tcW w:w="1288" w:type="dxa"/>
            <w:tcBorders>
              <w:top w:val="nil"/>
              <w:left w:val="nil"/>
              <w:bottom w:val="single" w:color="auto" w:sz="8" w:space="0"/>
              <w:right w:val="single" w:color="auto" w:sz="4"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c>
          <w:tcPr>
            <w:tcW w:w="1237" w:type="dxa"/>
            <w:tcBorders>
              <w:top w:val="nil"/>
              <w:left w:val="nil"/>
              <w:bottom w:val="single" w:color="auto" w:sz="8" w:space="0"/>
              <w:right w:val="single" w:color="auto" w:sz="8" w:space="0"/>
            </w:tcBorders>
            <w:noWrap w:val="0"/>
            <w:vAlign w:val="center"/>
          </w:tcPr>
          <w:p>
            <w:pPr>
              <w:widowControl/>
              <w:wordWrap w:val="0"/>
              <w:rPr>
                <w:rFonts w:ascii="宋体" w:hAnsi="宋体" w:cs="宋体"/>
                <w:color w:val="000000"/>
                <w:kern w:val="0"/>
                <w:sz w:val="20"/>
                <w:highlight w:val="none"/>
              </w:rPr>
            </w:pPr>
            <w:r>
              <w:rPr>
                <w:rFonts w:hint="eastAsia" w:ascii="宋体" w:hAnsi="宋体" w:cs="宋体"/>
                <w:color w:val="000000"/>
                <w:kern w:val="0"/>
                <w:sz w:val="20"/>
                <w:highlight w:val="none"/>
              </w:rPr>
              <w:t>　</w:t>
            </w:r>
          </w:p>
        </w:tc>
      </w:tr>
      <w:tr>
        <w:tblPrEx>
          <w:tblCellMar>
            <w:top w:w="0" w:type="dxa"/>
            <w:left w:w="108" w:type="dxa"/>
            <w:bottom w:w="0" w:type="dxa"/>
            <w:right w:w="108" w:type="dxa"/>
          </w:tblCellMar>
        </w:tblPrEx>
        <w:trPr>
          <w:trHeight w:val="857" w:hRule="atLeast"/>
        </w:trPr>
        <w:tc>
          <w:tcPr>
            <w:tcW w:w="15100" w:type="dxa"/>
            <w:gridSpan w:val="11"/>
            <w:tcBorders>
              <w:top w:val="nil"/>
              <w:left w:val="nil"/>
              <w:bottom w:val="nil"/>
              <w:right w:val="nil"/>
            </w:tcBorders>
            <w:noWrap w:val="0"/>
            <w:vAlign w:val="bottom"/>
          </w:tcPr>
          <w:p>
            <w:pPr>
              <w:widowControl/>
              <w:wordWrap w:val="0"/>
              <w:jc w:val="left"/>
              <w:rPr>
                <w:rFonts w:ascii="宋体" w:hAnsi="宋体" w:cs="宋体"/>
                <w:color w:val="000000"/>
                <w:kern w:val="0"/>
                <w:sz w:val="20"/>
                <w:highlight w:val="none"/>
              </w:rPr>
            </w:pPr>
            <w:r>
              <w:rPr>
                <w:rFonts w:hint="eastAsia" w:ascii="宋体" w:hAnsi="宋体" w:cs="宋体"/>
                <w:color w:val="000000"/>
                <w:kern w:val="0"/>
                <w:sz w:val="20"/>
                <w:highlight w:val="none"/>
              </w:rPr>
              <w:t>说明　</w:t>
            </w:r>
            <w:r>
              <w:rPr>
                <w:rFonts w:ascii="宋体" w:hAnsi="宋体" w:cs="宋体"/>
                <w:color w:val="000000"/>
                <w:kern w:val="0"/>
                <w:sz w:val="20"/>
                <w:highlight w:val="none"/>
              </w:rPr>
              <w:t>1</w:t>
            </w:r>
            <w:r>
              <w:rPr>
                <w:rFonts w:hint="eastAsia" w:ascii="宋体" w:hAnsi="宋体" w:cs="宋体"/>
                <w:color w:val="000000"/>
                <w:kern w:val="0"/>
                <w:sz w:val="20"/>
                <w:highlight w:val="none"/>
              </w:rPr>
              <w:t>、企业类型的划分以统计部门的统计数据为依据。</w:t>
            </w:r>
          </w:p>
          <w:p>
            <w:pPr>
              <w:widowControl/>
              <w:wordWrap w:val="0"/>
              <w:ind w:firstLine="600" w:firstLineChars="300"/>
              <w:jc w:val="left"/>
              <w:rPr>
                <w:rFonts w:ascii="宋体" w:hAnsi="宋体" w:cs="宋体"/>
                <w:color w:val="000000"/>
                <w:kern w:val="0"/>
                <w:sz w:val="20"/>
                <w:highlight w:val="none"/>
              </w:rPr>
            </w:pPr>
            <w:r>
              <w:rPr>
                <w:rFonts w:ascii="宋体" w:hAnsi="宋体" w:cs="宋体"/>
                <w:color w:val="000000"/>
                <w:kern w:val="0"/>
                <w:sz w:val="20"/>
                <w:highlight w:val="none"/>
              </w:rPr>
              <w:t>2</w:t>
            </w:r>
            <w:r>
              <w:rPr>
                <w:rFonts w:hint="eastAsia" w:ascii="宋体" w:hAnsi="宋体" w:cs="宋体"/>
                <w:color w:val="000000"/>
                <w:kern w:val="0"/>
                <w:sz w:val="20"/>
                <w:highlight w:val="none"/>
              </w:rPr>
              <w:t>、个体工商户和本规定以外的行业，参照本规定进行划型。</w:t>
            </w:r>
          </w:p>
          <w:p>
            <w:pPr>
              <w:widowControl/>
              <w:wordWrap w:val="0"/>
              <w:ind w:firstLine="600" w:firstLineChars="300"/>
              <w:jc w:val="left"/>
              <w:rPr>
                <w:rFonts w:ascii="宋体" w:hAnsi="宋体" w:cs="宋体"/>
                <w:color w:val="000000"/>
                <w:kern w:val="0"/>
                <w:sz w:val="20"/>
                <w:highlight w:val="none"/>
              </w:rPr>
            </w:pPr>
            <w:r>
              <w:rPr>
                <w:rFonts w:ascii="宋体" w:hAnsi="宋体" w:cs="宋体"/>
                <w:color w:val="000000"/>
                <w:kern w:val="0"/>
                <w:sz w:val="20"/>
                <w:highlight w:val="none"/>
              </w:rPr>
              <w:t>3</w:t>
            </w:r>
            <w:r>
              <w:rPr>
                <w:rFonts w:hint="eastAsia" w:ascii="宋体" w:hAnsi="宋体" w:cs="宋体"/>
                <w:color w:val="000000"/>
                <w:kern w:val="0"/>
                <w:sz w:val="20"/>
                <w:highlight w:val="none"/>
              </w:rPr>
              <w:t>、本规定的中型企业标准上限即为大型企业标准的下限。</w:t>
            </w:r>
          </w:p>
        </w:tc>
      </w:tr>
    </w:tbl>
    <w:p>
      <w:pPr>
        <w:rPr>
          <w:color w:val="auto"/>
          <w:highlight w:val="none"/>
        </w:rPr>
      </w:pPr>
    </w:p>
    <w:sectPr>
      <w:pgSz w:w="16838" w:h="11906" w:orient="landscape"/>
      <w:pgMar w:top="1417" w:right="1474" w:bottom="1417" w:left="1418" w:header="851" w:footer="850" w:gutter="0"/>
      <w:paperSrc/>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BatangChe">
    <w:altName w:val="Malgun Gothic"/>
    <w:panose1 w:val="02030609000101010101"/>
    <w:charset w:val="81"/>
    <w:family w:val="modern"/>
    <w:pitch w:val="default"/>
    <w:sig w:usb0="B00002AF" w:usb1="69D77CFB" w:usb2="00000030" w:usb3="00000000" w:csb0="4008009F" w:csb1="DFD70000"/>
  </w:font>
  <w:font w:name="微软雅黑">
    <w:panose1 w:val="020B0503020204020204"/>
    <w:charset w:val="86"/>
    <w:family w:val="swiss"/>
    <w:pitch w:val="default"/>
    <w:sig w:usb0="80000287" w:usb1="2ACF3C50" w:usb2="00000016" w:usb3="00000000" w:csb0="0004001F" w:csb1="00000000"/>
  </w:font>
  <w:font w:name="方正书宋_GBK">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ystem">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305"/>
        <w:tab w:val="center" w:pos="4535"/>
      </w:tabs>
    </w:pPr>
    <w:r>
      <w:tab/>
    </w:r>
    <w:r>
      <w:tab/>
    </w:r>
    <w:r>
      <w:tab/>
    </w:r>
    <w:r>
      <w:fldChar w:fldCharType="begin"/>
    </w:r>
    <w:r>
      <w:instrText xml:space="preserve"> PAGE   \* MERGEFORMAT </w:instrText>
    </w:r>
    <w:r>
      <w:fldChar w:fldCharType="separate"/>
    </w:r>
    <w:r>
      <w:rPr>
        <w:lang w:val="zh-CN"/>
      </w:rPr>
      <w:t>112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DCAA4"/>
    <w:multiLevelType w:val="singleLevel"/>
    <w:tmpl w:val="C20DCAA4"/>
    <w:lvl w:ilvl="0" w:tentative="0">
      <w:start w:val="9"/>
      <w:numFmt w:val="chineseCounting"/>
      <w:suff w:val="nothing"/>
      <w:lvlText w:val="%1、"/>
      <w:lvlJc w:val="left"/>
      <w:rPr>
        <w:rFonts w:hint="eastAsia"/>
      </w:rPr>
    </w:lvl>
  </w:abstractNum>
  <w:abstractNum w:abstractNumId="1">
    <w:nsid w:val="FDA41A44"/>
    <w:multiLevelType w:val="singleLevel"/>
    <w:tmpl w:val="FDA41A44"/>
    <w:lvl w:ilvl="0" w:tentative="0">
      <w:start w:val="1"/>
      <w:numFmt w:val="decimal"/>
      <w:suff w:val="nothing"/>
      <w:lvlText w:val="（%1）"/>
      <w:lvlJc w:val="left"/>
    </w:lvl>
  </w:abstractNum>
  <w:abstractNum w:abstractNumId="2">
    <w:nsid w:val="00000017"/>
    <w:multiLevelType w:val="singleLevel"/>
    <w:tmpl w:val="00000017"/>
    <w:lvl w:ilvl="0" w:tentative="0">
      <w:start w:val="1"/>
      <w:numFmt w:val="decimal"/>
      <w:suff w:val="nothing"/>
      <w:lvlText w:val="%1."/>
      <w:lvlJc w:val="left"/>
    </w:lvl>
  </w:abstractNum>
  <w:abstractNum w:abstractNumId="3">
    <w:nsid w:val="2C37CBC2"/>
    <w:multiLevelType w:val="singleLevel"/>
    <w:tmpl w:val="2C37CBC2"/>
    <w:lvl w:ilvl="0" w:tentative="0">
      <w:start w:val="2"/>
      <w:numFmt w:val="decimal"/>
      <w:suff w:val="space"/>
      <w:lvlText w:val="%1."/>
      <w:lvlJc w:val="left"/>
    </w:lvl>
  </w:abstractNum>
  <w:abstractNum w:abstractNumId="4">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4EBB5C06"/>
    <w:multiLevelType w:val="singleLevel"/>
    <w:tmpl w:val="4EBB5C06"/>
    <w:lvl w:ilvl="0" w:tentative="0">
      <w:start w:val="1"/>
      <w:numFmt w:val="decimal"/>
      <w:suff w:val="nothing"/>
      <w:lvlText w:val="（%1）"/>
      <w:lvlJc w:val="left"/>
    </w:lvl>
  </w:abstractNum>
  <w:abstractNum w:abstractNumId="6">
    <w:nsid w:val="7BD26A88"/>
    <w:multiLevelType w:val="multilevel"/>
    <w:tmpl w:val="7BD26A88"/>
    <w:lvl w:ilvl="0" w:tentative="0">
      <w:start w:val="1"/>
      <w:numFmt w:val="decimal"/>
      <w:lvlText w:val="%1、"/>
      <w:lvlJc w:val="left"/>
      <w:pPr>
        <w:tabs>
          <w:tab w:val="left" w:pos="832"/>
        </w:tabs>
        <w:ind w:left="832" w:hanging="360"/>
      </w:pPr>
      <w:rPr>
        <w:rFonts w:hint="default"/>
        <w:b/>
      </w:r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NDJjNjBmMWNjMzM5YWRmODI0MTY5YThhZmJlMGQifQ=="/>
    <w:docVar w:name="KGWebUrl" w:val="http://183.134.232.69:8090/infrastructure/handlers/weboffice-data.ashx?relId=/upload/IWebOffice/huiqian25889.doc"/>
  </w:docVars>
  <w:rsids>
    <w:rsidRoot w:val="10C40B2E"/>
    <w:rsid w:val="00001AEA"/>
    <w:rsid w:val="00001F8D"/>
    <w:rsid w:val="000673BB"/>
    <w:rsid w:val="000C6DFA"/>
    <w:rsid w:val="001070F5"/>
    <w:rsid w:val="00110202"/>
    <w:rsid w:val="001556FA"/>
    <w:rsid w:val="0019264A"/>
    <w:rsid w:val="001F45A6"/>
    <w:rsid w:val="001F4F16"/>
    <w:rsid w:val="002078D8"/>
    <w:rsid w:val="002214E2"/>
    <w:rsid w:val="00277BFE"/>
    <w:rsid w:val="002976DE"/>
    <w:rsid w:val="002C19ED"/>
    <w:rsid w:val="003074EC"/>
    <w:rsid w:val="00342031"/>
    <w:rsid w:val="00376493"/>
    <w:rsid w:val="003A542F"/>
    <w:rsid w:val="00464084"/>
    <w:rsid w:val="0049314A"/>
    <w:rsid w:val="004C5F82"/>
    <w:rsid w:val="0053299B"/>
    <w:rsid w:val="00555EB4"/>
    <w:rsid w:val="00581A06"/>
    <w:rsid w:val="00581B44"/>
    <w:rsid w:val="005C73A6"/>
    <w:rsid w:val="00644F2B"/>
    <w:rsid w:val="00672801"/>
    <w:rsid w:val="006847BB"/>
    <w:rsid w:val="006C1E01"/>
    <w:rsid w:val="006C36CE"/>
    <w:rsid w:val="006D438C"/>
    <w:rsid w:val="00702882"/>
    <w:rsid w:val="007655C6"/>
    <w:rsid w:val="00797B5A"/>
    <w:rsid w:val="007B6039"/>
    <w:rsid w:val="007F2ECF"/>
    <w:rsid w:val="00821B03"/>
    <w:rsid w:val="00871292"/>
    <w:rsid w:val="0090371A"/>
    <w:rsid w:val="00944AE6"/>
    <w:rsid w:val="0096632E"/>
    <w:rsid w:val="009A2ED5"/>
    <w:rsid w:val="009E78C8"/>
    <w:rsid w:val="009F54C8"/>
    <w:rsid w:val="00A073F5"/>
    <w:rsid w:val="00A606E3"/>
    <w:rsid w:val="00AA09B9"/>
    <w:rsid w:val="00AC755B"/>
    <w:rsid w:val="00AD51D5"/>
    <w:rsid w:val="00B34A9D"/>
    <w:rsid w:val="00B424EB"/>
    <w:rsid w:val="00BC2A9C"/>
    <w:rsid w:val="00BE4793"/>
    <w:rsid w:val="00BF30E8"/>
    <w:rsid w:val="00C06770"/>
    <w:rsid w:val="00C30389"/>
    <w:rsid w:val="00C816D9"/>
    <w:rsid w:val="00CE67B0"/>
    <w:rsid w:val="00D5381C"/>
    <w:rsid w:val="00E70F10"/>
    <w:rsid w:val="00F510F3"/>
    <w:rsid w:val="00F87A28"/>
    <w:rsid w:val="00F945A2"/>
    <w:rsid w:val="00FA472E"/>
    <w:rsid w:val="00FF0559"/>
    <w:rsid w:val="01430DE1"/>
    <w:rsid w:val="018067FB"/>
    <w:rsid w:val="01E310B9"/>
    <w:rsid w:val="01FB17A3"/>
    <w:rsid w:val="024F141E"/>
    <w:rsid w:val="039E740C"/>
    <w:rsid w:val="05504736"/>
    <w:rsid w:val="06420C38"/>
    <w:rsid w:val="06471F26"/>
    <w:rsid w:val="073778AF"/>
    <w:rsid w:val="0A2D6ED4"/>
    <w:rsid w:val="0A9E51BA"/>
    <w:rsid w:val="0C770C50"/>
    <w:rsid w:val="0D374CF0"/>
    <w:rsid w:val="0D606368"/>
    <w:rsid w:val="0D892E9F"/>
    <w:rsid w:val="0E672C2F"/>
    <w:rsid w:val="0F04250C"/>
    <w:rsid w:val="10C40B2E"/>
    <w:rsid w:val="11100256"/>
    <w:rsid w:val="11CE017F"/>
    <w:rsid w:val="122B332B"/>
    <w:rsid w:val="125138D3"/>
    <w:rsid w:val="12B44A13"/>
    <w:rsid w:val="12B55D3A"/>
    <w:rsid w:val="1370730C"/>
    <w:rsid w:val="139F28ED"/>
    <w:rsid w:val="147815FB"/>
    <w:rsid w:val="15861D58"/>
    <w:rsid w:val="163E4488"/>
    <w:rsid w:val="1C3B65DD"/>
    <w:rsid w:val="1CB8732D"/>
    <w:rsid w:val="1EBC2869"/>
    <w:rsid w:val="1F141D8D"/>
    <w:rsid w:val="1F5B77C8"/>
    <w:rsid w:val="202D1DEC"/>
    <w:rsid w:val="204E3425"/>
    <w:rsid w:val="2246751B"/>
    <w:rsid w:val="22DC30C2"/>
    <w:rsid w:val="239429C9"/>
    <w:rsid w:val="257D44A6"/>
    <w:rsid w:val="274B28A7"/>
    <w:rsid w:val="2BB956BA"/>
    <w:rsid w:val="2DC16F72"/>
    <w:rsid w:val="2E613C69"/>
    <w:rsid w:val="2F4B4E01"/>
    <w:rsid w:val="2FDF1F8E"/>
    <w:rsid w:val="3029612C"/>
    <w:rsid w:val="329911E1"/>
    <w:rsid w:val="32B55A55"/>
    <w:rsid w:val="347673CF"/>
    <w:rsid w:val="34CB5A03"/>
    <w:rsid w:val="34FE184B"/>
    <w:rsid w:val="35D21337"/>
    <w:rsid w:val="36B70803"/>
    <w:rsid w:val="37BD67D4"/>
    <w:rsid w:val="38D50717"/>
    <w:rsid w:val="3A242699"/>
    <w:rsid w:val="3B4B5B37"/>
    <w:rsid w:val="3BFB487C"/>
    <w:rsid w:val="3DF20F92"/>
    <w:rsid w:val="3DF87F20"/>
    <w:rsid w:val="3FEE7EAC"/>
    <w:rsid w:val="40307BC5"/>
    <w:rsid w:val="419E7FFC"/>
    <w:rsid w:val="420327B1"/>
    <w:rsid w:val="427C747D"/>
    <w:rsid w:val="43DE475D"/>
    <w:rsid w:val="443F2015"/>
    <w:rsid w:val="45F468CD"/>
    <w:rsid w:val="46F0788F"/>
    <w:rsid w:val="47C06F1E"/>
    <w:rsid w:val="4ABD7C9A"/>
    <w:rsid w:val="4B8D1045"/>
    <w:rsid w:val="4D057181"/>
    <w:rsid w:val="4E0F0915"/>
    <w:rsid w:val="4EED7286"/>
    <w:rsid w:val="4F92218D"/>
    <w:rsid w:val="4FB24072"/>
    <w:rsid w:val="514A7FE0"/>
    <w:rsid w:val="523D1DE7"/>
    <w:rsid w:val="525963B1"/>
    <w:rsid w:val="538E5657"/>
    <w:rsid w:val="541C2CD2"/>
    <w:rsid w:val="55747088"/>
    <w:rsid w:val="576F5F0E"/>
    <w:rsid w:val="577129C4"/>
    <w:rsid w:val="5A0F2EE2"/>
    <w:rsid w:val="5AF05724"/>
    <w:rsid w:val="5F917AF1"/>
    <w:rsid w:val="61144A0A"/>
    <w:rsid w:val="61B213B1"/>
    <w:rsid w:val="62265F0C"/>
    <w:rsid w:val="625E1DB9"/>
    <w:rsid w:val="62EF64B1"/>
    <w:rsid w:val="642A53C1"/>
    <w:rsid w:val="65BE4208"/>
    <w:rsid w:val="66EC1DF0"/>
    <w:rsid w:val="682B60AC"/>
    <w:rsid w:val="6B423C79"/>
    <w:rsid w:val="6CAD5DA1"/>
    <w:rsid w:val="6CB343F4"/>
    <w:rsid w:val="6D194713"/>
    <w:rsid w:val="6DC62743"/>
    <w:rsid w:val="6E7756A8"/>
    <w:rsid w:val="6EB2342B"/>
    <w:rsid w:val="6FA11B0D"/>
    <w:rsid w:val="70085387"/>
    <w:rsid w:val="70392C1F"/>
    <w:rsid w:val="705609E4"/>
    <w:rsid w:val="70B86DF1"/>
    <w:rsid w:val="710C38CE"/>
    <w:rsid w:val="71290608"/>
    <w:rsid w:val="725A3960"/>
    <w:rsid w:val="72A165FF"/>
    <w:rsid w:val="73EF73C1"/>
    <w:rsid w:val="74E039E8"/>
    <w:rsid w:val="750D30E8"/>
    <w:rsid w:val="7A0B2CEA"/>
    <w:rsid w:val="7A6D5798"/>
    <w:rsid w:val="7A802251"/>
    <w:rsid w:val="7BDA1655"/>
    <w:rsid w:val="7C1741D9"/>
    <w:rsid w:val="7CBD2FBD"/>
    <w:rsid w:val="7D1378B4"/>
    <w:rsid w:val="7DD87E16"/>
    <w:rsid w:val="7F5279F7"/>
    <w:rsid w:val="7F902A52"/>
    <w:rsid w:val="7FC965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9"/>
    <w:pPr>
      <w:keepNext/>
      <w:keepLines/>
      <w:spacing w:line="720" w:lineRule="exact"/>
      <w:jc w:val="center"/>
      <w:outlineLvl w:val="0"/>
    </w:pPr>
    <w:rPr>
      <w:b/>
      <w:bCs/>
      <w:kern w:val="44"/>
      <w:sz w:val="32"/>
      <w:szCs w:val="44"/>
    </w:rPr>
  </w:style>
  <w:style w:type="paragraph" w:styleId="4">
    <w:name w:val="heading 2"/>
    <w:basedOn w:val="1"/>
    <w:next w:val="1"/>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2">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5">
    <w:name w:val="Body Text Indent"/>
    <w:basedOn w:val="1"/>
    <w:qFormat/>
    <w:uiPriority w:val="0"/>
    <w:pPr>
      <w:spacing w:after="120"/>
      <w:ind w:left="420" w:leftChars="200"/>
    </w:pPr>
    <w:rPr>
      <w:szCs w:val="24"/>
    </w:rPr>
  </w:style>
  <w:style w:type="paragraph" w:styleId="6">
    <w:name w:val="Plain Text"/>
    <w:basedOn w:val="1"/>
    <w:qFormat/>
    <w:uiPriority w:val="0"/>
    <w:rPr>
      <w:rFonts w:ascii="宋体" w:hAnsi="Courier New"/>
      <w:szCs w:val="20"/>
    </w:rPr>
  </w:style>
  <w:style w:type="paragraph" w:styleId="7">
    <w:name w:val="Body Text Indent 2"/>
    <w:basedOn w:val="1"/>
    <w:qFormat/>
    <w:uiPriority w:val="0"/>
    <w:pPr>
      <w:spacing w:line="360" w:lineRule="auto"/>
      <w:ind w:left="420" w:firstLine="482"/>
    </w:pPr>
    <w:rPr>
      <w:rFonts w:ascii="宋体" w:hAnsi="宋体"/>
      <w:b/>
      <w:sz w:val="24"/>
      <w:szCs w:val="24"/>
    </w:rPr>
  </w:style>
  <w:style w:type="paragraph" w:styleId="8">
    <w:name w:val="Balloon Text"/>
    <w:basedOn w:val="1"/>
    <w:link w:val="18"/>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itle"/>
    <w:basedOn w:val="1"/>
    <w:next w:val="1"/>
    <w:qFormat/>
    <w:uiPriority w:val="99"/>
    <w:pPr>
      <w:jc w:val="center"/>
    </w:pPr>
    <w:rPr>
      <w:b/>
      <w:sz w:val="32"/>
      <w:szCs w:val="32"/>
    </w:rPr>
  </w:style>
  <w:style w:type="character" w:styleId="15">
    <w:name w:val="Strong"/>
    <w:qFormat/>
    <w:uiPriority w:val="0"/>
    <w:rPr>
      <w:b/>
      <w:bCs/>
    </w:rPr>
  </w:style>
  <w:style w:type="character" w:styleId="16">
    <w:name w:val="Emphasis"/>
    <w:qFormat/>
    <w:uiPriority w:val="0"/>
    <w:rPr>
      <w:color w:val="CC0000"/>
    </w:rPr>
  </w:style>
  <w:style w:type="character" w:styleId="17">
    <w:name w:val="Hyperlink"/>
    <w:basedOn w:val="14"/>
    <w:unhideWhenUsed/>
    <w:qFormat/>
    <w:uiPriority w:val="99"/>
    <w:rPr>
      <w:color w:val="0000FF"/>
      <w:u w:val="single"/>
    </w:rPr>
  </w:style>
  <w:style w:type="character" w:customStyle="1" w:styleId="18">
    <w:name w:val="批注框文本 Char"/>
    <w:basedOn w:val="14"/>
    <w:link w:val="8"/>
    <w:qFormat/>
    <w:uiPriority w:val="0"/>
    <w:rPr>
      <w:kern w:val="2"/>
      <w:sz w:val="18"/>
      <w:szCs w:val="18"/>
    </w:rPr>
  </w:style>
  <w:style w:type="character" w:customStyle="1" w:styleId="19">
    <w:name w:val="font171"/>
    <w:basedOn w:val="14"/>
    <w:uiPriority w:val="0"/>
    <w:rPr>
      <w:rFonts w:hint="eastAsia" w:ascii="宋体" w:hAnsi="宋体" w:eastAsia="宋体" w:cs="宋体"/>
      <w:color w:val="000000"/>
      <w:sz w:val="18"/>
      <w:szCs w:val="18"/>
      <w:u w:val="none"/>
    </w:rPr>
  </w:style>
  <w:style w:type="character" w:customStyle="1" w:styleId="20">
    <w:name w:val="font51"/>
    <w:basedOn w:val="14"/>
    <w:qFormat/>
    <w:uiPriority w:val="0"/>
    <w:rPr>
      <w:rFonts w:ascii="BatangChe" w:hAnsi="BatangChe" w:eastAsia="BatangChe" w:cs="BatangChe"/>
      <w:color w:val="000000"/>
      <w:sz w:val="20"/>
      <w:szCs w:val="20"/>
      <w:u w:val="none"/>
    </w:rPr>
  </w:style>
  <w:style w:type="character" w:customStyle="1" w:styleId="21">
    <w:name w:val="font91"/>
    <w:basedOn w:val="14"/>
    <w:qFormat/>
    <w:uiPriority w:val="0"/>
    <w:rPr>
      <w:rFonts w:hint="default" w:ascii="Arial" w:hAnsi="Arial" w:cs="Arial"/>
      <w:color w:val="FF0000"/>
      <w:sz w:val="20"/>
      <w:szCs w:val="20"/>
      <w:u w:val="none"/>
    </w:rPr>
  </w:style>
  <w:style w:type="character" w:customStyle="1" w:styleId="22">
    <w:name w:val="font61"/>
    <w:basedOn w:val="14"/>
    <w:qFormat/>
    <w:uiPriority w:val="0"/>
    <w:rPr>
      <w:rFonts w:hint="eastAsia" w:ascii="宋体" w:hAnsi="宋体" w:eastAsia="宋体" w:cs="宋体"/>
      <w:color w:val="000000"/>
      <w:sz w:val="16"/>
      <w:szCs w:val="16"/>
      <w:u w:val="none"/>
    </w:rPr>
  </w:style>
  <w:style w:type="character" w:customStyle="1" w:styleId="23">
    <w:name w:val="font31"/>
    <w:basedOn w:val="14"/>
    <w:qFormat/>
    <w:uiPriority w:val="0"/>
    <w:rPr>
      <w:rFonts w:hint="eastAsia" w:ascii="微软雅黑" w:hAnsi="微软雅黑" w:eastAsia="微软雅黑" w:cs="微软雅黑"/>
      <w:color w:val="000000"/>
      <w:sz w:val="20"/>
      <w:szCs w:val="20"/>
      <w:u w:val="none"/>
    </w:rPr>
  </w:style>
  <w:style w:type="character" w:customStyle="1" w:styleId="24">
    <w:name w:val="font21"/>
    <w:basedOn w:val="14"/>
    <w:qFormat/>
    <w:uiPriority w:val="0"/>
    <w:rPr>
      <w:rFonts w:hint="eastAsia" w:ascii="微软雅黑" w:hAnsi="微软雅黑" w:eastAsia="微软雅黑" w:cs="微软雅黑"/>
      <w:color w:val="000000"/>
      <w:sz w:val="20"/>
      <w:szCs w:val="20"/>
      <w:u w:val="none"/>
    </w:rPr>
  </w:style>
  <w:style w:type="character" w:customStyle="1" w:styleId="25">
    <w:name w:val="font191"/>
    <w:basedOn w:val="14"/>
    <w:uiPriority w:val="0"/>
    <w:rPr>
      <w:rFonts w:ascii="方正书宋_GBK" w:hAnsi="方正书宋_GBK" w:eastAsia="方正书宋_GBK" w:cs="方正书宋_GBK"/>
      <w:color w:val="000000"/>
      <w:sz w:val="20"/>
      <w:szCs w:val="20"/>
      <w:u w:val="none"/>
    </w:rPr>
  </w:style>
  <w:style w:type="character" w:customStyle="1" w:styleId="26">
    <w:name w:val="font41"/>
    <w:basedOn w:val="14"/>
    <w:qFormat/>
    <w:uiPriority w:val="0"/>
    <w:rPr>
      <w:rFonts w:hint="eastAsia" w:ascii="微软雅黑" w:hAnsi="微软雅黑" w:eastAsia="微软雅黑" w:cs="微软雅黑"/>
      <w:color w:val="000000"/>
      <w:sz w:val="20"/>
      <w:szCs w:val="20"/>
      <w:u w:val="none"/>
    </w:rPr>
  </w:style>
  <w:style w:type="character" w:customStyle="1" w:styleId="27">
    <w:name w:val="font81"/>
    <w:basedOn w:val="14"/>
    <w:qFormat/>
    <w:uiPriority w:val="0"/>
    <w:rPr>
      <w:rFonts w:hint="eastAsia" w:ascii="宋体" w:hAnsi="宋体" w:eastAsia="宋体" w:cs="宋体"/>
      <w:color w:val="FF0000"/>
      <w:sz w:val="20"/>
      <w:szCs w:val="20"/>
      <w:u w:val="none"/>
    </w:rPr>
  </w:style>
  <w:style w:type="character" w:customStyle="1" w:styleId="28">
    <w:name w:val="font131"/>
    <w:basedOn w:val="14"/>
    <w:qFormat/>
    <w:uiPriority w:val="0"/>
    <w:rPr>
      <w:rFonts w:hint="eastAsia" w:ascii="宋体" w:hAnsi="宋体" w:eastAsia="宋体" w:cs="宋体"/>
      <w:color w:val="000000"/>
      <w:sz w:val="18"/>
      <w:szCs w:val="18"/>
      <w:u w:val="none"/>
    </w:rPr>
  </w:style>
  <w:style w:type="character" w:customStyle="1" w:styleId="29">
    <w:name w:val="font11"/>
    <w:basedOn w:val="14"/>
    <w:qFormat/>
    <w:uiPriority w:val="0"/>
    <w:rPr>
      <w:rFonts w:hint="eastAsia" w:ascii="微软雅黑" w:hAnsi="微软雅黑" w:eastAsia="微软雅黑" w:cs="微软雅黑"/>
      <w:color w:val="000000"/>
      <w:sz w:val="20"/>
      <w:szCs w:val="20"/>
      <w:u w:val="none"/>
    </w:rPr>
  </w:style>
  <w:style w:type="character" w:customStyle="1" w:styleId="30">
    <w:name w:val="font101"/>
    <w:basedOn w:val="14"/>
    <w:qFormat/>
    <w:uiPriority w:val="0"/>
    <w:rPr>
      <w:rFonts w:hint="eastAsia" w:ascii="宋体" w:hAnsi="宋体" w:eastAsia="宋体" w:cs="宋体"/>
      <w:b/>
      <w:bCs/>
      <w:color w:val="000000"/>
      <w:sz w:val="20"/>
      <w:szCs w:val="20"/>
      <w:u w:val="none"/>
    </w:rPr>
  </w:style>
  <w:style w:type="character" w:customStyle="1" w:styleId="31">
    <w:name w:val="font221"/>
    <w:basedOn w:val="14"/>
    <w:uiPriority w:val="0"/>
    <w:rPr>
      <w:rFonts w:hint="eastAsia" w:ascii="宋体" w:hAnsi="宋体" w:eastAsia="宋体" w:cs="宋体"/>
      <w:color w:val="000000"/>
      <w:sz w:val="20"/>
      <w:szCs w:val="20"/>
      <w:u w:val="none"/>
    </w:rPr>
  </w:style>
  <w:style w:type="character" w:customStyle="1" w:styleId="32">
    <w:name w:val="font01"/>
    <w:basedOn w:val="14"/>
    <w:qFormat/>
    <w:uiPriority w:val="0"/>
    <w:rPr>
      <w:rFonts w:hint="eastAsia" w:ascii="微软雅黑" w:hAnsi="微软雅黑" w:eastAsia="微软雅黑" w:cs="微软雅黑"/>
      <w:color w:val="000000"/>
      <w:sz w:val="20"/>
      <w:szCs w:val="20"/>
      <w:u w:val="none"/>
      <w:vertAlign w:val="superscript"/>
    </w:rPr>
  </w:style>
  <w:style w:type="character" w:customStyle="1" w:styleId="33">
    <w:name w:val="font71"/>
    <w:basedOn w:val="14"/>
    <w:qFormat/>
    <w:uiPriority w:val="0"/>
    <w:rPr>
      <w:rFonts w:hint="default" w:ascii="Arial" w:hAnsi="Arial" w:cs="Arial"/>
      <w:color w:val="000000"/>
      <w:sz w:val="18"/>
      <w:szCs w:val="18"/>
      <w:u w:val="none"/>
    </w:rPr>
  </w:style>
  <w:style w:type="character" w:customStyle="1" w:styleId="34">
    <w:name w:val="font201"/>
    <w:basedOn w:val="14"/>
    <w:uiPriority w:val="0"/>
    <w:rPr>
      <w:rFonts w:ascii="宋体" w:hAnsi="宋体" w:eastAsia="宋体" w:cs="宋体"/>
      <w:color w:val="000000"/>
      <w:sz w:val="20"/>
      <w:szCs w:val="20"/>
      <w:u w:val="none"/>
    </w:rPr>
  </w:style>
  <w:style w:type="character" w:customStyle="1" w:styleId="35">
    <w:name w:val="bookmark-item"/>
    <w:basedOn w:val="14"/>
    <w:qFormat/>
    <w:uiPriority w:val="0"/>
  </w:style>
  <w:style w:type="paragraph" w:customStyle="1" w:styleId="36">
    <w:name w:val="正文1"/>
    <w:basedOn w:val="1"/>
    <w:qFormat/>
    <w:uiPriority w:val="0"/>
    <w:pPr>
      <w:adjustRightInd w:val="0"/>
      <w:spacing w:line="318" w:lineRule="atLeast"/>
      <w:ind w:left="369" w:firstLine="369"/>
      <w:textAlignment w:val="baseline"/>
    </w:pPr>
    <w:rPr>
      <w:rFonts w:ascii="宋体"/>
      <w:szCs w:val="20"/>
    </w:rPr>
  </w:style>
  <w:style w:type="paragraph" w:customStyle="1" w:styleId="37">
    <w:name w:val="普通(网站)1"/>
    <w:basedOn w:val="1"/>
    <w:qFormat/>
    <w:uiPriority w:val="0"/>
    <w:pPr>
      <w:widowControl/>
      <w:spacing w:before="100" w:beforeAutospacing="1" w:after="100" w:afterAutospacing="1"/>
      <w:jc w:val="left"/>
    </w:pPr>
    <w:rPr>
      <w:rFonts w:ascii="宋体" w:hAnsi="宋体"/>
      <w:kern w:val="0"/>
      <w:sz w:val="24"/>
      <w:szCs w:val="24"/>
    </w:rPr>
  </w:style>
  <w:style w:type="paragraph" w:styleId="38">
    <w:name w:val="List Paragraph"/>
    <w:basedOn w:val="1"/>
    <w:qFormat/>
    <w:uiPriority w:val="99"/>
    <w:pPr>
      <w:ind w:firstLine="420" w:firstLineChars="200"/>
    </w:pPr>
  </w:style>
  <w:style w:type="paragraph" w:customStyle="1" w:styleId="39">
    <w:name w:val="纯文本1"/>
    <w:basedOn w:val="1"/>
    <w:qFormat/>
    <w:uiPriority w:val="0"/>
    <w:pPr>
      <w:spacing w:beforeLines="50" w:afterLines="50" w:line="400" w:lineRule="exact"/>
    </w:pPr>
    <w:rPr>
      <w:rFonts w:ascii="宋体" w:hAnsi="Courier New"/>
      <w:sz w:val="24"/>
      <w:szCs w:val="24"/>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media/image2.png" Type="http://schemas.openxmlformats.org/officeDocument/2006/relationships/image"/><Relationship Id="rId12" Target="media/image3.png" Type="http://schemas.openxmlformats.org/officeDocument/2006/relationships/image"/><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175</Pages>
  <Words>101436</Words>
  <Characters>119350</Characters>
  <Lines>971</Lines>
  <Paragraphs>273</Paragraphs>
  <TotalTime>0</TotalTime>
  <ScaleCrop>false</ScaleCrop>
  <LinksUpToDate>false</LinksUpToDate>
  <CharactersWithSpaces>130295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2022-07-19T00:35:00Z</dcterms:created>
  <dc:creator>石静娜</dc:creator>
  <cp:lastModifiedBy>WPS_1701756769</cp:lastModifiedBy>
  <cp:lastPrinted>2022-06-13T02:30:00Z</cp:lastPrinted>
  <dcterms:modified xsi:type="dcterms:W3CDTF">2024-02-22T07:55:12Z</dcterms:modified>
  <cp:revision>2</cp:revision>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E84A79EFB38A4739B96CAF4B84060038_13</vt:lpwstr>
  </property>
</Properties>
</file>