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exact"/>
        <w:rPr>
          <w:rFonts w:ascii="宋体" w:hAnsi="宋体"/>
          <w:b/>
          <w:spacing w:val="-20"/>
          <w:sz w:val="52"/>
          <w:szCs w:val="52"/>
        </w:rPr>
      </w:pPr>
    </w:p>
    <w:p>
      <w:pPr>
        <w:spacing w:line="800" w:lineRule="exact"/>
        <w:jc w:val="center"/>
        <w:rPr>
          <w:rFonts w:ascii="宋体" w:hAnsi="宋体"/>
          <w:b/>
          <w:spacing w:val="-20"/>
          <w:sz w:val="52"/>
          <w:szCs w:val="52"/>
        </w:rPr>
      </w:pPr>
      <w:r>
        <w:rPr>
          <w:rFonts w:hint="eastAsia" w:ascii="宋体" w:hAnsi="宋体"/>
          <w:b/>
          <w:spacing w:val="-20"/>
          <w:sz w:val="52"/>
          <w:szCs w:val="52"/>
        </w:rPr>
        <w:t>宁海县区域卫生互联互通测评信息化</w:t>
      </w:r>
    </w:p>
    <w:p>
      <w:pPr>
        <w:spacing w:line="800" w:lineRule="exact"/>
        <w:jc w:val="center"/>
        <w:rPr>
          <w:rFonts w:ascii="宋体" w:hAnsi="宋体"/>
          <w:b/>
          <w:spacing w:val="-20"/>
          <w:sz w:val="52"/>
          <w:szCs w:val="52"/>
        </w:rPr>
      </w:pPr>
      <w:r>
        <w:rPr>
          <w:rFonts w:hint="eastAsia" w:ascii="宋体" w:hAnsi="宋体"/>
          <w:b/>
          <w:spacing w:val="-20"/>
          <w:sz w:val="52"/>
          <w:szCs w:val="52"/>
        </w:rPr>
        <w:t>建设项目</w:t>
      </w:r>
    </w:p>
    <w:p>
      <w:pPr>
        <w:spacing w:line="800" w:lineRule="exact"/>
        <w:jc w:val="center"/>
        <w:rPr>
          <w:rFonts w:ascii="宋体" w:hAnsi="宋体"/>
          <w:b/>
          <w:sz w:val="44"/>
          <w:szCs w:val="44"/>
        </w:rPr>
      </w:pPr>
      <w:r>
        <w:rPr>
          <w:rFonts w:hint="eastAsia" w:ascii="宋体" w:hAnsi="宋体"/>
          <w:b/>
          <w:sz w:val="44"/>
          <w:szCs w:val="44"/>
        </w:rPr>
        <w:t>项目编号：NBGODOZB419090</w:t>
      </w:r>
    </w:p>
    <w:p>
      <w:pPr>
        <w:jc w:val="center"/>
        <w:rPr>
          <w:rFonts w:ascii="宋体" w:hAnsi="宋体"/>
          <w:b/>
          <w:sz w:val="36"/>
          <w:szCs w:val="36"/>
        </w:rPr>
      </w:pPr>
    </w:p>
    <w:p>
      <w:pPr>
        <w:spacing w:line="240" w:lineRule="exact"/>
        <w:jc w:val="center"/>
        <w:rPr>
          <w:rFonts w:ascii="宋体" w:hAnsi="宋体"/>
          <w:b/>
          <w:sz w:val="36"/>
          <w:szCs w:val="36"/>
          <w:u w:val="single"/>
        </w:rPr>
      </w:pPr>
    </w:p>
    <w:p>
      <w:pPr>
        <w:spacing w:line="240" w:lineRule="exact"/>
        <w:jc w:val="center"/>
        <w:rPr>
          <w:rFonts w:ascii="宋体" w:hAnsi="宋体"/>
          <w:b/>
          <w:sz w:val="36"/>
          <w:szCs w:val="36"/>
          <w:u w:val="single"/>
        </w:rPr>
      </w:pPr>
    </w:p>
    <w:p>
      <w:pPr>
        <w:spacing w:line="240" w:lineRule="exact"/>
        <w:jc w:val="center"/>
        <w:rPr>
          <w:rFonts w:ascii="宋体" w:hAnsi="宋体"/>
          <w:b/>
          <w:sz w:val="36"/>
          <w:szCs w:val="36"/>
          <w:u w:val="single"/>
        </w:rPr>
      </w:pPr>
    </w:p>
    <w:p>
      <w:pPr>
        <w:spacing w:line="240" w:lineRule="exact"/>
        <w:jc w:val="center"/>
        <w:rPr>
          <w:rFonts w:ascii="宋体" w:hAnsi="宋体"/>
          <w:b/>
          <w:sz w:val="36"/>
          <w:szCs w:val="36"/>
          <w:u w:val="single"/>
        </w:rPr>
      </w:pPr>
    </w:p>
    <w:p>
      <w:pPr>
        <w:spacing w:line="240" w:lineRule="exact"/>
        <w:rPr>
          <w:rFonts w:ascii="宋体" w:hAnsi="宋体"/>
          <w:b/>
          <w:sz w:val="36"/>
          <w:szCs w:val="36"/>
          <w:u w:val="single"/>
        </w:rPr>
      </w:pPr>
    </w:p>
    <w:p>
      <w:pPr>
        <w:spacing w:line="240" w:lineRule="exact"/>
        <w:rPr>
          <w:rFonts w:ascii="宋体" w:hAnsi="宋体"/>
          <w:b/>
          <w:sz w:val="36"/>
          <w:szCs w:val="36"/>
          <w:u w:val="single"/>
        </w:rPr>
      </w:pPr>
    </w:p>
    <w:p>
      <w:pPr>
        <w:spacing w:line="240" w:lineRule="exact"/>
        <w:rPr>
          <w:rFonts w:ascii="宋体" w:hAnsi="宋体"/>
          <w:b/>
          <w:sz w:val="36"/>
          <w:szCs w:val="36"/>
          <w:u w:val="single"/>
        </w:rPr>
      </w:pPr>
    </w:p>
    <w:p>
      <w:pPr>
        <w:jc w:val="center"/>
        <w:rPr>
          <w:rFonts w:ascii="宋体" w:hAnsi="宋体"/>
          <w:b/>
          <w:sz w:val="84"/>
          <w:szCs w:val="84"/>
        </w:rPr>
      </w:pPr>
      <w:r>
        <w:rPr>
          <w:rFonts w:hint="eastAsia" w:ascii="宋体" w:hAnsi="宋体"/>
          <w:b/>
          <w:sz w:val="84"/>
          <w:szCs w:val="84"/>
        </w:rPr>
        <w:t>招</w:t>
      </w:r>
    </w:p>
    <w:p>
      <w:pPr>
        <w:jc w:val="center"/>
        <w:rPr>
          <w:rFonts w:ascii="宋体" w:hAnsi="宋体"/>
          <w:b/>
          <w:sz w:val="84"/>
          <w:szCs w:val="84"/>
        </w:rPr>
      </w:pPr>
      <w:r>
        <w:rPr>
          <w:rFonts w:hint="eastAsia" w:ascii="宋体" w:hAnsi="宋体"/>
          <w:b/>
          <w:sz w:val="84"/>
          <w:szCs w:val="84"/>
        </w:rPr>
        <w:t>标</w:t>
      </w:r>
    </w:p>
    <w:p>
      <w:pPr>
        <w:jc w:val="center"/>
        <w:rPr>
          <w:rFonts w:ascii="宋体" w:hAnsi="宋体"/>
          <w:b/>
          <w:sz w:val="84"/>
          <w:szCs w:val="84"/>
        </w:rPr>
      </w:pPr>
      <w:r>
        <w:rPr>
          <w:rFonts w:hint="eastAsia" w:ascii="宋体" w:hAnsi="宋体"/>
          <w:b/>
          <w:sz w:val="84"/>
          <w:szCs w:val="84"/>
        </w:rPr>
        <w:t>文</w:t>
      </w:r>
    </w:p>
    <w:p>
      <w:pPr>
        <w:jc w:val="center"/>
        <w:rPr>
          <w:rFonts w:ascii="宋体" w:hAnsi="宋体"/>
          <w:b/>
          <w:sz w:val="84"/>
          <w:szCs w:val="84"/>
        </w:rPr>
      </w:pPr>
      <w:r>
        <w:rPr>
          <w:rFonts w:hint="eastAsia" w:ascii="宋体" w:hAnsi="宋体"/>
          <w:b/>
          <w:sz w:val="84"/>
          <w:szCs w:val="84"/>
        </w:rPr>
        <w:t>件</w:t>
      </w:r>
    </w:p>
    <w:p>
      <w:pPr>
        <w:spacing w:line="240" w:lineRule="exact"/>
        <w:jc w:val="center"/>
        <w:rPr>
          <w:rFonts w:ascii="宋体" w:hAnsi="宋体"/>
          <w:b/>
          <w:sz w:val="36"/>
          <w:szCs w:val="36"/>
        </w:rPr>
      </w:pPr>
    </w:p>
    <w:p>
      <w:pPr>
        <w:spacing w:line="240" w:lineRule="exact"/>
        <w:jc w:val="center"/>
        <w:rPr>
          <w:rFonts w:ascii="宋体" w:hAnsi="宋体"/>
          <w:b/>
          <w:sz w:val="36"/>
          <w:szCs w:val="36"/>
        </w:rPr>
      </w:pPr>
    </w:p>
    <w:p>
      <w:pPr>
        <w:spacing w:line="240" w:lineRule="exact"/>
        <w:jc w:val="center"/>
        <w:rPr>
          <w:rFonts w:ascii="宋体" w:hAnsi="宋体"/>
          <w:b/>
          <w:sz w:val="36"/>
          <w:szCs w:val="36"/>
        </w:rPr>
      </w:pPr>
    </w:p>
    <w:p>
      <w:pPr>
        <w:spacing w:line="240" w:lineRule="exact"/>
        <w:jc w:val="center"/>
        <w:rPr>
          <w:rFonts w:ascii="宋体" w:hAnsi="宋体"/>
          <w:b/>
          <w:sz w:val="36"/>
          <w:szCs w:val="36"/>
        </w:rPr>
      </w:pPr>
    </w:p>
    <w:p>
      <w:pPr>
        <w:spacing w:line="240" w:lineRule="exact"/>
        <w:jc w:val="center"/>
        <w:rPr>
          <w:rFonts w:ascii="宋体" w:hAnsi="宋体"/>
          <w:b/>
          <w:sz w:val="36"/>
          <w:szCs w:val="36"/>
        </w:rPr>
      </w:pPr>
    </w:p>
    <w:p>
      <w:pPr>
        <w:spacing w:line="240" w:lineRule="exact"/>
        <w:rPr>
          <w:rFonts w:ascii="宋体" w:hAnsi="宋体"/>
          <w:b/>
          <w:sz w:val="36"/>
          <w:szCs w:val="36"/>
        </w:rPr>
      </w:pPr>
    </w:p>
    <w:p>
      <w:pPr>
        <w:spacing w:line="240" w:lineRule="exact"/>
        <w:rPr>
          <w:rFonts w:ascii="宋体" w:hAnsi="宋体"/>
          <w:b/>
          <w:sz w:val="36"/>
          <w:szCs w:val="36"/>
        </w:rPr>
      </w:pPr>
    </w:p>
    <w:p>
      <w:pPr>
        <w:pStyle w:val="22"/>
      </w:pPr>
    </w:p>
    <w:p>
      <w:pPr>
        <w:spacing w:line="240" w:lineRule="exact"/>
        <w:rPr>
          <w:rFonts w:ascii="宋体" w:hAnsi="宋体"/>
          <w:b/>
          <w:sz w:val="36"/>
          <w:szCs w:val="36"/>
        </w:rPr>
      </w:pPr>
    </w:p>
    <w:p>
      <w:pPr>
        <w:tabs>
          <w:tab w:val="left" w:pos="7004"/>
          <w:tab w:val="left" w:pos="7313"/>
        </w:tabs>
        <w:spacing w:line="800" w:lineRule="exact"/>
        <w:jc w:val="center"/>
        <w:rPr>
          <w:rFonts w:ascii="宋体" w:hAnsi="宋体"/>
          <w:b/>
          <w:sz w:val="44"/>
          <w:szCs w:val="44"/>
        </w:rPr>
      </w:pPr>
      <w:r>
        <w:rPr>
          <w:rFonts w:hint="eastAsia" w:ascii="宋体" w:hAnsi="宋体"/>
          <w:b/>
          <w:sz w:val="44"/>
          <w:szCs w:val="44"/>
        </w:rPr>
        <w:t>宁波国际投资咨询有限公司</w:t>
      </w:r>
    </w:p>
    <w:p>
      <w:pPr>
        <w:tabs>
          <w:tab w:val="left" w:pos="7004"/>
          <w:tab w:val="left" w:pos="7313"/>
        </w:tabs>
        <w:spacing w:line="800" w:lineRule="exact"/>
        <w:jc w:val="center"/>
        <w:rPr>
          <w:rFonts w:ascii="宋体" w:hAnsi="宋体"/>
          <w:b/>
          <w:sz w:val="44"/>
          <w:szCs w:val="44"/>
        </w:rPr>
      </w:pPr>
      <w:r>
        <w:rPr>
          <w:rFonts w:hint="eastAsia" w:ascii="宋体" w:hAnsi="宋体"/>
          <w:b/>
          <w:sz w:val="44"/>
          <w:szCs w:val="44"/>
        </w:rPr>
        <w:t>二〇一九年</w:t>
      </w:r>
    </w:p>
    <w:p>
      <w:pPr>
        <w:pStyle w:val="7"/>
        <w:rPr>
          <w:rFonts w:ascii="宋体" w:hAnsi="宋体"/>
          <w:b/>
        </w:rPr>
      </w:pPr>
    </w:p>
    <w:p>
      <w:pPr>
        <w:pStyle w:val="9"/>
        <w:spacing w:beforeLines="0" w:afterLines="0" w:line="360" w:lineRule="auto"/>
        <w:jc w:val="center"/>
        <w:rPr>
          <w:rFonts w:hAnsi="宋体"/>
        </w:rPr>
      </w:pPr>
    </w:p>
    <w:p>
      <w:pPr>
        <w:pStyle w:val="9"/>
        <w:spacing w:beforeLines="0" w:afterLines="0" w:line="360" w:lineRule="auto"/>
        <w:jc w:val="center"/>
        <w:rPr>
          <w:rFonts w:hAnsi="宋体"/>
          <w:sz w:val="44"/>
          <w:szCs w:val="44"/>
        </w:rPr>
      </w:pPr>
      <w:r>
        <w:rPr>
          <w:rFonts w:hint="eastAsia" w:hAnsi="宋体"/>
          <w:sz w:val="44"/>
          <w:szCs w:val="44"/>
        </w:rPr>
        <w:t>目    录</w:t>
      </w:r>
    </w:p>
    <w:p>
      <w:pPr>
        <w:rPr>
          <w:rFonts w:ascii="宋体" w:hAnsi="宋体"/>
          <w:b/>
          <w:sz w:val="28"/>
          <w:szCs w:val="28"/>
        </w:rPr>
      </w:pPr>
    </w:p>
    <w:p>
      <w:pPr>
        <w:spacing w:line="800" w:lineRule="exact"/>
        <w:ind w:left="560"/>
        <w:rPr>
          <w:rFonts w:ascii="宋体" w:hAnsi="宋体"/>
          <w:sz w:val="28"/>
          <w:szCs w:val="28"/>
        </w:rPr>
      </w:pPr>
      <w:r>
        <w:rPr>
          <w:rFonts w:hint="eastAsia" w:ascii="宋体" w:hAnsi="宋体"/>
          <w:sz w:val="28"/>
          <w:szCs w:val="28"/>
        </w:rPr>
        <w:t>第一章  采购公告</w:t>
      </w:r>
    </w:p>
    <w:p>
      <w:pPr>
        <w:spacing w:line="800" w:lineRule="exact"/>
        <w:ind w:left="560"/>
        <w:rPr>
          <w:rFonts w:ascii="宋体" w:hAnsi="宋体"/>
          <w:sz w:val="28"/>
          <w:szCs w:val="28"/>
        </w:rPr>
      </w:pPr>
      <w:r>
        <w:rPr>
          <w:rFonts w:hint="eastAsia" w:ascii="宋体" w:hAnsi="宋体"/>
          <w:sz w:val="28"/>
          <w:szCs w:val="28"/>
        </w:rPr>
        <w:t>第二章  招标需求</w:t>
      </w:r>
    </w:p>
    <w:p>
      <w:pPr>
        <w:spacing w:line="800" w:lineRule="exact"/>
        <w:ind w:left="560"/>
        <w:rPr>
          <w:rFonts w:ascii="宋体" w:hAnsi="宋体"/>
          <w:sz w:val="28"/>
          <w:szCs w:val="28"/>
        </w:rPr>
      </w:pPr>
      <w:r>
        <w:rPr>
          <w:rFonts w:hint="eastAsia" w:ascii="宋体" w:hAnsi="宋体"/>
          <w:sz w:val="28"/>
          <w:szCs w:val="28"/>
        </w:rPr>
        <w:t>第三章  投标人须知</w:t>
      </w:r>
    </w:p>
    <w:p>
      <w:pPr>
        <w:spacing w:line="800" w:lineRule="exact"/>
        <w:ind w:left="560"/>
        <w:rPr>
          <w:rFonts w:ascii="宋体" w:hAnsi="宋体"/>
          <w:sz w:val="28"/>
          <w:szCs w:val="28"/>
        </w:rPr>
      </w:pPr>
      <w:r>
        <w:rPr>
          <w:rFonts w:hint="eastAsia" w:ascii="宋体" w:hAnsi="宋体"/>
          <w:sz w:val="28"/>
          <w:szCs w:val="28"/>
        </w:rPr>
        <w:t>第四章  评标办法及评分标准</w:t>
      </w:r>
    </w:p>
    <w:p>
      <w:pPr>
        <w:spacing w:line="800" w:lineRule="exact"/>
        <w:ind w:left="560"/>
        <w:rPr>
          <w:rFonts w:ascii="宋体" w:hAnsi="宋体"/>
          <w:sz w:val="28"/>
          <w:szCs w:val="28"/>
        </w:rPr>
      </w:pPr>
      <w:r>
        <w:rPr>
          <w:rFonts w:hint="eastAsia" w:ascii="宋体" w:hAnsi="宋体"/>
          <w:sz w:val="28"/>
          <w:szCs w:val="28"/>
        </w:rPr>
        <w:t>第五章  政府采购合同主要条款</w:t>
      </w:r>
    </w:p>
    <w:p>
      <w:pPr>
        <w:spacing w:line="800" w:lineRule="exact"/>
        <w:ind w:left="560"/>
        <w:rPr>
          <w:rFonts w:ascii="宋体" w:hAnsi="宋体"/>
          <w:sz w:val="28"/>
          <w:szCs w:val="28"/>
        </w:rPr>
      </w:pPr>
      <w:r>
        <w:rPr>
          <w:rFonts w:hint="eastAsia" w:ascii="宋体" w:hAnsi="宋体"/>
          <w:sz w:val="28"/>
          <w:szCs w:val="28"/>
        </w:rPr>
        <w:t>第六章  投标文件格式</w:t>
      </w:r>
    </w:p>
    <w:p>
      <w:pPr>
        <w:spacing w:line="600" w:lineRule="exact"/>
        <w:rPr>
          <w:rFonts w:ascii="宋体" w:hAnsi="宋体"/>
          <w:sz w:val="32"/>
          <w:szCs w:val="32"/>
        </w:rPr>
      </w:pPr>
    </w:p>
    <w:p>
      <w:pPr>
        <w:pStyle w:val="9"/>
        <w:snapToGrid w:val="0"/>
        <w:spacing w:beforeLines="0" w:afterLines="0" w:line="240" w:lineRule="auto"/>
        <w:jc w:val="center"/>
        <w:outlineLvl w:val="0"/>
        <w:rPr>
          <w:rFonts w:hAnsi="宋体"/>
          <w:bCs/>
        </w:rPr>
      </w:pPr>
    </w:p>
    <w:p>
      <w:pPr>
        <w:pStyle w:val="9"/>
        <w:snapToGrid w:val="0"/>
        <w:spacing w:beforeLines="0" w:afterLines="0" w:line="240" w:lineRule="auto"/>
        <w:jc w:val="center"/>
        <w:outlineLvl w:val="0"/>
        <w:rPr>
          <w:rFonts w:hAnsi="宋体"/>
          <w:bCs/>
        </w:rPr>
      </w:pPr>
    </w:p>
    <w:p>
      <w:pPr>
        <w:pStyle w:val="9"/>
        <w:snapToGrid w:val="0"/>
        <w:spacing w:beforeLines="0" w:afterLines="0" w:line="240" w:lineRule="auto"/>
        <w:jc w:val="center"/>
        <w:outlineLvl w:val="0"/>
        <w:rPr>
          <w:rFonts w:hAnsi="宋体"/>
          <w:bCs/>
        </w:rPr>
      </w:pPr>
    </w:p>
    <w:p>
      <w:pPr>
        <w:pStyle w:val="9"/>
        <w:snapToGrid w:val="0"/>
        <w:spacing w:beforeLines="0" w:afterLines="0" w:line="240" w:lineRule="auto"/>
        <w:jc w:val="center"/>
        <w:outlineLvl w:val="0"/>
        <w:rPr>
          <w:rFonts w:hAnsi="宋体"/>
          <w:bCs/>
        </w:rPr>
      </w:pPr>
    </w:p>
    <w:p>
      <w:pPr>
        <w:pStyle w:val="9"/>
        <w:snapToGrid w:val="0"/>
        <w:spacing w:beforeLines="0" w:afterLines="0" w:line="240" w:lineRule="auto"/>
        <w:jc w:val="center"/>
        <w:outlineLvl w:val="0"/>
        <w:rPr>
          <w:rFonts w:hAnsi="宋体"/>
          <w:bCs/>
        </w:rPr>
      </w:pPr>
    </w:p>
    <w:p>
      <w:pPr>
        <w:pStyle w:val="9"/>
        <w:snapToGrid w:val="0"/>
        <w:spacing w:beforeLines="0" w:afterLines="0" w:line="240" w:lineRule="auto"/>
        <w:jc w:val="center"/>
        <w:outlineLvl w:val="0"/>
        <w:rPr>
          <w:rFonts w:hAnsi="宋体"/>
          <w:bCs/>
        </w:rPr>
      </w:pPr>
    </w:p>
    <w:p>
      <w:pPr>
        <w:pStyle w:val="9"/>
        <w:snapToGrid w:val="0"/>
        <w:spacing w:beforeLines="0" w:afterLines="0" w:line="240" w:lineRule="auto"/>
        <w:jc w:val="center"/>
        <w:outlineLvl w:val="0"/>
        <w:rPr>
          <w:rFonts w:hAnsi="宋体"/>
          <w:bCs/>
        </w:rPr>
      </w:pPr>
    </w:p>
    <w:p>
      <w:pPr>
        <w:pStyle w:val="9"/>
        <w:snapToGrid w:val="0"/>
        <w:spacing w:beforeLines="0" w:afterLines="0" w:line="240" w:lineRule="auto"/>
        <w:jc w:val="center"/>
        <w:outlineLvl w:val="0"/>
        <w:rPr>
          <w:rFonts w:hAnsi="宋体"/>
          <w:bCs/>
        </w:rPr>
      </w:pPr>
    </w:p>
    <w:p>
      <w:pPr>
        <w:pStyle w:val="9"/>
        <w:snapToGrid w:val="0"/>
        <w:spacing w:beforeLines="0" w:afterLines="0" w:line="240" w:lineRule="auto"/>
        <w:jc w:val="center"/>
        <w:outlineLvl w:val="0"/>
        <w:rPr>
          <w:rFonts w:hAnsi="宋体"/>
          <w:bCs/>
        </w:rPr>
      </w:pPr>
    </w:p>
    <w:p>
      <w:pPr>
        <w:pStyle w:val="9"/>
        <w:snapToGrid w:val="0"/>
        <w:spacing w:beforeLines="0" w:afterLines="0" w:line="240" w:lineRule="auto"/>
        <w:jc w:val="center"/>
        <w:outlineLvl w:val="0"/>
        <w:rPr>
          <w:rFonts w:hAnsi="宋体"/>
          <w:bCs/>
        </w:rPr>
      </w:pPr>
    </w:p>
    <w:p>
      <w:pPr>
        <w:pStyle w:val="9"/>
        <w:snapToGrid w:val="0"/>
        <w:spacing w:beforeLines="0" w:afterLines="0" w:line="240" w:lineRule="auto"/>
        <w:jc w:val="center"/>
        <w:outlineLvl w:val="0"/>
        <w:rPr>
          <w:rFonts w:hAnsi="宋体"/>
          <w:bCs/>
        </w:rPr>
      </w:pPr>
    </w:p>
    <w:p>
      <w:pPr>
        <w:pStyle w:val="9"/>
        <w:snapToGrid w:val="0"/>
        <w:spacing w:beforeLines="0" w:afterLines="0" w:line="240" w:lineRule="auto"/>
        <w:jc w:val="center"/>
        <w:outlineLvl w:val="0"/>
        <w:rPr>
          <w:rFonts w:hAnsi="宋体"/>
          <w:bCs/>
        </w:rPr>
      </w:pPr>
    </w:p>
    <w:p>
      <w:pPr>
        <w:pStyle w:val="9"/>
        <w:snapToGrid w:val="0"/>
        <w:spacing w:beforeLines="0" w:afterLines="0" w:line="240" w:lineRule="auto"/>
        <w:jc w:val="center"/>
        <w:outlineLvl w:val="0"/>
        <w:rPr>
          <w:rFonts w:hAnsi="宋体"/>
          <w:bCs/>
        </w:rPr>
      </w:pPr>
    </w:p>
    <w:p>
      <w:pPr>
        <w:pStyle w:val="9"/>
        <w:snapToGrid w:val="0"/>
        <w:spacing w:beforeLines="0" w:afterLines="0" w:line="240" w:lineRule="auto"/>
        <w:jc w:val="center"/>
        <w:outlineLvl w:val="0"/>
        <w:rPr>
          <w:rFonts w:hAnsi="宋体"/>
          <w:bCs/>
        </w:rPr>
      </w:pPr>
    </w:p>
    <w:p>
      <w:pPr>
        <w:pStyle w:val="9"/>
        <w:snapToGrid w:val="0"/>
        <w:spacing w:beforeLines="0" w:afterLines="0" w:line="240" w:lineRule="auto"/>
        <w:jc w:val="center"/>
        <w:outlineLvl w:val="0"/>
        <w:rPr>
          <w:rFonts w:hAnsi="宋体"/>
          <w:bCs/>
        </w:rPr>
      </w:pPr>
    </w:p>
    <w:p>
      <w:pPr>
        <w:pStyle w:val="9"/>
        <w:snapToGrid w:val="0"/>
        <w:spacing w:beforeLines="0" w:afterLines="0" w:line="240" w:lineRule="auto"/>
        <w:jc w:val="center"/>
        <w:outlineLvl w:val="0"/>
        <w:rPr>
          <w:rFonts w:hAnsi="宋体"/>
          <w:bCs/>
        </w:rPr>
      </w:pPr>
    </w:p>
    <w:p>
      <w:pPr>
        <w:pStyle w:val="9"/>
        <w:snapToGrid w:val="0"/>
        <w:spacing w:beforeLines="0" w:afterLines="0" w:line="240" w:lineRule="auto"/>
        <w:jc w:val="center"/>
        <w:outlineLvl w:val="0"/>
        <w:rPr>
          <w:rFonts w:hAnsi="宋体"/>
          <w:bCs/>
        </w:rPr>
      </w:pPr>
    </w:p>
    <w:p>
      <w:pPr>
        <w:pStyle w:val="9"/>
        <w:snapToGrid w:val="0"/>
        <w:spacing w:beforeLines="0" w:afterLines="0" w:line="240" w:lineRule="auto"/>
        <w:jc w:val="center"/>
        <w:outlineLvl w:val="0"/>
        <w:rPr>
          <w:rFonts w:hAnsi="宋体"/>
          <w:bCs/>
        </w:rPr>
      </w:pPr>
    </w:p>
    <w:p>
      <w:pPr>
        <w:pStyle w:val="9"/>
        <w:snapToGrid w:val="0"/>
        <w:spacing w:beforeLines="0" w:afterLines="0" w:line="240" w:lineRule="auto"/>
        <w:jc w:val="center"/>
        <w:outlineLvl w:val="0"/>
        <w:rPr>
          <w:rFonts w:hAnsi="宋体"/>
          <w:bCs/>
        </w:rPr>
      </w:pPr>
    </w:p>
    <w:p>
      <w:pPr>
        <w:pStyle w:val="9"/>
        <w:snapToGrid w:val="0"/>
        <w:spacing w:beforeLines="0" w:afterLines="0" w:line="240" w:lineRule="auto"/>
        <w:jc w:val="center"/>
        <w:outlineLvl w:val="0"/>
        <w:rPr>
          <w:rFonts w:hAnsi="宋体"/>
          <w:bCs/>
        </w:rPr>
      </w:pPr>
    </w:p>
    <w:p>
      <w:pPr>
        <w:pStyle w:val="9"/>
        <w:snapToGrid w:val="0"/>
        <w:spacing w:beforeLines="0" w:afterLines="0" w:line="240" w:lineRule="auto"/>
        <w:jc w:val="center"/>
        <w:outlineLvl w:val="0"/>
        <w:rPr>
          <w:rFonts w:hAnsi="宋体"/>
          <w:bCs/>
        </w:rPr>
      </w:pPr>
    </w:p>
    <w:p>
      <w:pPr>
        <w:pStyle w:val="9"/>
        <w:snapToGrid w:val="0"/>
        <w:spacing w:beforeLines="0" w:afterLines="0" w:line="240" w:lineRule="auto"/>
        <w:jc w:val="center"/>
        <w:outlineLvl w:val="0"/>
        <w:rPr>
          <w:rFonts w:hAnsi="宋体"/>
          <w:bCs/>
        </w:rPr>
      </w:pPr>
    </w:p>
    <w:p>
      <w:pPr>
        <w:pStyle w:val="9"/>
        <w:snapToGrid w:val="0"/>
        <w:spacing w:beforeLines="0" w:afterLines="0" w:line="240" w:lineRule="auto"/>
        <w:jc w:val="center"/>
        <w:outlineLvl w:val="0"/>
        <w:rPr>
          <w:rFonts w:hAnsi="宋体"/>
          <w:bCs/>
        </w:rPr>
      </w:pPr>
    </w:p>
    <w:p>
      <w:pPr>
        <w:pStyle w:val="9"/>
        <w:snapToGrid w:val="0"/>
        <w:spacing w:beforeLines="0" w:afterLines="0" w:line="240" w:lineRule="auto"/>
        <w:jc w:val="center"/>
        <w:outlineLvl w:val="0"/>
        <w:rPr>
          <w:rFonts w:hAnsi="宋体"/>
          <w:bCs/>
        </w:rPr>
      </w:pPr>
    </w:p>
    <w:p>
      <w:pPr>
        <w:pStyle w:val="9"/>
        <w:snapToGrid w:val="0"/>
        <w:spacing w:beforeLines="0" w:afterLines="0"/>
        <w:jc w:val="center"/>
        <w:outlineLvl w:val="0"/>
        <w:rPr>
          <w:rFonts w:ascii="黑体" w:hAnsi="宋体" w:eastAsia="黑体"/>
          <w:b/>
          <w:bCs/>
          <w:sz w:val="28"/>
          <w:szCs w:val="28"/>
        </w:rPr>
      </w:pPr>
      <w:r>
        <w:rPr>
          <w:rFonts w:hint="eastAsia" w:ascii="黑体" w:hAnsi="宋体" w:eastAsia="黑体"/>
          <w:b/>
          <w:bCs/>
          <w:sz w:val="28"/>
          <w:szCs w:val="28"/>
        </w:rPr>
        <w:t>第一章  采购公告</w:t>
      </w:r>
    </w:p>
    <w:p>
      <w:pPr>
        <w:spacing w:line="400" w:lineRule="exact"/>
        <w:ind w:firstLine="420" w:firstLineChars="200"/>
        <w:rPr>
          <w:rFonts w:ascii="宋体" w:hAnsi="宋体"/>
          <w:szCs w:val="21"/>
        </w:rPr>
      </w:pPr>
      <w:r>
        <w:rPr>
          <w:rFonts w:hint="eastAsia" w:ascii="宋体" w:hAnsi="宋体"/>
          <w:szCs w:val="21"/>
        </w:rPr>
        <w:t>根据《中华人民共和国政府采购法》、《政府采购货物和服务招标投标管理办法》、《中华人民共和国政府采购法实施条例》等规定，宁波国际投资咨询有限公司受</w:t>
      </w:r>
      <w:r>
        <w:rPr>
          <w:rFonts w:hint="eastAsia" w:ascii="宋体" w:hAnsi="宋体"/>
        </w:rPr>
        <w:t>宁海县卫生健康局</w:t>
      </w:r>
      <w:r>
        <w:rPr>
          <w:rFonts w:hint="eastAsia" w:ascii="宋体" w:hAnsi="宋体"/>
          <w:szCs w:val="21"/>
        </w:rPr>
        <w:t>委托，经宁海县财政局批准，现就宁海</w:t>
      </w:r>
      <w:r>
        <w:rPr>
          <w:rFonts w:hint="eastAsia" w:ascii="宋体" w:hAnsi="宋体"/>
          <w:szCs w:val="21"/>
          <w:lang w:eastAsia="zh-CN"/>
        </w:rPr>
        <w:t>县</w:t>
      </w:r>
      <w:r>
        <w:rPr>
          <w:rFonts w:hint="eastAsia" w:ascii="宋体" w:hAnsi="宋体"/>
          <w:szCs w:val="21"/>
        </w:rPr>
        <w:t>区域卫生互联互通测评信息化建设项目</w:t>
      </w:r>
      <w:r>
        <w:rPr>
          <w:rFonts w:ascii="宋体" w:hAnsi="宋体"/>
          <w:szCs w:val="21"/>
        </w:rPr>
        <w:t>进行公开招标，</w:t>
      </w:r>
      <w:r>
        <w:rPr>
          <w:rFonts w:hint="eastAsia" w:ascii="宋体" w:hAnsi="宋体"/>
          <w:szCs w:val="21"/>
        </w:rPr>
        <w:t>欢迎合格的供应商参加投标。</w:t>
      </w:r>
    </w:p>
    <w:p>
      <w:pPr>
        <w:spacing w:line="400" w:lineRule="exact"/>
        <w:ind w:firstLine="420" w:firstLineChars="200"/>
        <w:rPr>
          <w:rFonts w:ascii="宋体" w:hAnsi="宋体"/>
          <w:szCs w:val="21"/>
        </w:rPr>
      </w:pPr>
      <w:r>
        <w:rPr>
          <w:rFonts w:hint="eastAsia" w:ascii="宋体" w:hAnsi="宋体"/>
          <w:szCs w:val="21"/>
        </w:rPr>
        <w:t>一、项目编号：</w:t>
      </w:r>
      <w:r>
        <w:rPr>
          <w:rFonts w:hint="eastAsia" w:ascii="宋体" w:hAnsi="宋体"/>
        </w:rPr>
        <w:t>NBGODOZB419090</w:t>
      </w:r>
    </w:p>
    <w:p>
      <w:pPr>
        <w:spacing w:line="400" w:lineRule="exact"/>
        <w:ind w:firstLine="420" w:firstLineChars="200"/>
        <w:rPr>
          <w:rFonts w:ascii="宋体" w:hAnsi="宋体"/>
          <w:szCs w:val="21"/>
        </w:rPr>
      </w:pPr>
      <w:r>
        <w:rPr>
          <w:rFonts w:hint="eastAsia" w:ascii="宋体" w:hAnsi="宋体"/>
          <w:szCs w:val="21"/>
        </w:rPr>
        <w:t>二、采购组织类型：分散采购</w:t>
      </w:r>
    </w:p>
    <w:p>
      <w:pPr>
        <w:spacing w:line="400" w:lineRule="exact"/>
        <w:ind w:firstLine="420" w:firstLineChars="200"/>
        <w:rPr>
          <w:rFonts w:ascii="宋体" w:hAnsi="宋体"/>
          <w:szCs w:val="21"/>
        </w:rPr>
      </w:pPr>
      <w:r>
        <w:rPr>
          <w:rFonts w:hint="eastAsia" w:ascii="宋体" w:hAnsi="宋体"/>
          <w:szCs w:val="21"/>
        </w:rPr>
        <w:t>三、采购方式及用途：公开招标、自用</w:t>
      </w:r>
    </w:p>
    <w:p>
      <w:pPr>
        <w:spacing w:line="400" w:lineRule="exact"/>
        <w:ind w:firstLine="420" w:firstLineChars="200"/>
        <w:rPr>
          <w:rFonts w:ascii="宋体" w:hAnsi="宋体"/>
          <w:szCs w:val="21"/>
          <w:highlight w:val="yellow"/>
        </w:rPr>
      </w:pPr>
      <w:r>
        <w:rPr>
          <w:rFonts w:hint="eastAsia" w:ascii="宋体" w:hAnsi="宋体"/>
          <w:szCs w:val="21"/>
        </w:rPr>
        <w:t>四、采购数量及技术要求：</w:t>
      </w:r>
      <w:r>
        <w:rPr>
          <w:rFonts w:hint="eastAsia" w:ascii="宋体" w:hAnsi="宋体"/>
        </w:rPr>
        <w:t>宁海</w:t>
      </w:r>
      <w:r>
        <w:rPr>
          <w:rFonts w:hint="eastAsia" w:ascii="宋体" w:hAnsi="宋体"/>
          <w:lang w:eastAsia="zh-CN"/>
        </w:rPr>
        <w:t>县</w:t>
      </w:r>
      <w:r>
        <w:rPr>
          <w:rFonts w:hint="eastAsia" w:ascii="宋体" w:hAnsi="宋体"/>
        </w:rPr>
        <w:t>区域卫生互联互通测评信息化建设项目（具体详见招标需求）</w:t>
      </w:r>
    </w:p>
    <w:p>
      <w:pPr>
        <w:spacing w:line="400" w:lineRule="exact"/>
        <w:ind w:firstLine="420" w:firstLineChars="200"/>
        <w:rPr>
          <w:rFonts w:ascii="宋体" w:hAnsi="宋体"/>
          <w:szCs w:val="21"/>
        </w:rPr>
      </w:pPr>
      <w:r>
        <w:rPr>
          <w:rFonts w:hint="eastAsia" w:ascii="宋体" w:hAnsi="宋体"/>
          <w:szCs w:val="21"/>
        </w:rPr>
        <w:t>五、本项目预算金额：220万元</w:t>
      </w:r>
    </w:p>
    <w:p>
      <w:pPr>
        <w:spacing w:line="400" w:lineRule="exact"/>
        <w:ind w:firstLine="420" w:firstLineChars="200"/>
        <w:rPr>
          <w:rFonts w:ascii="宋体" w:hAnsi="宋体"/>
          <w:szCs w:val="21"/>
        </w:rPr>
      </w:pPr>
      <w:r>
        <w:rPr>
          <w:rFonts w:hint="eastAsia" w:ascii="宋体" w:hAnsi="宋体"/>
          <w:szCs w:val="21"/>
        </w:rPr>
        <w:t>★六、合格投标人的资格要求：</w:t>
      </w:r>
    </w:p>
    <w:p>
      <w:pPr>
        <w:spacing w:line="400" w:lineRule="exact"/>
        <w:ind w:firstLine="420" w:firstLineChars="200"/>
        <w:rPr>
          <w:rFonts w:ascii="宋体" w:hAnsi="宋体"/>
          <w:szCs w:val="21"/>
        </w:rPr>
      </w:pPr>
      <w:r>
        <w:rPr>
          <w:rFonts w:hint="eastAsia" w:ascii="宋体" w:hAnsi="宋体"/>
          <w:szCs w:val="21"/>
        </w:rPr>
        <w:t>1.</w:t>
      </w:r>
      <w:r>
        <w:rPr>
          <w:rFonts w:ascii="宋体" w:hAnsi="宋体"/>
          <w:szCs w:val="21"/>
        </w:rPr>
        <w:t>符合</w:t>
      </w:r>
      <w:r>
        <w:rPr>
          <w:rFonts w:hint="eastAsia" w:ascii="宋体" w:hAnsi="宋体"/>
          <w:szCs w:val="21"/>
        </w:rPr>
        <w:t>《中华人民共和国</w:t>
      </w:r>
      <w:r>
        <w:rPr>
          <w:rFonts w:ascii="宋体" w:hAnsi="宋体"/>
          <w:szCs w:val="21"/>
        </w:rPr>
        <w:t>政府采购法</w:t>
      </w:r>
      <w:r>
        <w:rPr>
          <w:rFonts w:hint="eastAsia" w:ascii="宋体" w:hAnsi="宋体"/>
          <w:szCs w:val="21"/>
        </w:rPr>
        <w:t>》</w:t>
      </w:r>
      <w:r>
        <w:rPr>
          <w:rFonts w:ascii="宋体" w:hAnsi="宋体"/>
          <w:szCs w:val="21"/>
        </w:rPr>
        <w:t>第二十二条规定</w:t>
      </w:r>
      <w:r>
        <w:rPr>
          <w:rFonts w:hint="eastAsia" w:ascii="宋体" w:hAnsi="宋体"/>
          <w:szCs w:val="21"/>
        </w:rPr>
        <w:t>。</w:t>
      </w:r>
    </w:p>
    <w:p>
      <w:pPr>
        <w:spacing w:line="400" w:lineRule="exact"/>
        <w:ind w:firstLine="420" w:firstLineChars="200"/>
        <w:rPr>
          <w:rFonts w:ascii="宋体" w:hAnsi="宋体"/>
          <w:szCs w:val="21"/>
        </w:rPr>
      </w:pPr>
      <w:r>
        <w:rPr>
          <w:rFonts w:hint="eastAsia" w:ascii="宋体" w:hAnsi="宋体"/>
          <w:szCs w:val="21"/>
        </w:rPr>
        <w:t>2.</w:t>
      </w:r>
      <w:r>
        <w:rPr>
          <w:rFonts w:hint="eastAsia" w:ascii="宋体" w:hAnsi="宋体" w:cs="宋体"/>
          <w:color w:val="000000"/>
        </w:rPr>
        <w:t>特定资格条件：无。</w:t>
      </w:r>
    </w:p>
    <w:p>
      <w:pPr>
        <w:spacing w:line="400" w:lineRule="exact"/>
        <w:rPr>
          <w:rFonts w:ascii="宋体" w:hAnsi="宋体"/>
          <w:szCs w:val="21"/>
        </w:rPr>
      </w:pPr>
      <w:r>
        <w:rPr>
          <w:rFonts w:hint="eastAsia" w:ascii="宋体" w:hAnsi="宋体"/>
          <w:szCs w:val="21"/>
        </w:rPr>
        <w:t xml:space="preserve">    3.本项目不接受联合体投标。</w:t>
      </w:r>
    </w:p>
    <w:p>
      <w:pPr>
        <w:spacing w:line="400" w:lineRule="exact"/>
        <w:ind w:firstLine="420" w:firstLineChars="200"/>
        <w:rPr>
          <w:rFonts w:ascii="宋体" w:hAnsi="宋体"/>
          <w:szCs w:val="21"/>
        </w:rPr>
      </w:pPr>
      <w:r>
        <w:rPr>
          <w:rFonts w:hint="eastAsia" w:ascii="宋体" w:hAnsi="宋体"/>
          <w:szCs w:val="21"/>
        </w:rPr>
        <w:t>七、招标文件的发售：</w:t>
      </w:r>
    </w:p>
    <w:p>
      <w:pPr>
        <w:spacing w:line="400" w:lineRule="exact"/>
        <w:ind w:firstLine="420" w:firstLineChars="200"/>
        <w:rPr>
          <w:rFonts w:ascii="宋体" w:hAnsi="宋体"/>
          <w:szCs w:val="21"/>
        </w:rPr>
      </w:pPr>
      <w:r>
        <w:rPr>
          <w:rFonts w:hint="eastAsia" w:ascii="宋体" w:hAnsi="宋体"/>
          <w:szCs w:val="21"/>
        </w:rPr>
        <w:t>1.发售时间：2019年</w:t>
      </w:r>
      <w:r>
        <w:rPr>
          <w:rFonts w:hint="eastAsia" w:ascii="宋体" w:hAnsi="宋体"/>
          <w:szCs w:val="21"/>
          <w:lang w:val="en-US" w:eastAsia="zh-CN"/>
        </w:rPr>
        <w:t>10</w:t>
      </w:r>
      <w:r>
        <w:rPr>
          <w:rFonts w:hint="eastAsia" w:ascii="宋体" w:hAnsi="宋体"/>
          <w:szCs w:val="21"/>
        </w:rPr>
        <w:t>月</w:t>
      </w:r>
      <w:r>
        <w:rPr>
          <w:rFonts w:hint="eastAsia" w:ascii="宋体" w:hAnsi="宋体"/>
          <w:szCs w:val="21"/>
          <w:lang w:val="en-US" w:eastAsia="zh-CN"/>
        </w:rPr>
        <w:t>12</w:t>
      </w:r>
      <w:r>
        <w:rPr>
          <w:rFonts w:hint="eastAsia" w:ascii="宋体" w:hAnsi="宋体"/>
          <w:szCs w:val="21"/>
        </w:rPr>
        <w:t>日至2019年</w:t>
      </w:r>
      <w:r>
        <w:rPr>
          <w:rFonts w:hint="eastAsia" w:ascii="宋体" w:hAnsi="宋体"/>
          <w:szCs w:val="21"/>
          <w:lang w:val="en-US" w:eastAsia="zh-CN"/>
        </w:rPr>
        <w:t>10</w:t>
      </w:r>
      <w:r>
        <w:rPr>
          <w:rFonts w:hint="eastAsia" w:ascii="宋体" w:hAnsi="宋体"/>
          <w:szCs w:val="21"/>
        </w:rPr>
        <w:t>月</w:t>
      </w:r>
      <w:r>
        <w:rPr>
          <w:rFonts w:hint="eastAsia" w:ascii="宋体" w:hAnsi="宋体"/>
          <w:szCs w:val="21"/>
          <w:lang w:val="en-US" w:eastAsia="zh-CN"/>
        </w:rPr>
        <w:t>18</w:t>
      </w:r>
      <w:r>
        <w:rPr>
          <w:rFonts w:hint="eastAsia" w:ascii="宋体" w:hAnsi="宋体"/>
          <w:szCs w:val="21"/>
        </w:rPr>
        <w:t>日，上午8:30-11:15 ；下午13:30-17:00（双休日及法定节假日除外）。</w:t>
      </w:r>
    </w:p>
    <w:p>
      <w:pPr>
        <w:spacing w:line="400" w:lineRule="exact"/>
        <w:ind w:firstLine="420" w:firstLineChars="200"/>
        <w:rPr>
          <w:rFonts w:ascii="宋体" w:hAnsi="宋体"/>
          <w:szCs w:val="21"/>
        </w:rPr>
      </w:pPr>
      <w:r>
        <w:rPr>
          <w:rFonts w:hint="eastAsia" w:ascii="宋体" w:hAnsi="宋体"/>
          <w:szCs w:val="21"/>
        </w:rPr>
        <w:t>2.发售地点：宁波国际投资咨询有限公司（宁海县学勉路1号金融中心2号楼1100室），联系人：王荣、张海强、龚煜橙，联系电话：0574-65323936</w:t>
      </w:r>
      <w:r>
        <w:rPr>
          <w:rFonts w:hint="eastAsia" w:ascii="宋体" w:hAnsi="宋体"/>
          <w:szCs w:val="21"/>
          <w:lang w:val="en-US" w:eastAsia="zh-CN"/>
        </w:rPr>
        <w:t>\18768526167</w:t>
      </w:r>
      <w:r>
        <w:rPr>
          <w:rFonts w:hint="eastAsia" w:ascii="宋体" w:hAnsi="宋体"/>
          <w:szCs w:val="21"/>
        </w:rPr>
        <w:t>，传真：0574-65323936，邮箱：nbgt002@163.com。</w:t>
      </w:r>
    </w:p>
    <w:p>
      <w:pPr>
        <w:spacing w:line="400" w:lineRule="exact"/>
        <w:ind w:firstLine="420" w:firstLineChars="200"/>
        <w:rPr>
          <w:rFonts w:ascii="宋体" w:hAnsi="宋体"/>
          <w:szCs w:val="21"/>
        </w:rPr>
      </w:pPr>
      <w:r>
        <w:rPr>
          <w:rFonts w:hint="eastAsia" w:ascii="宋体" w:hAnsi="宋体"/>
          <w:szCs w:val="21"/>
        </w:rPr>
        <w:t>3.售价：每份500元/套(请勿个人或支付宝汇款)，售后不退。如需邮购，请另付50元人民币特快专递费，并请按下述开户银行及帐号汇款（汇款单上应注明汇款用途及项目编号），本公司不对邮寄过程中的遗失负责。开户银行：招商银行宁海支行。帐号：574906672810601，户名：宁波国际投资咨询有限公司缑城咨询分公司。</w:t>
      </w:r>
    </w:p>
    <w:p>
      <w:pPr>
        <w:spacing w:line="400" w:lineRule="exact"/>
        <w:ind w:firstLine="420" w:firstLineChars="200"/>
        <w:rPr>
          <w:rFonts w:ascii="宋体" w:hAnsi="宋体"/>
          <w:szCs w:val="21"/>
        </w:rPr>
      </w:pPr>
      <w:r>
        <w:rPr>
          <w:rFonts w:hint="eastAsia" w:ascii="宋体" w:hAnsi="宋体"/>
          <w:szCs w:val="21"/>
        </w:rPr>
        <w:t>提示：供应商付款后应及时将汇款底单按上述号码直接传真或发邮件至我公司前台标书发售人员，并在底单上注明需要购买标书的项目编号、子包号、联系人、手机号及QQ邮箱，如未按此要求操作，供应商将有可能不能及时收到招标文件，请给予配合。</w:t>
      </w:r>
    </w:p>
    <w:p>
      <w:pPr>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4.购买招标文件时必须提供的资料：</w:t>
      </w:r>
    </w:p>
    <w:p>
      <w:pPr>
        <w:snapToGrid w:val="0"/>
        <w:spacing w:line="360" w:lineRule="auto"/>
        <w:ind w:firstLine="630" w:firstLineChars="300"/>
        <w:rPr>
          <w:rFonts w:ascii="宋体" w:hAnsi="宋体" w:cs="宋体"/>
          <w:color w:val="000000"/>
          <w:szCs w:val="21"/>
        </w:rPr>
      </w:pPr>
      <w:r>
        <w:rPr>
          <w:rFonts w:hint="eastAsia" w:ascii="宋体" w:hAnsi="宋体" w:cs="宋体"/>
          <w:color w:val="000000"/>
          <w:szCs w:val="21"/>
        </w:rPr>
        <w:t xml:space="preserve"> ①</w:t>
      </w:r>
      <w:r>
        <w:rPr>
          <w:rFonts w:ascii="宋体" w:hAnsi="宋体" w:cs="宋体"/>
          <w:color w:val="000000"/>
          <w:szCs w:val="21"/>
        </w:rPr>
        <w:t>．有效的法人或者其他组织的营业执照等证明文件（复印件加盖公章）；</w:t>
      </w:r>
    </w:p>
    <w:p>
      <w:pPr>
        <w:snapToGrid w:val="0"/>
        <w:spacing w:line="360" w:lineRule="auto"/>
        <w:ind w:firstLine="840" w:firstLineChars="400"/>
        <w:rPr>
          <w:rFonts w:ascii="宋体" w:hAnsi="宋体" w:cs="宋体"/>
          <w:color w:val="000000"/>
          <w:szCs w:val="21"/>
        </w:rPr>
      </w:pPr>
      <w:r>
        <w:rPr>
          <w:rFonts w:hint="eastAsia" w:ascii="宋体" w:hAnsi="宋体" w:cs="宋体"/>
          <w:color w:val="000000"/>
          <w:szCs w:val="21"/>
        </w:rPr>
        <w:t>②</w:t>
      </w:r>
      <w:r>
        <w:rPr>
          <w:rFonts w:ascii="宋体" w:hAnsi="宋体" w:cs="宋体"/>
          <w:color w:val="000000"/>
          <w:szCs w:val="21"/>
        </w:rPr>
        <w:t>．法定代表人授权书，授权委托代表人身份证；</w:t>
      </w:r>
    </w:p>
    <w:p>
      <w:pPr>
        <w:pStyle w:val="22"/>
      </w:pPr>
      <w:r>
        <w:rPr>
          <w:rFonts w:hint="eastAsia" w:hAnsi="宋体" w:cs="宋体"/>
          <w:color w:val="000000"/>
          <w:szCs w:val="21"/>
        </w:rPr>
        <w:t>以上资料复印件必须加盖公章，如有缺漏，本项目采购代理有权拒绝其报名。</w:t>
      </w:r>
    </w:p>
    <w:p>
      <w:pPr>
        <w:spacing w:line="400" w:lineRule="exact"/>
        <w:ind w:firstLine="420" w:firstLineChars="200"/>
        <w:rPr>
          <w:rFonts w:ascii="宋体" w:hAnsi="宋体"/>
          <w:szCs w:val="21"/>
        </w:rPr>
      </w:pPr>
      <w:r>
        <w:rPr>
          <w:rFonts w:hint="eastAsia" w:ascii="宋体" w:hAnsi="宋体"/>
          <w:szCs w:val="21"/>
        </w:rPr>
        <w:t>八、投标截止时间及开标时间：2019年</w:t>
      </w:r>
      <w:r>
        <w:rPr>
          <w:rFonts w:hint="eastAsia" w:ascii="宋体" w:hAnsi="宋体"/>
          <w:szCs w:val="21"/>
          <w:lang w:val="en-US" w:eastAsia="zh-CN"/>
        </w:rPr>
        <w:t>11</w:t>
      </w:r>
      <w:r>
        <w:rPr>
          <w:rFonts w:hint="eastAsia" w:ascii="宋体" w:hAnsi="宋体"/>
          <w:szCs w:val="21"/>
        </w:rPr>
        <w:t>月</w:t>
      </w:r>
      <w:r>
        <w:rPr>
          <w:rFonts w:hint="eastAsia" w:ascii="宋体" w:hAnsi="宋体"/>
          <w:szCs w:val="21"/>
          <w:lang w:val="en-US" w:eastAsia="zh-CN"/>
        </w:rPr>
        <w:t>5</w:t>
      </w:r>
      <w:r>
        <w:rPr>
          <w:rFonts w:hint="eastAsia" w:ascii="宋体" w:hAnsi="宋体"/>
          <w:szCs w:val="21"/>
        </w:rPr>
        <w:t>日</w:t>
      </w:r>
      <w:r>
        <w:rPr>
          <w:rFonts w:hint="eastAsia" w:ascii="宋体" w:hAnsi="宋体"/>
          <w:szCs w:val="21"/>
          <w:lang w:val="en-US" w:eastAsia="zh-CN"/>
        </w:rPr>
        <w:t>14</w:t>
      </w:r>
      <w:r>
        <w:rPr>
          <w:rFonts w:hint="eastAsia" w:ascii="宋体" w:hAnsi="宋体"/>
          <w:szCs w:val="21"/>
        </w:rPr>
        <w:t>:00。</w:t>
      </w:r>
    </w:p>
    <w:p>
      <w:pPr>
        <w:spacing w:line="400" w:lineRule="exact"/>
        <w:ind w:firstLine="420" w:firstLineChars="200"/>
        <w:rPr>
          <w:rFonts w:ascii="宋体" w:hAnsi="宋体"/>
          <w:szCs w:val="21"/>
        </w:rPr>
      </w:pPr>
      <w:r>
        <w:rPr>
          <w:rFonts w:hint="eastAsia" w:ascii="宋体" w:hAnsi="宋体"/>
          <w:szCs w:val="21"/>
        </w:rPr>
        <w:t>九、投标、开标地点：宁海县公共资源交易中心（宁海县桃源街道金水东路5号五楼，详见大厅公告）。</w:t>
      </w:r>
    </w:p>
    <w:p>
      <w:pPr>
        <w:spacing w:line="400" w:lineRule="exact"/>
        <w:ind w:firstLine="420" w:firstLineChars="200"/>
        <w:rPr>
          <w:rFonts w:ascii="宋体" w:hAnsi="宋体"/>
          <w:szCs w:val="21"/>
        </w:rPr>
      </w:pPr>
      <w:r>
        <w:rPr>
          <w:rFonts w:hint="eastAsia" w:ascii="宋体" w:hAnsi="宋体"/>
          <w:szCs w:val="21"/>
        </w:rPr>
        <w:t>十、投标文件递交方式：密封装袋加盖公章后直接送达现场。逾期送达或未按规定密封的将予以拒收（或作无效投标文件处理）。</w:t>
      </w:r>
    </w:p>
    <w:p>
      <w:pPr>
        <w:spacing w:line="400" w:lineRule="exact"/>
        <w:ind w:firstLine="420" w:firstLineChars="200"/>
        <w:rPr>
          <w:rFonts w:ascii="宋体" w:hAnsi="宋体"/>
          <w:szCs w:val="21"/>
        </w:rPr>
      </w:pPr>
      <w:r>
        <w:rPr>
          <w:rFonts w:hint="eastAsia" w:ascii="宋体" w:hAnsi="宋体"/>
          <w:szCs w:val="21"/>
        </w:rPr>
        <w:t>十一、本次招标有关信息公告在</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宁海县公共资源交易信息网（</w:t>
      </w:r>
      <w:r>
        <w:rPr>
          <w:rFonts w:asciiTheme="minorEastAsia" w:hAnsiTheme="minorEastAsia" w:eastAsiaTheme="minorEastAsia"/>
          <w:szCs w:val="21"/>
        </w:rPr>
        <w:t>http://</w:t>
      </w:r>
      <w:r>
        <w:rPr>
          <w:rFonts w:hint="eastAsia" w:asciiTheme="minorEastAsia" w:hAnsiTheme="minorEastAsia" w:eastAsiaTheme="minorEastAsia"/>
          <w:szCs w:val="21"/>
          <w:lang w:eastAsia="zh-CN"/>
        </w:rPr>
        <w:t>ninghai.bidding</w:t>
      </w:r>
      <w:r>
        <w:rPr>
          <w:rFonts w:asciiTheme="minorEastAsia" w:hAnsiTheme="minorEastAsia" w:eastAsiaTheme="minorEastAsia"/>
          <w:szCs w:val="21"/>
        </w:rPr>
        <w:t>.gov.cn</w:t>
      </w:r>
      <w:r>
        <w:rPr>
          <w:rFonts w:hint="eastAsia" w:asciiTheme="minorEastAsia" w:hAnsiTheme="minorEastAsia" w:eastAsiaTheme="minorEastAsia"/>
          <w:szCs w:val="21"/>
        </w:rPr>
        <w:t>)</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宁波政府采购网（</w:t>
      </w:r>
      <w:r>
        <w:rPr>
          <w:rFonts w:asciiTheme="minorEastAsia" w:hAnsiTheme="minorEastAsia" w:eastAsiaTheme="minorEastAsia"/>
          <w:szCs w:val="21"/>
        </w:rPr>
        <w:t>http://www.nbzfcg.cn</w:t>
      </w:r>
      <w:r>
        <w:rPr>
          <w:rFonts w:hint="eastAsia" w:asciiTheme="minorEastAsia" w:hAnsiTheme="minorEastAsia" w:eastAsiaTheme="minorEastAsia"/>
          <w:szCs w:val="21"/>
        </w:rPr>
        <w:t>）</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浙江政府采购网（</w:t>
      </w:r>
      <w:r>
        <w:rPr>
          <w:rFonts w:asciiTheme="minorEastAsia" w:hAnsiTheme="minorEastAsia" w:eastAsiaTheme="minorEastAsia"/>
          <w:szCs w:val="21"/>
        </w:rPr>
        <w:t>http://www.zjzfcg.gov.cn</w:t>
      </w:r>
      <w:r>
        <w:rPr>
          <w:rFonts w:hint="eastAsia" w:asciiTheme="minorEastAsia" w:hAnsiTheme="minorEastAsia" w:eastAsiaTheme="minorEastAsia"/>
          <w:szCs w:val="21"/>
        </w:rPr>
        <w:t>）</w:t>
      </w:r>
    </w:p>
    <w:p>
      <w:pPr>
        <w:spacing w:line="400" w:lineRule="exact"/>
        <w:ind w:firstLine="420" w:firstLineChars="200"/>
        <w:rPr>
          <w:rFonts w:ascii="宋体" w:hAnsi="宋体"/>
          <w:szCs w:val="21"/>
        </w:rPr>
      </w:pPr>
      <w:r>
        <w:rPr>
          <w:rFonts w:hint="eastAsia" w:ascii="宋体" w:hAnsi="宋体"/>
          <w:szCs w:val="21"/>
        </w:rPr>
        <w:t>★本项目自发布公告后后续可能出现的修改通知，澄清说明等都发布在上述媒体，请供应商随时关注下载，如有错过，后果自负。</w:t>
      </w:r>
    </w:p>
    <w:p>
      <w:pPr>
        <w:spacing w:line="400" w:lineRule="exact"/>
        <w:ind w:firstLine="420" w:firstLineChars="200"/>
        <w:rPr>
          <w:rFonts w:ascii="宋体" w:hAnsi="宋体"/>
        </w:rPr>
      </w:pPr>
      <w:r>
        <w:rPr>
          <w:rFonts w:hint="eastAsia" w:ascii="宋体" w:hAnsi="宋体"/>
        </w:rPr>
        <w:t>十二、特别提醒：供应商须按照《浙江省政府采购供应商注册及诚信管理暂行办法》的规定在“浙江政府采购网(http://www.zjzfcg.gov.cn)”政采云平台注册登记，成为浙江省政府采购注册供应商。如未注册的供应商，请注意注册所需时间，尽快注册登记</w:t>
      </w:r>
      <w:r>
        <w:rPr>
          <w:rFonts w:ascii="宋体" w:hAnsi="宋体"/>
        </w:rPr>
        <w:t>，否则采购人有权拒绝签发中标通知书</w:t>
      </w:r>
      <w:r>
        <w:rPr>
          <w:rFonts w:hint="eastAsia" w:ascii="宋体" w:hAnsi="宋体"/>
        </w:rPr>
        <w:t>。</w:t>
      </w:r>
    </w:p>
    <w:p>
      <w:pPr>
        <w:spacing w:line="400" w:lineRule="exact"/>
        <w:ind w:firstLine="420" w:firstLineChars="200"/>
        <w:rPr>
          <w:rFonts w:ascii="宋体" w:hAnsi="宋体"/>
          <w:szCs w:val="21"/>
        </w:rPr>
      </w:pPr>
      <w:r>
        <w:rPr>
          <w:rFonts w:hint="eastAsia" w:ascii="宋体" w:hAnsi="宋体"/>
          <w:szCs w:val="21"/>
        </w:rPr>
        <w:t>本项目招标文件公告期限：</w:t>
      </w:r>
      <w:r>
        <w:rPr>
          <w:rFonts w:ascii="宋体" w:hAnsi="宋体"/>
          <w:szCs w:val="21"/>
        </w:rPr>
        <w:t>201</w:t>
      </w:r>
      <w:r>
        <w:rPr>
          <w:rFonts w:hint="eastAsia" w:ascii="宋体" w:hAnsi="宋体"/>
          <w:szCs w:val="21"/>
        </w:rPr>
        <w:t>9</w:t>
      </w:r>
      <w:r>
        <w:rPr>
          <w:rFonts w:ascii="宋体" w:hAnsi="宋体"/>
          <w:szCs w:val="21"/>
        </w:rPr>
        <w:t>年</w:t>
      </w:r>
      <w:r>
        <w:rPr>
          <w:rFonts w:hint="eastAsia" w:ascii="宋体" w:hAnsi="宋体"/>
          <w:szCs w:val="21"/>
          <w:lang w:val="en-US" w:eastAsia="zh-CN"/>
        </w:rPr>
        <w:t>10</w:t>
      </w:r>
      <w:r>
        <w:rPr>
          <w:rFonts w:hint="eastAsia" w:ascii="宋体" w:hAnsi="宋体"/>
          <w:szCs w:val="21"/>
        </w:rPr>
        <w:t>月</w:t>
      </w:r>
      <w:r>
        <w:rPr>
          <w:rFonts w:hint="eastAsia" w:ascii="宋体" w:hAnsi="宋体"/>
          <w:szCs w:val="21"/>
          <w:lang w:val="en-US" w:eastAsia="zh-CN"/>
        </w:rPr>
        <w:t>12</w:t>
      </w:r>
      <w:r>
        <w:rPr>
          <w:rFonts w:hint="eastAsia" w:ascii="宋体" w:hAnsi="宋体"/>
          <w:szCs w:val="21"/>
        </w:rPr>
        <w:t>日-</w:t>
      </w:r>
      <w:r>
        <w:rPr>
          <w:rFonts w:hint="eastAsia" w:ascii="宋体" w:hAnsi="宋体"/>
          <w:szCs w:val="21"/>
          <w:lang w:val="en-US" w:eastAsia="zh-CN"/>
        </w:rPr>
        <w:t>10</w:t>
      </w:r>
      <w:r>
        <w:rPr>
          <w:rFonts w:hint="eastAsia" w:ascii="宋体" w:hAnsi="宋体"/>
          <w:szCs w:val="21"/>
        </w:rPr>
        <w:t>月</w:t>
      </w:r>
      <w:r>
        <w:rPr>
          <w:rFonts w:hint="eastAsia" w:ascii="宋体" w:hAnsi="宋体"/>
          <w:szCs w:val="21"/>
          <w:lang w:val="en-US" w:eastAsia="zh-CN"/>
        </w:rPr>
        <w:t>18</w:t>
      </w:r>
      <w:r>
        <w:rPr>
          <w:rFonts w:hint="eastAsia" w:ascii="宋体" w:hAnsi="宋体"/>
          <w:szCs w:val="21"/>
        </w:rPr>
        <w:t>日，供应商可在上述期限届满之后七个工作日内对本招标文件的质疑以书面形式向采购人和采购代理机构提出，逾期不予受理。</w:t>
      </w:r>
    </w:p>
    <w:p>
      <w:pPr>
        <w:spacing w:line="400" w:lineRule="exact"/>
        <w:ind w:firstLine="420" w:firstLineChars="200"/>
        <w:rPr>
          <w:rFonts w:ascii="宋体" w:hAnsi="宋体"/>
          <w:szCs w:val="21"/>
        </w:rPr>
      </w:pPr>
      <w:r>
        <w:rPr>
          <w:rFonts w:hint="eastAsia" w:ascii="宋体" w:hAnsi="宋体"/>
        </w:rPr>
        <w:t>★十三、其他要求：</w:t>
      </w:r>
      <w:r>
        <w:rPr>
          <w:rFonts w:hint="eastAsia" w:ascii="宋体" w:hAnsi="宋体"/>
          <w:szCs w:val="21"/>
        </w:rPr>
        <w:t>1.单位负责人为同一人或者存在直接控股、管理关系的不同供应商，不得参加同一合同项下的政府采购活动。除单一来源外，为项目提供整体设计、规范编制或者项目管理、监理、检测等服务的供应商不得参加同一合同项下的政府采购活动。</w:t>
      </w:r>
    </w:p>
    <w:p>
      <w:pPr>
        <w:spacing w:line="400" w:lineRule="exact"/>
        <w:ind w:firstLine="420" w:firstLineChars="200"/>
        <w:rPr>
          <w:rFonts w:hint="eastAsia" w:ascii="宋体" w:hAnsi="宋体"/>
        </w:rPr>
      </w:pPr>
      <w:r>
        <w:rPr>
          <w:rFonts w:hint="eastAsia" w:ascii="宋体" w:hAnsi="宋体"/>
          <w:lang w:val="en-US" w:eastAsia="zh-CN"/>
        </w:rPr>
        <w:t>2.</w:t>
      </w:r>
      <w:r>
        <w:rPr>
          <w:rFonts w:hint="eastAsia" w:ascii="宋体" w:hAnsi="宋体"/>
        </w:rPr>
        <w:t>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投标截止日当天在“信用中国”网站（www.creditchina.gov.cn）及中国政府采购网查询结果为准，如相关失信记录已失效，供应商需提供相关证明资料）；</w:t>
      </w:r>
    </w:p>
    <w:p>
      <w:pPr>
        <w:spacing w:line="400" w:lineRule="exact"/>
        <w:ind w:firstLine="420" w:firstLineChars="200"/>
        <w:rPr>
          <w:rFonts w:ascii="宋体" w:hAnsi="宋体"/>
        </w:rPr>
      </w:pPr>
      <w:r>
        <w:rPr>
          <w:rFonts w:hint="eastAsia" w:ascii="宋体" w:hAnsi="宋体"/>
        </w:rPr>
        <w:t>采购人：宁海县卫生健康局</w:t>
      </w:r>
    </w:p>
    <w:p>
      <w:pPr>
        <w:spacing w:line="400" w:lineRule="exact"/>
        <w:ind w:firstLine="420" w:firstLineChars="200"/>
        <w:rPr>
          <w:rFonts w:ascii="宋体" w:hAnsi="宋体"/>
        </w:rPr>
      </w:pPr>
      <w:r>
        <w:rPr>
          <w:rFonts w:hint="eastAsia" w:ascii="宋体" w:hAnsi="宋体"/>
        </w:rPr>
        <w:t>地址：宁海县天广路12号</w:t>
      </w:r>
    </w:p>
    <w:p>
      <w:pPr>
        <w:spacing w:line="400" w:lineRule="exact"/>
        <w:ind w:firstLine="420" w:firstLineChars="200"/>
        <w:rPr>
          <w:rFonts w:ascii="宋体" w:hAnsi="宋体"/>
        </w:rPr>
      </w:pPr>
      <w:r>
        <w:rPr>
          <w:rFonts w:hint="eastAsia" w:ascii="宋体" w:hAnsi="宋体"/>
        </w:rPr>
        <w:t>联系人：王老师   联系电话：0574-65578749</w:t>
      </w:r>
    </w:p>
    <w:p>
      <w:pPr>
        <w:spacing w:line="400" w:lineRule="exact"/>
        <w:ind w:firstLine="420" w:firstLineChars="200"/>
        <w:rPr>
          <w:rFonts w:ascii="宋体" w:hAnsi="宋体"/>
        </w:rPr>
      </w:pPr>
      <w:r>
        <w:rPr>
          <w:rFonts w:hint="eastAsia" w:ascii="宋体" w:hAnsi="宋体"/>
        </w:rPr>
        <w:t>采购代理机构：宁波国际投资咨询有限公司</w:t>
      </w:r>
    </w:p>
    <w:p>
      <w:pPr>
        <w:spacing w:line="400" w:lineRule="exact"/>
        <w:ind w:firstLine="420" w:firstLineChars="200"/>
        <w:rPr>
          <w:rFonts w:ascii="宋体" w:hAnsi="宋体"/>
        </w:rPr>
      </w:pPr>
      <w:r>
        <w:rPr>
          <w:rFonts w:hint="eastAsia" w:ascii="宋体" w:hAnsi="宋体"/>
        </w:rPr>
        <w:t>地址：宁海县学勉路1号金融中心2号楼1100室</w:t>
      </w:r>
    </w:p>
    <w:p>
      <w:pPr>
        <w:spacing w:line="400" w:lineRule="exact"/>
        <w:ind w:firstLine="420" w:firstLineChars="200"/>
        <w:rPr>
          <w:rFonts w:ascii="宋体" w:hAnsi="宋体"/>
          <w:szCs w:val="21"/>
        </w:rPr>
      </w:pPr>
      <w:r>
        <w:rPr>
          <w:rFonts w:hint="eastAsia" w:ascii="宋体" w:hAnsi="宋体"/>
        </w:rPr>
        <w:t>联系人：</w:t>
      </w:r>
      <w:r>
        <w:rPr>
          <w:rFonts w:hint="eastAsia" w:ascii="宋体" w:hAnsi="宋体"/>
          <w:szCs w:val="21"/>
        </w:rPr>
        <w:t>王荣、张海强、龚煜橙</w:t>
      </w:r>
    </w:p>
    <w:p>
      <w:pPr>
        <w:spacing w:line="400" w:lineRule="exact"/>
        <w:ind w:firstLine="420" w:firstLineChars="200"/>
        <w:rPr>
          <w:rFonts w:ascii="宋体" w:hAnsi="宋体"/>
        </w:rPr>
      </w:pPr>
      <w:r>
        <w:rPr>
          <w:rFonts w:hint="eastAsia" w:ascii="宋体" w:hAnsi="宋体"/>
        </w:rPr>
        <w:t>联系电话：0574-65323936/18768526167</w:t>
      </w:r>
    </w:p>
    <w:p>
      <w:pPr>
        <w:spacing w:line="400" w:lineRule="exact"/>
        <w:ind w:firstLine="420" w:firstLineChars="200"/>
        <w:rPr>
          <w:rFonts w:ascii="宋体" w:hAnsi="宋体"/>
          <w:szCs w:val="21"/>
        </w:rPr>
      </w:pPr>
      <w:r>
        <w:rPr>
          <w:rFonts w:hint="eastAsia" w:ascii="宋体" w:hAnsi="宋体"/>
        </w:rPr>
        <w:t>传真：0574-65323936</w:t>
      </w:r>
      <w:r>
        <w:rPr>
          <w:rFonts w:hint="eastAsia" w:ascii="宋体" w:hAnsi="宋体"/>
          <w:lang w:val="en-US" w:eastAsia="zh-CN"/>
        </w:rPr>
        <w:t xml:space="preserve">   </w:t>
      </w:r>
      <w:r>
        <w:rPr>
          <w:rFonts w:hint="eastAsia" w:ascii="宋体" w:hAnsi="宋体"/>
        </w:rPr>
        <w:t>邮箱：nbgt002@163.com</w:t>
      </w:r>
    </w:p>
    <w:p>
      <w:pPr>
        <w:spacing w:line="400" w:lineRule="exact"/>
        <w:ind w:firstLine="420" w:firstLineChars="200"/>
        <w:rPr>
          <w:rFonts w:ascii="宋体" w:hAnsi="宋体"/>
        </w:rPr>
      </w:pPr>
      <w:r>
        <w:rPr>
          <w:rFonts w:hint="eastAsia" w:ascii="宋体" w:hAnsi="宋体"/>
        </w:rPr>
        <w:t>政府采购监督管理部门及投诉受理部门：宁海县政府采购管理办公室</w:t>
      </w:r>
    </w:p>
    <w:p>
      <w:pPr>
        <w:spacing w:line="400" w:lineRule="exact"/>
        <w:ind w:firstLine="420" w:firstLineChars="200"/>
        <w:rPr>
          <w:rFonts w:ascii="宋体" w:hAnsi="宋体"/>
        </w:rPr>
      </w:pPr>
      <w:r>
        <w:rPr>
          <w:rFonts w:hint="eastAsia" w:ascii="宋体" w:hAnsi="宋体"/>
        </w:rPr>
        <w:t>地址：宁海县跃龙街道桃源中路218号</w:t>
      </w:r>
    </w:p>
    <w:p>
      <w:pPr>
        <w:spacing w:line="400" w:lineRule="exact"/>
        <w:ind w:firstLine="420" w:firstLineChars="200"/>
        <w:rPr>
          <w:rFonts w:ascii="宋体" w:hAnsi="宋体"/>
        </w:rPr>
      </w:pPr>
      <w:r>
        <w:rPr>
          <w:rFonts w:hint="eastAsia" w:ascii="宋体" w:hAnsi="宋体"/>
        </w:rPr>
        <w:t>联系人：王老师</w:t>
      </w:r>
    </w:p>
    <w:p>
      <w:pPr>
        <w:spacing w:line="400" w:lineRule="exact"/>
        <w:ind w:firstLine="420" w:firstLineChars="200"/>
        <w:rPr>
          <w:rFonts w:ascii="宋体" w:hAnsi="宋体"/>
        </w:rPr>
      </w:pPr>
      <w:r>
        <w:rPr>
          <w:rFonts w:hint="eastAsia" w:ascii="宋体" w:hAnsi="宋体"/>
        </w:rPr>
        <w:t>联系电话：0574-65265668   传真号码：0574-65265612 </w:t>
      </w:r>
    </w:p>
    <w:p>
      <w:pPr>
        <w:pStyle w:val="14"/>
        <w:spacing w:before="0" w:beforeAutospacing="0" w:after="0" w:afterAutospacing="0" w:line="360" w:lineRule="atLeast"/>
      </w:pPr>
    </w:p>
    <w:p>
      <w:pPr>
        <w:spacing w:line="400" w:lineRule="exact"/>
        <w:rPr>
          <w:rFonts w:ascii="宋体" w:hAnsi="宋体"/>
          <w:szCs w:val="21"/>
        </w:rPr>
      </w:pPr>
    </w:p>
    <w:p>
      <w:pPr>
        <w:pStyle w:val="9"/>
        <w:snapToGrid w:val="0"/>
        <w:spacing w:beforeLines="0" w:afterLines="0"/>
        <w:jc w:val="center"/>
        <w:outlineLvl w:val="0"/>
        <w:rPr>
          <w:rFonts w:ascii="黑体" w:hAnsi="宋体" w:eastAsia="黑体"/>
          <w:b/>
          <w:bCs/>
          <w:sz w:val="28"/>
          <w:szCs w:val="28"/>
        </w:rPr>
      </w:pPr>
    </w:p>
    <w:p>
      <w:pPr>
        <w:pStyle w:val="9"/>
        <w:snapToGrid w:val="0"/>
        <w:spacing w:beforeLines="0" w:afterLines="0"/>
        <w:jc w:val="center"/>
        <w:outlineLvl w:val="0"/>
        <w:rPr>
          <w:rFonts w:ascii="黑体" w:hAnsi="宋体" w:eastAsia="黑体"/>
          <w:b/>
          <w:bCs/>
          <w:sz w:val="28"/>
          <w:szCs w:val="28"/>
        </w:rPr>
      </w:pPr>
    </w:p>
    <w:p>
      <w:pPr>
        <w:pStyle w:val="9"/>
        <w:snapToGrid w:val="0"/>
        <w:spacing w:beforeLines="0" w:afterLines="0"/>
        <w:jc w:val="center"/>
        <w:outlineLvl w:val="0"/>
        <w:rPr>
          <w:rFonts w:ascii="黑体" w:hAnsi="宋体" w:eastAsia="黑体"/>
          <w:b/>
          <w:bCs/>
          <w:sz w:val="28"/>
          <w:szCs w:val="28"/>
        </w:rPr>
      </w:pPr>
      <w:r>
        <w:rPr>
          <w:rFonts w:hint="eastAsia" w:ascii="黑体" w:hAnsi="宋体" w:eastAsia="黑体"/>
          <w:b/>
          <w:bCs/>
          <w:sz w:val="28"/>
          <w:szCs w:val="28"/>
        </w:rPr>
        <w:t>第二章  招标需求</w:t>
      </w:r>
    </w:p>
    <w:p>
      <w:pPr>
        <w:pStyle w:val="9"/>
        <w:snapToGrid w:val="0"/>
        <w:spacing w:beforeLines="0" w:afterLines="0"/>
        <w:outlineLvl w:val="0"/>
        <w:rPr>
          <w:rFonts w:ascii="黑体" w:hAnsi="宋体" w:eastAsia="黑体"/>
          <w:b/>
          <w:bCs/>
          <w:sz w:val="28"/>
          <w:szCs w:val="28"/>
        </w:rPr>
      </w:pPr>
    </w:p>
    <w:p>
      <w:pPr>
        <w:pStyle w:val="3"/>
        <w:numPr>
          <w:ilvl w:val="0"/>
          <w:numId w:val="2"/>
        </w:numPr>
        <w:spacing w:line="360" w:lineRule="auto"/>
        <w:ind w:firstLine="643"/>
        <w:rPr>
          <w:sz w:val="32"/>
          <w:szCs w:val="24"/>
        </w:rPr>
      </w:pPr>
      <w:bookmarkStart w:id="0" w:name="_Toc467835952"/>
      <w:r>
        <w:rPr>
          <w:rFonts w:hint="eastAsia"/>
          <w:sz w:val="32"/>
          <w:szCs w:val="24"/>
        </w:rPr>
        <w:t>项目建设清单</w:t>
      </w:r>
      <w:bookmarkEnd w:id="0"/>
    </w:p>
    <w:tbl>
      <w:tblPr>
        <w:tblStyle w:val="16"/>
        <w:tblW w:w="82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234"/>
        <w:gridCol w:w="4570"/>
        <w:gridCol w:w="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exact"/>
        </w:trPr>
        <w:tc>
          <w:tcPr>
            <w:tcW w:w="709" w:type="dxa"/>
            <w:vAlign w:val="center"/>
          </w:tcPr>
          <w:p>
            <w:pPr>
              <w:pStyle w:val="38"/>
            </w:pPr>
            <w:r>
              <w:rPr>
                <w:rFonts w:hint="eastAsia"/>
              </w:rPr>
              <w:t>序号</w:t>
            </w:r>
          </w:p>
        </w:tc>
        <w:tc>
          <w:tcPr>
            <w:tcW w:w="6804" w:type="dxa"/>
            <w:gridSpan w:val="2"/>
            <w:vAlign w:val="center"/>
          </w:tcPr>
          <w:p>
            <w:pPr>
              <w:pStyle w:val="38"/>
            </w:pPr>
            <w:r>
              <w:rPr>
                <w:rFonts w:hint="eastAsia"/>
              </w:rPr>
              <w:t>采购内容</w:t>
            </w:r>
          </w:p>
        </w:tc>
        <w:tc>
          <w:tcPr>
            <w:tcW w:w="778" w:type="dxa"/>
            <w:vAlign w:val="center"/>
          </w:tcPr>
          <w:p>
            <w:pPr>
              <w:pStyle w:val="38"/>
            </w:pPr>
            <w:r>
              <w:rPr>
                <w:rFonts w:hint="eastAsia"/>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709" w:type="dxa"/>
            <w:vAlign w:val="center"/>
          </w:tcPr>
          <w:p>
            <w:pPr>
              <w:pStyle w:val="38"/>
            </w:pPr>
            <w:r>
              <w:rPr>
                <w:rFonts w:hint="eastAsia"/>
              </w:rPr>
              <w:t>1</w:t>
            </w:r>
          </w:p>
        </w:tc>
        <w:tc>
          <w:tcPr>
            <w:tcW w:w="2234" w:type="dxa"/>
            <w:vMerge w:val="restart"/>
            <w:vAlign w:val="center"/>
          </w:tcPr>
          <w:p>
            <w:pPr>
              <w:pStyle w:val="38"/>
            </w:pPr>
            <w:r>
              <w:rPr>
                <w:rFonts w:hint="eastAsia"/>
              </w:rPr>
              <w:t>数据资源标准化升级</w:t>
            </w:r>
          </w:p>
        </w:tc>
        <w:tc>
          <w:tcPr>
            <w:tcW w:w="4570" w:type="dxa"/>
            <w:vAlign w:val="center"/>
          </w:tcPr>
          <w:p>
            <w:pPr>
              <w:pStyle w:val="38"/>
            </w:pPr>
            <w:r>
              <w:rPr>
                <w:rFonts w:hint="eastAsia"/>
              </w:rPr>
              <w:t>17个数据集标准化改造</w:t>
            </w:r>
          </w:p>
        </w:tc>
        <w:tc>
          <w:tcPr>
            <w:tcW w:w="778" w:type="dxa"/>
            <w:vAlign w:val="center"/>
          </w:tcPr>
          <w:p>
            <w:pPr>
              <w:pStyle w:val="38"/>
            </w:pPr>
            <w:r>
              <w:rPr>
                <w:rFonts w:hint="eastAsia"/>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trPr>
        <w:tc>
          <w:tcPr>
            <w:tcW w:w="709" w:type="dxa"/>
            <w:vAlign w:val="center"/>
          </w:tcPr>
          <w:p>
            <w:pPr>
              <w:pStyle w:val="38"/>
            </w:pPr>
            <w:r>
              <w:rPr>
                <w:rFonts w:hint="eastAsia"/>
              </w:rPr>
              <w:t>2</w:t>
            </w:r>
          </w:p>
        </w:tc>
        <w:tc>
          <w:tcPr>
            <w:tcW w:w="2234" w:type="dxa"/>
            <w:vMerge w:val="continue"/>
            <w:vAlign w:val="center"/>
          </w:tcPr>
          <w:p>
            <w:pPr>
              <w:pStyle w:val="38"/>
            </w:pPr>
          </w:p>
        </w:tc>
        <w:tc>
          <w:tcPr>
            <w:tcW w:w="4570" w:type="dxa"/>
            <w:vAlign w:val="center"/>
          </w:tcPr>
          <w:p>
            <w:pPr>
              <w:pStyle w:val="38"/>
            </w:pPr>
            <w:r>
              <w:rPr>
                <w:rFonts w:hint="eastAsia"/>
              </w:rPr>
              <w:t>15个共享文档标准化改造</w:t>
            </w:r>
          </w:p>
        </w:tc>
        <w:tc>
          <w:tcPr>
            <w:tcW w:w="778" w:type="dxa"/>
            <w:vAlign w:val="center"/>
          </w:tcPr>
          <w:p>
            <w:pPr>
              <w:pStyle w:val="38"/>
            </w:pPr>
            <w:r>
              <w:rPr>
                <w:rFonts w:hint="eastAsia"/>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trPr>
        <w:tc>
          <w:tcPr>
            <w:tcW w:w="709" w:type="dxa"/>
            <w:vAlign w:val="center"/>
          </w:tcPr>
          <w:p>
            <w:pPr>
              <w:pStyle w:val="38"/>
            </w:pPr>
            <w:r>
              <w:rPr>
                <w:rFonts w:hint="eastAsia"/>
              </w:rPr>
              <w:t>3</w:t>
            </w:r>
          </w:p>
        </w:tc>
        <w:tc>
          <w:tcPr>
            <w:tcW w:w="2234" w:type="dxa"/>
            <w:vMerge w:val="restart"/>
            <w:vAlign w:val="center"/>
          </w:tcPr>
          <w:p>
            <w:pPr>
              <w:pStyle w:val="38"/>
            </w:pPr>
            <w:r>
              <w:rPr>
                <w:rFonts w:hint="eastAsia"/>
              </w:rPr>
              <w:t>互联互通标准化建设</w:t>
            </w:r>
          </w:p>
        </w:tc>
        <w:tc>
          <w:tcPr>
            <w:tcW w:w="4570" w:type="dxa"/>
            <w:vAlign w:val="center"/>
          </w:tcPr>
          <w:p>
            <w:pPr>
              <w:pStyle w:val="38"/>
            </w:pPr>
            <w:r>
              <w:rPr>
                <w:rFonts w:hint="eastAsia"/>
              </w:rPr>
              <w:t>共享文档管理系统</w:t>
            </w:r>
          </w:p>
        </w:tc>
        <w:tc>
          <w:tcPr>
            <w:tcW w:w="778" w:type="dxa"/>
            <w:vAlign w:val="center"/>
          </w:tcPr>
          <w:p>
            <w:pPr>
              <w:pStyle w:val="38"/>
            </w:pPr>
            <w:r>
              <w:rPr>
                <w:rFonts w:hint="eastAsia"/>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trPr>
        <w:tc>
          <w:tcPr>
            <w:tcW w:w="709" w:type="dxa"/>
            <w:vAlign w:val="center"/>
          </w:tcPr>
          <w:p>
            <w:pPr>
              <w:pStyle w:val="38"/>
            </w:pPr>
            <w:r>
              <w:rPr>
                <w:rFonts w:hint="eastAsia"/>
              </w:rPr>
              <w:t>4</w:t>
            </w:r>
          </w:p>
        </w:tc>
        <w:tc>
          <w:tcPr>
            <w:tcW w:w="2234" w:type="dxa"/>
            <w:vMerge w:val="continue"/>
            <w:vAlign w:val="center"/>
          </w:tcPr>
          <w:p>
            <w:pPr>
              <w:pStyle w:val="38"/>
            </w:pPr>
          </w:p>
        </w:tc>
        <w:tc>
          <w:tcPr>
            <w:tcW w:w="4570" w:type="dxa"/>
            <w:vAlign w:val="center"/>
          </w:tcPr>
          <w:p>
            <w:pPr>
              <w:pStyle w:val="38"/>
            </w:pPr>
            <w:r>
              <w:rPr>
                <w:rFonts w:hint="eastAsia"/>
              </w:rPr>
              <w:t>互联互通标准化服务</w:t>
            </w:r>
          </w:p>
        </w:tc>
        <w:tc>
          <w:tcPr>
            <w:tcW w:w="778" w:type="dxa"/>
            <w:vAlign w:val="center"/>
          </w:tcPr>
          <w:p>
            <w:pPr>
              <w:pStyle w:val="38"/>
            </w:pPr>
            <w:r>
              <w:rPr>
                <w:rFonts w:hint="eastAsia"/>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trPr>
        <w:tc>
          <w:tcPr>
            <w:tcW w:w="709" w:type="dxa"/>
            <w:vAlign w:val="center"/>
          </w:tcPr>
          <w:p>
            <w:pPr>
              <w:pStyle w:val="38"/>
            </w:pPr>
            <w:r>
              <w:rPr>
                <w:rFonts w:hint="eastAsia"/>
              </w:rPr>
              <w:t>5</w:t>
            </w:r>
          </w:p>
        </w:tc>
        <w:tc>
          <w:tcPr>
            <w:tcW w:w="2234" w:type="dxa"/>
            <w:vMerge w:val="continue"/>
            <w:vAlign w:val="center"/>
          </w:tcPr>
          <w:p>
            <w:pPr>
              <w:pStyle w:val="38"/>
            </w:pPr>
          </w:p>
        </w:tc>
        <w:tc>
          <w:tcPr>
            <w:tcW w:w="4570" w:type="dxa"/>
            <w:vAlign w:val="center"/>
          </w:tcPr>
          <w:p>
            <w:pPr>
              <w:pStyle w:val="38"/>
            </w:pPr>
            <w:r>
              <w:rPr>
                <w:rFonts w:hint="eastAsia"/>
              </w:rPr>
              <w:t>ESB升级改造</w:t>
            </w:r>
          </w:p>
        </w:tc>
        <w:tc>
          <w:tcPr>
            <w:tcW w:w="778" w:type="dxa"/>
            <w:vAlign w:val="center"/>
          </w:tcPr>
          <w:p>
            <w:pPr>
              <w:pStyle w:val="38"/>
            </w:pPr>
            <w:r>
              <w:rPr>
                <w:rFonts w:hint="eastAsia"/>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trPr>
        <w:tc>
          <w:tcPr>
            <w:tcW w:w="709" w:type="dxa"/>
            <w:vAlign w:val="center"/>
          </w:tcPr>
          <w:p>
            <w:pPr>
              <w:pStyle w:val="38"/>
            </w:pPr>
            <w:r>
              <w:rPr>
                <w:rFonts w:hint="eastAsia"/>
              </w:rPr>
              <w:t>6</w:t>
            </w:r>
          </w:p>
        </w:tc>
        <w:tc>
          <w:tcPr>
            <w:tcW w:w="2234" w:type="dxa"/>
            <w:vMerge w:val="continue"/>
            <w:vAlign w:val="center"/>
          </w:tcPr>
          <w:p>
            <w:pPr>
              <w:pStyle w:val="38"/>
            </w:pPr>
          </w:p>
        </w:tc>
        <w:tc>
          <w:tcPr>
            <w:tcW w:w="4570" w:type="dxa"/>
            <w:vAlign w:val="center"/>
          </w:tcPr>
          <w:p>
            <w:pPr>
              <w:pStyle w:val="38"/>
            </w:pPr>
            <w:r>
              <w:rPr>
                <w:rFonts w:hint="eastAsia"/>
              </w:rPr>
              <w:t>标准字典管理</w:t>
            </w:r>
          </w:p>
        </w:tc>
        <w:tc>
          <w:tcPr>
            <w:tcW w:w="778" w:type="dxa"/>
            <w:vAlign w:val="center"/>
          </w:tcPr>
          <w:p>
            <w:pPr>
              <w:pStyle w:val="38"/>
            </w:pPr>
            <w:r>
              <w:rPr>
                <w:rFonts w:hint="eastAsia"/>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trPr>
        <w:tc>
          <w:tcPr>
            <w:tcW w:w="709" w:type="dxa"/>
            <w:vAlign w:val="center"/>
          </w:tcPr>
          <w:p>
            <w:pPr>
              <w:pStyle w:val="38"/>
            </w:pPr>
            <w:r>
              <w:rPr>
                <w:rFonts w:hint="eastAsia"/>
              </w:rPr>
              <w:t>7</w:t>
            </w:r>
          </w:p>
        </w:tc>
        <w:tc>
          <w:tcPr>
            <w:tcW w:w="2234" w:type="dxa"/>
            <w:vMerge w:val="continue"/>
            <w:vAlign w:val="center"/>
          </w:tcPr>
          <w:p>
            <w:pPr>
              <w:pStyle w:val="38"/>
            </w:pPr>
          </w:p>
        </w:tc>
        <w:tc>
          <w:tcPr>
            <w:tcW w:w="4570" w:type="dxa"/>
            <w:vAlign w:val="center"/>
          </w:tcPr>
          <w:p>
            <w:pPr>
              <w:pStyle w:val="38"/>
            </w:pPr>
            <w:r>
              <w:rPr>
                <w:rFonts w:hint="eastAsia"/>
              </w:rPr>
              <w:t>健康档案主索引系统</w:t>
            </w:r>
          </w:p>
        </w:tc>
        <w:tc>
          <w:tcPr>
            <w:tcW w:w="778" w:type="dxa"/>
            <w:vAlign w:val="center"/>
          </w:tcPr>
          <w:p>
            <w:pPr>
              <w:pStyle w:val="38"/>
            </w:pPr>
            <w:r>
              <w:rPr>
                <w:rFonts w:hint="eastAsia"/>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trPr>
        <w:tc>
          <w:tcPr>
            <w:tcW w:w="709" w:type="dxa"/>
            <w:vAlign w:val="center"/>
          </w:tcPr>
          <w:p>
            <w:pPr>
              <w:pStyle w:val="38"/>
            </w:pPr>
            <w:r>
              <w:rPr>
                <w:rFonts w:hint="eastAsia"/>
              </w:rPr>
              <w:t>8</w:t>
            </w:r>
          </w:p>
        </w:tc>
        <w:tc>
          <w:tcPr>
            <w:tcW w:w="2234" w:type="dxa"/>
            <w:vMerge w:val="continue"/>
            <w:vAlign w:val="center"/>
          </w:tcPr>
          <w:p>
            <w:pPr>
              <w:pStyle w:val="38"/>
            </w:pPr>
          </w:p>
        </w:tc>
        <w:tc>
          <w:tcPr>
            <w:tcW w:w="4570" w:type="dxa"/>
            <w:vAlign w:val="center"/>
          </w:tcPr>
          <w:p>
            <w:pPr>
              <w:pStyle w:val="38"/>
            </w:pPr>
            <w:r>
              <w:rPr>
                <w:rFonts w:hint="eastAsia"/>
              </w:rPr>
              <w:t>全生命周期健康档案展示系统</w:t>
            </w:r>
          </w:p>
        </w:tc>
        <w:tc>
          <w:tcPr>
            <w:tcW w:w="778" w:type="dxa"/>
            <w:vAlign w:val="center"/>
          </w:tcPr>
          <w:p>
            <w:pPr>
              <w:pStyle w:val="38"/>
            </w:pPr>
            <w:r>
              <w:rPr>
                <w:rFonts w:hint="eastAsia"/>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trPr>
        <w:tc>
          <w:tcPr>
            <w:tcW w:w="709" w:type="dxa"/>
            <w:vAlign w:val="center"/>
          </w:tcPr>
          <w:p>
            <w:pPr>
              <w:pStyle w:val="38"/>
            </w:pPr>
            <w:r>
              <w:rPr>
                <w:rFonts w:hint="eastAsia"/>
              </w:rPr>
              <w:t>9</w:t>
            </w:r>
          </w:p>
        </w:tc>
        <w:tc>
          <w:tcPr>
            <w:tcW w:w="2234" w:type="dxa"/>
            <w:vMerge w:val="continue"/>
            <w:vAlign w:val="center"/>
          </w:tcPr>
          <w:p>
            <w:pPr>
              <w:pStyle w:val="38"/>
            </w:pPr>
          </w:p>
        </w:tc>
        <w:tc>
          <w:tcPr>
            <w:tcW w:w="4570" w:type="dxa"/>
            <w:vAlign w:val="center"/>
          </w:tcPr>
          <w:p>
            <w:pPr>
              <w:pStyle w:val="38"/>
            </w:pPr>
            <w:r>
              <w:rPr>
                <w:rFonts w:hint="eastAsia"/>
              </w:rPr>
              <w:t>服务及报表统计性能优化</w:t>
            </w:r>
          </w:p>
        </w:tc>
        <w:tc>
          <w:tcPr>
            <w:tcW w:w="778" w:type="dxa"/>
            <w:vAlign w:val="center"/>
          </w:tcPr>
          <w:p>
            <w:pPr>
              <w:pStyle w:val="38"/>
            </w:pPr>
            <w:r>
              <w:rPr>
                <w:rFonts w:hint="eastAsia"/>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trPr>
        <w:tc>
          <w:tcPr>
            <w:tcW w:w="709" w:type="dxa"/>
            <w:vAlign w:val="center"/>
          </w:tcPr>
          <w:p>
            <w:pPr>
              <w:pStyle w:val="38"/>
            </w:pPr>
            <w:r>
              <w:rPr>
                <w:rFonts w:hint="eastAsia"/>
              </w:rPr>
              <w:t>10</w:t>
            </w:r>
          </w:p>
        </w:tc>
        <w:tc>
          <w:tcPr>
            <w:tcW w:w="2234" w:type="dxa"/>
            <w:vMerge w:val="restart"/>
            <w:vAlign w:val="center"/>
          </w:tcPr>
          <w:p>
            <w:pPr>
              <w:pStyle w:val="38"/>
            </w:pPr>
            <w:r>
              <w:rPr>
                <w:rFonts w:hint="eastAsia"/>
              </w:rPr>
              <w:t>基础设施升级改造</w:t>
            </w:r>
          </w:p>
        </w:tc>
        <w:tc>
          <w:tcPr>
            <w:tcW w:w="4570" w:type="dxa"/>
            <w:vAlign w:val="center"/>
          </w:tcPr>
          <w:p>
            <w:pPr>
              <w:pStyle w:val="38"/>
            </w:pPr>
            <w:r>
              <w:rPr>
                <w:rFonts w:hint="eastAsia"/>
              </w:rPr>
              <w:t>安全体系升级</w:t>
            </w:r>
          </w:p>
        </w:tc>
        <w:tc>
          <w:tcPr>
            <w:tcW w:w="778" w:type="dxa"/>
            <w:vAlign w:val="center"/>
          </w:tcPr>
          <w:p>
            <w:pPr>
              <w:pStyle w:val="38"/>
            </w:pPr>
            <w:r>
              <w:rPr>
                <w:rFonts w:hint="eastAsia"/>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trPr>
        <w:tc>
          <w:tcPr>
            <w:tcW w:w="709" w:type="dxa"/>
            <w:vAlign w:val="center"/>
          </w:tcPr>
          <w:p>
            <w:pPr>
              <w:pStyle w:val="38"/>
            </w:pPr>
            <w:r>
              <w:rPr>
                <w:rFonts w:hint="eastAsia"/>
              </w:rPr>
              <w:t>11</w:t>
            </w:r>
          </w:p>
        </w:tc>
        <w:tc>
          <w:tcPr>
            <w:tcW w:w="2234" w:type="dxa"/>
            <w:vMerge w:val="continue"/>
            <w:vAlign w:val="center"/>
          </w:tcPr>
          <w:p>
            <w:pPr>
              <w:pStyle w:val="38"/>
            </w:pPr>
          </w:p>
        </w:tc>
        <w:tc>
          <w:tcPr>
            <w:tcW w:w="4570" w:type="dxa"/>
            <w:vAlign w:val="center"/>
          </w:tcPr>
          <w:p>
            <w:pPr>
              <w:pStyle w:val="38"/>
            </w:pPr>
            <w:r>
              <w:rPr>
                <w:rFonts w:hint="eastAsia"/>
              </w:rPr>
              <w:t>数据质量监管体系升级</w:t>
            </w:r>
          </w:p>
        </w:tc>
        <w:tc>
          <w:tcPr>
            <w:tcW w:w="778" w:type="dxa"/>
            <w:vAlign w:val="center"/>
          </w:tcPr>
          <w:p>
            <w:pPr>
              <w:pStyle w:val="38"/>
            </w:pPr>
            <w:r>
              <w:rPr>
                <w:rFonts w:hint="eastAsia"/>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trPr>
        <w:tc>
          <w:tcPr>
            <w:tcW w:w="709" w:type="dxa"/>
            <w:vAlign w:val="center"/>
          </w:tcPr>
          <w:p>
            <w:pPr>
              <w:pStyle w:val="38"/>
            </w:pPr>
            <w:r>
              <w:rPr>
                <w:rFonts w:hint="eastAsia"/>
              </w:rPr>
              <w:t>12</w:t>
            </w:r>
          </w:p>
        </w:tc>
        <w:tc>
          <w:tcPr>
            <w:tcW w:w="2234" w:type="dxa"/>
            <w:vMerge w:val="continue"/>
            <w:vAlign w:val="center"/>
          </w:tcPr>
          <w:p>
            <w:pPr>
              <w:pStyle w:val="38"/>
            </w:pPr>
          </w:p>
        </w:tc>
        <w:tc>
          <w:tcPr>
            <w:tcW w:w="4570" w:type="dxa"/>
            <w:vAlign w:val="center"/>
          </w:tcPr>
          <w:p>
            <w:pPr>
              <w:pStyle w:val="38"/>
            </w:pPr>
            <w:r>
              <w:rPr>
                <w:rFonts w:hint="eastAsia"/>
              </w:rPr>
              <w:t>机构绩效考评系统建设</w:t>
            </w:r>
          </w:p>
        </w:tc>
        <w:tc>
          <w:tcPr>
            <w:tcW w:w="778" w:type="dxa"/>
            <w:vAlign w:val="center"/>
          </w:tcPr>
          <w:p>
            <w:pPr>
              <w:pStyle w:val="38"/>
            </w:pPr>
            <w:r>
              <w:rPr>
                <w:rFonts w:hint="eastAsia"/>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trPr>
        <w:tc>
          <w:tcPr>
            <w:tcW w:w="709" w:type="dxa"/>
            <w:vAlign w:val="center"/>
          </w:tcPr>
          <w:p>
            <w:pPr>
              <w:pStyle w:val="38"/>
            </w:pPr>
            <w:r>
              <w:rPr>
                <w:rFonts w:hint="eastAsia"/>
              </w:rPr>
              <w:t>13</w:t>
            </w:r>
          </w:p>
        </w:tc>
        <w:tc>
          <w:tcPr>
            <w:tcW w:w="2234" w:type="dxa"/>
            <w:vMerge w:val="restart"/>
            <w:vAlign w:val="center"/>
          </w:tcPr>
          <w:p>
            <w:pPr>
              <w:pStyle w:val="38"/>
            </w:pPr>
            <w:r>
              <w:rPr>
                <w:rFonts w:hint="eastAsia"/>
              </w:rPr>
              <w:t>互联互通应用建设</w:t>
            </w:r>
          </w:p>
        </w:tc>
        <w:tc>
          <w:tcPr>
            <w:tcW w:w="4570" w:type="dxa"/>
            <w:vAlign w:val="center"/>
          </w:tcPr>
          <w:p>
            <w:pPr>
              <w:pStyle w:val="38"/>
            </w:pPr>
            <w:r>
              <w:rPr>
                <w:rFonts w:hint="eastAsia"/>
              </w:rPr>
              <w:t>区域诊疗智能提醒服务</w:t>
            </w:r>
          </w:p>
        </w:tc>
        <w:tc>
          <w:tcPr>
            <w:tcW w:w="778" w:type="dxa"/>
            <w:vAlign w:val="center"/>
          </w:tcPr>
          <w:p>
            <w:pPr>
              <w:pStyle w:val="38"/>
            </w:pPr>
            <w:r>
              <w:rPr>
                <w:rFonts w:hint="eastAsia"/>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trPr>
        <w:tc>
          <w:tcPr>
            <w:tcW w:w="709" w:type="dxa"/>
            <w:vAlign w:val="center"/>
          </w:tcPr>
          <w:p>
            <w:pPr>
              <w:pStyle w:val="38"/>
            </w:pPr>
            <w:r>
              <w:rPr>
                <w:rFonts w:hint="eastAsia"/>
              </w:rPr>
              <w:t>14</w:t>
            </w:r>
          </w:p>
        </w:tc>
        <w:tc>
          <w:tcPr>
            <w:tcW w:w="2234" w:type="dxa"/>
            <w:vMerge w:val="continue"/>
            <w:vAlign w:val="center"/>
          </w:tcPr>
          <w:p>
            <w:pPr>
              <w:pStyle w:val="38"/>
            </w:pPr>
          </w:p>
        </w:tc>
        <w:tc>
          <w:tcPr>
            <w:tcW w:w="4570" w:type="dxa"/>
            <w:vAlign w:val="center"/>
          </w:tcPr>
          <w:p>
            <w:pPr>
              <w:pStyle w:val="38"/>
            </w:pPr>
            <w:r>
              <w:rPr>
                <w:rFonts w:hint="eastAsia"/>
              </w:rPr>
              <w:t>集成展示门户</w:t>
            </w:r>
          </w:p>
        </w:tc>
        <w:tc>
          <w:tcPr>
            <w:tcW w:w="778" w:type="dxa"/>
            <w:vAlign w:val="center"/>
          </w:tcPr>
          <w:p>
            <w:pPr>
              <w:pStyle w:val="38"/>
            </w:pPr>
            <w:r>
              <w:rPr>
                <w:rFonts w:hint="eastAsia"/>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trPr>
        <w:tc>
          <w:tcPr>
            <w:tcW w:w="709" w:type="dxa"/>
            <w:vAlign w:val="center"/>
          </w:tcPr>
          <w:p>
            <w:pPr>
              <w:pStyle w:val="38"/>
            </w:pPr>
            <w:r>
              <w:rPr>
                <w:rFonts w:hint="eastAsia"/>
              </w:rPr>
              <w:t>15</w:t>
            </w:r>
          </w:p>
        </w:tc>
        <w:tc>
          <w:tcPr>
            <w:tcW w:w="2234" w:type="dxa"/>
            <w:vMerge w:val="continue"/>
            <w:vAlign w:val="center"/>
          </w:tcPr>
          <w:p>
            <w:pPr>
              <w:pStyle w:val="38"/>
            </w:pPr>
          </w:p>
        </w:tc>
        <w:tc>
          <w:tcPr>
            <w:tcW w:w="4570" w:type="dxa"/>
            <w:vAlign w:val="center"/>
          </w:tcPr>
          <w:p>
            <w:pPr>
              <w:pStyle w:val="38"/>
            </w:pPr>
            <w:r>
              <w:rPr>
                <w:rFonts w:hint="eastAsia"/>
              </w:rPr>
              <w:t>综合卫生管理系统</w:t>
            </w:r>
          </w:p>
        </w:tc>
        <w:tc>
          <w:tcPr>
            <w:tcW w:w="778" w:type="dxa"/>
            <w:vAlign w:val="center"/>
          </w:tcPr>
          <w:p>
            <w:pPr>
              <w:pStyle w:val="38"/>
            </w:pPr>
            <w:r>
              <w:rPr>
                <w:rFonts w:hint="eastAsia"/>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trPr>
        <w:tc>
          <w:tcPr>
            <w:tcW w:w="709" w:type="dxa"/>
            <w:vAlign w:val="center"/>
          </w:tcPr>
          <w:p>
            <w:pPr>
              <w:pStyle w:val="38"/>
            </w:pPr>
            <w:r>
              <w:rPr>
                <w:rFonts w:hint="eastAsia"/>
              </w:rPr>
              <w:t>16</w:t>
            </w:r>
          </w:p>
        </w:tc>
        <w:tc>
          <w:tcPr>
            <w:tcW w:w="2234" w:type="dxa"/>
            <w:vMerge w:val="continue"/>
            <w:vAlign w:val="center"/>
          </w:tcPr>
          <w:p>
            <w:pPr>
              <w:pStyle w:val="38"/>
            </w:pPr>
          </w:p>
        </w:tc>
        <w:tc>
          <w:tcPr>
            <w:tcW w:w="4570" w:type="dxa"/>
            <w:vAlign w:val="center"/>
          </w:tcPr>
          <w:p>
            <w:pPr>
              <w:pStyle w:val="38"/>
            </w:pPr>
            <w:r>
              <w:rPr>
                <w:rFonts w:hint="eastAsia"/>
              </w:rPr>
              <w:t>专业卫生站所接入</w:t>
            </w:r>
          </w:p>
        </w:tc>
        <w:tc>
          <w:tcPr>
            <w:tcW w:w="778" w:type="dxa"/>
            <w:vAlign w:val="center"/>
          </w:tcPr>
          <w:p>
            <w:pPr>
              <w:pStyle w:val="38"/>
            </w:pPr>
            <w:r>
              <w:rPr>
                <w:rFonts w:hint="eastAsia"/>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trPr>
        <w:tc>
          <w:tcPr>
            <w:tcW w:w="709" w:type="dxa"/>
            <w:vAlign w:val="center"/>
          </w:tcPr>
          <w:p>
            <w:pPr>
              <w:pStyle w:val="38"/>
            </w:pPr>
            <w:r>
              <w:rPr>
                <w:rFonts w:hint="eastAsia"/>
              </w:rPr>
              <w:t>17</w:t>
            </w:r>
          </w:p>
        </w:tc>
        <w:tc>
          <w:tcPr>
            <w:tcW w:w="2234" w:type="dxa"/>
            <w:vMerge w:val="continue"/>
            <w:vAlign w:val="center"/>
          </w:tcPr>
          <w:p>
            <w:pPr>
              <w:pStyle w:val="38"/>
            </w:pPr>
          </w:p>
        </w:tc>
        <w:tc>
          <w:tcPr>
            <w:tcW w:w="4570" w:type="dxa"/>
            <w:vAlign w:val="center"/>
          </w:tcPr>
          <w:p>
            <w:pPr>
              <w:pStyle w:val="38"/>
            </w:pPr>
            <w:r>
              <w:rPr>
                <w:rFonts w:hint="eastAsia"/>
              </w:rPr>
              <w:t>行业外平台接入</w:t>
            </w:r>
          </w:p>
        </w:tc>
        <w:tc>
          <w:tcPr>
            <w:tcW w:w="778" w:type="dxa"/>
            <w:vAlign w:val="center"/>
          </w:tcPr>
          <w:p>
            <w:pPr>
              <w:pStyle w:val="38"/>
            </w:pPr>
            <w:r>
              <w:rPr>
                <w:rFonts w:hint="eastAsia"/>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trPr>
        <w:tc>
          <w:tcPr>
            <w:tcW w:w="709" w:type="dxa"/>
            <w:vAlign w:val="center"/>
          </w:tcPr>
          <w:p>
            <w:pPr>
              <w:pStyle w:val="38"/>
            </w:pPr>
            <w:r>
              <w:rPr>
                <w:rFonts w:hint="eastAsia"/>
              </w:rPr>
              <w:t>18</w:t>
            </w:r>
          </w:p>
        </w:tc>
        <w:tc>
          <w:tcPr>
            <w:tcW w:w="2234" w:type="dxa"/>
            <w:vMerge w:val="restart"/>
            <w:vAlign w:val="center"/>
          </w:tcPr>
          <w:p>
            <w:pPr>
              <w:pStyle w:val="38"/>
            </w:pPr>
            <w:r>
              <w:rPr>
                <w:rFonts w:hint="eastAsia"/>
              </w:rPr>
              <w:t>医疗机构接入改造</w:t>
            </w:r>
          </w:p>
        </w:tc>
        <w:tc>
          <w:tcPr>
            <w:tcW w:w="4570" w:type="dxa"/>
            <w:vAlign w:val="center"/>
          </w:tcPr>
          <w:p>
            <w:pPr>
              <w:pStyle w:val="38"/>
            </w:pPr>
            <w:r>
              <w:rPr>
                <w:rFonts w:hint="eastAsia"/>
              </w:rPr>
              <w:t>数据采集升级</w:t>
            </w:r>
          </w:p>
        </w:tc>
        <w:tc>
          <w:tcPr>
            <w:tcW w:w="778" w:type="dxa"/>
            <w:vAlign w:val="center"/>
          </w:tcPr>
          <w:p>
            <w:pPr>
              <w:pStyle w:val="38"/>
            </w:pPr>
            <w:r>
              <w:rPr>
                <w:rFonts w:hint="eastAsia"/>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trPr>
        <w:tc>
          <w:tcPr>
            <w:tcW w:w="709" w:type="dxa"/>
            <w:vAlign w:val="center"/>
          </w:tcPr>
          <w:p>
            <w:pPr>
              <w:pStyle w:val="38"/>
            </w:pPr>
            <w:r>
              <w:rPr>
                <w:rFonts w:hint="eastAsia"/>
              </w:rPr>
              <w:t>19</w:t>
            </w:r>
          </w:p>
        </w:tc>
        <w:tc>
          <w:tcPr>
            <w:tcW w:w="2234" w:type="dxa"/>
            <w:vMerge w:val="continue"/>
            <w:vAlign w:val="center"/>
          </w:tcPr>
          <w:p>
            <w:pPr>
              <w:pStyle w:val="38"/>
            </w:pPr>
          </w:p>
        </w:tc>
        <w:tc>
          <w:tcPr>
            <w:tcW w:w="4570" w:type="dxa"/>
            <w:vAlign w:val="center"/>
          </w:tcPr>
          <w:p>
            <w:pPr>
              <w:pStyle w:val="38"/>
            </w:pPr>
            <w:r>
              <w:rPr>
                <w:rFonts w:hint="eastAsia"/>
              </w:rPr>
              <w:t>诊疗提醒接入</w:t>
            </w:r>
          </w:p>
        </w:tc>
        <w:tc>
          <w:tcPr>
            <w:tcW w:w="778" w:type="dxa"/>
            <w:vAlign w:val="center"/>
          </w:tcPr>
          <w:p>
            <w:pPr>
              <w:pStyle w:val="38"/>
            </w:pPr>
            <w:r>
              <w:rPr>
                <w:rFonts w:hint="eastAsia"/>
              </w:rPr>
              <w:t>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trPr>
        <w:tc>
          <w:tcPr>
            <w:tcW w:w="709" w:type="dxa"/>
            <w:vAlign w:val="center"/>
          </w:tcPr>
          <w:p>
            <w:pPr>
              <w:pStyle w:val="38"/>
            </w:pPr>
            <w:r>
              <w:rPr>
                <w:rFonts w:hint="eastAsia"/>
              </w:rPr>
              <w:t>20</w:t>
            </w:r>
          </w:p>
        </w:tc>
        <w:tc>
          <w:tcPr>
            <w:tcW w:w="2234" w:type="dxa"/>
            <w:vMerge w:val="continue"/>
            <w:vAlign w:val="center"/>
          </w:tcPr>
          <w:p>
            <w:pPr>
              <w:pStyle w:val="38"/>
            </w:pPr>
          </w:p>
        </w:tc>
        <w:tc>
          <w:tcPr>
            <w:tcW w:w="4570" w:type="dxa"/>
            <w:vAlign w:val="center"/>
          </w:tcPr>
          <w:p>
            <w:pPr>
              <w:pStyle w:val="38"/>
            </w:pPr>
            <w:r>
              <w:rPr>
                <w:rFonts w:hint="eastAsia"/>
              </w:rPr>
              <w:t>公卫提醒接入</w:t>
            </w:r>
          </w:p>
        </w:tc>
        <w:tc>
          <w:tcPr>
            <w:tcW w:w="778" w:type="dxa"/>
            <w:vAlign w:val="center"/>
          </w:tcPr>
          <w:p>
            <w:pPr>
              <w:pStyle w:val="38"/>
            </w:pPr>
            <w:r>
              <w:rPr>
                <w:rFonts w:hint="eastAsia"/>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trPr>
        <w:tc>
          <w:tcPr>
            <w:tcW w:w="709" w:type="dxa"/>
            <w:vAlign w:val="center"/>
          </w:tcPr>
          <w:p>
            <w:pPr>
              <w:pStyle w:val="38"/>
            </w:pPr>
            <w:r>
              <w:rPr>
                <w:rFonts w:hint="eastAsia"/>
              </w:rPr>
              <w:t>21</w:t>
            </w:r>
          </w:p>
        </w:tc>
        <w:tc>
          <w:tcPr>
            <w:tcW w:w="2234" w:type="dxa"/>
            <w:vMerge w:val="restart"/>
            <w:vAlign w:val="center"/>
          </w:tcPr>
          <w:p>
            <w:pPr>
              <w:pStyle w:val="38"/>
            </w:pPr>
            <w:r>
              <w:rPr>
                <w:rFonts w:hint="eastAsia"/>
              </w:rPr>
              <w:t>咨询与技术服务</w:t>
            </w:r>
          </w:p>
        </w:tc>
        <w:tc>
          <w:tcPr>
            <w:tcW w:w="4570" w:type="dxa"/>
            <w:vAlign w:val="center"/>
          </w:tcPr>
          <w:p>
            <w:pPr>
              <w:pStyle w:val="38"/>
            </w:pPr>
            <w:r>
              <w:rPr>
                <w:rFonts w:hint="eastAsia"/>
              </w:rPr>
              <w:t>政策指标咨询、文档服务、测评过程服务</w:t>
            </w:r>
          </w:p>
        </w:tc>
        <w:tc>
          <w:tcPr>
            <w:tcW w:w="778" w:type="dxa"/>
            <w:vAlign w:val="center"/>
          </w:tcPr>
          <w:p>
            <w:pPr>
              <w:pStyle w:val="38"/>
            </w:pPr>
            <w:r>
              <w:rPr>
                <w:rFonts w:hint="eastAsia"/>
              </w:rPr>
              <w:t>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trPr>
        <w:tc>
          <w:tcPr>
            <w:tcW w:w="709" w:type="dxa"/>
            <w:vAlign w:val="center"/>
          </w:tcPr>
          <w:p>
            <w:pPr>
              <w:pStyle w:val="38"/>
            </w:pPr>
            <w:r>
              <w:rPr>
                <w:rFonts w:hint="eastAsia"/>
              </w:rPr>
              <w:t>22</w:t>
            </w:r>
          </w:p>
        </w:tc>
        <w:tc>
          <w:tcPr>
            <w:tcW w:w="2234" w:type="dxa"/>
            <w:vMerge w:val="continue"/>
            <w:vAlign w:val="center"/>
          </w:tcPr>
          <w:p>
            <w:pPr>
              <w:pStyle w:val="38"/>
            </w:pPr>
          </w:p>
        </w:tc>
        <w:tc>
          <w:tcPr>
            <w:tcW w:w="4570" w:type="dxa"/>
            <w:vAlign w:val="center"/>
          </w:tcPr>
          <w:p>
            <w:pPr>
              <w:pStyle w:val="38"/>
            </w:pPr>
            <w:r>
              <w:rPr>
                <w:rFonts w:hint="eastAsia"/>
              </w:rPr>
              <w:t>实验室测评技术服务</w:t>
            </w:r>
          </w:p>
        </w:tc>
        <w:tc>
          <w:tcPr>
            <w:tcW w:w="778" w:type="dxa"/>
            <w:vAlign w:val="center"/>
          </w:tcPr>
          <w:p>
            <w:pPr>
              <w:pStyle w:val="38"/>
            </w:pPr>
            <w:r>
              <w:rPr>
                <w:rFonts w:hint="eastAsia"/>
              </w:rPr>
              <w:t>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trPr>
        <w:tc>
          <w:tcPr>
            <w:tcW w:w="709" w:type="dxa"/>
            <w:vAlign w:val="center"/>
          </w:tcPr>
          <w:p>
            <w:pPr>
              <w:pStyle w:val="38"/>
            </w:pPr>
            <w:r>
              <w:rPr>
                <w:rFonts w:hint="eastAsia"/>
              </w:rPr>
              <w:t>2</w:t>
            </w:r>
            <w:r>
              <w:t>3</w:t>
            </w:r>
          </w:p>
        </w:tc>
        <w:tc>
          <w:tcPr>
            <w:tcW w:w="2234" w:type="dxa"/>
            <w:vMerge w:val="restart"/>
            <w:vAlign w:val="center"/>
          </w:tcPr>
          <w:p>
            <w:pPr>
              <w:pStyle w:val="38"/>
            </w:pPr>
            <w:r>
              <w:rPr>
                <w:rFonts w:hint="eastAsia"/>
                <w:highlight w:val="none"/>
                <w:shd w:val="clear"/>
              </w:rPr>
              <w:t>互联互通项目信息安全升级</w:t>
            </w:r>
          </w:p>
        </w:tc>
        <w:tc>
          <w:tcPr>
            <w:tcW w:w="4570" w:type="dxa"/>
            <w:vAlign w:val="center"/>
          </w:tcPr>
          <w:p>
            <w:pPr>
              <w:pStyle w:val="38"/>
            </w:pPr>
            <w:r>
              <w:rPr>
                <w:rFonts w:hint="eastAsia"/>
              </w:rPr>
              <w:t>双因素认证系统</w:t>
            </w:r>
          </w:p>
        </w:tc>
        <w:tc>
          <w:tcPr>
            <w:tcW w:w="778" w:type="dxa"/>
            <w:vAlign w:val="center"/>
          </w:tcPr>
          <w:p>
            <w:pPr>
              <w:pStyle w:val="38"/>
            </w:pPr>
            <w:r>
              <w:rPr>
                <w:rFonts w:hint="eastAsia"/>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trPr>
        <w:tc>
          <w:tcPr>
            <w:tcW w:w="709" w:type="dxa"/>
            <w:vAlign w:val="center"/>
          </w:tcPr>
          <w:p>
            <w:pPr>
              <w:pStyle w:val="38"/>
            </w:pPr>
            <w:r>
              <w:rPr>
                <w:rFonts w:hint="eastAsia"/>
              </w:rPr>
              <w:t>2</w:t>
            </w:r>
            <w:r>
              <w:t>4</w:t>
            </w:r>
          </w:p>
        </w:tc>
        <w:tc>
          <w:tcPr>
            <w:tcW w:w="2234" w:type="dxa"/>
            <w:vMerge w:val="continue"/>
            <w:vAlign w:val="center"/>
          </w:tcPr>
          <w:p>
            <w:pPr>
              <w:pStyle w:val="38"/>
            </w:pPr>
          </w:p>
        </w:tc>
        <w:tc>
          <w:tcPr>
            <w:tcW w:w="4570" w:type="dxa"/>
            <w:vAlign w:val="center"/>
          </w:tcPr>
          <w:p>
            <w:pPr>
              <w:pStyle w:val="38"/>
            </w:pPr>
            <w:r>
              <w:rPr>
                <w:rFonts w:hint="eastAsia"/>
              </w:rPr>
              <w:t>出口防毒墙病毒库升级</w:t>
            </w:r>
          </w:p>
        </w:tc>
        <w:tc>
          <w:tcPr>
            <w:tcW w:w="778" w:type="dxa"/>
            <w:vAlign w:val="center"/>
          </w:tcPr>
          <w:p>
            <w:pPr>
              <w:pStyle w:val="38"/>
            </w:pPr>
            <w:r>
              <w:rPr>
                <w:rFonts w:hint="eastAsia"/>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trPr>
        <w:tc>
          <w:tcPr>
            <w:tcW w:w="709" w:type="dxa"/>
            <w:vAlign w:val="center"/>
          </w:tcPr>
          <w:p>
            <w:pPr>
              <w:pStyle w:val="38"/>
            </w:pPr>
            <w:r>
              <w:rPr>
                <w:rFonts w:hint="eastAsia"/>
              </w:rPr>
              <w:t>2</w:t>
            </w:r>
            <w:r>
              <w:t>5</w:t>
            </w:r>
          </w:p>
        </w:tc>
        <w:tc>
          <w:tcPr>
            <w:tcW w:w="2234" w:type="dxa"/>
            <w:vMerge w:val="continue"/>
            <w:vAlign w:val="center"/>
          </w:tcPr>
          <w:p>
            <w:pPr>
              <w:pStyle w:val="38"/>
            </w:pPr>
          </w:p>
        </w:tc>
        <w:tc>
          <w:tcPr>
            <w:tcW w:w="4570" w:type="dxa"/>
            <w:vAlign w:val="center"/>
          </w:tcPr>
          <w:p>
            <w:pPr>
              <w:pStyle w:val="38"/>
            </w:pPr>
            <w:r>
              <w:rPr>
                <w:rFonts w:hint="eastAsia"/>
              </w:rPr>
              <w:t>平台全业务容灾系统</w:t>
            </w:r>
          </w:p>
        </w:tc>
        <w:tc>
          <w:tcPr>
            <w:tcW w:w="778" w:type="dxa"/>
            <w:vAlign w:val="center"/>
          </w:tcPr>
          <w:p>
            <w:pPr>
              <w:pStyle w:val="38"/>
            </w:pPr>
            <w:r>
              <w:rPr>
                <w:rFonts w:hint="eastAsia"/>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trPr>
        <w:tc>
          <w:tcPr>
            <w:tcW w:w="709" w:type="dxa"/>
            <w:vAlign w:val="center"/>
          </w:tcPr>
          <w:p>
            <w:pPr>
              <w:pStyle w:val="38"/>
            </w:pPr>
            <w:r>
              <w:rPr>
                <w:rFonts w:hint="eastAsia"/>
              </w:rPr>
              <w:t>2</w:t>
            </w:r>
            <w:r>
              <w:t>6</w:t>
            </w:r>
          </w:p>
        </w:tc>
        <w:tc>
          <w:tcPr>
            <w:tcW w:w="2234" w:type="dxa"/>
            <w:vMerge w:val="continue"/>
            <w:vAlign w:val="center"/>
          </w:tcPr>
          <w:p>
            <w:pPr>
              <w:pStyle w:val="38"/>
            </w:pPr>
          </w:p>
        </w:tc>
        <w:tc>
          <w:tcPr>
            <w:tcW w:w="4570" w:type="dxa"/>
            <w:vAlign w:val="center"/>
          </w:tcPr>
          <w:p>
            <w:pPr>
              <w:pStyle w:val="38"/>
            </w:pPr>
            <w:r>
              <w:rPr>
                <w:rFonts w:hint="eastAsia"/>
              </w:rPr>
              <w:t>威胁感知</w:t>
            </w:r>
          </w:p>
        </w:tc>
        <w:tc>
          <w:tcPr>
            <w:tcW w:w="778" w:type="dxa"/>
            <w:vAlign w:val="center"/>
          </w:tcPr>
          <w:p>
            <w:pPr>
              <w:pStyle w:val="38"/>
            </w:pPr>
            <w:r>
              <w:rPr>
                <w:rFonts w:hint="eastAsia"/>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trPr>
        <w:tc>
          <w:tcPr>
            <w:tcW w:w="709" w:type="dxa"/>
            <w:vAlign w:val="center"/>
          </w:tcPr>
          <w:p>
            <w:pPr>
              <w:pStyle w:val="38"/>
            </w:pPr>
            <w:r>
              <w:rPr>
                <w:rFonts w:hint="eastAsia"/>
              </w:rPr>
              <w:t>2</w:t>
            </w:r>
            <w:r>
              <w:t>7</w:t>
            </w:r>
          </w:p>
        </w:tc>
        <w:tc>
          <w:tcPr>
            <w:tcW w:w="2234" w:type="dxa"/>
            <w:vMerge w:val="continue"/>
            <w:vAlign w:val="center"/>
          </w:tcPr>
          <w:p>
            <w:pPr>
              <w:pStyle w:val="38"/>
            </w:pPr>
          </w:p>
        </w:tc>
        <w:tc>
          <w:tcPr>
            <w:tcW w:w="4570" w:type="dxa"/>
            <w:vAlign w:val="center"/>
          </w:tcPr>
          <w:p>
            <w:pPr>
              <w:pStyle w:val="38"/>
            </w:pPr>
            <w:r>
              <w:rPr>
                <w:rFonts w:hint="eastAsia"/>
              </w:rPr>
              <w:t>入侵防御系统升级</w:t>
            </w:r>
          </w:p>
        </w:tc>
        <w:tc>
          <w:tcPr>
            <w:tcW w:w="778" w:type="dxa"/>
            <w:vAlign w:val="center"/>
          </w:tcPr>
          <w:p>
            <w:pPr>
              <w:pStyle w:val="38"/>
            </w:pPr>
            <w:r>
              <w:rPr>
                <w:rFonts w:hint="eastAsia"/>
              </w:rPr>
              <w:t>1套</w:t>
            </w:r>
          </w:p>
        </w:tc>
      </w:tr>
    </w:tbl>
    <w:p>
      <w:pPr>
        <w:pStyle w:val="3"/>
        <w:numPr>
          <w:ilvl w:val="0"/>
          <w:numId w:val="2"/>
        </w:numPr>
        <w:spacing w:line="360" w:lineRule="auto"/>
        <w:ind w:firstLine="0"/>
        <w:rPr>
          <w:sz w:val="32"/>
          <w:szCs w:val="24"/>
          <w:lang w:val="en-GB"/>
        </w:rPr>
      </w:pPr>
      <w:bookmarkStart w:id="1" w:name="_Toc467835954"/>
      <w:r>
        <w:rPr>
          <w:rFonts w:hint="eastAsia"/>
          <w:sz w:val="32"/>
          <w:szCs w:val="24"/>
          <w:lang w:val="en-GB"/>
        </w:rPr>
        <w:t>总体技术要求</w:t>
      </w:r>
      <w:bookmarkEnd w:id="1"/>
    </w:p>
    <w:p>
      <w:pPr>
        <w:tabs>
          <w:tab w:val="left" w:pos="0"/>
        </w:tabs>
        <w:jc w:val="left"/>
        <w:rPr>
          <w:szCs w:val="28"/>
        </w:rPr>
      </w:pPr>
      <w:r>
        <w:rPr>
          <w:rFonts w:hint="eastAsia"/>
          <w:szCs w:val="28"/>
        </w:rPr>
        <w:tab/>
      </w:r>
      <w:r>
        <w:rPr>
          <w:szCs w:val="28"/>
        </w:rPr>
        <w:t>▲1</w:t>
      </w:r>
      <w:r>
        <w:rPr>
          <w:rFonts w:hint="eastAsia"/>
          <w:szCs w:val="28"/>
        </w:rPr>
        <w:t>、系统应基于宁海区域平台和医疗卫生机构现有的硬件、网络、软件系统平台和数据库环境，充分利用现有资源，不浪费现有设备。</w:t>
      </w:r>
    </w:p>
    <w:p>
      <w:pPr>
        <w:tabs>
          <w:tab w:val="left" w:pos="0"/>
        </w:tabs>
        <w:jc w:val="left"/>
        <w:rPr>
          <w:szCs w:val="28"/>
        </w:rPr>
      </w:pPr>
      <w:r>
        <w:rPr>
          <w:rFonts w:hint="eastAsia"/>
          <w:szCs w:val="28"/>
        </w:rPr>
        <w:tab/>
      </w:r>
      <w:r>
        <w:rPr>
          <w:szCs w:val="28"/>
        </w:rPr>
        <w:t>▲</w:t>
      </w:r>
      <w:r>
        <w:rPr>
          <w:rFonts w:hint="eastAsia"/>
          <w:szCs w:val="28"/>
        </w:rPr>
        <w:t>2、确保与当前基层医疗机构的区域HIS进行无缝链接。</w:t>
      </w:r>
    </w:p>
    <w:p>
      <w:pPr>
        <w:tabs>
          <w:tab w:val="left" w:pos="0"/>
        </w:tabs>
        <w:jc w:val="left"/>
        <w:rPr>
          <w:szCs w:val="28"/>
        </w:rPr>
      </w:pPr>
      <w:r>
        <w:rPr>
          <w:rFonts w:hint="eastAsia"/>
          <w:szCs w:val="28"/>
        </w:rPr>
        <w:tab/>
      </w:r>
      <w:r>
        <w:rPr>
          <w:szCs w:val="28"/>
        </w:rPr>
        <w:t>3</w:t>
      </w:r>
      <w:r>
        <w:rPr>
          <w:rFonts w:hint="eastAsia"/>
          <w:szCs w:val="28"/>
        </w:rPr>
        <w:t>、数据库设计结构合理，运行效率高。</w:t>
      </w:r>
      <w:r>
        <w:rPr>
          <w:szCs w:val="28"/>
        </w:rPr>
        <w:t xml:space="preserve"> </w:t>
      </w:r>
    </w:p>
    <w:p>
      <w:pPr>
        <w:tabs>
          <w:tab w:val="left" w:pos="0"/>
        </w:tabs>
        <w:jc w:val="left"/>
        <w:rPr>
          <w:szCs w:val="28"/>
        </w:rPr>
      </w:pPr>
      <w:r>
        <w:rPr>
          <w:rFonts w:hint="eastAsia"/>
          <w:szCs w:val="28"/>
        </w:rPr>
        <w:tab/>
      </w:r>
      <w:r>
        <w:rPr>
          <w:szCs w:val="28"/>
        </w:rPr>
        <w:t>4</w:t>
      </w:r>
      <w:r>
        <w:rPr>
          <w:rFonts w:hint="eastAsia"/>
          <w:szCs w:val="28"/>
        </w:rPr>
        <w:t>、软件设计严格执行国家有关软件工程的标准，保证系统质量，提供完整、准确、详细的产品说明书，应用设计符合国际、国家、医疗卫生行业有关标准、规范和宁海自身的发展规划。</w:t>
      </w:r>
    </w:p>
    <w:p>
      <w:pPr>
        <w:tabs>
          <w:tab w:val="left" w:pos="0"/>
        </w:tabs>
        <w:jc w:val="left"/>
        <w:rPr>
          <w:szCs w:val="28"/>
        </w:rPr>
      </w:pPr>
      <w:r>
        <w:rPr>
          <w:rFonts w:hint="eastAsia"/>
          <w:szCs w:val="28"/>
        </w:rPr>
        <w:tab/>
      </w:r>
      <w:r>
        <w:rPr>
          <w:szCs w:val="28"/>
        </w:rPr>
        <w:t>5</w:t>
      </w:r>
      <w:r>
        <w:rPr>
          <w:rFonts w:hint="eastAsia"/>
          <w:szCs w:val="28"/>
        </w:rPr>
        <w:t>、系统遵从所涉及的业务的国际标准、国家标准及规范各项技术规定，做好系统的标准化设计与管理工作。</w:t>
      </w:r>
    </w:p>
    <w:p>
      <w:pPr>
        <w:tabs>
          <w:tab w:val="left" w:pos="0"/>
        </w:tabs>
        <w:jc w:val="left"/>
        <w:rPr>
          <w:szCs w:val="28"/>
        </w:rPr>
      </w:pPr>
      <w:r>
        <w:rPr>
          <w:rFonts w:hint="eastAsia"/>
          <w:szCs w:val="28"/>
        </w:rPr>
        <w:tab/>
      </w:r>
      <w:r>
        <w:rPr>
          <w:szCs w:val="28"/>
        </w:rPr>
        <w:t>6</w:t>
      </w:r>
      <w:r>
        <w:rPr>
          <w:rFonts w:hint="eastAsia"/>
          <w:szCs w:val="28"/>
        </w:rPr>
        <w:t>、支持7×24 小时以上连续运行；</w:t>
      </w:r>
    </w:p>
    <w:p>
      <w:pPr>
        <w:tabs>
          <w:tab w:val="left" w:pos="0"/>
        </w:tabs>
        <w:jc w:val="left"/>
        <w:rPr>
          <w:szCs w:val="28"/>
        </w:rPr>
      </w:pPr>
      <w:r>
        <w:rPr>
          <w:rFonts w:hint="eastAsia"/>
          <w:szCs w:val="28"/>
        </w:rPr>
        <w:tab/>
      </w:r>
      <w:r>
        <w:rPr>
          <w:szCs w:val="28"/>
        </w:rPr>
        <w:t>7</w:t>
      </w:r>
      <w:r>
        <w:rPr>
          <w:rFonts w:hint="eastAsia"/>
          <w:szCs w:val="28"/>
        </w:rPr>
        <w:t>、支持XML数据交换标准，运用医疗数据交换协议HL7。</w:t>
      </w:r>
    </w:p>
    <w:p>
      <w:pPr>
        <w:pStyle w:val="3"/>
        <w:numPr>
          <w:ilvl w:val="0"/>
          <w:numId w:val="2"/>
        </w:numPr>
        <w:spacing w:line="360" w:lineRule="auto"/>
        <w:ind w:firstLine="0"/>
        <w:rPr>
          <w:sz w:val="32"/>
          <w:szCs w:val="24"/>
          <w:lang w:val="en-GB"/>
        </w:rPr>
      </w:pPr>
      <w:bookmarkStart w:id="2" w:name="_Toc467835955"/>
      <w:r>
        <w:rPr>
          <w:rFonts w:hint="eastAsia"/>
          <w:sz w:val="32"/>
          <w:szCs w:val="24"/>
          <w:lang w:val="en-GB"/>
        </w:rPr>
        <w:t>详细技术要求</w:t>
      </w:r>
      <w:bookmarkEnd w:id="2"/>
    </w:p>
    <w:p>
      <w:pPr>
        <w:pStyle w:val="4"/>
        <w:numPr>
          <w:ilvl w:val="1"/>
          <w:numId w:val="2"/>
        </w:numPr>
        <w:spacing w:line="360" w:lineRule="auto"/>
        <w:ind w:firstLine="0"/>
      </w:pPr>
      <w:r>
        <w:rPr>
          <w:rFonts w:hint="eastAsia"/>
        </w:rPr>
        <w:t>数据资源标准化升级</w:t>
      </w:r>
    </w:p>
    <w:p>
      <w:pPr>
        <w:ind w:firstLine="480"/>
        <w:rPr>
          <w:bCs/>
          <w:szCs w:val="21"/>
        </w:rPr>
      </w:pPr>
      <w:r>
        <w:rPr>
          <w:rFonts w:hint="eastAsia"/>
          <w:bCs/>
          <w:szCs w:val="21"/>
        </w:rPr>
        <w:t>根据互联互通数据资源标准化要求，针对当前数据存储、采集范围的缺漏，以及未实现数据资源标准化的现状，数据标准化改造方面需要建设以下内容：</w:t>
      </w:r>
    </w:p>
    <w:p>
      <w:pPr>
        <w:pStyle w:val="5"/>
      </w:pPr>
      <w:r>
        <w:rPr>
          <w:rFonts w:hint="eastAsia"/>
        </w:rPr>
        <w:t>数据集标准化</w:t>
      </w:r>
    </w:p>
    <w:p>
      <w:pPr>
        <w:ind w:firstLine="480"/>
        <w:rPr>
          <w:bCs/>
          <w:szCs w:val="21"/>
        </w:rPr>
      </w:pPr>
      <w:r>
        <w:rPr>
          <w:rFonts w:hint="eastAsia"/>
          <w:bCs/>
          <w:szCs w:val="21"/>
        </w:rPr>
        <w:t>数据集标准化需要符合国家互联互通测评要求，需要升级的数据集包括：</w:t>
      </w:r>
    </w:p>
    <w:p>
      <w:pPr>
        <w:ind w:firstLine="480"/>
        <w:rPr>
          <w:bCs/>
          <w:szCs w:val="21"/>
        </w:rPr>
      </w:pPr>
      <w:r>
        <w:rPr>
          <w:rFonts w:hint="eastAsia"/>
          <w:bCs/>
          <w:szCs w:val="21"/>
        </w:rPr>
        <w:t>个人基本信息、健康体检、出生医学证明、死亡医学证明、新生儿家庭访视、儿童健康检查、产前随访、产后 42 天健康检查、产后访视、2 型糖尿病患者随访、预防接种、高血压患者随访、传染病报告、转诊（院）信息、会诊信息、住院摘要、门诊摘要。</w:t>
      </w:r>
    </w:p>
    <w:p>
      <w:pPr>
        <w:ind w:firstLine="480"/>
        <w:rPr>
          <w:bCs/>
          <w:szCs w:val="21"/>
        </w:rPr>
      </w:pPr>
      <w:r>
        <w:rPr>
          <w:rFonts w:hint="eastAsia"/>
          <w:bCs/>
          <w:szCs w:val="21"/>
        </w:rPr>
        <w:t>标准符合性以互联互通测评指定的第三方检测机构实验室测评为准。</w:t>
      </w:r>
    </w:p>
    <w:p>
      <w:pPr>
        <w:pStyle w:val="5"/>
      </w:pPr>
      <w:r>
        <w:rPr>
          <w:rFonts w:hint="eastAsia"/>
        </w:rPr>
        <w:t>共享文档标准化</w:t>
      </w:r>
    </w:p>
    <w:p>
      <w:pPr>
        <w:ind w:firstLine="480"/>
        <w:rPr>
          <w:bCs/>
          <w:szCs w:val="21"/>
        </w:rPr>
      </w:pPr>
      <w:r>
        <w:rPr>
          <w:rFonts w:hint="eastAsia"/>
          <w:bCs/>
          <w:szCs w:val="21"/>
        </w:rPr>
        <w:t>共享文档标准化需要符合国家互联互通测评要求，需要升级的共享文档包括：</w:t>
      </w:r>
    </w:p>
    <w:p>
      <w:pPr>
        <w:ind w:firstLine="480"/>
        <w:rPr>
          <w:bCs/>
          <w:szCs w:val="21"/>
        </w:rPr>
      </w:pPr>
      <w:r>
        <w:rPr>
          <w:rFonts w:hint="eastAsia"/>
          <w:bCs/>
          <w:szCs w:val="21"/>
        </w:rPr>
        <w:t>个人基本信息、成人健康体检、出生医学证明、新生儿家庭访视、儿童健康检查、首次产前随访服务、产前随访服务、高血压患者随访、产后访视、产后 42 天健康检查、死亡医学证明、预防接种报告、2 型糖尿病患者随访、门诊摘要、住院摘要。</w:t>
      </w:r>
    </w:p>
    <w:p>
      <w:pPr>
        <w:ind w:firstLine="480"/>
        <w:rPr>
          <w:bCs/>
          <w:szCs w:val="21"/>
        </w:rPr>
      </w:pPr>
      <w:r>
        <w:rPr>
          <w:rFonts w:hint="eastAsia"/>
          <w:bCs/>
          <w:szCs w:val="21"/>
        </w:rPr>
        <w:t>标准符合性以互联互通测评指定的第三方检测机构实验室测评为准。</w:t>
      </w:r>
    </w:p>
    <w:p>
      <w:pPr>
        <w:rPr>
          <w:sz w:val="18"/>
        </w:rPr>
      </w:pPr>
    </w:p>
    <w:p>
      <w:pPr>
        <w:pStyle w:val="4"/>
        <w:numPr>
          <w:ilvl w:val="1"/>
          <w:numId w:val="2"/>
        </w:numPr>
        <w:spacing w:line="360" w:lineRule="auto"/>
        <w:ind w:firstLine="0"/>
      </w:pPr>
      <w:bookmarkStart w:id="3" w:name="_Toc20246"/>
      <w:bookmarkStart w:id="4" w:name="_Toc257109320"/>
      <w:bookmarkStart w:id="5" w:name="_Toc381700289"/>
      <w:bookmarkStart w:id="6" w:name="_Toc231793837"/>
      <w:r>
        <w:rPr>
          <w:rFonts w:hint="eastAsia"/>
        </w:rPr>
        <w:t>互联互通标准化</w:t>
      </w:r>
      <w:bookmarkEnd w:id="3"/>
      <w:bookmarkEnd w:id="4"/>
      <w:bookmarkEnd w:id="5"/>
      <w:bookmarkEnd w:id="6"/>
      <w:r>
        <w:rPr>
          <w:rFonts w:hint="eastAsia"/>
        </w:rPr>
        <w:t>建设</w:t>
      </w:r>
    </w:p>
    <w:p>
      <w:pPr>
        <w:ind w:firstLine="480"/>
        <w:rPr>
          <w:bCs/>
        </w:rPr>
      </w:pPr>
      <w:r>
        <w:rPr>
          <w:rFonts w:hint="eastAsia"/>
          <w:bCs/>
        </w:rPr>
        <w:t>针对国家互联互通标注化建设的要求，分析宁海区域卫生信息平台目前与标准之间的差距，需要建设完善相关系统，主要建设内容如下：</w:t>
      </w:r>
    </w:p>
    <w:p>
      <w:pPr>
        <w:pStyle w:val="5"/>
      </w:pPr>
      <w:r>
        <w:rPr>
          <w:rFonts w:hint="eastAsia"/>
        </w:rPr>
        <w:t>共享文档管理系统</w:t>
      </w:r>
    </w:p>
    <w:p>
      <w:pPr>
        <w:ind w:firstLine="480"/>
        <w:rPr>
          <w:rFonts w:cstheme="majorBidi"/>
          <w:b/>
          <w:bCs/>
          <w:szCs w:val="28"/>
        </w:rPr>
      </w:pPr>
      <w:r>
        <w:rPr>
          <w:rFonts w:hint="eastAsia"/>
          <w:bCs/>
        </w:rPr>
        <w:t>共享文档管理系统需具备共享文档的解析、组装、注册功能，能够通过模板匹配方式可以将共享文档（xml）解析为可以阅读展示的数据项，也可以把业务数据转换成共享文档进行存储和共享。文档转换工具具备文档的验证功能，可以验证相关的共享文档是否符合规范。共享文档支持WS 482《卫生信息共享文档编制规范》、WS/T 483《健康档案共享文档规范》等规范要求。支持的共享文档覆盖国家四级乙等测评的要求。系统支持独立的文档库，文档库数据库支持Oracle。</w:t>
      </w:r>
    </w:p>
    <w:p>
      <w:pPr>
        <w:pStyle w:val="5"/>
      </w:pPr>
      <w:r>
        <w:rPr>
          <w:rFonts w:hint="eastAsia"/>
        </w:rPr>
        <w:t>互联互通标准化服务</w:t>
      </w:r>
    </w:p>
    <w:p>
      <w:pPr>
        <w:ind w:firstLine="480"/>
        <w:rPr>
          <w:bCs/>
        </w:rPr>
      </w:pPr>
      <w:r>
        <w:rPr>
          <w:rFonts w:hint="eastAsia"/>
          <w:bCs/>
        </w:rPr>
        <w:t>系统提供互联互通的标准化服务，标准化服务包括健康档案管理标准服务和卫生资源注册服务。其中健康档案管理标准服务包括健康档案整合、调阅、存储等服务；卫生资源注册包括：</w:t>
      </w:r>
      <w:bookmarkStart w:id="7" w:name="_Hlk18568899"/>
      <w:r>
        <w:rPr>
          <w:rFonts w:hint="eastAsia"/>
          <w:bCs/>
        </w:rPr>
        <w:t>个人注册服务、医疗人员注册服务、医疗机构注册服务</w:t>
      </w:r>
      <w:bookmarkEnd w:id="7"/>
      <w:r>
        <w:rPr>
          <w:rFonts w:hint="eastAsia"/>
          <w:bCs/>
        </w:rPr>
        <w:t>。卫生资源注册服务是对区域内的医疗机构信息、医务人员信息、居民信息进行收集和维护。所有的服务符合互联互通测评的规范要求，支持第三方检测机构测评。</w:t>
      </w:r>
    </w:p>
    <w:p>
      <w:pPr>
        <w:pStyle w:val="5"/>
      </w:pPr>
      <w:r>
        <w:rPr>
          <w:rFonts w:hint="eastAsia"/>
        </w:rPr>
        <w:t>ESB升级改造</w:t>
      </w:r>
    </w:p>
    <w:p>
      <w:pPr>
        <w:ind w:firstLine="480"/>
      </w:pPr>
      <w:r>
        <w:rPr>
          <w:rFonts w:hint="eastAsia"/>
        </w:rPr>
        <w:t>ESB支持标准服务的加载处理，支持的服务包括：个人注册服务、医疗人员注册服务、医疗机构注册服务、健康档案整合服务、健康档案调阅服务、健康档案存储服务，支持服务授权管理，支持服务的可视化配置，支持服务性能监控等功能。</w:t>
      </w:r>
    </w:p>
    <w:p>
      <w:pPr>
        <w:pStyle w:val="5"/>
      </w:pPr>
      <w:r>
        <w:rPr>
          <w:rFonts w:hint="eastAsia"/>
        </w:rPr>
        <w:t>标准字典管理</w:t>
      </w:r>
    </w:p>
    <w:p>
      <w:pPr>
        <w:ind w:firstLine="480"/>
        <w:rPr>
          <w:bCs/>
        </w:rPr>
      </w:pPr>
      <w:r>
        <w:rPr>
          <w:rFonts w:hint="eastAsia"/>
          <w:bCs/>
        </w:rPr>
        <w:t>基于区域卫生信息平台，升级基础字典管理系统。通过标准管理系统对基础字典管理。基础字典目录维护包括：新增字典、修改字典、删除字典、查询等。</w:t>
      </w:r>
    </w:p>
    <w:p>
      <w:pPr>
        <w:pStyle w:val="5"/>
      </w:pPr>
      <w:r>
        <w:rPr>
          <w:rFonts w:hint="eastAsia"/>
        </w:rPr>
        <w:t>健康档案主索引系统</w:t>
      </w:r>
    </w:p>
    <w:p>
      <w:pPr>
        <w:ind w:firstLine="480"/>
        <w:rPr>
          <w:bCs/>
        </w:rPr>
      </w:pPr>
      <w:r>
        <w:rPr>
          <w:rFonts w:hint="eastAsia"/>
          <w:bCs/>
        </w:rPr>
        <w:t>健康档案主索引其主要用途是在一个复杂的医疗体系内，通过唯一的患者标识将多个医疗信息系统有效地关联在一起。以实现各个系统之间的互联互通，保证对同一个患者，分布在不同系统中的个人信息采集的完整性和准确性。系统支持通过模糊检索如身份证、姓名、出生日期、性别、地址等信息找出类似个体，评估匹配度，通过匹配度判断进行自动归并还是人为归并。系统支持将多份档案信息归并到一份主档案上。</w:t>
      </w:r>
    </w:p>
    <w:p>
      <w:pPr>
        <w:pStyle w:val="5"/>
      </w:pPr>
      <w:r>
        <w:rPr>
          <w:rFonts w:hint="eastAsia"/>
        </w:rPr>
        <w:t>全生命周期健康档案展示系统</w:t>
      </w:r>
    </w:p>
    <w:p>
      <w:pPr>
        <w:ind w:firstLine="480"/>
      </w:pPr>
      <w:r>
        <w:rPr>
          <w:rFonts w:hint="eastAsia"/>
          <w:bCs/>
        </w:rPr>
        <w:t>健康档案架构是以人的健康为中心，以生命阶段、健康和疾病问题、卫生服务活动（或干预措施）作为三个纬度构建的一个逻辑架构，通过一定的时序性、层次性和逻辑性，将人一生中面临的健康和疾病问题、针对性的卫生服务活动（或干预措施）以及所记录的相关信息有机地关联起来，使之系统化、条理化和结构化。全生命周期健康管理包含六个阶段：婴儿期健康管理、儿童期健康管理、少年期健康管理、青年期健康管理、中年期健康管理、老年期健康管理。</w:t>
      </w:r>
    </w:p>
    <w:p>
      <w:pPr>
        <w:pStyle w:val="5"/>
      </w:pPr>
      <w:r>
        <w:rPr>
          <w:rFonts w:hint="eastAsia"/>
        </w:rPr>
        <w:t>服务及报表统计性能优化</w:t>
      </w:r>
    </w:p>
    <w:p>
      <w:pPr>
        <w:numPr>
          <w:ilvl w:val="0"/>
          <w:numId w:val="4"/>
        </w:numPr>
        <w:ind w:firstLine="480"/>
        <w:rPr>
          <w:rFonts w:cs="微软雅黑"/>
          <w:kern w:val="0"/>
          <w:szCs w:val="21"/>
        </w:rPr>
      </w:pPr>
      <w:r>
        <w:rPr>
          <w:rFonts w:hint="eastAsia" w:cs="微软雅黑"/>
          <w:kern w:val="0"/>
          <w:szCs w:val="21"/>
        </w:rPr>
        <w:t>基础服务平均响应时间要求</w:t>
      </w:r>
    </w:p>
    <w:p>
      <w:pPr>
        <w:ind w:firstLine="480"/>
        <w:rPr>
          <w:rFonts w:cs="微软雅黑"/>
        </w:rPr>
      </w:pPr>
      <w:r>
        <w:rPr>
          <w:rFonts w:hint="eastAsia" w:cs="微软雅黑"/>
        </w:rPr>
        <w:t>个人基本信息查询：（总记录至少50万以上）从业务系统输入查询条件，按个人唯一标识查询单个个人基本信息，统计从提交查询消息到返回查询结果的时间要求：3秒以内。</w:t>
      </w:r>
    </w:p>
    <w:p>
      <w:pPr>
        <w:ind w:firstLine="480"/>
        <w:rPr>
          <w:rFonts w:cs="微软雅黑"/>
        </w:rPr>
      </w:pPr>
      <w:r>
        <w:rPr>
          <w:rFonts w:hint="eastAsia" w:cs="微软雅黑"/>
        </w:rPr>
        <w:t>健康档案查询：从业务系统输入查询条件，按个人唯一标识查询, 统计从提交查询消息到返回患者电子健康档案文档目录树的时间要求：3秒以内。</w:t>
      </w:r>
    </w:p>
    <w:p>
      <w:pPr>
        <w:rPr>
          <w:rFonts w:cs="微软雅黑"/>
          <w:kern w:val="0"/>
          <w:szCs w:val="21"/>
        </w:rPr>
      </w:pPr>
      <w:r>
        <w:rPr>
          <w:rFonts w:hint="eastAsia" w:cs="微软雅黑"/>
        </w:rPr>
        <w:t>健康档案调阅服务：从客户端输入调阅条件，按健康档案的唯一标识发起健康档案调阅请求，统计从提交调阅请求消息到获得健康档案的时间：3秒以内。</w:t>
      </w:r>
    </w:p>
    <w:p>
      <w:pPr>
        <w:numPr>
          <w:ilvl w:val="0"/>
          <w:numId w:val="4"/>
        </w:numPr>
        <w:ind w:firstLine="480"/>
        <w:rPr>
          <w:rFonts w:cs="微软雅黑"/>
          <w:kern w:val="0"/>
          <w:szCs w:val="21"/>
        </w:rPr>
      </w:pPr>
      <w:r>
        <w:rPr>
          <w:rFonts w:hint="eastAsia" w:cs="微软雅黑"/>
          <w:kern w:val="0"/>
          <w:szCs w:val="21"/>
        </w:rPr>
        <w:t>统计报表生成平均响应时间</w:t>
      </w:r>
    </w:p>
    <w:p>
      <w:pPr>
        <w:ind w:firstLine="480"/>
        <w:rPr>
          <w:rFonts w:cs="微软雅黑"/>
          <w:kern w:val="0"/>
          <w:szCs w:val="21"/>
        </w:rPr>
      </w:pPr>
      <w:r>
        <w:rPr>
          <w:rFonts w:hint="eastAsia" w:cs="微软雅黑"/>
          <w:kern w:val="0"/>
          <w:szCs w:val="21"/>
        </w:rPr>
        <w:t>2-5岁以下婴儿死亡率统计 ；孕、产妇死亡率统计；高血压患者规范化管理率统计；糖尿病患者规范化管理率统计；乙型肝炎表面抗原携带率统计；适龄儿童免疫规划疫苗接种率统计；三岁以下儿童系统管理率统计；孕、产妇住院分娩率统计；孕、产妇系统管理率统计；门诊就诊人次（月）；住院人次（月）；检验人次（月）。</w:t>
      </w:r>
    </w:p>
    <w:p>
      <w:pPr>
        <w:ind w:firstLine="480"/>
        <w:rPr>
          <w:rFonts w:cs="微软雅黑"/>
          <w:kern w:val="0"/>
          <w:szCs w:val="21"/>
        </w:rPr>
      </w:pPr>
      <w:r>
        <w:rPr>
          <w:rFonts w:hint="eastAsia" w:cs="微软雅黑"/>
          <w:kern w:val="0"/>
          <w:szCs w:val="21"/>
        </w:rPr>
        <w:t>要求统计时间在：5秒以内。</w:t>
      </w:r>
    </w:p>
    <w:p>
      <w:pPr>
        <w:ind w:firstLine="480"/>
      </w:pPr>
    </w:p>
    <w:p>
      <w:pPr>
        <w:pStyle w:val="4"/>
        <w:numPr>
          <w:ilvl w:val="1"/>
          <w:numId w:val="2"/>
        </w:numPr>
        <w:spacing w:line="360" w:lineRule="auto"/>
        <w:ind w:firstLine="0"/>
      </w:pPr>
      <w:r>
        <w:rPr>
          <w:rFonts w:hint="eastAsia"/>
        </w:rPr>
        <w:t>基础设施升级改造</w:t>
      </w:r>
    </w:p>
    <w:p>
      <w:pPr>
        <w:pStyle w:val="5"/>
      </w:pPr>
      <w:r>
        <w:rPr>
          <w:rFonts w:hint="eastAsia"/>
        </w:rPr>
        <w:t>信息安全体系升级</w:t>
      </w:r>
    </w:p>
    <w:p>
      <w:pPr>
        <w:ind w:firstLine="480"/>
        <w:rPr>
          <w:rFonts w:cs="微软雅黑"/>
          <w:kern w:val="0"/>
          <w:szCs w:val="21"/>
        </w:rPr>
      </w:pPr>
      <w:r>
        <w:rPr>
          <w:rFonts w:hint="eastAsia" w:cs="微软雅黑"/>
          <w:kern w:val="0"/>
          <w:szCs w:val="21"/>
        </w:rPr>
        <w:t>针对健康档案数据访问增加警示功能，在居民健康档案浏览器被访问后，短信发至居民手机，提示居民其健康档案被调阅，如非本人请及时修改登陆密码。</w:t>
      </w:r>
    </w:p>
    <w:p>
      <w:pPr>
        <w:pStyle w:val="5"/>
      </w:pPr>
      <w:r>
        <w:rPr>
          <w:rFonts w:hint="eastAsia"/>
        </w:rPr>
        <w:t>数据质量监管体系升级</w:t>
      </w:r>
    </w:p>
    <w:p>
      <w:pPr>
        <w:ind w:firstLine="480"/>
        <w:rPr>
          <w:rFonts w:cs="仿宋_GB2312"/>
        </w:rPr>
      </w:pPr>
      <w:r>
        <w:rPr>
          <w:rFonts w:hint="eastAsia" w:cs="仿宋_GB2312"/>
        </w:rPr>
        <w:t>数据是所有上层应用的基础，数据质量的好坏将直接影响到应用系统的使用效果，因此是否可以成功的实现数据质量的控制，保证数据的质量是一个非常关键的研究内容。</w:t>
      </w:r>
    </w:p>
    <w:p>
      <w:pPr>
        <w:ind w:firstLine="480"/>
        <w:rPr>
          <w:rFonts w:cs="仿宋_GB2312"/>
        </w:rPr>
      </w:pPr>
      <w:r>
        <w:rPr>
          <w:rFonts w:hint="eastAsia" w:cs="仿宋_GB2312"/>
        </w:rPr>
        <w:t>为提高数据的采集质量，需要建立卫生数据采集管理制度、建立卫生数据采集动态监管系统、建立卫生数据采集质量分析系统，对账数据统计包括对账业务分析、对账明细汇总、基层对账分析、下发对账分析、对账月报、对账年报、数据上行报表、数据上行比率。</w:t>
      </w:r>
    </w:p>
    <w:p>
      <w:pPr>
        <w:pStyle w:val="5"/>
      </w:pPr>
      <w:r>
        <w:rPr>
          <w:rFonts w:hint="eastAsia"/>
        </w:rPr>
        <w:t>机构绩效考评系统</w:t>
      </w:r>
    </w:p>
    <w:p>
      <w:pPr>
        <w:ind w:firstLine="480"/>
        <w:rPr>
          <w:rFonts w:cs="仿宋_GB2312"/>
        </w:rPr>
      </w:pPr>
      <w:r>
        <w:rPr>
          <w:rFonts w:hint="eastAsia" w:cs="仿宋_GB2312"/>
        </w:rPr>
        <w:t>医疗机构绩效管理系统是县卫健局统筹推进辖区内医疗机构医疗质量和管理水平提升的手段，是以确保考核机制公平、提升区域医疗与从业员工效益、提高工作效率、保持区域医疗健康事业发展平衡为目的，从而使管理者能够及时掌握数据，为科学精细管理提供有力保障与支撑</w:t>
      </w:r>
      <w:r>
        <w:rPr>
          <w:rFonts w:hint="eastAsia"/>
        </w:rPr>
        <w:t>。</w:t>
      </w:r>
    </w:p>
    <w:p>
      <w:pPr>
        <w:ind w:firstLine="480"/>
        <w:rPr>
          <w:rFonts w:cs="仿宋_GB2312"/>
        </w:rPr>
      </w:pPr>
      <w:r>
        <w:rPr>
          <w:rFonts w:hint="eastAsia" w:cs="仿宋_GB2312"/>
        </w:rPr>
        <w:t>医疗机构的绩效评估系统，功能包括：成本模块、数据统计作业模块、绩效管理基础设置模块、绩效管理模块、成本分析模块。系统支持考核指标自定义和评分规则的设置，支持考核计划制定，支持相关数据的自动抓取，同时也允许人为进行相关指标的打分，自动生成考评结果。评分结果支持多家医疗机构的比较、同比环比的展示。</w:t>
      </w:r>
    </w:p>
    <w:p>
      <w:pPr>
        <w:pStyle w:val="4"/>
        <w:numPr>
          <w:ilvl w:val="1"/>
          <w:numId w:val="2"/>
        </w:numPr>
        <w:spacing w:line="360" w:lineRule="auto"/>
        <w:ind w:firstLine="0"/>
      </w:pPr>
      <w:r>
        <w:rPr>
          <w:rFonts w:hint="eastAsia"/>
        </w:rPr>
        <w:t>互联互通应用建设</w:t>
      </w:r>
    </w:p>
    <w:p>
      <w:pPr>
        <w:pStyle w:val="5"/>
      </w:pPr>
      <w:r>
        <w:rPr>
          <w:rFonts w:hint="eastAsia"/>
        </w:rPr>
        <w:t>区域诊疗智能提醒服务</w:t>
      </w:r>
    </w:p>
    <w:p>
      <w:pPr>
        <w:ind w:firstLine="480"/>
        <w:rPr>
          <w:rFonts w:cstheme="majorBidi"/>
          <w:b/>
          <w:bCs/>
          <w:szCs w:val="28"/>
        </w:rPr>
      </w:pPr>
      <w:r>
        <w:rPr>
          <w:rFonts w:hint="eastAsia"/>
        </w:rPr>
        <w:t>区域诊疗智能提示服务系统功能主要包括重复检查提醒、</w:t>
      </w:r>
      <w:bookmarkStart w:id="8" w:name="_Toc24333"/>
      <w:bookmarkStart w:id="9" w:name="_Toc467834583"/>
      <w:r>
        <w:rPr>
          <w:rFonts w:hint="eastAsia"/>
        </w:rPr>
        <w:t>重复检验提醒</w:t>
      </w:r>
      <w:bookmarkEnd w:id="8"/>
      <w:bookmarkEnd w:id="9"/>
      <w:r>
        <w:rPr>
          <w:rFonts w:hint="eastAsia"/>
        </w:rPr>
        <w:t>、</w:t>
      </w:r>
      <w:bookmarkStart w:id="10" w:name="_Toc1475"/>
      <w:bookmarkStart w:id="11" w:name="_Toc467834584"/>
      <w:r>
        <w:rPr>
          <w:rFonts w:hint="eastAsia"/>
        </w:rPr>
        <w:t>重复用药提醒</w:t>
      </w:r>
      <w:bookmarkEnd w:id="10"/>
      <w:bookmarkEnd w:id="11"/>
      <w:r>
        <w:rPr>
          <w:rFonts w:hint="eastAsia"/>
        </w:rPr>
        <w:t>等，</w:t>
      </w:r>
      <w:r>
        <w:t>面向各级医院和基层机构提供</w:t>
      </w:r>
      <w:r>
        <w:rPr>
          <w:rFonts w:hint="eastAsia"/>
        </w:rPr>
        <w:t>重复检验、</w:t>
      </w:r>
      <w:r>
        <w:t>重复检查以及重复用药的查询和提醒服务，减少患者重复</w:t>
      </w:r>
      <w:r>
        <w:rPr>
          <w:rFonts w:hint="eastAsia"/>
        </w:rPr>
        <w:t>医疗</w:t>
      </w:r>
      <w:r>
        <w:t>，减轻患者医疗负担。</w:t>
      </w:r>
    </w:p>
    <w:p>
      <w:pPr>
        <w:pStyle w:val="5"/>
      </w:pPr>
      <w:r>
        <w:rPr>
          <w:rFonts w:hint="eastAsia"/>
        </w:rPr>
        <w:t>集成展示门户</w:t>
      </w:r>
    </w:p>
    <w:p>
      <w:pPr>
        <w:pStyle w:val="14"/>
        <w:tabs>
          <w:tab w:val="left" w:pos="0"/>
        </w:tabs>
        <w:spacing w:before="0" w:beforeAutospacing="0" w:after="0" w:afterAutospacing="0" w:line="360" w:lineRule="auto"/>
        <w:ind w:firstLine="420"/>
        <w:rPr>
          <w:rFonts w:cs="宋体"/>
          <w:kern w:val="2"/>
          <w:sz w:val="21"/>
        </w:rPr>
      </w:pPr>
      <w:r>
        <w:rPr>
          <w:rFonts w:hint="eastAsia" w:cs="宋体"/>
          <w:kern w:val="2"/>
          <w:sz w:val="21"/>
        </w:rPr>
        <w:t>通过该门户可以集中展示重要的统计指标数据，相关业务的开展情况，相关数据利用率情况。具体建设内容包括：</w:t>
      </w:r>
    </w:p>
    <w:p>
      <w:pPr>
        <w:pStyle w:val="14"/>
        <w:tabs>
          <w:tab w:val="left" w:pos="0"/>
        </w:tabs>
        <w:spacing w:before="0" w:beforeAutospacing="0" w:after="0" w:afterAutospacing="0" w:line="360" w:lineRule="auto"/>
        <w:ind w:firstLine="420"/>
        <w:rPr>
          <w:rFonts w:cs="宋体"/>
          <w:kern w:val="2"/>
          <w:sz w:val="21"/>
        </w:rPr>
      </w:pPr>
      <w:r>
        <w:rPr>
          <w:rFonts w:hint="eastAsia" w:cs="宋体"/>
          <w:kern w:val="2"/>
          <w:sz w:val="21"/>
        </w:rPr>
        <w:t>卫生资源数据：人口、档案、病历、基础资源等数据；</w:t>
      </w:r>
    </w:p>
    <w:p>
      <w:pPr>
        <w:pStyle w:val="14"/>
        <w:tabs>
          <w:tab w:val="left" w:pos="0"/>
        </w:tabs>
        <w:spacing w:before="0" w:beforeAutospacing="0" w:after="0" w:afterAutospacing="0" w:line="360" w:lineRule="auto"/>
        <w:ind w:firstLine="420"/>
        <w:rPr>
          <w:rFonts w:cs="宋体"/>
          <w:kern w:val="2"/>
          <w:sz w:val="21"/>
        </w:rPr>
      </w:pPr>
      <w:r>
        <w:rPr>
          <w:rFonts w:hint="eastAsia" w:cs="宋体"/>
          <w:kern w:val="2"/>
          <w:sz w:val="21"/>
        </w:rPr>
        <w:t>互联互通资源：数据集、共享文档、标准服务等数据；</w:t>
      </w:r>
    </w:p>
    <w:p>
      <w:pPr>
        <w:pStyle w:val="14"/>
        <w:spacing w:before="0" w:beforeAutospacing="0" w:after="0" w:afterAutospacing="0" w:line="360" w:lineRule="auto"/>
        <w:ind w:left="1680" w:leftChars="200" w:hanging="1260" w:hangingChars="600"/>
        <w:rPr>
          <w:rFonts w:cs="宋体"/>
          <w:kern w:val="2"/>
          <w:sz w:val="21"/>
        </w:rPr>
      </w:pPr>
      <w:r>
        <w:rPr>
          <w:rFonts w:hint="eastAsia" w:cs="宋体"/>
          <w:kern w:val="2"/>
          <w:sz w:val="21"/>
        </w:rPr>
        <w:t>业务协同数据：基本信息调阅、健康档案调阅、电子病历调阅、协同公卫报病、协同随访管理、预约转诊；</w:t>
      </w:r>
    </w:p>
    <w:p>
      <w:pPr>
        <w:pStyle w:val="14"/>
        <w:tabs>
          <w:tab w:val="left" w:pos="0"/>
        </w:tabs>
        <w:spacing w:before="0" w:beforeAutospacing="0" w:after="0" w:afterAutospacing="0" w:line="360" w:lineRule="auto"/>
        <w:ind w:firstLine="420"/>
        <w:rPr>
          <w:rFonts w:cs="宋体"/>
          <w:kern w:val="2"/>
          <w:sz w:val="21"/>
        </w:rPr>
      </w:pPr>
      <w:r>
        <w:rPr>
          <w:rFonts w:hint="eastAsia" w:cs="宋体"/>
          <w:kern w:val="2"/>
          <w:sz w:val="21"/>
        </w:rPr>
        <w:t>运营分析数据：医疗收入、门诊均次费用、住院均次费用等；</w:t>
      </w:r>
    </w:p>
    <w:p>
      <w:pPr>
        <w:pStyle w:val="14"/>
        <w:tabs>
          <w:tab w:val="left" w:pos="0"/>
        </w:tabs>
        <w:spacing w:before="0" w:beforeAutospacing="0" w:after="0" w:afterAutospacing="0" w:line="360" w:lineRule="auto"/>
        <w:rPr>
          <w:rFonts w:cs="宋体"/>
          <w:kern w:val="2"/>
          <w:sz w:val="21"/>
        </w:rPr>
      </w:pPr>
      <w:r>
        <w:rPr>
          <w:rFonts w:hint="eastAsia" w:cs="宋体"/>
          <w:kern w:val="2"/>
          <w:sz w:val="21"/>
        </w:rPr>
        <w:tab/>
      </w:r>
      <w:r>
        <w:rPr>
          <w:rFonts w:hint="eastAsia" w:cs="宋体"/>
          <w:kern w:val="2"/>
          <w:sz w:val="21"/>
        </w:rPr>
        <w:t>医疗质量数据：抗菌药物使用情况，基本药物使用情况等；</w:t>
      </w:r>
    </w:p>
    <w:p>
      <w:pPr>
        <w:pStyle w:val="14"/>
        <w:tabs>
          <w:tab w:val="left" w:pos="0"/>
        </w:tabs>
        <w:spacing w:before="0" w:beforeAutospacing="0" w:after="0" w:afterAutospacing="0" w:line="360" w:lineRule="auto"/>
        <w:ind w:firstLine="420"/>
        <w:rPr>
          <w:rFonts w:cs="宋体"/>
          <w:kern w:val="2"/>
          <w:sz w:val="21"/>
        </w:rPr>
      </w:pPr>
      <w:r>
        <w:rPr>
          <w:rFonts w:hint="eastAsia" w:cs="宋体"/>
          <w:kern w:val="2"/>
          <w:sz w:val="21"/>
        </w:rPr>
        <w:t>分级诊疗数据：门诊转诊、住院转诊、检查转诊、基层随访等；</w:t>
      </w:r>
    </w:p>
    <w:p>
      <w:pPr>
        <w:pStyle w:val="14"/>
        <w:spacing w:before="0" w:beforeAutospacing="0" w:after="0" w:afterAutospacing="0" w:line="360" w:lineRule="auto"/>
        <w:ind w:left="1680" w:leftChars="200" w:hanging="1260" w:hangingChars="600"/>
        <w:rPr>
          <w:rFonts w:cs="宋体"/>
          <w:kern w:val="2"/>
          <w:sz w:val="21"/>
        </w:rPr>
      </w:pPr>
      <w:r>
        <w:rPr>
          <w:rFonts w:hint="eastAsia" w:cs="宋体"/>
          <w:kern w:val="2"/>
          <w:sz w:val="21"/>
        </w:rPr>
        <w:t>业务提醒数据：周期性公卫服务提醒、健康档案管理提醒、慢病管理任务提醒、重复检查提醒、重复检验提醒、重复用药提醒等。</w:t>
      </w:r>
    </w:p>
    <w:p>
      <w:pPr>
        <w:pStyle w:val="5"/>
      </w:pPr>
      <w:r>
        <w:rPr>
          <w:rFonts w:hint="eastAsia"/>
        </w:rPr>
        <w:t>综合卫生管理系统</w:t>
      </w:r>
    </w:p>
    <w:p>
      <w:pPr>
        <w:ind w:firstLine="480"/>
        <w:rPr>
          <w:szCs w:val="21"/>
        </w:rPr>
      </w:pPr>
      <w:r>
        <w:rPr>
          <w:rFonts w:hint="eastAsia"/>
          <w:szCs w:val="21"/>
        </w:rPr>
        <w:t>综合卫生管理系统在电子健康档案管理系统、妇幼保健系统与区域卫生信息平台的数据基础上，通过数据交换平台进行数据交换，完成业务数据的采集、分析计算，实现各业务部门数据的互联互通和信息共享，促进卫计管理部门间的业务协同，提高卫计管理工作效率和决策水平。</w:t>
      </w:r>
    </w:p>
    <w:p>
      <w:pPr>
        <w:ind w:firstLine="480"/>
        <w:rPr>
          <w:rFonts w:cstheme="majorBidi"/>
          <w:b/>
          <w:bCs/>
          <w:szCs w:val="28"/>
        </w:rPr>
      </w:pPr>
      <w:r>
        <w:rPr>
          <w:rFonts w:hint="eastAsia"/>
          <w:szCs w:val="21"/>
        </w:rPr>
        <w:t>综合卫生业务指标统计，主要包括：婴儿死亡率、5岁以下婴儿死亡率、孕产妇死亡率、糖尿病患者规范化管理率、高血压患者规范化管理率、三岁以下儿童系统管理率、孕产妇住院分娩率、孕产妇系统管理率、门诊就诊人次（月）、住院人次（月）、检验人次（月）、检查人次（月）等。</w:t>
      </w:r>
    </w:p>
    <w:p>
      <w:pPr>
        <w:pStyle w:val="5"/>
      </w:pPr>
      <w:r>
        <w:rPr>
          <w:rFonts w:hint="eastAsia"/>
        </w:rPr>
        <w:t>专业卫生站所接入</w:t>
      </w:r>
    </w:p>
    <w:p>
      <w:pPr>
        <w:ind w:firstLine="420"/>
      </w:pPr>
      <w:r>
        <w:rPr>
          <w:rFonts w:hint="eastAsia"/>
        </w:rPr>
        <w:t>平台实现与专业卫生站所的互联互通，满足四级乙等要求。</w:t>
      </w:r>
    </w:p>
    <w:p>
      <w:pPr>
        <w:pStyle w:val="5"/>
      </w:pPr>
      <w:r>
        <w:rPr>
          <w:rFonts w:hint="eastAsia"/>
        </w:rPr>
        <w:t>行业外平台接入</w:t>
      </w:r>
    </w:p>
    <w:p>
      <w:pPr>
        <w:ind w:firstLine="420"/>
        <w:rPr>
          <w:rFonts w:cs="黑体"/>
          <w:bCs/>
        </w:rPr>
      </w:pPr>
      <w:r>
        <w:rPr>
          <w:rFonts w:hint="eastAsia"/>
        </w:rPr>
        <w:t>平台实现与行业外机构的对接，满足四级乙等要求。</w:t>
      </w:r>
    </w:p>
    <w:p>
      <w:pPr>
        <w:rPr>
          <w:szCs w:val="21"/>
        </w:rPr>
      </w:pPr>
    </w:p>
    <w:p>
      <w:pPr>
        <w:pStyle w:val="4"/>
        <w:numPr>
          <w:ilvl w:val="1"/>
          <w:numId w:val="2"/>
        </w:numPr>
        <w:spacing w:line="360" w:lineRule="auto"/>
        <w:ind w:firstLine="0"/>
      </w:pPr>
      <w:r>
        <w:rPr>
          <w:rFonts w:hint="eastAsia"/>
        </w:rPr>
        <w:t>互联互通基层系统改造</w:t>
      </w:r>
    </w:p>
    <w:p>
      <w:pPr>
        <w:pStyle w:val="5"/>
      </w:pPr>
      <w:r>
        <w:rPr>
          <w:rFonts w:hint="eastAsia"/>
        </w:rPr>
        <w:t>数据资源采集</w:t>
      </w:r>
    </w:p>
    <w:p>
      <w:pPr>
        <w:ind w:firstLine="480"/>
      </w:pPr>
      <w:r>
        <w:rPr>
          <w:rFonts w:hint="eastAsia"/>
        </w:rPr>
        <w:t>依据测评的数据标准&lt;WS 365-2011城乡居民健康档案基本数据集&gt;、&lt; WS 375.9-2012 疾病控制基本数据集第9 部分：死亡医学证明&gt;</w:t>
      </w:r>
      <w:r>
        <w:rPr>
          <w:rFonts w:hint="eastAsia"/>
          <w:bCs/>
        </w:rPr>
        <w:t>、WS/T 483《健康档案共享文档规范》，将医疗机构数据的上传至区域卫生信息平台，具体接入的范围以区域平台要求的数据集和共享文档为准。</w:t>
      </w:r>
    </w:p>
    <w:p>
      <w:pPr>
        <w:pStyle w:val="5"/>
      </w:pPr>
      <w:r>
        <w:rPr>
          <w:rFonts w:hint="eastAsia"/>
        </w:rPr>
        <w:t>诊疗提醒接入</w:t>
      </w:r>
    </w:p>
    <w:p>
      <w:pPr>
        <w:ind w:firstLine="480"/>
      </w:pPr>
      <w:r>
        <w:rPr>
          <w:rFonts w:hint="eastAsia"/>
        </w:rPr>
        <w:t>接入平台提供的诊疗提醒服务，包括：</w:t>
      </w:r>
      <w:r>
        <w:t xml:space="preserve"> </w:t>
      </w:r>
    </w:p>
    <w:p>
      <w:pPr>
        <w:numPr>
          <w:ilvl w:val="0"/>
          <w:numId w:val="5"/>
        </w:numPr>
        <w:ind w:firstLine="480"/>
      </w:pPr>
      <w:r>
        <w:rPr>
          <w:rFonts w:hint="eastAsia"/>
        </w:rPr>
        <w:t>在医生开处方时，调用重复用药检测服务，如果存在重复用药情况，则提示医生。</w:t>
      </w:r>
    </w:p>
    <w:p>
      <w:pPr>
        <w:numPr>
          <w:ilvl w:val="0"/>
          <w:numId w:val="5"/>
        </w:numPr>
        <w:ind w:firstLine="480"/>
      </w:pPr>
      <w:r>
        <w:rPr>
          <w:rFonts w:hint="eastAsia"/>
        </w:rPr>
        <w:t>在医生开检查单时，调用重复检查检测服务，如果存在重复检查情况，则提示医生。</w:t>
      </w:r>
    </w:p>
    <w:p>
      <w:pPr>
        <w:numPr>
          <w:ilvl w:val="0"/>
          <w:numId w:val="5"/>
        </w:numPr>
        <w:ind w:firstLine="480"/>
      </w:pPr>
      <w:r>
        <w:rPr>
          <w:rFonts w:hint="eastAsia"/>
        </w:rPr>
        <w:t>在医生开化验单时，调用重复检验检测服务，如果存在重复检验情况，则提示医生。</w:t>
      </w:r>
    </w:p>
    <w:p>
      <w:pPr>
        <w:pStyle w:val="5"/>
      </w:pPr>
      <w:r>
        <w:rPr>
          <w:rFonts w:hint="eastAsia"/>
        </w:rPr>
        <w:t>公卫提醒接入</w:t>
      </w:r>
    </w:p>
    <w:p>
      <w:pPr>
        <w:ind w:firstLine="480"/>
      </w:pPr>
      <w:r>
        <w:rPr>
          <w:rFonts w:hint="eastAsia"/>
        </w:rPr>
        <w:t>接入平台提供的公卫提醒服务，包括：</w:t>
      </w:r>
      <w:r>
        <w:t xml:space="preserve"> </w:t>
      </w:r>
    </w:p>
    <w:p>
      <w:pPr>
        <w:numPr>
          <w:ilvl w:val="0"/>
          <w:numId w:val="6"/>
        </w:numPr>
        <w:ind w:firstLine="480"/>
      </w:pPr>
      <w:r>
        <w:rPr>
          <w:rFonts w:hint="eastAsia"/>
        </w:rPr>
        <w:t>家庭档案管理功能。</w:t>
      </w:r>
    </w:p>
    <w:p>
      <w:pPr>
        <w:numPr>
          <w:ilvl w:val="0"/>
          <w:numId w:val="6"/>
        </w:numPr>
        <w:ind w:firstLine="480"/>
      </w:pPr>
      <w:r>
        <w:rPr>
          <w:rFonts w:hint="eastAsia"/>
        </w:rPr>
        <w:t>慢病管理提醒功能。</w:t>
      </w:r>
    </w:p>
    <w:p>
      <w:pPr>
        <w:numPr>
          <w:ilvl w:val="0"/>
          <w:numId w:val="6"/>
        </w:numPr>
        <w:ind w:firstLine="480"/>
      </w:pPr>
      <w:r>
        <w:rPr>
          <w:rFonts w:hint="eastAsia"/>
        </w:rPr>
        <w:t>传染病管理任务提醒功能。</w:t>
      </w:r>
    </w:p>
    <w:p>
      <w:pPr>
        <w:numPr>
          <w:ilvl w:val="0"/>
          <w:numId w:val="6"/>
        </w:numPr>
        <w:ind w:firstLine="480"/>
      </w:pPr>
      <w:r>
        <w:rPr>
          <w:rFonts w:hint="eastAsia"/>
        </w:rPr>
        <w:t>死亡提醒功能。</w:t>
      </w:r>
    </w:p>
    <w:p>
      <w:pPr>
        <w:pStyle w:val="4"/>
        <w:numPr>
          <w:ilvl w:val="1"/>
          <w:numId w:val="2"/>
        </w:numPr>
        <w:spacing w:line="360" w:lineRule="auto"/>
        <w:ind w:firstLine="0"/>
      </w:pPr>
      <w:r>
        <w:rPr>
          <w:rFonts w:hint="eastAsia"/>
        </w:rPr>
        <w:t>咨询与技术服务</w:t>
      </w:r>
    </w:p>
    <w:p>
      <w:pPr>
        <w:ind w:firstLine="480"/>
        <w:rPr>
          <w:szCs w:val="21"/>
        </w:rPr>
      </w:pPr>
      <w:r>
        <w:rPr>
          <w:rFonts w:hint="eastAsia"/>
          <w:szCs w:val="21"/>
        </w:rPr>
        <w:t>为了通过区域卫生信息互联互通成熟度测评四级乙等的测评，需要服务提供商提供咨询与相关的技术服务。主要包括：</w:t>
      </w:r>
    </w:p>
    <w:p>
      <w:pPr>
        <w:numPr>
          <w:ilvl w:val="0"/>
          <w:numId w:val="7"/>
        </w:numPr>
        <w:ind w:firstLine="480"/>
        <w:rPr>
          <w:szCs w:val="21"/>
        </w:rPr>
      </w:pPr>
      <w:r>
        <w:rPr>
          <w:rFonts w:hint="eastAsia"/>
          <w:szCs w:val="21"/>
        </w:rPr>
        <w:t>互联互通测评政策、制度、过程的解读培训。</w:t>
      </w:r>
    </w:p>
    <w:p>
      <w:pPr>
        <w:numPr>
          <w:ilvl w:val="0"/>
          <w:numId w:val="7"/>
        </w:numPr>
        <w:ind w:firstLine="480"/>
        <w:rPr>
          <w:szCs w:val="21"/>
        </w:rPr>
      </w:pPr>
      <w:r>
        <w:rPr>
          <w:rFonts w:hint="eastAsia"/>
          <w:szCs w:val="21"/>
        </w:rPr>
        <w:t>互联互通测评的指标解读及现有区域卫生信息化建设现状的分析，形成自评估表，协助完成测评报名相关工作。</w:t>
      </w:r>
    </w:p>
    <w:p>
      <w:pPr>
        <w:numPr>
          <w:ilvl w:val="0"/>
          <w:numId w:val="7"/>
        </w:numPr>
        <w:ind w:firstLine="480"/>
        <w:rPr>
          <w:szCs w:val="21"/>
        </w:rPr>
      </w:pPr>
      <w:r>
        <w:rPr>
          <w:rFonts w:hint="eastAsia"/>
          <w:szCs w:val="21"/>
        </w:rPr>
        <w:t>根据自评估表形成解决方案建议，并协助推进相关系统的建设和整改。</w:t>
      </w:r>
    </w:p>
    <w:p>
      <w:pPr>
        <w:numPr>
          <w:ilvl w:val="0"/>
          <w:numId w:val="7"/>
        </w:numPr>
        <w:ind w:firstLine="480"/>
        <w:rPr>
          <w:szCs w:val="21"/>
        </w:rPr>
      </w:pPr>
      <w:r>
        <w:rPr>
          <w:rFonts w:hint="eastAsia"/>
          <w:szCs w:val="21"/>
        </w:rPr>
        <w:t>根据互联互通测评过程要求，为入围答辩、预评估、文审答辩、现场查验的环节提供支持。</w:t>
      </w:r>
    </w:p>
    <w:p>
      <w:pPr>
        <w:numPr>
          <w:ilvl w:val="0"/>
          <w:numId w:val="7"/>
        </w:numPr>
        <w:ind w:firstLine="480"/>
        <w:rPr>
          <w:szCs w:val="21"/>
          <w:highlight w:val="none"/>
        </w:rPr>
      </w:pPr>
      <w:r>
        <w:rPr>
          <w:rFonts w:hint="eastAsia"/>
          <w:szCs w:val="21"/>
          <w:highlight w:val="none"/>
        </w:rPr>
        <w:t>协助区域平台完善第三方检测机构的实验室测评。</w:t>
      </w:r>
    </w:p>
    <w:p>
      <w:pPr>
        <w:pStyle w:val="4"/>
        <w:numPr>
          <w:ilvl w:val="1"/>
          <w:numId w:val="2"/>
        </w:numPr>
        <w:spacing w:line="360" w:lineRule="auto"/>
        <w:ind w:firstLine="0"/>
        <w:rPr>
          <w:highlight w:val="none"/>
        </w:rPr>
      </w:pPr>
      <w:r>
        <w:rPr>
          <w:rFonts w:hint="eastAsia"/>
          <w:highlight w:val="none"/>
        </w:rPr>
        <w:t>互联互通项目信息安全升级</w:t>
      </w:r>
    </w:p>
    <w:p>
      <w:pPr>
        <w:pStyle w:val="5"/>
        <w:rPr>
          <w:highlight w:val="none"/>
        </w:rPr>
      </w:pPr>
      <w:r>
        <w:rPr>
          <w:rFonts w:hint="eastAsia"/>
          <w:highlight w:val="none"/>
        </w:rPr>
        <w:t>双因素认证系统</w:t>
      </w:r>
    </w:p>
    <w:tbl>
      <w:tblPr>
        <w:tblStyle w:val="16"/>
        <w:tblW w:w="8080"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2"/>
        <w:gridCol w:w="6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2" w:type="dxa"/>
            <w:tcBorders>
              <w:top w:val="single" w:color="auto" w:sz="4" w:space="0"/>
              <w:left w:val="single" w:color="auto" w:sz="4" w:space="0"/>
              <w:bottom w:val="single" w:color="auto" w:sz="4" w:space="0"/>
              <w:right w:val="single" w:color="auto" w:sz="4" w:space="0"/>
            </w:tcBorders>
            <w:shd w:val="clear" w:color="auto" w:fill="E7E6E6"/>
            <w:vAlign w:val="center"/>
          </w:tcPr>
          <w:p>
            <w:pPr>
              <w:pStyle w:val="38"/>
            </w:pPr>
            <w:r>
              <w:rPr>
                <w:rFonts w:hint="eastAsia"/>
              </w:rPr>
              <w:t>指标项</w:t>
            </w:r>
          </w:p>
        </w:tc>
        <w:tc>
          <w:tcPr>
            <w:tcW w:w="6408" w:type="dxa"/>
            <w:tcBorders>
              <w:top w:val="single" w:color="auto" w:sz="4" w:space="0"/>
              <w:left w:val="single" w:color="auto" w:sz="4" w:space="0"/>
              <w:bottom w:val="single" w:color="auto" w:sz="4" w:space="0"/>
              <w:right w:val="single" w:color="auto" w:sz="4" w:space="0"/>
            </w:tcBorders>
            <w:shd w:val="clear" w:color="auto" w:fill="E7E6E6"/>
          </w:tcPr>
          <w:p>
            <w:pPr>
              <w:pStyle w:val="38"/>
            </w:pPr>
            <w:r>
              <w:rPr>
                <w:rFonts w:hint="eastAsia"/>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80" w:type="dxa"/>
            <w:gridSpan w:val="2"/>
            <w:tcBorders>
              <w:top w:val="single" w:color="auto" w:sz="4" w:space="0"/>
              <w:left w:val="single" w:color="auto" w:sz="4" w:space="0"/>
              <w:bottom w:val="single" w:color="auto" w:sz="4" w:space="0"/>
              <w:right w:val="single" w:color="auto" w:sz="4" w:space="0"/>
            </w:tcBorders>
            <w:vAlign w:val="center"/>
          </w:tcPr>
          <w:p>
            <w:pPr>
              <w:pStyle w:val="38"/>
            </w:pPr>
            <w:r>
              <w:rPr>
                <w:rFonts w:hint="eastAsia"/>
              </w:rPr>
              <w:t>双因素认证服务器端软件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2" w:type="dxa"/>
            <w:tcBorders>
              <w:top w:val="single" w:color="auto" w:sz="4" w:space="0"/>
              <w:left w:val="single" w:color="auto" w:sz="4" w:space="0"/>
              <w:bottom w:val="single" w:color="auto" w:sz="4" w:space="0"/>
              <w:right w:val="single" w:color="auto" w:sz="4" w:space="0"/>
            </w:tcBorders>
            <w:vAlign w:val="center"/>
          </w:tcPr>
          <w:p>
            <w:pPr>
              <w:pStyle w:val="38"/>
            </w:pPr>
            <w:r>
              <w:rPr>
                <w:rFonts w:hint="eastAsia"/>
              </w:rPr>
              <w:t>功能</w:t>
            </w:r>
          </w:p>
        </w:tc>
        <w:tc>
          <w:tcPr>
            <w:tcW w:w="6408" w:type="dxa"/>
            <w:tcBorders>
              <w:top w:val="single" w:color="auto" w:sz="4" w:space="0"/>
              <w:left w:val="single" w:color="auto" w:sz="4" w:space="0"/>
              <w:bottom w:val="single" w:color="auto" w:sz="4" w:space="0"/>
              <w:right w:val="single" w:color="auto" w:sz="4" w:space="0"/>
            </w:tcBorders>
          </w:tcPr>
          <w:p>
            <w:pPr>
              <w:pStyle w:val="38"/>
            </w:pPr>
            <w:r>
              <w:rPr>
                <w:rFonts w:hint="eastAsia"/>
              </w:rPr>
              <w:t xml:space="preserve">帮助用户实现在账号、密码认证基础之上，增加动态密码，实现双重因子认证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2" w:type="dxa"/>
            <w:vMerge w:val="restart"/>
            <w:tcBorders>
              <w:top w:val="single" w:color="auto" w:sz="4" w:space="0"/>
              <w:left w:val="single" w:color="auto" w:sz="4" w:space="0"/>
              <w:bottom w:val="single" w:color="auto" w:sz="4" w:space="0"/>
              <w:right w:val="single" w:color="auto" w:sz="4" w:space="0"/>
            </w:tcBorders>
            <w:vAlign w:val="center"/>
          </w:tcPr>
          <w:p>
            <w:pPr>
              <w:pStyle w:val="38"/>
            </w:pPr>
            <w:r>
              <w:rPr>
                <w:rFonts w:hint="eastAsia"/>
              </w:rPr>
              <w:t>令牌绑定</w:t>
            </w:r>
          </w:p>
        </w:tc>
        <w:tc>
          <w:tcPr>
            <w:tcW w:w="6408" w:type="dxa"/>
            <w:tcBorders>
              <w:top w:val="single" w:color="auto" w:sz="4" w:space="0"/>
              <w:left w:val="single" w:color="auto" w:sz="4" w:space="0"/>
              <w:bottom w:val="single" w:color="auto" w:sz="4" w:space="0"/>
              <w:right w:val="single" w:color="auto" w:sz="4" w:space="0"/>
            </w:tcBorders>
          </w:tcPr>
          <w:p>
            <w:pPr>
              <w:pStyle w:val="38"/>
            </w:pPr>
            <w:r>
              <w:rPr>
                <w:rFonts w:hint="eastAsia"/>
              </w:rPr>
              <w:t>自助添加和更改手机号方式，实现短信密码用户自助绑定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2" w:type="dxa"/>
            <w:vMerge w:val="continue"/>
            <w:tcBorders>
              <w:top w:val="single" w:color="auto" w:sz="4" w:space="0"/>
              <w:left w:val="single" w:color="auto" w:sz="4" w:space="0"/>
              <w:bottom w:val="single" w:color="auto" w:sz="4" w:space="0"/>
              <w:right w:val="single" w:color="auto" w:sz="4" w:space="0"/>
            </w:tcBorders>
            <w:vAlign w:val="center"/>
          </w:tcPr>
          <w:p>
            <w:pPr>
              <w:pStyle w:val="38"/>
            </w:pPr>
          </w:p>
        </w:tc>
        <w:tc>
          <w:tcPr>
            <w:tcW w:w="6408" w:type="dxa"/>
            <w:tcBorders>
              <w:top w:val="single" w:color="auto" w:sz="4" w:space="0"/>
              <w:left w:val="single" w:color="auto" w:sz="4" w:space="0"/>
              <w:bottom w:val="single" w:color="auto" w:sz="4" w:space="0"/>
              <w:right w:val="single" w:color="auto" w:sz="4" w:space="0"/>
            </w:tcBorders>
          </w:tcPr>
          <w:p>
            <w:pPr>
              <w:pStyle w:val="38"/>
            </w:pPr>
            <w:r>
              <w:rPr>
                <w:rFonts w:hint="eastAsia"/>
              </w:rPr>
              <w:t>要求支持30/60变化自使用变化手机令牌，支持iOS/Andriod平台自动安装，支持用户自服务系统和动态双因素认证系统分开部署，灵活管理。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2" w:type="dxa"/>
            <w:vMerge w:val="continue"/>
            <w:tcBorders>
              <w:top w:val="single" w:color="auto" w:sz="4" w:space="0"/>
              <w:left w:val="single" w:color="auto" w:sz="4" w:space="0"/>
              <w:bottom w:val="single" w:color="auto" w:sz="4" w:space="0"/>
              <w:right w:val="single" w:color="auto" w:sz="4" w:space="0"/>
            </w:tcBorders>
            <w:vAlign w:val="center"/>
          </w:tcPr>
          <w:p>
            <w:pPr>
              <w:pStyle w:val="38"/>
            </w:pPr>
          </w:p>
        </w:tc>
        <w:tc>
          <w:tcPr>
            <w:tcW w:w="6408" w:type="dxa"/>
            <w:tcBorders>
              <w:top w:val="single" w:color="auto" w:sz="4" w:space="0"/>
              <w:left w:val="single" w:color="auto" w:sz="4" w:space="0"/>
              <w:bottom w:val="single" w:color="auto" w:sz="4" w:space="0"/>
              <w:right w:val="single" w:color="auto" w:sz="4" w:space="0"/>
            </w:tcBorders>
          </w:tcPr>
          <w:p>
            <w:pPr>
              <w:pStyle w:val="38"/>
            </w:pPr>
            <w:r>
              <w:rPr>
                <w:rFonts w:hint="eastAsia"/>
              </w:rPr>
              <w:t>通过为AD/LDAP用户的特定属性字段添加硬件令牌序列号，实现硬件令牌/手机令牌自动绑定，实现域管理与双因子认证服务器管理分离，提升绑定及更换效率；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2" w:type="dxa"/>
            <w:vMerge w:val="restart"/>
            <w:tcBorders>
              <w:top w:val="single" w:color="auto" w:sz="4" w:space="0"/>
              <w:left w:val="single" w:color="auto" w:sz="4" w:space="0"/>
              <w:bottom w:val="single" w:color="auto" w:sz="4" w:space="0"/>
              <w:right w:val="single" w:color="auto" w:sz="4" w:space="0"/>
            </w:tcBorders>
            <w:vAlign w:val="center"/>
          </w:tcPr>
          <w:p>
            <w:pPr>
              <w:pStyle w:val="38"/>
            </w:pPr>
            <w:r>
              <w:rPr>
                <w:rFonts w:hint="eastAsia"/>
              </w:rPr>
              <w:t>用户管理</w:t>
            </w:r>
          </w:p>
        </w:tc>
        <w:tc>
          <w:tcPr>
            <w:tcW w:w="6408" w:type="dxa"/>
            <w:tcBorders>
              <w:top w:val="single" w:color="auto" w:sz="4" w:space="0"/>
              <w:left w:val="single" w:color="auto" w:sz="4" w:space="0"/>
              <w:bottom w:val="single" w:color="auto" w:sz="4" w:space="0"/>
              <w:right w:val="single" w:color="auto" w:sz="4" w:space="0"/>
            </w:tcBorders>
          </w:tcPr>
          <w:p>
            <w:pPr>
              <w:pStyle w:val="38"/>
            </w:pPr>
            <w:r>
              <w:rPr>
                <w:rFonts w:hint="eastAsia"/>
              </w:rPr>
              <w:t>基于Web管理，方便操作和使用；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2" w:type="dxa"/>
            <w:vMerge w:val="continue"/>
            <w:tcBorders>
              <w:top w:val="single" w:color="auto" w:sz="4" w:space="0"/>
              <w:left w:val="single" w:color="auto" w:sz="4" w:space="0"/>
              <w:bottom w:val="single" w:color="auto" w:sz="4" w:space="0"/>
              <w:right w:val="single" w:color="auto" w:sz="4" w:space="0"/>
            </w:tcBorders>
            <w:vAlign w:val="center"/>
          </w:tcPr>
          <w:p>
            <w:pPr>
              <w:pStyle w:val="38"/>
            </w:pPr>
          </w:p>
        </w:tc>
        <w:tc>
          <w:tcPr>
            <w:tcW w:w="6408" w:type="dxa"/>
            <w:tcBorders>
              <w:top w:val="single" w:color="auto" w:sz="4" w:space="0"/>
              <w:left w:val="single" w:color="auto" w:sz="4" w:space="0"/>
              <w:bottom w:val="single" w:color="auto" w:sz="4" w:space="0"/>
              <w:right w:val="single" w:color="auto" w:sz="4" w:space="0"/>
            </w:tcBorders>
          </w:tcPr>
          <w:p>
            <w:pPr>
              <w:pStyle w:val="38"/>
            </w:pPr>
            <w:r>
              <w:rPr>
                <w:rFonts w:hint="eastAsia"/>
              </w:rPr>
              <w:t>支持认证系统内建用户账号、密码认证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2" w:type="dxa"/>
            <w:vMerge w:val="continue"/>
            <w:tcBorders>
              <w:top w:val="single" w:color="auto" w:sz="4" w:space="0"/>
              <w:left w:val="single" w:color="auto" w:sz="4" w:space="0"/>
              <w:bottom w:val="single" w:color="auto" w:sz="4" w:space="0"/>
              <w:right w:val="single" w:color="auto" w:sz="4" w:space="0"/>
            </w:tcBorders>
            <w:vAlign w:val="center"/>
          </w:tcPr>
          <w:p>
            <w:pPr>
              <w:pStyle w:val="38"/>
            </w:pPr>
          </w:p>
        </w:tc>
        <w:tc>
          <w:tcPr>
            <w:tcW w:w="6408" w:type="dxa"/>
            <w:tcBorders>
              <w:top w:val="single" w:color="auto" w:sz="4" w:space="0"/>
              <w:left w:val="single" w:color="auto" w:sz="4" w:space="0"/>
              <w:bottom w:val="single" w:color="auto" w:sz="4" w:space="0"/>
              <w:right w:val="single" w:color="auto" w:sz="4" w:space="0"/>
            </w:tcBorders>
          </w:tcPr>
          <w:p>
            <w:pPr>
              <w:pStyle w:val="38"/>
            </w:pPr>
            <w:r>
              <w:rPr>
                <w:rFonts w:hint="eastAsia"/>
              </w:rPr>
              <w:t>实现令牌/用户多对多映射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2" w:type="dxa"/>
            <w:vMerge w:val="continue"/>
            <w:tcBorders>
              <w:top w:val="single" w:color="auto" w:sz="4" w:space="0"/>
              <w:left w:val="single" w:color="auto" w:sz="4" w:space="0"/>
              <w:bottom w:val="single" w:color="auto" w:sz="4" w:space="0"/>
              <w:right w:val="single" w:color="auto" w:sz="4" w:space="0"/>
            </w:tcBorders>
            <w:vAlign w:val="center"/>
          </w:tcPr>
          <w:p>
            <w:pPr>
              <w:pStyle w:val="38"/>
            </w:pPr>
          </w:p>
        </w:tc>
        <w:tc>
          <w:tcPr>
            <w:tcW w:w="6408" w:type="dxa"/>
            <w:tcBorders>
              <w:top w:val="single" w:color="auto" w:sz="4" w:space="0"/>
              <w:left w:val="single" w:color="auto" w:sz="4" w:space="0"/>
              <w:bottom w:val="single" w:color="auto" w:sz="4" w:space="0"/>
              <w:right w:val="single" w:color="auto" w:sz="4" w:space="0"/>
            </w:tcBorders>
          </w:tcPr>
          <w:p>
            <w:pPr>
              <w:pStyle w:val="38"/>
            </w:pPr>
            <w:r>
              <w:rPr>
                <w:rFonts w:hint="eastAsia"/>
              </w:rPr>
              <w:t>支持单个用户设置认证配置，且单个用户认证设置优先与策略组配置；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2" w:type="dxa"/>
            <w:vMerge w:val="continue"/>
            <w:tcBorders>
              <w:top w:val="single" w:color="auto" w:sz="4" w:space="0"/>
              <w:left w:val="single" w:color="auto" w:sz="4" w:space="0"/>
              <w:bottom w:val="single" w:color="auto" w:sz="4" w:space="0"/>
              <w:right w:val="single" w:color="auto" w:sz="4" w:space="0"/>
            </w:tcBorders>
            <w:vAlign w:val="center"/>
          </w:tcPr>
          <w:p>
            <w:pPr>
              <w:pStyle w:val="38"/>
            </w:pPr>
          </w:p>
        </w:tc>
        <w:tc>
          <w:tcPr>
            <w:tcW w:w="6408" w:type="dxa"/>
            <w:tcBorders>
              <w:top w:val="single" w:color="auto" w:sz="4" w:space="0"/>
              <w:left w:val="single" w:color="auto" w:sz="4" w:space="0"/>
              <w:bottom w:val="single" w:color="auto" w:sz="4" w:space="0"/>
              <w:right w:val="single" w:color="auto" w:sz="4" w:space="0"/>
            </w:tcBorders>
          </w:tcPr>
          <w:p>
            <w:pPr>
              <w:pStyle w:val="38"/>
            </w:pPr>
            <w:r>
              <w:rPr>
                <w:rFonts w:hint="eastAsia"/>
              </w:rPr>
              <w:t>支持自定义系统软件LOGO、copyright等信息；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2" w:type="dxa"/>
            <w:vMerge w:val="restart"/>
            <w:tcBorders>
              <w:top w:val="single" w:color="auto" w:sz="4" w:space="0"/>
              <w:left w:val="single" w:color="auto" w:sz="4" w:space="0"/>
              <w:bottom w:val="single" w:color="auto" w:sz="4" w:space="0"/>
              <w:right w:val="single" w:color="auto" w:sz="4" w:space="0"/>
            </w:tcBorders>
            <w:vAlign w:val="center"/>
          </w:tcPr>
          <w:p>
            <w:pPr>
              <w:pStyle w:val="38"/>
            </w:pPr>
            <w:r>
              <w:rPr>
                <w:rFonts w:hint="eastAsia"/>
              </w:rPr>
              <w:t>IP地址分发</w:t>
            </w:r>
          </w:p>
        </w:tc>
        <w:tc>
          <w:tcPr>
            <w:tcW w:w="6408" w:type="dxa"/>
            <w:tcBorders>
              <w:top w:val="single" w:color="auto" w:sz="4" w:space="0"/>
              <w:left w:val="single" w:color="auto" w:sz="4" w:space="0"/>
              <w:bottom w:val="single" w:color="auto" w:sz="4" w:space="0"/>
              <w:right w:val="single" w:color="auto" w:sz="4" w:space="0"/>
            </w:tcBorders>
          </w:tcPr>
          <w:p>
            <w:pPr>
              <w:pStyle w:val="38"/>
            </w:pPr>
            <w:r>
              <w:rPr>
                <w:rFonts w:hint="eastAsia"/>
              </w:rPr>
              <w:t>支持定义分发IP地址池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2" w:type="dxa"/>
            <w:vMerge w:val="continue"/>
            <w:tcBorders>
              <w:top w:val="single" w:color="auto" w:sz="4" w:space="0"/>
              <w:left w:val="single" w:color="auto" w:sz="4" w:space="0"/>
              <w:bottom w:val="single" w:color="auto" w:sz="4" w:space="0"/>
              <w:right w:val="single" w:color="auto" w:sz="4" w:space="0"/>
            </w:tcBorders>
            <w:vAlign w:val="center"/>
          </w:tcPr>
          <w:p>
            <w:pPr>
              <w:pStyle w:val="38"/>
            </w:pPr>
          </w:p>
        </w:tc>
        <w:tc>
          <w:tcPr>
            <w:tcW w:w="6408" w:type="dxa"/>
            <w:tcBorders>
              <w:top w:val="single" w:color="auto" w:sz="4" w:space="0"/>
              <w:left w:val="single" w:color="auto" w:sz="4" w:space="0"/>
              <w:bottom w:val="single" w:color="auto" w:sz="4" w:space="0"/>
              <w:right w:val="single" w:color="auto" w:sz="4" w:space="0"/>
            </w:tcBorders>
          </w:tcPr>
          <w:p>
            <w:pPr>
              <w:pStyle w:val="38"/>
            </w:pPr>
            <w:r>
              <w:rPr>
                <w:rFonts w:hint="eastAsia"/>
              </w:rPr>
              <w:t>支持用户绑定IP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2" w:type="dxa"/>
            <w:vMerge w:val="restart"/>
            <w:tcBorders>
              <w:top w:val="single" w:color="auto" w:sz="4" w:space="0"/>
              <w:left w:val="single" w:color="auto" w:sz="4" w:space="0"/>
              <w:bottom w:val="single" w:color="auto" w:sz="4" w:space="0"/>
              <w:right w:val="single" w:color="auto" w:sz="4" w:space="0"/>
            </w:tcBorders>
            <w:vAlign w:val="center"/>
          </w:tcPr>
          <w:p>
            <w:pPr>
              <w:pStyle w:val="38"/>
            </w:pPr>
            <w:r>
              <w:rPr>
                <w:rFonts w:hint="eastAsia"/>
              </w:rPr>
              <w:t>自助服务</w:t>
            </w:r>
          </w:p>
        </w:tc>
        <w:tc>
          <w:tcPr>
            <w:tcW w:w="6408" w:type="dxa"/>
            <w:tcBorders>
              <w:top w:val="single" w:color="auto" w:sz="4" w:space="0"/>
              <w:left w:val="single" w:color="auto" w:sz="4" w:space="0"/>
              <w:bottom w:val="single" w:color="auto" w:sz="4" w:space="0"/>
              <w:right w:val="single" w:color="auto" w:sz="4" w:space="0"/>
            </w:tcBorders>
          </w:tcPr>
          <w:p>
            <w:pPr>
              <w:pStyle w:val="38"/>
            </w:pPr>
            <w:r>
              <w:rPr>
                <w:rFonts w:hint="eastAsia"/>
              </w:rPr>
              <w:t>支持用户自助绑定硬件令牌；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2" w:type="dxa"/>
            <w:vMerge w:val="continue"/>
            <w:tcBorders>
              <w:top w:val="single" w:color="auto" w:sz="4" w:space="0"/>
              <w:left w:val="single" w:color="auto" w:sz="4" w:space="0"/>
              <w:bottom w:val="single" w:color="auto" w:sz="4" w:space="0"/>
              <w:right w:val="single" w:color="auto" w:sz="4" w:space="0"/>
            </w:tcBorders>
            <w:vAlign w:val="center"/>
          </w:tcPr>
          <w:p>
            <w:pPr>
              <w:pStyle w:val="38"/>
            </w:pPr>
          </w:p>
        </w:tc>
        <w:tc>
          <w:tcPr>
            <w:tcW w:w="6408" w:type="dxa"/>
            <w:tcBorders>
              <w:top w:val="single" w:color="auto" w:sz="4" w:space="0"/>
              <w:left w:val="single" w:color="auto" w:sz="4" w:space="0"/>
              <w:bottom w:val="single" w:color="auto" w:sz="4" w:space="0"/>
              <w:right w:val="single" w:color="auto" w:sz="4" w:space="0"/>
            </w:tcBorders>
          </w:tcPr>
          <w:p>
            <w:pPr>
              <w:pStyle w:val="38"/>
            </w:pPr>
            <w:r>
              <w:rPr>
                <w:rFonts w:hint="eastAsia"/>
              </w:rPr>
              <w:t xml:space="preserve">具备用户自助维护管理个人信息与令牌功能；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2" w:type="dxa"/>
            <w:vMerge w:val="continue"/>
            <w:tcBorders>
              <w:top w:val="single" w:color="auto" w:sz="4" w:space="0"/>
              <w:left w:val="single" w:color="auto" w:sz="4" w:space="0"/>
              <w:bottom w:val="single" w:color="auto" w:sz="4" w:space="0"/>
              <w:right w:val="single" w:color="auto" w:sz="4" w:space="0"/>
            </w:tcBorders>
            <w:vAlign w:val="center"/>
          </w:tcPr>
          <w:p>
            <w:pPr>
              <w:pStyle w:val="38"/>
            </w:pPr>
          </w:p>
        </w:tc>
        <w:tc>
          <w:tcPr>
            <w:tcW w:w="6408" w:type="dxa"/>
            <w:tcBorders>
              <w:top w:val="single" w:color="auto" w:sz="4" w:space="0"/>
              <w:left w:val="single" w:color="auto" w:sz="4" w:space="0"/>
              <w:bottom w:val="single" w:color="auto" w:sz="4" w:space="0"/>
              <w:right w:val="single" w:color="auto" w:sz="4" w:space="0"/>
            </w:tcBorders>
          </w:tcPr>
          <w:p>
            <w:pPr>
              <w:pStyle w:val="38"/>
            </w:pPr>
            <w:r>
              <w:rPr>
                <w:rFonts w:hint="eastAsia"/>
              </w:rPr>
              <w:t>支持设定用户自助维护的权限控制（可修改和编辑的内容）；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2" w:type="dxa"/>
            <w:vMerge w:val="continue"/>
            <w:tcBorders>
              <w:top w:val="single" w:color="auto" w:sz="4" w:space="0"/>
              <w:left w:val="single" w:color="auto" w:sz="4" w:space="0"/>
              <w:bottom w:val="single" w:color="auto" w:sz="4" w:space="0"/>
              <w:right w:val="single" w:color="auto" w:sz="4" w:space="0"/>
            </w:tcBorders>
            <w:vAlign w:val="center"/>
          </w:tcPr>
          <w:p>
            <w:pPr>
              <w:pStyle w:val="38"/>
            </w:pPr>
          </w:p>
        </w:tc>
        <w:tc>
          <w:tcPr>
            <w:tcW w:w="6408" w:type="dxa"/>
            <w:tcBorders>
              <w:top w:val="single" w:color="auto" w:sz="4" w:space="0"/>
              <w:left w:val="single" w:color="auto" w:sz="4" w:space="0"/>
              <w:bottom w:val="single" w:color="auto" w:sz="4" w:space="0"/>
              <w:right w:val="single" w:color="auto" w:sz="4" w:space="0"/>
            </w:tcBorders>
          </w:tcPr>
          <w:p>
            <w:pPr>
              <w:pStyle w:val="38"/>
            </w:pPr>
            <w:r>
              <w:rPr>
                <w:rFonts w:hint="eastAsia"/>
              </w:rPr>
              <w:t>支持设定允许/禁用用户自助绑定、解绑令牌；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2" w:type="dxa"/>
            <w:vMerge w:val="continue"/>
            <w:tcBorders>
              <w:top w:val="single" w:color="auto" w:sz="4" w:space="0"/>
              <w:left w:val="single" w:color="auto" w:sz="4" w:space="0"/>
              <w:bottom w:val="single" w:color="auto" w:sz="4" w:space="0"/>
              <w:right w:val="single" w:color="auto" w:sz="4" w:space="0"/>
            </w:tcBorders>
            <w:vAlign w:val="center"/>
          </w:tcPr>
          <w:p>
            <w:pPr>
              <w:pStyle w:val="38"/>
            </w:pPr>
          </w:p>
        </w:tc>
        <w:tc>
          <w:tcPr>
            <w:tcW w:w="6408" w:type="dxa"/>
            <w:tcBorders>
              <w:top w:val="single" w:color="auto" w:sz="4" w:space="0"/>
              <w:left w:val="single" w:color="auto" w:sz="4" w:space="0"/>
              <w:bottom w:val="single" w:color="auto" w:sz="4" w:space="0"/>
              <w:right w:val="single" w:color="auto" w:sz="4" w:space="0"/>
            </w:tcBorders>
          </w:tcPr>
          <w:p>
            <w:pPr>
              <w:pStyle w:val="38"/>
            </w:pPr>
            <w:r>
              <w:rPr>
                <w:rFonts w:hint="eastAsia"/>
              </w:rPr>
              <w:t>支持用户自助维护自身的密码、邮箱、手机号等个人信息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2" w:type="dxa"/>
            <w:vMerge w:val="continue"/>
            <w:tcBorders>
              <w:top w:val="single" w:color="auto" w:sz="4" w:space="0"/>
              <w:left w:val="single" w:color="auto" w:sz="4" w:space="0"/>
              <w:bottom w:val="single" w:color="auto" w:sz="4" w:space="0"/>
              <w:right w:val="single" w:color="auto" w:sz="4" w:space="0"/>
            </w:tcBorders>
            <w:vAlign w:val="center"/>
          </w:tcPr>
          <w:p>
            <w:pPr>
              <w:pStyle w:val="38"/>
            </w:pPr>
          </w:p>
        </w:tc>
        <w:tc>
          <w:tcPr>
            <w:tcW w:w="6408" w:type="dxa"/>
            <w:tcBorders>
              <w:top w:val="single" w:color="auto" w:sz="4" w:space="0"/>
              <w:left w:val="single" w:color="auto" w:sz="4" w:space="0"/>
              <w:bottom w:val="single" w:color="auto" w:sz="4" w:space="0"/>
              <w:right w:val="single" w:color="auto" w:sz="4" w:space="0"/>
            </w:tcBorders>
          </w:tcPr>
          <w:p>
            <w:pPr>
              <w:pStyle w:val="38"/>
            </w:pPr>
            <w:r>
              <w:rPr>
                <w:rFonts w:hint="eastAsia"/>
              </w:rPr>
              <w:t>支持用户自助派发并绑定软件令牌，支持用户绑定令牌后（软件令牌激活后）登录自服务须校验动态口令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2" w:type="dxa"/>
            <w:vMerge w:val="continue"/>
            <w:tcBorders>
              <w:top w:val="single" w:color="auto" w:sz="4" w:space="0"/>
              <w:left w:val="single" w:color="auto" w:sz="4" w:space="0"/>
              <w:bottom w:val="single" w:color="auto" w:sz="4" w:space="0"/>
              <w:right w:val="single" w:color="auto" w:sz="4" w:space="0"/>
            </w:tcBorders>
            <w:vAlign w:val="center"/>
          </w:tcPr>
          <w:p>
            <w:pPr>
              <w:pStyle w:val="38"/>
            </w:pPr>
          </w:p>
        </w:tc>
        <w:tc>
          <w:tcPr>
            <w:tcW w:w="6408" w:type="dxa"/>
            <w:tcBorders>
              <w:top w:val="single" w:color="auto" w:sz="4" w:space="0"/>
              <w:left w:val="single" w:color="auto" w:sz="4" w:space="0"/>
              <w:bottom w:val="single" w:color="auto" w:sz="4" w:space="0"/>
              <w:right w:val="single" w:color="auto" w:sz="4" w:space="0"/>
            </w:tcBorders>
          </w:tcPr>
          <w:p>
            <w:pPr>
              <w:pStyle w:val="38"/>
            </w:pPr>
            <w:r>
              <w:rPr>
                <w:rFonts w:hint="eastAsia"/>
              </w:rPr>
              <w:t>具备用户自助解绑须校验令牌当前动态口令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2" w:type="dxa"/>
            <w:vMerge w:val="continue"/>
            <w:tcBorders>
              <w:top w:val="single" w:color="auto" w:sz="4" w:space="0"/>
              <w:left w:val="single" w:color="auto" w:sz="4" w:space="0"/>
              <w:bottom w:val="single" w:color="auto" w:sz="4" w:space="0"/>
              <w:right w:val="single" w:color="auto" w:sz="4" w:space="0"/>
            </w:tcBorders>
            <w:vAlign w:val="center"/>
          </w:tcPr>
          <w:p>
            <w:pPr>
              <w:pStyle w:val="38"/>
            </w:pPr>
          </w:p>
        </w:tc>
        <w:tc>
          <w:tcPr>
            <w:tcW w:w="6408" w:type="dxa"/>
            <w:tcBorders>
              <w:top w:val="single" w:color="auto" w:sz="4" w:space="0"/>
              <w:left w:val="single" w:color="auto" w:sz="4" w:space="0"/>
              <w:bottom w:val="single" w:color="auto" w:sz="4" w:space="0"/>
              <w:right w:val="single" w:color="auto" w:sz="4" w:space="0"/>
            </w:tcBorders>
          </w:tcPr>
          <w:p>
            <w:pPr>
              <w:pStyle w:val="38"/>
            </w:pPr>
            <w:r>
              <w:rPr>
                <w:rFonts w:hint="eastAsia"/>
              </w:rPr>
              <w:t>提供自助添加和更改手机号方式，实现短信密码用户自助绑定，减小管理成本，包括系统内建或AD/LDAP，数据库账号源；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2" w:type="dxa"/>
            <w:vMerge w:val="restart"/>
            <w:tcBorders>
              <w:top w:val="single" w:color="auto" w:sz="4" w:space="0"/>
              <w:left w:val="single" w:color="auto" w:sz="4" w:space="0"/>
              <w:bottom w:val="single" w:color="auto" w:sz="4" w:space="0"/>
              <w:right w:val="single" w:color="auto" w:sz="4" w:space="0"/>
            </w:tcBorders>
            <w:vAlign w:val="center"/>
          </w:tcPr>
          <w:p>
            <w:pPr>
              <w:pStyle w:val="38"/>
            </w:pPr>
            <w:r>
              <w:rPr>
                <w:rFonts w:hint="eastAsia"/>
              </w:rPr>
              <w:t>认证策略</w:t>
            </w:r>
          </w:p>
        </w:tc>
        <w:tc>
          <w:tcPr>
            <w:tcW w:w="6408" w:type="dxa"/>
            <w:tcBorders>
              <w:top w:val="single" w:color="auto" w:sz="4" w:space="0"/>
              <w:left w:val="single" w:color="auto" w:sz="4" w:space="0"/>
              <w:bottom w:val="single" w:color="auto" w:sz="4" w:space="0"/>
              <w:right w:val="single" w:color="auto" w:sz="4" w:space="0"/>
            </w:tcBorders>
          </w:tcPr>
          <w:p>
            <w:pPr>
              <w:pStyle w:val="38"/>
            </w:pPr>
            <w:r>
              <w:rPr>
                <w:rFonts w:hint="eastAsia"/>
              </w:rPr>
              <w:t>同时为一个用户支持硬件令牌、手机令牌、短信密码三种认证方式</w:t>
            </w:r>
          </w:p>
          <w:p>
            <w:pPr>
              <w:pStyle w:val="38"/>
            </w:pPr>
            <w:r>
              <w:rPr>
                <w:rFonts w:hint="eastAsia"/>
              </w:rPr>
              <w:t>支持用户的多种令牌组合顺序认证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2" w:type="dxa"/>
            <w:vMerge w:val="continue"/>
            <w:tcBorders>
              <w:top w:val="single" w:color="auto" w:sz="4" w:space="0"/>
              <w:left w:val="single" w:color="auto" w:sz="4" w:space="0"/>
              <w:bottom w:val="single" w:color="auto" w:sz="4" w:space="0"/>
              <w:right w:val="single" w:color="auto" w:sz="4" w:space="0"/>
            </w:tcBorders>
            <w:vAlign w:val="center"/>
          </w:tcPr>
          <w:p>
            <w:pPr>
              <w:pStyle w:val="38"/>
            </w:pPr>
          </w:p>
        </w:tc>
        <w:tc>
          <w:tcPr>
            <w:tcW w:w="6408" w:type="dxa"/>
            <w:tcBorders>
              <w:top w:val="single" w:color="auto" w:sz="4" w:space="0"/>
              <w:left w:val="single" w:color="auto" w:sz="4" w:space="0"/>
              <w:bottom w:val="single" w:color="auto" w:sz="4" w:space="0"/>
              <w:right w:val="single" w:color="auto" w:sz="4" w:space="0"/>
            </w:tcBorders>
          </w:tcPr>
          <w:p>
            <w:pPr>
              <w:pStyle w:val="38"/>
            </w:pPr>
            <w:r>
              <w:rPr>
                <w:rFonts w:hint="eastAsia"/>
              </w:rPr>
              <w:t>多系统接入，并能够为账户分配访问权限，具备多级系统管理权限设定；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2" w:type="dxa"/>
            <w:vMerge w:val="continue"/>
            <w:tcBorders>
              <w:top w:val="single" w:color="auto" w:sz="4" w:space="0"/>
              <w:left w:val="single" w:color="auto" w:sz="4" w:space="0"/>
              <w:bottom w:val="single" w:color="auto" w:sz="4" w:space="0"/>
              <w:right w:val="single" w:color="auto" w:sz="4" w:space="0"/>
            </w:tcBorders>
            <w:vAlign w:val="center"/>
          </w:tcPr>
          <w:p>
            <w:pPr>
              <w:pStyle w:val="38"/>
            </w:pPr>
          </w:p>
        </w:tc>
        <w:tc>
          <w:tcPr>
            <w:tcW w:w="6408" w:type="dxa"/>
            <w:tcBorders>
              <w:top w:val="single" w:color="auto" w:sz="4" w:space="0"/>
              <w:left w:val="single" w:color="auto" w:sz="4" w:space="0"/>
              <w:bottom w:val="single" w:color="auto" w:sz="4" w:space="0"/>
              <w:right w:val="single" w:color="auto" w:sz="4" w:space="0"/>
            </w:tcBorders>
          </w:tcPr>
          <w:p>
            <w:pPr>
              <w:pStyle w:val="38"/>
            </w:pPr>
            <w:r>
              <w:rPr>
                <w:rFonts w:hint="eastAsia"/>
              </w:rPr>
              <w:t>默认短信自动触发至用户预制手机上，无需填入手机号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2" w:type="dxa"/>
            <w:vMerge w:val="continue"/>
            <w:tcBorders>
              <w:top w:val="single" w:color="auto" w:sz="4" w:space="0"/>
              <w:left w:val="single" w:color="auto" w:sz="4" w:space="0"/>
              <w:bottom w:val="single" w:color="auto" w:sz="4" w:space="0"/>
              <w:right w:val="single" w:color="auto" w:sz="4" w:space="0"/>
            </w:tcBorders>
            <w:vAlign w:val="center"/>
          </w:tcPr>
          <w:p>
            <w:pPr>
              <w:pStyle w:val="38"/>
            </w:pPr>
          </w:p>
        </w:tc>
        <w:tc>
          <w:tcPr>
            <w:tcW w:w="6408" w:type="dxa"/>
            <w:tcBorders>
              <w:top w:val="single" w:color="auto" w:sz="4" w:space="0"/>
              <w:left w:val="single" w:color="auto" w:sz="4" w:space="0"/>
              <w:bottom w:val="single" w:color="auto" w:sz="4" w:space="0"/>
              <w:right w:val="single" w:color="auto" w:sz="4" w:space="0"/>
            </w:tcBorders>
          </w:tcPr>
          <w:p>
            <w:pPr>
              <w:pStyle w:val="38"/>
            </w:pPr>
            <w:r>
              <w:rPr>
                <w:rFonts w:hint="eastAsia"/>
              </w:rPr>
              <w:t>可设定失败认证次数，避免暴力破解。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2" w:type="dxa"/>
            <w:vMerge w:val="continue"/>
            <w:tcBorders>
              <w:top w:val="single" w:color="auto" w:sz="4" w:space="0"/>
              <w:left w:val="single" w:color="auto" w:sz="4" w:space="0"/>
              <w:bottom w:val="single" w:color="auto" w:sz="4" w:space="0"/>
              <w:right w:val="single" w:color="auto" w:sz="4" w:space="0"/>
            </w:tcBorders>
            <w:vAlign w:val="center"/>
          </w:tcPr>
          <w:p>
            <w:pPr>
              <w:pStyle w:val="38"/>
            </w:pPr>
          </w:p>
        </w:tc>
        <w:tc>
          <w:tcPr>
            <w:tcW w:w="6408" w:type="dxa"/>
            <w:tcBorders>
              <w:top w:val="single" w:color="auto" w:sz="4" w:space="0"/>
              <w:left w:val="single" w:color="auto" w:sz="4" w:space="0"/>
              <w:bottom w:val="single" w:color="auto" w:sz="4" w:space="0"/>
              <w:right w:val="single" w:color="auto" w:sz="4" w:space="0"/>
            </w:tcBorders>
          </w:tcPr>
          <w:p>
            <w:pPr>
              <w:pStyle w:val="38"/>
            </w:pPr>
            <w:r>
              <w:rPr>
                <w:rFonts w:hint="eastAsia"/>
              </w:rPr>
              <w:t>用户输入错误动态密码一定次数（可配置）即被禁用，并在一定时间（可设定）可自动解锁，达到安全性和管理便捷度的有效平衡。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2" w:type="dxa"/>
            <w:vMerge w:val="continue"/>
            <w:tcBorders>
              <w:top w:val="single" w:color="auto" w:sz="4" w:space="0"/>
              <w:left w:val="single" w:color="auto" w:sz="4" w:space="0"/>
              <w:bottom w:val="single" w:color="auto" w:sz="4" w:space="0"/>
              <w:right w:val="single" w:color="auto" w:sz="4" w:space="0"/>
            </w:tcBorders>
            <w:vAlign w:val="center"/>
          </w:tcPr>
          <w:p>
            <w:pPr>
              <w:pStyle w:val="38"/>
            </w:pPr>
          </w:p>
        </w:tc>
        <w:tc>
          <w:tcPr>
            <w:tcW w:w="6408" w:type="dxa"/>
            <w:tcBorders>
              <w:top w:val="single" w:color="auto" w:sz="4" w:space="0"/>
              <w:left w:val="single" w:color="auto" w:sz="4" w:space="0"/>
              <w:bottom w:val="single" w:color="auto" w:sz="4" w:space="0"/>
              <w:right w:val="single" w:color="auto" w:sz="4" w:space="0"/>
            </w:tcBorders>
          </w:tcPr>
          <w:p>
            <w:pPr>
              <w:pStyle w:val="38"/>
            </w:pPr>
            <w:r>
              <w:rPr>
                <w:rFonts w:hint="eastAsia"/>
              </w:rPr>
              <w:t>强认证开关键，支持强制部分/所有用户采用动态密码认证方式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2" w:type="dxa"/>
            <w:vMerge w:val="continue"/>
            <w:tcBorders>
              <w:top w:val="single" w:color="auto" w:sz="4" w:space="0"/>
              <w:left w:val="single" w:color="auto" w:sz="4" w:space="0"/>
              <w:bottom w:val="single" w:color="auto" w:sz="4" w:space="0"/>
              <w:right w:val="single" w:color="auto" w:sz="4" w:space="0"/>
            </w:tcBorders>
            <w:vAlign w:val="center"/>
          </w:tcPr>
          <w:p>
            <w:pPr>
              <w:pStyle w:val="38"/>
            </w:pPr>
          </w:p>
        </w:tc>
        <w:tc>
          <w:tcPr>
            <w:tcW w:w="6408" w:type="dxa"/>
            <w:tcBorders>
              <w:top w:val="single" w:color="auto" w:sz="4" w:space="0"/>
              <w:left w:val="single" w:color="auto" w:sz="4" w:space="0"/>
              <w:bottom w:val="single" w:color="auto" w:sz="4" w:space="0"/>
              <w:right w:val="single" w:color="auto" w:sz="4" w:space="0"/>
            </w:tcBorders>
          </w:tcPr>
          <w:p>
            <w:pPr>
              <w:pStyle w:val="38"/>
            </w:pPr>
            <w:r>
              <w:rPr>
                <w:rFonts w:hint="eastAsia"/>
              </w:rPr>
              <w:t>支持策略组设置认证用户是否启用静态密码、动态密码、强认证，并选择须认证的用户数据源及过滤用户角色；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2" w:type="dxa"/>
            <w:tcBorders>
              <w:top w:val="single" w:color="auto" w:sz="4" w:space="0"/>
              <w:left w:val="single" w:color="auto" w:sz="4" w:space="0"/>
              <w:bottom w:val="single" w:color="auto" w:sz="4" w:space="0"/>
              <w:right w:val="single" w:color="auto" w:sz="4" w:space="0"/>
            </w:tcBorders>
            <w:vAlign w:val="center"/>
          </w:tcPr>
          <w:p>
            <w:pPr>
              <w:pStyle w:val="38"/>
            </w:pPr>
            <w:r>
              <w:rPr>
                <w:rFonts w:hint="eastAsia"/>
              </w:rPr>
              <w:t>License</w:t>
            </w:r>
          </w:p>
        </w:tc>
        <w:tc>
          <w:tcPr>
            <w:tcW w:w="6408" w:type="dxa"/>
            <w:tcBorders>
              <w:top w:val="single" w:color="auto" w:sz="4" w:space="0"/>
              <w:left w:val="single" w:color="auto" w:sz="4" w:space="0"/>
              <w:bottom w:val="single" w:color="auto" w:sz="4" w:space="0"/>
              <w:right w:val="single" w:color="auto" w:sz="4" w:space="0"/>
            </w:tcBorders>
          </w:tcPr>
          <w:p>
            <w:pPr>
              <w:pStyle w:val="38"/>
            </w:pPr>
            <w:r>
              <w:rPr>
                <w:rFonts w:hint="eastAsia"/>
              </w:rPr>
              <w:t>本项目要求提供500个用户许可；提供100个硬件令牌（含L</w:t>
            </w:r>
            <w:r>
              <w:t>OGO</w:t>
            </w:r>
            <w:r>
              <w:rPr>
                <w:rFonts w:hint="eastAsia"/>
              </w:rPr>
              <w:t>定制）；</w:t>
            </w:r>
          </w:p>
          <w:p>
            <w:pPr>
              <w:pStyle w:val="38"/>
            </w:pPr>
            <w:r>
              <w:rPr>
                <w:rFonts w:hint="eastAsia"/>
              </w:rPr>
              <w:t>支持短信密码、手机令牌、硬件令牌同时并存。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2" w:type="dxa"/>
            <w:tcBorders>
              <w:top w:val="single" w:color="auto" w:sz="4" w:space="0"/>
              <w:left w:val="single" w:color="auto" w:sz="4" w:space="0"/>
              <w:bottom w:val="single" w:color="auto" w:sz="4" w:space="0"/>
              <w:right w:val="single" w:color="auto" w:sz="4" w:space="0"/>
            </w:tcBorders>
            <w:vAlign w:val="center"/>
          </w:tcPr>
          <w:p>
            <w:pPr>
              <w:pStyle w:val="38"/>
            </w:pPr>
            <w:r>
              <w:rPr>
                <w:rFonts w:hint="eastAsia"/>
              </w:rPr>
              <w:t>令牌派发</w:t>
            </w:r>
          </w:p>
        </w:tc>
        <w:tc>
          <w:tcPr>
            <w:tcW w:w="6408" w:type="dxa"/>
            <w:tcBorders>
              <w:top w:val="single" w:color="auto" w:sz="4" w:space="0"/>
              <w:left w:val="single" w:color="auto" w:sz="4" w:space="0"/>
              <w:bottom w:val="single" w:color="auto" w:sz="4" w:space="0"/>
              <w:right w:val="single" w:color="auto" w:sz="4" w:space="0"/>
            </w:tcBorders>
          </w:tcPr>
          <w:p>
            <w:pPr>
              <w:pStyle w:val="38"/>
            </w:pPr>
            <w:r>
              <w:rPr>
                <w:rFonts w:hint="eastAsia"/>
              </w:rPr>
              <w:t>手机令牌支持依据用户角色派发一个或多个用户派发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1672" w:type="dxa"/>
            <w:tcBorders>
              <w:top w:val="single" w:color="auto" w:sz="4" w:space="0"/>
              <w:left w:val="single" w:color="auto" w:sz="4" w:space="0"/>
              <w:bottom w:val="single" w:color="auto" w:sz="4" w:space="0"/>
              <w:right w:val="single" w:color="auto" w:sz="4" w:space="0"/>
            </w:tcBorders>
            <w:vAlign w:val="center"/>
          </w:tcPr>
          <w:p>
            <w:pPr>
              <w:pStyle w:val="38"/>
            </w:pPr>
            <w:r>
              <w:rPr>
                <w:rFonts w:hint="eastAsia"/>
              </w:rPr>
              <w:t>APP令牌下载链接指 定</w:t>
            </w:r>
          </w:p>
        </w:tc>
        <w:tc>
          <w:tcPr>
            <w:tcW w:w="6408" w:type="dxa"/>
            <w:tcBorders>
              <w:top w:val="single" w:color="auto" w:sz="4" w:space="0"/>
              <w:left w:val="single" w:color="auto" w:sz="4" w:space="0"/>
              <w:bottom w:val="single" w:color="auto" w:sz="4" w:space="0"/>
              <w:right w:val="single" w:color="auto" w:sz="4" w:space="0"/>
            </w:tcBorders>
          </w:tcPr>
          <w:p>
            <w:pPr>
              <w:pStyle w:val="38"/>
            </w:pPr>
            <w:r>
              <w:rPr>
                <w:rFonts w:hint="eastAsia"/>
              </w:rPr>
              <w:t>系统允许自定义APP下载链接并生成二维码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2" w:type="dxa"/>
            <w:vMerge w:val="restart"/>
            <w:tcBorders>
              <w:top w:val="single" w:color="auto" w:sz="4" w:space="0"/>
              <w:left w:val="single" w:color="auto" w:sz="4" w:space="0"/>
              <w:bottom w:val="single" w:color="auto" w:sz="4" w:space="0"/>
              <w:right w:val="single" w:color="auto" w:sz="4" w:space="0"/>
            </w:tcBorders>
            <w:vAlign w:val="center"/>
          </w:tcPr>
          <w:p>
            <w:pPr>
              <w:pStyle w:val="38"/>
            </w:pPr>
            <w:r>
              <w:rPr>
                <w:rFonts w:hint="eastAsia"/>
              </w:rPr>
              <w:t>Radius认证特性</w:t>
            </w:r>
          </w:p>
        </w:tc>
        <w:tc>
          <w:tcPr>
            <w:tcW w:w="6408" w:type="dxa"/>
            <w:tcBorders>
              <w:top w:val="single" w:color="auto" w:sz="4" w:space="0"/>
              <w:left w:val="single" w:color="auto" w:sz="4" w:space="0"/>
              <w:bottom w:val="single" w:color="auto" w:sz="4" w:space="0"/>
              <w:right w:val="single" w:color="auto" w:sz="4" w:space="0"/>
            </w:tcBorders>
          </w:tcPr>
          <w:p>
            <w:pPr>
              <w:pStyle w:val="38"/>
            </w:pPr>
            <w:r>
              <w:rPr>
                <w:rFonts w:hint="eastAsia"/>
              </w:rPr>
              <w:t xml:space="preserve">支持RFC 2865 、RFC 2866协议，能够实现认证和计费；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2" w:type="dxa"/>
            <w:vMerge w:val="continue"/>
            <w:tcBorders>
              <w:top w:val="single" w:color="auto" w:sz="4" w:space="0"/>
              <w:left w:val="single" w:color="auto" w:sz="4" w:space="0"/>
              <w:bottom w:val="single" w:color="auto" w:sz="4" w:space="0"/>
              <w:right w:val="single" w:color="auto" w:sz="4" w:space="0"/>
            </w:tcBorders>
            <w:vAlign w:val="center"/>
          </w:tcPr>
          <w:p>
            <w:pPr>
              <w:pStyle w:val="38"/>
            </w:pPr>
          </w:p>
        </w:tc>
        <w:tc>
          <w:tcPr>
            <w:tcW w:w="6408" w:type="dxa"/>
            <w:tcBorders>
              <w:top w:val="single" w:color="auto" w:sz="4" w:space="0"/>
              <w:left w:val="single" w:color="auto" w:sz="4" w:space="0"/>
              <w:bottom w:val="single" w:color="auto" w:sz="4" w:space="0"/>
              <w:right w:val="single" w:color="auto" w:sz="4" w:space="0"/>
            </w:tcBorders>
          </w:tcPr>
          <w:p>
            <w:pPr>
              <w:pStyle w:val="38"/>
            </w:pPr>
            <w:r>
              <w:rPr>
                <w:rFonts w:hint="eastAsia"/>
              </w:rPr>
              <w:t>动态认证口令支持Radius Challenge / Response,或response Only报文交互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2" w:type="dxa"/>
            <w:vMerge w:val="restart"/>
            <w:tcBorders>
              <w:top w:val="single" w:color="auto" w:sz="4" w:space="0"/>
              <w:left w:val="single" w:color="auto" w:sz="4" w:space="0"/>
              <w:bottom w:val="single" w:color="auto" w:sz="4" w:space="0"/>
              <w:right w:val="single" w:color="auto" w:sz="4" w:space="0"/>
            </w:tcBorders>
            <w:vAlign w:val="center"/>
          </w:tcPr>
          <w:p>
            <w:pPr>
              <w:pStyle w:val="38"/>
            </w:pPr>
            <w:r>
              <w:rPr>
                <w:rFonts w:hint="eastAsia"/>
              </w:rPr>
              <w:t>Tacacs+认证特性</w:t>
            </w:r>
          </w:p>
        </w:tc>
        <w:tc>
          <w:tcPr>
            <w:tcW w:w="6408" w:type="dxa"/>
            <w:tcBorders>
              <w:top w:val="single" w:color="auto" w:sz="4" w:space="0"/>
              <w:left w:val="single" w:color="auto" w:sz="4" w:space="0"/>
              <w:bottom w:val="single" w:color="auto" w:sz="4" w:space="0"/>
              <w:right w:val="single" w:color="auto" w:sz="4" w:space="0"/>
            </w:tcBorders>
          </w:tcPr>
          <w:p>
            <w:pPr>
              <w:pStyle w:val="38"/>
              <w:rPr>
                <w:rFonts w:cs="宋体"/>
                <w:kern w:val="2"/>
              </w:rPr>
            </w:pPr>
            <w:r>
              <w:rPr>
                <w:rFonts w:hint="eastAsia" w:cs="宋体"/>
                <w:kern w:val="2"/>
              </w:rPr>
              <w:t>支持</w:t>
            </w:r>
            <w:r>
              <w:rPr>
                <w:rFonts w:hint="eastAsia" w:cs="宋体"/>
              </w:rPr>
              <w:t>Tacacs+协议认证，能够实现认证，授权，计费；以及对命令授权的审计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2" w:type="dxa"/>
            <w:vMerge w:val="continue"/>
            <w:tcBorders>
              <w:top w:val="single" w:color="auto" w:sz="4" w:space="0"/>
              <w:left w:val="single" w:color="auto" w:sz="4" w:space="0"/>
              <w:bottom w:val="single" w:color="auto" w:sz="4" w:space="0"/>
              <w:right w:val="single" w:color="auto" w:sz="4" w:space="0"/>
            </w:tcBorders>
            <w:vAlign w:val="center"/>
          </w:tcPr>
          <w:p>
            <w:pPr>
              <w:pStyle w:val="38"/>
            </w:pPr>
          </w:p>
        </w:tc>
        <w:tc>
          <w:tcPr>
            <w:tcW w:w="6408" w:type="dxa"/>
            <w:tcBorders>
              <w:top w:val="single" w:color="auto" w:sz="4" w:space="0"/>
              <w:left w:val="single" w:color="auto" w:sz="4" w:space="0"/>
              <w:bottom w:val="single" w:color="auto" w:sz="4" w:space="0"/>
              <w:right w:val="single" w:color="auto" w:sz="4" w:space="0"/>
            </w:tcBorders>
          </w:tcPr>
          <w:p>
            <w:pPr>
              <w:pStyle w:val="38"/>
              <w:rPr>
                <w:rFonts w:cs="宋体"/>
                <w:kern w:val="2"/>
              </w:rPr>
            </w:pPr>
            <w:r>
              <w:rPr>
                <w:rFonts w:hint="eastAsia" w:cs="宋体"/>
                <w:kern w:val="2"/>
              </w:rPr>
              <w:t>动态认证口令支持</w:t>
            </w:r>
            <w:r>
              <w:rPr>
                <w:rFonts w:hint="eastAsia" w:cs="宋体"/>
              </w:rPr>
              <w:t>Tacacs+认证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2" w:type="dxa"/>
            <w:vMerge w:val="restart"/>
            <w:tcBorders>
              <w:top w:val="single" w:color="auto" w:sz="4" w:space="0"/>
              <w:left w:val="single" w:color="auto" w:sz="4" w:space="0"/>
              <w:bottom w:val="single" w:color="auto" w:sz="4" w:space="0"/>
              <w:right w:val="single" w:color="auto" w:sz="4" w:space="0"/>
            </w:tcBorders>
            <w:vAlign w:val="center"/>
          </w:tcPr>
          <w:p>
            <w:pPr>
              <w:pStyle w:val="38"/>
            </w:pPr>
            <w:r>
              <w:rPr>
                <w:rFonts w:hint="eastAsia"/>
              </w:rPr>
              <w:t>审计模块</w:t>
            </w:r>
          </w:p>
        </w:tc>
        <w:tc>
          <w:tcPr>
            <w:tcW w:w="6408" w:type="dxa"/>
            <w:tcBorders>
              <w:top w:val="single" w:color="auto" w:sz="4" w:space="0"/>
              <w:left w:val="single" w:color="auto" w:sz="4" w:space="0"/>
              <w:bottom w:val="single" w:color="auto" w:sz="4" w:space="0"/>
              <w:right w:val="single" w:color="auto" w:sz="4" w:space="0"/>
            </w:tcBorders>
          </w:tcPr>
          <w:p>
            <w:pPr>
              <w:pStyle w:val="38"/>
            </w:pPr>
            <w:r>
              <w:rPr>
                <w:rFonts w:hint="eastAsia"/>
              </w:rPr>
              <w:t>支持分页查询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2" w:type="dxa"/>
            <w:vMerge w:val="continue"/>
            <w:tcBorders>
              <w:top w:val="single" w:color="auto" w:sz="4" w:space="0"/>
              <w:left w:val="single" w:color="auto" w:sz="4" w:space="0"/>
              <w:bottom w:val="single" w:color="auto" w:sz="4" w:space="0"/>
              <w:right w:val="single" w:color="auto" w:sz="4" w:space="0"/>
            </w:tcBorders>
            <w:vAlign w:val="center"/>
          </w:tcPr>
          <w:p>
            <w:pPr>
              <w:pStyle w:val="38"/>
            </w:pPr>
          </w:p>
        </w:tc>
        <w:tc>
          <w:tcPr>
            <w:tcW w:w="6408" w:type="dxa"/>
            <w:tcBorders>
              <w:top w:val="single" w:color="auto" w:sz="4" w:space="0"/>
              <w:left w:val="single" w:color="auto" w:sz="4" w:space="0"/>
              <w:bottom w:val="single" w:color="auto" w:sz="4" w:space="0"/>
              <w:right w:val="single" w:color="auto" w:sz="4" w:space="0"/>
            </w:tcBorders>
          </w:tcPr>
          <w:p>
            <w:pPr>
              <w:pStyle w:val="38"/>
            </w:pPr>
            <w:r>
              <w:rPr>
                <w:rFonts w:hint="eastAsia"/>
              </w:rPr>
              <w:t>登陆日志导出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2" w:type="dxa"/>
            <w:vMerge w:val="restart"/>
            <w:tcBorders>
              <w:top w:val="single" w:color="auto" w:sz="4" w:space="0"/>
              <w:left w:val="single" w:color="auto" w:sz="4" w:space="0"/>
              <w:bottom w:val="single" w:color="auto" w:sz="4" w:space="0"/>
              <w:right w:val="single" w:color="auto" w:sz="4" w:space="0"/>
            </w:tcBorders>
            <w:vAlign w:val="center"/>
          </w:tcPr>
          <w:p>
            <w:pPr>
              <w:pStyle w:val="38"/>
            </w:pPr>
            <w:r>
              <w:rPr>
                <w:rFonts w:hint="eastAsia"/>
              </w:rPr>
              <w:t>支持矩阵</w:t>
            </w:r>
          </w:p>
        </w:tc>
        <w:tc>
          <w:tcPr>
            <w:tcW w:w="6408" w:type="dxa"/>
            <w:tcBorders>
              <w:top w:val="single" w:color="auto" w:sz="4" w:space="0"/>
              <w:left w:val="single" w:color="auto" w:sz="4" w:space="0"/>
              <w:bottom w:val="single" w:color="auto" w:sz="4" w:space="0"/>
              <w:right w:val="single" w:color="auto" w:sz="4" w:space="0"/>
            </w:tcBorders>
          </w:tcPr>
          <w:p>
            <w:pPr>
              <w:pStyle w:val="38"/>
            </w:pPr>
            <w:r>
              <w:rPr>
                <w:rFonts w:hint="eastAsia"/>
              </w:rPr>
              <w:t>支持Citrix Netscaler，Vmware 为Web/Receiver方式采用短信密码、手机令牌、硬件令牌认证；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2" w:type="dxa"/>
            <w:vMerge w:val="continue"/>
            <w:tcBorders>
              <w:top w:val="single" w:color="auto" w:sz="4" w:space="0"/>
              <w:left w:val="single" w:color="auto" w:sz="4" w:space="0"/>
              <w:bottom w:val="single" w:color="auto" w:sz="4" w:space="0"/>
              <w:right w:val="single" w:color="auto" w:sz="4" w:space="0"/>
            </w:tcBorders>
            <w:vAlign w:val="center"/>
          </w:tcPr>
          <w:p>
            <w:pPr>
              <w:pStyle w:val="38"/>
            </w:pPr>
          </w:p>
        </w:tc>
        <w:tc>
          <w:tcPr>
            <w:tcW w:w="6408" w:type="dxa"/>
            <w:tcBorders>
              <w:top w:val="single" w:color="auto" w:sz="4" w:space="0"/>
              <w:left w:val="single" w:color="auto" w:sz="4" w:space="0"/>
              <w:bottom w:val="single" w:color="auto" w:sz="4" w:space="0"/>
              <w:right w:val="single" w:color="auto" w:sz="4" w:space="0"/>
            </w:tcBorders>
          </w:tcPr>
          <w:p>
            <w:pPr>
              <w:pStyle w:val="38"/>
            </w:pPr>
            <w:r>
              <w:rPr>
                <w:rFonts w:hint="eastAsia"/>
              </w:rPr>
              <w:t>支持Citrix WI为Web/Receiver方式采用手机令牌、硬件令牌认证；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2" w:type="dxa"/>
            <w:vMerge w:val="continue"/>
            <w:tcBorders>
              <w:top w:val="single" w:color="auto" w:sz="4" w:space="0"/>
              <w:left w:val="single" w:color="auto" w:sz="4" w:space="0"/>
              <w:bottom w:val="single" w:color="auto" w:sz="4" w:space="0"/>
              <w:right w:val="single" w:color="auto" w:sz="4" w:space="0"/>
            </w:tcBorders>
            <w:vAlign w:val="center"/>
          </w:tcPr>
          <w:p>
            <w:pPr>
              <w:pStyle w:val="38"/>
            </w:pPr>
          </w:p>
        </w:tc>
        <w:tc>
          <w:tcPr>
            <w:tcW w:w="6408" w:type="dxa"/>
            <w:tcBorders>
              <w:top w:val="single" w:color="auto" w:sz="4" w:space="0"/>
              <w:left w:val="single" w:color="auto" w:sz="4" w:space="0"/>
              <w:bottom w:val="single" w:color="auto" w:sz="4" w:space="0"/>
              <w:right w:val="single" w:color="auto" w:sz="4" w:space="0"/>
            </w:tcBorders>
          </w:tcPr>
          <w:p>
            <w:pPr>
              <w:pStyle w:val="38"/>
            </w:pPr>
            <w:r>
              <w:rPr>
                <w:rFonts w:hint="eastAsia"/>
              </w:rPr>
              <w:t>支持网络设备、安全设备、堡垒机（运维审计系统）、ORACLE数据库等；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2" w:type="dxa"/>
            <w:vMerge w:val="continue"/>
            <w:tcBorders>
              <w:top w:val="single" w:color="auto" w:sz="4" w:space="0"/>
              <w:left w:val="single" w:color="auto" w:sz="4" w:space="0"/>
              <w:bottom w:val="single" w:color="auto" w:sz="4" w:space="0"/>
              <w:right w:val="single" w:color="auto" w:sz="4" w:space="0"/>
            </w:tcBorders>
            <w:vAlign w:val="center"/>
          </w:tcPr>
          <w:p>
            <w:pPr>
              <w:pStyle w:val="38"/>
            </w:pPr>
          </w:p>
        </w:tc>
        <w:tc>
          <w:tcPr>
            <w:tcW w:w="6408" w:type="dxa"/>
            <w:tcBorders>
              <w:top w:val="single" w:color="auto" w:sz="4" w:space="0"/>
              <w:left w:val="single" w:color="auto" w:sz="4" w:space="0"/>
              <w:bottom w:val="single" w:color="auto" w:sz="4" w:space="0"/>
              <w:right w:val="single" w:color="auto" w:sz="4" w:space="0"/>
            </w:tcBorders>
          </w:tcPr>
          <w:p>
            <w:pPr>
              <w:pStyle w:val="38"/>
            </w:pPr>
            <w:r>
              <w:rPr>
                <w:rFonts w:hint="eastAsia"/>
              </w:rPr>
              <w:t>支持http/https 协议API，支持基于C、C#、C++、.net、JAVA、PHP、python等各类语言开发的软件系统集成；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2" w:type="dxa"/>
            <w:vMerge w:val="continue"/>
            <w:tcBorders>
              <w:top w:val="single" w:color="auto" w:sz="4" w:space="0"/>
              <w:left w:val="single" w:color="auto" w:sz="4" w:space="0"/>
              <w:bottom w:val="single" w:color="auto" w:sz="4" w:space="0"/>
              <w:right w:val="single" w:color="auto" w:sz="4" w:space="0"/>
            </w:tcBorders>
            <w:vAlign w:val="center"/>
          </w:tcPr>
          <w:p>
            <w:pPr>
              <w:pStyle w:val="38"/>
            </w:pPr>
          </w:p>
        </w:tc>
        <w:tc>
          <w:tcPr>
            <w:tcW w:w="6408" w:type="dxa"/>
            <w:tcBorders>
              <w:top w:val="single" w:color="auto" w:sz="4" w:space="0"/>
              <w:left w:val="single" w:color="auto" w:sz="4" w:space="0"/>
              <w:bottom w:val="single" w:color="auto" w:sz="4" w:space="0"/>
              <w:right w:val="single" w:color="auto" w:sz="4" w:space="0"/>
            </w:tcBorders>
          </w:tcPr>
          <w:p>
            <w:pPr>
              <w:pStyle w:val="38"/>
            </w:pPr>
            <w:r>
              <w:rPr>
                <w:rFonts w:hint="eastAsia"/>
              </w:rPr>
              <w:t>支持所有windows系统（桌面系统、服务器系统）动态口令登录支持连接服务和离线两种方式校验、同步；并支持MSI配置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2" w:type="dxa"/>
            <w:vMerge w:val="restart"/>
            <w:tcBorders>
              <w:top w:val="single" w:color="auto" w:sz="4" w:space="0"/>
              <w:left w:val="single" w:color="auto" w:sz="4" w:space="0"/>
              <w:bottom w:val="single" w:color="auto" w:sz="4" w:space="0"/>
              <w:right w:val="single" w:color="auto" w:sz="4" w:space="0"/>
            </w:tcBorders>
            <w:vAlign w:val="center"/>
          </w:tcPr>
          <w:p>
            <w:pPr>
              <w:pStyle w:val="38"/>
            </w:pPr>
            <w:r>
              <w:rPr>
                <w:rFonts w:hint="eastAsia"/>
              </w:rPr>
              <w:t>软件部署</w:t>
            </w:r>
          </w:p>
        </w:tc>
        <w:tc>
          <w:tcPr>
            <w:tcW w:w="6408" w:type="dxa"/>
            <w:tcBorders>
              <w:top w:val="single" w:color="auto" w:sz="4" w:space="0"/>
              <w:left w:val="single" w:color="auto" w:sz="4" w:space="0"/>
              <w:bottom w:val="single" w:color="auto" w:sz="4" w:space="0"/>
              <w:right w:val="single" w:color="auto" w:sz="4" w:space="0"/>
            </w:tcBorders>
          </w:tcPr>
          <w:p>
            <w:pPr>
              <w:pStyle w:val="38"/>
            </w:pPr>
            <w:r>
              <w:rPr>
                <w:rFonts w:hint="eastAsia"/>
              </w:rPr>
              <w:t>支持双机热备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2" w:type="dxa"/>
            <w:vMerge w:val="continue"/>
            <w:tcBorders>
              <w:top w:val="single" w:color="auto" w:sz="4" w:space="0"/>
              <w:left w:val="single" w:color="auto" w:sz="4" w:space="0"/>
              <w:bottom w:val="single" w:color="auto" w:sz="4" w:space="0"/>
              <w:right w:val="single" w:color="auto" w:sz="4" w:space="0"/>
            </w:tcBorders>
            <w:vAlign w:val="center"/>
          </w:tcPr>
          <w:p>
            <w:pPr>
              <w:pStyle w:val="38"/>
            </w:pPr>
          </w:p>
        </w:tc>
        <w:tc>
          <w:tcPr>
            <w:tcW w:w="6408" w:type="dxa"/>
            <w:tcBorders>
              <w:top w:val="single" w:color="auto" w:sz="4" w:space="0"/>
              <w:left w:val="single" w:color="auto" w:sz="4" w:space="0"/>
              <w:bottom w:val="single" w:color="auto" w:sz="4" w:space="0"/>
              <w:right w:val="single" w:color="auto" w:sz="4" w:space="0"/>
            </w:tcBorders>
          </w:tcPr>
          <w:p>
            <w:pPr>
              <w:pStyle w:val="38"/>
            </w:pPr>
            <w:r>
              <w:rPr>
                <w:rFonts w:hint="eastAsia"/>
              </w:rPr>
              <w:t>支持部署和运行于windows、Linux、UNIX服务器系统操作系统，支持虚拟化服务器部署；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2" w:type="dxa"/>
            <w:vMerge w:val="continue"/>
            <w:tcBorders>
              <w:top w:val="single" w:color="auto" w:sz="4" w:space="0"/>
              <w:left w:val="single" w:color="auto" w:sz="4" w:space="0"/>
              <w:bottom w:val="single" w:color="auto" w:sz="4" w:space="0"/>
              <w:right w:val="single" w:color="auto" w:sz="4" w:space="0"/>
            </w:tcBorders>
            <w:vAlign w:val="center"/>
          </w:tcPr>
          <w:p>
            <w:pPr>
              <w:pStyle w:val="38"/>
            </w:pPr>
          </w:p>
        </w:tc>
        <w:tc>
          <w:tcPr>
            <w:tcW w:w="6408" w:type="dxa"/>
            <w:tcBorders>
              <w:top w:val="single" w:color="auto" w:sz="4" w:space="0"/>
              <w:left w:val="single" w:color="auto" w:sz="4" w:space="0"/>
              <w:bottom w:val="single" w:color="auto" w:sz="4" w:space="0"/>
              <w:right w:val="single" w:color="auto" w:sz="4" w:space="0"/>
            </w:tcBorders>
          </w:tcPr>
          <w:p>
            <w:pPr>
              <w:pStyle w:val="38"/>
            </w:pPr>
            <w:r>
              <w:rPr>
                <w:rFonts w:hint="eastAsia"/>
              </w:rPr>
              <w:t>支持多种短信网关接口，支持短信猫作为发送短信发送平台。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2" w:type="dxa"/>
            <w:vMerge w:val="continue"/>
            <w:tcBorders>
              <w:top w:val="single" w:color="auto" w:sz="4" w:space="0"/>
              <w:left w:val="single" w:color="auto" w:sz="4" w:space="0"/>
              <w:bottom w:val="single" w:color="auto" w:sz="4" w:space="0"/>
              <w:right w:val="single" w:color="auto" w:sz="4" w:space="0"/>
            </w:tcBorders>
            <w:vAlign w:val="center"/>
          </w:tcPr>
          <w:p>
            <w:pPr>
              <w:pStyle w:val="38"/>
            </w:pPr>
          </w:p>
        </w:tc>
        <w:tc>
          <w:tcPr>
            <w:tcW w:w="6408" w:type="dxa"/>
            <w:tcBorders>
              <w:top w:val="single" w:color="auto" w:sz="4" w:space="0"/>
              <w:left w:val="single" w:color="auto" w:sz="4" w:space="0"/>
              <w:bottom w:val="single" w:color="auto" w:sz="4" w:space="0"/>
              <w:right w:val="single" w:color="auto" w:sz="4" w:space="0"/>
            </w:tcBorders>
          </w:tcPr>
          <w:p>
            <w:pPr>
              <w:pStyle w:val="38"/>
            </w:pPr>
            <w:r>
              <w:rPr>
                <w:rFonts w:hint="eastAsia"/>
              </w:rPr>
              <w:t>内置My SQL数据库，并支持第三方数据库如ORACLE、SQL SERVER等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trPr>
        <w:tc>
          <w:tcPr>
            <w:tcW w:w="1672" w:type="dxa"/>
            <w:tcBorders>
              <w:top w:val="single" w:color="auto" w:sz="4" w:space="0"/>
              <w:left w:val="single" w:color="auto" w:sz="4" w:space="0"/>
              <w:bottom w:val="single" w:color="auto" w:sz="4" w:space="0"/>
              <w:right w:val="single" w:color="auto" w:sz="4" w:space="0"/>
            </w:tcBorders>
          </w:tcPr>
          <w:p>
            <w:pPr>
              <w:pStyle w:val="38"/>
            </w:pPr>
            <w:r>
              <w:rPr>
                <w:rFonts w:hint="eastAsia"/>
              </w:rPr>
              <w:t>资质证书</w:t>
            </w:r>
          </w:p>
        </w:tc>
        <w:tc>
          <w:tcPr>
            <w:tcW w:w="6408" w:type="dxa"/>
            <w:tcBorders>
              <w:top w:val="single" w:color="auto" w:sz="4" w:space="0"/>
              <w:left w:val="single" w:color="auto" w:sz="4" w:space="0"/>
              <w:bottom w:val="single" w:color="auto" w:sz="4" w:space="0"/>
              <w:right w:val="single" w:color="auto" w:sz="4" w:space="0"/>
            </w:tcBorders>
          </w:tcPr>
          <w:p>
            <w:pPr>
              <w:pStyle w:val="38"/>
            </w:pPr>
            <w:r>
              <w:rPr>
                <w:rFonts w:hint="eastAsia"/>
              </w:rPr>
              <w:t>通过公安部检测，提供公安部检测报告复印件；具备安全专用产品销售许可证；具备ISO9001质量管理体系认证证书。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80" w:type="dxa"/>
            <w:gridSpan w:val="2"/>
            <w:tcBorders>
              <w:top w:val="single" w:color="auto" w:sz="4" w:space="0"/>
              <w:left w:val="single" w:color="auto" w:sz="4" w:space="0"/>
              <w:bottom w:val="single" w:color="auto" w:sz="4" w:space="0"/>
              <w:right w:val="single" w:color="auto" w:sz="4" w:space="0"/>
            </w:tcBorders>
          </w:tcPr>
          <w:p>
            <w:pPr>
              <w:pStyle w:val="38"/>
            </w:pPr>
            <w:r>
              <w:rPr>
                <w:rFonts w:hint="eastAsia"/>
              </w:rPr>
              <w:t>硬件令牌参数要求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2" w:type="dxa"/>
            <w:tcBorders>
              <w:top w:val="single" w:color="auto" w:sz="4" w:space="0"/>
              <w:left w:val="single" w:color="auto" w:sz="4" w:space="0"/>
              <w:bottom w:val="single" w:color="auto" w:sz="4" w:space="0"/>
              <w:right w:val="single" w:color="auto" w:sz="4" w:space="0"/>
            </w:tcBorders>
          </w:tcPr>
          <w:p>
            <w:pPr>
              <w:pStyle w:val="38"/>
            </w:pPr>
            <w:r>
              <w:rPr>
                <w:rFonts w:hint="eastAsia"/>
              </w:rPr>
              <w:t>令牌自保护</w:t>
            </w:r>
          </w:p>
        </w:tc>
        <w:tc>
          <w:tcPr>
            <w:tcW w:w="6408" w:type="dxa"/>
            <w:tcBorders>
              <w:top w:val="single" w:color="auto" w:sz="4" w:space="0"/>
              <w:left w:val="single" w:color="auto" w:sz="4" w:space="0"/>
              <w:bottom w:val="single" w:color="auto" w:sz="4" w:space="0"/>
              <w:right w:val="single" w:color="auto" w:sz="4" w:space="0"/>
            </w:tcBorders>
          </w:tcPr>
          <w:p>
            <w:pPr>
              <w:pStyle w:val="38"/>
            </w:pPr>
            <w:r>
              <w:rPr>
                <w:rFonts w:hint="eastAsia"/>
              </w:rPr>
              <w:t>防拆，令牌拆除自毁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2" w:type="dxa"/>
            <w:tcBorders>
              <w:top w:val="single" w:color="auto" w:sz="4" w:space="0"/>
              <w:left w:val="single" w:color="auto" w:sz="4" w:space="0"/>
              <w:bottom w:val="single" w:color="auto" w:sz="4" w:space="0"/>
              <w:right w:val="single" w:color="auto" w:sz="4" w:space="0"/>
            </w:tcBorders>
          </w:tcPr>
          <w:p>
            <w:pPr>
              <w:pStyle w:val="38"/>
            </w:pPr>
            <w:r>
              <w:rPr>
                <w:rFonts w:hint="eastAsia"/>
              </w:rPr>
              <w:t>密码显示位数</w:t>
            </w:r>
          </w:p>
        </w:tc>
        <w:tc>
          <w:tcPr>
            <w:tcW w:w="6408" w:type="dxa"/>
            <w:tcBorders>
              <w:top w:val="single" w:color="auto" w:sz="4" w:space="0"/>
              <w:left w:val="single" w:color="auto" w:sz="4" w:space="0"/>
              <w:bottom w:val="single" w:color="auto" w:sz="4" w:space="0"/>
              <w:right w:val="single" w:color="auto" w:sz="4" w:space="0"/>
            </w:tcBorders>
          </w:tcPr>
          <w:p>
            <w:pPr>
              <w:pStyle w:val="38"/>
            </w:pPr>
            <w:r>
              <w:rPr>
                <w:rFonts w:hint="eastAsia"/>
              </w:rPr>
              <w:t>≥6位、常显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2" w:type="dxa"/>
            <w:tcBorders>
              <w:top w:val="single" w:color="auto" w:sz="4" w:space="0"/>
              <w:left w:val="single" w:color="auto" w:sz="4" w:space="0"/>
              <w:bottom w:val="single" w:color="auto" w:sz="4" w:space="0"/>
              <w:right w:val="single" w:color="auto" w:sz="4" w:space="0"/>
            </w:tcBorders>
          </w:tcPr>
          <w:p>
            <w:pPr>
              <w:pStyle w:val="38"/>
            </w:pPr>
            <w:r>
              <w:rPr>
                <w:rFonts w:hint="eastAsia"/>
              </w:rPr>
              <w:t>时钟偏移（特色技术）</w:t>
            </w:r>
          </w:p>
        </w:tc>
        <w:tc>
          <w:tcPr>
            <w:tcW w:w="6408" w:type="dxa"/>
            <w:tcBorders>
              <w:top w:val="single" w:color="auto" w:sz="4" w:space="0"/>
              <w:left w:val="single" w:color="auto" w:sz="4" w:space="0"/>
              <w:bottom w:val="single" w:color="auto" w:sz="4" w:space="0"/>
              <w:right w:val="single" w:color="auto" w:sz="4" w:space="0"/>
            </w:tcBorders>
          </w:tcPr>
          <w:p>
            <w:pPr>
              <w:pStyle w:val="38"/>
            </w:pPr>
            <w:r>
              <w:rPr>
                <w:rFonts w:hint="eastAsia"/>
              </w:rPr>
              <w:t>令牌：采用时钟自校准技术</w:t>
            </w:r>
          </w:p>
          <w:p>
            <w:pPr>
              <w:pStyle w:val="38"/>
            </w:pPr>
            <w:r>
              <w:rPr>
                <w:rFonts w:hint="eastAsia"/>
              </w:rPr>
              <w:t>服务器：采用线性回归技术，突破以往由于令牌内的晶振误差导致的令牌失序。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2" w:type="dxa"/>
            <w:tcBorders>
              <w:top w:val="single" w:color="auto" w:sz="4" w:space="0"/>
              <w:left w:val="single" w:color="auto" w:sz="4" w:space="0"/>
              <w:bottom w:val="single" w:color="auto" w:sz="4" w:space="0"/>
              <w:right w:val="single" w:color="auto" w:sz="4" w:space="0"/>
            </w:tcBorders>
          </w:tcPr>
          <w:p>
            <w:pPr>
              <w:pStyle w:val="38"/>
            </w:pPr>
            <w:r>
              <w:rPr>
                <w:rFonts w:hint="eastAsia"/>
              </w:rPr>
              <w:t>密码有效时间</w:t>
            </w:r>
          </w:p>
        </w:tc>
        <w:tc>
          <w:tcPr>
            <w:tcW w:w="6408" w:type="dxa"/>
            <w:tcBorders>
              <w:top w:val="single" w:color="auto" w:sz="4" w:space="0"/>
              <w:left w:val="single" w:color="auto" w:sz="4" w:space="0"/>
              <w:bottom w:val="single" w:color="auto" w:sz="4" w:space="0"/>
              <w:right w:val="single" w:color="auto" w:sz="4" w:space="0"/>
            </w:tcBorders>
          </w:tcPr>
          <w:p>
            <w:pPr>
              <w:pStyle w:val="38"/>
            </w:pPr>
            <w:r>
              <w:rPr>
                <w:rFonts w:hint="eastAsia"/>
              </w:rPr>
              <w:t>60秒（时间同步默认）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80" w:type="dxa"/>
            <w:gridSpan w:val="2"/>
            <w:tcBorders>
              <w:top w:val="single" w:color="auto" w:sz="4" w:space="0"/>
              <w:left w:val="single" w:color="auto" w:sz="4" w:space="0"/>
              <w:bottom w:val="single" w:color="auto" w:sz="4" w:space="0"/>
              <w:right w:val="single" w:color="auto" w:sz="4" w:space="0"/>
            </w:tcBorders>
          </w:tcPr>
          <w:p>
            <w:pPr>
              <w:pStyle w:val="38"/>
            </w:pPr>
            <w:r>
              <w:rPr>
                <w:rFonts w:hint="eastAsia"/>
              </w:rPr>
              <w:t>手机令牌参数：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2" w:type="dxa"/>
            <w:tcBorders>
              <w:top w:val="single" w:color="auto" w:sz="4" w:space="0"/>
              <w:left w:val="single" w:color="auto" w:sz="4" w:space="0"/>
              <w:bottom w:val="single" w:color="auto" w:sz="4" w:space="0"/>
              <w:right w:val="single" w:color="auto" w:sz="4" w:space="0"/>
            </w:tcBorders>
          </w:tcPr>
          <w:p>
            <w:pPr>
              <w:pStyle w:val="38"/>
            </w:pPr>
            <w:r>
              <w:rPr>
                <w:rFonts w:hint="eastAsia"/>
              </w:rPr>
              <w:t>描述</w:t>
            </w:r>
          </w:p>
        </w:tc>
        <w:tc>
          <w:tcPr>
            <w:tcW w:w="6408" w:type="dxa"/>
            <w:tcBorders>
              <w:top w:val="single" w:color="auto" w:sz="4" w:space="0"/>
              <w:left w:val="single" w:color="auto" w:sz="4" w:space="0"/>
              <w:bottom w:val="single" w:color="auto" w:sz="4" w:space="0"/>
              <w:right w:val="single" w:color="auto" w:sz="4" w:space="0"/>
            </w:tcBorders>
          </w:tcPr>
          <w:p>
            <w:pPr>
              <w:pStyle w:val="38"/>
            </w:pPr>
            <w:r>
              <w:rPr>
                <w:rFonts w:hint="eastAsia"/>
              </w:rPr>
              <w:t>手机APP方式动态密码生成器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2" w:type="dxa"/>
            <w:tcBorders>
              <w:top w:val="single" w:color="auto" w:sz="4" w:space="0"/>
              <w:left w:val="single" w:color="auto" w:sz="4" w:space="0"/>
              <w:bottom w:val="single" w:color="auto" w:sz="4" w:space="0"/>
              <w:right w:val="single" w:color="auto" w:sz="4" w:space="0"/>
            </w:tcBorders>
          </w:tcPr>
          <w:p>
            <w:pPr>
              <w:pStyle w:val="38"/>
            </w:pPr>
            <w:r>
              <w:rPr>
                <w:rFonts w:hint="eastAsia"/>
              </w:rPr>
              <w:t>支持平台</w:t>
            </w:r>
          </w:p>
        </w:tc>
        <w:tc>
          <w:tcPr>
            <w:tcW w:w="6408" w:type="dxa"/>
            <w:tcBorders>
              <w:top w:val="single" w:color="auto" w:sz="4" w:space="0"/>
              <w:left w:val="single" w:color="auto" w:sz="4" w:space="0"/>
              <w:bottom w:val="single" w:color="auto" w:sz="4" w:space="0"/>
              <w:right w:val="single" w:color="auto" w:sz="4" w:space="0"/>
            </w:tcBorders>
          </w:tcPr>
          <w:p>
            <w:pPr>
              <w:pStyle w:val="38"/>
            </w:pPr>
            <w:r>
              <w:rPr>
                <w:rFonts w:hint="eastAsia"/>
              </w:rPr>
              <w:t>IOS、Andiord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2" w:type="dxa"/>
            <w:tcBorders>
              <w:top w:val="single" w:color="auto" w:sz="4" w:space="0"/>
              <w:left w:val="single" w:color="auto" w:sz="4" w:space="0"/>
              <w:bottom w:val="single" w:color="auto" w:sz="4" w:space="0"/>
              <w:right w:val="single" w:color="auto" w:sz="4" w:space="0"/>
            </w:tcBorders>
          </w:tcPr>
          <w:p>
            <w:pPr>
              <w:pStyle w:val="38"/>
            </w:pPr>
            <w:r>
              <w:rPr>
                <w:rFonts w:hint="eastAsia"/>
              </w:rPr>
              <w:t>激活方式</w:t>
            </w:r>
          </w:p>
        </w:tc>
        <w:tc>
          <w:tcPr>
            <w:tcW w:w="6408" w:type="dxa"/>
            <w:tcBorders>
              <w:top w:val="single" w:color="auto" w:sz="4" w:space="0"/>
              <w:left w:val="single" w:color="auto" w:sz="4" w:space="0"/>
              <w:bottom w:val="single" w:color="auto" w:sz="4" w:space="0"/>
              <w:right w:val="single" w:color="auto" w:sz="4" w:space="0"/>
            </w:tcBorders>
          </w:tcPr>
          <w:p>
            <w:pPr>
              <w:pStyle w:val="38"/>
            </w:pPr>
            <w:r>
              <w:rPr>
                <w:rFonts w:hint="eastAsia"/>
              </w:rPr>
              <w:t>支持25位随机数字激活码及帐号密码、扫描二维码与读图方式激活等多种方式激活令牌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2" w:type="dxa"/>
            <w:tcBorders>
              <w:top w:val="single" w:color="auto" w:sz="4" w:space="0"/>
              <w:left w:val="single" w:color="auto" w:sz="4" w:space="0"/>
              <w:bottom w:val="single" w:color="auto" w:sz="4" w:space="0"/>
              <w:right w:val="single" w:color="auto" w:sz="4" w:space="0"/>
            </w:tcBorders>
          </w:tcPr>
          <w:p>
            <w:pPr>
              <w:pStyle w:val="38"/>
            </w:pPr>
            <w:r>
              <w:rPr>
                <w:rFonts w:hint="eastAsia"/>
              </w:rPr>
              <w:t>安全性</w:t>
            </w:r>
          </w:p>
        </w:tc>
        <w:tc>
          <w:tcPr>
            <w:tcW w:w="6408" w:type="dxa"/>
            <w:tcBorders>
              <w:top w:val="single" w:color="auto" w:sz="4" w:space="0"/>
              <w:left w:val="single" w:color="auto" w:sz="4" w:space="0"/>
              <w:bottom w:val="single" w:color="auto" w:sz="4" w:space="0"/>
              <w:right w:val="single" w:color="auto" w:sz="4" w:space="0"/>
            </w:tcBorders>
          </w:tcPr>
          <w:p>
            <w:pPr>
              <w:pStyle w:val="38"/>
            </w:pPr>
            <w:r>
              <w:rPr>
                <w:rFonts w:hint="eastAsia"/>
              </w:rPr>
              <w:t>令牌绑定用户手机号，无法被非授权用户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2" w:type="dxa"/>
            <w:tcBorders>
              <w:top w:val="single" w:color="auto" w:sz="4" w:space="0"/>
              <w:left w:val="single" w:color="auto" w:sz="4" w:space="0"/>
              <w:bottom w:val="single" w:color="auto" w:sz="4" w:space="0"/>
              <w:right w:val="single" w:color="auto" w:sz="4" w:space="0"/>
            </w:tcBorders>
          </w:tcPr>
          <w:p>
            <w:pPr>
              <w:pStyle w:val="38"/>
            </w:pPr>
            <w:r>
              <w:rPr>
                <w:rFonts w:hint="eastAsia"/>
              </w:rPr>
              <w:t>个性化定制</w:t>
            </w:r>
          </w:p>
        </w:tc>
        <w:tc>
          <w:tcPr>
            <w:tcW w:w="6408" w:type="dxa"/>
            <w:tcBorders>
              <w:top w:val="single" w:color="auto" w:sz="4" w:space="0"/>
              <w:left w:val="single" w:color="auto" w:sz="4" w:space="0"/>
              <w:bottom w:val="single" w:color="auto" w:sz="4" w:space="0"/>
              <w:right w:val="single" w:color="auto" w:sz="4" w:space="0"/>
            </w:tcBorders>
          </w:tcPr>
          <w:p>
            <w:pPr>
              <w:pStyle w:val="38"/>
            </w:pPr>
            <w:r>
              <w:rPr>
                <w:rFonts w:hint="eastAsia"/>
              </w:rPr>
              <w:t>支持APP个性化定制，同时满足一个用户一次激活有效。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2" w:type="dxa"/>
            <w:tcBorders>
              <w:top w:val="single" w:color="auto" w:sz="4" w:space="0"/>
              <w:left w:val="single" w:color="auto" w:sz="4" w:space="0"/>
              <w:bottom w:val="single" w:color="auto" w:sz="4" w:space="0"/>
              <w:right w:val="single" w:color="auto" w:sz="4" w:space="0"/>
            </w:tcBorders>
          </w:tcPr>
          <w:p>
            <w:pPr>
              <w:pStyle w:val="38"/>
            </w:pPr>
            <w:r>
              <w:rPr>
                <w:rFonts w:hint="eastAsia"/>
              </w:rPr>
              <w:t>密码有效时间</w:t>
            </w:r>
          </w:p>
        </w:tc>
        <w:tc>
          <w:tcPr>
            <w:tcW w:w="6408" w:type="dxa"/>
            <w:tcBorders>
              <w:top w:val="single" w:color="auto" w:sz="4" w:space="0"/>
              <w:left w:val="single" w:color="auto" w:sz="4" w:space="0"/>
              <w:bottom w:val="single" w:color="auto" w:sz="4" w:space="0"/>
              <w:right w:val="single" w:color="auto" w:sz="4" w:space="0"/>
            </w:tcBorders>
          </w:tcPr>
          <w:p>
            <w:pPr>
              <w:pStyle w:val="38"/>
            </w:pPr>
            <w:r>
              <w:rPr>
                <w:rFonts w:hint="eastAsia"/>
              </w:rPr>
              <w:t>60秒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2" w:type="dxa"/>
            <w:tcBorders>
              <w:top w:val="single" w:color="auto" w:sz="4" w:space="0"/>
              <w:left w:val="single" w:color="auto" w:sz="4" w:space="0"/>
              <w:bottom w:val="single" w:color="auto" w:sz="4" w:space="0"/>
              <w:right w:val="single" w:color="auto" w:sz="4" w:space="0"/>
            </w:tcBorders>
          </w:tcPr>
          <w:p>
            <w:pPr>
              <w:pStyle w:val="38"/>
            </w:pPr>
            <w:r>
              <w:rPr>
                <w:rFonts w:hint="eastAsia"/>
              </w:rPr>
              <w:t>时效性</w:t>
            </w:r>
          </w:p>
        </w:tc>
        <w:tc>
          <w:tcPr>
            <w:tcW w:w="6408" w:type="dxa"/>
            <w:tcBorders>
              <w:top w:val="single" w:color="auto" w:sz="4" w:space="0"/>
              <w:left w:val="single" w:color="auto" w:sz="4" w:space="0"/>
              <w:bottom w:val="single" w:color="auto" w:sz="4" w:space="0"/>
              <w:right w:val="single" w:color="auto" w:sz="4" w:space="0"/>
            </w:tcBorders>
          </w:tcPr>
          <w:p>
            <w:pPr>
              <w:pStyle w:val="38"/>
            </w:pPr>
            <w:r>
              <w:rPr>
                <w:rFonts w:hint="eastAsia"/>
              </w:rPr>
              <w:t>二维码与激活图片具有时效性，支持自定义时效；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80" w:type="dxa"/>
            <w:gridSpan w:val="2"/>
            <w:tcBorders>
              <w:top w:val="single" w:color="auto" w:sz="4" w:space="0"/>
              <w:left w:val="single" w:color="auto" w:sz="4" w:space="0"/>
              <w:bottom w:val="single" w:color="auto" w:sz="4" w:space="0"/>
              <w:right w:val="single" w:color="auto" w:sz="4" w:space="0"/>
            </w:tcBorders>
          </w:tcPr>
          <w:p>
            <w:pPr>
              <w:pStyle w:val="38"/>
            </w:pPr>
            <w:r>
              <w:rPr>
                <w:rFonts w:hint="eastAsia"/>
              </w:rPr>
              <w:t>短信令牌参数要求：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2" w:type="dxa"/>
            <w:tcBorders>
              <w:top w:val="single" w:color="auto" w:sz="4" w:space="0"/>
              <w:left w:val="single" w:color="auto" w:sz="4" w:space="0"/>
              <w:bottom w:val="single" w:color="auto" w:sz="4" w:space="0"/>
              <w:right w:val="single" w:color="auto" w:sz="4" w:space="0"/>
            </w:tcBorders>
          </w:tcPr>
          <w:p>
            <w:pPr>
              <w:pStyle w:val="38"/>
            </w:pPr>
            <w:r>
              <w:rPr>
                <w:rFonts w:hint="eastAsia"/>
              </w:rPr>
              <w:t>描述</w:t>
            </w:r>
          </w:p>
        </w:tc>
        <w:tc>
          <w:tcPr>
            <w:tcW w:w="6408" w:type="dxa"/>
            <w:tcBorders>
              <w:top w:val="single" w:color="auto" w:sz="4" w:space="0"/>
              <w:left w:val="single" w:color="auto" w:sz="4" w:space="0"/>
              <w:bottom w:val="single" w:color="auto" w:sz="4" w:space="0"/>
              <w:right w:val="single" w:color="auto" w:sz="4" w:space="0"/>
            </w:tcBorders>
          </w:tcPr>
          <w:p>
            <w:pPr>
              <w:pStyle w:val="38"/>
            </w:pPr>
            <w:r>
              <w:rPr>
                <w:rFonts w:hint="eastAsia"/>
              </w:rPr>
              <w:t>通过短信方式发送6/8为随机密码至用户手机上，短信位数及内容可修改。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2" w:type="dxa"/>
            <w:tcBorders>
              <w:top w:val="single" w:color="auto" w:sz="4" w:space="0"/>
              <w:left w:val="single" w:color="auto" w:sz="4" w:space="0"/>
              <w:bottom w:val="single" w:color="auto" w:sz="4" w:space="0"/>
              <w:right w:val="single" w:color="auto" w:sz="4" w:space="0"/>
            </w:tcBorders>
          </w:tcPr>
          <w:p>
            <w:pPr>
              <w:pStyle w:val="38"/>
            </w:pPr>
            <w:r>
              <w:rPr>
                <w:rFonts w:hint="eastAsia"/>
              </w:rPr>
              <w:t>便捷性</w:t>
            </w:r>
          </w:p>
        </w:tc>
        <w:tc>
          <w:tcPr>
            <w:tcW w:w="6408" w:type="dxa"/>
            <w:tcBorders>
              <w:top w:val="single" w:color="auto" w:sz="4" w:space="0"/>
              <w:left w:val="single" w:color="auto" w:sz="4" w:space="0"/>
              <w:bottom w:val="single" w:color="auto" w:sz="4" w:space="0"/>
              <w:right w:val="single" w:color="auto" w:sz="4" w:space="0"/>
            </w:tcBorders>
          </w:tcPr>
          <w:p>
            <w:pPr>
              <w:pStyle w:val="38"/>
            </w:pPr>
            <w:r>
              <w:rPr>
                <w:rFonts w:hint="eastAsia"/>
              </w:rPr>
              <w:t>可以直接从AD/LDAP获取用户的手机号，免除重复管理。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2" w:type="dxa"/>
            <w:tcBorders>
              <w:top w:val="single" w:color="auto" w:sz="4" w:space="0"/>
              <w:left w:val="single" w:color="auto" w:sz="4" w:space="0"/>
              <w:bottom w:val="single" w:color="auto" w:sz="4" w:space="0"/>
              <w:right w:val="single" w:color="auto" w:sz="4" w:space="0"/>
            </w:tcBorders>
          </w:tcPr>
          <w:p>
            <w:pPr>
              <w:pStyle w:val="38"/>
            </w:pPr>
            <w:r>
              <w:rPr>
                <w:rFonts w:hint="eastAsia"/>
              </w:rPr>
              <w:t>安全性</w:t>
            </w:r>
          </w:p>
        </w:tc>
        <w:tc>
          <w:tcPr>
            <w:tcW w:w="6408" w:type="dxa"/>
            <w:tcBorders>
              <w:top w:val="single" w:color="auto" w:sz="4" w:space="0"/>
              <w:left w:val="single" w:color="auto" w:sz="4" w:space="0"/>
              <w:bottom w:val="single" w:color="auto" w:sz="4" w:space="0"/>
              <w:right w:val="single" w:color="auto" w:sz="4" w:space="0"/>
            </w:tcBorders>
          </w:tcPr>
          <w:p>
            <w:pPr>
              <w:pStyle w:val="38"/>
            </w:pPr>
            <w:r>
              <w:rPr>
                <w:rFonts w:hint="eastAsia"/>
              </w:rPr>
              <w:t>密码一次使用有效，认证成功或失败后立即失效，认证失败过多后锁定，并能够设定禁闭时间自动解除锁定。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2" w:type="dxa"/>
            <w:tcBorders>
              <w:top w:val="single" w:color="auto" w:sz="4" w:space="0"/>
              <w:left w:val="single" w:color="auto" w:sz="4" w:space="0"/>
              <w:bottom w:val="single" w:color="auto" w:sz="4" w:space="0"/>
              <w:right w:val="single" w:color="auto" w:sz="4" w:space="0"/>
            </w:tcBorders>
          </w:tcPr>
          <w:p>
            <w:pPr>
              <w:pStyle w:val="38"/>
            </w:pPr>
            <w:r>
              <w:rPr>
                <w:rFonts w:hint="eastAsia"/>
              </w:rPr>
              <w:t>密码有效时间</w:t>
            </w:r>
          </w:p>
        </w:tc>
        <w:tc>
          <w:tcPr>
            <w:tcW w:w="6408" w:type="dxa"/>
            <w:tcBorders>
              <w:top w:val="single" w:color="auto" w:sz="4" w:space="0"/>
              <w:left w:val="single" w:color="auto" w:sz="4" w:space="0"/>
              <w:bottom w:val="single" w:color="auto" w:sz="4" w:space="0"/>
              <w:right w:val="single" w:color="auto" w:sz="4" w:space="0"/>
            </w:tcBorders>
          </w:tcPr>
          <w:p>
            <w:pPr>
              <w:pStyle w:val="38"/>
            </w:pPr>
            <w:r>
              <w:rPr>
                <w:rFonts w:hint="eastAsia"/>
              </w:rPr>
              <w:t>可设定密码有效期，并可在有效期内重发的短信密码一样，避免用户错误填写。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2" w:type="dxa"/>
            <w:tcBorders>
              <w:top w:val="single" w:color="auto" w:sz="4" w:space="0"/>
              <w:left w:val="single" w:color="auto" w:sz="4" w:space="0"/>
              <w:bottom w:val="single" w:color="auto" w:sz="4" w:space="0"/>
              <w:right w:val="single" w:color="auto" w:sz="4" w:space="0"/>
            </w:tcBorders>
          </w:tcPr>
          <w:p>
            <w:pPr>
              <w:pStyle w:val="38"/>
            </w:pPr>
            <w:r>
              <w:rPr>
                <w:rFonts w:hint="eastAsia"/>
              </w:rPr>
              <w:t>接口适配</w:t>
            </w:r>
          </w:p>
        </w:tc>
        <w:tc>
          <w:tcPr>
            <w:tcW w:w="6408" w:type="dxa"/>
            <w:tcBorders>
              <w:top w:val="single" w:color="auto" w:sz="4" w:space="0"/>
              <w:left w:val="single" w:color="auto" w:sz="4" w:space="0"/>
              <w:bottom w:val="single" w:color="auto" w:sz="4" w:space="0"/>
              <w:right w:val="single" w:color="auto" w:sz="4" w:space="0"/>
            </w:tcBorders>
          </w:tcPr>
          <w:p>
            <w:pPr>
              <w:pStyle w:val="38"/>
            </w:pPr>
            <w:r>
              <w:rPr>
                <w:rFonts w:hint="eastAsia"/>
              </w:rPr>
              <w:t>支持适配http/https(get/post)、webserver、DB等各类短信平台接口；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80" w:type="dxa"/>
            <w:gridSpan w:val="2"/>
            <w:tcBorders>
              <w:top w:val="single" w:color="auto" w:sz="4" w:space="0"/>
              <w:left w:val="single" w:color="auto" w:sz="4" w:space="0"/>
              <w:bottom w:val="single" w:color="auto" w:sz="4" w:space="0"/>
              <w:right w:val="single" w:color="auto" w:sz="4" w:space="0"/>
            </w:tcBorders>
          </w:tcPr>
          <w:p>
            <w:pPr>
              <w:pStyle w:val="38"/>
            </w:pPr>
            <w:r>
              <w:rPr>
                <w:rFonts w:hint="eastAsia"/>
              </w:rPr>
              <w:t>服务要求：一年维保服务</w:t>
            </w:r>
          </w:p>
        </w:tc>
      </w:tr>
    </w:tbl>
    <w:p>
      <w:pPr>
        <w:ind w:firstLine="480"/>
      </w:pPr>
    </w:p>
    <w:p>
      <w:pPr>
        <w:pStyle w:val="5"/>
      </w:pPr>
      <w:r>
        <w:rPr>
          <w:rFonts w:hint="eastAsia"/>
        </w:rPr>
        <w:t>出口防毒墙病毒库升级</w:t>
      </w:r>
    </w:p>
    <w:tbl>
      <w:tblPr>
        <w:tblStyle w:val="16"/>
        <w:tblW w:w="80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0"/>
        <w:gridCol w:w="6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730" w:type="dxa"/>
            <w:shd w:val="clear" w:color="000000" w:fill="BFBFBF"/>
            <w:vAlign w:val="center"/>
          </w:tcPr>
          <w:p>
            <w:pPr>
              <w:pStyle w:val="38"/>
            </w:pPr>
            <w:r>
              <w:rPr>
                <w:rFonts w:hint="eastAsia"/>
              </w:rPr>
              <w:t>指标项</w:t>
            </w:r>
          </w:p>
        </w:tc>
        <w:tc>
          <w:tcPr>
            <w:tcW w:w="6350" w:type="dxa"/>
            <w:shd w:val="clear" w:color="000000" w:fill="BFBFBF"/>
            <w:vAlign w:val="center"/>
          </w:tcPr>
          <w:p>
            <w:pPr>
              <w:pStyle w:val="38"/>
            </w:pPr>
            <w:r>
              <w:rPr>
                <w:rFonts w:hint="eastAsia"/>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730" w:type="dxa"/>
            <w:shd w:val="clear" w:color="auto" w:fill="auto"/>
            <w:vAlign w:val="center"/>
          </w:tcPr>
          <w:p>
            <w:pPr>
              <w:pStyle w:val="38"/>
            </w:pPr>
            <w:r>
              <w:rPr>
                <w:rFonts w:hint="eastAsia"/>
              </w:rPr>
              <w:t>总体要求</w:t>
            </w:r>
          </w:p>
        </w:tc>
        <w:tc>
          <w:tcPr>
            <w:tcW w:w="6350" w:type="dxa"/>
            <w:shd w:val="clear" w:color="auto" w:fill="auto"/>
            <w:vAlign w:val="center"/>
          </w:tcPr>
          <w:p>
            <w:pPr>
              <w:pStyle w:val="38"/>
            </w:pPr>
            <w:r>
              <w:rPr>
                <w:rFonts w:hint="eastAsia"/>
              </w:rPr>
              <w:t>原有的出口防毒墙天融信</w:t>
            </w:r>
            <w:r>
              <w:t>TF-51438-Virus ，增加3年的病毒库升级服务许可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1730" w:type="dxa"/>
            <w:vMerge w:val="restart"/>
            <w:vAlign w:val="center"/>
          </w:tcPr>
          <w:p>
            <w:pPr>
              <w:pStyle w:val="38"/>
            </w:pPr>
            <w:r>
              <w:rPr>
                <w:rFonts w:hint="eastAsia"/>
              </w:rPr>
              <w:t>防病毒引擎</w:t>
            </w:r>
          </w:p>
        </w:tc>
        <w:tc>
          <w:tcPr>
            <w:tcW w:w="6350" w:type="dxa"/>
            <w:vAlign w:val="center"/>
          </w:tcPr>
          <w:p>
            <w:pPr>
              <w:pStyle w:val="38"/>
            </w:pPr>
            <w:r>
              <w:rPr>
                <w:rFonts w:hint="eastAsia"/>
              </w:rPr>
              <w:t>内嵌双引擎杀毒技术，可单独采用流杀毒（快速扫描）引擎或文件型杀毒（深度扫描）引擎，也可同时支持两种杀毒引擎，能够根据不同的被检测协议采用不同杀毒引擎；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730" w:type="dxa"/>
            <w:vMerge w:val="continue"/>
            <w:vAlign w:val="center"/>
          </w:tcPr>
          <w:p>
            <w:pPr>
              <w:pStyle w:val="38"/>
            </w:pPr>
          </w:p>
        </w:tc>
        <w:tc>
          <w:tcPr>
            <w:tcW w:w="6350" w:type="dxa"/>
            <w:vAlign w:val="center"/>
          </w:tcPr>
          <w:p>
            <w:pPr>
              <w:pStyle w:val="38"/>
            </w:pPr>
            <w:r>
              <w:rPr>
                <w:rFonts w:hint="eastAsia"/>
              </w:rPr>
              <w:t xml:space="preserve">能够防御病毒、木马、蠕虫，且支持对压缩数据、加壳病毒的查杀；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730" w:type="dxa"/>
            <w:vMerge w:val="continue"/>
            <w:vAlign w:val="center"/>
          </w:tcPr>
          <w:p>
            <w:pPr>
              <w:pStyle w:val="38"/>
            </w:pPr>
          </w:p>
        </w:tc>
        <w:tc>
          <w:tcPr>
            <w:tcW w:w="6350" w:type="dxa"/>
            <w:vAlign w:val="center"/>
          </w:tcPr>
          <w:p>
            <w:pPr>
              <w:pStyle w:val="38"/>
            </w:pPr>
            <w:r>
              <w:rPr>
                <w:rFonts w:hint="eastAsia"/>
              </w:rPr>
              <w:t>能够支持对SMTP、POP3、IMAP、HTTP和FTP协议进行病毒扫描和过滤，有效地防止可能的病毒威胁；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730" w:type="dxa"/>
            <w:vMerge w:val="continue"/>
            <w:vAlign w:val="center"/>
          </w:tcPr>
          <w:p>
            <w:pPr>
              <w:pStyle w:val="38"/>
            </w:pPr>
          </w:p>
        </w:tc>
        <w:tc>
          <w:tcPr>
            <w:tcW w:w="6350" w:type="dxa"/>
            <w:vAlign w:val="center"/>
          </w:tcPr>
          <w:p>
            <w:pPr>
              <w:pStyle w:val="38"/>
            </w:pPr>
            <w:r>
              <w:rPr>
                <w:rFonts w:hint="eastAsia"/>
              </w:rPr>
              <w:t>支持病毒隔离功能，管理员可方便的管理隔离区，可选择把隔离区的内容发送给管理员或者删除；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730" w:type="dxa"/>
            <w:vMerge w:val="continue"/>
            <w:vAlign w:val="center"/>
          </w:tcPr>
          <w:p>
            <w:pPr>
              <w:pStyle w:val="38"/>
            </w:pPr>
          </w:p>
        </w:tc>
        <w:tc>
          <w:tcPr>
            <w:tcW w:w="6350" w:type="dxa"/>
            <w:vAlign w:val="center"/>
          </w:tcPr>
          <w:p>
            <w:pPr>
              <w:pStyle w:val="38"/>
            </w:pPr>
            <w:r>
              <w:rPr>
                <w:rFonts w:hint="eastAsia"/>
              </w:rPr>
              <w:t>可实时检测到日益泛滥的蠕虫攻击，并对其进行实时阻断，从而有效防止内部网络因遭受蠕虫攻击而陷于瘫痪；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730" w:type="dxa"/>
            <w:vMerge w:val="continue"/>
            <w:vAlign w:val="center"/>
          </w:tcPr>
          <w:p>
            <w:pPr>
              <w:pStyle w:val="38"/>
            </w:pPr>
          </w:p>
        </w:tc>
        <w:tc>
          <w:tcPr>
            <w:tcW w:w="6350" w:type="dxa"/>
            <w:vAlign w:val="center"/>
          </w:tcPr>
          <w:p>
            <w:pPr>
              <w:pStyle w:val="38"/>
            </w:pPr>
            <w:r>
              <w:rPr>
                <w:rFonts w:hint="eastAsia"/>
              </w:rPr>
              <w:t>深度扫描模式下支持TCP粘合技术，提升系统查杀效率。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730" w:type="dxa"/>
            <w:vMerge w:val="continue"/>
            <w:vAlign w:val="center"/>
          </w:tcPr>
          <w:p>
            <w:pPr>
              <w:pStyle w:val="38"/>
            </w:pPr>
          </w:p>
        </w:tc>
        <w:tc>
          <w:tcPr>
            <w:tcW w:w="6350" w:type="dxa"/>
            <w:vAlign w:val="center"/>
          </w:tcPr>
          <w:p>
            <w:pPr>
              <w:pStyle w:val="38"/>
            </w:pPr>
            <w:r>
              <w:rPr>
                <w:rFonts w:hint="eastAsia"/>
              </w:rPr>
              <w:t>支持信任站点功能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730" w:type="dxa"/>
            <w:vMerge w:val="continue"/>
            <w:vAlign w:val="center"/>
          </w:tcPr>
          <w:p>
            <w:pPr>
              <w:pStyle w:val="38"/>
            </w:pPr>
          </w:p>
        </w:tc>
        <w:tc>
          <w:tcPr>
            <w:tcW w:w="6350" w:type="dxa"/>
            <w:vAlign w:val="center"/>
          </w:tcPr>
          <w:p>
            <w:pPr>
              <w:pStyle w:val="38"/>
            </w:pPr>
            <w:r>
              <w:rPr>
                <w:rFonts w:hint="eastAsia"/>
              </w:rPr>
              <w:t>支持IPv4和IPv6双栈协议的病毒扫描和过滤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1730" w:type="dxa"/>
            <w:vMerge w:val="continue"/>
            <w:vAlign w:val="center"/>
          </w:tcPr>
          <w:p>
            <w:pPr>
              <w:pStyle w:val="38"/>
            </w:pPr>
          </w:p>
        </w:tc>
        <w:tc>
          <w:tcPr>
            <w:tcW w:w="6350" w:type="dxa"/>
            <w:vAlign w:val="center"/>
          </w:tcPr>
          <w:p>
            <w:pPr>
              <w:pStyle w:val="38"/>
            </w:pPr>
            <w:r>
              <w:rPr>
                <w:rFonts w:hint="eastAsia"/>
              </w:rPr>
              <w:t>支持智能检测应用协议的病毒行为，采用智能方式准确扫描常用协议任意端口的病毒传输行为，而非通过传统手动配置协议端口绑定形式进行病毒扫描；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1730" w:type="dxa"/>
            <w:vMerge w:val="continue"/>
            <w:vAlign w:val="center"/>
          </w:tcPr>
          <w:p>
            <w:pPr>
              <w:pStyle w:val="38"/>
            </w:pPr>
          </w:p>
        </w:tc>
        <w:tc>
          <w:tcPr>
            <w:tcW w:w="6350" w:type="dxa"/>
            <w:vAlign w:val="center"/>
          </w:tcPr>
          <w:p>
            <w:pPr>
              <w:pStyle w:val="38"/>
            </w:pPr>
            <w:r>
              <w:rPr>
                <w:rFonts w:hint="eastAsia"/>
              </w:rPr>
              <w:t>支持多接口旁路的病毒传输监听检测方式，可并行监听并检测多个网段内的病毒传输行为，用于高吞吐量、高可靠性要求的旁路应用环境；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730" w:type="dxa"/>
            <w:vMerge w:val="continue"/>
            <w:vAlign w:val="center"/>
          </w:tcPr>
          <w:p>
            <w:pPr>
              <w:pStyle w:val="38"/>
            </w:pPr>
          </w:p>
        </w:tc>
        <w:tc>
          <w:tcPr>
            <w:tcW w:w="6350" w:type="dxa"/>
            <w:vAlign w:val="center"/>
          </w:tcPr>
          <w:p>
            <w:pPr>
              <w:pStyle w:val="38"/>
            </w:pPr>
            <w:r>
              <w:rPr>
                <w:rFonts w:hint="eastAsia"/>
              </w:rPr>
              <w:t>要求病毒检测率不低于98%；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730" w:type="dxa"/>
            <w:vMerge w:val="continue"/>
            <w:vAlign w:val="center"/>
          </w:tcPr>
          <w:p>
            <w:pPr>
              <w:pStyle w:val="38"/>
            </w:pPr>
          </w:p>
        </w:tc>
        <w:tc>
          <w:tcPr>
            <w:tcW w:w="6350" w:type="dxa"/>
            <w:vAlign w:val="center"/>
          </w:tcPr>
          <w:p>
            <w:pPr>
              <w:pStyle w:val="38"/>
            </w:pPr>
            <w:r>
              <w:rPr>
                <w:rFonts w:hint="eastAsia"/>
              </w:rPr>
              <w:t>快速扫描引擎支持手机病毒的过滤。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730" w:type="dxa"/>
            <w:vMerge w:val="restart"/>
            <w:vAlign w:val="center"/>
          </w:tcPr>
          <w:p>
            <w:pPr>
              <w:pStyle w:val="38"/>
            </w:pPr>
            <w:r>
              <w:rPr>
                <w:rFonts w:hint="eastAsia"/>
              </w:rPr>
              <w:t>病毒库</w:t>
            </w:r>
          </w:p>
        </w:tc>
        <w:tc>
          <w:tcPr>
            <w:tcW w:w="6350" w:type="dxa"/>
            <w:vAlign w:val="center"/>
          </w:tcPr>
          <w:p>
            <w:pPr>
              <w:pStyle w:val="38"/>
            </w:pPr>
            <w:r>
              <w:rPr>
                <w:rFonts w:hint="eastAsia"/>
              </w:rPr>
              <w:t>采用国际国内知名主流品牌病毒库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730" w:type="dxa"/>
            <w:vMerge w:val="continue"/>
            <w:vAlign w:val="center"/>
          </w:tcPr>
          <w:p>
            <w:pPr>
              <w:pStyle w:val="38"/>
            </w:pPr>
          </w:p>
        </w:tc>
        <w:tc>
          <w:tcPr>
            <w:tcW w:w="6350" w:type="dxa"/>
            <w:vAlign w:val="center"/>
          </w:tcPr>
          <w:p>
            <w:pPr>
              <w:pStyle w:val="38"/>
            </w:pPr>
            <w:r>
              <w:rPr>
                <w:rFonts w:hint="eastAsia"/>
              </w:rPr>
              <w:t>要求具有独立的蠕虫防护规则库，并可通过手动或自动方式进行升级；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730" w:type="dxa"/>
            <w:vMerge w:val="continue"/>
            <w:vAlign w:val="center"/>
          </w:tcPr>
          <w:p>
            <w:pPr>
              <w:pStyle w:val="38"/>
            </w:pPr>
          </w:p>
        </w:tc>
        <w:tc>
          <w:tcPr>
            <w:tcW w:w="6350" w:type="dxa"/>
            <w:vAlign w:val="center"/>
          </w:tcPr>
          <w:p>
            <w:pPr>
              <w:pStyle w:val="38"/>
            </w:pPr>
            <w:r>
              <w:rPr>
                <w:rFonts w:hint="eastAsia"/>
              </w:rPr>
              <w:t>要求每种扫描引擎具有独立的病毒库，流行病毒库总数大于600万。</w:t>
            </w:r>
          </w:p>
        </w:tc>
      </w:tr>
    </w:tbl>
    <w:p>
      <w:pPr>
        <w:ind w:firstLine="480"/>
      </w:pPr>
    </w:p>
    <w:p>
      <w:pPr>
        <w:pStyle w:val="5"/>
      </w:pPr>
      <w:r>
        <w:rPr>
          <w:rFonts w:hint="eastAsia"/>
        </w:rPr>
        <w:t>平台全业务容灾系统</w:t>
      </w:r>
    </w:p>
    <w:tbl>
      <w:tblPr>
        <w:tblStyle w:val="16"/>
        <w:tblW w:w="8080" w:type="dxa"/>
        <w:tblInd w:w="137" w:type="dxa"/>
        <w:tblLayout w:type="fixed"/>
        <w:tblCellMar>
          <w:top w:w="0" w:type="dxa"/>
          <w:left w:w="108" w:type="dxa"/>
          <w:bottom w:w="0" w:type="dxa"/>
          <w:right w:w="108" w:type="dxa"/>
        </w:tblCellMar>
      </w:tblPr>
      <w:tblGrid>
        <w:gridCol w:w="1701"/>
        <w:gridCol w:w="6379"/>
      </w:tblGrid>
      <w:tr>
        <w:tblPrEx>
          <w:tblLayout w:type="fixed"/>
          <w:tblCellMar>
            <w:top w:w="0" w:type="dxa"/>
            <w:left w:w="108" w:type="dxa"/>
            <w:bottom w:w="0" w:type="dxa"/>
            <w:right w:w="108" w:type="dxa"/>
          </w:tblCellMar>
        </w:tblPrEx>
        <w:trPr>
          <w:trHeight w:val="276" w:hRule="atLeast"/>
        </w:trPr>
        <w:tc>
          <w:tcPr>
            <w:tcW w:w="1701"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38"/>
            </w:pPr>
            <w:r>
              <w:rPr>
                <w:rFonts w:hint="eastAsia"/>
              </w:rPr>
              <w:t>指标项</w:t>
            </w:r>
          </w:p>
        </w:tc>
        <w:tc>
          <w:tcPr>
            <w:tcW w:w="6379" w:type="dxa"/>
            <w:tcBorders>
              <w:top w:val="single" w:color="auto" w:sz="4" w:space="0"/>
              <w:left w:val="nil"/>
              <w:bottom w:val="single" w:color="auto" w:sz="4" w:space="0"/>
              <w:right w:val="single" w:color="auto" w:sz="4" w:space="0"/>
            </w:tcBorders>
            <w:shd w:val="clear" w:color="auto" w:fill="auto"/>
            <w:noWrap/>
            <w:vAlign w:val="center"/>
          </w:tcPr>
          <w:p>
            <w:pPr>
              <w:pStyle w:val="38"/>
            </w:pPr>
            <w:r>
              <w:rPr>
                <w:rFonts w:hint="eastAsia"/>
              </w:rPr>
              <w:t>指标要求</w:t>
            </w:r>
          </w:p>
        </w:tc>
      </w:tr>
      <w:tr>
        <w:tblPrEx>
          <w:tblLayout w:type="fixed"/>
          <w:tblCellMar>
            <w:top w:w="0" w:type="dxa"/>
            <w:left w:w="108" w:type="dxa"/>
            <w:bottom w:w="0" w:type="dxa"/>
            <w:right w:w="108" w:type="dxa"/>
          </w:tblCellMar>
        </w:tblPrEx>
        <w:trPr>
          <w:trHeight w:val="276" w:hRule="atLeast"/>
        </w:trPr>
        <w:tc>
          <w:tcPr>
            <w:tcW w:w="1701" w:type="dxa"/>
            <w:vMerge w:val="restart"/>
            <w:tcBorders>
              <w:top w:val="nil"/>
              <w:left w:val="single" w:color="auto" w:sz="4" w:space="0"/>
              <w:bottom w:val="single" w:color="auto" w:sz="4" w:space="0"/>
              <w:right w:val="single" w:color="auto" w:sz="4" w:space="0"/>
            </w:tcBorders>
            <w:shd w:val="clear" w:color="auto" w:fill="auto"/>
            <w:noWrap/>
            <w:vAlign w:val="center"/>
          </w:tcPr>
          <w:p>
            <w:pPr>
              <w:pStyle w:val="38"/>
            </w:pPr>
            <w:r>
              <w:rPr>
                <w:rFonts w:hint="eastAsia"/>
              </w:rPr>
              <w:t>容灾目标</w:t>
            </w:r>
          </w:p>
        </w:tc>
        <w:tc>
          <w:tcPr>
            <w:tcW w:w="6379" w:type="dxa"/>
            <w:tcBorders>
              <w:top w:val="nil"/>
              <w:left w:val="nil"/>
              <w:bottom w:val="single" w:color="auto" w:sz="4" w:space="0"/>
              <w:right w:val="single" w:color="auto" w:sz="4" w:space="0"/>
            </w:tcBorders>
            <w:shd w:val="clear" w:color="auto" w:fill="auto"/>
            <w:noWrap/>
            <w:vAlign w:val="center"/>
          </w:tcPr>
          <w:p>
            <w:pPr>
              <w:pStyle w:val="38"/>
            </w:pPr>
            <w:r>
              <w:rPr>
                <w:rFonts w:hint="eastAsia"/>
              </w:rPr>
              <w:t>1)实现数据库级别的监控灾备状态，提高系统运行的稳定性和可靠性。</w:t>
            </w:r>
          </w:p>
        </w:tc>
      </w:tr>
      <w:tr>
        <w:tblPrEx>
          <w:tblLayout w:type="fixed"/>
          <w:tblCellMar>
            <w:top w:w="0" w:type="dxa"/>
            <w:left w:w="108" w:type="dxa"/>
            <w:bottom w:w="0" w:type="dxa"/>
            <w:right w:w="108" w:type="dxa"/>
          </w:tblCellMar>
        </w:tblPrEx>
        <w:trPr>
          <w:trHeight w:val="480" w:hRule="atLeast"/>
        </w:trPr>
        <w:tc>
          <w:tcPr>
            <w:tcW w:w="1701" w:type="dxa"/>
            <w:vMerge w:val="continue"/>
            <w:tcBorders>
              <w:top w:val="nil"/>
              <w:left w:val="single" w:color="auto" w:sz="4" w:space="0"/>
              <w:bottom w:val="single" w:color="auto" w:sz="4" w:space="0"/>
              <w:right w:val="single" w:color="auto" w:sz="4" w:space="0"/>
            </w:tcBorders>
            <w:vAlign w:val="center"/>
          </w:tcPr>
          <w:p>
            <w:pPr>
              <w:pStyle w:val="38"/>
            </w:pPr>
          </w:p>
        </w:tc>
        <w:tc>
          <w:tcPr>
            <w:tcW w:w="6379" w:type="dxa"/>
            <w:tcBorders>
              <w:top w:val="nil"/>
              <w:left w:val="nil"/>
              <w:bottom w:val="single" w:color="auto" w:sz="4" w:space="0"/>
              <w:right w:val="single" w:color="auto" w:sz="4" w:space="0"/>
            </w:tcBorders>
            <w:shd w:val="clear" w:color="auto" w:fill="auto"/>
            <w:noWrap/>
            <w:vAlign w:val="center"/>
          </w:tcPr>
          <w:p>
            <w:pPr>
              <w:pStyle w:val="38"/>
            </w:pPr>
            <w:r>
              <w:rPr>
                <w:rFonts w:hint="eastAsia"/>
              </w:rPr>
              <w:t>2)当生产端发生灾难故障时进行切换，将灾备端数据库一键式切换到容灾端，保证数据库能够对外提供持续服务。</w:t>
            </w:r>
          </w:p>
        </w:tc>
      </w:tr>
      <w:tr>
        <w:tblPrEx>
          <w:tblLayout w:type="fixed"/>
          <w:tblCellMar>
            <w:top w:w="0" w:type="dxa"/>
            <w:left w:w="108" w:type="dxa"/>
            <w:bottom w:w="0" w:type="dxa"/>
            <w:right w:w="108" w:type="dxa"/>
          </w:tblCellMar>
        </w:tblPrEx>
        <w:trPr>
          <w:trHeight w:val="480" w:hRule="atLeast"/>
        </w:trPr>
        <w:tc>
          <w:tcPr>
            <w:tcW w:w="1701" w:type="dxa"/>
            <w:vMerge w:val="continue"/>
            <w:tcBorders>
              <w:top w:val="nil"/>
              <w:left w:val="single" w:color="auto" w:sz="4" w:space="0"/>
              <w:bottom w:val="single" w:color="auto" w:sz="4" w:space="0"/>
              <w:right w:val="single" w:color="auto" w:sz="4" w:space="0"/>
            </w:tcBorders>
            <w:vAlign w:val="center"/>
          </w:tcPr>
          <w:p>
            <w:pPr>
              <w:pStyle w:val="38"/>
            </w:pPr>
          </w:p>
        </w:tc>
        <w:tc>
          <w:tcPr>
            <w:tcW w:w="6379" w:type="dxa"/>
            <w:tcBorders>
              <w:top w:val="nil"/>
              <w:left w:val="nil"/>
              <w:bottom w:val="single" w:color="auto" w:sz="4" w:space="0"/>
              <w:right w:val="single" w:color="auto" w:sz="4" w:space="0"/>
            </w:tcBorders>
            <w:shd w:val="clear" w:color="auto" w:fill="auto"/>
            <w:noWrap/>
            <w:vAlign w:val="center"/>
          </w:tcPr>
          <w:p>
            <w:pPr>
              <w:pStyle w:val="38"/>
            </w:pPr>
            <w:r>
              <w:rPr>
                <w:rFonts w:hint="eastAsia"/>
              </w:rPr>
              <w:t>3)含2个数据库容灾许可（Oracle、Sql server等），含一年7*24小时标准服务。</w:t>
            </w:r>
          </w:p>
        </w:tc>
      </w:tr>
      <w:tr>
        <w:tblPrEx>
          <w:tblLayout w:type="fixed"/>
          <w:tblCellMar>
            <w:top w:w="0" w:type="dxa"/>
            <w:left w:w="108" w:type="dxa"/>
            <w:bottom w:w="0" w:type="dxa"/>
            <w:right w:w="108" w:type="dxa"/>
          </w:tblCellMar>
        </w:tblPrEx>
        <w:trPr>
          <w:trHeight w:val="480" w:hRule="atLeast"/>
        </w:trPr>
        <w:tc>
          <w:tcPr>
            <w:tcW w:w="1701" w:type="dxa"/>
            <w:tcBorders>
              <w:top w:val="nil"/>
              <w:left w:val="single" w:color="auto" w:sz="4" w:space="0"/>
              <w:bottom w:val="single" w:color="auto" w:sz="4" w:space="0"/>
              <w:right w:val="single" w:color="auto" w:sz="4" w:space="0"/>
            </w:tcBorders>
            <w:shd w:val="clear" w:color="auto" w:fill="auto"/>
            <w:noWrap/>
            <w:vAlign w:val="center"/>
          </w:tcPr>
          <w:p>
            <w:pPr>
              <w:pStyle w:val="38"/>
            </w:pPr>
            <w:r>
              <w:rPr>
                <w:rFonts w:hint="eastAsia"/>
              </w:rPr>
              <w:t>支持数据库版本</w:t>
            </w:r>
          </w:p>
        </w:tc>
        <w:tc>
          <w:tcPr>
            <w:tcW w:w="6379" w:type="dxa"/>
            <w:tcBorders>
              <w:top w:val="nil"/>
              <w:left w:val="nil"/>
              <w:bottom w:val="single" w:color="auto" w:sz="4" w:space="0"/>
              <w:right w:val="single" w:color="auto" w:sz="4" w:space="0"/>
            </w:tcBorders>
            <w:shd w:val="clear" w:color="auto" w:fill="auto"/>
            <w:noWrap/>
            <w:vAlign w:val="center"/>
          </w:tcPr>
          <w:p>
            <w:pPr>
              <w:pStyle w:val="38"/>
            </w:pPr>
            <w:r>
              <w:rPr>
                <w:rFonts w:hint="eastAsia"/>
                <w:lang w:val="pl-PL"/>
              </w:rPr>
              <w:t>ORACLE 9i、ORACLE 10g、ORACLE 11g、ORACLE 12C、Sqlserver2008、Sqlserver2012、Sqlserver 2014、Sqlserver 2016等。</w:t>
            </w:r>
          </w:p>
        </w:tc>
      </w:tr>
      <w:tr>
        <w:tblPrEx>
          <w:tblLayout w:type="fixed"/>
          <w:tblCellMar>
            <w:top w:w="0" w:type="dxa"/>
            <w:left w:w="108" w:type="dxa"/>
            <w:bottom w:w="0" w:type="dxa"/>
            <w:right w:w="108" w:type="dxa"/>
          </w:tblCellMar>
        </w:tblPrEx>
        <w:trPr>
          <w:trHeight w:val="480" w:hRule="atLeast"/>
        </w:trPr>
        <w:tc>
          <w:tcPr>
            <w:tcW w:w="1701" w:type="dxa"/>
            <w:tcBorders>
              <w:top w:val="nil"/>
              <w:left w:val="single" w:color="auto" w:sz="4" w:space="0"/>
              <w:bottom w:val="single" w:color="auto" w:sz="4" w:space="0"/>
              <w:right w:val="single" w:color="auto" w:sz="4" w:space="0"/>
            </w:tcBorders>
            <w:shd w:val="clear" w:color="auto" w:fill="auto"/>
            <w:noWrap/>
            <w:vAlign w:val="center"/>
          </w:tcPr>
          <w:p>
            <w:pPr>
              <w:pStyle w:val="38"/>
            </w:pPr>
            <w:r>
              <w:rPr>
                <w:rFonts w:hint="eastAsia"/>
              </w:rPr>
              <w:t>容灾距离</w:t>
            </w:r>
          </w:p>
        </w:tc>
        <w:tc>
          <w:tcPr>
            <w:tcW w:w="6379" w:type="dxa"/>
            <w:tcBorders>
              <w:top w:val="nil"/>
              <w:left w:val="nil"/>
              <w:bottom w:val="single" w:color="auto" w:sz="4" w:space="0"/>
              <w:right w:val="single" w:color="auto" w:sz="4" w:space="0"/>
            </w:tcBorders>
            <w:shd w:val="clear" w:color="auto" w:fill="auto"/>
            <w:noWrap/>
            <w:vAlign w:val="center"/>
          </w:tcPr>
          <w:p>
            <w:pPr>
              <w:pStyle w:val="38"/>
            </w:pPr>
            <w:r>
              <w:rPr>
                <w:rFonts w:hint="eastAsia"/>
              </w:rPr>
              <w:t>实现80KM左右的同步容灾，考虑今后的需求，要求可以实现200KM以上的同步容灾。</w:t>
            </w:r>
          </w:p>
        </w:tc>
      </w:tr>
      <w:tr>
        <w:tblPrEx>
          <w:tblLayout w:type="fixed"/>
          <w:tblCellMar>
            <w:top w:w="0" w:type="dxa"/>
            <w:left w:w="108" w:type="dxa"/>
            <w:bottom w:w="0" w:type="dxa"/>
            <w:right w:w="108" w:type="dxa"/>
          </w:tblCellMar>
        </w:tblPrEx>
        <w:trPr>
          <w:trHeight w:val="276" w:hRule="atLeast"/>
        </w:trPr>
        <w:tc>
          <w:tcPr>
            <w:tcW w:w="1701" w:type="dxa"/>
            <w:tcBorders>
              <w:top w:val="nil"/>
              <w:left w:val="single" w:color="auto" w:sz="4" w:space="0"/>
              <w:bottom w:val="single" w:color="auto" w:sz="4" w:space="0"/>
              <w:right w:val="single" w:color="auto" w:sz="4" w:space="0"/>
            </w:tcBorders>
            <w:shd w:val="clear" w:color="auto" w:fill="auto"/>
            <w:noWrap/>
            <w:vAlign w:val="center"/>
          </w:tcPr>
          <w:p>
            <w:pPr>
              <w:pStyle w:val="38"/>
            </w:pPr>
            <w:r>
              <w:rPr>
                <w:rFonts w:hint="eastAsia"/>
              </w:rPr>
              <w:t>RPO要求</w:t>
            </w:r>
          </w:p>
        </w:tc>
        <w:tc>
          <w:tcPr>
            <w:tcW w:w="6379" w:type="dxa"/>
            <w:tcBorders>
              <w:top w:val="nil"/>
              <w:left w:val="nil"/>
              <w:bottom w:val="single" w:color="auto" w:sz="4" w:space="0"/>
              <w:right w:val="single" w:color="auto" w:sz="4" w:space="0"/>
            </w:tcBorders>
            <w:shd w:val="clear" w:color="auto" w:fill="auto"/>
            <w:noWrap/>
            <w:vAlign w:val="center"/>
          </w:tcPr>
          <w:p>
            <w:pPr>
              <w:pStyle w:val="38"/>
            </w:pPr>
            <w:r>
              <w:rPr>
                <w:rFonts w:hint="eastAsia"/>
              </w:rPr>
              <w:t>要求实现数据零丢失，支持同步和异步模式。</w:t>
            </w:r>
          </w:p>
        </w:tc>
      </w:tr>
      <w:tr>
        <w:tblPrEx>
          <w:tblLayout w:type="fixed"/>
          <w:tblCellMar>
            <w:top w:w="0" w:type="dxa"/>
            <w:left w:w="108" w:type="dxa"/>
            <w:bottom w:w="0" w:type="dxa"/>
            <w:right w:w="108" w:type="dxa"/>
          </w:tblCellMar>
        </w:tblPrEx>
        <w:trPr>
          <w:trHeight w:val="276" w:hRule="atLeast"/>
        </w:trPr>
        <w:tc>
          <w:tcPr>
            <w:tcW w:w="1701" w:type="dxa"/>
            <w:tcBorders>
              <w:top w:val="nil"/>
              <w:left w:val="single" w:color="auto" w:sz="4" w:space="0"/>
              <w:bottom w:val="single" w:color="auto" w:sz="4" w:space="0"/>
              <w:right w:val="single" w:color="auto" w:sz="4" w:space="0"/>
            </w:tcBorders>
            <w:shd w:val="clear" w:color="auto" w:fill="auto"/>
            <w:noWrap/>
            <w:vAlign w:val="center"/>
          </w:tcPr>
          <w:p>
            <w:pPr>
              <w:pStyle w:val="38"/>
            </w:pPr>
            <w:r>
              <w:rPr>
                <w:rFonts w:hint="eastAsia"/>
              </w:rPr>
              <w:t>RTO要求</w:t>
            </w:r>
          </w:p>
        </w:tc>
        <w:tc>
          <w:tcPr>
            <w:tcW w:w="6379" w:type="dxa"/>
            <w:tcBorders>
              <w:top w:val="nil"/>
              <w:left w:val="nil"/>
              <w:bottom w:val="single" w:color="auto" w:sz="4" w:space="0"/>
              <w:right w:val="single" w:color="auto" w:sz="4" w:space="0"/>
            </w:tcBorders>
            <w:shd w:val="clear" w:color="auto" w:fill="auto"/>
            <w:noWrap/>
            <w:vAlign w:val="center"/>
          </w:tcPr>
          <w:p>
            <w:pPr>
              <w:pStyle w:val="38"/>
            </w:pPr>
            <w:r>
              <w:rPr>
                <w:rFonts w:hint="eastAsia"/>
              </w:rPr>
              <w:t>要求容灾切换在5分钟内完成。</w:t>
            </w:r>
          </w:p>
        </w:tc>
      </w:tr>
      <w:tr>
        <w:tblPrEx>
          <w:tblLayout w:type="fixed"/>
          <w:tblCellMar>
            <w:top w:w="0" w:type="dxa"/>
            <w:left w:w="108" w:type="dxa"/>
            <w:bottom w:w="0" w:type="dxa"/>
            <w:right w:w="108" w:type="dxa"/>
          </w:tblCellMar>
        </w:tblPrEx>
        <w:trPr>
          <w:trHeight w:val="480" w:hRule="atLeast"/>
        </w:trPr>
        <w:tc>
          <w:tcPr>
            <w:tcW w:w="1701" w:type="dxa"/>
            <w:tcBorders>
              <w:top w:val="nil"/>
              <w:left w:val="single" w:color="auto" w:sz="4" w:space="0"/>
              <w:bottom w:val="single" w:color="auto" w:sz="4" w:space="0"/>
              <w:right w:val="single" w:color="auto" w:sz="4" w:space="0"/>
            </w:tcBorders>
            <w:shd w:val="clear" w:color="auto" w:fill="auto"/>
            <w:noWrap/>
            <w:vAlign w:val="center"/>
          </w:tcPr>
          <w:p>
            <w:pPr>
              <w:pStyle w:val="38"/>
            </w:pPr>
            <w:r>
              <w:rPr>
                <w:rFonts w:hint="eastAsia"/>
              </w:rPr>
              <w:t>网络带宽</w:t>
            </w:r>
          </w:p>
        </w:tc>
        <w:tc>
          <w:tcPr>
            <w:tcW w:w="6379" w:type="dxa"/>
            <w:tcBorders>
              <w:top w:val="nil"/>
              <w:left w:val="nil"/>
              <w:bottom w:val="single" w:color="auto" w:sz="4" w:space="0"/>
              <w:right w:val="single" w:color="auto" w:sz="4" w:space="0"/>
            </w:tcBorders>
            <w:shd w:val="clear" w:color="auto" w:fill="auto"/>
            <w:noWrap/>
            <w:vAlign w:val="center"/>
          </w:tcPr>
          <w:p>
            <w:pPr>
              <w:pStyle w:val="38"/>
            </w:pPr>
            <w:r>
              <w:rPr>
                <w:rFonts w:hint="eastAsia"/>
              </w:rPr>
              <w:t>灾备系统可以运行在高带宽或低带宽网络环境下，对于网络带宽不需要有太高的要求，可以运行在百兆网络、千兆网络、光纤等。</w:t>
            </w:r>
          </w:p>
        </w:tc>
      </w:tr>
      <w:tr>
        <w:tblPrEx>
          <w:tblLayout w:type="fixed"/>
          <w:tblCellMar>
            <w:top w:w="0" w:type="dxa"/>
            <w:left w:w="108" w:type="dxa"/>
            <w:bottom w:w="0" w:type="dxa"/>
            <w:right w:w="108" w:type="dxa"/>
          </w:tblCellMar>
        </w:tblPrEx>
        <w:trPr>
          <w:trHeight w:val="720" w:hRule="atLeast"/>
        </w:trPr>
        <w:tc>
          <w:tcPr>
            <w:tcW w:w="1701" w:type="dxa"/>
            <w:tcBorders>
              <w:top w:val="nil"/>
              <w:left w:val="single" w:color="auto" w:sz="4" w:space="0"/>
              <w:bottom w:val="single" w:color="auto" w:sz="4" w:space="0"/>
              <w:right w:val="single" w:color="auto" w:sz="4" w:space="0"/>
            </w:tcBorders>
            <w:shd w:val="clear" w:color="auto" w:fill="auto"/>
            <w:noWrap/>
            <w:vAlign w:val="center"/>
          </w:tcPr>
          <w:p>
            <w:pPr>
              <w:pStyle w:val="38"/>
            </w:pPr>
            <w:r>
              <w:rPr>
                <w:rFonts w:hint="eastAsia"/>
              </w:rPr>
              <w:t>网络质量</w:t>
            </w:r>
          </w:p>
        </w:tc>
        <w:tc>
          <w:tcPr>
            <w:tcW w:w="6379" w:type="dxa"/>
            <w:tcBorders>
              <w:top w:val="nil"/>
              <w:left w:val="nil"/>
              <w:bottom w:val="single" w:color="auto" w:sz="4" w:space="0"/>
              <w:right w:val="single" w:color="auto" w:sz="4" w:space="0"/>
            </w:tcBorders>
            <w:shd w:val="clear" w:color="auto" w:fill="auto"/>
            <w:noWrap/>
            <w:vAlign w:val="center"/>
          </w:tcPr>
          <w:p>
            <w:pPr>
              <w:pStyle w:val="38"/>
            </w:pPr>
            <w:r>
              <w:rPr>
                <w:rFonts w:hint="eastAsia"/>
              </w:rPr>
              <w:t>灾备系统可以运行在稳定网络环境或不稳定网络环境下，对于网络质量不需要有太高的要求，系统运行过程中，网络出现短暂的网络终止等异常问题，灾备系统仍能保持正常运行、不会被终止。</w:t>
            </w:r>
          </w:p>
        </w:tc>
      </w:tr>
      <w:tr>
        <w:tblPrEx>
          <w:tblLayout w:type="fixed"/>
          <w:tblCellMar>
            <w:top w:w="0" w:type="dxa"/>
            <w:left w:w="108" w:type="dxa"/>
            <w:bottom w:w="0" w:type="dxa"/>
            <w:right w:w="108" w:type="dxa"/>
          </w:tblCellMar>
        </w:tblPrEx>
        <w:trPr>
          <w:trHeight w:val="480" w:hRule="atLeast"/>
        </w:trPr>
        <w:tc>
          <w:tcPr>
            <w:tcW w:w="1701" w:type="dxa"/>
            <w:tcBorders>
              <w:top w:val="nil"/>
              <w:left w:val="single" w:color="auto" w:sz="4" w:space="0"/>
              <w:bottom w:val="single" w:color="auto" w:sz="4" w:space="0"/>
              <w:right w:val="single" w:color="auto" w:sz="4" w:space="0"/>
            </w:tcBorders>
            <w:shd w:val="clear" w:color="auto" w:fill="auto"/>
            <w:noWrap/>
            <w:vAlign w:val="center"/>
          </w:tcPr>
          <w:p>
            <w:pPr>
              <w:pStyle w:val="38"/>
            </w:pPr>
            <w:r>
              <w:rPr>
                <w:rFonts w:hint="eastAsia"/>
              </w:rPr>
              <w:t>网络容错</w:t>
            </w:r>
          </w:p>
        </w:tc>
        <w:tc>
          <w:tcPr>
            <w:tcW w:w="6379" w:type="dxa"/>
            <w:tcBorders>
              <w:top w:val="nil"/>
              <w:left w:val="nil"/>
              <w:bottom w:val="single" w:color="auto" w:sz="4" w:space="0"/>
              <w:right w:val="single" w:color="auto" w:sz="4" w:space="0"/>
            </w:tcBorders>
            <w:shd w:val="clear" w:color="auto" w:fill="auto"/>
            <w:noWrap/>
            <w:vAlign w:val="center"/>
          </w:tcPr>
          <w:p>
            <w:pPr>
              <w:pStyle w:val="38"/>
            </w:pPr>
            <w:r>
              <w:rPr>
                <w:rFonts w:hint="eastAsia"/>
              </w:rPr>
              <w:t>可以利用多块网卡或多条链路实现链路容错,当某一链路出现故障、暂停或时断时续的现象时，灾备系统可以自动识别，不能影响灾备系统的不间断运行。</w:t>
            </w:r>
          </w:p>
        </w:tc>
      </w:tr>
      <w:tr>
        <w:tblPrEx>
          <w:tblLayout w:type="fixed"/>
          <w:tblCellMar>
            <w:top w:w="0" w:type="dxa"/>
            <w:left w:w="108" w:type="dxa"/>
            <w:bottom w:w="0" w:type="dxa"/>
            <w:right w:w="108" w:type="dxa"/>
          </w:tblCellMar>
        </w:tblPrEx>
        <w:trPr>
          <w:trHeight w:val="1680" w:hRule="atLeast"/>
        </w:trPr>
        <w:tc>
          <w:tcPr>
            <w:tcW w:w="1701" w:type="dxa"/>
            <w:tcBorders>
              <w:top w:val="nil"/>
              <w:left w:val="single" w:color="auto" w:sz="4" w:space="0"/>
              <w:bottom w:val="single" w:color="auto" w:sz="4" w:space="0"/>
              <w:right w:val="single" w:color="auto" w:sz="4" w:space="0"/>
            </w:tcBorders>
            <w:shd w:val="clear" w:color="auto" w:fill="auto"/>
            <w:noWrap/>
            <w:vAlign w:val="center"/>
          </w:tcPr>
          <w:p>
            <w:pPr>
              <w:pStyle w:val="38"/>
            </w:pPr>
            <w:r>
              <w:rPr>
                <w:rFonts w:hint="eastAsia"/>
              </w:rPr>
              <w:t>灾难完备性</w:t>
            </w:r>
          </w:p>
        </w:tc>
        <w:tc>
          <w:tcPr>
            <w:tcW w:w="6379" w:type="dxa"/>
            <w:tcBorders>
              <w:top w:val="nil"/>
              <w:left w:val="nil"/>
              <w:bottom w:val="single" w:color="auto" w:sz="4" w:space="0"/>
              <w:right w:val="single" w:color="auto" w:sz="4" w:space="0"/>
            </w:tcBorders>
            <w:shd w:val="clear" w:color="auto" w:fill="auto"/>
            <w:noWrap/>
            <w:vAlign w:val="center"/>
          </w:tcPr>
          <w:p>
            <w:pPr>
              <w:pStyle w:val="38"/>
            </w:pPr>
            <w:r>
              <w:rPr>
                <w:rFonts w:hint="eastAsia"/>
              </w:rPr>
              <w:t>实现由于自然灾害（地震，火灾，雷击等）引起的站点失败恢复。实现由于大面积电力故障等非自然灾害引起的站点失败恢复。实现由于主机，存储以及其他IT物理部件失败或者电力故障引起的物理部件失败灾难恢复。实现由于基础平台bug（Oracle bug,OS bug,卷管理器以及文件系统bug，存储系统bug以及其他基础软件）引起的数据库无法启动以及数据获取失败等各类灾难恢复。实现由于电力故障引起的逻辑失败引起的数据库无法启动以及数据获取失败等各类灾难恢复。实现由于程序错误、误操作以及入侵引起的灾难性恢复。</w:t>
            </w:r>
          </w:p>
        </w:tc>
      </w:tr>
      <w:tr>
        <w:tblPrEx>
          <w:tblLayout w:type="fixed"/>
          <w:tblCellMar>
            <w:top w:w="0" w:type="dxa"/>
            <w:left w:w="108" w:type="dxa"/>
            <w:bottom w:w="0" w:type="dxa"/>
            <w:right w:w="108" w:type="dxa"/>
          </w:tblCellMar>
        </w:tblPrEx>
        <w:trPr>
          <w:trHeight w:val="480" w:hRule="atLeast"/>
        </w:trPr>
        <w:tc>
          <w:tcPr>
            <w:tcW w:w="1701" w:type="dxa"/>
            <w:tcBorders>
              <w:top w:val="nil"/>
              <w:left w:val="single" w:color="auto" w:sz="4" w:space="0"/>
              <w:bottom w:val="single" w:color="auto" w:sz="4" w:space="0"/>
              <w:right w:val="single" w:color="auto" w:sz="4" w:space="0"/>
            </w:tcBorders>
            <w:shd w:val="clear" w:color="auto" w:fill="auto"/>
            <w:noWrap/>
            <w:vAlign w:val="center"/>
          </w:tcPr>
          <w:p>
            <w:pPr>
              <w:pStyle w:val="38"/>
            </w:pPr>
            <w:r>
              <w:rPr>
                <w:rFonts w:hint="eastAsia"/>
              </w:rPr>
              <w:t>逻辑错误传播</w:t>
            </w:r>
          </w:p>
        </w:tc>
        <w:tc>
          <w:tcPr>
            <w:tcW w:w="6379" w:type="dxa"/>
            <w:tcBorders>
              <w:top w:val="nil"/>
              <w:left w:val="nil"/>
              <w:bottom w:val="single" w:color="auto" w:sz="4" w:space="0"/>
              <w:right w:val="single" w:color="auto" w:sz="4" w:space="0"/>
            </w:tcBorders>
            <w:shd w:val="clear" w:color="auto" w:fill="auto"/>
            <w:noWrap/>
            <w:vAlign w:val="center"/>
          </w:tcPr>
          <w:p>
            <w:pPr>
              <w:pStyle w:val="38"/>
            </w:pPr>
            <w:r>
              <w:rPr>
                <w:rFonts w:hint="eastAsia"/>
              </w:rPr>
              <w:t>要求避免逻辑错误传播，从而对于逻辑失败形成根本性的保护。</w:t>
            </w:r>
          </w:p>
        </w:tc>
      </w:tr>
      <w:tr>
        <w:tblPrEx>
          <w:tblLayout w:type="fixed"/>
          <w:tblCellMar>
            <w:top w:w="0" w:type="dxa"/>
            <w:left w:w="108" w:type="dxa"/>
            <w:bottom w:w="0" w:type="dxa"/>
            <w:right w:w="108" w:type="dxa"/>
          </w:tblCellMar>
        </w:tblPrEx>
        <w:trPr>
          <w:trHeight w:val="480" w:hRule="atLeast"/>
        </w:trPr>
        <w:tc>
          <w:tcPr>
            <w:tcW w:w="1701" w:type="dxa"/>
            <w:vMerge w:val="restart"/>
            <w:tcBorders>
              <w:top w:val="nil"/>
              <w:left w:val="single" w:color="auto" w:sz="4" w:space="0"/>
              <w:bottom w:val="single" w:color="auto" w:sz="4" w:space="0"/>
              <w:right w:val="single" w:color="auto" w:sz="4" w:space="0"/>
            </w:tcBorders>
            <w:shd w:val="clear" w:color="auto" w:fill="auto"/>
            <w:noWrap/>
            <w:vAlign w:val="center"/>
          </w:tcPr>
          <w:p>
            <w:pPr>
              <w:pStyle w:val="38"/>
            </w:pPr>
            <w:r>
              <w:rPr>
                <w:szCs w:val="28"/>
              </w:rPr>
              <w:t>▲</w:t>
            </w:r>
            <w:r>
              <w:rPr>
                <w:rFonts w:hint="eastAsia"/>
              </w:rPr>
              <w:t>数据完整性</w:t>
            </w:r>
          </w:p>
        </w:tc>
        <w:tc>
          <w:tcPr>
            <w:tcW w:w="6379" w:type="dxa"/>
            <w:tcBorders>
              <w:top w:val="nil"/>
              <w:left w:val="nil"/>
              <w:bottom w:val="single" w:color="auto" w:sz="4" w:space="0"/>
              <w:right w:val="single" w:color="auto" w:sz="4" w:space="0"/>
            </w:tcBorders>
            <w:shd w:val="clear" w:color="auto" w:fill="auto"/>
            <w:noWrap/>
            <w:vAlign w:val="center"/>
          </w:tcPr>
          <w:p>
            <w:pPr>
              <w:pStyle w:val="38"/>
            </w:pPr>
            <w:r>
              <w:rPr>
                <w:rFonts w:hint="eastAsia"/>
              </w:rPr>
              <w:t>实现所有数据库内的数据操作的复制，包括INSERT\UPDATE\DELETE、DDL操作、Create table ..as 语句，ROWID相关语句等。</w:t>
            </w:r>
          </w:p>
        </w:tc>
      </w:tr>
      <w:tr>
        <w:tblPrEx>
          <w:tblLayout w:type="fixed"/>
          <w:tblCellMar>
            <w:top w:w="0" w:type="dxa"/>
            <w:left w:w="108" w:type="dxa"/>
            <w:bottom w:w="0" w:type="dxa"/>
            <w:right w:w="108" w:type="dxa"/>
          </w:tblCellMar>
        </w:tblPrEx>
        <w:trPr>
          <w:trHeight w:val="480" w:hRule="atLeast"/>
        </w:trPr>
        <w:tc>
          <w:tcPr>
            <w:tcW w:w="1701" w:type="dxa"/>
            <w:vMerge w:val="continue"/>
            <w:tcBorders>
              <w:top w:val="nil"/>
              <w:left w:val="single" w:color="auto" w:sz="4" w:space="0"/>
              <w:bottom w:val="single" w:color="auto" w:sz="4" w:space="0"/>
              <w:right w:val="single" w:color="auto" w:sz="4" w:space="0"/>
            </w:tcBorders>
            <w:vAlign w:val="center"/>
          </w:tcPr>
          <w:p>
            <w:pPr>
              <w:pStyle w:val="38"/>
            </w:pPr>
          </w:p>
        </w:tc>
        <w:tc>
          <w:tcPr>
            <w:tcW w:w="6379" w:type="dxa"/>
            <w:tcBorders>
              <w:top w:val="nil"/>
              <w:left w:val="nil"/>
              <w:bottom w:val="single" w:color="auto" w:sz="4" w:space="0"/>
              <w:right w:val="single" w:color="auto" w:sz="4" w:space="0"/>
            </w:tcBorders>
            <w:shd w:val="clear" w:color="auto" w:fill="auto"/>
            <w:noWrap/>
            <w:vAlign w:val="center"/>
          </w:tcPr>
          <w:p>
            <w:pPr>
              <w:pStyle w:val="38"/>
            </w:pPr>
            <w:r>
              <w:rPr>
                <w:rFonts w:hint="eastAsia"/>
              </w:rPr>
              <w:t>实现所有数据库内的所有对象复制，包括普通表格、压缩表格、临时表格、垃圾箱内的闪回表格等。</w:t>
            </w:r>
          </w:p>
        </w:tc>
      </w:tr>
      <w:tr>
        <w:tblPrEx>
          <w:tblLayout w:type="fixed"/>
          <w:tblCellMar>
            <w:top w:w="0" w:type="dxa"/>
            <w:left w:w="108" w:type="dxa"/>
            <w:bottom w:w="0" w:type="dxa"/>
            <w:right w:w="108" w:type="dxa"/>
          </w:tblCellMar>
        </w:tblPrEx>
        <w:trPr>
          <w:trHeight w:val="480" w:hRule="atLeast"/>
        </w:trPr>
        <w:tc>
          <w:tcPr>
            <w:tcW w:w="1701" w:type="dxa"/>
            <w:vMerge w:val="continue"/>
            <w:tcBorders>
              <w:top w:val="nil"/>
              <w:left w:val="single" w:color="auto" w:sz="4" w:space="0"/>
              <w:bottom w:val="single" w:color="auto" w:sz="4" w:space="0"/>
              <w:right w:val="single" w:color="auto" w:sz="4" w:space="0"/>
            </w:tcBorders>
            <w:vAlign w:val="center"/>
          </w:tcPr>
          <w:p>
            <w:pPr>
              <w:pStyle w:val="38"/>
            </w:pPr>
          </w:p>
        </w:tc>
        <w:tc>
          <w:tcPr>
            <w:tcW w:w="6379" w:type="dxa"/>
            <w:tcBorders>
              <w:top w:val="nil"/>
              <w:left w:val="nil"/>
              <w:bottom w:val="single" w:color="auto" w:sz="4" w:space="0"/>
              <w:right w:val="single" w:color="auto" w:sz="4" w:space="0"/>
            </w:tcBorders>
            <w:shd w:val="clear" w:color="auto" w:fill="auto"/>
            <w:noWrap/>
            <w:vAlign w:val="center"/>
          </w:tcPr>
          <w:p>
            <w:pPr>
              <w:pStyle w:val="38"/>
            </w:pPr>
            <w:r>
              <w:rPr>
                <w:rFonts w:hint="eastAsia"/>
              </w:rPr>
              <w:t>要求两个库之间的所有对象完全相同，包括ROWID，基表，视图，同义词，自定义TYPE，IOT表格，SYS用户内的所有对象等。</w:t>
            </w:r>
          </w:p>
        </w:tc>
      </w:tr>
      <w:tr>
        <w:tblPrEx>
          <w:tblLayout w:type="fixed"/>
          <w:tblCellMar>
            <w:top w:w="0" w:type="dxa"/>
            <w:left w:w="108" w:type="dxa"/>
            <w:bottom w:w="0" w:type="dxa"/>
            <w:right w:w="108" w:type="dxa"/>
          </w:tblCellMar>
        </w:tblPrEx>
        <w:trPr>
          <w:trHeight w:val="480" w:hRule="atLeast"/>
        </w:trPr>
        <w:tc>
          <w:tcPr>
            <w:tcW w:w="1701" w:type="dxa"/>
            <w:tcBorders>
              <w:top w:val="nil"/>
              <w:left w:val="single" w:color="auto" w:sz="4" w:space="0"/>
              <w:bottom w:val="single" w:color="auto" w:sz="4" w:space="0"/>
              <w:right w:val="single" w:color="auto" w:sz="4" w:space="0"/>
            </w:tcBorders>
            <w:shd w:val="clear" w:color="auto" w:fill="auto"/>
            <w:noWrap/>
            <w:vAlign w:val="center"/>
          </w:tcPr>
          <w:p>
            <w:pPr>
              <w:pStyle w:val="38"/>
            </w:pPr>
            <w:r>
              <w:rPr>
                <w:rFonts w:hint="eastAsia"/>
              </w:rPr>
              <w:t>对系统性能影响</w:t>
            </w:r>
          </w:p>
        </w:tc>
        <w:tc>
          <w:tcPr>
            <w:tcW w:w="6379" w:type="dxa"/>
            <w:tcBorders>
              <w:top w:val="nil"/>
              <w:left w:val="nil"/>
              <w:bottom w:val="single" w:color="auto" w:sz="4" w:space="0"/>
              <w:right w:val="single" w:color="auto" w:sz="4" w:space="0"/>
            </w:tcBorders>
            <w:shd w:val="clear" w:color="auto" w:fill="auto"/>
            <w:noWrap/>
            <w:vAlign w:val="center"/>
          </w:tcPr>
          <w:p>
            <w:pPr>
              <w:pStyle w:val="38"/>
            </w:pPr>
            <w:r>
              <w:rPr>
                <w:rFonts w:hint="eastAsia"/>
              </w:rPr>
              <w:t>对系统性能影响小于百分之五。</w:t>
            </w:r>
          </w:p>
        </w:tc>
      </w:tr>
      <w:tr>
        <w:tblPrEx>
          <w:tblLayout w:type="fixed"/>
          <w:tblCellMar>
            <w:top w:w="0" w:type="dxa"/>
            <w:left w:w="108" w:type="dxa"/>
            <w:bottom w:w="0" w:type="dxa"/>
            <w:right w:w="108" w:type="dxa"/>
          </w:tblCellMar>
        </w:tblPrEx>
        <w:trPr>
          <w:trHeight w:val="480" w:hRule="atLeast"/>
        </w:trPr>
        <w:tc>
          <w:tcPr>
            <w:tcW w:w="1701" w:type="dxa"/>
            <w:tcBorders>
              <w:top w:val="nil"/>
              <w:left w:val="single" w:color="auto" w:sz="4" w:space="0"/>
              <w:bottom w:val="single" w:color="auto" w:sz="4" w:space="0"/>
              <w:right w:val="single" w:color="auto" w:sz="4" w:space="0"/>
            </w:tcBorders>
            <w:shd w:val="clear" w:color="auto" w:fill="auto"/>
            <w:noWrap/>
            <w:vAlign w:val="center"/>
          </w:tcPr>
          <w:p>
            <w:pPr>
              <w:pStyle w:val="38"/>
            </w:pPr>
            <w:r>
              <w:rPr>
                <w:rFonts w:hint="eastAsia"/>
              </w:rPr>
              <w:t>统一的容灾管理</w:t>
            </w:r>
          </w:p>
        </w:tc>
        <w:tc>
          <w:tcPr>
            <w:tcW w:w="6379" w:type="dxa"/>
            <w:tcBorders>
              <w:top w:val="nil"/>
              <w:left w:val="nil"/>
              <w:bottom w:val="single" w:color="auto" w:sz="4" w:space="0"/>
              <w:right w:val="single" w:color="auto" w:sz="4" w:space="0"/>
            </w:tcBorders>
            <w:shd w:val="clear" w:color="auto" w:fill="auto"/>
            <w:noWrap/>
            <w:vAlign w:val="center"/>
          </w:tcPr>
          <w:p>
            <w:pPr>
              <w:pStyle w:val="38"/>
            </w:pPr>
            <w:r>
              <w:rPr>
                <w:rFonts w:hint="eastAsia"/>
              </w:rPr>
              <w:t>提供直观的简体中文图形化WEB操作控制台，可以在一个WEB图形界面里管理所有业务系统的容灾系统管理, 要求所有容灾功能统一在WEB界面上操作。</w:t>
            </w:r>
          </w:p>
        </w:tc>
      </w:tr>
      <w:tr>
        <w:tblPrEx>
          <w:tblLayout w:type="fixed"/>
          <w:tblCellMar>
            <w:top w:w="0" w:type="dxa"/>
            <w:left w:w="108" w:type="dxa"/>
            <w:bottom w:w="0" w:type="dxa"/>
            <w:right w:w="108" w:type="dxa"/>
          </w:tblCellMar>
        </w:tblPrEx>
        <w:trPr>
          <w:trHeight w:val="480" w:hRule="atLeast"/>
        </w:trPr>
        <w:tc>
          <w:tcPr>
            <w:tcW w:w="1701" w:type="dxa"/>
            <w:tcBorders>
              <w:top w:val="nil"/>
              <w:left w:val="single" w:color="auto" w:sz="4" w:space="0"/>
              <w:bottom w:val="single" w:color="auto" w:sz="4" w:space="0"/>
              <w:right w:val="single" w:color="auto" w:sz="4" w:space="0"/>
            </w:tcBorders>
            <w:shd w:val="clear" w:color="auto" w:fill="auto"/>
            <w:noWrap/>
            <w:vAlign w:val="center"/>
          </w:tcPr>
          <w:p>
            <w:pPr>
              <w:pStyle w:val="38"/>
            </w:pPr>
            <w:r>
              <w:rPr>
                <w:rFonts w:hint="eastAsia"/>
              </w:rPr>
              <w:t>在线实施要求</w:t>
            </w:r>
          </w:p>
        </w:tc>
        <w:tc>
          <w:tcPr>
            <w:tcW w:w="6379" w:type="dxa"/>
            <w:tcBorders>
              <w:top w:val="nil"/>
              <w:left w:val="nil"/>
              <w:bottom w:val="single" w:color="auto" w:sz="4" w:space="0"/>
              <w:right w:val="single" w:color="auto" w:sz="4" w:space="0"/>
            </w:tcBorders>
            <w:shd w:val="clear" w:color="auto" w:fill="auto"/>
            <w:noWrap/>
            <w:vAlign w:val="center"/>
          </w:tcPr>
          <w:p>
            <w:pPr>
              <w:pStyle w:val="38"/>
            </w:pPr>
            <w:r>
              <w:rPr>
                <w:rFonts w:hint="eastAsia"/>
              </w:rPr>
              <w:t>在线实施，实施期间生产系统不得停机，业务不能终止。</w:t>
            </w:r>
          </w:p>
        </w:tc>
      </w:tr>
      <w:tr>
        <w:tblPrEx>
          <w:tblLayout w:type="fixed"/>
          <w:tblCellMar>
            <w:top w:w="0" w:type="dxa"/>
            <w:left w:w="108" w:type="dxa"/>
            <w:bottom w:w="0" w:type="dxa"/>
            <w:right w:w="108" w:type="dxa"/>
          </w:tblCellMar>
        </w:tblPrEx>
        <w:trPr>
          <w:trHeight w:val="480" w:hRule="atLeast"/>
        </w:trPr>
        <w:tc>
          <w:tcPr>
            <w:tcW w:w="1701" w:type="dxa"/>
            <w:tcBorders>
              <w:top w:val="nil"/>
              <w:left w:val="single" w:color="auto" w:sz="4" w:space="0"/>
              <w:bottom w:val="single" w:color="auto" w:sz="4" w:space="0"/>
              <w:right w:val="single" w:color="auto" w:sz="4" w:space="0"/>
            </w:tcBorders>
            <w:shd w:val="clear" w:color="auto" w:fill="auto"/>
            <w:noWrap/>
            <w:vAlign w:val="center"/>
          </w:tcPr>
          <w:p>
            <w:pPr>
              <w:pStyle w:val="38"/>
            </w:pPr>
            <w:r>
              <w:rPr>
                <w:rFonts w:hint="eastAsia"/>
              </w:rPr>
              <w:t>在线软件升级</w:t>
            </w:r>
          </w:p>
        </w:tc>
        <w:tc>
          <w:tcPr>
            <w:tcW w:w="6379" w:type="dxa"/>
            <w:tcBorders>
              <w:top w:val="nil"/>
              <w:left w:val="nil"/>
              <w:bottom w:val="single" w:color="auto" w:sz="4" w:space="0"/>
              <w:right w:val="single" w:color="auto" w:sz="4" w:space="0"/>
            </w:tcBorders>
            <w:shd w:val="clear" w:color="auto" w:fill="auto"/>
            <w:noWrap/>
            <w:vAlign w:val="center"/>
          </w:tcPr>
          <w:p>
            <w:pPr>
              <w:pStyle w:val="38"/>
            </w:pPr>
            <w:r>
              <w:rPr>
                <w:rFonts w:hint="eastAsia"/>
              </w:rPr>
              <w:t>对容灾平台进行软件升级安装时，无需停止容灾平台，不中断容灾业务系统的运行。</w:t>
            </w:r>
          </w:p>
        </w:tc>
      </w:tr>
      <w:tr>
        <w:tblPrEx>
          <w:tblLayout w:type="fixed"/>
          <w:tblCellMar>
            <w:top w:w="0" w:type="dxa"/>
            <w:left w:w="108" w:type="dxa"/>
            <w:bottom w:w="0" w:type="dxa"/>
            <w:right w:w="108" w:type="dxa"/>
          </w:tblCellMar>
        </w:tblPrEx>
        <w:trPr>
          <w:trHeight w:val="480" w:hRule="atLeast"/>
        </w:trPr>
        <w:tc>
          <w:tcPr>
            <w:tcW w:w="1701" w:type="dxa"/>
            <w:tcBorders>
              <w:top w:val="nil"/>
              <w:left w:val="single" w:color="auto" w:sz="4" w:space="0"/>
              <w:bottom w:val="single" w:color="auto" w:sz="4" w:space="0"/>
              <w:right w:val="single" w:color="auto" w:sz="4" w:space="0"/>
            </w:tcBorders>
            <w:shd w:val="clear" w:color="auto" w:fill="auto"/>
            <w:noWrap/>
            <w:vAlign w:val="center"/>
          </w:tcPr>
          <w:p>
            <w:pPr>
              <w:pStyle w:val="38"/>
            </w:pPr>
            <w:r>
              <w:rPr>
                <w:szCs w:val="28"/>
              </w:rPr>
              <w:t>▲</w:t>
            </w:r>
            <w:r>
              <w:rPr>
                <w:rFonts w:hint="eastAsia"/>
              </w:rPr>
              <w:t>数据库同步方式</w:t>
            </w:r>
          </w:p>
        </w:tc>
        <w:tc>
          <w:tcPr>
            <w:tcW w:w="6379" w:type="dxa"/>
            <w:tcBorders>
              <w:top w:val="nil"/>
              <w:left w:val="nil"/>
              <w:bottom w:val="single" w:color="auto" w:sz="4" w:space="0"/>
              <w:right w:val="single" w:color="auto" w:sz="4" w:space="0"/>
            </w:tcBorders>
            <w:shd w:val="clear" w:color="000000" w:fill="FFFFFF"/>
            <w:noWrap/>
            <w:vAlign w:val="center"/>
          </w:tcPr>
          <w:p>
            <w:pPr>
              <w:pStyle w:val="38"/>
            </w:pPr>
            <w:r>
              <w:rPr>
                <w:rFonts w:hint="eastAsia"/>
              </w:rPr>
              <w:t>要求采用物理同步方式，无需考虑复杂的内部数据关系，支持数据库中所有对象的同步，支持所有DDL、DML等语句的复制。</w:t>
            </w:r>
          </w:p>
        </w:tc>
      </w:tr>
      <w:tr>
        <w:tblPrEx>
          <w:tblLayout w:type="fixed"/>
          <w:tblCellMar>
            <w:top w:w="0" w:type="dxa"/>
            <w:left w:w="108" w:type="dxa"/>
            <w:bottom w:w="0" w:type="dxa"/>
            <w:right w:w="108" w:type="dxa"/>
          </w:tblCellMar>
        </w:tblPrEx>
        <w:trPr>
          <w:trHeight w:val="480" w:hRule="atLeast"/>
        </w:trPr>
        <w:tc>
          <w:tcPr>
            <w:tcW w:w="1701" w:type="dxa"/>
            <w:tcBorders>
              <w:top w:val="nil"/>
              <w:left w:val="single" w:color="auto" w:sz="4" w:space="0"/>
              <w:bottom w:val="single" w:color="auto" w:sz="4" w:space="0"/>
              <w:right w:val="single" w:color="auto" w:sz="4" w:space="0"/>
            </w:tcBorders>
            <w:shd w:val="clear" w:color="auto" w:fill="auto"/>
            <w:noWrap/>
            <w:vAlign w:val="center"/>
          </w:tcPr>
          <w:p>
            <w:pPr>
              <w:pStyle w:val="38"/>
            </w:pPr>
            <w:r>
              <w:rPr>
                <w:rFonts w:hint="eastAsia"/>
              </w:rPr>
              <w:t>虚拟化环境支持</w:t>
            </w:r>
          </w:p>
        </w:tc>
        <w:tc>
          <w:tcPr>
            <w:tcW w:w="6379" w:type="dxa"/>
            <w:tcBorders>
              <w:top w:val="nil"/>
              <w:left w:val="nil"/>
              <w:bottom w:val="single" w:color="auto" w:sz="4" w:space="0"/>
              <w:right w:val="single" w:color="auto" w:sz="4" w:space="0"/>
            </w:tcBorders>
            <w:shd w:val="clear" w:color="000000" w:fill="FFFFFF"/>
            <w:noWrap/>
            <w:vAlign w:val="center"/>
          </w:tcPr>
          <w:p>
            <w:pPr>
              <w:pStyle w:val="38"/>
            </w:pPr>
            <w:r>
              <w:rPr>
                <w:rFonts w:hint="eastAsia"/>
              </w:rPr>
              <w:t>通过容灾系统可以自动实现虚拟化环境上的各类数据库的同步。</w:t>
            </w:r>
          </w:p>
        </w:tc>
      </w:tr>
      <w:tr>
        <w:tblPrEx>
          <w:tblLayout w:type="fixed"/>
          <w:tblCellMar>
            <w:top w:w="0" w:type="dxa"/>
            <w:left w:w="108" w:type="dxa"/>
            <w:bottom w:w="0" w:type="dxa"/>
            <w:right w:w="108" w:type="dxa"/>
          </w:tblCellMar>
        </w:tblPrEx>
        <w:trPr>
          <w:trHeight w:val="720" w:hRule="atLeast"/>
        </w:trPr>
        <w:tc>
          <w:tcPr>
            <w:tcW w:w="1701" w:type="dxa"/>
            <w:tcBorders>
              <w:top w:val="nil"/>
              <w:left w:val="single" w:color="auto" w:sz="4" w:space="0"/>
              <w:bottom w:val="single" w:color="auto" w:sz="4" w:space="0"/>
              <w:right w:val="single" w:color="auto" w:sz="4" w:space="0"/>
            </w:tcBorders>
            <w:shd w:val="clear" w:color="auto" w:fill="auto"/>
            <w:noWrap/>
            <w:vAlign w:val="center"/>
          </w:tcPr>
          <w:p>
            <w:pPr>
              <w:pStyle w:val="38"/>
            </w:pPr>
            <w:r>
              <w:rPr>
                <w:szCs w:val="28"/>
              </w:rPr>
              <w:t>▲</w:t>
            </w:r>
            <w:r>
              <w:rPr>
                <w:rFonts w:hint="eastAsia"/>
              </w:rPr>
              <w:t>对业务系统影响</w:t>
            </w:r>
          </w:p>
        </w:tc>
        <w:tc>
          <w:tcPr>
            <w:tcW w:w="6379" w:type="dxa"/>
            <w:tcBorders>
              <w:top w:val="nil"/>
              <w:left w:val="nil"/>
              <w:bottom w:val="single" w:color="auto" w:sz="4" w:space="0"/>
              <w:right w:val="single" w:color="auto" w:sz="4" w:space="0"/>
            </w:tcBorders>
            <w:shd w:val="clear" w:color="000000" w:fill="FFFFFF"/>
            <w:noWrap/>
            <w:vAlign w:val="center"/>
          </w:tcPr>
          <w:p>
            <w:pPr>
              <w:pStyle w:val="38"/>
            </w:pPr>
            <w:r>
              <w:rPr>
                <w:rFonts w:hint="eastAsia"/>
              </w:rPr>
              <w:t>要求灾备系统对生产业务系统无影响，无需改造生产系统主机上的文件系统，不能更改系统卷配置，生产数据库内不允许嵌入任何程序，不修改生产数据库配置参数,不增加数据库内的表格或其他对象。</w:t>
            </w:r>
          </w:p>
        </w:tc>
      </w:tr>
      <w:tr>
        <w:tblPrEx>
          <w:tblLayout w:type="fixed"/>
          <w:tblCellMar>
            <w:top w:w="0" w:type="dxa"/>
            <w:left w:w="108" w:type="dxa"/>
            <w:bottom w:w="0" w:type="dxa"/>
            <w:right w:w="108" w:type="dxa"/>
          </w:tblCellMar>
        </w:tblPrEx>
        <w:trPr>
          <w:trHeight w:val="480" w:hRule="atLeast"/>
        </w:trPr>
        <w:tc>
          <w:tcPr>
            <w:tcW w:w="1701" w:type="dxa"/>
            <w:tcBorders>
              <w:top w:val="nil"/>
              <w:left w:val="single" w:color="auto" w:sz="4" w:space="0"/>
              <w:bottom w:val="single" w:color="auto" w:sz="4" w:space="0"/>
              <w:right w:val="single" w:color="auto" w:sz="4" w:space="0"/>
            </w:tcBorders>
            <w:shd w:val="clear" w:color="auto" w:fill="auto"/>
            <w:noWrap/>
            <w:vAlign w:val="center"/>
          </w:tcPr>
          <w:p>
            <w:pPr>
              <w:pStyle w:val="38"/>
            </w:pPr>
            <w:r>
              <w:rPr>
                <w:szCs w:val="28"/>
              </w:rPr>
              <w:t>▲</w:t>
            </w:r>
            <w:r>
              <w:rPr>
                <w:rFonts w:hint="eastAsia"/>
              </w:rPr>
              <w:t>数据库切换功能</w:t>
            </w:r>
          </w:p>
        </w:tc>
        <w:tc>
          <w:tcPr>
            <w:tcW w:w="6379" w:type="dxa"/>
            <w:tcBorders>
              <w:top w:val="nil"/>
              <w:left w:val="nil"/>
              <w:bottom w:val="single" w:color="auto" w:sz="4" w:space="0"/>
              <w:right w:val="single" w:color="auto" w:sz="4" w:space="0"/>
            </w:tcBorders>
            <w:shd w:val="clear" w:color="000000" w:fill="FFFFFF"/>
            <w:noWrap/>
            <w:vAlign w:val="center"/>
          </w:tcPr>
          <w:p>
            <w:pPr>
              <w:pStyle w:val="38"/>
            </w:pPr>
            <w:r>
              <w:rPr>
                <w:rFonts w:hint="eastAsia"/>
              </w:rPr>
              <w:t>容灾系统内，通过统一的容灾平台全部实现一键式数据库切换。</w:t>
            </w:r>
          </w:p>
        </w:tc>
      </w:tr>
      <w:tr>
        <w:tblPrEx>
          <w:tblLayout w:type="fixed"/>
          <w:tblCellMar>
            <w:top w:w="0" w:type="dxa"/>
            <w:left w:w="108" w:type="dxa"/>
            <w:bottom w:w="0" w:type="dxa"/>
            <w:right w:w="108" w:type="dxa"/>
          </w:tblCellMar>
        </w:tblPrEx>
        <w:trPr>
          <w:trHeight w:val="480" w:hRule="atLeast"/>
        </w:trPr>
        <w:tc>
          <w:tcPr>
            <w:tcW w:w="1701" w:type="dxa"/>
            <w:tcBorders>
              <w:top w:val="nil"/>
              <w:left w:val="single" w:color="auto" w:sz="4" w:space="0"/>
              <w:bottom w:val="single" w:color="auto" w:sz="4" w:space="0"/>
              <w:right w:val="single" w:color="auto" w:sz="4" w:space="0"/>
            </w:tcBorders>
            <w:shd w:val="clear" w:color="auto" w:fill="auto"/>
            <w:noWrap/>
            <w:vAlign w:val="center"/>
          </w:tcPr>
          <w:p>
            <w:pPr>
              <w:pStyle w:val="38"/>
            </w:pPr>
            <w:r>
              <w:rPr>
                <w:rFonts w:hint="eastAsia"/>
              </w:rPr>
              <w:t>容灾切换时间</w:t>
            </w:r>
          </w:p>
        </w:tc>
        <w:tc>
          <w:tcPr>
            <w:tcW w:w="6379" w:type="dxa"/>
            <w:tcBorders>
              <w:top w:val="nil"/>
              <w:left w:val="nil"/>
              <w:bottom w:val="single" w:color="auto" w:sz="4" w:space="0"/>
              <w:right w:val="single" w:color="auto" w:sz="4" w:space="0"/>
            </w:tcBorders>
            <w:shd w:val="clear" w:color="000000" w:fill="FFFFFF"/>
            <w:noWrap/>
            <w:vAlign w:val="center"/>
          </w:tcPr>
          <w:p>
            <w:pPr>
              <w:pStyle w:val="38"/>
            </w:pPr>
            <w:r>
              <w:rPr>
                <w:rFonts w:hint="eastAsia"/>
              </w:rPr>
              <w:t>容灾切换时间在5分钟以内，提供自动切换和手动切换两种模式。</w:t>
            </w:r>
          </w:p>
        </w:tc>
      </w:tr>
      <w:tr>
        <w:tblPrEx>
          <w:tblLayout w:type="fixed"/>
          <w:tblCellMar>
            <w:top w:w="0" w:type="dxa"/>
            <w:left w:w="108" w:type="dxa"/>
            <w:bottom w:w="0" w:type="dxa"/>
            <w:right w:w="108" w:type="dxa"/>
          </w:tblCellMar>
        </w:tblPrEx>
        <w:trPr>
          <w:trHeight w:val="480" w:hRule="atLeast"/>
        </w:trPr>
        <w:tc>
          <w:tcPr>
            <w:tcW w:w="1701" w:type="dxa"/>
            <w:tcBorders>
              <w:top w:val="nil"/>
              <w:left w:val="single" w:color="auto" w:sz="4" w:space="0"/>
              <w:bottom w:val="single" w:color="auto" w:sz="4" w:space="0"/>
              <w:right w:val="single" w:color="auto" w:sz="4" w:space="0"/>
            </w:tcBorders>
            <w:shd w:val="clear" w:color="000000" w:fill="FFFFFF"/>
            <w:noWrap/>
            <w:vAlign w:val="center"/>
          </w:tcPr>
          <w:p>
            <w:pPr>
              <w:pStyle w:val="38"/>
            </w:pPr>
            <w:r>
              <w:rPr>
                <w:rFonts w:hint="eastAsia"/>
              </w:rPr>
              <w:t>容灾切换功能</w:t>
            </w:r>
          </w:p>
        </w:tc>
        <w:tc>
          <w:tcPr>
            <w:tcW w:w="6379" w:type="dxa"/>
            <w:tcBorders>
              <w:top w:val="nil"/>
              <w:left w:val="nil"/>
              <w:bottom w:val="single" w:color="auto" w:sz="4" w:space="0"/>
              <w:right w:val="single" w:color="auto" w:sz="4" w:space="0"/>
            </w:tcBorders>
            <w:shd w:val="clear" w:color="000000" w:fill="FFFFFF"/>
            <w:noWrap/>
            <w:vAlign w:val="center"/>
          </w:tcPr>
          <w:p>
            <w:pPr>
              <w:pStyle w:val="38"/>
            </w:pPr>
            <w:r>
              <w:rPr>
                <w:rFonts w:hint="eastAsia"/>
              </w:rPr>
              <w:t>支持一键式切换，所有切换都要求提供命令行和WEB图形界面两种模式，所有切换都要求一步完成。(提供软件功能截图)</w:t>
            </w:r>
          </w:p>
        </w:tc>
      </w:tr>
      <w:tr>
        <w:tblPrEx>
          <w:tblLayout w:type="fixed"/>
          <w:tblCellMar>
            <w:top w:w="0" w:type="dxa"/>
            <w:left w:w="108" w:type="dxa"/>
            <w:bottom w:w="0" w:type="dxa"/>
            <w:right w:w="108" w:type="dxa"/>
          </w:tblCellMar>
        </w:tblPrEx>
        <w:trPr>
          <w:trHeight w:val="720" w:hRule="atLeast"/>
        </w:trPr>
        <w:tc>
          <w:tcPr>
            <w:tcW w:w="1701" w:type="dxa"/>
            <w:tcBorders>
              <w:top w:val="nil"/>
              <w:left w:val="single" w:color="auto" w:sz="4" w:space="0"/>
              <w:bottom w:val="single" w:color="auto" w:sz="4" w:space="0"/>
              <w:right w:val="single" w:color="auto" w:sz="4" w:space="0"/>
            </w:tcBorders>
            <w:shd w:val="clear" w:color="000000" w:fill="FFFFFF"/>
            <w:noWrap/>
            <w:vAlign w:val="center"/>
          </w:tcPr>
          <w:p>
            <w:pPr>
              <w:pStyle w:val="38"/>
            </w:pPr>
            <w:r>
              <w:rPr>
                <w:rFonts w:hint="eastAsia"/>
              </w:rPr>
              <w:t>计划内维护切换功能</w:t>
            </w:r>
          </w:p>
        </w:tc>
        <w:tc>
          <w:tcPr>
            <w:tcW w:w="6379" w:type="dxa"/>
            <w:tcBorders>
              <w:top w:val="nil"/>
              <w:left w:val="nil"/>
              <w:bottom w:val="single" w:color="auto" w:sz="4" w:space="0"/>
              <w:right w:val="single" w:color="auto" w:sz="4" w:space="0"/>
            </w:tcBorders>
            <w:shd w:val="clear" w:color="000000" w:fill="FFFFFF"/>
            <w:noWrap/>
            <w:vAlign w:val="center"/>
          </w:tcPr>
          <w:p>
            <w:pPr>
              <w:pStyle w:val="38"/>
            </w:pPr>
            <w:r>
              <w:rPr>
                <w:rFonts w:hint="eastAsia"/>
              </w:rPr>
              <w:t>实现短时间内（比如30分钟的硬件升级）的计划性维护切换以支持日常运行涉及时间比较长的运行维护操作，实现从生产系统切换至容灾系统，从容灾系统切换回生产系统。</w:t>
            </w:r>
          </w:p>
        </w:tc>
      </w:tr>
      <w:tr>
        <w:tblPrEx>
          <w:tblLayout w:type="fixed"/>
          <w:tblCellMar>
            <w:top w:w="0" w:type="dxa"/>
            <w:left w:w="108" w:type="dxa"/>
            <w:bottom w:w="0" w:type="dxa"/>
            <w:right w:w="108" w:type="dxa"/>
          </w:tblCellMar>
        </w:tblPrEx>
        <w:trPr>
          <w:trHeight w:val="720" w:hRule="atLeast"/>
        </w:trPr>
        <w:tc>
          <w:tcPr>
            <w:tcW w:w="1701" w:type="dxa"/>
            <w:tcBorders>
              <w:top w:val="nil"/>
              <w:left w:val="single" w:color="auto" w:sz="4" w:space="0"/>
              <w:bottom w:val="single" w:color="auto" w:sz="4" w:space="0"/>
              <w:right w:val="single" w:color="auto" w:sz="4" w:space="0"/>
            </w:tcBorders>
            <w:shd w:val="clear" w:color="000000" w:fill="FFFFFF"/>
            <w:noWrap/>
            <w:vAlign w:val="center"/>
          </w:tcPr>
          <w:p>
            <w:pPr>
              <w:pStyle w:val="38"/>
            </w:pPr>
            <w:r>
              <w:rPr>
                <w:szCs w:val="28"/>
              </w:rPr>
              <w:t>▲</w:t>
            </w:r>
            <w:r>
              <w:rPr>
                <w:rFonts w:hint="eastAsia"/>
              </w:rPr>
              <w:t>桌面演练功能</w:t>
            </w:r>
          </w:p>
        </w:tc>
        <w:tc>
          <w:tcPr>
            <w:tcW w:w="6379" w:type="dxa"/>
            <w:tcBorders>
              <w:top w:val="nil"/>
              <w:left w:val="nil"/>
              <w:bottom w:val="single" w:color="auto" w:sz="4" w:space="0"/>
              <w:right w:val="single" w:color="auto" w:sz="4" w:space="0"/>
            </w:tcBorders>
            <w:shd w:val="clear" w:color="000000" w:fill="FFFFFF"/>
            <w:noWrap/>
            <w:vAlign w:val="center"/>
          </w:tcPr>
          <w:p>
            <w:pPr>
              <w:pStyle w:val="38"/>
            </w:pPr>
            <w:r>
              <w:rPr>
                <w:rFonts w:hint="eastAsia"/>
              </w:rPr>
              <w:t>要求容灾系统具有桌面演练功能，能够在“沙盘”环境中模拟整个容灾切换过程，桌面演练可以在生产系统业务高峰期间进行，不增加生产系统额外资源开销（包括CPU\内存\IO），不影响业务的继续运行。(提供软件功能截图)</w:t>
            </w:r>
          </w:p>
        </w:tc>
      </w:tr>
      <w:tr>
        <w:tblPrEx>
          <w:tblLayout w:type="fixed"/>
          <w:tblCellMar>
            <w:top w:w="0" w:type="dxa"/>
            <w:left w:w="108" w:type="dxa"/>
            <w:bottom w:w="0" w:type="dxa"/>
            <w:right w:w="108" w:type="dxa"/>
          </w:tblCellMar>
        </w:tblPrEx>
        <w:trPr>
          <w:trHeight w:val="720" w:hRule="atLeast"/>
        </w:trPr>
        <w:tc>
          <w:tcPr>
            <w:tcW w:w="1701" w:type="dxa"/>
            <w:tcBorders>
              <w:top w:val="nil"/>
              <w:left w:val="single" w:color="auto" w:sz="4" w:space="0"/>
              <w:bottom w:val="single" w:color="auto" w:sz="4" w:space="0"/>
              <w:right w:val="single" w:color="auto" w:sz="4" w:space="0"/>
            </w:tcBorders>
            <w:shd w:val="clear" w:color="auto" w:fill="auto"/>
            <w:noWrap/>
            <w:vAlign w:val="center"/>
          </w:tcPr>
          <w:p>
            <w:pPr>
              <w:pStyle w:val="38"/>
            </w:pPr>
            <w:r>
              <w:rPr>
                <w:szCs w:val="28"/>
              </w:rPr>
              <w:t>▲</w:t>
            </w:r>
            <w:r>
              <w:rPr>
                <w:rFonts w:hint="eastAsia"/>
              </w:rPr>
              <w:t>误操作以及入侵破坏</w:t>
            </w:r>
          </w:p>
        </w:tc>
        <w:tc>
          <w:tcPr>
            <w:tcW w:w="6379" w:type="dxa"/>
            <w:tcBorders>
              <w:top w:val="nil"/>
              <w:left w:val="nil"/>
              <w:bottom w:val="single" w:color="auto" w:sz="4" w:space="0"/>
              <w:right w:val="single" w:color="auto" w:sz="4" w:space="0"/>
            </w:tcBorders>
            <w:shd w:val="clear" w:color="auto" w:fill="auto"/>
            <w:noWrap/>
            <w:vAlign w:val="center"/>
          </w:tcPr>
          <w:p>
            <w:pPr>
              <w:pStyle w:val="38"/>
            </w:pPr>
            <w:r>
              <w:rPr>
                <w:rFonts w:hint="eastAsia"/>
              </w:rPr>
              <w:t>对于程序错误、误操作以及入侵破坏等操作，比如：truncate table,drop table,drop tablespace等提供快速的恢复能力，并要求零数据丢失。(提供软件功能截图)</w:t>
            </w:r>
          </w:p>
        </w:tc>
      </w:tr>
      <w:tr>
        <w:tblPrEx>
          <w:tblLayout w:type="fixed"/>
          <w:tblCellMar>
            <w:top w:w="0" w:type="dxa"/>
            <w:left w:w="108" w:type="dxa"/>
            <w:bottom w:w="0" w:type="dxa"/>
            <w:right w:w="108" w:type="dxa"/>
          </w:tblCellMar>
        </w:tblPrEx>
        <w:trPr>
          <w:trHeight w:val="276" w:hRule="atLeast"/>
        </w:trPr>
        <w:tc>
          <w:tcPr>
            <w:tcW w:w="1701" w:type="dxa"/>
            <w:tcBorders>
              <w:top w:val="nil"/>
              <w:left w:val="single" w:color="auto" w:sz="4" w:space="0"/>
              <w:bottom w:val="single" w:color="auto" w:sz="4" w:space="0"/>
              <w:right w:val="single" w:color="auto" w:sz="4" w:space="0"/>
            </w:tcBorders>
            <w:shd w:val="clear" w:color="000000" w:fill="FFFFFF"/>
            <w:noWrap/>
            <w:vAlign w:val="center"/>
          </w:tcPr>
          <w:p>
            <w:pPr>
              <w:pStyle w:val="38"/>
            </w:pPr>
            <w:r>
              <w:rPr>
                <w:rFonts w:hint="eastAsia"/>
              </w:rPr>
              <w:t>备份能力</w:t>
            </w:r>
          </w:p>
        </w:tc>
        <w:tc>
          <w:tcPr>
            <w:tcW w:w="6379" w:type="dxa"/>
            <w:tcBorders>
              <w:top w:val="nil"/>
              <w:left w:val="nil"/>
              <w:bottom w:val="single" w:color="auto" w:sz="4" w:space="0"/>
              <w:right w:val="single" w:color="auto" w:sz="4" w:space="0"/>
            </w:tcBorders>
            <w:shd w:val="clear" w:color="000000" w:fill="FFFFFF"/>
            <w:noWrap/>
            <w:vAlign w:val="center"/>
          </w:tcPr>
          <w:p>
            <w:pPr>
              <w:pStyle w:val="38"/>
            </w:pPr>
            <w:r>
              <w:rPr>
                <w:rFonts w:hint="eastAsia"/>
              </w:rPr>
              <w:t>要求容灾站点可实现常规物理备份,以代替生产系统备份。</w:t>
            </w:r>
          </w:p>
        </w:tc>
      </w:tr>
      <w:tr>
        <w:tblPrEx>
          <w:tblLayout w:type="fixed"/>
          <w:tblCellMar>
            <w:top w:w="0" w:type="dxa"/>
            <w:left w:w="108" w:type="dxa"/>
            <w:bottom w:w="0" w:type="dxa"/>
            <w:right w:w="108" w:type="dxa"/>
          </w:tblCellMar>
        </w:tblPrEx>
        <w:trPr>
          <w:trHeight w:val="480" w:hRule="atLeast"/>
        </w:trPr>
        <w:tc>
          <w:tcPr>
            <w:tcW w:w="1701" w:type="dxa"/>
            <w:tcBorders>
              <w:top w:val="nil"/>
              <w:left w:val="single" w:color="auto" w:sz="4" w:space="0"/>
              <w:bottom w:val="single" w:color="auto" w:sz="4" w:space="0"/>
              <w:right w:val="single" w:color="auto" w:sz="4" w:space="0"/>
            </w:tcBorders>
            <w:shd w:val="clear" w:color="000000" w:fill="FFFFFF"/>
            <w:noWrap/>
            <w:vAlign w:val="center"/>
          </w:tcPr>
          <w:p>
            <w:pPr>
              <w:pStyle w:val="38"/>
            </w:pPr>
            <w:r>
              <w:rPr>
                <w:rFonts w:hint="eastAsia"/>
              </w:rPr>
              <w:t>备份兼容性</w:t>
            </w:r>
          </w:p>
        </w:tc>
        <w:tc>
          <w:tcPr>
            <w:tcW w:w="6379" w:type="dxa"/>
            <w:tcBorders>
              <w:top w:val="nil"/>
              <w:left w:val="nil"/>
              <w:bottom w:val="single" w:color="auto" w:sz="4" w:space="0"/>
              <w:right w:val="single" w:color="auto" w:sz="4" w:space="0"/>
            </w:tcBorders>
            <w:shd w:val="clear" w:color="000000" w:fill="FFFFFF"/>
            <w:noWrap/>
            <w:vAlign w:val="center"/>
          </w:tcPr>
          <w:p>
            <w:pPr>
              <w:pStyle w:val="38"/>
            </w:pPr>
            <w:r>
              <w:rPr>
                <w:rFonts w:hint="eastAsia"/>
              </w:rPr>
              <w:t>容灾系统的一体化备份要求被RMAN兼容，可以使用RMAN完成数据库恢复。</w:t>
            </w:r>
          </w:p>
        </w:tc>
      </w:tr>
      <w:tr>
        <w:tblPrEx>
          <w:tblLayout w:type="fixed"/>
          <w:tblCellMar>
            <w:top w:w="0" w:type="dxa"/>
            <w:left w:w="108" w:type="dxa"/>
            <w:bottom w:w="0" w:type="dxa"/>
            <w:right w:w="108" w:type="dxa"/>
          </w:tblCellMar>
        </w:tblPrEx>
        <w:trPr>
          <w:trHeight w:val="480" w:hRule="atLeast"/>
        </w:trPr>
        <w:tc>
          <w:tcPr>
            <w:tcW w:w="1701" w:type="dxa"/>
            <w:tcBorders>
              <w:top w:val="nil"/>
              <w:left w:val="single" w:color="auto" w:sz="4" w:space="0"/>
              <w:bottom w:val="single" w:color="auto" w:sz="4" w:space="0"/>
              <w:right w:val="single" w:color="auto" w:sz="4" w:space="0"/>
            </w:tcBorders>
            <w:shd w:val="clear" w:color="000000" w:fill="FFFFFF"/>
            <w:noWrap/>
            <w:vAlign w:val="center"/>
          </w:tcPr>
          <w:p>
            <w:pPr>
              <w:pStyle w:val="38"/>
            </w:pPr>
            <w:r>
              <w:rPr>
                <w:rFonts w:hint="eastAsia"/>
              </w:rPr>
              <w:t>容灾系统在线校验</w:t>
            </w:r>
          </w:p>
        </w:tc>
        <w:tc>
          <w:tcPr>
            <w:tcW w:w="6379" w:type="dxa"/>
            <w:tcBorders>
              <w:top w:val="nil"/>
              <w:left w:val="nil"/>
              <w:bottom w:val="single" w:color="auto" w:sz="4" w:space="0"/>
              <w:right w:val="single" w:color="auto" w:sz="4" w:space="0"/>
            </w:tcBorders>
            <w:shd w:val="clear" w:color="000000" w:fill="FFFFFF"/>
            <w:noWrap/>
            <w:vAlign w:val="center"/>
          </w:tcPr>
          <w:p>
            <w:pPr>
              <w:pStyle w:val="38"/>
            </w:pPr>
            <w:r>
              <w:rPr>
                <w:rFonts w:hint="eastAsia"/>
              </w:rPr>
              <w:t>实现容灾系统在线校验，支持容灾系统运行时随时打开容灾库以检查容灾可用性。</w:t>
            </w:r>
          </w:p>
        </w:tc>
      </w:tr>
      <w:tr>
        <w:tblPrEx>
          <w:tblLayout w:type="fixed"/>
          <w:tblCellMar>
            <w:top w:w="0" w:type="dxa"/>
            <w:left w:w="108" w:type="dxa"/>
            <w:bottom w:w="0" w:type="dxa"/>
            <w:right w:w="108" w:type="dxa"/>
          </w:tblCellMar>
        </w:tblPrEx>
        <w:trPr>
          <w:trHeight w:val="480" w:hRule="atLeast"/>
        </w:trPr>
        <w:tc>
          <w:tcPr>
            <w:tcW w:w="1701" w:type="dxa"/>
            <w:tcBorders>
              <w:top w:val="nil"/>
              <w:left w:val="single" w:color="auto" w:sz="4" w:space="0"/>
              <w:bottom w:val="single" w:color="auto" w:sz="4" w:space="0"/>
              <w:right w:val="single" w:color="auto" w:sz="4" w:space="0"/>
            </w:tcBorders>
            <w:shd w:val="clear" w:color="000000" w:fill="FFFFFF"/>
            <w:noWrap/>
            <w:vAlign w:val="center"/>
          </w:tcPr>
          <w:p>
            <w:pPr>
              <w:pStyle w:val="38"/>
            </w:pPr>
            <w:r>
              <w:rPr>
                <w:rFonts w:hint="eastAsia"/>
              </w:rPr>
              <w:t>API二次开发接口</w:t>
            </w:r>
          </w:p>
        </w:tc>
        <w:tc>
          <w:tcPr>
            <w:tcW w:w="6379" w:type="dxa"/>
            <w:tcBorders>
              <w:top w:val="nil"/>
              <w:left w:val="nil"/>
              <w:bottom w:val="single" w:color="auto" w:sz="4" w:space="0"/>
              <w:right w:val="single" w:color="auto" w:sz="4" w:space="0"/>
            </w:tcBorders>
            <w:shd w:val="clear" w:color="000000" w:fill="FFFFFF"/>
            <w:noWrap/>
            <w:vAlign w:val="center"/>
          </w:tcPr>
          <w:p>
            <w:pPr>
              <w:pStyle w:val="38"/>
            </w:pPr>
            <w:r>
              <w:rPr>
                <w:rFonts w:hint="eastAsia"/>
              </w:rPr>
              <w:t xml:space="preserve">提供API接口,具备二次开发能力，能够定制部分容灾平台功能。 </w:t>
            </w:r>
          </w:p>
        </w:tc>
      </w:tr>
      <w:tr>
        <w:tblPrEx>
          <w:tblLayout w:type="fixed"/>
          <w:tblCellMar>
            <w:top w:w="0" w:type="dxa"/>
            <w:left w:w="108" w:type="dxa"/>
            <w:bottom w:w="0" w:type="dxa"/>
            <w:right w:w="108" w:type="dxa"/>
          </w:tblCellMar>
        </w:tblPrEx>
        <w:trPr>
          <w:trHeight w:val="276" w:hRule="atLeast"/>
        </w:trPr>
        <w:tc>
          <w:tcPr>
            <w:tcW w:w="1701" w:type="dxa"/>
            <w:tcBorders>
              <w:top w:val="nil"/>
              <w:left w:val="single" w:color="auto" w:sz="4" w:space="0"/>
              <w:bottom w:val="single" w:color="auto" w:sz="4" w:space="0"/>
              <w:right w:val="single" w:color="auto" w:sz="4" w:space="0"/>
            </w:tcBorders>
            <w:shd w:val="clear" w:color="000000" w:fill="FFFFFF"/>
            <w:noWrap/>
            <w:vAlign w:val="center"/>
          </w:tcPr>
          <w:p>
            <w:pPr>
              <w:pStyle w:val="38"/>
            </w:pPr>
            <w:r>
              <w:rPr>
                <w:rFonts w:hint="eastAsia"/>
              </w:rPr>
              <w:t>短信通知</w:t>
            </w:r>
          </w:p>
        </w:tc>
        <w:tc>
          <w:tcPr>
            <w:tcW w:w="6379" w:type="dxa"/>
            <w:tcBorders>
              <w:top w:val="nil"/>
              <w:left w:val="nil"/>
              <w:bottom w:val="single" w:color="auto" w:sz="4" w:space="0"/>
              <w:right w:val="single" w:color="auto" w:sz="4" w:space="0"/>
            </w:tcBorders>
            <w:shd w:val="clear" w:color="000000" w:fill="FFFFFF"/>
            <w:noWrap/>
            <w:vAlign w:val="center"/>
          </w:tcPr>
          <w:p>
            <w:pPr>
              <w:pStyle w:val="38"/>
            </w:pPr>
            <w:r>
              <w:rPr>
                <w:rFonts w:hint="eastAsia"/>
              </w:rPr>
              <w:t>提供手机短信预警接口。</w:t>
            </w:r>
          </w:p>
        </w:tc>
      </w:tr>
      <w:tr>
        <w:tblPrEx>
          <w:tblLayout w:type="fixed"/>
          <w:tblCellMar>
            <w:top w:w="0" w:type="dxa"/>
            <w:left w:w="108" w:type="dxa"/>
            <w:bottom w:w="0" w:type="dxa"/>
            <w:right w:w="108" w:type="dxa"/>
          </w:tblCellMar>
        </w:tblPrEx>
        <w:trPr>
          <w:trHeight w:val="480" w:hRule="atLeast"/>
        </w:trPr>
        <w:tc>
          <w:tcPr>
            <w:tcW w:w="1701" w:type="dxa"/>
            <w:tcBorders>
              <w:top w:val="nil"/>
              <w:left w:val="single" w:color="auto" w:sz="4" w:space="0"/>
              <w:bottom w:val="single" w:color="auto" w:sz="4" w:space="0"/>
              <w:right w:val="single" w:color="auto" w:sz="4" w:space="0"/>
            </w:tcBorders>
            <w:shd w:val="clear" w:color="000000" w:fill="FFFFFF"/>
            <w:noWrap/>
            <w:vAlign w:val="center"/>
          </w:tcPr>
          <w:p>
            <w:pPr>
              <w:pStyle w:val="38"/>
            </w:pPr>
            <w:r>
              <w:rPr>
                <w:rFonts w:hint="eastAsia"/>
              </w:rPr>
              <w:t>负载分担</w:t>
            </w:r>
          </w:p>
        </w:tc>
        <w:tc>
          <w:tcPr>
            <w:tcW w:w="6379" w:type="dxa"/>
            <w:tcBorders>
              <w:top w:val="nil"/>
              <w:left w:val="nil"/>
              <w:bottom w:val="single" w:color="auto" w:sz="4" w:space="0"/>
              <w:right w:val="single" w:color="auto" w:sz="4" w:space="0"/>
            </w:tcBorders>
            <w:shd w:val="clear" w:color="000000" w:fill="FFFFFF"/>
            <w:noWrap/>
            <w:vAlign w:val="center"/>
          </w:tcPr>
          <w:p>
            <w:pPr>
              <w:pStyle w:val="38"/>
            </w:pPr>
            <w:r>
              <w:rPr>
                <w:rFonts w:hint="eastAsia"/>
              </w:rPr>
              <w:t>容灾站点的数据库可以打开，对外方便的提供查询能力，提供负载分担，可以支持任意开发工具的连接访问。</w:t>
            </w:r>
          </w:p>
        </w:tc>
      </w:tr>
      <w:tr>
        <w:tblPrEx>
          <w:tblLayout w:type="fixed"/>
          <w:tblCellMar>
            <w:top w:w="0" w:type="dxa"/>
            <w:left w:w="108" w:type="dxa"/>
            <w:bottom w:w="0" w:type="dxa"/>
            <w:right w:w="108" w:type="dxa"/>
          </w:tblCellMar>
        </w:tblPrEx>
        <w:trPr>
          <w:trHeight w:val="480" w:hRule="atLeast"/>
        </w:trPr>
        <w:tc>
          <w:tcPr>
            <w:tcW w:w="1701" w:type="dxa"/>
            <w:tcBorders>
              <w:top w:val="nil"/>
              <w:left w:val="single" w:color="auto" w:sz="4" w:space="0"/>
              <w:bottom w:val="single" w:color="auto" w:sz="4" w:space="0"/>
              <w:right w:val="single" w:color="auto" w:sz="4" w:space="0"/>
            </w:tcBorders>
            <w:shd w:val="clear" w:color="000000" w:fill="FFFFFF"/>
            <w:noWrap/>
            <w:vAlign w:val="center"/>
          </w:tcPr>
          <w:p>
            <w:pPr>
              <w:pStyle w:val="38"/>
            </w:pPr>
            <w:r>
              <w:rPr>
                <w:rFonts w:hint="eastAsia"/>
              </w:rPr>
              <w:t>增值服务</w:t>
            </w:r>
          </w:p>
        </w:tc>
        <w:tc>
          <w:tcPr>
            <w:tcW w:w="6379" w:type="dxa"/>
            <w:tcBorders>
              <w:top w:val="nil"/>
              <w:left w:val="nil"/>
              <w:bottom w:val="single" w:color="auto" w:sz="4" w:space="0"/>
              <w:right w:val="single" w:color="auto" w:sz="4" w:space="0"/>
            </w:tcBorders>
            <w:shd w:val="clear" w:color="000000" w:fill="FFFFFF"/>
            <w:noWrap/>
            <w:vAlign w:val="center"/>
          </w:tcPr>
          <w:p>
            <w:pPr>
              <w:pStyle w:val="38"/>
            </w:pPr>
            <w:r>
              <w:rPr>
                <w:rFonts w:hint="eastAsia"/>
              </w:rPr>
              <w:t>要求容灾站点数据库可以作为逻辑备份、数据仓库等源数据，被应用程序或ETL工具所使用。</w:t>
            </w:r>
          </w:p>
        </w:tc>
      </w:tr>
      <w:tr>
        <w:tblPrEx>
          <w:tblLayout w:type="fixed"/>
          <w:tblCellMar>
            <w:top w:w="0" w:type="dxa"/>
            <w:left w:w="108" w:type="dxa"/>
            <w:bottom w:w="0" w:type="dxa"/>
            <w:right w:w="108" w:type="dxa"/>
          </w:tblCellMar>
        </w:tblPrEx>
        <w:trPr>
          <w:trHeight w:val="480" w:hRule="atLeast"/>
        </w:trPr>
        <w:tc>
          <w:tcPr>
            <w:tcW w:w="1701" w:type="dxa"/>
            <w:tcBorders>
              <w:top w:val="nil"/>
              <w:left w:val="single" w:color="auto" w:sz="4" w:space="0"/>
              <w:bottom w:val="single" w:color="auto" w:sz="4" w:space="0"/>
              <w:right w:val="single" w:color="auto" w:sz="4" w:space="0"/>
            </w:tcBorders>
            <w:shd w:val="clear" w:color="000000" w:fill="FFFFFF"/>
            <w:noWrap/>
            <w:vAlign w:val="center"/>
          </w:tcPr>
          <w:p>
            <w:pPr>
              <w:pStyle w:val="38"/>
            </w:pPr>
            <w:r>
              <w:rPr>
                <w:rFonts w:hint="eastAsia"/>
              </w:rPr>
              <w:t>数据更新能力</w:t>
            </w:r>
          </w:p>
        </w:tc>
        <w:tc>
          <w:tcPr>
            <w:tcW w:w="6379" w:type="dxa"/>
            <w:tcBorders>
              <w:top w:val="nil"/>
              <w:left w:val="nil"/>
              <w:bottom w:val="single" w:color="auto" w:sz="4" w:space="0"/>
              <w:right w:val="single" w:color="auto" w:sz="4" w:space="0"/>
            </w:tcBorders>
            <w:shd w:val="clear" w:color="000000" w:fill="FFFFFF"/>
            <w:noWrap/>
            <w:vAlign w:val="center"/>
          </w:tcPr>
          <w:p>
            <w:pPr>
              <w:pStyle w:val="38"/>
            </w:pPr>
            <w:r>
              <w:rPr>
                <w:rFonts w:hint="eastAsia"/>
              </w:rPr>
              <w:t>要求容灾站点实现边同步边查询的能力，活动数据库提供活动数据而不是静态数据，随时跟踪生产站点数据库，差异性间隔时间：0至5分钟。</w:t>
            </w:r>
          </w:p>
        </w:tc>
      </w:tr>
      <w:tr>
        <w:tblPrEx>
          <w:tblLayout w:type="fixed"/>
          <w:tblCellMar>
            <w:top w:w="0" w:type="dxa"/>
            <w:left w:w="108" w:type="dxa"/>
            <w:bottom w:w="0" w:type="dxa"/>
            <w:right w:w="108" w:type="dxa"/>
          </w:tblCellMar>
        </w:tblPrEx>
        <w:trPr>
          <w:trHeight w:val="480" w:hRule="atLeast"/>
        </w:trPr>
        <w:tc>
          <w:tcPr>
            <w:tcW w:w="1701" w:type="dxa"/>
            <w:tcBorders>
              <w:top w:val="nil"/>
              <w:left w:val="single" w:color="auto" w:sz="4" w:space="0"/>
              <w:bottom w:val="single" w:color="auto" w:sz="4" w:space="0"/>
              <w:right w:val="single" w:color="auto" w:sz="4" w:space="0"/>
            </w:tcBorders>
            <w:shd w:val="clear" w:color="000000" w:fill="FFFFFF"/>
            <w:noWrap/>
            <w:vAlign w:val="center"/>
          </w:tcPr>
          <w:p>
            <w:pPr>
              <w:pStyle w:val="38"/>
            </w:pPr>
            <w:r>
              <w:rPr>
                <w:rFonts w:hint="eastAsia"/>
              </w:rPr>
              <w:t>双活冗余能力</w:t>
            </w:r>
          </w:p>
        </w:tc>
        <w:tc>
          <w:tcPr>
            <w:tcW w:w="6379" w:type="dxa"/>
            <w:tcBorders>
              <w:top w:val="nil"/>
              <w:left w:val="nil"/>
              <w:bottom w:val="single" w:color="auto" w:sz="4" w:space="0"/>
              <w:right w:val="single" w:color="auto" w:sz="4" w:space="0"/>
            </w:tcBorders>
            <w:shd w:val="clear" w:color="000000" w:fill="FFFFFF"/>
            <w:noWrap/>
            <w:vAlign w:val="center"/>
          </w:tcPr>
          <w:p>
            <w:pPr>
              <w:pStyle w:val="38"/>
            </w:pPr>
            <w:r>
              <w:rPr>
                <w:rFonts w:hint="eastAsia"/>
              </w:rPr>
              <w:t>支持20公里内构建双活数据中心，即双机双柜的冗余数据中心，任意一台服务器和存储设备故障，业务系统正常运行都不会受到影响。</w:t>
            </w:r>
          </w:p>
        </w:tc>
      </w:tr>
      <w:tr>
        <w:tblPrEx>
          <w:tblLayout w:type="fixed"/>
          <w:tblCellMar>
            <w:top w:w="0" w:type="dxa"/>
            <w:left w:w="108" w:type="dxa"/>
            <w:bottom w:w="0" w:type="dxa"/>
            <w:right w:w="108" w:type="dxa"/>
          </w:tblCellMar>
        </w:tblPrEx>
        <w:trPr>
          <w:trHeight w:val="480" w:hRule="atLeast"/>
        </w:trPr>
        <w:tc>
          <w:tcPr>
            <w:tcW w:w="1701" w:type="dxa"/>
            <w:tcBorders>
              <w:top w:val="nil"/>
              <w:left w:val="single" w:color="auto" w:sz="4" w:space="0"/>
              <w:bottom w:val="single" w:color="auto" w:sz="4" w:space="0"/>
              <w:right w:val="single" w:color="auto" w:sz="4" w:space="0"/>
            </w:tcBorders>
            <w:shd w:val="clear" w:color="000000" w:fill="FFFFFF"/>
            <w:noWrap/>
            <w:vAlign w:val="center"/>
          </w:tcPr>
          <w:p>
            <w:pPr>
              <w:pStyle w:val="38"/>
            </w:pPr>
            <w:r>
              <w:rPr>
                <w:rFonts w:hint="eastAsia"/>
              </w:rPr>
              <w:t>容灾数据安全保护</w:t>
            </w:r>
          </w:p>
        </w:tc>
        <w:tc>
          <w:tcPr>
            <w:tcW w:w="6379" w:type="dxa"/>
            <w:tcBorders>
              <w:top w:val="nil"/>
              <w:left w:val="nil"/>
              <w:bottom w:val="single" w:color="auto" w:sz="4" w:space="0"/>
              <w:right w:val="single" w:color="auto" w:sz="4" w:space="0"/>
            </w:tcBorders>
            <w:shd w:val="clear" w:color="000000" w:fill="FFFFFF"/>
            <w:noWrap/>
            <w:vAlign w:val="center"/>
          </w:tcPr>
          <w:p>
            <w:pPr>
              <w:pStyle w:val="38"/>
            </w:pPr>
            <w:r>
              <w:rPr>
                <w:rFonts w:hint="eastAsia"/>
              </w:rPr>
              <w:t>容灾系统支持容灾数据安全保护，对容灾数据中的敏感数据进行安全保护，防止未经授权的工具和应用或未经授权的用户随意访问。</w:t>
            </w:r>
          </w:p>
        </w:tc>
      </w:tr>
      <w:tr>
        <w:tblPrEx>
          <w:tblLayout w:type="fixed"/>
          <w:tblCellMar>
            <w:top w:w="0" w:type="dxa"/>
            <w:left w:w="108" w:type="dxa"/>
            <w:bottom w:w="0" w:type="dxa"/>
            <w:right w:w="108" w:type="dxa"/>
          </w:tblCellMar>
        </w:tblPrEx>
        <w:trPr>
          <w:trHeight w:val="276" w:hRule="atLeast"/>
        </w:trPr>
        <w:tc>
          <w:tcPr>
            <w:tcW w:w="1701" w:type="dxa"/>
            <w:tcBorders>
              <w:top w:val="nil"/>
              <w:left w:val="single" w:color="auto" w:sz="4" w:space="0"/>
              <w:bottom w:val="single" w:color="auto" w:sz="4" w:space="0"/>
              <w:right w:val="single" w:color="auto" w:sz="4" w:space="0"/>
            </w:tcBorders>
            <w:shd w:val="clear" w:color="auto" w:fill="auto"/>
            <w:noWrap/>
            <w:vAlign w:val="center"/>
          </w:tcPr>
          <w:p>
            <w:pPr>
              <w:pStyle w:val="38"/>
            </w:pPr>
            <w:r>
              <w:rPr>
                <w:rFonts w:hint="eastAsia"/>
              </w:rPr>
              <w:t>产品资质</w:t>
            </w:r>
          </w:p>
        </w:tc>
        <w:tc>
          <w:tcPr>
            <w:tcW w:w="6379" w:type="dxa"/>
            <w:tcBorders>
              <w:top w:val="nil"/>
              <w:left w:val="nil"/>
              <w:bottom w:val="single" w:color="auto" w:sz="4" w:space="0"/>
              <w:right w:val="single" w:color="auto" w:sz="4" w:space="0"/>
            </w:tcBorders>
            <w:shd w:val="clear" w:color="auto" w:fill="auto"/>
            <w:noWrap/>
            <w:vAlign w:val="center"/>
          </w:tcPr>
          <w:p>
            <w:pPr>
              <w:pStyle w:val="38"/>
            </w:pPr>
            <w:r>
              <w:rPr>
                <w:rFonts w:hint="eastAsia"/>
              </w:rPr>
              <w:t>产品具有自主知识产权，需提供软件著作权证书；</w:t>
            </w:r>
          </w:p>
        </w:tc>
      </w:tr>
      <w:tr>
        <w:tblPrEx>
          <w:tblLayout w:type="fixed"/>
          <w:tblCellMar>
            <w:top w:w="0" w:type="dxa"/>
            <w:left w:w="108" w:type="dxa"/>
            <w:bottom w:w="0" w:type="dxa"/>
            <w:right w:w="108" w:type="dxa"/>
          </w:tblCellMar>
        </w:tblPrEx>
        <w:trPr>
          <w:trHeight w:val="276" w:hRule="atLeast"/>
        </w:trPr>
        <w:tc>
          <w:tcPr>
            <w:tcW w:w="1701" w:type="dxa"/>
            <w:tcBorders>
              <w:top w:val="nil"/>
              <w:left w:val="single" w:color="auto" w:sz="4" w:space="0"/>
              <w:bottom w:val="single" w:color="auto" w:sz="4" w:space="0"/>
              <w:right w:val="single" w:color="auto" w:sz="4" w:space="0"/>
            </w:tcBorders>
            <w:shd w:val="clear" w:color="auto" w:fill="auto"/>
            <w:noWrap/>
            <w:vAlign w:val="center"/>
          </w:tcPr>
          <w:p>
            <w:pPr>
              <w:pStyle w:val="38"/>
            </w:pPr>
            <w:r>
              <w:rPr>
                <w:rFonts w:hint="eastAsia"/>
              </w:rPr>
              <w:t>实施服务</w:t>
            </w:r>
          </w:p>
        </w:tc>
        <w:tc>
          <w:tcPr>
            <w:tcW w:w="6379" w:type="dxa"/>
            <w:tcBorders>
              <w:top w:val="nil"/>
              <w:left w:val="nil"/>
              <w:bottom w:val="single" w:color="auto" w:sz="4" w:space="0"/>
              <w:right w:val="single" w:color="auto" w:sz="4" w:space="0"/>
            </w:tcBorders>
            <w:shd w:val="clear" w:color="auto" w:fill="auto"/>
            <w:noWrap/>
            <w:vAlign w:val="center"/>
          </w:tcPr>
          <w:p>
            <w:pPr>
              <w:pStyle w:val="38"/>
            </w:pPr>
            <w:r>
              <w:rPr>
                <w:rFonts w:hint="eastAsia"/>
              </w:rPr>
              <w:t>要求原厂实施工程师具有OCM认证证书</w:t>
            </w:r>
          </w:p>
        </w:tc>
      </w:tr>
      <w:tr>
        <w:tblPrEx>
          <w:tblLayout w:type="fixed"/>
          <w:tblCellMar>
            <w:top w:w="0" w:type="dxa"/>
            <w:left w:w="108" w:type="dxa"/>
            <w:bottom w:w="0" w:type="dxa"/>
            <w:right w:w="108" w:type="dxa"/>
          </w:tblCellMar>
        </w:tblPrEx>
        <w:trPr>
          <w:trHeight w:val="480" w:hRule="atLeast"/>
        </w:trPr>
        <w:tc>
          <w:tcPr>
            <w:tcW w:w="1701" w:type="dxa"/>
            <w:tcBorders>
              <w:top w:val="nil"/>
              <w:left w:val="single" w:color="auto" w:sz="4" w:space="0"/>
              <w:bottom w:val="single" w:color="auto" w:sz="4" w:space="0"/>
              <w:right w:val="single" w:color="auto" w:sz="4" w:space="0"/>
            </w:tcBorders>
            <w:shd w:val="clear" w:color="auto" w:fill="auto"/>
            <w:noWrap/>
            <w:vAlign w:val="center"/>
          </w:tcPr>
          <w:p>
            <w:pPr>
              <w:pStyle w:val="38"/>
            </w:pPr>
            <w:r>
              <w:rPr>
                <w:rFonts w:hint="eastAsia"/>
              </w:rPr>
              <w:t>原厂资质要求</w:t>
            </w:r>
          </w:p>
        </w:tc>
        <w:tc>
          <w:tcPr>
            <w:tcW w:w="6379" w:type="dxa"/>
            <w:tcBorders>
              <w:top w:val="nil"/>
              <w:left w:val="nil"/>
              <w:bottom w:val="single" w:color="auto" w:sz="4" w:space="0"/>
              <w:right w:val="single" w:color="auto" w:sz="4" w:space="0"/>
            </w:tcBorders>
            <w:shd w:val="clear" w:color="auto" w:fill="auto"/>
            <w:noWrap/>
            <w:vAlign w:val="center"/>
          </w:tcPr>
          <w:p>
            <w:pPr>
              <w:pStyle w:val="38"/>
            </w:pPr>
            <w:r>
              <w:rPr>
                <w:rFonts w:hint="eastAsia"/>
              </w:rPr>
              <w:t>具有ISO9001：2008质量管理体系认证证书、ISO27001信息安全管理体系认证证书和ISO20000信息技术服务管理体系认证证书。</w:t>
            </w:r>
          </w:p>
        </w:tc>
      </w:tr>
    </w:tbl>
    <w:p>
      <w:pPr>
        <w:ind w:firstLine="480"/>
      </w:pPr>
    </w:p>
    <w:p>
      <w:pPr>
        <w:pStyle w:val="5"/>
      </w:pPr>
      <w:r>
        <w:rPr>
          <w:rFonts w:hint="eastAsia"/>
        </w:rPr>
        <w:t>威胁感知</w:t>
      </w:r>
    </w:p>
    <w:tbl>
      <w:tblPr>
        <w:tblStyle w:val="16"/>
        <w:tblW w:w="8080"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6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trPr>
        <w:tc>
          <w:tcPr>
            <w:tcW w:w="1701" w:type="dxa"/>
            <w:shd w:val="clear" w:color="auto" w:fill="auto"/>
            <w:noWrap/>
            <w:vAlign w:val="bottom"/>
          </w:tcPr>
          <w:p>
            <w:pPr>
              <w:pStyle w:val="38"/>
            </w:pPr>
            <w:r>
              <w:rPr>
                <w:rFonts w:hint="eastAsia"/>
              </w:rPr>
              <w:t>指标项</w:t>
            </w:r>
          </w:p>
        </w:tc>
        <w:tc>
          <w:tcPr>
            <w:tcW w:w="6379" w:type="dxa"/>
            <w:shd w:val="clear" w:color="auto" w:fill="auto"/>
            <w:noWrap/>
            <w:vAlign w:val="bottom"/>
          </w:tcPr>
          <w:p>
            <w:pPr>
              <w:pStyle w:val="38"/>
            </w:pPr>
            <w:r>
              <w:rPr>
                <w:rFonts w:hint="eastAsia"/>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trPr>
        <w:tc>
          <w:tcPr>
            <w:tcW w:w="1701" w:type="dxa"/>
            <w:shd w:val="clear" w:color="auto" w:fill="auto"/>
            <w:vAlign w:val="center"/>
          </w:tcPr>
          <w:p>
            <w:pPr>
              <w:pStyle w:val="38"/>
            </w:pPr>
            <w:r>
              <w:rPr>
                <w:rFonts w:hint="eastAsia"/>
              </w:rPr>
              <w:t>硬件外形</w:t>
            </w:r>
          </w:p>
        </w:tc>
        <w:tc>
          <w:tcPr>
            <w:tcW w:w="6379" w:type="dxa"/>
            <w:shd w:val="clear" w:color="auto" w:fill="auto"/>
            <w:vAlign w:val="center"/>
          </w:tcPr>
          <w:p>
            <w:pPr>
              <w:pStyle w:val="38"/>
            </w:pPr>
            <w:r>
              <w:rPr>
                <w:rFonts w:hint="eastAsia"/>
              </w:rPr>
              <w:t xml:space="preserve">软硬一体化2U标准机架式设备；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trPr>
        <w:tc>
          <w:tcPr>
            <w:tcW w:w="1701" w:type="dxa"/>
            <w:shd w:val="clear" w:color="auto" w:fill="auto"/>
            <w:vAlign w:val="center"/>
          </w:tcPr>
          <w:p>
            <w:pPr>
              <w:pStyle w:val="38"/>
            </w:pPr>
            <w:r>
              <w:rPr>
                <w:rFonts w:hint="eastAsia"/>
              </w:rPr>
              <w:t>电源</w:t>
            </w:r>
          </w:p>
        </w:tc>
        <w:tc>
          <w:tcPr>
            <w:tcW w:w="6379" w:type="dxa"/>
            <w:shd w:val="clear" w:color="auto" w:fill="auto"/>
            <w:vAlign w:val="center"/>
          </w:tcPr>
          <w:p>
            <w:pPr>
              <w:pStyle w:val="38"/>
            </w:pPr>
            <w:r>
              <w:rPr>
                <w:rFonts w:hint="eastAsia"/>
              </w:rPr>
              <w:t>1+1冗余电源；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trPr>
        <w:tc>
          <w:tcPr>
            <w:tcW w:w="1701" w:type="dxa"/>
            <w:shd w:val="clear" w:color="auto" w:fill="auto"/>
            <w:vAlign w:val="center"/>
          </w:tcPr>
          <w:p>
            <w:pPr>
              <w:pStyle w:val="38"/>
            </w:pPr>
            <w:r>
              <w:rPr>
                <w:rFonts w:hint="eastAsia"/>
              </w:rPr>
              <w:t>CPU</w:t>
            </w:r>
          </w:p>
        </w:tc>
        <w:tc>
          <w:tcPr>
            <w:tcW w:w="6379" w:type="dxa"/>
            <w:shd w:val="clear" w:color="auto" w:fill="auto"/>
            <w:vAlign w:val="center"/>
          </w:tcPr>
          <w:p>
            <w:pPr>
              <w:pStyle w:val="38"/>
            </w:pPr>
            <w:r>
              <w:rPr>
                <w:rFonts w:hint="eastAsia"/>
              </w:rPr>
              <w:t>6核12线程*2；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trPr>
        <w:tc>
          <w:tcPr>
            <w:tcW w:w="1701" w:type="dxa"/>
            <w:shd w:val="clear" w:color="auto" w:fill="auto"/>
            <w:vAlign w:val="center"/>
          </w:tcPr>
          <w:p>
            <w:pPr>
              <w:pStyle w:val="38"/>
            </w:pPr>
            <w:r>
              <w:rPr>
                <w:rFonts w:hint="eastAsia"/>
              </w:rPr>
              <w:t>内存</w:t>
            </w:r>
          </w:p>
        </w:tc>
        <w:tc>
          <w:tcPr>
            <w:tcW w:w="6379" w:type="dxa"/>
            <w:shd w:val="clear" w:color="auto" w:fill="auto"/>
            <w:vAlign w:val="center"/>
          </w:tcPr>
          <w:p>
            <w:pPr>
              <w:pStyle w:val="38"/>
            </w:pPr>
            <w:r>
              <w:rPr>
                <w:rFonts w:hint="eastAsia"/>
              </w:rPr>
              <w:t>32G；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trPr>
        <w:tc>
          <w:tcPr>
            <w:tcW w:w="1701" w:type="dxa"/>
            <w:shd w:val="clear" w:color="auto" w:fill="auto"/>
            <w:vAlign w:val="center"/>
          </w:tcPr>
          <w:p>
            <w:pPr>
              <w:pStyle w:val="38"/>
            </w:pPr>
            <w:r>
              <w:rPr>
                <w:rFonts w:hint="eastAsia"/>
              </w:rPr>
              <w:t>硬盘容量</w:t>
            </w:r>
          </w:p>
        </w:tc>
        <w:tc>
          <w:tcPr>
            <w:tcW w:w="6379" w:type="dxa"/>
            <w:shd w:val="clear" w:color="auto" w:fill="auto"/>
            <w:vAlign w:val="center"/>
          </w:tcPr>
          <w:p>
            <w:pPr>
              <w:pStyle w:val="38"/>
            </w:pPr>
            <w:r>
              <w:rPr>
                <w:rFonts w:hint="eastAsia"/>
              </w:rPr>
              <w:t>2T*2，带RAID1，可用磁盘空间不小于2T；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trPr>
        <w:tc>
          <w:tcPr>
            <w:tcW w:w="1701" w:type="dxa"/>
            <w:vMerge w:val="restart"/>
            <w:shd w:val="clear" w:color="auto" w:fill="auto"/>
            <w:vAlign w:val="center"/>
          </w:tcPr>
          <w:p>
            <w:pPr>
              <w:pStyle w:val="38"/>
            </w:pPr>
            <w:r>
              <w:rPr>
                <w:rFonts w:hint="eastAsia"/>
              </w:rPr>
              <w:t>接口数量</w:t>
            </w:r>
          </w:p>
        </w:tc>
        <w:tc>
          <w:tcPr>
            <w:tcW w:w="6379" w:type="dxa"/>
            <w:shd w:val="clear" w:color="auto" w:fill="auto"/>
            <w:vAlign w:val="center"/>
          </w:tcPr>
          <w:p>
            <w:pPr>
              <w:pStyle w:val="38"/>
            </w:pPr>
            <w:r>
              <w:rPr>
                <w:rFonts w:hint="eastAsia"/>
              </w:rPr>
              <w:t>管理口：Consle*1,USB*2,千兆RJ45网口*2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trPr>
        <w:tc>
          <w:tcPr>
            <w:tcW w:w="1701" w:type="dxa"/>
            <w:vMerge w:val="continue"/>
            <w:vAlign w:val="center"/>
          </w:tcPr>
          <w:p>
            <w:pPr>
              <w:pStyle w:val="38"/>
            </w:pPr>
          </w:p>
        </w:tc>
        <w:tc>
          <w:tcPr>
            <w:tcW w:w="6379" w:type="dxa"/>
            <w:shd w:val="clear" w:color="auto" w:fill="auto"/>
            <w:vAlign w:val="center"/>
          </w:tcPr>
          <w:p>
            <w:pPr>
              <w:pStyle w:val="38"/>
            </w:pPr>
            <w:r>
              <w:rPr>
                <w:rFonts w:hint="eastAsia"/>
              </w:rPr>
              <w:t>业务口：千兆RJ45网口*4千兆SFP光口*4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701" w:type="dxa"/>
            <w:shd w:val="clear" w:color="auto" w:fill="auto"/>
            <w:vAlign w:val="center"/>
          </w:tcPr>
          <w:p>
            <w:pPr>
              <w:pStyle w:val="38"/>
            </w:pPr>
            <w:r>
              <w:rPr>
                <w:szCs w:val="28"/>
              </w:rPr>
              <w:t>▲</w:t>
            </w:r>
            <w:r>
              <w:rPr>
                <w:rFonts w:hint="eastAsia"/>
              </w:rPr>
              <w:t>接口扩展</w:t>
            </w:r>
          </w:p>
        </w:tc>
        <w:tc>
          <w:tcPr>
            <w:tcW w:w="6379" w:type="dxa"/>
            <w:shd w:val="clear" w:color="auto" w:fill="auto"/>
            <w:vAlign w:val="center"/>
          </w:tcPr>
          <w:p>
            <w:pPr>
              <w:pStyle w:val="38"/>
            </w:pPr>
            <w:r>
              <w:rPr>
                <w:rFonts w:hint="eastAsia"/>
              </w:rPr>
              <w:t>千兆RJ45网口*4  + 千兆SFP光口*4 或 千兆RJ45网口*8 或 千兆SFP光口*8 或 万兆SFP光口*2 或 万兆SFP光口*4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701" w:type="dxa"/>
            <w:shd w:val="clear" w:color="auto" w:fill="auto"/>
            <w:vAlign w:val="center"/>
          </w:tcPr>
          <w:p>
            <w:pPr>
              <w:pStyle w:val="38"/>
            </w:pPr>
            <w:r>
              <w:rPr>
                <w:rFonts w:hint="eastAsia"/>
              </w:rPr>
              <w:t>扩展槽个数</w:t>
            </w:r>
          </w:p>
        </w:tc>
        <w:tc>
          <w:tcPr>
            <w:tcW w:w="6379" w:type="dxa"/>
            <w:shd w:val="clear" w:color="auto" w:fill="auto"/>
            <w:vAlign w:val="center"/>
          </w:tcPr>
          <w:p>
            <w:pPr>
              <w:pStyle w:val="38"/>
            </w:pPr>
            <w:r>
              <w:rPr>
                <w:rFonts w:hint="eastAsia"/>
              </w:rPr>
              <w:t>3个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trPr>
        <w:tc>
          <w:tcPr>
            <w:tcW w:w="1701" w:type="dxa"/>
            <w:shd w:val="clear" w:color="auto" w:fill="auto"/>
            <w:vAlign w:val="center"/>
          </w:tcPr>
          <w:p>
            <w:pPr>
              <w:pStyle w:val="38"/>
            </w:pPr>
            <w:r>
              <w:rPr>
                <w:rFonts w:hint="eastAsia"/>
              </w:rPr>
              <w:t>部署方式</w:t>
            </w:r>
          </w:p>
        </w:tc>
        <w:tc>
          <w:tcPr>
            <w:tcW w:w="6379" w:type="dxa"/>
            <w:shd w:val="clear" w:color="auto" w:fill="auto"/>
            <w:vAlign w:val="center"/>
          </w:tcPr>
          <w:p>
            <w:pPr>
              <w:pStyle w:val="38"/>
            </w:pPr>
            <w:r>
              <w:rPr>
                <w:rFonts w:hint="eastAsia"/>
              </w:rPr>
              <w:t>旁路镜像模式部署，不影响服务器处理性能和网络架构；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1701" w:type="dxa"/>
            <w:shd w:val="clear" w:color="auto" w:fill="auto"/>
            <w:vAlign w:val="center"/>
          </w:tcPr>
          <w:p>
            <w:pPr>
              <w:pStyle w:val="38"/>
            </w:pPr>
            <w:r>
              <w:rPr>
                <w:rFonts w:hint="eastAsia"/>
              </w:rPr>
              <w:t>分布式部署</w:t>
            </w:r>
          </w:p>
        </w:tc>
        <w:tc>
          <w:tcPr>
            <w:tcW w:w="6379" w:type="dxa"/>
            <w:shd w:val="clear" w:color="auto" w:fill="auto"/>
            <w:vAlign w:val="center"/>
          </w:tcPr>
          <w:p>
            <w:pPr>
              <w:pStyle w:val="38"/>
            </w:pPr>
            <w:r>
              <w:rPr>
                <w:rFonts w:hint="eastAsia"/>
              </w:rPr>
              <w:t>支持旁路部署和分布式部署，对探测器可以添加、删除，显示探测器版本、状态和IP，管理中心可实现告警统一管理；可自定义管理中心和探测器之间的数据传输速率、时间、发送目录等参数；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701" w:type="dxa"/>
            <w:shd w:val="clear" w:color="auto" w:fill="auto"/>
            <w:vAlign w:val="center"/>
          </w:tcPr>
          <w:p>
            <w:pPr>
              <w:pStyle w:val="38"/>
            </w:pPr>
            <w:r>
              <w:rPr>
                <w:szCs w:val="28"/>
              </w:rPr>
              <w:t>▲</w:t>
            </w:r>
            <w:r>
              <w:rPr>
                <w:rFonts w:hint="eastAsia"/>
              </w:rPr>
              <w:t>级联要求</w:t>
            </w:r>
          </w:p>
        </w:tc>
        <w:tc>
          <w:tcPr>
            <w:tcW w:w="6379" w:type="dxa"/>
            <w:shd w:val="clear" w:color="auto" w:fill="auto"/>
            <w:vAlign w:val="center"/>
          </w:tcPr>
          <w:p>
            <w:pPr>
              <w:pStyle w:val="38"/>
            </w:pPr>
            <w:r>
              <w:rPr>
                <w:rFonts w:hint="eastAsia"/>
              </w:rPr>
              <w:t>跟宁波市卫生健康局卫生信息中心的APT进行联动，数据无缝对接，能够完全展示各种风险预警（提供功能截图）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trPr>
        <w:tc>
          <w:tcPr>
            <w:tcW w:w="1701" w:type="dxa"/>
            <w:vMerge w:val="restart"/>
            <w:shd w:val="clear" w:color="auto" w:fill="auto"/>
            <w:vAlign w:val="center"/>
          </w:tcPr>
          <w:p>
            <w:pPr>
              <w:pStyle w:val="38"/>
            </w:pPr>
            <w:r>
              <w:rPr>
                <w:rFonts w:hint="eastAsia"/>
              </w:rPr>
              <w:t>吞吐率</w:t>
            </w:r>
          </w:p>
        </w:tc>
        <w:tc>
          <w:tcPr>
            <w:tcW w:w="6379" w:type="dxa"/>
            <w:shd w:val="clear" w:color="auto" w:fill="auto"/>
            <w:vAlign w:val="center"/>
          </w:tcPr>
          <w:p>
            <w:pPr>
              <w:pStyle w:val="38"/>
            </w:pPr>
            <w:r>
              <w:rPr>
                <w:rFonts w:hint="eastAsia"/>
              </w:rPr>
              <w:t>网络层：4Gbps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trPr>
        <w:tc>
          <w:tcPr>
            <w:tcW w:w="1701" w:type="dxa"/>
            <w:vMerge w:val="continue"/>
            <w:vAlign w:val="center"/>
          </w:tcPr>
          <w:p>
            <w:pPr>
              <w:pStyle w:val="38"/>
            </w:pPr>
          </w:p>
        </w:tc>
        <w:tc>
          <w:tcPr>
            <w:tcW w:w="6379" w:type="dxa"/>
            <w:shd w:val="clear" w:color="auto" w:fill="auto"/>
            <w:vAlign w:val="center"/>
          </w:tcPr>
          <w:p>
            <w:pPr>
              <w:pStyle w:val="38"/>
            </w:pPr>
            <w:r>
              <w:rPr>
                <w:rFonts w:hint="eastAsia"/>
              </w:rPr>
              <w:t>应用层：2Gbps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trPr>
        <w:tc>
          <w:tcPr>
            <w:tcW w:w="1701" w:type="dxa"/>
            <w:shd w:val="clear" w:color="auto" w:fill="auto"/>
            <w:vAlign w:val="center"/>
          </w:tcPr>
          <w:p>
            <w:pPr>
              <w:pStyle w:val="38"/>
            </w:pPr>
            <w:r>
              <w:rPr>
                <w:rFonts w:hint="eastAsia"/>
              </w:rPr>
              <w:t>WEB检测</w:t>
            </w:r>
          </w:p>
        </w:tc>
        <w:tc>
          <w:tcPr>
            <w:tcW w:w="6379" w:type="dxa"/>
            <w:shd w:val="clear" w:color="auto" w:fill="auto"/>
            <w:vAlign w:val="center"/>
          </w:tcPr>
          <w:p>
            <w:pPr>
              <w:pStyle w:val="38"/>
            </w:pPr>
            <w:r>
              <w:rPr>
                <w:rFonts w:hint="eastAsia"/>
              </w:rPr>
              <w:t>HTTP最大并发数:10万/秒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trPr>
        <w:tc>
          <w:tcPr>
            <w:tcW w:w="1701" w:type="dxa"/>
            <w:shd w:val="clear" w:color="auto" w:fill="auto"/>
            <w:vAlign w:val="center"/>
          </w:tcPr>
          <w:p>
            <w:pPr>
              <w:pStyle w:val="38"/>
            </w:pPr>
            <w:r>
              <w:rPr>
                <w:rFonts w:hint="eastAsia"/>
              </w:rPr>
              <w:t>邮件检测</w:t>
            </w:r>
          </w:p>
        </w:tc>
        <w:tc>
          <w:tcPr>
            <w:tcW w:w="6379" w:type="dxa"/>
            <w:shd w:val="clear" w:color="auto" w:fill="auto"/>
            <w:vAlign w:val="center"/>
          </w:tcPr>
          <w:p>
            <w:pPr>
              <w:pStyle w:val="38"/>
            </w:pPr>
            <w:r>
              <w:rPr>
                <w:rFonts w:hint="eastAsia"/>
              </w:rPr>
              <w:t>邮件处理数:200万封/24小时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trPr>
        <w:tc>
          <w:tcPr>
            <w:tcW w:w="1701" w:type="dxa"/>
            <w:shd w:val="clear" w:color="auto" w:fill="auto"/>
            <w:vAlign w:val="center"/>
          </w:tcPr>
          <w:p>
            <w:pPr>
              <w:pStyle w:val="38"/>
            </w:pPr>
            <w:r>
              <w:rPr>
                <w:rFonts w:hint="eastAsia"/>
              </w:rPr>
              <w:t>文件检测</w:t>
            </w:r>
          </w:p>
        </w:tc>
        <w:tc>
          <w:tcPr>
            <w:tcW w:w="6379" w:type="dxa"/>
            <w:shd w:val="clear" w:color="auto" w:fill="auto"/>
            <w:vAlign w:val="center"/>
          </w:tcPr>
          <w:p>
            <w:pPr>
              <w:pStyle w:val="38"/>
            </w:pPr>
            <w:r>
              <w:rPr>
                <w:rFonts w:hint="eastAsia"/>
              </w:rPr>
              <w:t>10万个/24小时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701" w:type="dxa"/>
            <w:shd w:val="clear" w:color="auto" w:fill="auto"/>
            <w:vAlign w:val="center"/>
          </w:tcPr>
          <w:p>
            <w:pPr>
              <w:pStyle w:val="38"/>
            </w:pPr>
            <w:r>
              <w:rPr>
                <w:rFonts w:hint="eastAsia"/>
              </w:rPr>
              <w:t>综合管理分析</w:t>
            </w:r>
          </w:p>
        </w:tc>
        <w:tc>
          <w:tcPr>
            <w:tcW w:w="6379" w:type="dxa"/>
            <w:shd w:val="clear" w:color="auto" w:fill="auto"/>
            <w:vAlign w:val="center"/>
          </w:tcPr>
          <w:p>
            <w:pPr>
              <w:pStyle w:val="38"/>
            </w:pPr>
            <w:r>
              <w:rPr>
                <w:rFonts w:hint="eastAsia"/>
              </w:rPr>
              <w:t>支持管理节点30个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701" w:type="dxa"/>
            <w:shd w:val="clear" w:color="auto" w:fill="auto"/>
            <w:vAlign w:val="center"/>
          </w:tcPr>
          <w:p>
            <w:pPr>
              <w:pStyle w:val="38"/>
            </w:pPr>
            <w:r>
              <w:rPr>
                <w:rFonts w:hint="eastAsia"/>
              </w:rPr>
              <w:t>全流量检测</w:t>
            </w:r>
          </w:p>
        </w:tc>
        <w:tc>
          <w:tcPr>
            <w:tcW w:w="6379" w:type="dxa"/>
            <w:shd w:val="clear" w:color="auto" w:fill="auto"/>
            <w:vAlign w:val="center"/>
          </w:tcPr>
          <w:p>
            <w:pPr>
              <w:pStyle w:val="38"/>
            </w:pPr>
            <w:r>
              <w:rPr>
                <w:rFonts w:hint="eastAsia"/>
              </w:rPr>
              <w:t>支持全流量检测，可根据需求打开或关闭全流量检测功能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0" w:hRule="atLeast"/>
        </w:trPr>
        <w:tc>
          <w:tcPr>
            <w:tcW w:w="1701" w:type="dxa"/>
            <w:shd w:val="clear" w:color="auto" w:fill="auto"/>
            <w:vAlign w:val="center"/>
          </w:tcPr>
          <w:p>
            <w:pPr>
              <w:pStyle w:val="38"/>
            </w:pPr>
            <w:r>
              <w:rPr>
                <w:rFonts w:hint="eastAsia"/>
              </w:rPr>
              <w:t>审计协议</w:t>
            </w:r>
          </w:p>
        </w:tc>
        <w:tc>
          <w:tcPr>
            <w:tcW w:w="6379" w:type="dxa"/>
            <w:shd w:val="clear" w:color="auto" w:fill="auto"/>
            <w:vAlign w:val="center"/>
          </w:tcPr>
          <w:p>
            <w:pPr>
              <w:pStyle w:val="38"/>
            </w:pPr>
            <w:r>
              <w:rPr>
                <w:rFonts w:hint="eastAsia"/>
              </w:rPr>
              <w:t>支持解析HTTP、FTP、SMTP、POP3、SMB、IMAP、DNS、Mysql、MSSQL、DB2、Oracle、HTTPS、SMTPS、POP3S、IMAPS等协议报文（HTTPS、SMTPS、POP3S、IMAPS加密协议解析需要导入服务器私钥证书），并提供审计协议类型的端口号配置，可根据需要变更端口号；支持LDAP登录行为识别；支持VXLAN镜像流量解析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1701" w:type="dxa"/>
            <w:shd w:val="clear" w:color="auto" w:fill="auto"/>
            <w:vAlign w:val="center"/>
          </w:tcPr>
          <w:p>
            <w:pPr>
              <w:pStyle w:val="38"/>
            </w:pPr>
            <w:r>
              <w:rPr>
                <w:rFonts w:hint="eastAsia"/>
              </w:rPr>
              <w:t>检测风险类别</w:t>
            </w:r>
          </w:p>
        </w:tc>
        <w:tc>
          <w:tcPr>
            <w:tcW w:w="6379" w:type="dxa"/>
            <w:shd w:val="clear" w:color="auto" w:fill="auto"/>
            <w:vAlign w:val="center"/>
          </w:tcPr>
          <w:p>
            <w:pPr>
              <w:pStyle w:val="38"/>
            </w:pPr>
            <w:r>
              <w:rPr>
                <w:szCs w:val="28"/>
              </w:rPr>
              <w:t>▲</w:t>
            </w:r>
            <w:r>
              <w:rPr>
                <w:rFonts w:hint="eastAsia"/>
              </w:rPr>
              <w:t>支持检测WEB攻击、异常访问、恶意文件攻击、远程控制、WEB后门访问、发件人欺骗、邮件头欺骗、邮件钓鱼、邮件恶意链接、DGA域名请求、SMB远程溢出攻击、WEB行为分析、隐蔽信道通信、暴力破解（包括SSH、TELNET、RDP、FTP暴力破解）、挖矿等风险（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1701" w:type="dxa"/>
            <w:shd w:val="clear" w:color="auto" w:fill="auto"/>
            <w:vAlign w:val="center"/>
          </w:tcPr>
          <w:p>
            <w:pPr>
              <w:pStyle w:val="38"/>
            </w:pPr>
            <w:r>
              <w:rPr>
                <w:rFonts w:hint="eastAsia"/>
              </w:rPr>
              <w:t>告警黑白名单过滤</w:t>
            </w:r>
          </w:p>
        </w:tc>
        <w:tc>
          <w:tcPr>
            <w:tcW w:w="6379" w:type="dxa"/>
            <w:shd w:val="clear" w:color="auto" w:fill="auto"/>
            <w:vAlign w:val="center"/>
          </w:tcPr>
          <w:p>
            <w:pPr>
              <w:pStyle w:val="38"/>
            </w:pPr>
            <w:r>
              <w:rPr>
                <w:rFonts w:hint="eastAsia"/>
              </w:rPr>
              <w:t>支持对文件白名单、发件人邮箱白名单、发件人域名白名单、黑域名白名单、黑IP白名单、域名白名单、客户端IP白名单、服务端IP白名单、WEB风险特征白名单进行设置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1701" w:type="dxa"/>
            <w:shd w:val="clear" w:color="auto" w:fill="auto"/>
            <w:vAlign w:val="center"/>
          </w:tcPr>
          <w:p>
            <w:pPr>
              <w:pStyle w:val="38"/>
            </w:pPr>
            <w:r>
              <w:rPr>
                <w:rFonts w:hint="eastAsia"/>
              </w:rPr>
              <w:t>私网IP地理位置定义</w:t>
            </w:r>
          </w:p>
        </w:tc>
        <w:tc>
          <w:tcPr>
            <w:tcW w:w="6379" w:type="dxa"/>
            <w:shd w:val="clear" w:color="auto" w:fill="auto"/>
            <w:vAlign w:val="center"/>
          </w:tcPr>
          <w:p>
            <w:pPr>
              <w:pStyle w:val="38"/>
            </w:pPr>
            <w:r>
              <w:rPr>
                <w:rFonts w:hint="eastAsia"/>
              </w:rPr>
              <w:t>支持对私网地址IP地理位置信息添加，在产生告警时，定义IP可正常显示所属地理位置信息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701" w:type="dxa"/>
            <w:shd w:val="clear" w:color="auto" w:fill="auto"/>
            <w:vAlign w:val="center"/>
          </w:tcPr>
          <w:p>
            <w:pPr>
              <w:pStyle w:val="38"/>
            </w:pPr>
            <w:r>
              <w:rPr>
                <w:rFonts w:hint="eastAsia"/>
              </w:rPr>
              <w:t>弱口令风险检测</w:t>
            </w:r>
          </w:p>
        </w:tc>
        <w:tc>
          <w:tcPr>
            <w:tcW w:w="6379" w:type="dxa"/>
            <w:shd w:val="clear" w:color="auto" w:fill="auto"/>
            <w:vAlign w:val="center"/>
          </w:tcPr>
          <w:p>
            <w:pPr>
              <w:pStyle w:val="38"/>
            </w:pPr>
            <w:r>
              <w:rPr>
                <w:rFonts w:hint="eastAsia"/>
              </w:rPr>
              <w:t>支持对</w:t>
            </w:r>
            <w:r>
              <w:t>Telnet</w:t>
            </w:r>
            <w:r>
              <w:rPr>
                <w:rFonts w:hint="eastAsia"/>
              </w:rPr>
              <w:t>、</w:t>
            </w:r>
            <w:r>
              <w:t>FTP</w:t>
            </w:r>
            <w:r>
              <w:rPr>
                <w:rFonts w:hint="eastAsia"/>
              </w:rPr>
              <w:t>、</w:t>
            </w:r>
            <w:r>
              <w:t>POP3</w:t>
            </w:r>
            <w:r>
              <w:rPr>
                <w:rFonts w:hint="eastAsia"/>
              </w:rPr>
              <w:t>、</w:t>
            </w:r>
            <w:r>
              <w:t>SMTP</w:t>
            </w:r>
            <w:r>
              <w:rPr>
                <w:rFonts w:hint="eastAsia"/>
              </w:rPr>
              <w:t>、</w:t>
            </w:r>
            <w:r>
              <w:t>IMAP</w:t>
            </w:r>
            <w:r>
              <w:rPr>
                <w:rFonts w:hint="eastAsia"/>
              </w:rPr>
              <w:t>等协议进行弱口令检测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trPr>
        <w:tc>
          <w:tcPr>
            <w:tcW w:w="1701" w:type="dxa"/>
            <w:shd w:val="clear" w:color="auto" w:fill="auto"/>
            <w:vAlign w:val="center"/>
          </w:tcPr>
          <w:p>
            <w:pPr>
              <w:pStyle w:val="38"/>
            </w:pPr>
            <w:r>
              <w:rPr>
                <w:rFonts w:hint="eastAsia"/>
              </w:rPr>
              <w:t>告警详细展现</w:t>
            </w:r>
          </w:p>
        </w:tc>
        <w:tc>
          <w:tcPr>
            <w:tcW w:w="6379" w:type="dxa"/>
            <w:shd w:val="clear" w:color="auto" w:fill="auto"/>
            <w:vAlign w:val="center"/>
          </w:tcPr>
          <w:p>
            <w:pPr>
              <w:pStyle w:val="38"/>
            </w:pPr>
            <w:r>
              <w:rPr>
                <w:rFonts w:hint="eastAsia"/>
              </w:rPr>
              <w:t>可支持详细展现告警级别、时间、威胁名称、状态、客户端</w:t>
            </w:r>
            <w:r>
              <w:t>IP</w:t>
            </w:r>
            <w:r>
              <w:rPr>
                <w:rFonts w:hint="eastAsia"/>
              </w:rPr>
              <w:t>、客户端</w:t>
            </w:r>
            <w:r>
              <w:t>IP</w:t>
            </w:r>
            <w:r>
              <w:rPr>
                <w:rFonts w:hint="eastAsia"/>
              </w:rPr>
              <w:t>所在地理位置、服务端</w:t>
            </w:r>
            <w:r>
              <w:t>IP</w:t>
            </w:r>
            <w:r>
              <w:rPr>
                <w:rFonts w:hint="eastAsia"/>
              </w:rPr>
              <w:t>、服务端</w:t>
            </w:r>
            <w:r>
              <w:t>IP</w:t>
            </w:r>
            <w:r>
              <w:rPr>
                <w:rFonts w:hint="eastAsia"/>
              </w:rPr>
              <w:t>所在地理位置、报文、操作等信息，包含请求</w:t>
            </w:r>
            <w:r>
              <w:t>URL</w:t>
            </w:r>
            <w:r>
              <w:rPr>
                <w:rFonts w:hint="eastAsia"/>
              </w:rPr>
              <w:t>、请求类型、请求内容、请求头、</w:t>
            </w:r>
            <w:r>
              <w:t>Host</w:t>
            </w:r>
            <w:r>
              <w:rPr>
                <w:rFonts w:hint="eastAsia"/>
              </w:rPr>
              <w:t>、</w:t>
            </w:r>
            <w:r>
              <w:t>User-Agent</w:t>
            </w:r>
            <w:r>
              <w:rPr>
                <w:rFonts w:hint="eastAsia"/>
              </w:rPr>
              <w:t>、</w:t>
            </w:r>
            <w:r>
              <w:t>Accept</w:t>
            </w:r>
            <w:r>
              <w:rPr>
                <w:rFonts w:hint="eastAsia"/>
              </w:rPr>
              <w:t>、</w:t>
            </w:r>
            <w:r>
              <w:t>Accept-Language</w:t>
            </w:r>
            <w:r>
              <w:rPr>
                <w:rFonts w:hint="eastAsia"/>
              </w:rPr>
              <w:t>、</w:t>
            </w:r>
            <w:r>
              <w:t>Accept-Encoding</w:t>
            </w:r>
            <w:r>
              <w:rPr>
                <w:rFonts w:hint="eastAsia"/>
              </w:rPr>
              <w:t>、</w:t>
            </w:r>
            <w:r>
              <w:t>Accept-Charset</w:t>
            </w:r>
            <w:r>
              <w:rPr>
                <w:rFonts w:hint="eastAsia"/>
              </w:rPr>
              <w:t>、</w:t>
            </w:r>
            <w:r>
              <w:t>Keep-Alive</w:t>
            </w:r>
            <w:r>
              <w:rPr>
                <w:rFonts w:hint="eastAsia"/>
              </w:rPr>
              <w:t>、</w:t>
            </w:r>
            <w:r>
              <w:t>Connection</w:t>
            </w:r>
            <w:r>
              <w:rPr>
                <w:rFonts w:hint="eastAsia"/>
              </w:rPr>
              <w:t>、</w:t>
            </w:r>
            <w:r>
              <w:t>Cookie</w:t>
            </w:r>
            <w:r>
              <w:rPr>
                <w:rFonts w:hint="eastAsia"/>
              </w:rPr>
              <w:t>、请求参数、响应码、返回长度等信息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1701" w:type="dxa"/>
            <w:vMerge w:val="restart"/>
            <w:shd w:val="clear" w:color="auto" w:fill="auto"/>
            <w:vAlign w:val="center"/>
          </w:tcPr>
          <w:p>
            <w:pPr>
              <w:pStyle w:val="38"/>
            </w:pPr>
            <w:r>
              <w:rPr>
                <w:rFonts w:hint="eastAsia"/>
              </w:rPr>
              <w:t>主机威胁分析</w:t>
            </w:r>
          </w:p>
        </w:tc>
        <w:tc>
          <w:tcPr>
            <w:tcW w:w="6379" w:type="dxa"/>
            <w:shd w:val="clear" w:color="auto" w:fill="auto"/>
            <w:vAlign w:val="center"/>
          </w:tcPr>
          <w:p>
            <w:pPr>
              <w:pStyle w:val="38"/>
            </w:pPr>
            <w:r>
              <w:rPr>
                <w:szCs w:val="28"/>
              </w:rPr>
              <w:t>▲</w:t>
            </w:r>
            <w:r>
              <w:rPr>
                <w:rFonts w:hint="eastAsia"/>
              </w:rPr>
              <w:t>可自动对内网主机进行威胁指数分析，详细展示具体的威胁指数、威胁活动、历史威胁指数、遭受的攻击类型、攻击次数、攻击状态等（提供截图证明）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trPr>
        <w:tc>
          <w:tcPr>
            <w:tcW w:w="1701" w:type="dxa"/>
            <w:vMerge w:val="continue"/>
            <w:vAlign w:val="center"/>
          </w:tcPr>
          <w:p>
            <w:pPr>
              <w:pStyle w:val="38"/>
              <w:rPr>
                <w:color w:val="FF0000"/>
              </w:rPr>
            </w:pPr>
          </w:p>
        </w:tc>
        <w:tc>
          <w:tcPr>
            <w:tcW w:w="6379" w:type="dxa"/>
            <w:shd w:val="clear" w:color="auto" w:fill="auto"/>
            <w:vAlign w:val="center"/>
          </w:tcPr>
          <w:p>
            <w:pPr>
              <w:pStyle w:val="38"/>
            </w:pPr>
            <w:r>
              <w:rPr>
                <w:rFonts w:hint="eastAsia"/>
              </w:rPr>
              <w:t>可根据不同威胁指数的主机实现攻击溯源和攻击过程的可视化分析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701" w:type="dxa"/>
            <w:vMerge w:val="continue"/>
            <w:vAlign w:val="center"/>
          </w:tcPr>
          <w:p>
            <w:pPr>
              <w:pStyle w:val="38"/>
              <w:rPr>
                <w:color w:val="FF0000"/>
              </w:rPr>
            </w:pPr>
          </w:p>
        </w:tc>
        <w:tc>
          <w:tcPr>
            <w:tcW w:w="6379" w:type="dxa"/>
            <w:shd w:val="clear" w:color="auto" w:fill="auto"/>
            <w:vAlign w:val="center"/>
          </w:tcPr>
          <w:p>
            <w:pPr>
              <w:pStyle w:val="38"/>
            </w:pPr>
            <w:r>
              <w:rPr>
                <w:rFonts w:hint="eastAsia"/>
              </w:rPr>
              <w:t>可通过攻击源、攻击目的对攻击路线进行统计，包括攻击的行为、告警，并以直观的图形化形式展示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701" w:type="dxa"/>
            <w:vMerge w:val="restart"/>
            <w:shd w:val="clear" w:color="auto" w:fill="auto"/>
            <w:vAlign w:val="center"/>
          </w:tcPr>
          <w:p>
            <w:pPr>
              <w:pStyle w:val="38"/>
            </w:pPr>
            <w:r>
              <w:rPr>
                <w:rFonts w:hint="eastAsia"/>
              </w:rPr>
              <w:t>木马回连分析</w:t>
            </w:r>
          </w:p>
        </w:tc>
        <w:tc>
          <w:tcPr>
            <w:tcW w:w="6379" w:type="dxa"/>
            <w:shd w:val="clear" w:color="auto" w:fill="auto"/>
            <w:vAlign w:val="center"/>
          </w:tcPr>
          <w:p>
            <w:pPr>
              <w:pStyle w:val="38"/>
            </w:pPr>
            <w:r>
              <w:rPr>
                <w:rFonts w:hint="eastAsia"/>
              </w:rPr>
              <w:t>可自动学习网络流量中包含的各种可疑C&amp;C IP/URL，包含各种可能对内网存在影响的IP和域名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701" w:type="dxa"/>
            <w:vMerge w:val="continue"/>
            <w:vAlign w:val="center"/>
          </w:tcPr>
          <w:p>
            <w:pPr>
              <w:pStyle w:val="38"/>
            </w:pPr>
          </w:p>
        </w:tc>
        <w:tc>
          <w:tcPr>
            <w:tcW w:w="6379" w:type="dxa"/>
            <w:shd w:val="clear" w:color="auto" w:fill="auto"/>
            <w:vAlign w:val="center"/>
          </w:tcPr>
          <w:p>
            <w:pPr>
              <w:pStyle w:val="38"/>
            </w:pPr>
            <w:r>
              <w:rPr>
                <w:rFonts w:hint="eastAsia"/>
              </w:rPr>
              <w:t>快速识别网络中存在的恶意回连行为，包含回连主机IP、服务器IP、时间、行为等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701" w:type="dxa"/>
            <w:vMerge w:val="continue"/>
            <w:vAlign w:val="center"/>
          </w:tcPr>
          <w:p>
            <w:pPr>
              <w:pStyle w:val="38"/>
            </w:pPr>
          </w:p>
        </w:tc>
        <w:tc>
          <w:tcPr>
            <w:tcW w:w="6379" w:type="dxa"/>
            <w:shd w:val="clear" w:color="auto" w:fill="auto"/>
            <w:vAlign w:val="center"/>
          </w:tcPr>
          <w:p>
            <w:pPr>
              <w:pStyle w:val="38"/>
            </w:pPr>
            <w:r>
              <w:rPr>
                <w:rFonts w:hint="eastAsia"/>
              </w:rPr>
              <w:t>对基于木马回连的非法数据传输等行为进行取证分析，包括回连主机IP、服务器IP、传输数据大小、协议类型等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701" w:type="dxa"/>
            <w:shd w:val="clear" w:color="auto" w:fill="auto"/>
            <w:vAlign w:val="center"/>
          </w:tcPr>
          <w:p>
            <w:pPr>
              <w:pStyle w:val="38"/>
            </w:pPr>
            <w:r>
              <w:rPr>
                <w:rFonts w:hint="eastAsia"/>
              </w:rPr>
              <w:t>攻击地图展示</w:t>
            </w:r>
          </w:p>
        </w:tc>
        <w:tc>
          <w:tcPr>
            <w:tcW w:w="6379" w:type="dxa"/>
            <w:shd w:val="clear" w:color="auto" w:fill="auto"/>
            <w:vAlign w:val="center"/>
          </w:tcPr>
          <w:p>
            <w:pPr>
              <w:pStyle w:val="38"/>
            </w:pPr>
            <w:r>
              <w:rPr>
                <w:rFonts w:hint="eastAsia"/>
              </w:rPr>
              <w:t>可通过攻击源和目的的地理位置信息，以世界地图和中国地图的形式展示，并实现世界地图和中国地图自动切换直观展示攻击路径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trPr>
        <w:tc>
          <w:tcPr>
            <w:tcW w:w="1701" w:type="dxa"/>
            <w:shd w:val="clear" w:color="auto" w:fill="auto"/>
            <w:vAlign w:val="center"/>
          </w:tcPr>
          <w:p>
            <w:pPr>
              <w:pStyle w:val="38"/>
            </w:pPr>
            <w:r>
              <w:rPr>
                <w:rFonts w:hint="eastAsia"/>
              </w:rPr>
              <w:t>协议解析</w:t>
            </w:r>
          </w:p>
        </w:tc>
        <w:tc>
          <w:tcPr>
            <w:tcW w:w="6379" w:type="dxa"/>
            <w:shd w:val="clear" w:color="auto" w:fill="auto"/>
            <w:vAlign w:val="center"/>
          </w:tcPr>
          <w:p>
            <w:pPr>
              <w:pStyle w:val="38"/>
            </w:pPr>
            <w:r>
              <w:rPr>
                <w:rFonts w:hint="eastAsia"/>
              </w:rPr>
              <w:t>支持 HTTP、HTTPS（需要导入服务器私钥证书）协议解析，检测WEB攻击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trPr>
        <w:tc>
          <w:tcPr>
            <w:tcW w:w="1701" w:type="dxa"/>
            <w:shd w:val="clear" w:color="auto" w:fill="auto"/>
            <w:vAlign w:val="center"/>
          </w:tcPr>
          <w:p>
            <w:pPr>
              <w:pStyle w:val="38"/>
            </w:pPr>
            <w:r>
              <w:rPr>
                <w:rFonts w:hint="eastAsia"/>
              </w:rPr>
              <w:t>双向审计</w:t>
            </w:r>
          </w:p>
        </w:tc>
        <w:tc>
          <w:tcPr>
            <w:tcW w:w="6379" w:type="dxa"/>
            <w:shd w:val="clear" w:color="auto" w:fill="auto"/>
            <w:vAlign w:val="center"/>
          </w:tcPr>
          <w:p>
            <w:pPr>
              <w:pStyle w:val="38"/>
            </w:pPr>
            <w:r>
              <w:rPr>
                <w:rFonts w:hint="eastAsia"/>
              </w:rPr>
              <w:t>支持双向审计，对请求和响应都进行审计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trPr>
        <w:tc>
          <w:tcPr>
            <w:tcW w:w="1701" w:type="dxa"/>
            <w:shd w:val="clear" w:color="auto" w:fill="auto"/>
            <w:vAlign w:val="center"/>
          </w:tcPr>
          <w:p>
            <w:pPr>
              <w:pStyle w:val="38"/>
            </w:pPr>
            <w:r>
              <w:rPr>
                <w:rFonts w:hint="eastAsia"/>
              </w:rPr>
              <w:t>攻击检测</w:t>
            </w:r>
          </w:p>
        </w:tc>
        <w:tc>
          <w:tcPr>
            <w:tcW w:w="6379" w:type="dxa"/>
            <w:shd w:val="clear" w:color="auto" w:fill="auto"/>
            <w:vAlign w:val="center"/>
          </w:tcPr>
          <w:p>
            <w:pPr>
              <w:pStyle w:val="38"/>
            </w:pPr>
            <w:r>
              <w:rPr>
                <w:rFonts w:hint="eastAsia"/>
              </w:rPr>
              <w:t>支持SQL注入、命令注入、跨站脚本、代码注入、协议错误攻击检测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1701" w:type="dxa"/>
            <w:shd w:val="clear" w:color="auto" w:fill="auto"/>
            <w:vAlign w:val="center"/>
          </w:tcPr>
          <w:p>
            <w:pPr>
              <w:pStyle w:val="38"/>
            </w:pPr>
            <w:r>
              <w:rPr>
                <w:rFonts w:hint="eastAsia"/>
              </w:rPr>
              <w:t>WEBSHELL检测</w:t>
            </w:r>
          </w:p>
        </w:tc>
        <w:tc>
          <w:tcPr>
            <w:tcW w:w="6379" w:type="dxa"/>
            <w:shd w:val="clear" w:color="auto" w:fill="auto"/>
            <w:vAlign w:val="center"/>
          </w:tcPr>
          <w:p>
            <w:pPr>
              <w:pStyle w:val="38"/>
            </w:pPr>
            <w:r>
              <w:rPr>
                <w:szCs w:val="28"/>
              </w:rPr>
              <w:t>▲</w:t>
            </w:r>
            <w:r>
              <w:rPr>
                <w:rFonts w:hint="eastAsia"/>
              </w:rPr>
              <w:t>支持WEBSHELL检测，可检测访问webshell的行为，包含具体对应的URL、返回码、返回数据包内容等，可显示一句话类webshell后门是否植入成功（提供截图证明）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1701" w:type="dxa"/>
            <w:shd w:val="clear" w:color="auto" w:fill="auto"/>
            <w:vAlign w:val="center"/>
          </w:tcPr>
          <w:p>
            <w:pPr>
              <w:pStyle w:val="38"/>
            </w:pPr>
            <w:r>
              <w:rPr>
                <w:rFonts w:hint="eastAsia"/>
              </w:rPr>
              <w:t>自定义WEB审计规则</w:t>
            </w:r>
          </w:p>
        </w:tc>
        <w:tc>
          <w:tcPr>
            <w:tcW w:w="6379" w:type="dxa"/>
            <w:shd w:val="clear" w:color="auto" w:fill="auto"/>
            <w:vAlign w:val="center"/>
          </w:tcPr>
          <w:p>
            <w:pPr>
              <w:pStyle w:val="38"/>
            </w:pPr>
            <w:r>
              <w:rPr>
                <w:rFonts w:hint="eastAsia"/>
              </w:rPr>
              <w:t>支持根据来源IP、MAC、HTTP请求方法、URL、请求头、请求参数、响应码等内容设置审计规则高、中、低等风险等级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701" w:type="dxa"/>
            <w:shd w:val="clear" w:color="auto" w:fill="auto"/>
            <w:vAlign w:val="center"/>
          </w:tcPr>
          <w:p>
            <w:pPr>
              <w:pStyle w:val="38"/>
            </w:pPr>
            <w:r>
              <w:rPr>
                <w:rFonts w:hint="eastAsia"/>
              </w:rPr>
              <w:t>白名单功能</w:t>
            </w:r>
          </w:p>
        </w:tc>
        <w:tc>
          <w:tcPr>
            <w:tcW w:w="6379" w:type="dxa"/>
            <w:shd w:val="clear" w:color="auto" w:fill="auto"/>
            <w:vAlign w:val="center"/>
          </w:tcPr>
          <w:p>
            <w:pPr>
              <w:pStyle w:val="38"/>
            </w:pPr>
            <w:r>
              <w:rPr>
                <w:rFonts w:hint="eastAsia"/>
              </w:rPr>
              <w:t>支持WEB特征攻击风险白名单设备，可基于类别、规则、IP灵活配置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trPr>
        <w:tc>
          <w:tcPr>
            <w:tcW w:w="1701" w:type="dxa"/>
            <w:shd w:val="clear" w:color="auto" w:fill="auto"/>
            <w:vAlign w:val="center"/>
          </w:tcPr>
          <w:p>
            <w:pPr>
              <w:pStyle w:val="38"/>
            </w:pPr>
            <w:r>
              <w:rPr>
                <w:rFonts w:hint="eastAsia"/>
              </w:rPr>
              <w:t>动态分析</w:t>
            </w:r>
          </w:p>
        </w:tc>
        <w:tc>
          <w:tcPr>
            <w:tcW w:w="6379" w:type="dxa"/>
            <w:shd w:val="clear" w:color="auto" w:fill="auto"/>
            <w:vAlign w:val="center"/>
          </w:tcPr>
          <w:p>
            <w:pPr>
              <w:pStyle w:val="38"/>
            </w:pPr>
            <w:r>
              <w:rPr>
                <w:rFonts w:hint="eastAsia"/>
              </w:rPr>
              <w:t>自动关联行为分析的详细展现，包含</w:t>
            </w:r>
            <w:r>
              <w:t>SQL</w:t>
            </w:r>
            <w:r>
              <w:rPr>
                <w:rFonts w:hint="eastAsia"/>
              </w:rPr>
              <w:t>注入取数据、表单破解、</w:t>
            </w:r>
            <w:r>
              <w:t>XSS</w:t>
            </w:r>
            <w:r>
              <w:rPr>
                <w:rFonts w:hint="eastAsia"/>
              </w:rPr>
              <w:t>测试、目录穿越读取文件、多人访问</w:t>
            </w:r>
            <w:r>
              <w:t>Webshell</w:t>
            </w:r>
            <w:r>
              <w:rPr>
                <w:rFonts w:hint="eastAsia"/>
              </w:rPr>
              <w:t>、</w:t>
            </w:r>
            <w:r>
              <w:t>APT</w:t>
            </w:r>
            <w:r>
              <w:rPr>
                <w:rFonts w:hint="eastAsia"/>
              </w:rPr>
              <w:t>攻击等（提供截图证明）。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701" w:type="dxa"/>
            <w:shd w:val="clear" w:color="auto" w:fill="auto"/>
            <w:vAlign w:val="center"/>
          </w:tcPr>
          <w:p>
            <w:pPr>
              <w:pStyle w:val="38"/>
            </w:pPr>
            <w:r>
              <w:rPr>
                <w:rFonts w:hint="eastAsia"/>
              </w:rPr>
              <w:t>场景化分析</w:t>
            </w:r>
          </w:p>
        </w:tc>
        <w:tc>
          <w:tcPr>
            <w:tcW w:w="6379" w:type="dxa"/>
            <w:shd w:val="clear" w:color="auto" w:fill="auto"/>
            <w:vAlign w:val="center"/>
          </w:tcPr>
          <w:p>
            <w:pPr>
              <w:pStyle w:val="38"/>
            </w:pPr>
            <w:r>
              <w:rPr>
                <w:rFonts w:hint="eastAsia"/>
              </w:rPr>
              <w:t>支持场景化的分析能力，对发现的告警进行二次关联，支持对勒索病毒、网站后门、邮件APT攻击等事件进行预警。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701" w:type="dxa"/>
            <w:shd w:val="clear" w:color="auto" w:fill="auto"/>
            <w:vAlign w:val="center"/>
          </w:tcPr>
          <w:p>
            <w:pPr>
              <w:pStyle w:val="38"/>
            </w:pPr>
            <w:r>
              <w:rPr>
                <w:rFonts w:hint="eastAsia"/>
              </w:rPr>
              <w:t>DNS协议分析</w:t>
            </w:r>
          </w:p>
        </w:tc>
        <w:tc>
          <w:tcPr>
            <w:tcW w:w="6379" w:type="dxa"/>
            <w:shd w:val="clear" w:color="auto" w:fill="auto"/>
            <w:vAlign w:val="center"/>
          </w:tcPr>
          <w:p>
            <w:pPr>
              <w:pStyle w:val="38"/>
            </w:pPr>
            <w:r>
              <w:rPr>
                <w:rFonts w:hint="eastAsia"/>
              </w:rPr>
              <w:t>具备DNS协议分析能力，发现受感染主机、危害程度、被感染病毒类型、回连C&amp;C域名、DNS返回详情、恶意主机明细等行为。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701" w:type="dxa"/>
            <w:shd w:val="clear" w:color="auto" w:fill="auto"/>
            <w:vAlign w:val="center"/>
          </w:tcPr>
          <w:p>
            <w:pPr>
              <w:pStyle w:val="38"/>
            </w:pPr>
            <w:r>
              <w:rPr>
                <w:rFonts w:hint="eastAsia"/>
              </w:rPr>
              <w:t>协议解析</w:t>
            </w:r>
          </w:p>
        </w:tc>
        <w:tc>
          <w:tcPr>
            <w:tcW w:w="6379" w:type="dxa"/>
            <w:shd w:val="clear" w:color="auto" w:fill="auto"/>
            <w:vAlign w:val="center"/>
          </w:tcPr>
          <w:p>
            <w:pPr>
              <w:pStyle w:val="38"/>
            </w:pPr>
            <w:r>
              <w:rPr>
                <w:rFonts w:hint="eastAsia"/>
              </w:rPr>
              <w:t>支持解析webmail、SMTP、POP3、IMAP、SMTPS、POP3S、IMAPS（加密协议需要导入服务器私钥证书）类型报文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701" w:type="dxa"/>
            <w:shd w:val="clear" w:color="auto" w:fill="auto"/>
            <w:vAlign w:val="center"/>
          </w:tcPr>
          <w:p>
            <w:pPr>
              <w:pStyle w:val="38"/>
            </w:pPr>
            <w:r>
              <w:rPr>
                <w:rFonts w:hint="eastAsia"/>
              </w:rPr>
              <w:t>Webmail攻击检测</w:t>
            </w:r>
          </w:p>
        </w:tc>
        <w:tc>
          <w:tcPr>
            <w:tcW w:w="6379" w:type="dxa"/>
            <w:shd w:val="clear" w:color="auto" w:fill="auto"/>
            <w:vAlign w:val="center"/>
          </w:tcPr>
          <w:p>
            <w:pPr>
              <w:pStyle w:val="38"/>
            </w:pPr>
            <w:r>
              <w:rPr>
                <w:rFonts w:hint="eastAsia"/>
              </w:rPr>
              <w:t>支持基于webmail攻击类型检测，包括sql注入、跨站、命令注入等攻击检测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701" w:type="dxa"/>
            <w:shd w:val="clear" w:color="auto" w:fill="auto"/>
            <w:vAlign w:val="center"/>
          </w:tcPr>
          <w:p>
            <w:pPr>
              <w:pStyle w:val="38"/>
            </w:pPr>
            <w:r>
              <w:rPr>
                <w:rFonts w:hint="eastAsia"/>
              </w:rPr>
              <w:t>社工类攻击检测</w:t>
            </w:r>
          </w:p>
        </w:tc>
        <w:tc>
          <w:tcPr>
            <w:tcW w:w="6379" w:type="dxa"/>
            <w:shd w:val="clear" w:color="auto" w:fill="auto"/>
            <w:vAlign w:val="center"/>
          </w:tcPr>
          <w:p>
            <w:pPr>
              <w:pStyle w:val="38"/>
            </w:pPr>
            <w:r>
              <w:rPr>
                <w:szCs w:val="28"/>
              </w:rPr>
              <w:t>▲</w:t>
            </w:r>
            <w:r>
              <w:rPr>
                <w:rFonts w:hint="eastAsia"/>
              </w:rPr>
              <w:t>对社工类攻击进行检测，检测内容包括：邮件头欺骗、邮件发件人欺骗、邮件钓鱼欺骗、邮件恶意链接（提供截图证明）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701" w:type="dxa"/>
            <w:shd w:val="clear" w:color="auto" w:fill="auto"/>
            <w:vAlign w:val="center"/>
          </w:tcPr>
          <w:p>
            <w:pPr>
              <w:pStyle w:val="38"/>
            </w:pPr>
            <w:r>
              <w:rPr>
                <w:rFonts w:hint="eastAsia"/>
              </w:rPr>
              <w:t>恶意附件检测</w:t>
            </w:r>
          </w:p>
        </w:tc>
        <w:tc>
          <w:tcPr>
            <w:tcW w:w="6379" w:type="dxa"/>
            <w:shd w:val="clear" w:color="auto" w:fill="auto"/>
            <w:vAlign w:val="center"/>
          </w:tcPr>
          <w:p>
            <w:pPr>
              <w:pStyle w:val="38"/>
            </w:pPr>
            <w:r>
              <w:rPr>
                <w:rFonts w:hint="eastAsia"/>
              </w:rPr>
              <w:t>支持邮件恶意附件行为检测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701" w:type="dxa"/>
            <w:shd w:val="clear" w:color="auto" w:fill="auto"/>
            <w:vAlign w:val="center"/>
          </w:tcPr>
          <w:p>
            <w:pPr>
              <w:pStyle w:val="38"/>
            </w:pPr>
            <w:r>
              <w:rPr>
                <w:rFonts w:hint="eastAsia"/>
              </w:rPr>
              <w:t>解析协议</w:t>
            </w:r>
          </w:p>
        </w:tc>
        <w:tc>
          <w:tcPr>
            <w:tcW w:w="6379" w:type="dxa"/>
            <w:shd w:val="clear" w:color="auto" w:fill="auto"/>
            <w:vAlign w:val="center"/>
          </w:tcPr>
          <w:p>
            <w:pPr>
              <w:pStyle w:val="38"/>
            </w:pPr>
            <w:r>
              <w:rPr>
                <w:rFonts w:hint="eastAsia"/>
              </w:rPr>
              <w:t>支持 HTTP、FTP、SMB、SMTP、POP3、IMAP、HTTPS、SMTPS、POP3S、IMAPS（加密协议需要导入服务器私钥证书）等协议传输文件检测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701" w:type="dxa"/>
            <w:shd w:val="clear" w:color="auto" w:fill="auto"/>
            <w:vAlign w:val="center"/>
          </w:tcPr>
          <w:p>
            <w:pPr>
              <w:pStyle w:val="38"/>
            </w:pPr>
            <w:r>
              <w:rPr>
                <w:rFonts w:hint="eastAsia"/>
              </w:rPr>
              <w:t>文件类型</w:t>
            </w:r>
          </w:p>
        </w:tc>
        <w:tc>
          <w:tcPr>
            <w:tcW w:w="6379" w:type="dxa"/>
            <w:shd w:val="clear" w:color="auto" w:fill="auto"/>
            <w:vAlign w:val="center"/>
          </w:tcPr>
          <w:p>
            <w:pPr>
              <w:pStyle w:val="38"/>
            </w:pPr>
            <w:r>
              <w:rPr>
                <w:rFonts w:hint="eastAsia"/>
              </w:rPr>
              <w:t>支持doc, xls, ppt, swf, pdf, java, rar, zip, rar, exe, vbs, scr, html，js等多种文件解析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701" w:type="dxa"/>
            <w:shd w:val="clear" w:color="auto" w:fill="auto"/>
            <w:vAlign w:val="center"/>
          </w:tcPr>
          <w:p>
            <w:pPr>
              <w:pStyle w:val="38"/>
            </w:pPr>
            <w:r>
              <w:rPr>
                <w:rFonts w:hint="eastAsia"/>
              </w:rPr>
              <w:t>自定义文件类型</w:t>
            </w:r>
          </w:p>
        </w:tc>
        <w:tc>
          <w:tcPr>
            <w:tcW w:w="6379" w:type="dxa"/>
            <w:shd w:val="clear" w:color="auto" w:fill="auto"/>
            <w:vAlign w:val="center"/>
          </w:tcPr>
          <w:p>
            <w:pPr>
              <w:pStyle w:val="38"/>
            </w:pPr>
            <w:r>
              <w:rPr>
                <w:rFonts w:hint="eastAsia"/>
              </w:rPr>
              <w:t>可添加或删除指定分离的文件类型，并可选择适用的协议类型（HTTP可进一步按GET、POST来配置）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701" w:type="dxa"/>
            <w:shd w:val="clear" w:color="auto" w:fill="auto"/>
            <w:vAlign w:val="center"/>
          </w:tcPr>
          <w:p>
            <w:pPr>
              <w:pStyle w:val="38"/>
            </w:pPr>
            <w:r>
              <w:rPr>
                <w:rFonts w:hint="eastAsia"/>
              </w:rPr>
              <w:t>特征检测</w:t>
            </w:r>
          </w:p>
        </w:tc>
        <w:tc>
          <w:tcPr>
            <w:tcW w:w="6379" w:type="dxa"/>
            <w:shd w:val="clear" w:color="auto" w:fill="auto"/>
            <w:vAlign w:val="center"/>
          </w:tcPr>
          <w:p>
            <w:pPr>
              <w:pStyle w:val="38"/>
            </w:pPr>
            <w:r>
              <w:rPr>
                <w:rFonts w:hint="eastAsia"/>
              </w:rPr>
              <w:t>对文件进行特征匹配，利用已知的特征库发现恶意的可执行文件及非可执行文件。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701" w:type="dxa"/>
            <w:shd w:val="clear" w:color="auto" w:fill="auto"/>
            <w:vAlign w:val="center"/>
          </w:tcPr>
          <w:p>
            <w:pPr>
              <w:pStyle w:val="38"/>
            </w:pPr>
            <w:r>
              <w:rPr>
                <w:rFonts w:hint="eastAsia"/>
              </w:rPr>
              <w:t>Shellcode检测</w:t>
            </w:r>
          </w:p>
        </w:tc>
        <w:tc>
          <w:tcPr>
            <w:tcW w:w="6379" w:type="dxa"/>
            <w:shd w:val="clear" w:color="auto" w:fill="auto"/>
            <w:vAlign w:val="center"/>
          </w:tcPr>
          <w:p>
            <w:pPr>
              <w:pStyle w:val="38"/>
            </w:pPr>
            <w:r>
              <w:rPr>
                <w:rFonts w:hint="eastAsia"/>
              </w:rPr>
              <w:t>通过分析文件中的二进制代码，找到文件溢出攻击的代码，并能找到APT攻击中的0day攻击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trPr>
        <w:tc>
          <w:tcPr>
            <w:tcW w:w="1701" w:type="dxa"/>
            <w:vMerge w:val="restart"/>
            <w:shd w:val="clear" w:color="auto" w:fill="auto"/>
            <w:vAlign w:val="center"/>
          </w:tcPr>
          <w:p>
            <w:pPr>
              <w:pStyle w:val="38"/>
            </w:pPr>
            <w:r>
              <w:rPr>
                <w:rFonts w:hint="eastAsia"/>
              </w:rPr>
              <w:t>动态沙箱检测</w:t>
            </w:r>
          </w:p>
        </w:tc>
        <w:tc>
          <w:tcPr>
            <w:tcW w:w="6379" w:type="dxa"/>
            <w:shd w:val="clear" w:color="auto" w:fill="auto"/>
            <w:vAlign w:val="center"/>
          </w:tcPr>
          <w:p>
            <w:pPr>
              <w:pStyle w:val="38"/>
            </w:pPr>
            <w:r>
              <w:rPr>
                <w:rFonts w:hint="eastAsia"/>
              </w:rPr>
              <w:t>对存在问题的文件输出完整的二进制动态分析报告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701" w:type="dxa"/>
            <w:vMerge w:val="continue"/>
            <w:vAlign w:val="center"/>
          </w:tcPr>
          <w:p>
            <w:pPr>
              <w:pStyle w:val="38"/>
            </w:pPr>
          </w:p>
        </w:tc>
        <w:tc>
          <w:tcPr>
            <w:tcW w:w="6379" w:type="dxa"/>
            <w:shd w:val="clear" w:color="auto" w:fill="auto"/>
            <w:vAlign w:val="center"/>
          </w:tcPr>
          <w:p>
            <w:pPr>
              <w:pStyle w:val="38"/>
            </w:pPr>
            <w:r>
              <w:rPr>
                <w:szCs w:val="28"/>
              </w:rPr>
              <w:t>▲</w:t>
            </w:r>
            <w:r>
              <w:rPr>
                <w:rFonts w:hint="eastAsia"/>
              </w:rPr>
              <w:t>动态执行可疑文件，分析代码的注册表、进程、网络、文件等行为，分析其安全风险（提供截图证明）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701" w:type="dxa"/>
            <w:vMerge w:val="continue"/>
            <w:vAlign w:val="center"/>
          </w:tcPr>
          <w:p>
            <w:pPr>
              <w:pStyle w:val="38"/>
            </w:pPr>
          </w:p>
        </w:tc>
        <w:tc>
          <w:tcPr>
            <w:tcW w:w="6379" w:type="dxa"/>
            <w:shd w:val="clear" w:color="auto" w:fill="auto"/>
            <w:vAlign w:val="center"/>
          </w:tcPr>
          <w:p>
            <w:pPr>
              <w:pStyle w:val="38"/>
            </w:pPr>
            <w:r>
              <w:rPr>
                <w:rFonts w:hint="eastAsia"/>
              </w:rPr>
              <w:t>可展示文件中版本信息、段信息、资源信息、导入表、字符串信息、删除文件信息等内容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trPr>
        <w:tc>
          <w:tcPr>
            <w:tcW w:w="1701" w:type="dxa"/>
            <w:vMerge w:val="continue"/>
            <w:vAlign w:val="center"/>
          </w:tcPr>
          <w:p>
            <w:pPr>
              <w:pStyle w:val="38"/>
            </w:pPr>
          </w:p>
        </w:tc>
        <w:tc>
          <w:tcPr>
            <w:tcW w:w="6379" w:type="dxa"/>
            <w:shd w:val="clear" w:color="auto" w:fill="auto"/>
            <w:vAlign w:val="center"/>
          </w:tcPr>
          <w:p>
            <w:pPr>
              <w:pStyle w:val="38"/>
            </w:pPr>
            <w:r>
              <w:rPr>
                <w:rFonts w:hint="eastAsia"/>
              </w:rPr>
              <w:t>可展示ROP行为检测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701" w:type="dxa"/>
            <w:vMerge w:val="continue"/>
            <w:vAlign w:val="center"/>
          </w:tcPr>
          <w:p>
            <w:pPr>
              <w:pStyle w:val="38"/>
            </w:pPr>
          </w:p>
        </w:tc>
        <w:tc>
          <w:tcPr>
            <w:tcW w:w="6379" w:type="dxa"/>
            <w:shd w:val="clear" w:color="auto" w:fill="auto"/>
            <w:vAlign w:val="center"/>
          </w:tcPr>
          <w:p>
            <w:pPr>
              <w:pStyle w:val="38"/>
            </w:pPr>
            <w:r>
              <w:rPr>
                <w:rFonts w:hint="eastAsia"/>
              </w:rPr>
              <w:t>可展示具体文件的行为，包括所有的注册表行为、进程行为、互斥量、进程运行的函数、返回结果、返回值等信息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trPr>
        <w:tc>
          <w:tcPr>
            <w:tcW w:w="1701" w:type="dxa"/>
            <w:vMerge w:val="continue"/>
            <w:vAlign w:val="center"/>
          </w:tcPr>
          <w:p>
            <w:pPr>
              <w:pStyle w:val="38"/>
            </w:pPr>
          </w:p>
        </w:tc>
        <w:tc>
          <w:tcPr>
            <w:tcW w:w="6379" w:type="dxa"/>
            <w:shd w:val="clear" w:color="auto" w:fill="auto"/>
            <w:vAlign w:val="center"/>
          </w:tcPr>
          <w:p>
            <w:pPr>
              <w:pStyle w:val="38"/>
            </w:pPr>
            <w:r>
              <w:rPr>
                <w:rFonts w:hint="eastAsia"/>
              </w:rPr>
              <w:t>可显示文件运行过程中企图访问的IP、域名，以及域名及对应的IP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701" w:type="dxa"/>
            <w:shd w:val="clear" w:color="auto" w:fill="auto"/>
            <w:vAlign w:val="center"/>
          </w:tcPr>
          <w:p>
            <w:pPr>
              <w:pStyle w:val="38"/>
            </w:pPr>
            <w:r>
              <w:rPr>
                <w:rFonts w:hint="eastAsia"/>
              </w:rPr>
              <w:t>子文件扫描</w:t>
            </w:r>
          </w:p>
        </w:tc>
        <w:tc>
          <w:tcPr>
            <w:tcW w:w="6379" w:type="dxa"/>
            <w:shd w:val="clear" w:color="auto" w:fill="auto"/>
            <w:vAlign w:val="center"/>
          </w:tcPr>
          <w:p>
            <w:pPr>
              <w:pStyle w:val="38"/>
            </w:pPr>
            <w:r>
              <w:rPr>
                <w:rFonts w:hint="eastAsia"/>
              </w:rPr>
              <w:t>对文件内部嵌入的子文件可进行二次扫描，分析安全性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701" w:type="dxa"/>
            <w:shd w:val="clear" w:color="auto" w:fill="auto"/>
            <w:vAlign w:val="center"/>
          </w:tcPr>
          <w:p>
            <w:pPr>
              <w:pStyle w:val="38"/>
            </w:pPr>
            <w:r>
              <w:rPr>
                <w:rFonts w:hint="eastAsia"/>
              </w:rPr>
              <w:t>攻击样本提取</w:t>
            </w:r>
          </w:p>
        </w:tc>
        <w:tc>
          <w:tcPr>
            <w:tcW w:w="6379" w:type="dxa"/>
            <w:shd w:val="clear" w:color="auto" w:fill="auto"/>
            <w:vAlign w:val="center"/>
          </w:tcPr>
          <w:p>
            <w:pPr>
              <w:pStyle w:val="38"/>
            </w:pPr>
            <w:r>
              <w:rPr>
                <w:rFonts w:hint="eastAsia"/>
              </w:rPr>
              <w:t>可以提取出攻击的完整样本文件，并提供对该文件下载的能力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701" w:type="dxa"/>
            <w:vMerge w:val="restart"/>
            <w:shd w:val="clear" w:color="auto" w:fill="auto"/>
            <w:vAlign w:val="center"/>
          </w:tcPr>
          <w:p>
            <w:pPr>
              <w:pStyle w:val="38"/>
            </w:pPr>
            <w:r>
              <w:rPr>
                <w:rFonts w:hint="eastAsia"/>
              </w:rPr>
              <w:t>文件威胁指数</w:t>
            </w:r>
          </w:p>
        </w:tc>
        <w:tc>
          <w:tcPr>
            <w:tcW w:w="6379" w:type="dxa"/>
            <w:shd w:val="clear" w:color="auto" w:fill="auto"/>
            <w:vAlign w:val="center"/>
          </w:tcPr>
          <w:p>
            <w:pPr>
              <w:pStyle w:val="38"/>
            </w:pPr>
            <w:r>
              <w:rPr>
                <w:rFonts w:hint="eastAsia"/>
              </w:rPr>
              <w:t>可展示威胁程度最高的文件样本MD5、威胁指数、传播次数，病毒检测、静态检测和动态检测结果等内容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701" w:type="dxa"/>
            <w:vMerge w:val="continue"/>
            <w:vAlign w:val="center"/>
          </w:tcPr>
          <w:p>
            <w:pPr>
              <w:pStyle w:val="38"/>
            </w:pPr>
          </w:p>
        </w:tc>
        <w:tc>
          <w:tcPr>
            <w:tcW w:w="6379" w:type="dxa"/>
            <w:shd w:val="clear" w:color="auto" w:fill="auto"/>
            <w:vAlign w:val="center"/>
          </w:tcPr>
          <w:p>
            <w:pPr>
              <w:pStyle w:val="38"/>
            </w:pPr>
            <w:r>
              <w:rPr>
                <w:rFonts w:hint="eastAsia"/>
              </w:rPr>
              <w:t>根据文件传播情况分析受感染主机、接受云端威胁情报、关键威胁行为可视化、回连主机host和完整沙箱分析报告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701" w:type="dxa"/>
            <w:vMerge w:val="continue"/>
            <w:vAlign w:val="center"/>
          </w:tcPr>
          <w:p>
            <w:pPr>
              <w:pStyle w:val="38"/>
            </w:pPr>
          </w:p>
        </w:tc>
        <w:tc>
          <w:tcPr>
            <w:tcW w:w="6379" w:type="dxa"/>
            <w:shd w:val="clear" w:color="auto" w:fill="auto"/>
            <w:vAlign w:val="center"/>
          </w:tcPr>
          <w:p>
            <w:pPr>
              <w:pStyle w:val="38"/>
            </w:pPr>
            <w:r>
              <w:rPr>
                <w:rFonts w:hint="eastAsia"/>
              </w:rPr>
              <w:t>根据云端威胁情报展示云端是否确认、传播协议类型、传播次数、云端确认结果等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701" w:type="dxa"/>
            <w:shd w:val="clear" w:color="auto" w:fill="auto"/>
            <w:vAlign w:val="center"/>
          </w:tcPr>
          <w:p>
            <w:pPr>
              <w:pStyle w:val="38"/>
            </w:pPr>
            <w:r>
              <w:rPr>
                <w:rFonts w:hint="eastAsia"/>
              </w:rPr>
              <w:t>远程控制检测</w:t>
            </w:r>
          </w:p>
        </w:tc>
        <w:tc>
          <w:tcPr>
            <w:tcW w:w="6379" w:type="dxa"/>
            <w:shd w:val="clear" w:color="auto" w:fill="auto"/>
            <w:vAlign w:val="center"/>
          </w:tcPr>
          <w:p>
            <w:pPr>
              <w:pStyle w:val="38"/>
            </w:pPr>
            <w:r>
              <w:rPr>
                <w:rFonts w:hint="eastAsia"/>
              </w:rPr>
              <w:t>支持根据威胁情报、DGA域名请求、IDS规则、用户配置数据，发现被远程控制的内部主机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701" w:type="dxa"/>
            <w:shd w:val="clear" w:color="auto" w:fill="auto"/>
            <w:vAlign w:val="center"/>
          </w:tcPr>
          <w:p>
            <w:pPr>
              <w:pStyle w:val="38"/>
            </w:pPr>
            <w:r>
              <w:rPr>
                <w:rFonts w:hint="eastAsia"/>
              </w:rPr>
              <w:t>DGA域名请求检测</w:t>
            </w:r>
          </w:p>
        </w:tc>
        <w:tc>
          <w:tcPr>
            <w:tcW w:w="6379" w:type="dxa"/>
            <w:shd w:val="clear" w:color="auto" w:fill="auto"/>
            <w:vAlign w:val="center"/>
          </w:tcPr>
          <w:p>
            <w:pPr>
              <w:pStyle w:val="38"/>
            </w:pPr>
            <w:r>
              <w:rPr>
                <w:rFonts w:hint="eastAsia"/>
              </w:rPr>
              <w:t>具备DNS协议解析功能，发现发起DGA域名请求的失陷主机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701" w:type="dxa"/>
            <w:shd w:val="clear" w:color="auto" w:fill="auto"/>
            <w:vAlign w:val="center"/>
          </w:tcPr>
          <w:p>
            <w:pPr>
              <w:pStyle w:val="38"/>
            </w:pPr>
            <w:r>
              <w:rPr>
                <w:rFonts w:hint="eastAsia"/>
              </w:rPr>
              <w:t>挖矿行为检测</w:t>
            </w:r>
          </w:p>
        </w:tc>
        <w:tc>
          <w:tcPr>
            <w:tcW w:w="6379" w:type="dxa"/>
            <w:shd w:val="clear" w:color="auto" w:fill="auto"/>
            <w:vAlign w:val="center"/>
          </w:tcPr>
          <w:p>
            <w:pPr>
              <w:pStyle w:val="38"/>
            </w:pPr>
            <w:r>
              <w:rPr>
                <w:rFonts w:hint="eastAsia"/>
              </w:rPr>
              <w:t>可发现利用失陷主机挖矿的行为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701" w:type="dxa"/>
            <w:shd w:val="clear" w:color="auto" w:fill="auto"/>
            <w:vAlign w:val="center"/>
          </w:tcPr>
          <w:p>
            <w:pPr>
              <w:pStyle w:val="38"/>
            </w:pPr>
            <w:r>
              <w:rPr>
                <w:rFonts w:hint="eastAsia"/>
              </w:rPr>
              <w:t>本地威胁情报</w:t>
            </w:r>
          </w:p>
        </w:tc>
        <w:tc>
          <w:tcPr>
            <w:tcW w:w="6379" w:type="dxa"/>
            <w:shd w:val="clear" w:color="auto" w:fill="auto"/>
            <w:vAlign w:val="center"/>
          </w:tcPr>
          <w:p>
            <w:pPr>
              <w:pStyle w:val="38"/>
            </w:pPr>
            <w:r>
              <w:rPr>
                <w:rFonts w:hint="eastAsia"/>
              </w:rPr>
              <w:t>设备集成离线的高可用威胁情报库 ，支持离线环境下，根据威胁情报进行检测，增量威胁情报随策略升级包升级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701" w:type="dxa"/>
            <w:shd w:val="clear" w:color="auto" w:fill="auto"/>
            <w:vAlign w:val="center"/>
          </w:tcPr>
          <w:p>
            <w:pPr>
              <w:pStyle w:val="38"/>
            </w:pPr>
            <w:r>
              <w:rPr>
                <w:rFonts w:hint="eastAsia"/>
              </w:rPr>
              <w:t>云端威胁情报</w:t>
            </w:r>
          </w:p>
        </w:tc>
        <w:tc>
          <w:tcPr>
            <w:tcW w:w="6379" w:type="dxa"/>
            <w:shd w:val="clear" w:color="auto" w:fill="auto"/>
            <w:vAlign w:val="center"/>
          </w:tcPr>
          <w:p>
            <w:pPr>
              <w:pStyle w:val="38"/>
            </w:pPr>
            <w:r>
              <w:rPr>
                <w:rFonts w:hint="eastAsia"/>
              </w:rPr>
              <w:t>支持自动从APT云端获取最新威胁情报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701" w:type="dxa"/>
            <w:shd w:val="clear" w:color="auto" w:fill="auto"/>
            <w:vAlign w:val="center"/>
          </w:tcPr>
          <w:p>
            <w:pPr>
              <w:pStyle w:val="38"/>
            </w:pPr>
            <w:r>
              <w:rPr>
                <w:rFonts w:hint="eastAsia"/>
              </w:rPr>
              <w:t>协同防御</w:t>
            </w:r>
          </w:p>
        </w:tc>
        <w:tc>
          <w:tcPr>
            <w:tcW w:w="6379" w:type="dxa"/>
            <w:shd w:val="clear" w:color="auto" w:fill="auto"/>
            <w:vAlign w:val="center"/>
          </w:tcPr>
          <w:p>
            <w:pPr>
              <w:pStyle w:val="38"/>
            </w:pPr>
            <w:r>
              <w:rPr>
                <w:rFonts w:hint="eastAsia"/>
              </w:rPr>
              <w:t>支持将本地恶意文件攻击的病毒类型等信息上传到APT云端，提升协同防御能力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701" w:type="dxa"/>
            <w:shd w:val="clear" w:color="auto" w:fill="auto"/>
            <w:vAlign w:val="center"/>
          </w:tcPr>
          <w:p>
            <w:pPr>
              <w:pStyle w:val="38"/>
            </w:pPr>
            <w:r>
              <w:rPr>
                <w:rFonts w:hint="eastAsia"/>
              </w:rPr>
              <w:t>策略自动更新</w:t>
            </w:r>
          </w:p>
        </w:tc>
        <w:tc>
          <w:tcPr>
            <w:tcW w:w="6379" w:type="dxa"/>
            <w:shd w:val="clear" w:color="auto" w:fill="auto"/>
            <w:vAlign w:val="center"/>
          </w:tcPr>
          <w:p>
            <w:pPr>
              <w:pStyle w:val="38"/>
            </w:pPr>
            <w:r>
              <w:rPr>
                <w:rFonts w:hint="eastAsia"/>
              </w:rPr>
              <w:t>支持自动从APT云端更新策略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701" w:type="dxa"/>
            <w:shd w:val="clear" w:color="auto" w:fill="auto"/>
            <w:vAlign w:val="center"/>
          </w:tcPr>
          <w:p>
            <w:pPr>
              <w:pStyle w:val="38"/>
            </w:pPr>
            <w:r>
              <w:rPr>
                <w:rFonts w:hint="eastAsia"/>
              </w:rPr>
              <w:t>紧急事件上传</w:t>
            </w:r>
          </w:p>
        </w:tc>
        <w:tc>
          <w:tcPr>
            <w:tcW w:w="6379" w:type="dxa"/>
            <w:shd w:val="clear" w:color="auto" w:fill="auto"/>
            <w:vAlign w:val="center"/>
          </w:tcPr>
          <w:p>
            <w:pPr>
              <w:pStyle w:val="38"/>
            </w:pPr>
            <w:r>
              <w:rPr>
                <w:rFonts w:hint="eastAsia"/>
              </w:rPr>
              <w:t>支持紧急事件上传云端，帮助客户关注紧急事件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1701" w:type="dxa"/>
            <w:vMerge w:val="restart"/>
            <w:shd w:val="clear" w:color="auto" w:fill="auto"/>
            <w:vAlign w:val="center"/>
          </w:tcPr>
          <w:p>
            <w:pPr>
              <w:pStyle w:val="38"/>
            </w:pPr>
            <w:r>
              <w:rPr>
                <w:rFonts w:hint="eastAsia"/>
              </w:rPr>
              <w:t>抓包任务</w:t>
            </w:r>
          </w:p>
        </w:tc>
        <w:tc>
          <w:tcPr>
            <w:tcW w:w="6379" w:type="dxa"/>
            <w:shd w:val="clear" w:color="auto" w:fill="auto"/>
            <w:vAlign w:val="center"/>
          </w:tcPr>
          <w:p>
            <w:pPr>
              <w:pStyle w:val="38"/>
            </w:pPr>
            <w:r>
              <w:rPr>
                <w:szCs w:val="28"/>
              </w:rPr>
              <w:t>▲</w:t>
            </w:r>
            <w:r>
              <w:rPr>
                <w:rFonts w:hint="eastAsia"/>
              </w:rPr>
              <w:t>同时支持至少16个抓包任务抓包，每个抓包任务可配置抓包规则，按照IP、端口、协议等信息进行抓包，将抓取的原始流量包保存于本地以供后续分析和取证使用，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trPr>
        <w:tc>
          <w:tcPr>
            <w:tcW w:w="1701" w:type="dxa"/>
            <w:vMerge w:val="continue"/>
            <w:vAlign w:val="center"/>
          </w:tcPr>
          <w:p>
            <w:pPr>
              <w:pStyle w:val="38"/>
            </w:pPr>
          </w:p>
        </w:tc>
        <w:tc>
          <w:tcPr>
            <w:tcW w:w="6379" w:type="dxa"/>
            <w:shd w:val="clear" w:color="auto" w:fill="auto"/>
            <w:vAlign w:val="center"/>
          </w:tcPr>
          <w:p>
            <w:pPr>
              <w:pStyle w:val="38"/>
            </w:pPr>
            <w:r>
              <w:rPr>
                <w:rFonts w:hint="eastAsia"/>
              </w:rPr>
              <w:t>每抓包任务最大抓包20MB（提供截图证明）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701" w:type="dxa"/>
            <w:shd w:val="clear" w:color="auto" w:fill="auto"/>
            <w:vAlign w:val="center"/>
          </w:tcPr>
          <w:p>
            <w:pPr>
              <w:pStyle w:val="38"/>
            </w:pPr>
            <w:r>
              <w:rPr>
                <w:rFonts w:hint="eastAsia"/>
              </w:rPr>
              <w:t>三权分立用户管理</w:t>
            </w:r>
          </w:p>
        </w:tc>
        <w:tc>
          <w:tcPr>
            <w:tcW w:w="6379" w:type="dxa"/>
            <w:shd w:val="clear" w:color="auto" w:fill="auto"/>
            <w:vAlign w:val="center"/>
          </w:tcPr>
          <w:p>
            <w:pPr>
              <w:pStyle w:val="38"/>
            </w:pPr>
            <w:r>
              <w:rPr>
                <w:rFonts w:hint="eastAsia"/>
              </w:rPr>
              <w:t>提供三权分立的用户管理能力：配置员、用户管理员、审计员相互独立，支持自定义管理用户权限和角色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701" w:type="dxa"/>
            <w:shd w:val="clear" w:color="auto" w:fill="auto"/>
            <w:vAlign w:val="center"/>
          </w:tcPr>
          <w:p>
            <w:pPr>
              <w:pStyle w:val="38"/>
            </w:pPr>
            <w:r>
              <w:rPr>
                <w:rFonts w:hint="eastAsia"/>
              </w:rPr>
              <w:t>风险处理</w:t>
            </w:r>
          </w:p>
        </w:tc>
        <w:tc>
          <w:tcPr>
            <w:tcW w:w="6379" w:type="dxa"/>
            <w:shd w:val="clear" w:color="auto" w:fill="auto"/>
            <w:vAlign w:val="center"/>
          </w:tcPr>
          <w:p>
            <w:pPr>
              <w:pStyle w:val="38"/>
            </w:pPr>
            <w:r>
              <w:rPr>
                <w:rFonts w:hint="eastAsia"/>
              </w:rPr>
              <w:t>支持根据需要对风险状态进行选择处理中、处理完成、延迟处理、拒绝处理等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1701" w:type="dxa"/>
            <w:shd w:val="clear" w:color="auto" w:fill="auto"/>
            <w:vAlign w:val="center"/>
          </w:tcPr>
          <w:p>
            <w:pPr>
              <w:pStyle w:val="38"/>
            </w:pPr>
            <w:r>
              <w:rPr>
                <w:rFonts w:hint="eastAsia"/>
              </w:rPr>
              <w:t>一键登录排错</w:t>
            </w:r>
          </w:p>
        </w:tc>
        <w:tc>
          <w:tcPr>
            <w:tcW w:w="6379" w:type="dxa"/>
            <w:shd w:val="clear" w:color="auto" w:fill="auto"/>
            <w:vAlign w:val="center"/>
          </w:tcPr>
          <w:p>
            <w:pPr>
              <w:pStyle w:val="38"/>
            </w:pPr>
            <w:r>
              <w:rPr>
                <w:szCs w:val="28"/>
              </w:rPr>
              <w:t>▲</w:t>
            </w:r>
            <w:r>
              <w:rPr>
                <w:rFonts w:hint="eastAsia"/>
              </w:rPr>
              <w:t>支持一键登录排错平台，对系统进行深度配置和排错，支持一键检测故障、配置核对、表分区检查、表检测、同步验证、信息收集等功能。（提供截图证明）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701" w:type="dxa"/>
            <w:shd w:val="clear" w:color="auto" w:fill="auto"/>
            <w:vAlign w:val="center"/>
          </w:tcPr>
          <w:p>
            <w:pPr>
              <w:pStyle w:val="38"/>
            </w:pPr>
            <w:r>
              <w:rPr>
                <w:rFonts w:hint="eastAsia"/>
              </w:rPr>
              <w:t>设备状态监控</w:t>
            </w:r>
          </w:p>
        </w:tc>
        <w:tc>
          <w:tcPr>
            <w:tcW w:w="6379" w:type="dxa"/>
            <w:shd w:val="clear" w:color="auto" w:fill="auto"/>
            <w:vAlign w:val="center"/>
          </w:tcPr>
          <w:p>
            <w:pPr>
              <w:pStyle w:val="38"/>
            </w:pPr>
            <w:r>
              <w:rPr>
                <w:rFonts w:hint="eastAsia"/>
              </w:rPr>
              <w:t xml:space="preserve">支持对设备的CPU、内存等状态进行监控，并在设备界面中进行展示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trPr>
        <w:tc>
          <w:tcPr>
            <w:tcW w:w="1701" w:type="dxa"/>
            <w:shd w:val="clear" w:color="auto" w:fill="auto"/>
            <w:vAlign w:val="center"/>
          </w:tcPr>
          <w:p>
            <w:pPr>
              <w:pStyle w:val="38"/>
            </w:pPr>
            <w:r>
              <w:rPr>
                <w:rFonts w:hint="eastAsia"/>
              </w:rPr>
              <w:t>知识库</w:t>
            </w:r>
          </w:p>
        </w:tc>
        <w:tc>
          <w:tcPr>
            <w:tcW w:w="6379" w:type="dxa"/>
            <w:shd w:val="clear" w:color="auto" w:fill="auto"/>
            <w:vAlign w:val="center"/>
          </w:tcPr>
          <w:p>
            <w:pPr>
              <w:pStyle w:val="38"/>
            </w:pPr>
            <w:r>
              <w:rPr>
                <w:rFonts w:hint="eastAsia"/>
              </w:rPr>
              <w:t>根据不同的风险信息，提供风险分析和处置建议知识库；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701" w:type="dxa"/>
            <w:vMerge w:val="restart"/>
            <w:shd w:val="clear" w:color="auto" w:fill="auto"/>
            <w:vAlign w:val="center"/>
          </w:tcPr>
          <w:p>
            <w:pPr>
              <w:pStyle w:val="38"/>
            </w:pPr>
            <w:r>
              <w:rPr>
                <w:rFonts w:hint="eastAsia"/>
              </w:rPr>
              <w:t>告警与报表</w:t>
            </w:r>
          </w:p>
        </w:tc>
        <w:tc>
          <w:tcPr>
            <w:tcW w:w="6379" w:type="dxa"/>
            <w:shd w:val="clear" w:color="auto" w:fill="auto"/>
            <w:vAlign w:val="center"/>
          </w:tcPr>
          <w:p>
            <w:pPr>
              <w:pStyle w:val="38"/>
            </w:pPr>
            <w:r>
              <w:rPr>
                <w:rFonts w:hint="eastAsia"/>
              </w:rPr>
              <w:t>告警可详细展示风险级别、发生时间、告警名称、客户端IP、服务器IP、报文内容（URL、请求头、请求参数、请求内容）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trPr>
        <w:tc>
          <w:tcPr>
            <w:tcW w:w="1701" w:type="dxa"/>
            <w:vMerge w:val="continue"/>
            <w:vAlign w:val="center"/>
          </w:tcPr>
          <w:p>
            <w:pPr>
              <w:pStyle w:val="38"/>
            </w:pPr>
          </w:p>
        </w:tc>
        <w:tc>
          <w:tcPr>
            <w:tcW w:w="6379" w:type="dxa"/>
            <w:shd w:val="clear" w:color="auto" w:fill="auto"/>
            <w:vAlign w:val="center"/>
          </w:tcPr>
          <w:p>
            <w:pPr>
              <w:pStyle w:val="38"/>
            </w:pPr>
            <w:r>
              <w:rPr>
                <w:rFonts w:hint="eastAsia"/>
              </w:rPr>
              <w:t>可根据需要针对单个告警添加白名单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trPr>
        <w:tc>
          <w:tcPr>
            <w:tcW w:w="1701" w:type="dxa"/>
            <w:vMerge w:val="continue"/>
            <w:vAlign w:val="center"/>
          </w:tcPr>
          <w:p>
            <w:pPr>
              <w:pStyle w:val="38"/>
            </w:pPr>
          </w:p>
        </w:tc>
        <w:tc>
          <w:tcPr>
            <w:tcW w:w="6379" w:type="dxa"/>
            <w:shd w:val="clear" w:color="auto" w:fill="auto"/>
            <w:vAlign w:val="center"/>
          </w:tcPr>
          <w:p>
            <w:pPr>
              <w:pStyle w:val="38"/>
            </w:pPr>
            <w:r>
              <w:rPr>
                <w:rFonts w:hint="eastAsia"/>
              </w:rPr>
              <w:t>支持kafka、短信、邮件、syslog、snmp、ftp等告警方式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trPr>
        <w:tc>
          <w:tcPr>
            <w:tcW w:w="1701" w:type="dxa"/>
            <w:vMerge w:val="continue"/>
            <w:vAlign w:val="center"/>
          </w:tcPr>
          <w:p>
            <w:pPr>
              <w:pStyle w:val="38"/>
            </w:pPr>
          </w:p>
        </w:tc>
        <w:tc>
          <w:tcPr>
            <w:tcW w:w="6379" w:type="dxa"/>
            <w:shd w:val="clear" w:color="auto" w:fill="auto"/>
            <w:vAlign w:val="center"/>
          </w:tcPr>
          <w:p>
            <w:pPr>
              <w:pStyle w:val="38"/>
            </w:pPr>
            <w:r>
              <w:rPr>
                <w:rFonts w:hint="eastAsia"/>
              </w:rPr>
              <w:t>支持对kafka、syslog发送的风险信息进行AES加密传输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trPr>
        <w:tc>
          <w:tcPr>
            <w:tcW w:w="1701" w:type="dxa"/>
            <w:vMerge w:val="continue"/>
            <w:vAlign w:val="center"/>
          </w:tcPr>
          <w:p>
            <w:pPr>
              <w:pStyle w:val="38"/>
            </w:pPr>
          </w:p>
        </w:tc>
        <w:tc>
          <w:tcPr>
            <w:tcW w:w="6379" w:type="dxa"/>
            <w:shd w:val="clear" w:color="auto" w:fill="auto"/>
            <w:vAlign w:val="center"/>
          </w:tcPr>
          <w:p>
            <w:pPr>
              <w:pStyle w:val="38"/>
            </w:pPr>
            <w:r>
              <w:rPr>
                <w:rFonts w:hint="eastAsia"/>
              </w:rPr>
              <w:t>支持同时发送多人、单条发送、发送统计等高级告警功能；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trPr>
        <w:tc>
          <w:tcPr>
            <w:tcW w:w="1701" w:type="dxa"/>
            <w:vMerge w:val="continue"/>
            <w:vAlign w:val="center"/>
          </w:tcPr>
          <w:p>
            <w:pPr>
              <w:pStyle w:val="38"/>
            </w:pPr>
          </w:p>
        </w:tc>
        <w:tc>
          <w:tcPr>
            <w:tcW w:w="6379" w:type="dxa"/>
            <w:shd w:val="clear" w:color="auto" w:fill="auto"/>
            <w:vAlign w:val="center"/>
          </w:tcPr>
          <w:p>
            <w:pPr>
              <w:pStyle w:val="38"/>
            </w:pPr>
            <w:r>
              <w:rPr>
                <w:rFonts w:hint="eastAsia"/>
              </w:rPr>
              <w:t>报表能够支持WORD、PDF等格式导出；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1701" w:type="dxa"/>
            <w:shd w:val="clear" w:color="auto" w:fill="auto"/>
            <w:vAlign w:val="center"/>
          </w:tcPr>
          <w:p>
            <w:pPr>
              <w:pStyle w:val="38"/>
            </w:pPr>
            <w:r>
              <w:rPr>
                <w:rFonts w:hint="eastAsia"/>
              </w:rPr>
              <w:t>日志数据管理</w:t>
            </w:r>
          </w:p>
        </w:tc>
        <w:tc>
          <w:tcPr>
            <w:tcW w:w="6379" w:type="dxa"/>
            <w:shd w:val="clear" w:color="auto" w:fill="auto"/>
            <w:vAlign w:val="center"/>
          </w:tcPr>
          <w:p>
            <w:pPr>
              <w:pStyle w:val="38"/>
            </w:pPr>
            <w:r>
              <w:rPr>
                <w:rFonts w:hint="eastAsia"/>
              </w:rPr>
              <w:t>审计数据保留策略应至少满足天数和百分比两个控制参数，支持web界面可配置，且恢复数据不影响正常的审计功能。对审计日志可自动备份并加密，必须导入设备才能进行恢复查看，并可自动释放磁盘空间。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trPr>
        <w:tc>
          <w:tcPr>
            <w:tcW w:w="1701" w:type="dxa"/>
            <w:vMerge w:val="restart"/>
            <w:shd w:val="clear" w:color="auto" w:fill="auto"/>
            <w:vAlign w:val="center"/>
          </w:tcPr>
          <w:p>
            <w:pPr>
              <w:pStyle w:val="38"/>
            </w:pPr>
            <w:r>
              <w:rPr>
                <w:rFonts w:hint="eastAsia"/>
              </w:rPr>
              <w:t>资质</w:t>
            </w:r>
          </w:p>
        </w:tc>
        <w:tc>
          <w:tcPr>
            <w:tcW w:w="6379" w:type="dxa"/>
            <w:shd w:val="clear" w:color="auto" w:fill="auto"/>
            <w:vAlign w:val="center"/>
          </w:tcPr>
          <w:p>
            <w:pPr>
              <w:pStyle w:val="38"/>
            </w:pPr>
            <w:r>
              <w:rPr>
                <w:szCs w:val="28"/>
              </w:rPr>
              <w:t>▲</w:t>
            </w:r>
            <w:r>
              <w:rPr>
                <w:rFonts w:hint="eastAsia"/>
              </w:rPr>
              <w:t>原厂商应具有销售许可证（必须是APT安全检测类）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701" w:type="dxa"/>
            <w:vMerge w:val="continue"/>
            <w:vAlign w:val="center"/>
          </w:tcPr>
          <w:p>
            <w:pPr>
              <w:pStyle w:val="38"/>
            </w:pPr>
          </w:p>
        </w:tc>
        <w:tc>
          <w:tcPr>
            <w:tcW w:w="6379" w:type="dxa"/>
            <w:shd w:val="clear" w:color="auto" w:fill="auto"/>
            <w:vAlign w:val="center"/>
          </w:tcPr>
          <w:p>
            <w:pPr>
              <w:pStyle w:val="38"/>
            </w:pPr>
            <w:r>
              <w:rPr>
                <w:szCs w:val="28"/>
              </w:rPr>
              <w:t>▲</w:t>
            </w:r>
            <w:r>
              <w:rPr>
                <w:rFonts w:hint="eastAsia"/>
              </w:rPr>
              <w:t>原厂商应具有国家保密科技中心颁发的《恶意代码检测系统》涉密信息系统检测证书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trPr>
        <w:tc>
          <w:tcPr>
            <w:tcW w:w="1701" w:type="dxa"/>
            <w:vMerge w:val="continue"/>
            <w:vAlign w:val="center"/>
          </w:tcPr>
          <w:p>
            <w:pPr>
              <w:pStyle w:val="38"/>
            </w:pPr>
          </w:p>
        </w:tc>
        <w:tc>
          <w:tcPr>
            <w:tcW w:w="6379" w:type="dxa"/>
            <w:shd w:val="clear" w:color="auto" w:fill="auto"/>
            <w:vAlign w:val="center"/>
          </w:tcPr>
          <w:p>
            <w:pPr>
              <w:pStyle w:val="38"/>
            </w:pPr>
            <w:r>
              <w:rPr>
                <w:rFonts w:hint="eastAsia"/>
              </w:rPr>
              <w:t>原厂商应具有CMMI5等级资质证书；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trPr>
        <w:tc>
          <w:tcPr>
            <w:tcW w:w="1701" w:type="dxa"/>
            <w:vMerge w:val="continue"/>
            <w:vAlign w:val="center"/>
          </w:tcPr>
          <w:p>
            <w:pPr>
              <w:pStyle w:val="38"/>
            </w:pPr>
          </w:p>
        </w:tc>
        <w:tc>
          <w:tcPr>
            <w:tcW w:w="6379" w:type="dxa"/>
            <w:shd w:val="clear" w:color="auto" w:fill="auto"/>
            <w:vAlign w:val="center"/>
          </w:tcPr>
          <w:p>
            <w:pPr>
              <w:pStyle w:val="38"/>
            </w:pPr>
            <w:r>
              <w:rPr>
                <w:rFonts w:hint="eastAsia"/>
              </w:rPr>
              <w:t>原厂商具有信息安全服务资质证书（安全工程类三级）</w:t>
            </w:r>
          </w:p>
        </w:tc>
      </w:tr>
    </w:tbl>
    <w:p>
      <w:pPr>
        <w:ind w:firstLine="480"/>
      </w:pPr>
    </w:p>
    <w:p>
      <w:pPr>
        <w:pStyle w:val="5"/>
      </w:pPr>
      <w:r>
        <w:rPr>
          <w:rFonts w:hint="eastAsia"/>
        </w:rPr>
        <w:t>入侵防御系统升级</w:t>
      </w:r>
    </w:p>
    <w:tbl>
      <w:tblPr>
        <w:tblStyle w:val="16"/>
        <w:tblW w:w="80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0"/>
        <w:gridCol w:w="6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730" w:type="dxa"/>
            <w:shd w:val="clear" w:color="auto" w:fill="auto"/>
            <w:vAlign w:val="center"/>
          </w:tcPr>
          <w:p>
            <w:pPr>
              <w:pStyle w:val="38"/>
            </w:pPr>
            <w:r>
              <w:rPr>
                <w:rFonts w:hint="eastAsia"/>
              </w:rPr>
              <w:t>指标项</w:t>
            </w:r>
          </w:p>
        </w:tc>
        <w:tc>
          <w:tcPr>
            <w:tcW w:w="6350" w:type="dxa"/>
            <w:shd w:val="clear" w:color="auto" w:fill="auto"/>
            <w:vAlign w:val="center"/>
          </w:tcPr>
          <w:p>
            <w:pPr>
              <w:pStyle w:val="38"/>
            </w:pPr>
            <w:r>
              <w:rPr>
                <w:rFonts w:hint="eastAsia"/>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730" w:type="dxa"/>
            <w:shd w:val="clear" w:color="auto" w:fill="auto"/>
            <w:vAlign w:val="center"/>
          </w:tcPr>
          <w:p>
            <w:pPr>
              <w:pStyle w:val="38"/>
            </w:pPr>
            <w:r>
              <w:rPr>
                <w:rFonts w:hint="eastAsia"/>
              </w:rPr>
              <w:t>总体要求</w:t>
            </w:r>
          </w:p>
        </w:tc>
        <w:tc>
          <w:tcPr>
            <w:tcW w:w="6350" w:type="dxa"/>
            <w:shd w:val="clear" w:color="auto" w:fill="auto"/>
            <w:vAlign w:val="center"/>
          </w:tcPr>
          <w:p>
            <w:pPr>
              <w:pStyle w:val="38"/>
            </w:pPr>
            <w:r>
              <w:rPr>
                <w:rFonts w:hint="eastAsia"/>
              </w:rPr>
              <w:t>原有的绿盟入侵防御系统N</w:t>
            </w:r>
            <w:r>
              <w:t>IPSNX3-N800许可</w:t>
            </w:r>
            <w:r>
              <w:rPr>
                <w:rFonts w:hint="eastAsia"/>
              </w:rPr>
              <w:t>升级，提供3年服务</w:t>
            </w:r>
          </w:p>
        </w:tc>
      </w:tr>
    </w:tbl>
    <w:p>
      <w:pPr>
        <w:ind w:firstLine="480"/>
      </w:pPr>
    </w:p>
    <w:p>
      <w:pPr>
        <w:pStyle w:val="3"/>
        <w:numPr>
          <w:ilvl w:val="0"/>
          <w:numId w:val="2"/>
        </w:numPr>
        <w:spacing w:line="360" w:lineRule="auto"/>
        <w:ind w:firstLine="0"/>
        <w:rPr>
          <w:sz w:val="32"/>
          <w:szCs w:val="24"/>
          <w:lang w:val="en-GB"/>
        </w:rPr>
      </w:pPr>
      <w:r>
        <w:rPr>
          <w:rFonts w:hint="eastAsia"/>
          <w:sz w:val="32"/>
          <w:szCs w:val="24"/>
          <w:lang w:val="en-GB"/>
        </w:rPr>
        <w:t>项目实施要求</w:t>
      </w:r>
    </w:p>
    <w:p>
      <w:pPr>
        <w:ind w:firstLine="480"/>
        <w:rPr>
          <w:szCs w:val="21"/>
        </w:rPr>
      </w:pPr>
      <w:r>
        <w:rPr>
          <w:szCs w:val="21"/>
        </w:rPr>
        <w:t>1..投标人有责任检查安装现场是否符合产品安装条件。</w:t>
      </w:r>
    </w:p>
    <w:p>
      <w:pPr>
        <w:ind w:firstLine="480"/>
        <w:rPr>
          <w:szCs w:val="21"/>
        </w:rPr>
      </w:pPr>
      <w:r>
        <w:rPr>
          <w:szCs w:val="21"/>
        </w:rPr>
        <w:t>2..投标人应承担投标软件的安装、测试和有关配置工作，进行实际的测试。</w:t>
      </w:r>
    </w:p>
    <w:p>
      <w:pPr>
        <w:ind w:firstLine="480"/>
        <w:rPr>
          <w:szCs w:val="21"/>
        </w:rPr>
      </w:pPr>
      <w:r>
        <w:rPr>
          <w:szCs w:val="21"/>
        </w:rPr>
        <w:t>3.投标人应全力与买方、系统集成商及其他供应商配合，根据买方的详细需求，提交实施方案得到买方及集成商确认后实施，保证系统按时、正常地投入运行。　</w:t>
      </w:r>
    </w:p>
    <w:p>
      <w:pPr>
        <w:ind w:firstLine="480"/>
        <w:rPr>
          <w:szCs w:val="21"/>
        </w:rPr>
      </w:pPr>
      <w:r>
        <w:rPr>
          <w:szCs w:val="21"/>
        </w:rPr>
        <w:t>4.产品实施过程中，如果牵涉到与第三方产品集成工作，.</w:t>
      </w:r>
      <w:r>
        <w:rPr>
          <w:rFonts w:hint="eastAsia"/>
          <w:szCs w:val="21"/>
        </w:rPr>
        <w:t>投标</w:t>
      </w:r>
      <w:r>
        <w:rPr>
          <w:szCs w:val="21"/>
        </w:rPr>
        <w:t>方应与集成商及其他供应商通力合作，并提供必要的技术支持。　</w:t>
      </w:r>
    </w:p>
    <w:p>
      <w:pPr>
        <w:ind w:firstLine="480"/>
        <w:rPr>
          <w:szCs w:val="21"/>
        </w:rPr>
      </w:pPr>
      <w:r>
        <w:rPr>
          <w:rFonts w:hint="eastAsia"/>
          <w:szCs w:val="21"/>
        </w:rPr>
        <w:t>5</w:t>
      </w:r>
      <w:r>
        <w:rPr>
          <w:szCs w:val="21"/>
        </w:rPr>
        <w:t>.投标人应在投标书中提供本次项目实施的实施人员名单，以及整个软件实施工期的具体计划安排表。</w:t>
      </w:r>
    </w:p>
    <w:p>
      <w:pPr>
        <w:pStyle w:val="2"/>
        <w:numPr>
          <w:ilvl w:val="0"/>
          <w:numId w:val="0"/>
        </w:numPr>
        <w:ind w:leftChars="0"/>
      </w:pPr>
    </w:p>
    <w:p>
      <w:pPr>
        <w:pStyle w:val="3"/>
        <w:numPr>
          <w:ilvl w:val="0"/>
          <w:numId w:val="2"/>
        </w:numPr>
        <w:spacing w:line="360" w:lineRule="auto"/>
        <w:ind w:firstLine="0"/>
        <w:rPr>
          <w:sz w:val="32"/>
          <w:szCs w:val="24"/>
          <w:lang w:val="en-GB"/>
        </w:rPr>
      </w:pPr>
      <w:r>
        <w:rPr>
          <w:rFonts w:hint="eastAsia"/>
          <w:sz w:val="32"/>
          <w:szCs w:val="24"/>
          <w:lang w:val="en-GB"/>
        </w:rPr>
        <w:t>人员培训要求</w:t>
      </w:r>
    </w:p>
    <w:p>
      <w:pPr>
        <w:ind w:firstLine="480"/>
        <w:rPr>
          <w:szCs w:val="21"/>
        </w:rPr>
      </w:pPr>
      <w:r>
        <w:rPr>
          <w:rFonts w:hint="eastAsia"/>
          <w:szCs w:val="21"/>
        </w:rPr>
        <w:t>培训工作是整个系统得以正常运行的关键，除了对普通业务人员的专项培训以外，应对系统维护人员进行系统维护的培训。具体培训要求如下：</w:t>
      </w:r>
    </w:p>
    <w:p>
      <w:pPr>
        <w:ind w:firstLine="480"/>
        <w:rPr>
          <w:szCs w:val="21"/>
        </w:rPr>
      </w:pPr>
      <w:r>
        <w:rPr>
          <w:szCs w:val="21"/>
        </w:rPr>
        <w:t>1.投标人应在投标文件中提出培训计划，计划包括培训项目、人数、地点、日程、资料、其它等详细内容。</w:t>
      </w:r>
    </w:p>
    <w:p>
      <w:pPr>
        <w:ind w:firstLine="480"/>
        <w:rPr>
          <w:szCs w:val="21"/>
        </w:rPr>
      </w:pPr>
      <w:r>
        <w:rPr>
          <w:szCs w:val="21"/>
        </w:rPr>
        <w:t>2.技术培训的内容必须包含软件的日常操作和管理维护，以及基本的故障诊断与排错。</w:t>
      </w:r>
    </w:p>
    <w:p>
      <w:pPr>
        <w:ind w:firstLine="480"/>
        <w:rPr>
          <w:szCs w:val="21"/>
        </w:rPr>
      </w:pPr>
      <w:r>
        <w:rPr>
          <w:szCs w:val="21"/>
        </w:rPr>
        <w:t>3.培训人员必须是公司的资深工程师。</w:t>
      </w:r>
    </w:p>
    <w:p>
      <w:pPr>
        <w:pStyle w:val="2"/>
        <w:numPr>
          <w:ilvl w:val="0"/>
          <w:numId w:val="0"/>
        </w:numPr>
        <w:ind w:leftChars="0"/>
      </w:pPr>
    </w:p>
    <w:p>
      <w:pPr>
        <w:pStyle w:val="3"/>
        <w:numPr>
          <w:ilvl w:val="0"/>
          <w:numId w:val="2"/>
        </w:numPr>
        <w:spacing w:line="360" w:lineRule="auto"/>
        <w:ind w:firstLine="0"/>
        <w:rPr>
          <w:sz w:val="32"/>
          <w:szCs w:val="24"/>
          <w:lang w:val="en-GB"/>
        </w:rPr>
      </w:pPr>
      <w:r>
        <w:rPr>
          <w:rFonts w:hint="eastAsia"/>
          <w:sz w:val="32"/>
          <w:szCs w:val="24"/>
          <w:lang w:val="en-GB"/>
        </w:rPr>
        <w:t>售后服务要求</w:t>
      </w:r>
    </w:p>
    <w:p>
      <w:pPr>
        <w:ind w:firstLine="480"/>
        <w:rPr>
          <w:szCs w:val="21"/>
        </w:rPr>
      </w:pPr>
      <w:r>
        <w:rPr>
          <w:rFonts w:hint="eastAsia"/>
          <w:szCs w:val="21"/>
        </w:rPr>
        <w:t>1．</w:t>
      </w:r>
      <w:r>
        <w:rPr>
          <w:szCs w:val="21"/>
        </w:rPr>
        <w:t>.投标人</w:t>
      </w:r>
      <w:r>
        <w:rPr>
          <w:rFonts w:hint="eastAsia"/>
          <w:szCs w:val="21"/>
        </w:rPr>
        <w:t>必须为本项目内所供应和安装的产品提供一年的免费质保服务</w:t>
      </w:r>
      <w:r>
        <w:rPr>
          <w:rFonts w:hint="eastAsia"/>
          <w:szCs w:val="21"/>
          <w:lang w:val="en-US" w:eastAsia="zh-CN"/>
        </w:rPr>
        <w:t>(采购文件中另行规定的除外)</w:t>
      </w:r>
      <w:r>
        <w:rPr>
          <w:rFonts w:hint="eastAsia"/>
          <w:szCs w:val="21"/>
        </w:rPr>
        <w:t>，保质期内提供同版本软件免费客户化修改与免费升级服务。并为用户后续的区域信息化建设提供长期的技术支持。</w:t>
      </w:r>
    </w:p>
    <w:p>
      <w:pPr>
        <w:ind w:firstLine="480"/>
        <w:rPr>
          <w:szCs w:val="21"/>
        </w:rPr>
      </w:pPr>
      <w:r>
        <w:rPr>
          <w:rFonts w:hint="eastAsia"/>
          <w:szCs w:val="21"/>
        </w:rPr>
        <w:t>2.</w:t>
      </w:r>
      <w:r>
        <w:rPr>
          <w:szCs w:val="21"/>
        </w:rPr>
        <w:t>投标人应在投标书中详细列出服务项目清单，对每项服务，需明确服务提供方名称、服务内容、服务方式、服务人员技术要求以及服务响应时间等</w:t>
      </w:r>
      <w:r>
        <w:rPr>
          <w:rFonts w:hint="eastAsia"/>
          <w:szCs w:val="21"/>
        </w:rPr>
        <w:t>。</w:t>
      </w:r>
    </w:p>
    <w:p>
      <w:pPr>
        <w:ind w:firstLine="480"/>
        <w:rPr>
          <w:szCs w:val="21"/>
        </w:rPr>
      </w:pPr>
      <w:r>
        <w:rPr>
          <w:rFonts w:hint="eastAsia"/>
          <w:szCs w:val="21"/>
        </w:rPr>
        <w:t>3.投标人必须配有较强的专业技术队伍，能确保现场实施和售后现场服务响应。</w:t>
      </w:r>
    </w:p>
    <w:p>
      <w:pPr>
        <w:ind w:firstLine="480"/>
        <w:rPr>
          <w:szCs w:val="21"/>
        </w:rPr>
      </w:pPr>
      <w:r>
        <w:rPr>
          <w:rFonts w:hint="eastAsia"/>
          <w:szCs w:val="21"/>
        </w:rPr>
        <w:t>4.由于医疗卫生信息系统的特殊性.因此，</w:t>
      </w:r>
      <w:r>
        <w:rPr>
          <w:szCs w:val="21"/>
        </w:rPr>
        <w:t>在接到</w:t>
      </w:r>
      <w:r>
        <w:rPr>
          <w:rFonts w:hint="eastAsia"/>
          <w:szCs w:val="21"/>
        </w:rPr>
        <w:t>系统</w:t>
      </w:r>
      <w:r>
        <w:rPr>
          <w:szCs w:val="21"/>
        </w:rPr>
        <w:t>故障通知后，.投标人</w:t>
      </w:r>
      <w:r>
        <w:rPr>
          <w:rFonts w:hint="eastAsia"/>
          <w:szCs w:val="21"/>
        </w:rPr>
        <w:t>必须</w:t>
      </w:r>
      <w:r>
        <w:rPr>
          <w:szCs w:val="21"/>
        </w:rPr>
        <w:t>在</w:t>
      </w:r>
      <w:r>
        <w:rPr>
          <w:rFonts w:hint="eastAsia"/>
          <w:szCs w:val="21"/>
        </w:rPr>
        <w:t>20分钟</w:t>
      </w:r>
      <w:r>
        <w:rPr>
          <w:szCs w:val="21"/>
        </w:rPr>
        <w:t>内响应。对于影响系统正常运行的严重故障（包括由系统软硬件等原因引起的），.投标人</w:t>
      </w:r>
      <w:r>
        <w:rPr>
          <w:rFonts w:hint="eastAsia"/>
          <w:szCs w:val="21"/>
        </w:rPr>
        <w:t>的</w:t>
      </w:r>
      <w:r>
        <w:rPr>
          <w:szCs w:val="21"/>
        </w:rPr>
        <w:t>相关技术人员必须在接到故障通知后</w:t>
      </w:r>
      <w:r>
        <w:rPr>
          <w:rFonts w:hint="eastAsia"/>
          <w:szCs w:val="21"/>
        </w:rPr>
        <w:t>2小时</w:t>
      </w:r>
      <w:r>
        <w:rPr>
          <w:szCs w:val="21"/>
        </w:rPr>
        <w:t>内赶到现场，查找原因，提出解决方案，并工作直至故障修妥完全恢复正常</w:t>
      </w:r>
      <w:r>
        <w:rPr>
          <w:rFonts w:hint="eastAsia"/>
          <w:szCs w:val="21"/>
        </w:rPr>
        <w:t>工作</w:t>
      </w:r>
      <w:r>
        <w:rPr>
          <w:szCs w:val="21"/>
        </w:rPr>
        <w:t>为止，一般要求保证系统在24小时之内修复，并需要提供确保承诺实现的措施。</w:t>
      </w:r>
    </w:p>
    <w:p>
      <w:pPr>
        <w:ind w:firstLine="480"/>
        <w:rPr>
          <w:szCs w:val="21"/>
        </w:rPr>
      </w:pPr>
      <w:r>
        <w:rPr>
          <w:rFonts w:hint="eastAsia"/>
          <w:szCs w:val="21"/>
        </w:rPr>
        <w:t>5.软件实施期间需专人定点在进行实施，质保期间内也需专人定期或不定期参加日常维护工作。</w:t>
      </w:r>
    </w:p>
    <w:p>
      <w:pPr>
        <w:ind w:firstLine="480"/>
      </w:pPr>
      <w:r>
        <w:rPr>
          <w:rFonts w:hint="eastAsia"/>
          <w:szCs w:val="21"/>
        </w:rPr>
        <w:t>6.</w:t>
      </w:r>
      <w:r>
        <w:rPr>
          <w:szCs w:val="21"/>
        </w:rPr>
        <w:t>.投标人须</w:t>
      </w:r>
      <w:r>
        <w:rPr>
          <w:rFonts w:hint="eastAsia"/>
          <w:szCs w:val="21"/>
        </w:rPr>
        <w:t>做</w:t>
      </w:r>
      <w:r>
        <w:rPr>
          <w:szCs w:val="21"/>
        </w:rPr>
        <w:t>出无推诿承诺。即投标人应提供特殊措施，无论由于哪一方产生的问题而使系统发生不正常情况时，在得到买方通知后，须立即</w:t>
      </w:r>
      <w:r>
        <w:rPr>
          <w:rFonts w:hint="eastAsia"/>
          <w:szCs w:val="21"/>
        </w:rPr>
        <w:t>派遣</w:t>
      </w:r>
      <w:r>
        <w:rPr>
          <w:szCs w:val="21"/>
        </w:rPr>
        <w:t>工程师到场，全力协助系统集成商和其他供应商，使系统尽快恢复正常。</w:t>
      </w:r>
    </w:p>
    <w:p>
      <w:pPr>
        <w:pStyle w:val="9"/>
        <w:snapToGrid w:val="0"/>
        <w:spacing w:beforeLines="0" w:afterLines="0"/>
        <w:jc w:val="center"/>
        <w:outlineLvl w:val="0"/>
        <w:rPr>
          <w:rFonts w:ascii="黑体" w:hAnsi="宋体" w:eastAsia="黑体"/>
          <w:b/>
          <w:bCs/>
          <w:sz w:val="28"/>
          <w:szCs w:val="28"/>
        </w:rPr>
      </w:pPr>
    </w:p>
    <w:p>
      <w:pPr>
        <w:pStyle w:val="9"/>
        <w:snapToGrid w:val="0"/>
        <w:spacing w:beforeLines="0" w:afterLines="0"/>
        <w:jc w:val="center"/>
        <w:outlineLvl w:val="0"/>
        <w:rPr>
          <w:rFonts w:ascii="黑体" w:hAnsi="宋体" w:eastAsia="黑体"/>
          <w:b/>
          <w:bCs/>
          <w:sz w:val="28"/>
          <w:szCs w:val="28"/>
        </w:rPr>
      </w:pPr>
    </w:p>
    <w:p>
      <w:pPr>
        <w:rPr>
          <w:rFonts w:ascii="黑体" w:hAnsi="宋体" w:eastAsia="黑体"/>
          <w:b/>
          <w:bCs/>
          <w:sz w:val="28"/>
          <w:szCs w:val="28"/>
        </w:rPr>
      </w:pPr>
      <w:r>
        <w:rPr>
          <w:rFonts w:ascii="黑体" w:hAnsi="宋体" w:eastAsia="黑体"/>
          <w:b/>
          <w:bCs/>
          <w:sz w:val="28"/>
          <w:szCs w:val="28"/>
        </w:rPr>
        <w:br w:type="page"/>
      </w:r>
    </w:p>
    <w:p>
      <w:pPr>
        <w:pStyle w:val="9"/>
        <w:snapToGrid w:val="0"/>
        <w:spacing w:beforeLines="0" w:afterLines="0"/>
        <w:jc w:val="center"/>
        <w:outlineLvl w:val="0"/>
        <w:rPr>
          <w:rFonts w:ascii="黑体" w:hAnsi="宋体" w:eastAsia="黑体"/>
          <w:b/>
          <w:bCs/>
          <w:sz w:val="28"/>
          <w:szCs w:val="28"/>
        </w:rPr>
      </w:pPr>
    </w:p>
    <w:p>
      <w:pPr>
        <w:pStyle w:val="9"/>
        <w:snapToGrid w:val="0"/>
        <w:spacing w:beforeLines="0" w:afterLines="0"/>
        <w:jc w:val="center"/>
        <w:outlineLvl w:val="0"/>
        <w:rPr>
          <w:rFonts w:ascii="黑体" w:hAnsi="宋体" w:eastAsia="黑体"/>
          <w:b/>
          <w:bCs/>
          <w:sz w:val="28"/>
          <w:szCs w:val="28"/>
        </w:rPr>
      </w:pPr>
    </w:p>
    <w:p>
      <w:pPr>
        <w:pStyle w:val="9"/>
        <w:snapToGrid w:val="0"/>
        <w:spacing w:beforeLines="0" w:afterLines="0"/>
        <w:ind w:firstLine="2811" w:firstLineChars="1000"/>
        <w:outlineLvl w:val="0"/>
        <w:rPr>
          <w:rFonts w:ascii="黑体" w:hAnsi="宋体" w:eastAsia="黑体"/>
          <w:b/>
          <w:bCs/>
          <w:sz w:val="28"/>
          <w:szCs w:val="28"/>
        </w:rPr>
      </w:pPr>
      <w:r>
        <w:rPr>
          <w:rFonts w:hint="eastAsia" w:ascii="黑体" w:hAnsi="宋体" w:eastAsia="黑体"/>
          <w:b/>
          <w:bCs/>
          <w:sz w:val="28"/>
          <w:szCs w:val="28"/>
        </w:rPr>
        <w:t>第三章  投标人须知</w:t>
      </w:r>
    </w:p>
    <w:p>
      <w:pPr>
        <w:pStyle w:val="9"/>
        <w:snapToGrid w:val="0"/>
        <w:spacing w:beforeLines="0" w:afterLines="0"/>
        <w:jc w:val="center"/>
        <w:outlineLvl w:val="0"/>
        <w:rPr>
          <w:rFonts w:ascii="黑体" w:hAnsi="宋体" w:eastAsia="黑体"/>
          <w:b/>
          <w:bCs/>
          <w:sz w:val="28"/>
          <w:szCs w:val="28"/>
        </w:rPr>
      </w:pPr>
    </w:p>
    <w:tbl>
      <w:tblPr>
        <w:tblStyle w:val="16"/>
        <w:tblW w:w="8597"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70"/>
        <w:gridCol w:w="782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77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Theme="majorEastAsia" w:hAnsiTheme="majorEastAsia" w:eastAsiaTheme="majorEastAsia"/>
                <w:szCs w:val="21"/>
              </w:rPr>
            </w:pPr>
            <w:r>
              <w:rPr>
                <w:rFonts w:asciiTheme="majorEastAsia" w:hAnsiTheme="majorEastAsia" w:eastAsiaTheme="majorEastAsia"/>
                <w:szCs w:val="21"/>
              </w:rPr>
              <w:t>序号</w:t>
            </w:r>
          </w:p>
        </w:tc>
        <w:tc>
          <w:tcPr>
            <w:tcW w:w="782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Theme="majorEastAsia" w:hAnsiTheme="majorEastAsia" w:eastAsiaTheme="majorEastAsia"/>
                <w:szCs w:val="21"/>
              </w:rPr>
            </w:pPr>
            <w:r>
              <w:rPr>
                <w:rFonts w:asciiTheme="majorEastAsia" w:hAnsiTheme="majorEastAsia" w:eastAsiaTheme="majorEastAsia"/>
                <w:szCs w:val="21"/>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70" w:hRule="atLeast"/>
          <w:jc w:val="center"/>
        </w:trPr>
        <w:tc>
          <w:tcPr>
            <w:tcW w:w="77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Theme="majorEastAsia" w:hAnsiTheme="majorEastAsia" w:eastAsiaTheme="majorEastAsia"/>
                <w:szCs w:val="21"/>
              </w:rPr>
            </w:pPr>
            <w:r>
              <w:rPr>
                <w:rFonts w:asciiTheme="majorEastAsia" w:hAnsiTheme="majorEastAsia" w:eastAsiaTheme="majorEastAsia"/>
                <w:szCs w:val="21"/>
              </w:rPr>
              <w:t>1</w:t>
            </w:r>
          </w:p>
        </w:tc>
        <w:tc>
          <w:tcPr>
            <w:tcW w:w="78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Theme="majorEastAsia" w:hAnsiTheme="majorEastAsia" w:eastAsiaTheme="majorEastAsia"/>
                <w:szCs w:val="21"/>
              </w:rPr>
            </w:pPr>
            <w:r>
              <w:rPr>
                <w:rFonts w:hint="eastAsia" w:asciiTheme="majorEastAsia" w:hAnsiTheme="majorEastAsia" w:eastAsiaTheme="majorEastAsia"/>
                <w:szCs w:val="21"/>
              </w:rPr>
              <w:t>联合体投标：</w:t>
            </w:r>
            <w:r>
              <w:rPr>
                <w:rFonts w:hint="eastAsia" w:asciiTheme="majorEastAsia" w:hAnsiTheme="majorEastAsia" w:eastAsiaTheme="majorEastAsia"/>
                <w:szCs w:val="21"/>
                <w:bdr w:val="single" w:color="auto" w:sz="4" w:space="0"/>
              </w:rPr>
              <w:t>√</w:t>
            </w:r>
            <w:r>
              <w:rPr>
                <w:rFonts w:hint="eastAsia" w:asciiTheme="majorEastAsia" w:hAnsiTheme="majorEastAsia" w:eastAsiaTheme="majorEastAsia"/>
                <w:szCs w:val="21"/>
              </w:rPr>
              <w:t>不接受；</w:t>
            </w:r>
            <w:r>
              <w:rPr>
                <w:rFonts w:hint="eastAsia" w:asciiTheme="majorEastAsia" w:hAnsiTheme="majorEastAsia" w:eastAsiaTheme="majorEastAsia"/>
                <w:szCs w:val="21"/>
                <w:bdr w:val="single" w:color="auto" w:sz="4" w:space="0"/>
              </w:rPr>
              <w:t xml:space="preserve">  </w:t>
            </w:r>
            <w:r>
              <w:rPr>
                <w:rFonts w:hint="eastAsia" w:asciiTheme="majorEastAsia" w:hAnsiTheme="majorEastAsia" w:eastAsiaTheme="majorEastAsia"/>
                <w:szCs w:val="21"/>
              </w:rPr>
              <w:t>接受，最多</w:t>
            </w:r>
            <w:r>
              <w:rPr>
                <w:rFonts w:hint="eastAsia" w:asciiTheme="majorEastAsia" w:hAnsiTheme="majorEastAsia" w:eastAsiaTheme="majorEastAsia"/>
                <w:szCs w:val="21"/>
                <w:u w:val="single"/>
              </w:rPr>
              <w:t xml:space="preserve">  </w:t>
            </w:r>
            <w:r>
              <w:rPr>
                <w:rFonts w:hint="eastAsia" w:asciiTheme="majorEastAsia" w:hAnsiTheme="majorEastAsia" w:eastAsiaTheme="majorEastAsia"/>
                <w:szCs w:val="21"/>
              </w:rPr>
              <w:t>家</w:t>
            </w:r>
          </w:p>
          <w:p>
            <w:pPr>
              <w:spacing w:line="400" w:lineRule="exact"/>
              <w:rPr>
                <w:rFonts w:asciiTheme="majorEastAsia" w:hAnsiTheme="majorEastAsia" w:eastAsiaTheme="majorEastAsia"/>
                <w:szCs w:val="21"/>
              </w:rPr>
            </w:pPr>
            <w:r>
              <w:rPr>
                <w:rFonts w:hint="eastAsia" w:asciiTheme="majorEastAsia" w:hAnsiTheme="majorEastAsia" w:eastAsiaTheme="majorEastAsia"/>
                <w:szCs w:val="21"/>
              </w:rPr>
              <w:t>如招标文件接收联合体投标，联合体各方均应符合《政府采购法》第二十二条。</w:t>
            </w:r>
          </w:p>
          <w:p>
            <w:pPr>
              <w:spacing w:line="400" w:lineRule="exact"/>
              <w:rPr>
                <w:rFonts w:asciiTheme="majorEastAsia" w:hAnsiTheme="majorEastAsia" w:eastAsiaTheme="majorEastAsia"/>
                <w:szCs w:val="21"/>
              </w:rPr>
            </w:pPr>
            <w:r>
              <w:rPr>
                <w:rFonts w:hint="eastAsia" w:asciiTheme="majorEastAsia" w:hAnsiTheme="majorEastAsia" w:eastAsiaTheme="majorEastAsia"/>
                <w:szCs w:val="21"/>
              </w:rPr>
              <w:t>联合体各方之间应当签订共同投标协议，明确约定联合体各方承担的工作和相应责任，并将共同投标协议连同投标文件一并提交。</w:t>
            </w:r>
          </w:p>
          <w:p>
            <w:pPr>
              <w:spacing w:line="400" w:lineRule="exact"/>
              <w:rPr>
                <w:rFonts w:asciiTheme="majorEastAsia" w:hAnsiTheme="majorEastAsia" w:eastAsiaTheme="majorEastAsia"/>
                <w:szCs w:val="21"/>
              </w:rPr>
            </w:pPr>
            <w:r>
              <w:rPr>
                <w:rFonts w:hint="eastAsia" w:asciiTheme="majorEastAsia" w:hAnsiTheme="majorEastAsia" w:eastAsiaTheme="majorEastAsia"/>
                <w:szCs w:val="21"/>
              </w:rPr>
              <w:t>联合体各方不得再以自己名义单独在同一项目中投标，也不得组成新的联合体参加同一项目投标。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73" w:hRule="atLeast"/>
          <w:jc w:val="center"/>
        </w:trPr>
        <w:tc>
          <w:tcPr>
            <w:tcW w:w="77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Theme="majorEastAsia" w:hAnsiTheme="majorEastAsia" w:eastAsiaTheme="majorEastAsia"/>
                <w:szCs w:val="21"/>
              </w:rPr>
            </w:pPr>
            <w:r>
              <w:rPr>
                <w:rFonts w:asciiTheme="majorEastAsia" w:hAnsiTheme="majorEastAsia" w:eastAsiaTheme="majorEastAsia"/>
                <w:szCs w:val="21"/>
              </w:rPr>
              <w:t>2</w:t>
            </w:r>
          </w:p>
        </w:tc>
        <w:tc>
          <w:tcPr>
            <w:tcW w:w="7827" w:type="dxa"/>
            <w:tcBorders>
              <w:top w:val="single" w:color="auto" w:sz="4" w:space="0"/>
              <w:left w:val="single" w:color="auto" w:sz="4" w:space="0"/>
              <w:bottom w:val="single" w:color="auto" w:sz="4" w:space="0"/>
              <w:right w:val="single" w:color="auto" w:sz="4" w:space="0"/>
            </w:tcBorders>
            <w:vAlign w:val="center"/>
          </w:tcPr>
          <w:p>
            <w:pPr>
              <w:tabs>
                <w:tab w:val="left" w:pos="105"/>
                <w:tab w:val="left" w:pos="735"/>
                <w:tab w:val="left" w:pos="945"/>
                <w:tab w:val="left" w:pos="3360"/>
              </w:tabs>
              <w:spacing w:line="400" w:lineRule="exact"/>
              <w:rPr>
                <w:rFonts w:asciiTheme="majorEastAsia" w:hAnsiTheme="majorEastAsia" w:eastAsiaTheme="majorEastAsia"/>
                <w:szCs w:val="21"/>
              </w:rPr>
            </w:pPr>
            <w:r>
              <w:rPr>
                <w:rFonts w:hint="eastAsia" w:asciiTheme="majorEastAsia" w:hAnsiTheme="majorEastAsia" w:eastAsiaTheme="majorEastAsia"/>
                <w:szCs w:val="21"/>
              </w:rPr>
              <w:t>专门面向中小微企业招标：</w:t>
            </w:r>
            <w:r>
              <w:rPr>
                <w:rFonts w:hint="eastAsia" w:asciiTheme="majorEastAsia" w:hAnsiTheme="majorEastAsia" w:eastAsiaTheme="majorEastAsia"/>
                <w:szCs w:val="21"/>
                <w:bdr w:val="single" w:color="auto" w:sz="4" w:space="0"/>
              </w:rPr>
              <w:t xml:space="preserve">  </w:t>
            </w:r>
            <w:r>
              <w:rPr>
                <w:rFonts w:hint="eastAsia" w:asciiTheme="majorEastAsia" w:hAnsiTheme="majorEastAsia" w:eastAsiaTheme="majorEastAsia"/>
                <w:szCs w:val="21"/>
              </w:rPr>
              <w:t>是；</w:t>
            </w:r>
            <w:r>
              <w:rPr>
                <w:rFonts w:hint="eastAsia" w:asciiTheme="majorEastAsia" w:hAnsiTheme="majorEastAsia" w:eastAsiaTheme="majorEastAsia"/>
                <w:szCs w:val="21"/>
                <w:bdr w:val="single" w:color="auto" w:sz="4" w:space="0"/>
              </w:rPr>
              <w:t>√</w:t>
            </w:r>
            <w:r>
              <w:rPr>
                <w:rFonts w:hint="eastAsia" w:asciiTheme="majorEastAsia" w:hAnsiTheme="majorEastAsia" w:eastAsiaTheme="majorEastAsia"/>
                <w:szCs w:val="21"/>
              </w:rPr>
              <w:t>否。非专门面向中小微企业招标项目。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2" w:hRule="atLeast"/>
          <w:jc w:val="center"/>
        </w:trPr>
        <w:tc>
          <w:tcPr>
            <w:tcW w:w="77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Theme="majorEastAsia" w:hAnsiTheme="majorEastAsia" w:eastAsiaTheme="majorEastAsia"/>
                <w:szCs w:val="21"/>
              </w:rPr>
            </w:pPr>
            <w:r>
              <w:rPr>
                <w:rFonts w:asciiTheme="majorEastAsia" w:hAnsiTheme="majorEastAsia" w:eastAsiaTheme="majorEastAsia"/>
                <w:szCs w:val="21"/>
              </w:rPr>
              <w:t>3</w:t>
            </w:r>
          </w:p>
        </w:tc>
        <w:tc>
          <w:tcPr>
            <w:tcW w:w="782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Theme="majorEastAsia" w:hAnsiTheme="majorEastAsia" w:eastAsiaTheme="majorEastAsia"/>
                <w:szCs w:val="21"/>
              </w:rPr>
            </w:pPr>
            <w:r>
              <w:rPr>
                <w:rFonts w:hint="eastAsia" w:asciiTheme="majorEastAsia" w:hAnsiTheme="majorEastAsia" w:eastAsiaTheme="majorEastAsia"/>
                <w:szCs w:val="21"/>
              </w:rPr>
              <w:t>现场踏勘：供应商可自主前往现场踏勘，采购人不统一组织。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2" w:hRule="atLeast"/>
          <w:jc w:val="center"/>
        </w:trPr>
        <w:tc>
          <w:tcPr>
            <w:tcW w:w="77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Theme="majorEastAsia" w:hAnsiTheme="majorEastAsia" w:eastAsiaTheme="majorEastAsia"/>
                <w:szCs w:val="21"/>
              </w:rPr>
            </w:pPr>
            <w:r>
              <w:rPr>
                <w:rFonts w:hint="eastAsia" w:asciiTheme="majorEastAsia" w:hAnsiTheme="majorEastAsia" w:eastAsiaTheme="majorEastAsia"/>
                <w:szCs w:val="21"/>
              </w:rPr>
              <w:t>4</w:t>
            </w:r>
          </w:p>
        </w:tc>
        <w:tc>
          <w:tcPr>
            <w:tcW w:w="782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Theme="majorEastAsia" w:hAnsiTheme="majorEastAsia" w:eastAsiaTheme="majorEastAsia"/>
                <w:szCs w:val="21"/>
              </w:rPr>
            </w:pPr>
            <w:r>
              <w:rPr>
                <w:rFonts w:hint="eastAsia" w:ascii="宋体" w:hAnsi="宋体" w:cs="宋体"/>
                <w:bCs/>
                <w:szCs w:val="21"/>
              </w:rPr>
              <w:t>采购代理机构</w:t>
            </w:r>
            <w:r>
              <w:rPr>
                <w:rFonts w:hint="eastAsia" w:ascii="宋体" w:hAnsi="宋体" w:cs="宋体"/>
                <w:bCs/>
              </w:rPr>
              <w:t>根据国家发改委发改办价格</w:t>
            </w:r>
            <w:r>
              <w:rPr>
                <w:rFonts w:ascii="宋体" w:hAnsi="宋体" w:cs="宋体"/>
                <w:bCs/>
              </w:rPr>
              <w:t>[2003] 857</w:t>
            </w:r>
            <w:r>
              <w:rPr>
                <w:rFonts w:hint="eastAsia" w:ascii="宋体" w:hAnsi="宋体" w:cs="宋体"/>
                <w:bCs/>
              </w:rPr>
              <w:t>号通知和国家计委计价格</w:t>
            </w:r>
            <w:r>
              <w:rPr>
                <w:rFonts w:ascii="宋体" w:hAnsi="宋体" w:cs="宋体"/>
                <w:bCs/>
              </w:rPr>
              <w:t>[2002] 1980</w:t>
            </w:r>
            <w:r>
              <w:rPr>
                <w:rFonts w:hint="eastAsia" w:ascii="宋体" w:hAnsi="宋体" w:cs="宋体"/>
                <w:bCs/>
              </w:rPr>
              <w:t>号规定的收费标准，向中标人收取</w:t>
            </w:r>
            <w:r>
              <w:rPr>
                <w:rFonts w:hint="eastAsia" w:ascii="宋体" w:hAnsi="宋体" w:cs="宋体"/>
                <w:bCs/>
                <w:lang w:eastAsia="zh-CN"/>
              </w:rPr>
              <w:t>贰万圆</w:t>
            </w:r>
            <w:r>
              <w:rPr>
                <w:rFonts w:hint="eastAsia" w:ascii="宋体" w:hAnsi="宋体" w:cs="宋体"/>
                <w:bCs/>
              </w:rPr>
              <w:t>中标服务费。该费用须中标人在领取中标通知书前一次性支付给招标代理人。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8" w:hRule="atLeast"/>
          <w:jc w:val="center"/>
        </w:trPr>
        <w:tc>
          <w:tcPr>
            <w:tcW w:w="77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Theme="majorEastAsia" w:hAnsiTheme="majorEastAsia" w:eastAsiaTheme="majorEastAsia"/>
                <w:szCs w:val="21"/>
              </w:rPr>
            </w:pPr>
            <w:r>
              <w:rPr>
                <w:rFonts w:hint="eastAsia" w:asciiTheme="majorEastAsia" w:hAnsiTheme="majorEastAsia" w:eastAsiaTheme="majorEastAsia"/>
                <w:bCs/>
                <w:szCs w:val="21"/>
              </w:rPr>
              <w:t>★</w:t>
            </w:r>
            <w:r>
              <w:rPr>
                <w:rFonts w:asciiTheme="majorEastAsia" w:hAnsiTheme="majorEastAsia" w:eastAsiaTheme="majorEastAsia"/>
                <w:szCs w:val="21"/>
              </w:rPr>
              <w:t>5</w:t>
            </w:r>
          </w:p>
        </w:tc>
        <w:tc>
          <w:tcPr>
            <w:tcW w:w="7827" w:type="dxa"/>
            <w:tcBorders>
              <w:top w:val="single" w:color="auto" w:sz="4" w:space="0"/>
              <w:left w:val="single" w:color="auto" w:sz="4" w:space="0"/>
              <w:bottom w:val="single" w:color="auto" w:sz="4" w:space="0"/>
              <w:right w:val="single" w:color="auto" w:sz="4" w:space="0"/>
            </w:tcBorders>
            <w:vAlign w:val="center"/>
          </w:tcPr>
          <w:p>
            <w:pPr>
              <w:widowControl/>
              <w:tabs>
                <w:tab w:val="left" w:pos="180"/>
                <w:tab w:val="left" w:pos="360"/>
              </w:tabs>
              <w:adjustRightInd w:val="0"/>
              <w:snapToGrid w:val="0"/>
              <w:spacing w:line="400" w:lineRule="exact"/>
              <w:jc w:val="left"/>
              <w:rPr>
                <w:rFonts w:asciiTheme="majorEastAsia" w:hAnsiTheme="majorEastAsia" w:eastAsiaTheme="majorEastAsia"/>
                <w:szCs w:val="21"/>
              </w:rPr>
            </w:pPr>
            <w:r>
              <w:rPr>
                <w:rFonts w:hint="eastAsia" w:asciiTheme="majorEastAsia" w:hAnsiTheme="majorEastAsia" w:eastAsiaTheme="majorEastAsia"/>
                <w:szCs w:val="21"/>
              </w:rPr>
              <w:t>本次招标有关信息公告在</w:t>
            </w:r>
          </w:p>
          <w:p>
            <w:pPr>
              <w:widowControl/>
              <w:spacing w:line="400" w:lineRule="exact"/>
              <w:jc w:val="left"/>
              <w:rPr>
                <w:rFonts w:asciiTheme="majorEastAsia" w:hAnsiTheme="majorEastAsia" w:eastAsiaTheme="majorEastAsia"/>
                <w:szCs w:val="21"/>
              </w:rPr>
            </w:pPr>
            <w:r>
              <w:rPr>
                <w:rFonts w:hint="eastAsia" w:asciiTheme="majorEastAsia" w:hAnsiTheme="majorEastAsia" w:eastAsiaTheme="majorEastAsia"/>
                <w:szCs w:val="21"/>
              </w:rPr>
              <w:t>宁海县公共资源交易信息网（</w:t>
            </w:r>
            <w:r>
              <w:rPr>
                <w:rFonts w:asciiTheme="majorEastAsia" w:hAnsiTheme="majorEastAsia" w:eastAsiaTheme="majorEastAsia"/>
                <w:szCs w:val="21"/>
              </w:rPr>
              <w:t>http://</w:t>
            </w:r>
            <w:r>
              <w:rPr>
                <w:rFonts w:hint="eastAsia" w:asciiTheme="majorEastAsia" w:hAnsiTheme="majorEastAsia" w:eastAsiaTheme="majorEastAsia"/>
                <w:szCs w:val="21"/>
                <w:lang w:eastAsia="zh-CN"/>
              </w:rPr>
              <w:t>ninghai.bidding</w:t>
            </w:r>
            <w:r>
              <w:rPr>
                <w:rFonts w:asciiTheme="majorEastAsia" w:hAnsiTheme="majorEastAsia" w:eastAsiaTheme="majorEastAsia"/>
                <w:szCs w:val="21"/>
              </w:rPr>
              <w:t>.gov.cn</w:t>
            </w:r>
            <w:r>
              <w:rPr>
                <w:rFonts w:hint="eastAsia" w:asciiTheme="majorEastAsia" w:hAnsiTheme="majorEastAsia" w:eastAsiaTheme="majorEastAsia"/>
                <w:szCs w:val="21"/>
              </w:rPr>
              <w:t>)</w:t>
            </w:r>
          </w:p>
          <w:p>
            <w:pPr>
              <w:widowControl/>
              <w:spacing w:line="400" w:lineRule="exact"/>
              <w:jc w:val="left"/>
              <w:rPr>
                <w:rFonts w:asciiTheme="majorEastAsia" w:hAnsiTheme="majorEastAsia" w:eastAsiaTheme="majorEastAsia"/>
                <w:szCs w:val="21"/>
              </w:rPr>
            </w:pPr>
            <w:r>
              <w:rPr>
                <w:rFonts w:hint="eastAsia" w:asciiTheme="majorEastAsia" w:hAnsiTheme="majorEastAsia" w:eastAsiaTheme="majorEastAsia"/>
                <w:szCs w:val="21"/>
              </w:rPr>
              <w:t>宁波政府采购网（</w:t>
            </w:r>
            <w:r>
              <w:rPr>
                <w:rFonts w:asciiTheme="majorEastAsia" w:hAnsiTheme="majorEastAsia" w:eastAsiaTheme="majorEastAsia"/>
                <w:szCs w:val="21"/>
              </w:rPr>
              <w:t>http://www.nbzfcg.cn</w:t>
            </w:r>
            <w:r>
              <w:rPr>
                <w:rFonts w:hint="eastAsia" w:asciiTheme="majorEastAsia" w:hAnsiTheme="majorEastAsia" w:eastAsiaTheme="majorEastAsia"/>
                <w:szCs w:val="21"/>
              </w:rPr>
              <w:t>）</w:t>
            </w:r>
          </w:p>
          <w:p>
            <w:pPr>
              <w:spacing w:line="400" w:lineRule="exact"/>
              <w:rPr>
                <w:rFonts w:asciiTheme="majorEastAsia" w:hAnsiTheme="majorEastAsia" w:eastAsiaTheme="majorEastAsia"/>
                <w:szCs w:val="21"/>
              </w:rPr>
            </w:pPr>
            <w:r>
              <w:rPr>
                <w:rFonts w:hint="eastAsia" w:asciiTheme="majorEastAsia" w:hAnsiTheme="majorEastAsia" w:eastAsiaTheme="majorEastAsia"/>
                <w:szCs w:val="21"/>
              </w:rPr>
              <w:t>浙江政府采购网（</w:t>
            </w:r>
            <w:r>
              <w:rPr>
                <w:rFonts w:asciiTheme="majorEastAsia" w:hAnsiTheme="majorEastAsia" w:eastAsiaTheme="majorEastAsia"/>
                <w:szCs w:val="21"/>
              </w:rPr>
              <w:t>http://www.zjzfcg.gov.cn</w:t>
            </w:r>
            <w:r>
              <w:rPr>
                <w:rFonts w:hint="eastAsia" w:asciiTheme="majorEastAsia" w:hAnsiTheme="majorEastAsia" w:eastAsiaTheme="majorEastAsia"/>
                <w:szCs w:val="21"/>
              </w:rPr>
              <w:t>）</w:t>
            </w:r>
          </w:p>
          <w:p>
            <w:pPr>
              <w:spacing w:line="400" w:lineRule="exact"/>
              <w:rPr>
                <w:rFonts w:asciiTheme="majorEastAsia" w:hAnsiTheme="majorEastAsia" w:eastAsiaTheme="majorEastAsia"/>
              </w:rPr>
            </w:pPr>
            <w:r>
              <w:rPr>
                <w:rFonts w:hint="eastAsia" w:asciiTheme="majorEastAsia" w:hAnsiTheme="majorEastAsia" w:eastAsiaTheme="majorEastAsia"/>
                <w:szCs w:val="21"/>
              </w:rPr>
              <w:t>本项目自发布公告后后续可能出现的修改通知，澄清说明等都发布在上述媒体，请供应商随时关注下载，如有错过，后果自负。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77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Theme="majorEastAsia" w:hAnsiTheme="majorEastAsia" w:eastAsiaTheme="majorEastAsia"/>
                <w:szCs w:val="21"/>
              </w:rPr>
            </w:pPr>
            <w:r>
              <w:rPr>
                <w:rFonts w:hint="eastAsia" w:asciiTheme="majorEastAsia" w:hAnsiTheme="majorEastAsia" w:eastAsiaTheme="majorEastAsia"/>
                <w:bCs/>
                <w:szCs w:val="21"/>
              </w:rPr>
              <w:t>★</w:t>
            </w:r>
            <w:r>
              <w:rPr>
                <w:rFonts w:hint="eastAsia" w:asciiTheme="majorEastAsia" w:hAnsiTheme="majorEastAsia" w:eastAsiaTheme="majorEastAsia"/>
                <w:szCs w:val="21"/>
              </w:rPr>
              <w:t>6</w:t>
            </w:r>
          </w:p>
        </w:tc>
        <w:tc>
          <w:tcPr>
            <w:tcW w:w="782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heme="majorEastAsia" w:hAnsiTheme="majorEastAsia" w:eastAsiaTheme="majorEastAsia"/>
                <w:szCs w:val="21"/>
              </w:rPr>
            </w:pPr>
            <w:r>
              <w:rPr>
                <w:rFonts w:hint="eastAsia" w:asciiTheme="majorEastAsia" w:hAnsiTheme="majorEastAsia" w:eastAsiaTheme="majorEastAsia"/>
                <w:szCs w:val="21"/>
              </w:rPr>
              <w:t>本招标文件中要求提供的原件也可用有效的公证件代替。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724" w:hRule="atLeast"/>
          <w:jc w:val="center"/>
        </w:trPr>
        <w:tc>
          <w:tcPr>
            <w:tcW w:w="77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Theme="majorEastAsia" w:hAnsiTheme="majorEastAsia" w:eastAsiaTheme="majorEastAsia"/>
                <w:bCs/>
                <w:szCs w:val="21"/>
                <w:lang w:val="en-US" w:eastAsia="zh-CN"/>
              </w:rPr>
            </w:pPr>
            <w:r>
              <w:rPr>
                <w:rFonts w:hint="eastAsia" w:asciiTheme="majorEastAsia" w:hAnsiTheme="majorEastAsia" w:eastAsiaTheme="majorEastAsia"/>
                <w:bCs/>
                <w:szCs w:val="21"/>
              </w:rPr>
              <w:t>★</w:t>
            </w:r>
            <w:r>
              <w:rPr>
                <w:rFonts w:hint="eastAsia" w:asciiTheme="majorEastAsia" w:hAnsiTheme="majorEastAsia" w:eastAsiaTheme="majorEastAsia"/>
                <w:bCs/>
                <w:szCs w:val="21"/>
                <w:lang w:val="en-US" w:eastAsia="zh-CN"/>
              </w:rPr>
              <w:t>7</w:t>
            </w:r>
          </w:p>
        </w:tc>
        <w:tc>
          <w:tcPr>
            <w:tcW w:w="78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lang w:val="en-US" w:eastAsia="zh-CN"/>
              </w:rPr>
              <w:t>1.</w:t>
            </w:r>
            <w:r>
              <w:rPr>
                <w:rFonts w:ascii="宋体" w:hAnsi="宋体"/>
                <w:szCs w:val="21"/>
              </w:rPr>
              <w:t>投标报价是履行合同的最终价格，应包括货款、标准附件、备品备件、专用工具、包装、运输、装卸、保险、税金、货到就位以及安装、调试、培训、保修等一切税金和费用</w:t>
            </w:r>
            <w:r>
              <w:rPr>
                <w:rFonts w:hint="eastAsia" w:ascii="宋体" w:hAnsi="宋体"/>
                <w:szCs w:val="21"/>
              </w:rPr>
              <w:t>，采购人不再另行承担其他费用。</w:t>
            </w:r>
          </w:p>
          <w:p>
            <w:pPr>
              <w:spacing w:line="400" w:lineRule="exact"/>
              <w:rPr>
                <w:rFonts w:hint="eastAsia" w:asciiTheme="majorEastAsia" w:hAnsiTheme="majorEastAsia" w:eastAsiaTheme="majorEastAsia"/>
                <w:szCs w:val="21"/>
              </w:rPr>
            </w:pPr>
            <w:r>
              <w:rPr>
                <w:rFonts w:hint="eastAsia" w:ascii="宋体" w:hAnsi="宋体"/>
                <w:szCs w:val="21"/>
                <w:lang w:val="en-US" w:eastAsia="zh-CN"/>
              </w:rPr>
              <w:t>2</w:t>
            </w:r>
            <w:r>
              <w:rPr>
                <w:rFonts w:hint="eastAsia" w:ascii="宋体" w:hAnsi="宋体"/>
                <w:szCs w:val="21"/>
              </w:rPr>
              <w:t>.</w:t>
            </w:r>
            <w:r>
              <w:rPr>
                <w:rFonts w:ascii="宋体" w:hAnsi="宋体"/>
                <w:szCs w:val="21"/>
              </w:rPr>
              <w:t>投标文件只允许有一个报价，有选择的</w:t>
            </w:r>
            <w:r>
              <w:rPr>
                <w:rFonts w:hint="eastAsia" w:ascii="宋体" w:hAnsi="宋体"/>
                <w:szCs w:val="21"/>
              </w:rPr>
              <w:t>或有条件的</w:t>
            </w:r>
            <w:r>
              <w:rPr>
                <w:rFonts w:ascii="宋体" w:hAnsi="宋体"/>
                <w:szCs w:val="21"/>
              </w:rPr>
              <w:t>报价将不予接受。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77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Theme="majorEastAsia" w:hAnsiTheme="majorEastAsia" w:eastAsiaTheme="majorEastAsia"/>
                <w:bCs/>
                <w:szCs w:val="21"/>
                <w:lang w:val="en-US" w:eastAsia="zh-CN"/>
              </w:rPr>
            </w:pPr>
            <w:r>
              <w:rPr>
                <w:rFonts w:hint="eastAsia" w:asciiTheme="majorEastAsia" w:hAnsiTheme="majorEastAsia" w:eastAsiaTheme="majorEastAsia"/>
                <w:bCs/>
                <w:szCs w:val="21"/>
                <w:lang w:val="en-US" w:eastAsia="zh-CN"/>
              </w:rPr>
              <w:t>8</w:t>
            </w:r>
          </w:p>
        </w:tc>
        <w:tc>
          <w:tcPr>
            <w:tcW w:w="78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Theme="majorEastAsia" w:hAnsiTheme="majorEastAsia" w:eastAsiaTheme="majorEastAsia"/>
                <w:szCs w:val="21"/>
              </w:rPr>
            </w:pPr>
            <w:r>
              <w:rPr>
                <w:rFonts w:hint="eastAsia" w:ascii="宋体" w:hAnsi="宋体"/>
              </w:rPr>
              <w:t>供应商须按照《浙江省政府采购供应商注册及诚信管理暂行办法》的规定在“浙江政府采购网(http://www.zjzfcg.gov.cn)”政采云平台注册登记，成为浙江省政府采购注册供应商。如未注册的供应商，请注意注册所需时间，尽快注册登记</w:t>
            </w:r>
            <w:r>
              <w:rPr>
                <w:rFonts w:ascii="宋体" w:hAnsi="宋体"/>
              </w:rPr>
              <w:t>，否则采购人有权拒绝签发中标通知书</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77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Theme="majorEastAsia" w:hAnsiTheme="majorEastAsia" w:eastAsiaTheme="majorEastAsia"/>
                <w:bCs/>
                <w:szCs w:val="21"/>
                <w:lang w:val="en-US" w:eastAsia="zh-CN"/>
              </w:rPr>
            </w:pPr>
            <w:r>
              <w:rPr>
                <w:rFonts w:hint="eastAsia" w:asciiTheme="majorEastAsia" w:hAnsiTheme="majorEastAsia" w:eastAsiaTheme="majorEastAsia"/>
                <w:szCs w:val="21"/>
                <w:lang w:val="en-US" w:eastAsia="zh-CN"/>
              </w:rPr>
              <w:t>9</w:t>
            </w:r>
          </w:p>
        </w:tc>
        <w:tc>
          <w:tcPr>
            <w:tcW w:w="78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rPr>
            </w:pPr>
            <w:r>
              <w:rPr>
                <w:rFonts w:hint="eastAsia" w:ascii="宋体" w:hAnsi="宋体"/>
                <w:szCs w:val="21"/>
              </w:rPr>
              <w:t>投标截止时间及开标时间：2019年</w:t>
            </w:r>
            <w:r>
              <w:rPr>
                <w:rFonts w:hint="eastAsia" w:ascii="宋体" w:hAnsi="宋体"/>
                <w:szCs w:val="21"/>
                <w:lang w:val="en-US" w:eastAsia="zh-CN"/>
              </w:rPr>
              <w:t>11</w:t>
            </w:r>
            <w:r>
              <w:rPr>
                <w:rFonts w:hint="eastAsia" w:ascii="宋体" w:hAnsi="宋体"/>
                <w:szCs w:val="21"/>
              </w:rPr>
              <w:t>月</w:t>
            </w:r>
            <w:r>
              <w:rPr>
                <w:rFonts w:hint="eastAsia" w:ascii="宋体" w:hAnsi="宋体"/>
                <w:szCs w:val="21"/>
                <w:lang w:val="en-US" w:eastAsia="zh-CN"/>
              </w:rPr>
              <w:t>5</w:t>
            </w:r>
            <w:r>
              <w:rPr>
                <w:rFonts w:hint="eastAsia" w:ascii="宋体" w:hAnsi="宋体"/>
                <w:szCs w:val="21"/>
              </w:rPr>
              <w:t>日</w:t>
            </w:r>
            <w:r>
              <w:rPr>
                <w:rFonts w:hint="eastAsia" w:ascii="宋体" w:hAnsi="宋体"/>
                <w:szCs w:val="21"/>
                <w:lang w:val="en-US" w:eastAsia="zh-CN"/>
              </w:rPr>
              <w:t>14</w:t>
            </w:r>
            <w:r>
              <w:rPr>
                <w:rFonts w:hint="eastAsia" w:ascii="宋体" w:hAnsi="宋体"/>
                <w:szCs w:val="21"/>
              </w:rPr>
              <w:t>:00。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jc w:val="center"/>
        </w:trPr>
        <w:tc>
          <w:tcPr>
            <w:tcW w:w="77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default" w:asciiTheme="majorEastAsia" w:hAnsiTheme="majorEastAsia" w:eastAsiaTheme="majorEastAsia"/>
                <w:szCs w:val="21"/>
                <w:lang w:val="en-US" w:eastAsia="zh-CN"/>
              </w:rPr>
            </w:pPr>
            <w:r>
              <w:rPr>
                <w:rFonts w:hint="eastAsia" w:asciiTheme="majorEastAsia" w:hAnsiTheme="majorEastAsia" w:eastAsiaTheme="majorEastAsia"/>
                <w:szCs w:val="21"/>
                <w:lang w:val="en-US" w:eastAsia="zh-CN"/>
              </w:rPr>
              <w:t>10</w:t>
            </w:r>
          </w:p>
        </w:tc>
        <w:tc>
          <w:tcPr>
            <w:tcW w:w="7827"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asciiTheme="majorEastAsia" w:hAnsiTheme="majorEastAsia" w:eastAsiaTheme="majorEastAsia"/>
                <w:szCs w:val="21"/>
              </w:rPr>
            </w:pPr>
            <w:r>
              <w:rPr>
                <w:rFonts w:asciiTheme="majorEastAsia" w:hAnsiTheme="majorEastAsia" w:eastAsiaTheme="majorEastAsia"/>
                <w:szCs w:val="21"/>
              </w:rPr>
              <w:t>解释：本招标文件的解释权属于招标采购单位。</w:t>
            </w:r>
          </w:p>
        </w:tc>
      </w:tr>
    </w:tbl>
    <w:p>
      <w:pPr>
        <w:spacing w:line="400" w:lineRule="exact"/>
        <w:ind w:firstLine="420" w:firstLineChars="200"/>
        <w:rPr>
          <w:rFonts w:ascii="宋体" w:hAnsi="宋体"/>
          <w:szCs w:val="21"/>
        </w:rPr>
      </w:pPr>
      <w:r>
        <w:rPr>
          <w:rFonts w:hint="eastAsia"/>
        </w:rPr>
        <w:br w:type="page"/>
      </w:r>
      <w:r>
        <w:rPr>
          <w:rFonts w:hint="eastAsia" w:ascii="宋体" w:hAnsi="宋体"/>
          <w:szCs w:val="21"/>
        </w:rPr>
        <w:t>一、总  则</w:t>
      </w:r>
    </w:p>
    <w:p>
      <w:pPr>
        <w:spacing w:line="400" w:lineRule="exact"/>
        <w:ind w:firstLine="420" w:firstLineChars="200"/>
        <w:rPr>
          <w:rFonts w:ascii="宋体" w:hAnsi="宋体"/>
          <w:szCs w:val="21"/>
        </w:rPr>
      </w:pPr>
      <w:r>
        <w:rPr>
          <w:rFonts w:hint="eastAsia" w:ascii="宋体" w:hAnsi="宋体"/>
          <w:szCs w:val="21"/>
        </w:rPr>
        <w:t>（一）</w:t>
      </w:r>
      <w:r>
        <w:rPr>
          <w:rFonts w:ascii="宋体" w:hAnsi="宋体"/>
          <w:szCs w:val="21"/>
        </w:rPr>
        <w:t>适用范围</w:t>
      </w:r>
    </w:p>
    <w:p>
      <w:pPr>
        <w:spacing w:line="400" w:lineRule="exact"/>
        <w:ind w:firstLine="420" w:firstLineChars="200"/>
        <w:rPr>
          <w:rFonts w:ascii="宋体" w:hAnsi="宋体"/>
          <w:szCs w:val="21"/>
        </w:rPr>
      </w:pPr>
      <w:r>
        <w:rPr>
          <w:rFonts w:hint="eastAsia" w:ascii="宋体" w:hAnsi="宋体"/>
          <w:szCs w:val="21"/>
        </w:rPr>
        <w:t>本招标文件适用于本项目投标、评标、定标、验收、合同履约、付款等行为（法律、法规另有规定的，从其规定）。</w:t>
      </w:r>
    </w:p>
    <w:p>
      <w:pPr>
        <w:spacing w:line="400" w:lineRule="exact"/>
        <w:ind w:firstLine="420" w:firstLineChars="200"/>
        <w:rPr>
          <w:rFonts w:ascii="宋体" w:hAnsi="宋体"/>
          <w:szCs w:val="21"/>
        </w:rPr>
      </w:pPr>
      <w:r>
        <w:rPr>
          <w:rFonts w:hint="eastAsia" w:ascii="宋体" w:hAnsi="宋体"/>
          <w:szCs w:val="21"/>
        </w:rPr>
        <w:t>（二）定义</w:t>
      </w:r>
    </w:p>
    <w:p>
      <w:pPr>
        <w:spacing w:line="400" w:lineRule="exact"/>
        <w:ind w:firstLine="420" w:firstLineChars="200"/>
        <w:rPr>
          <w:rFonts w:ascii="宋体" w:hAnsi="宋体"/>
          <w:szCs w:val="21"/>
        </w:rPr>
      </w:pPr>
      <w:r>
        <w:rPr>
          <w:rFonts w:ascii="宋体" w:hAnsi="宋体"/>
          <w:szCs w:val="21"/>
        </w:rPr>
        <w:t>1</w:t>
      </w:r>
      <w:r>
        <w:rPr>
          <w:rFonts w:hint="eastAsia" w:ascii="宋体" w:hAnsi="宋体"/>
          <w:szCs w:val="21"/>
        </w:rPr>
        <w:t>.</w:t>
      </w:r>
      <w:r>
        <w:rPr>
          <w:rFonts w:ascii="宋体" w:hAnsi="宋体"/>
          <w:szCs w:val="21"/>
        </w:rPr>
        <w:t>招标采购单位系指组织本次招标的代理机构和采购单位（“</w:t>
      </w:r>
      <w:r>
        <w:rPr>
          <w:rFonts w:hint="eastAsia" w:ascii="宋体" w:hAnsi="宋体"/>
          <w:szCs w:val="21"/>
        </w:rPr>
        <w:t>采购</w:t>
      </w:r>
      <w:r>
        <w:rPr>
          <w:rFonts w:ascii="宋体" w:hAnsi="宋体"/>
          <w:szCs w:val="21"/>
        </w:rPr>
        <w:t>人”）。</w:t>
      </w:r>
    </w:p>
    <w:p>
      <w:pPr>
        <w:spacing w:line="400" w:lineRule="exact"/>
        <w:ind w:firstLine="420" w:firstLineChars="200"/>
        <w:rPr>
          <w:rFonts w:ascii="宋体" w:hAnsi="宋体"/>
          <w:szCs w:val="21"/>
        </w:rPr>
      </w:pPr>
      <w:r>
        <w:rPr>
          <w:rFonts w:ascii="宋体" w:hAnsi="宋体"/>
          <w:szCs w:val="21"/>
        </w:rPr>
        <w:t>2</w:t>
      </w:r>
      <w:r>
        <w:rPr>
          <w:rFonts w:hint="eastAsia" w:ascii="宋体" w:hAnsi="宋体"/>
          <w:szCs w:val="21"/>
        </w:rPr>
        <w:t>.“</w:t>
      </w:r>
      <w:r>
        <w:rPr>
          <w:rFonts w:ascii="宋体" w:hAnsi="宋体"/>
          <w:szCs w:val="21"/>
        </w:rPr>
        <w:t>投标人”系指向采购人提交投标文件的单位或个人。</w:t>
      </w:r>
    </w:p>
    <w:p>
      <w:pPr>
        <w:spacing w:line="400" w:lineRule="exact"/>
        <w:ind w:firstLine="420" w:firstLineChars="200"/>
        <w:rPr>
          <w:rFonts w:ascii="宋体" w:hAnsi="宋体"/>
          <w:szCs w:val="21"/>
        </w:rPr>
      </w:pPr>
      <w:r>
        <w:rPr>
          <w:rFonts w:ascii="宋体" w:hAnsi="宋体"/>
          <w:szCs w:val="21"/>
        </w:rPr>
        <w:t>3</w:t>
      </w:r>
      <w:r>
        <w:rPr>
          <w:rFonts w:hint="eastAsia" w:ascii="宋体" w:hAnsi="宋体"/>
          <w:szCs w:val="21"/>
        </w:rPr>
        <w:t>.</w:t>
      </w:r>
      <w:r>
        <w:rPr>
          <w:rFonts w:ascii="宋体" w:hAnsi="宋体"/>
          <w:szCs w:val="21"/>
        </w:rPr>
        <w:t>“产品”系指供方按招标文件规定，须向采购人提供的一切设备、保险、税金、备品备件、工具、手册及其它有关技术资料和材料。</w:t>
      </w:r>
    </w:p>
    <w:p>
      <w:pPr>
        <w:spacing w:line="400" w:lineRule="exact"/>
        <w:ind w:firstLine="420" w:firstLineChars="200"/>
        <w:rPr>
          <w:rFonts w:ascii="宋体" w:hAnsi="宋体"/>
          <w:szCs w:val="21"/>
        </w:rPr>
      </w:pPr>
      <w:r>
        <w:rPr>
          <w:rFonts w:ascii="宋体" w:hAnsi="宋体"/>
          <w:szCs w:val="21"/>
        </w:rPr>
        <w:t>4</w:t>
      </w:r>
      <w:r>
        <w:rPr>
          <w:rFonts w:hint="eastAsia" w:ascii="宋体" w:hAnsi="宋体"/>
          <w:szCs w:val="21"/>
        </w:rPr>
        <w:t>.</w:t>
      </w:r>
      <w:r>
        <w:rPr>
          <w:rFonts w:ascii="宋体" w:hAnsi="宋体"/>
          <w:szCs w:val="21"/>
        </w:rPr>
        <w:t>“服务”</w:t>
      </w:r>
      <w:r>
        <w:rPr>
          <w:rFonts w:hint="eastAsia" w:ascii="宋体" w:hAnsi="宋体"/>
          <w:szCs w:val="21"/>
        </w:rPr>
        <w:t>指采购文件中所述服务。</w:t>
      </w:r>
    </w:p>
    <w:p>
      <w:pPr>
        <w:spacing w:line="400" w:lineRule="exact"/>
        <w:ind w:firstLine="420" w:firstLineChars="200"/>
        <w:rPr>
          <w:rFonts w:ascii="宋体" w:hAnsi="宋体"/>
          <w:szCs w:val="21"/>
        </w:rPr>
      </w:pPr>
      <w:r>
        <w:rPr>
          <w:rFonts w:ascii="宋体" w:hAnsi="宋体"/>
          <w:szCs w:val="21"/>
        </w:rPr>
        <w:t>5</w:t>
      </w:r>
      <w:r>
        <w:rPr>
          <w:rFonts w:hint="eastAsia" w:ascii="宋体" w:hAnsi="宋体"/>
          <w:szCs w:val="21"/>
        </w:rPr>
        <w:t>.</w:t>
      </w:r>
      <w:r>
        <w:rPr>
          <w:rFonts w:ascii="宋体" w:hAnsi="宋体"/>
          <w:szCs w:val="21"/>
        </w:rPr>
        <w:t>“项目”系指投标人按招标文件规定向采购人提供的产品和服务。</w:t>
      </w:r>
    </w:p>
    <w:p>
      <w:pPr>
        <w:spacing w:line="400" w:lineRule="exact"/>
        <w:ind w:firstLine="420" w:firstLineChars="200"/>
        <w:rPr>
          <w:rFonts w:ascii="宋体" w:hAnsi="宋体"/>
          <w:szCs w:val="21"/>
        </w:rPr>
      </w:pPr>
      <w:r>
        <w:rPr>
          <w:rFonts w:hint="eastAsia" w:ascii="宋体" w:hAnsi="宋体"/>
          <w:szCs w:val="21"/>
        </w:rPr>
        <w:t>6.</w:t>
      </w:r>
      <w:r>
        <w:rPr>
          <w:rFonts w:ascii="宋体" w:hAnsi="宋体"/>
          <w:szCs w:val="21"/>
        </w:rPr>
        <w:t>“</w:t>
      </w:r>
      <w:r>
        <w:rPr>
          <w:rFonts w:hint="eastAsia" w:ascii="宋体" w:hAnsi="宋体"/>
          <w:szCs w:val="21"/>
        </w:rPr>
        <w:t>★</w:t>
      </w:r>
      <w:r>
        <w:rPr>
          <w:rFonts w:ascii="宋体" w:hAnsi="宋体"/>
          <w:szCs w:val="21"/>
        </w:rPr>
        <w:t>”系指实质性要求条款。</w:t>
      </w:r>
    </w:p>
    <w:p>
      <w:pPr>
        <w:spacing w:line="400" w:lineRule="exact"/>
        <w:ind w:firstLine="420" w:firstLineChars="200"/>
        <w:rPr>
          <w:rFonts w:ascii="宋体" w:hAnsi="宋体"/>
          <w:szCs w:val="21"/>
        </w:rPr>
      </w:pPr>
      <w:r>
        <w:rPr>
          <w:rFonts w:hint="eastAsia" w:ascii="宋体" w:hAnsi="宋体"/>
          <w:szCs w:val="21"/>
        </w:rPr>
        <w:t>（三）合格的投标产品或服务</w:t>
      </w:r>
    </w:p>
    <w:p>
      <w:pPr>
        <w:spacing w:line="400" w:lineRule="exact"/>
        <w:ind w:firstLine="420" w:firstLineChars="200"/>
        <w:rPr>
          <w:rFonts w:ascii="宋体" w:hAnsi="宋体"/>
          <w:szCs w:val="21"/>
        </w:rPr>
      </w:pPr>
      <w:r>
        <w:rPr>
          <w:rFonts w:hint="eastAsia" w:ascii="宋体" w:hAnsi="宋体"/>
          <w:szCs w:val="21"/>
        </w:rPr>
        <w:t>应该是中国境内提供的投标产品或服务。</w:t>
      </w:r>
    </w:p>
    <w:p>
      <w:pPr>
        <w:spacing w:line="400" w:lineRule="exact"/>
        <w:ind w:firstLine="420" w:firstLineChars="200"/>
        <w:rPr>
          <w:rFonts w:ascii="宋体" w:hAnsi="宋体"/>
          <w:szCs w:val="21"/>
        </w:rPr>
      </w:pPr>
      <w:r>
        <w:rPr>
          <w:rFonts w:hint="eastAsia" w:ascii="宋体" w:hAnsi="宋体"/>
          <w:szCs w:val="21"/>
        </w:rPr>
        <w:t>若投标产品或服务属于国家实行许可证制度或生产注册证制度的产品或服务，则应具备相应有效的证书。</w:t>
      </w:r>
    </w:p>
    <w:p>
      <w:pPr>
        <w:spacing w:line="400" w:lineRule="exact"/>
        <w:ind w:firstLine="420" w:firstLineChars="200"/>
        <w:rPr>
          <w:rFonts w:ascii="宋体" w:hAnsi="宋体"/>
          <w:szCs w:val="21"/>
        </w:rPr>
      </w:pPr>
      <w:bookmarkStart w:id="12" w:name="_Toc304292180"/>
      <w:bookmarkStart w:id="13" w:name="_Toc317685562"/>
      <w:r>
        <w:rPr>
          <w:rFonts w:hint="eastAsia" w:ascii="宋体" w:hAnsi="宋体"/>
          <w:szCs w:val="21"/>
        </w:rPr>
        <w:t>（四）投标委</w:t>
      </w:r>
      <w:bookmarkEnd w:id="12"/>
      <w:bookmarkEnd w:id="13"/>
      <w:r>
        <w:rPr>
          <w:rFonts w:hint="eastAsia" w:ascii="宋体" w:hAnsi="宋体"/>
          <w:szCs w:val="21"/>
        </w:rPr>
        <w:t>托</w:t>
      </w:r>
    </w:p>
    <w:p>
      <w:pPr>
        <w:spacing w:line="400" w:lineRule="exact"/>
        <w:ind w:firstLine="420" w:firstLineChars="200"/>
        <w:rPr>
          <w:rFonts w:ascii="宋体" w:hAnsi="宋体"/>
          <w:szCs w:val="21"/>
        </w:rPr>
      </w:pPr>
      <w:r>
        <w:rPr>
          <w:rFonts w:hint="eastAsia" w:ascii="宋体" w:hAnsi="宋体"/>
          <w:szCs w:val="21"/>
        </w:rPr>
        <w:t>投标人</w:t>
      </w:r>
      <w:r>
        <w:rPr>
          <w:rFonts w:ascii="宋体" w:hAnsi="宋体"/>
          <w:szCs w:val="21"/>
        </w:rPr>
        <w:t>代表须携带</w:t>
      </w:r>
      <w:r>
        <w:rPr>
          <w:rFonts w:hint="eastAsia" w:ascii="宋体" w:hAnsi="宋体"/>
          <w:szCs w:val="21"/>
        </w:rPr>
        <w:t>有效</w:t>
      </w:r>
      <w:r>
        <w:rPr>
          <w:rFonts w:ascii="宋体" w:hAnsi="宋体"/>
          <w:szCs w:val="21"/>
        </w:rPr>
        <w:t>身份证</w:t>
      </w:r>
      <w:r>
        <w:rPr>
          <w:rFonts w:hint="eastAsia" w:ascii="宋体" w:hAnsi="宋体"/>
          <w:szCs w:val="21"/>
        </w:rPr>
        <w:t>件</w:t>
      </w:r>
      <w:r>
        <w:rPr>
          <w:rFonts w:ascii="宋体" w:hAnsi="宋体"/>
          <w:szCs w:val="21"/>
        </w:rPr>
        <w:t>。如</w:t>
      </w:r>
      <w:r>
        <w:rPr>
          <w:rFonts w:hint="eastAsia" w:ascii="宋体" w:hAnsi="宋体"/>
          <w:szCs w:val="21"/>
        </w:rPr>
        <w:t>投标人</w:t>
      </w:r>
      <w:r>
        <w:rPr>
          <w:rFonts w:ascii="宋体" w:hAnsi="宋体"/>
          <w:szCs w:val="21"/>
        </w:rPr>
        <w:t>代表不是法定代表人／负责人，须有法定代表人／负责人出具的授权委托书（正本用原件，副本</w:t>
      </w:r>
      <w:r>
        <w:rPr>
          <w:rFonts w:hint="eastAsia" w:ascii="宋体" w:hAnsi="宋体"/>
          <w:szCs w:val="21"/>
        </w:rPr>
        <w:t>可</w:t>
      </w:r>
      <w:r>
        <w:rPr>
          <w:rFonts w:ascii="宋体" w:hAnsi="宋体"/>
          <w:szCs w:val="21"/>
        </w:rPr>
        <w:t>用复印件，格式见</w:t>
      </w:r>
      <w:r>
        <w:rPr>
          <w:rFonts w:hint="eastAsia" w:ascii="宋体" w:hAnsi="宋体"/>
          <w:szCs w:val="21"/>
        </w:rPr>
        <w:t>附件</w:t>
      </w:r>
      <w:r>
        <w:rPr>
          <w:rFonts w:ascii="宋体" w:hAnsi="宋体"/>
          <w:szCs w:val="21"/>
        </w:rPr>
        <w:t>）</w:t>
      </w:r>
      <w:r>
        <w:rPr>
          <w:rFonts w:hint="eastAsia" w:ascii="宋体" w:hAnsi="宋体"/>
          <w:szCs w:val="21"/>
        </w:rPr>
        <w:t>，</w:t>
      </w:r>
      <w:bookmarkStart w:id="14" w:name="_Toc304292181"/>
      <w:bookmarkStart w:id="15" w:name="_Toc317685563"/>
      <w:r>
        <w:rPr>
          <w:rFonts w:hint="eastAsia"/>
        </w:rPr>
        <w:t>银行、保险、石油石化、电力、电信、移动、联通</w:t>
      </w:r>
      <w:r>
        <w:rPr>
          <w:rFonts w:hint="eastAsia" w:ascii="宋体" w:hAnsi="宋体"/>
          <w:szCs w:val="21"/>
        </w:rPr>
        <w:t>等分支机构可提供分支机构负责人授权书。</w:t>
      </w:r>
    </w:p>
    <w:p>
      <w:pPr>
        <w:spacing w:line="400" w:lineRule="exact"/>
        <w:ind w:firstLine="420" w:firstLineChars="200"/>
        <w:rPr>
          <w:rFonts w:ascii="宋体" w:hAnsi="宋体"/>
          <w:szCs w:val="21"/>
        </w:rPr>
      </w:pPr>
      <w:r>
        <w:rPr>
          <w:rFonts w:hint="eastAsia" w:ascii="宋体" w:hAnsi="宋体"/>
          <w:szCs w:val="21"/>
        </w:rPr>
        <w:t>（五）</w:t>
      </w:r>
      <w:bookmarkEnd w:id="14"/>
      <w:bookmarkEnd w:id="15"/>
      <w:r>
        <w:rPr>
          <w:rFonts w:hint="eastAsia" w:ascii="宋体" w:hAnsi="宋体"/>
          <w:szCs w:val="21"/>
        </w:rPr>
        <w:t>踏勘现场和投标费用</w:t>
      </w:r>
    </w:p>
    <w:p>
      <w:pPr>
        <w:spacing w:line="400" w:lineRule="exact"/>
        <w:ind w:firstLine="420" w:firstLineChars="200"/>
        <w:rPr>
          <w:rFonts w:ascii="宋体" w:hAnsi="宋体"/>
          <w:szCs w:val="21"/>
        </w:rPr>
      </w:pPr>
      <w:r>
        <w:rPr>
          <w:rFonts w:hint="eastAsia" w:ascii="宋体" w:hAnsi="宋体"/>
          <w:szCs w:val="21"/>
        </w:rPr>
        <w:t>1.供应商可以对安装现场及周围环境进行踏勘，以便获取有关编制投标文件和签署合同所涉及现场的资料。供应商应承担踏勘现场所发生的自身费用。</w:t>
      </w:r>
    </w:p>
    <w:p>
      <w:pPr>
        <w:spacing w:line="400" w:lineRule="exact"/>
        <w:ind w:firstLine="420" w:firstLineChars="200"/>
        <w:rPr>
          <w:rFonts w:ascii="宋体" w:hAnsi="宋体"/>
          <w:szCs w:val="21"/>
        </w:rPr>
      </w:pPr>
      <w:r>
        <w:rPr>
          <w:rFonts w:hint="eastAsia" w:ascii="宋体" w:hAnsi="宋体"/>
          <w:szCs w:val="21"/>
        </w:rPr>
        <w:t>2.采购人向供应商提供的有关现场的数据和资料，是采购人现有的能被供应商利用的资料，采购人对供应商做出的任何推论、理解和结论不负责任。</w:t>
      </w:r>
    </w:p>
    <w:p>
      <w:pPr>
        <w:spacing w:line="400" w:lineRule="exact"/>
        <w:ind w:firstLine="420" w:firstLineChars="200"/>
        <w:rPr>
          <w:rFonts w:ascii="宋体" w:hAnsi="宋体"/>
          <w:szCs w:val="21"/>
        </w:rPr>
      </w:pPr>
      <w:r>
        <w:rPr>
          <w:rFonts w:hint="eastAsia" w:ascii="宋体" w:hAnsi="宋体"/>
          <w:szCs w:val="21"/>
        </w:rPr>
        <w:t>3.经采购人允许，供应商可为踏勘目的进入采购人的项目现场，但供应商不得因此使采购人承担有关的责任和蒙受损失。供应商应承担踏勘现场的责任和风险。</w:t>
      </w:r>
    </w:p>
    <w:p>
      <w:pPr>
        <w:spacing w:line="400" w:lineRule="exact"/>
        <w:ind w:firstLine="420" w:firstLineChars="200"/>
        <w:rPr>
          <w:rFonts w:ascii="宋体" w:hAnsi="宋体"/>
          <w:szCs w:val="21"/>
        </w:rPr>
      </w:pPr>
      <w:r>
        <w:rPr>
          <w:rFonts w:hint="eastAsia" w:ascii="宋体" w:hAnsi="宋体"/>
          <w:szCs w:val="21"/>
        </w:rPr>
        <w:t>4.无论投标结果如何，投标人自行承担其所有与参加投标有关的全部费用。</w:t>
      </w:r>
    </w:p>
    <w:p>
      <w:pPr>
        <w:spacing w:line="400" w:lineRule="exact"/>
        <w:ind w:firstLine="420" w:firstLineChars="200"/>
        <w:rPr>
          <w:rFonts w:ascii="宋体" w:hAnsi="宋体"/>
          <w:szCs w:val="21"/>
        </w:rPr>
      </w:pPr>
      <w:r>
        <w:rPr>
          <w:rFonts w:hint="eastAsia" w:ascii="宋体" w:hAnsi="宋体"/>
          <w:szCs w:val="21"/>
        </w:rPr>
        <w:t>（六）转包与分包</w:t>
      </w:r>
    </w:p>
    <w:p>
      <w:pPr>
        <w:spacing w:line="400" w:lineRule="exact"/>
        <w:ind w:firstLine="420" w:firstLineChars="200"/>
        <w:rPr>
          <w:rFonts w:ascii="宋体" w:hAnsi="宋体"/>
          <w:szCs w:val="21"/>
        </w:rPr>
      </w:pPr>
      <w:r>
        <w:rPr>
          <w:rFonts w:ascii="宋体" w:hAnsi="宋体"/>
          <w:szCs w:val="21"/>
        </w:rPr>
        <w:t>1</w:t>
      </w:r>
      <w:r>
        <w:rPr>
          <w:rFonts w:hint="eastAsia" w:ascii="宋体" w:hAnsi="宋体"/>
          <w:szCs w:val="21"/>
        </w:rPr>
        <w:t>.</w:t>
      </w:r>
      <w:r>
        <w:rPr>
          <w:rFonts w:ascii="宋体" w:hAnsi="宋体"/>
          <w:szCs w:val="21"/>
        </w:rPr>
        <w:t>本项目不允许转包。</w:t>
      </w:r>
    </w:p>
    <w:p>
      <w:pPr>
        <w:spacing w:line="400" w:lineRule="exact"/>
        <w:ind w:firstLine="420" w:firstLineChars="200"/>
        <w:rPr>
          <w:rFonts w:ascii="宋体" w:hAnsi="宋体"/>
          <w:szCs w:val="21"/>
        </w:rPr>
      </w:pPr>
      <w:r>
        <w:rPr>
          <w:rFonts w:ascii="宋体" w:hAnsi="宋体"/>
          <w:szCs w:val="21"/>
        </w:rPr>
        <w:t>2</w:t>
      </w:r>
      <w:r>
        <w:rPr>
          <w:rFonts w:hint="eastAsia" w:ascii="宋体" w:hAnsi="宋体"/>
          <w:szCs w:val="21"/>
        </w:rPr>
        <w:t>.</w:t>
      </w:r>
      <w:r>
        <w:rPr>
          <w:rFonts w:ascii="宋体" w:hAnsi="宋体"/>
          <w:szCs w:val="21"/>
        </w:rPr>
        <w:t>本项目不可以分包</w:t>
      </w:r>
      <w:r>
        <w:rPr>
          <w:rFonts w:hint="eastAsia" w:ascii="宋体" w:hAnsi="宋体"/>
          <w:szCs w:val="21"/>
        </w:rPr>
        <w:t>。</w:t>
      </w:r>
    </w:p>
    <w:p>
      <w:pPr>
        <w:spacing w:line="400" w:lineRule="exact"/>
        <w:ind w:firstLine="420" w:firstLineChars="200"/>
        <w:rPr>
          <w:rFonts w:ascii="宋体" w:hAnsi="宋体"/>
          <w:szCs w:val="21"/>
        </w:rPr>
      </w:pPr>
      <w:r>
        <w:rPr>
          <w:rFonts w:hint="eastAsia" w:ascii="宋体" w:hAnsi="宋体"/>
          <w:szCs w:val="21"/>
        </w:rPr>
        <w:t>（七）特别说明：</w:t>
      </w:r>
    </w:p>
    <w:p>
      <w:pPr>
        <w:spacing w:line="400" w:lineRule="exact"/>
        <w:ind w:firstLine="420" w:firstLineChars="200"/>
        <w:rPr>
          <w:rFonts w:hint="eastAsia" w:ascii="宋体" w:hAnsi="宋体"/>
          <w:szCs w:val="21"/>
        </w:rPr>
      </w:pPr>
      <w:r>
        <w:rPr>
          <w:rFonts w:hint="eastAsia" w:ascii="宋体" w:hAnsi="宋体"/>
          <w:szCs w:val="21"/>
        </w:rPr>
        <w:t>★1.单位负责人为同一人或者存在直接控股、管理关系的不同供应商，不得参加同一合同项下的政府采购活动。除单一来源外，为项目提供整体设计、规范编制或者项目管理、监理、检测等服务的供应商不得参加同一合同项下的政府采购活动。</w:t>
      </w:r>
    </w:p>
    <w:p>
      <w:pPr>
        <w:spacing w:line="400" w:lineRule="exact"/>
        <w:ind w:firstLine="420" w:firstLineChars="200"/>
        <w:rPr>
          <w:rFonts w:hint="eastAsia" w:ascii="宋体" w:hAnsi="宋体"/>
          <w:szCs w:val="21"/>
        </w:rPr>
      </w:pPr>
      <w:r>
        <w:rPr>
          <w:rFonts w:hint="eastAsia" w:ascii="宋体" w:hAnsi="宋体"/>
          <w:szCs w:val="21"/>
        </w:rPr>
        <w:t>★</w:t>
      </w:r>
      <w:r>
        <w:rPr>
          <w:rFonts w:hint="eastAsia" w:ascii="宋体" w:hAnsi="宋体"/>
          <w:szCs w:val="21"/>
          <w:lang w:val="en-US" w:eastAsia="zh-CN"/>
        </w:rPr>
        <w:t>2.</w:t>
      </w:r>
      <w:r>
        <w:rPr>
          <w:rFonts w:hint="eastAsia" w:ascii="宋体" w:hAnsi="宋体"/>
          <w:szCs w:val="21"/>
        </w:rPr>
        <w:t>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投标截止日当天在“信用中国”网站（www.creditchina.gov.cn）及中国政府采购网查询结果为准，如相关失信记录已失效，供应商需提供相关证明资料）；</w:t>
      </w:r>
    </w:p>
    <w:p>
      <w:pPr>
        <w:spacing w:line="400" w:lineRule="exact"/>
        <w:ind w:firstLine="420" w:firstLineChars="200"/>
        <w:rPr>
          <w:rFonts w:ascii="宋体" w:hAnsi="宋体"/>
          <w:szCs w:val="21"/>
        </w:rPr>
      </w:pPr>
    </w:p>
    <w:p>
      <w:pPr>
        <w:spacing w:line="400" w:lineRule="exact"/>
        <w:ind w:firstLine="422" w:firstLineChars="200"/>
        <w:rPr>
          <w:rFonts w:ascii="宋体" w:hAnsi="宋体"/>
          <w:b/>
          <w:szCs w:val="21"/>
        </w:rPr>
      </w:pPr>
      <w:r>
        <w:rPr>
          <w:rFonts w:hint="eastAsia" w:ascii="宋体" w:hAnsi="宋体" w:cs="宋体"/>
          <w:b/>
          <w:bCs/>
          <w:kern w:val="0"/>
          <w:szCs w:val="21"/>
        </w:rPr>
        <w:t>2.</w:t>
      </w:r>
      <w:r>
        <w:rPr>
          <w:rFonts w:hint="eastAsia" w:ascii="宋体" w:hAnsi="宋体"/>
          <w:b/>
          <w:szCs w:val="21"/>
        </w:rPr>
        <w:t>采用最低评标价法的采购项目，提供相同品牌产品的不同投标人参加同一合同项下投标的，以其中通过资格审查、符合性审查且报价最低的参加评标；报价相同的，采取随机抽取方式确定一个参加评标的投标人，其他投标无效。</w:t>
      </w:r>
    </w:p>
    <w:p>
      <w:pPr>
        <w:spacing w:line="400" w:lineRule="exact"/>
        <w:ind w:firstLine="422" w:firstLineChars="200"/>
        <w:rPr>
          <w:rFonts w:ascii="宋体" w:hAnsi="宋体"/>
          <w:b/>
          <w:szCs w:val="21"/>
        </w:rPr>
      </w:pPr>
      <w:r>
        <w:rPr>
          <w:rFonts w:hint="eastAsia" w:ascii="宋体" w:hAnsi="宋体"/>
          <w:b/>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400" w:lineRule="exact"/>
        <w:ind w:firstLine="420" w:firstLineChars="200"/>
        <w:rPr>
          <w:rFonts w:ascii="宋体" w:hAnsi="宋体"/>
          <w:szCs w:val="21"/>
        </w:rPr>
      </w:pPr>
      <w:r>
        <w:rPr>
          <w:rFonts w:hint="eastAsia" w:ascii="宋体" w:hAnsi="宋体"/>
          <w:szCs w:val="21"/>
        </w:rPr>
        <w:t>3.投标人</w:t>
      </w:r>
      <w:r>
        <w:rPr>
          <w:rFonts w:ascii="宋体" w:hAnsi="宋体"/>
          <w:szCs w:val="21"/>
        </w:rPr>
        <w:t>应仔细阅读采购文件的所有内容，按照采购文件的要求提交投标文件，并对所提供的全部资料的真实性承担法律责任。</w:t>
      </w:r>
    </w:p>
    <w:p>
      <w:pPr>
        <w:spacing w:line="400" w:lineRule="exact"/>
        <w:ind w:firstLine="420" w:firstLineChars="200"/>
        <w:rPr>
          <w:rFonts w:ascii="宋体" w:hAnsi="宋体"/>
          <w:szCs w:val="21"/>
        </w:rPr>
      </w:pPr>
      <w:r>
        <w:rPr>
          <w:rFonts w:hint="eastAsia" w:ascii="宋体" w:hAnsi="宋体"/>
          <w:szCs w:val="21"/>
        </w:rPr>
        <w:t>4.投标人</w:t>
      </w:r>
      <w:r>
        <w:rPr>
          <w:rFonts w:ascii="宋体" w:hAnsi="宋体"/>
          <w:szCs w:val="21"/>
        </w:rPr>
        <w:t>在投标活动中提供任何虚假材料,其投标无效，并报监管部门查处；中标后发现的,中标</w:t>
      </w:r>
      <w:r>
        <w:rPr>
          <w:rFonts w:hint="eastAsia" w:ascii="宋体" w:hAnsi="宋体"/>
          <w:szCs w:val="21"/>
        </w:rPr>
        <w:t>投标人</w:t>
      </w:r>
      <w:r>
        <w:rPr>
          <w:rFonts w:ascii="宋体" w:hAnsi="宋体"/>
          <w:szCs w:val="21"/>
        </w:rPr>
        <w:t>须依照《中华人民共和国消费者权益保护法》第49条之规定双倍赔偿采购人</w:t>
      </w:r>
      <w:r>
        <w:rPr>
          <w:rFonts w:hint="eastAsia" w:ascii="宋体" w:hAnsi="宋体"/>
          <w:szCs w:val="21"/>
        </w:rPr>
        <w:t>，</w:t>
      </w:r>
      <w:r>
        <w:rPr>
          <w:rFonts w:ascii="宋体" w:hAnsi="宋体"/>
          <w:szCs w:val="21"/>
        </w:rPr>
        <w:t>且民事赔偿并不免除违法</w:t>
      </w:r>
      <w:r>
        <w:rPr>
          <w:rFonts w:hint="eastAsia" w:ascii="宋体" w:hAnsi="宋体"/>
          <w:szCs w:val="21"/>
        </w:rPr>
        <w:t>投标人</w:t>
      </w:r>
      <w:r>
        <w:rPr>
          <w:rFonts w:ascii="宋体" w:hAnsi="宋体"/>
          <w:szCs w:val="21"/>
        </w:rPr>
        <w:t>的行政与刑事责任。</w:t>
      </w:r>
    </w:p>
    <w:p>
      <w:pPr>
        <w:spacing w:line="400" w:lineRule="exact"/>
        <w:ind w:firstLine="420" w:firstLineChars="200"/>
        <w:rPr>
          <w:rFonts w:ascii="宋体" w:hAnsi="宋体"/>
          <w:szCs w:val="21"/>
        </w:rPr>
      </w:pPr>
      <w:r>
        <w:rPr>
          <w:rFonts w:hint="eastAsia" w:ascii="宋体" w:hAnsi="宋体"/>
          <w:szCs w:val="21"/>
        </w:rPr>
        <w:t>5.</w:t>
      </w:r>
      <w:r>
        <w:rPr>
          <w:rFonts w:hint="eastAsia"/>
        </w:rPr>
        <w:t>银行、保险、石油石化、电力、电信、移动、联通</w:t>
      </w:r>
      <w:r>
        <w:rPr>
          <w:rFonts w:hint="eastAsia" w:ascii="宋体" w:hAnsi="宋体"/>
          <w:szCs w:val="21"/>
        </w:rPr>
        <w:t>等行业实行许可证管理的本地分支机构可直接参与投标，法人代表授权书可以为分公司负责人授权。</w:t>
      </w:r>
    </w:p>
    <w:p>
      <w:pPr>
        <w:spacing w:line="400" w:lineRule="exact"/>
        <w:ind w:firstLine="420" w:firstLineChars="200"/>
        <w:rPr>
          <w:rFonts w:ascii="宋体" w:hAnsi="宋体"/>
          <w:szCs w:val="21"/>
        </w:rPr>
      </w:pPr>
      <w:r>
        <w:rPr>
          <w:rFonts w:hint="eastAsia" w:ascii="宋体" w:hAnsi="宋体"/>
          <w:szCs w:val="21"/>
        </w:rPr>
        <w:t>（八）</w:t>
      </w:r>
      <w:r>
        <w:rPr>
          <w:rFonts w:ascii="宋体" w:hAnsi="宋体"/>
          <w:szCs w:val="21"/>
        </w:rPr>
        <w:t>质疑和投诉</w:t>
      </w:r>
    </w:p>
    <w:p>
      <w:pPr>
        <w:spacing w:line="400" w:lineRule="exact"/>
        <w:ind w:firstLine="420" w:firstLineChars="200"/>
        <w:rPr>
          <w:rFonts w:ascii="宋体" w:hAnsi="宋体"/>
          <w:szCs w:val="21"/>
        </w:rPr>
      </w:pPr>
      <w:r>
        <w:rPr>
          <w:rFonts w:hint="eastAsia" w:ascii="宋体" w:hAnsi="宋体"/>
          <w:szCs w:val="21"/>
        </w:rPr>
        <w:t>1.</w:t>
      </w:r>
      <w:r>
        <w:rPr>
          <w:rFonts w:ascii="宋体" w:hAnsi="宋体"/>
          <w:szCs w:val="21"/>
        </w:rPr>
        <w:t>供应商认为采购文件、采购过程、中标或者成交结果使自己的权益受到损害的，可以在知道或者应知其权益受到损害之日起7个工作日内，以书面形式向采购人、采购代理机构提出质疑。</w:t>
      </w:r>
    </w:p>
    <w:p>
      <w:pPr>
        <w:spacing w:line="400" w:lineRule="exact"/>
        <w:ind w:firstLine="420" w:firstLineChars="200"/>
        <w:rPr>
          <w:rFonts w:ascii="宋体" w:hAnsi="宋体"/>
          <w:szCs w:val="21"/>
        </w:rPr>
      </w:pPr>
      <w:r>
        <w:rPr>
          <w:rFonts w:hint="eastAsia" w:ascii="宋体" w:hAnsi="宋体"/>
          <w:szCs w:val="21"/>
        </w:rPr>
        <w:t>2.提出质疑的供应商应当是参与所质疑项目采购活动的供应商。未依法获取采购文件的，不得就采购文件提出质疑；未提交投标文件的供应商，视为与采购结果没有利害关系，不得就采购响应截止时间后的采购过程、采购结果提出质疑。</w:t>
      </w:r>
    </w:p>
    <w:p>
      <w:pPr>
        <w:spacing w:line="400" w:lineRule="exact"/>
        <w:ind w:firstLine="420" w:firstLineChars="200"/>
        <w:rPr>
          <w:rFonts w:ascii="宋体" w:hAnsi="宋体"/>
          <w:szCs w:val="21"/>
        </w:rPr>
      </w:pPr>
      <w:r>
        <w:rPr>
          <w:rFonts w:hint="eastAsia" w:ascii="宋体" w:hAnsi="宋体"/>
          <w:szCs w:val="21"/>
        </w:rPr>
        <w:t>3.供应商提出质疑应当提交质疑函和必要的证明材料，质疑函应当以书面形式提出，质疑函格式和内容须符合财政部《质疑函范本》要求，供应商自行下载财政部《质疑函范本》。</w:t>
      </w:r>
    </w:p>
    <w:p>
      <w:pPr>
        <w:spacing w:line="400" w:lineRule="exact"/>
        <w:ind w:firstLine="420" w:firstLineChars="200"/>
        <w:rPr>
          <w:rFonts w:ascii="宋体" w:hAnsi="宋体"/>
          <w:szCs w:val="21"/>
        </w:rPr>
      </w:pPr>
      <w:r>
        <w:rPr>
          <w:rFonts w:hint="eastAsia" w:ascii="宋体" w:hAnsi="宋体"/>
          <w:szCs w:val="21"/>
        </w:rPr>
        <w:t>4.接收书面质疑函的方式：质疑人可通过送达、邮寄、传真的形式提交书面质疑函，通过邮寄方式提交的书面质疑函以被质疑人签收邮件之日为收到书面质疑文件之日，通过传真方式提交的书面质疑函以被质疑人收到书面质疑文件原件之日为收到书面质疑文件之日。采购人和采购代理机构接收质疑函的联系方式：见本采购文件第一章相关联系方式。</w:t>
      </w:r>
    </w:p>
    <w:p>
      <w:pPr>
        <w:spacing w:line="400" w:lineRule="exact"/>
        <w:ind w:firstLine="420" w:firstLineChars="200"/>
        <w:rPr>
          <w:rFonts w:ascii="宋体" w:hAnsi="宋体"/>
          <w:szCs w:val="21"/>
        </w:rPr>
      </w:pPr>
      <w:r>
        <w:rPr>
          <w:rFonts w:hint="eastAsia" w:ascii="宋体" w:hAnsi="宋体"/>
          <w:szCs w:val="21"/>
        </w:rPr>
        <w:t>5.质疑供应商对采购人或采购代理机构的质疑答复不满意或者采购人或采购</w:t>
      </w:r>
      <w:bookmarkStart w:id="31" w:name="_GoBack"/>
      <w:bookmarkEnd w:id="31"/>
      <w:r>
        <w:rPr>
          <w:rFonts w:hint="eastAsia" w:ascii="宋体" w:hAnsi="宋体"/>
          <w:szCs w:val="21"/>
        </w:rPr>
        <w:t>代理机构未在规定时间内作出答复的，可以在答复期满后十五个工作日内向同级采购监管部门投诉。</w:t>
      </w:r>
    </w:p>
    <w:p>
      <w:pPr>
        <w:spacing w:line="400" w:lineRule="exact"/>
        <w:ind w:firstLine="420" w:firstLineChars="200"/>
        <w:rPr>
          <w:rFonts w:ascii="宋体" w:hAnsi="宋体"/>
          <w:szCs w:val="21"/>
        </w:rPr>
      </w:pPr>
      <w:r>
        <w:rPr>
          <w:rFonts w:ascii="宋体" w:hAnsi="宋体"/>
          <w:szCs w:val="21"/>
        </w:rPr>
        <w:t>二</w:t>
      </w:r>
      <w:r>
        <w:rPr>
          <w:rFonts w:hint="eastAsia" w:ascii="宋体" w:hAnsi="宋体"/>
          <w:szCs w:val="21"/>
        </w:rPr>
        <w:t>、</w:t>
      </w:r>
      <w:r>
        <w:rPr>
          <w:rFonts w:ascii="宋体" w:hAnsi="宋体"/>
          <w:szCs w:val="21"/>
        </w:rPr>
        <w:t>招标文件</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（一）招标文件的构成。本招标文件由以下部分组成：</w:t>
      </w:r>
    </w:p>
    <w:p>
      <w:pPr>
        <w:spacing w:line="40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rPr>
        <w:t>.采购</w:t>
      </w:r>
      <w:r>
        <w:rPr>
          <w:rFonts w:asciiTheme="minorEastAsia" w:hAnsiTheme="minorEastAsia" w:eastAsiaTheme="minorEastAsia"/>
          <w:szCs w:val="21"/>
        </w:rPr>
        <w:t>公告</w:t>
      </w:r>
    </w:p>
    <w:p>
      <w:pPr>
        <w:spacing w:line="40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2</w:t>
      </w:r>
      <w:r>
        <w:rPr>
          <w:rFonts w:hint="eastAsia" w:asciiTheme="minorEastAsia" w:hAnsiTheme="minorEastAsia" w:eastAsiaTheme="minorEastAsia"/>
          <w:szCs w:val="21"/>
        </w:rPr>
        <w:t>.</w:t>
      </w:r>
      <w:r>
        <w:rPr>
          <w:rFonts w:asciiTheme="minorEastAsia" w:hAnsiTheme="minorEastAsia" w:eastAsiaTheme="minorEastAsia"/>
          <w:szCs w:val="21"/>
        </w:rPr>
        <w:t>招标需求</w:t>
      </w:r>
    </w:p>
    <w:p>
      <w:pPr>
        <w:spacing w:line="40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3</w:t>
      </w:r>
      <w:r>
        <w:rPr>
          <w:rFonts w:hint="eastAsia" w:asciiTheme="minorEastAsia" w:hAnsiTheme="minorEastAsia" w:eastAsiaTheme="minorEastAsia"/>
          <w:szCs w:val="21"/>
        </w:rPr>
        <w:t>.</w:t>
      </w:r>
      <w:r>
        <w:rPr>
          <w:rFonts w:asciiTheme="minorEastAsia" w:hAnsiTheme="minorEastAsia" w:eastAsiaTheme="minorEastAsia"/>
          <w:szCs w:val="21"/>
        </w:rPr>
        <w:t>投标人须知</w:t>
      </w:r>
    </w:p>
    <w:p>
      <w:pPr>
        <w:spacing w:line="40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4</w:t>
      </w:r>
      <w:r>
        <w:rPr>
          <w:rFonts w:hint="eastAsia" w:asciiTheme="minorEastAsia" w:hAnsiTheme="minorEastAsia" w:eastAsiaTheme="minorEastAsia"/>
          <w:szCs w:val="21"/>
        </w:rPr>
        <w:t>.</w:t>
      </w:r>
      <w:r>
        <w:rPr>
          <w:rFonts w:asciiTheme="minorEastAsia" w:hAnsiTheme="minorEastAsia" w:eastAsiaTheme="minorEastAsia"/>
          <w:szCs w:val="21"/>
        </w:rPr>
        <w:t>评标办法及</w:t>
      </w:r>
      <w:r>
        <w:rPr>
          <w:rFonts w:hint="eastAsia" w:asciiTheme="minorEastAsia" w:hAnsiTheme="minorEastAsia" w:eastAsiaTheme="minorEastAsia"/>
          <w:szCs w:val="21"/>
        </w:rPr>
        <w:t>评分</w:t>
      </w:r>
      <w:r>
        <w:rPr>
          <w:rFonts w:asciiTheme="minorEastAsia" w:hAnsiTheme="minorEastAsia" w:eastAsiaTheme="minorEastAsia"/>
          <w:szCs w:val="21"/>
        </w:rPr>
        <w:t>标准</w:t>
      </w:r>
    </w:p>
    <w:p>
      <w:pPr>
        <w:spacing w:line="40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5</w:t>
      </w:r>
      <w:r>
        <w:rPr>
          <w:rFonts w:hint="eastAsia" w:asciiTheme="minorEastAsia" w:hAnsiTheme="minorEastAsia" w:eastAsiaTheme="minorEastAsia"/>
          <w:szCs w:val="21"/>
        </w:rPr>
        <w:t>.政府采购</w:t>
      </w:r>
      <w:r>
        <w:rPr>
          <w:rFonts w:asciiTheme="minorEastAsia" w:hAnsiTheme="minorEastAsia" w:eastAsiaTheme="minorEastAsia"/>
          <w:szCs w:val="21"/>
        </w:rPr>
        <w:t>合同主要条款</w:t>
      </w:r>
    </w:p>
    <w:p>
      <w:pPr>
        <w:spacing w:line="40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6</w:t>
      </w:r>
      <w:r>
        <w:rPr>
          <w:rFonts w:hint="eastAsia" w:asciiTheme="minorEastAsia" w:hAnsiTheme="minorEastAsia" w:eastAsiaTheme="minorEastAsia"/>
          <w:szCs w:val="21"/>
        </w:rPr>
        <w:t>.</w:t>
      </w:r>
      <w:r>
        <w:rPr>
          <w:rFonts w:asciiTheme="minorEastAsia" w:hAnsiTheme="minorEastAsia" w:eastAsiaTheme="minorEastAsia"/>
          <w:szCs w:val="21"/>
        </w:rPr>
        <w:t>投标文件格式</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7.本项目</w:t>
      </w:r>
      <w:r>
        <w:rPr>
          <w:rFonts w:asciiTheme="minorEastAsia" w:hAnsiTheme="minorEastAsia" w:eastAsiaTheme="minorEastAsia"/>
          <w:szCs w:val="21"/>
        </w:rPr>
        <w:t>招标文件</w:t>
      </w:r>
      <w:r>
        <w:rPr>
          <w:rFonts w:hint="eastAsia" w:asciiTheme="minorEastAsia" w:hAnsiTheme="minorEastAsia" w:eastAsiaTheme="minorEastAsia"/>
          <w:szCs w:val="21"/>
        </w:rPr>
        <w:t>的</w:t>
      </w:r>
      <w:r>
        <w:rPr>
          <w:rFonts w:asciiTheme="minorEastAsia" w:hAnsiTheme="minorEastAsia" w:eastAsiaTheme="minorEastAsia"/>
          <w:szCs w:val="21"/>
        </w:rPr>
        <w:t>澄清、答复、修改、补充的内容</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（二）投标人的风险</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投标人没有按照招标文件要求提供全部资料，或者投标人没有对招标文件在各方面作出实质性响应是投标人的风险，并可能导致其投标被拒绝。</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（三）招标文件的澄清与修改</w:t>
      </w:r>
    </w:p>
    <w:p>
      <w:pPr>
        <w:spacing w:line="40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rPr>
        <w:t>.招标文件的澄清：若潜在投标人对招标文件有疑点，要求采购人澄清（或要求与采购人进行技术交流），应以书面或传真形式通知宁波国际投资咨询有限公司，但不得使宁波国际投资咨询有限公司收到该通知的时间迟于开标前5天。为使潜在投标人有足够的时间依据招标文件的“更改通知”修改投标文件，宁波国际投资咨询有限公司应在投标截止时间15日前在宁海县公共资源交易信息网</w:t>
      </w:r>
      <w:r>
        <w:rPr>
          <w:rFonts w:asciiTheme="minorEastAsia" w:hAnsiTheme="minorEastAsia" w:eastAsiaTheme="minorEastAsia"/>
          <w:szCs w:val="21"/>
        </w:rPr>
        <w:t>(http://</w:t>
      </w:r>
      <w:r>
        <w:rPr>
          <w:rFonts w:hint="eastAsia" w:asciiTheme="minorEastAsia" w:hAnsiTheme="minorEastAsia" w:eastAsiaTheme="minorEastAsia"/>
          <w:szCs w:val="21"/>
          <w:lang w:eastAsia="zh-CN"/>
        </w:rPr>
        <w:t>ninghai.bidding</w:t>
      </w:r>
      <w:r>
        <w:rPr>
          <w:rFonts w:asciiTheme="minorEastAsia" w:hAnsiTheme="minorEastAsia" w:eastAsiaTheme="minorEastAsia"/>
          <w:szCs w:val="21"/>
        </w:rPr>
        <w:t>.gov.cn)</w:t>
      </w:r>
      <w:r>
        <w:rPr>
          <w:rFonts w:hint="eastAsia" w:asciiTheme="minorEastAsia" w:hAnsiTheme="minorEastAsia" w:eastAsiaTheme="minorEastAsia"/>
          <w:szCs w:val="21"/>
        </w:rPr>
        <w:t>、宁波政府采购网（</w:t>
      </w:r>
      <w:r>
        <w:rPr>
          <w:rFonts w:asciiTheme="minorEastAsia" w:hAnsiTheme="minorEastAsia" w:eastAsiaTheme="minorEastAsia"/>
          <w:szCs w:val="21"/>
        </w:rPr>
        <w:t>http://www.nbzfcg.cn</w:t>
      </w:r>
      <w:r>
        <w:rPr>
          <w:rFonts w:hint="eastAsia" w:asciiTheme="minorEastAsia" w:hAnsiTheme="minorEastAsia" w:eastAsiaTheme="minorEastAsia"/>
          <w:szCs w:val="21"/>
        </w:rPr>
        <w:t>）和浙江政府采购网（</w:t>
      </w:r>
      <w:r>
        <w:rPr>
          <w:rFonts w:asciiTheme="minorEastAsia" w:hAnsiTheme="minorEastAsia" w:eastAsiaTheme="minorEastAsia"/>
          <w:szCs w:val="21"/>
        </w:rPr>
        <w:t>http://www.zjzfcg.gov.cn</w:t>
      </w:r>
      <w:r>
        <w:rPr>
          <w:rFonts w:hint="eastAsia" w:asciiTheme="minorEastAsia" w:hAnsiTheme="minorEastAsia" w:eastAsiaTheme="minorEastAsia"/>
          <w:szCs w:val="21"/>
        </w:rPr>
        <w:t>）发布通知，若发出通知日距公告的投标截止期不足15天，采购人在通知书中应明确是否推迟投标截止和开标时间。</w:t>
      </w:r>
    </w:p>
    <w:p>
      <w:pPr>
        <w:spacing w:line="40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2</w:t>
      </w:r>
      <w:r>
        <w:rPr>
          <w:rFonts w:hint="eastAsia" w:asciiTheme="minorEastAsia" w:hAnsiTheme="minorEastAsia" w:eastAsiaTheme="minorEastAsia"/>
          <w:szCs w:val="21"/>
        </w:rPr>
        <w:t>.</w:t>
      </w:r>
      <w:r>
        <w:rPr>
          <w:rFonts w:asciiTheme="minorEastAsia" w:hAnsiTheme="minorEastAsia" w:eastAsiaTheme="minorEastAsia"/>
          <w:szCs w:val="21"/>
        </w:rPr>
        <w:t>招标文件澄清、答复、修改、补充的内容为招标文件的组成部分。当招标文件与招标文件的答复、澄清、修改、补充通知就同一内容的表述不一致时，以最后发出的文件为准。</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w:t>
      </w:r>
      <w:r>
        <w:rPr>
          <w:rFonts w:asciiTheme="minorEastAsia" w:hAnsiTheme="minorEastAsia" w:eastAsiaTheme="minorEastAsia"/>
          <w:szCs w:val="21"/>
        </w:rPr>
        <w:t>招标文件的澄清、答复、修改或补充都应该通过本代理机构以法定形式发布，采购人非通过本机构，不得擅自澄清、答复、修改或补充招标文件。</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4.所有投标人均有义务登陆宁海县公共资源交易信息网</w:t>
      </w:r>
      <w:r>
        <w:rPr>
          <w:rFonts w:asciiTheme="minorEastAsia" w:hAnsiTheme="minorEastAsia" w:eastAsiaTheme="minorEastAsia"/>
          <w:szCs w:val="21"/>
        </w:rPr>
        <w:t>(http://</w:t>
      </w:r>
      <w:r>
        <w:rPr>
          <w:rFonts w:hint="eastAsia" w:asciiTheme="minorEastAsia" w:hAnsiTheme="minorEastAsia" w:eastAsiaTheme="minorEastAsia"/>
          <w:szCs w:val="21"/>
          <w:lang w:eastAsia="zh-CN"/>
        </w:rPr>
        <w:t>ninghai.bidding</w:t>
      </w:r>
      <w:r>
        <w:rPr>
          <w:rFonts w:asciiTheme="minorEastAsia" w:hAnsiTheme="minorEastAsia" w:eastAsiaTheme="minorEastAsia"/>
          <w:szCs w:val="21"/>
        </w:rPr>
        <w:t>.gov.cn)</w:t>
      </w:r>
      <w:r>
        <w:rPr>
          <w:rFonts w:hint="eastAsia" w:asciiTheme="minorEastAsia" w:hAnsiTheme="minorEastAsia" w:eastAsiaTheme="minorEastAsia"/>
          <w:szCs w:val="21"/>
        </w:rPr>
        <w:t>、宁波政府采购网（</w:t>
      </w:r>
      <w:r>
        <w:rPr>
          <w:rFonts w:asciiTheme="minorEastAsia" w:hAnsiTheme="minorEastAsia" w:eastAsiaTheme="minorEastAsia"/>
          <w:szCs w:val="21"/>
        </w:rPr>
        <w:t>http://www.nbzfcg.cn</w:t>
      </w:r>
      <w:r>
        <w:rPr>
          <w:rFonts w:hint="eastAsia" w:asciiTheme="minorEastAsia" w:hAnsiTheme="minorEastAsia" w:eastAsiaTheme="minorEastAsia"/>
          <w:szCs w:val="21"/>
        </w:rPr>
        <w:t>）和浙江政府采购网（</w:t>
      </w:r>
      <w:r>
        <w:rPr>
          <w:rFonts w:asciiTheme="minorEastAsia" w:hAnsiTheme="minorEastAsia" w:eastAsiaTheme="minorEastAsia"/>
          <w:szCs w:val="21"/>
        </w:rPr>
        <w:t>http://www.zjzfcg.gov.cn</w:t>
      </w:r>
      <w:r>
        <w:rPr>
          <w:rFonts w:hint="eastAsia" w:asciiTheme="minorEastAsia" w:hAnsiTheme="minorEastAsia" w:eastAsiaTheme="minorEastAsia"/>
          <w:szCs w:val="21"/>
        </w:rPr>
        <w:t>）网站获取相关信息，分散采购机构发布在上述网站的修改通知，澄清说明等视为已送达各投标人且已为各投标人知悉，请各投标人密切关注。</w:t>
      </w:r>
    </w:p>
    <w:p>
      <w:pPr>
        <w:spacing w:line="40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三</w:t>
      </w:r>
      <w:r>
        <w:rPr>
          <w:rFonts w:hint="eastAsia" w:asciiTheme="minorEastAsia" w:hAnsiTheme="minorEastAsia" w:eastAsiaTheme="minorEastAsia"/>
          <w:szCs w:val="21"/>
        </w:rPr>
        <w:t>、</w:t>
      </w:r>
      <w:r>
        <w:rPr>
          <w:rFonts w:asciiTheme="minorEastAsia" w:hAnsiTheme="minorEastAsia" w:eastAsiaTheme="minorEastAsia"/>
          <w:szCs w:val="21"/>
        </w:rPr>
        <w:t>投标文件的编制</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（一）投标文件的组成</w:t>
      </w:r>
    </w:p>
    <w:p>
      <w:pPr>
        <w:spacing w:line="360" w:lineRule="auto"/>
        <w:ind w:firstLine="420" w:firstLineChars="200"/>
        <w:rPr>
          <w:szCs w:val="21"/>
        </w:rPr>
      </w:pPr>
      <w:r>
        <w:rPr>
          <w:rFonts w:hint="eastAsia"/>
        </w:rPr>
        <w:t>投标文件由资格审查文件、资信技术文件和报价文件三部分组成。</w:t>
      </w:r>
    </w:p>
    <w:p>
      <w:pPr>
        <w:numPr>
          <w:ilvl w:val="0"/>
          <w:numId w:val="8"/>
        </w:numPr>
        <w:snapToGrid w:val="0"/>
        <w:spacing w:line="360" w:lineRule="auto"/>
      </w:pPr>
      <w:r>
        <w:rPr>
          <w:rFonts w:hint="eastAsia"/>
        </w:rPr>
        <w:t>投标人资格条件自查表；</w:t>
      </w:r>
    </w:p>
    <w:p>
      <w:pPr>
        <w:numPr>
          <w:ilvl w:val="0"/>
          <w:numId w:val="8"/>
        </w:numPr>
        <w:snapToGrid w:val="0"/>
        <w:spacing w:line="360" w:lineRule="auto"/>
      </w:pPr>
      <w:r>
        <w:rPr>
          <w:rFonts w:hint="eastAsia"/>
        </w:rPr>
        <w:t>投标人资格声明函（格式见附件）；</w:t>
      </w:r>
    </w:p>
    <w:p>
      <w:pPr>
        <w:numPr>
          <w:ilvl w:val="0"/>
          <w:numId w:val="8"/>
        </w:numPr>
        <w:snapToGrid w:val="0"/>
        <w:spacing w:line="360" w:lineRule="auto"/>
      </w:pPr>
      <w:r>
        <w:rPr>
          <w:rFonts w:hint="eastAsia"/>
        </w:rPr>
        <w:t>符合《中华人民共和国政府采购法》第二十二条规定的投标人资格条件，提供以下材料（原件备查）：</w:t>
      </w:r>
    </w:p>
    <w:p>
      <w:pPr>
        <w:numPr>
          <w:ilvl w:val="0"/>
          <w:numId w:val="9"/>
        </w:numPr>
        <w:snapToGrid w:val="0"/>
        <w:spacing w:line="360" w:lineRule="auto"/>
      </w:pPr>
      <w:r>
        <w:rPr>
          <w:rFonts w:hint="eastAsia"/>
        </w:rPr>
        <w:t>有效的企业法人营业执照（或事业法人登记证）、其他组织（个体工商户）的营业执照或者民办非企业单位登记证书复印件；</w:t>
      </w:r>
    </w:p>
    <w:p>
      <w:pPr>
        <w:numPr>
          <w:ilvl w:val="0"/>
          <w:numId w:val="9"/>
        </w:numPr>
        <w:snapToGrid w:val="0"/>
        <w:spacing w:line="360" w:lineRule="auto"/>
      </w:pPr>
      <w:r>
        <w:rPr>
          <w:rFonts w:hint="eastAsia"/>
        </w:rPr>
        <w:t>2018年财务状况报告复印件，其他组织或投标人新成立不足一年，提供银行出具的资信证明材料复印件；</w:t>
      </w:r>
    </w:p>
    <w:p>
      <w:pPr>
        <w:numPr>
          <w:ilvl w:val="0"/>
          <w:numId w:val="9"/>
        </w:numPr>
        <w:snapToGrid w:val="0"/>
        <w:spacing w:line="360" w:lineRule="auto"/>
      </w:pPr>
      <w:r>
        <w:rPr>
          <w:rFonts w:hint="eastAsia"/>
        </w:rPr>
        <w:t>2019年开具的缴纳税收的凭据证明材料复印件；如依法免税的，应提供相应文件证明其依法免税；</w:t>
      </w:r>
    </w:p>
    <w:p>
      <w:pPr>
        <w:numPr>
          <w:ilvl w:val="0"/>
          <w:numId w:val="9"/>
        </w:numPr>
        <w:snapToGrid w:val="0"/>
        <w:spacing w:line="360" w:lineRule="auto"/>
      </w:pPr>
      <w:r>
        <w:rPr>
          <w:rFonts w:hint="eastAsia"/>
        </w:rPr>
        <w:t>2019年开具的缴纳社会保险的凭据证明材料复印件；如依法不需要缴纳社会保障资金的，应提供相应文件证明其依法不需要缴纳社会保障资金；</w:t>
      </w:r>
    </w:p>
    <w:p>
      <w:pPr>
        <w:numPr>
          <w:ilvl w:val="0"/>
          <w:numId w:val="9"/>
        </w:numPr>
        <w:snapToGrid w:val="0"/>
        <w:spacing w:line="360" w:lineRule="auto"/>
      </w:pPr>
      <w:r>
        <w:rPr>
          <w:rFonts w:hint="eastAsia"/>
        </w:rPr>
        <w:t>提供具有履行合同所必需的设备和专业技术能力的书面声明；</w:t>
      </w:r>
    </w:p>
    <w:p>
      <w:pPr>
        <w:numPr>
          <w:ilvl w:val="0"/>
          <w:numId w:val="9"/>
        </w:numPr>
        <w:snapToGrid w:val="0"/>
        <w:spacing w:line="360" w:lineRule="auto"/>
      </w:pPr>
      <w:r>
        <w:rPr>
          <w:rFonts w:hint="eastAsia"/>
        </w:rPr>
        <w:t>提供参加政府采购活动前3年内在经营活动中没有重大违法记录的书面声明。</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（二）技术商务文件的内容组成</w:t>
      </w:r>
    </w:p>
    <w:p>
      <w:pPr>
        <w:spacing w:line="400" w:lineRule="exact"/>
        <w:ind w:firstLine="420" w:firstLineChars="200"/>
        <w:rPr>
          <w:rFonts w:ascii="宋体" w:hAnsi="宋体"/>
          <w:szCs w:val="21"/>
        </w:rPr>
      </w:pPr>
      <w:r>
        <w:rPr>
          <w:rFonts w:hint="eastAsia" w:asciiTheme="minorEastAsia" w:hAnsiTheme="minorEastAsia" w:eastAsiaTheme="minorEastAsia"/>
          <w:szCs w:val="21"/>
        </w:rPr>
        <w:t>2.1.1</w:t>
      </w:r>
      <w:r>
        <w:rPr>
          <w:rFonts w:hint="eastAsia" w:ascii="宋体" w:hAnsi="宋体"/>
          <w:szCs w:val="21"/>
        </w:rPr>
        <w:t>评分索引表</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2.1.2</w:t>
      </w:r>
      <w:r>
        <w:rPr>
          <w:rFonts w:hint="eastAsia" w:ascii="宋体" w:hAnsi="宋体"/>
          <w:szCs w:val="21"/>
        </w:rPr>
        <w:t>符合《中华人民共和国政府采购法》第二十二条规定的投标人承诺书</w:t>
      </w:r>
    </w:p>
    <w:p>
      <w:pPr>
        <w:spacing w:line="400" w:lineRule="exact"/>
        <w:ind w:firstLine="420" w:firstLineChars="200"/>
        <w:rPr>
          <w:rFonts w:asciiTheme="minorEastAsia" w:hAnsiTheme="minorEastAsia" w:eastAsiaTheme="minorEastAsia"/>
          <w:color w:val="FF0000"/>
          <w:szCs w:val="21"/>
          <w:highlight w:val="yellow"/>
        </w:rPr>
      </w:pPr>
      <w:r>
        <w:rPr>
          <w:rFonts w:hint="eastAsia" w:asciiTheme="minorEastAsia" w:hAnsiTheme="minorEastAsia" w:eastAsiaTheme="minorEastAsia"/>
          <w:szCs w:val="21"/>
        </w:rPr>
        <w:t>2.1.3</w:t>
      </w:r>
      <w:r>
        <w:rPr>
          <w:rFonts w:hint="eastAsia" w:ascii="宋体" w:hAnsi="宋体"/>
          <w:szCs w:val="21"/>
          <w:lang w:val="zh-CN"/>
        </w:rPr>
        <w:t>法定代表人／负责</w:t>
      </w:r>
      <w:r>
        <w:rPr>
          <w:rFonts w:hint="eastAsia" w:hAnsi="宋体"/>
          <w:szCs w:val="21"/>
          <w:lang w:val="zh-CN"/>
        </w:rPr>
        <w:t>人身份证明书和授权委托书</w:t>
      </w:r>
    </w:p>
    <w:p>
      <w:pPr>
        <w:spacing w:line="400" w:lineRule="exact"/>
        <w:ind w:firstLine="420" w:firstLineChars="200"/>
        <w:rPr>
          <w:rFonts w:hAnsi="宋体"/>
          <w:szCs w:val="21"/>
        </w:rPr>
      </w:pPr>
      <w:r>
        <w:rPr>
          <w:rFonts w:hint="eastAsia" w:ascii="宋体" w:hAnsi="宋体"/>
          <w:szCs w:val="21"/>
        </w:rPr>
        <w:t>2.1.4</w:t>
      </w:r>
      <w:r>
        <w:rPr>
          <w:rFonts w:hint="eastAsia" w:ascii="宋体"/>
          <w:szCs w:val="21"/>
        </w:rPr>
        <w:t>技术规格</w:t>
      </w:r>
      <w:r>
        <w:rPr>
          <w:rFonts w:hint="eastAsia" w:ascii="宋体" w:hAnsi="宋体"/>
          <w:szCs w:val="21"/>
        </w:rPr>
        <w:t>偏离表</w:t>
      </w:r>
    </w:p>
    <w:p>
      <w:pPr>
        <w:spacing w:line="400" w:lineRule="exact"/>
        <w:ind w:firstLine="420" w:firstLineChars="200"/>
        <w:rPr>
          <w:rFonts w:ascii="宋体" w:hAnsi="宋体"/>
          <w:szCs w:val="21"/>
        </w:rPr>
      </w:pPr>
      <w:r>
        <w:rPr>
          <w:rFonts w:hint="eastAsia" w:ascii="宋体" w:hAnsi="宋体"/>
          <w:szCs w:val="21"/>
        </w:rPr>
        <w:t>2.1.5商务条款偏离表</w:t>
      </w:r>
    </w:p>
    <w:p>
      <w:pPr>
        <w:spacing w:line="400" w:lineRule="exact"/>
        <w:ind w:firstLine="420" w:firstLineChars="200"/>
        <w:rPr>
          <w:szCs w:val="21"/>
        </w:rPr>
      </w:pPr>
      <w:r>
        <w:rPr>
          <w:rFonts w:hint="eastAsia" w:ascii="宋体" w:hAnsi="宋体"/>
          <w:szCs w:val="21"/>
        </w:rPr>
        <w:t>2.1.6</w:t>
      </w:r>
      <w:r>
        <w:rPr>
          <w:rFonts w:hint="eastAsia"/>
          <w:szCs w:val="21"/>
        </w:rPr>
        <w:t>符合性自查表</w:t>
      </w:r>
    </w:p>
    <w:p>
      <w:pPr>
        <w:spacing w:line="400" w:lineRule="exact"/>
        <w:ind w:firstLine="420" w:firstLineChars="200"/>
        <w:rPr>
          <w:szCs w:val="21"/>
        </w:rPr>
      </w:pPr>
      <w:r>
        <w:rPr>
          <w:rFonts w:hint="eastAsia" w:ascii="宋体" w:hAnsi="宋体"/>
          <w:szCs w:val="21"/>
        </w:rPr>
        <w:t>2.1.</w:t>
      </w:r>
      <w:r>
        <w:rPr>
          <w:rFonts w:hint="eastAsia"/>
          <w:szCs w:val="21"/>
        </w:rPr>
        <w:t>8</w:t>
      </w:r>
      <w:r>
        <w:rPr>
          <w:rFonts w:hint="eastAsia" w:ascii="宋体" w:hAnsi="宋体"/>
          <w:szCs w:val="21"/>
        </w:rPr>
        <w:t>未被列入失信被执行人承诺函</w:t>
      </w:r>
    </w:p>
    <w:p>
      <w:pPr>
        <w:spacing w:line="400" w:lineRule="exact"/>
        <w:ind w:firstLine="420" w:firstLineChars="200"/>
        <w:rPr>
          <w:rFonts w:ascii="宋体" w:hAnsi="宋体"/>
          <w:szCs w:val="21"/>
        </w:rPr>
      </w:pPr>
      <w:r>
        <w:rPr>
          <w:rFonts w:hint="eastAsia" w:ascii="宋体" w:hAnsi="宋体"/>
          <w:szCs w:val="21"/>
        </w:rPr>
        <w:t>2.1.</w:t>
      </w:r>
      <w:r>
        <w:rPr>
          <w:rFonts w:hint="eastAsia"/>
          <w:szCs w:val="21"/>
        </w:rPr>
        <w:t>9</w:t>
      </w:r>
      <w:r>
        <w:rPr>
          <w:rFonts w:hint="eastAsia" w:ascii="宋体" w:hAnsi="宋体"/>
          <w:szCs w:val="21"/>
        </w:rPr>
        <w:t>投标函</w:t>
      </w:r>
    </w:p>
    <w:p>
      <w:pPr>
        <w:spacing w:line="400" w:lineRule="exact"/>
        <w:ind w:firstLine="420" w:firstLineChars="200"/>
        <w:rPr>
          <w:rFonts w:ascii="宋体" w:hAnsi="宋体"/>
          <w:szCs w:val="21"/>
        </w:rPr>
      </w:pPr>
      <w:r>
        <w:rPr>
          <w:rFonts w:hint="eastAsia" w:ascii="宋体" w:hAnsi="宋体"/>
          <w:szCs w:val="21"/>
        </w:rPr>
        <w:t>2.1.</w:t>
      </w:r>
      <w:r>
        <w:rPr>
          <w:rFonts w:hint="eastAsia"/>
          <w:szCs w:val="21"/>
        </w:rPr>
        <w:t>10</w:t>
      </w:r>
      <w:r>
        <w:rPr>
          <w:rFonts w:hint="eastAsia" w:ascii="宋体" w:hAnsi="宋体"/>
          <w:szCs w:val="21"/>
        </w:rPr>
        <w:t>对照技术商务评分表的要求提供以下资料：</w:t>
      </w:r>
    </w:p>
    <w:p>
      <w:pPr>
        <w:widowControl/>
        <w:spacing w:line="380" w:lineRule="exact"/>
        <w:ind w:firstLine="420" w:firstLineChars="200"/>
        <w:rPr>
          <w:rFonts w:asciiTheme="minorEastAsia" w:hAnsiTheme="minorEastAsia" w:eastAsiaTheme="minorEastAsia"/>
          <w:kern w:val="0"/>
          <w:szCs w:val="21"/>
        </w:rPr>
      </w:pPr>
      <w:r>
        <w:rPr>
          <w:rFonts w:hint="eastAsia" w:ascii="宋体" w:hAnsi="宋体"/>
          <w:szCs w:val="21"/>
        </w:rPr>
        <w:t>（1）</w:t>
      </w:r>
      <w:r>
        <w:rPr>
          <w:rFonts w:hint="eastAsia" w:ascii="宋体" w:hAnsi="宋体" w:cs="宋体"/>
          <w:color w:val="000000" w:themeColor="text1"/>
          <w:kern w:val="0"/>
          <w:szCs w:val="21"/>
          <w14:textFill>
            <w14:solidFill>
              <w14:schemeClr w14:val="tx1"/>
            </w14:solidFill>
          </w14:textFill>
        </w:rPr>
        <w:t>项目设计规划、实施方案</w:t>
      </w:r>
      <w:r>
        <w:rPr>
          <w:rFonts w:hint="eastAsia" w:ascii="宋体" w:hAnsi="宋体"/>
          <w:szCs w:val="21"/>
        </w:rPr>
        <w:t>；</w:t>
      </w:r>
    </w:p>
    <w:p>
      <w:pPr>
        <w:widowControl/>
        <w:spacing w:line="340" w:lineRule="exact"/>
        <w:ind w:firstLine="420" w:firstLineChars="200"/>
        <w:rPr>
          <w:rFonts w:ascii="宋体" w:hAnsi="宋体"/>
          <w:szCs w:val="21"/>
        </w:rPr>
      </w:pPr>
      <w:r>
        <w:rPr>
          <w:rFonts w:hint="eastAsia" w:ascii="宋体" w:hAnsi="宋体"/>
          <w:szCs w:val="21"/>
        </w:rPr>
        <w:t>（2）</w:t>
      </w:r>
      <w:r>
        <w:rPr>
          <w:rFonts w:hint="eastAsia" w:ascii="宋体" w:hAnsi="宋体" w:cs="宋体"/>
          <w:color w:val="000000" w:themeColor="text1"/>
          <w:kern w:val="0"/>
          <w:szCs w:val="21"/>
          <w14:textFill>
            <w14:solidFill>
              <w14:schemeClr w14:val="tx1"/>
            </w14:solidFill>
          </w14:textFill>
        </w:rPr>
        <w:t>培训计划</w:t>
      </w:r>
      <w:r>
        <w:rPr>
          <w:rFonts w:hint="eastAsia" w:ascii="宋体" w:hAnsi="宋体"/>
          <w:szCs w:val="21"/>
        </w:rPr>
        <w:t>；</w:t>
      </w:r>
    </w:p>
    <w:p>
      <w:pPr>
        <w:spacing w:line="400" w:lineRule="exact"/>
        <w:ind w:firstLine="420" w:firstLineChars="200"/>
        <w:rPr>
          <w:szCs w:val="21"/>
        </w:rPr>
      </w:pPr>
      <w:r>
        <w:rPr>
          <w:rFonts w:hint="eastAsia" w:ascii="宋体" w:hAnsi="宋体"/>
          <w:szCs w:val="21"/>
        </w:rPr>
        <w:t>（3）</w:t>
      </w:r>
      <w:r>
        <w:rPr>
          <w:rFonts w:hint="eastAsia" w:asciiTheme="minorEastAsia" w:hAnsiTheme="minorEastAsia" w:eastAsiaTheme="minorEastAsia"/>
          <w:kern w:val="0"/>
          <w:szCs w:val="21"/>
        </w:rPr>
        <w:t>售后服务体系及本地化服务等</w:t>
      </w:r>
      <w:r>
        <w:rPr>
          <w:rFonts w:hint="eastAsia" w:ascii="宋体" w:hAnsi="宋体"/>
          <w:szCs w:val="21"/>
        </w:rPr>
        <w:t>；</w:t>
      </w:r>
    </w:p>
    <w:p>
      <w:pPr>
        <w:spacing w:line="400" w:lineRule="exact"/>
        <w:ind w:firstLine="420" w:firstLineChars="200"/>
        <w:rPr>
          <w:rFonts w:ascii="宋体" w:hAnsi="宋体"/>
          <w:szCs w:val="21"/>
        </w:rPr>
      </w:pPr>
      <w:r>
        <w:rPr>
          <w:rFonts w:hint="eastAsia" w:ascii="宋体" w:hAnsi="宋体"/>
          <w:szCs w:val="21"/>
        </w:rPr>
        <w:t>2.1.11上述几项中未列明而招标文件要求提供的其他资料；</w:t>
      </w:r>
    </w:p>
    <w:p>
      <w:pPr>
        <w:spacing w:line="400" w:lineRule="exact"/>
        <w:ind w:firstLine="420" w:firstLineChars="200"/>
        <w:rPr>
          <w:rFonts w:ascii="宋体" w:hAnsi="宋体"/>
          <w:szCs w:val="21"/>
        </w:rPr>
      </w:pPr>
      <w:r>
        <w:rPr>
          <w:rFonts w:hint="eastAsia" w:ascii="宋体" w:hAnsi="宋体"/>
          <w:szCs w:val="21"/>
        </w:rPr>
        <w:t>2.1.12投标人认为需提供的其他资料。</w:t>
      </w:r>
    </w:p>
    <w:p>
      <w:pPr>
        <w:spacing w:line="400" w:lineRule="exact"/>
        <w:ind w:firstLine="210" w:firstLineChars="100"/>
        <w:rPr>
          <w:rFonts w:ascii="宋体" w:hAnsi="宋体"/>
          <w:szCs w:val="21"/>
        </w:rPr>
      </w:pPr>
      <w:r>
        <w:rPr>
          <w:rFonts w:hint="eastAsia" w:ascii="宋体" w:hAnsi="宋体"/>
          <w:szCs w:val="21"/>
        </w:rPr>
        <w:t xml:space="preserve">（三） </w:t>
      </w:r>
      <w:r>
        <w:rPr>
          <w:rFonts w:ascii="宋体" w:hAnsi="宋体"/>
          <w:szCs w:val="21"/>
        </w:rPr>
        <w:t>报价文件</w:t>
      </w:r>
      <w:r>
        <w:rPr>
          <w:rFonts w:hint="eastAsia" w:ascii="宋体" w:hAnsi="宋体"/>
          <w:szCs w:val="21"/>
        </w:rPr>
        <w:t>的内容组成</w:t>
      </w:r>
      <w:r>
        <w:rPr>
          <w:rFonts w:ascii="宋体" w:hAnsi="宋体"/>
          <w:szCs w:val="21"/>
        </w:rPr>
        <w:t>：</w:t>
      </w:r>
    </w:p>
    <w:p>
      <w:pPr>
        <w:spacing w:line="400" w:lineRule="exact"/>
        <w:ind w:firstLine="420" w:firstLineChars="200"/>
        <w:rPr>
          <w:rFonts w:ascii="宋体" w:hAnsi="宋体"/>
          <w:szCs w:val="21"/>
        </w:rPr>
      </w:pPr>
      <w:r>
        <w:rPr>
          <w:rFonts w:hint="eastAsia" w:ascii="宋体" w:hAnsi="宋体"/>
          <w:szCs w:val="21"/>
        </w:rPr>
        <w:t>（1）开标一览表</w:t>
      </w:r>
    </w:p>
    <w:p>
      <w:pPr>
        <w:spacing w:line="400" w:lineRule="exact"/>
        <w:ind w:firstLine="420" w:firstLineChars="200"/>
        <w:rPr>
          <w:rFonts w:ascii="宋体" w:hAnsi="宋体"/>
          <w:szCs w:val="21"/>
        </w:rPr>
      </w:pPr>
      <w:r>
        <w:rPr>
          <w:rFonts w:hint="eastAsia" w:ascii="宋体" w:hAnsi="宋体"/>
          <w:szCs w:val="21"/>
        </w:rPr>
        <w:t>（2）投标分项报价表</w:t>
      </w:r>
    </w:p>
    <w:p>
      <w:pPr>
        <w:spacing w:line="400" w:lineRule="exact"/>
        <w:ind w:firstLine="420" w:firstLineChars="200"/>
        <w:rPr>
          <w:rFonts w:ascii="宋体" w:hAnsi="宋体"/>
          <w:szCs w:val="21"/>
        </w:rPr>
      </w:pPr>
      <w:r>
        <w:rPr>
          <w:rFonts w:hint="eastAsia" w:ascii="宋体" w:hAnsi="宋体"/>
          <w:szCs w:val="21"/>
        </w:rPr>
        <w:t>（3）供应商针对报价需要说明的其他文件和资料（格式自拟）</w:t>
      </w:r>
    </w:p>
    <w:p>
      <w:pPr>
        <w:spacing w:line="400" w:lineRule="exact"/>
        <w:ind w:firstLine="420" w:firstLineChars="200"/>
        <w:rPr>
          <w:rFonts w:ascii="宋体" w:hAnsi="宋体"/>
          <w:szCs w:val="21"/>
        </w:rPr>
      </w:pPr>
      <w:r>
        <w:rPr>
          <w:rFonts w:hint="eastAsia" w:ascii="宋体" w:hAnsi="宋体"/>
          <w:szCs w:val="21"/>
        </w:rPr>
        <w:t>（二）投标文件的语言及计量</w:t>
      </w:r>
    </w:p>
    <w:p>
      <w:pPr>
        <w:spacing w:line="400" w:lineRule="exact"/>
        <w:ind w:firstLine="420" w:firstLineChars="200"/>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w:t>
      </w:r>
      <w:r>
        <w:rPr>
          <w:rFonts w:ascii="宋体" w:hAnsi="宋体"/>
          <w:szCs w:val="21"/>
        </w:rPr>
        <w:t>投标文件以及投标方与采购人就有关投标事宜的所有来往函电，均应以中文汉语书写。除签名、盖章、专用名称等特殊情形外，以中文汉语以外的文字表述的投标文件视同未提供。</w:t>
      </w:r>
    </w:p>
    <w:p>
      <w:pPr>
        <w:spacing w:line="400" w:lineRule="exact"/>
        <w:ind w:firstLine="420" w:firstLineChars="200"/>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w:t>
      </w:r>
      <w:r>
        <w:rPr>
          <w:rFonts w:ascii="宋体" w:hAnsi="宋体"/>
          <w:szCs w:val="21"/>
        </w:rPr>
        <w:t>投标计量单位，招标文件已有明确规定的，使用招标文件规定的计量单位；招标文件没有规定的，应采用中华人民共和国法定计量单位（货币单位：人民币元），否则视同未响应。</w:t>
      </w:r>
    </w:p>
    <w:p>
      <w:pPr>
        <w:spacing w:line="400" w:lineRule="exact"/>
        <w:ind w:firstLine="420" w:firstLineChars="200"/>
        <w:rPr>
          <w:rFonts w:ascii="宋体" w:hAnsi="宋体"/>
          <w:szCs w:val="21"/>
        </w:rPr>
      </w:pPr>
      <w:r>
        <w:rPr>
          <w:rFonts w:hint="eastAsia" w:ascii="宋体" w:hAnsi="宋体"/>
          <w:szCs w:val="21"/>
        </w:rPr>
        <w:t>（三）投标报价</w:t>
      </w:r>
    </w:p>
    <w:p>
      <w:pPr>
        <w:spacing w:line="400" w:lineRule="exact"/>
        <w:ind w:firstLine="420" w:firstLineChars="200"/>
        <w:rPr>
          <w:rFonts w:ascii="宋体" w:hAnsi="宋体"/>
          <w:szCs w:val="21"/>
        </w:rPr>
      </w:pPr>
      <w:r>
        <w:rPr>
          <w:rFonts w:ascii="宋体" w:hAnsi="宋体"/>
          <w:szCs w:val="21"/>
        </w:rPr>
        <w:t>1</w:t>
      </w:r>
      <w:r>
        <w:rPr>
          <w:rFonts w:hint="eastAsia" w:ascii="宋体" w:hAnsi="宋体"/>
          <w:szCs w:val="21"/>
        </w:rPr>
        <w:t>.</w:t>
      </w:r>
      <w:r>
        <w:rPr>
          <w:rFonts w:ascii="宋体" w:hAnsi="宋体"/>
          <w:szCs w:val="21"/>
        </w:rPr>
        <w:t>投标报价应按招标文件中相关附表格式填写。</w:t>
      </w:r>
    </w:p>
    <w:p>
      <w:pPr>
        <w:spacing w:line="400" w:lineRule="exact"/>
        <w:ind w:firstLine="420" w:firstLineChars="200"/>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w:t>
      </w:r>
      <w:r>
        <w:rPr>
          <w:rFonts w:ascii="宋体" w:hAnsi="宋体"/>
          <w:szCs w:val="21"/>
        </w:rPr>
        <w:t>投标报价是履行合同的最终价格，应包括货款、标准附件、备品备件、专用工具、包装、运输、装卸、保险、税金、货到就位以及安装、调试、培训、保修等一切税金和费用</w:t>
      </w:r>
      <w:r>
        <w:rPr>
          <w:rFonts w:hint="eastAsia" w:ascii="宋体" w:hAnsi="宋体"/>
          <w:szCs w:val="21"/>
        </w:rPr>
        <w:t>，采购人不再另行承担其他费用。</w:t>
      </w:r>
    </w:p>
    <w:p>
      <w:pPr>
        <w:spacing w:line="400" w:lineRule="exact"/>
        <w:ind w:firstLine="420" w:firstLineChars="200"/>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w:t>
      </w:r>
      <w:r>
        <w:rPr>
          <w:rFonts w:ascii="宋体" w:hAnsi="宋体"/>
          <w:szCs w:val="21"/>
        </w:rPr>
        <w:t>投标文件只允许有一个报价，有选择的</w:t>
      </w:r>
      <w:r>
        <w:rPr>
          <w:rFonts w:hint="eastAsia" w:ascii="宋体" w:hAnsi="宋体"/>
          <w:szCs w:val="21"/>
        </w:rPr>
        <w:t>或有条件的</w:t>
      </w:r>
      <w:r>
        <w:rPr>
          <w:rFonts w:ascii="宋体" w:hAnsi="宋体"/>
          <w:szCs w:val="21"/>
        </w:rPr>
        <w:t>报价将不予接受。</w:t>
      </w:r>
    </w:p>
    <w:p>
      <w:pPr>
        <w:spacing w:line="400" w:lineRule="exact"/>
        <w:ind w:firstLine="420" w:firstLineChars="200"/>
        <w:rPr>
          <w:rFonts w:ascii="宋体" w:hAnsi="宋体"/>
          <w:szCs w:val="21"/>
        </w:rPr>
      </w:pPr>
      <w:r>
        <w:rPr>
          <w:rFonts w:hint="eastAsia" w:ascii="宋体" w:hAnsi="宋体"/>
          <w:szCs w:val="21"/>
        </w:rPr>
        <w:t>（四）投标文件的有效期</w:t>
      </w:r>
    </w:p>
    <w:p>
      <w:pPr>
        <w:spacing w:line="400" w:lineRule="exact"/>
        <w:ind w:firstLine="420" w:firstLineChars="200"/>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w:t>
      </w:r>
      <w:r>
        <w:rPr>
          <w:rFonts w:ascii="宋体" w:hAnsi="宋体"/>
          <w:szCs w:val="21"/>
        </w:rPr>
        <w:t xml:space="preserve">自投标截止日起 </w:t>
      </w:r>
      <w:r>
        <w:rPr>
          <w:rFonts w:hint="eastAsia" w:ascii="宋体" w:hAnsi="宋体"/>
          <w:szCs w:val="21"/>
        </w:rPr>
        <w:t>90</w:t>
      </w:r>
      <w:r>
        <w:rPr>
          <w:rFonts w:ascii="宋体" w:hAnsi="宋体"/>
          <w:szCs w:val="21"/>
        </w:rPr>
        <w:t xml:space="preserve"> 天投标</w:t>
      </w:r>
      <w:r>
        <w:rPr>
          <w:rFonts w:hint="eastAsia" w:ascii="宋体" w:hAnsi="宋体"/>
          <w:szCs w:val="21"/>
        </w:rPr>
        <w:t>文件</w:t>
      </w:r>
      <w:r>
        <w:rPr>
          <w:rFonts w:ascii="宋体" w:hAnsi="宋体"/>
          <w:szCs w:val="21"/>
        </w:rPr>
        <w:t>应保持有效。有效期</w:t>
      </w:r>
      <w:r>
        <w:rPr>
          <w:rFonts w:hint="eastAsia" w:ascii="宋体" w:hAnsi="宋体"/>
          <w:szCs w:val="21"/>
        </w:rPr>
        <w:t>不足</w:t>
      </w:r>
      <w:r>
        <w:rPr>
          <w:rFonts w:ascii="宋体" w:hAnsi="宋体"/>
          <w:szCs w:val="21"/>
        </w:rPr>
        <w:t>的投标</w:t>
      </w:r>
      <w:r>
        <w:rPr>
          <w:rFonts w:hint="eastAsia" w:ascii="宋体" w:hAnsi="宋体"/>
          <w:szCs w:val="21"/>
        </w:rPr>
        <w:t>文件</w:t>
      </w:r>
      <w:r>
        <w:rPr>
          <w:rFonts w:ascii="宋体" w:hAnsi="宋体"/>
          <w:szCs w:val="21"/>
        </w:rPr>
        <w:t>将被拒绝。</w:t>
      </w:r>
    </w:p>
    <w:p>
      <w:pPr>
        <w:spacing w:line="400" w:lineRule="exact"/>
        <w:ind w:firstLine="420" w:firstLineChars="200"/>
        <w:rPr>
          <w:rFonts w:ascii="宋体" w:hAnsi="宋体"/>
          <w:szCs w:val="21"/>
        </w:rPr>
      </w:pPr>
      <w:r>
        <w:rPr>
          <w:rFonts w:ascii="宋体" w:hAnsi="宋体"/>
          <w:szCs w:val="21"/>
        </w:rPr>
        <w:t>2</w:t>
      </w:r>
      <w:r>
        <w:rPr>
          <w:rFonts w:hint="eastAsia" w:ascii="宋体" w:hAnsi="宋体"/>
          <w:szCs w:val="21"/>
        </w:rPr>
        <w:t>.</w:t>
      </w:r>
      <w:r>
        <w:rPr>
          <w:rFonts w:ascii="宋体" w:hAnsi="宋体"/>
          <w:szCs w:val="21"/>
        </w:rPr>
        <w:t>在特殊情况下，</w:t>
      </w:r>
      <w:r>
        <w:rPr>
          <w:rFonts w:hint="eastAsia" w:ascii="宋体" w:hAnsi="宋体"/>
          <w:szCs w:val="21"/>
        </w:rPr>
        <w:t>采购</w:t>
      </w:r>
      <w:r>
        <w:rPr>
          <w:rFonts w:ascii="宋体" w:hAnsi="宋体"/>
          <w:szCs w:val="21"/>
        </w:rPr>
        <w:t>人可与投标人协商延长投标书的有效期，这种要求和答复均以书面形式进行。</w:t>
      </w:r>
    </w:p>
    <w:p>
      <w:pPr>
        <w:spacing w:line="400" w:lineRule="exact"/>
        <w:ind w:firstLine="420" w:firstLineChars="200"/>
        <w:rPr>
          <w:rFonts w:ascii="宋体" w:hAnsi="宋体"/>
          <w:szCs w:val="21"/>
        </w:rPr>
      </w:pPr>
      <w:r>
        <w:rPr>
          <w:rFonts w:hint="eastAsia" w:ascii="宋体" w:hAnsi="宋体"/>
          <w:szCs w:val="21"/>
          <w:lang w:val="en-US" w:eastAsia="zh-CN"/>
        </w:rPr>
        <w:t>3</w:t>
      </w:r>
      <w:r>
        <w:rPr>
          <w:rFonts w:hint="eastAsia" w:ascii="宋体" w:hAnsi="宋体"/>
          <w:szCs w:val="21"/>
        </w:rPr>
        <w:t>.</w:t>
      </w:r>
      <w:r>
        <w:rPr>
          <w:rFonts w:ascii="宋体" w:hAnsi="宋体"/>
          <w:szCs w:val="21"/>
        </w:rPr>
        <w:t>中标人的投标文件自开标之日起至合同履行完毕止均应保持有效。</w:t>
      </w:r>
    </w:p>
    <w:p>
      <w:pPr>
        <w:spacing w:line="400" w:lineRule="exact"/>
        <w:ind w:firstLine="420" w:firstLineChars="200"/>
        <w:rPr>
          <w:rFonts w:ascii="宋体" w:hAnsi="宋体"/>
          <w:szCs w:val="21"/>
        </w:rPr>
      </w:pPr>
      <w:r>
        <w:rPr>
          <w:rFonts w:hint="eastAsia" w:ascii="宋体" w:hAnsi="宋体"/>
          <w:szCs w:val="21"/>
        </w:rPr>
        <w:t>（六）投标文件的签署和份数</w:t>
      </w:r>
    </w:p>
    <w:p>
      <w:pPr>
        <w:spacing w:line="400" w:lineRule="exact"/>
        <w:ind w:firstLine="420" w:firstLineChars="200"/>
        <w:rPr>
          <w:rFonts w:ascii="宋体" w:hAnsi="宋体"/>
          <w:szCs w:val="21"/>
        </w:rPr>
      </w:pPr>
      <w:r>
        <w:rPr>
          <w:rFonts w:ascii="宋体" w:hAnsi="宋体"/>
          <w:szCs w:val="21"/>
        </w:rPr>
        <w:t>1</w:t>
      </w:r>
      <w:r>
        <w:rPr>
          <w:rFonts w:hint="eastAsia" w:ascii="宋体" w:hAnsi="宋体"/>
          <w:szCs w:val="21"/>
        </w:rPr>
        <w:t>.</w:t>
      </w:r>
      <w:r>
        <w:rPr>
          <w:rFonts w:ascii="宋体" w:hAnsi="宋体"/>
          <w:szCs w:val="21"/>
        </w:rPr>
        <w:t>投标人应</w:t>
      </w:r>
      <w:r>
        <w:rPr>
          <w:rFonts w:hint="eastAsia" w:ascii="宋体" w:hAnsi="宋体"/>
          <w:szCs w:val="21"/>
        </w:rPr>
        <w:t>按</w:t>
      </w:r>
      <w:r>
        <w:rPr>
          <w:rFonts w:ascii="宋体" w:hAnsi="宋体"/>
          <w:szCs w:val="21"/>
        </w:rPr>
        <w:t>本招标文件规定的格式和顺序编制、装订投标文件</w:t>
      </w:r>
      <w:r>
        <w:rPr>
          <w:rFonts w:hint="eastAsia" w:ascii="宋体" w:hAnsi="宋体"/>
          <w:szCs w:val="21"/>
        </w:rPr>
        <w:t>并标注页码</w:t>
      </w:r>
      <w:r>
        <w:rPr>
          <w:rFonts w:ascii="宋体" w:hAnsi="宋体"/>
          <w:szCs w:val="21"/>
        </w:rPr>
        <w:t>，投标文件内容不完整、编排混乱导致投标文件被误读、漏读或者查找不到相关内容的，是投标人的责任。</w:t>
      </w:r>
    </w:p>
    <w:p>
      <w:pPr>
        <w:spacing w:line="400" w:lineRule="exact"/>
        <w:ind w:firstLine="420" w:firstLineChars="200"/>
        <w:rPr>
          <w:rFonts w:hint="eastAsia" w:ascii="宋体" w:hAnsi="宋体"/>
          <w:szCs w:val="21"/>
        </w:rPr>
      </w:pPr>
      <w:r>
        <w:rPr>
          <w:rFonts w:ascii="宋体" w:hAnsi="宋体"/>
          <w:szCs w:val="21"/>
        </w:rPr>
        <w:t>2</w:t>
      </w:r>
      <w:r>
        <w:rPr>
          <w:rFonts w:hint="eastAsia" w:ascii="宋体" w:hAnsi="宋体"/>
          <w:szCs w:val="21"/>
        </w:rPr>
        <w:t>.投标文件一式5份，正本1份，副本4份，须各自装订成册。</w:t>
      </w:r>
    </w:p>
    <w:p>
      <w:pPr>
        <w:spacing w:line="400" w:lineRule="exact"/>
        <w:ind w:firstLine="420" w:firstLineChars="200"/>
        <w:rPr>
          <w:rFonts w:ascii="宋体" w:hAnsi="宋体"/>
          <w:szCs w:val="21"/>
        </w:rPr>
      </w:pPr>
      <w:r>
        <w:rPr>
          <w:rFonts w:ascii="宋体" w:hAnsi="宋体"/>
          <w:szCs w:val="21"/>
        </w:rPr>
        <w:t>3</w:t>
      </w:r>
      <w:r>
        <w:rPr>
          <w:rFonts w:hint="eastAsia" w:ascii="宋体" w:hAnsi="宋体"/>
          <w:szCs w:val="21"/>
        </w:rPr>
        <w:t>.</w:t>
      </w:r>
      <w:r>
        <w:rPr>
          <w:rFonts w:ascii="宋体" w:hAnsi="宋体"/>
          <w:szCs w:val="21"/>
        </w:rPr>
        <w:t>投标文件的正本需打印或用不褪色的墨水填写。</w:t>
      </w:r>
    </w:p>
    <w:p>
      <w:pPr>
        <w:spacing w:line="400" w:lineRule="exact"/>
        <w:ind w:firstLine="420" w:firstLineChars="200"/>
        <w:rPr>
          <w:rFonts w:ascii="宋体" w:hAnsi="宋体"/>
          <w:szCs w:val="21"/>
        </w:rPr>
      </w:pPr>
      <w:r>
        <w:rPr>
          <w:rFonts w:ascii="宋体" w:hAnsi="宋体"/>
          <w:szCs w:val="21"/>
        </w:rPr>
        <w:t>4</w:t>
      </w:r>
      <w:r>
        <w:rPr>
          <w:rFonts w:hint="eastAsia" w:ascii="宋体" w:hAnsi="宋体"/>
          <w:szCs w:val="21"/>
        </w:rPr>
        <w:t>.</w:t>
      </w:r>
      <w:r>
        <w:rPr>
          <w:rFonts w:ascii="宋体" w:hAnsi="宋体"/>
          <w:szCs w:val="21"/>
        </w:rPr>
        <w:t>投标文件须由投标人在规定位置盖章并由法定代表人／负责人或授权</w:t>
      </w:r>
      <w:r>
        <w:rPr>
          <w:rFonts w:hint="eastAsia" w:ascii="宋体" w:hAnsi="宋体"/>
          <w:szCs w:val="21"/>
        </w:rPr>
        <w:t>代表</w:t>
      </w:r>
      <w:r>
        <w:rPr>
          <w:rFonts w:ascii="宋体" w:hAnsi="宋体"/>
          <w:szCs w:val="21"/>
        </w:rPr>
        <w:t>签署，投标人应写全称。</w:t>
      </w:r>
    </w:p>
    <w:p>
      <w:pPr>
        <w:spacing w:line="400" w:lineRule="exact"/>
        <w:ind w:firstLine="420" w:firstLineChars="200"/>
        <w:rPr>
          <w:rFonts w:ascii="宋体" w:hAnsi="宋体"/>
          <w:szCs w:val="21"/>
        </w:rPr>
      </w:pPr>
      <w:r>
        <w:rPr>
          <w:rFonts w:ascii="宋体" w:hAnsi="宋体"/>
          <w:szCs w:val="21"/>
        </w:rPr>
        <w:t>5</w:t>
      </w:r>
      <w:r>
        <w:rPr>
          <w:rFonts w:hint="eastAsia" w:ascii="宋体" w:hAnsi="宋体"/>
          <w:szCs w:val="21"/>
        </w:rPr>
        <w:t>.</w:t>
      </w:r>
      <w:r>
        <w:rPr>
          <w:rFonts w:ascii="宋体" w:hAnsi="宋体"/>
          <w:szCs w:val="21"/>
        </w:rPr>
        <w:t>投标文件不得涂改，若有修改错漏处，须加盖单位公章或者</w:t>
      </w:r>
      <w:r>
        <w:rPr>
          <w:rFonts w:hint="eastAsia" w:ascii="宋体" w:hAnsi="宋体"/>
          <w:szCs w:val="21"/>
        </w:rPr>
        <w:t>法定代表人／负责人或授权代表签字</w:t>
      </w:r>
      <w:r>
        <w:rPr>
          <w:rFonts w:ascii="宋体" w:hAnsi="宋体"/>
          <w:szCs w:val="21"/>
        </w:rPr>
        <w:t>或盖章。投标文件因字迹潦草或表达不清所引起的后果由投标人负责。</w:t>
      </w:r>
    </w:p>
    <w:p>
      <w:pPr>
        <w:spacing w:line="400" w:lineRule="exact"/>
        <w:ind w:firstLine="420" w:firstLineChars="200"/>
        <w:rPr>
          <w:rFonts w:ascii="宋体" w:hAnsi="宋体"/>
          <w:szCs w:val="21"/>
        </w:rPr>
      </w:pPr>
      <w:r>
        <w:rPr>
          <w:rFonts w:hint="eastAsia" w:ascii="宋体" w:hAnsi="宋体"/>
          <w:szCs w:val="21"/>
        </w:rPr>
        <w:t>（七）投标文件的包装、递交、修改和撤回</w:t>
      </w:r>
    </w:p>
    <w:p>
      <w:pPr>
        <w:spacing w:line="400" w:lineRule="exact"/>
        <w:ind w:firstLine="420" w:firstLineChars="200"/>
        <w:rPr>
          <w:rFonts w:ascii="宋体" w:hAnsi="宋体"/>
          <w:szCs w:val="21"/>
        </w:rPr>
      </w:pPr>
      <w:r>
        <w:rPr>
          <w:rFonts w:hint="eastAsia" w:ascii="宋体" w:hAnsi="宋体"/>
          <w:szCs w:val="21"/>
        </w:rPr>
        <w:t>1.投标人应将投标文件中所有的</w:t>
      </w:r>
      <w:r>
        <w:rPr>
          <w:rFonts w:hint="eastAsia"/>
        </w:rPr>
        <w:t>资格审查文件</w:t>
      </w:r>
      <w:r>
        <w:rPr>
          <w:rFonts w:hint="eastAsia" w:ascii="宋体" w:hAnsi="宋体"/>
          <w:szCs w:val="21"/>
        </w:rPr>
        <w:t>密封在一个包封中，技术商务文件密封在一个包封中。所有的投标报价文件密封在另一个包封中。包封上应正确标明“</w:t>
      </w:r>
      <w:r>
        <w:rPr>
          <w:rFonts w:hint="eastAsia"/>
        </w:rPr>
        <w:t>资格审查文件</w:t>
      </w:r>
      <w:r>
        <w:rPr>
          <w:rFonts w:ascii="宋体" w:hAnsi="宋体"/>
          <w:szCs w:val="21"/>
        </w:rPr>
        <w:t>”</w:t>
      </w:r>
      <w:r>
        <w:rPr>
          <w:rFonts w:hint="eastAsia" w:ascii="宋体" w:hAnsi="宋体"/>
          <w:szCs w:val="21"/>
        </w:rPr>
        <w:t>、“报价文件”、“技术商务文件”，</w:t>
      </w:r>
      <w:r>
        <w:rPr>
          <w:rFonts w:hint="eastAsia"/>
        </w:rPr>
        <w:t>资格审查文件</w:t>
      </w:r>
      <w:r>
        <w:rPr>
          <w:rFonts w:hint="eastAsia" w:ascii="宋体" w:hAnsi="宋体"/>
          <w:szCs w:val="21"/>
        </w:rPr>
        <w:t>、报价文件和技术商务文件中的文本应正确标明“正本”或“副本”。包封应密封完好，标明投标项目名称、项目编号及投标人名称，密封袋封口处应加盖公章或法定代表人／负责人或授权代表签字。报价文件中如有技术内容，此技术内容评标时将作为无效内容。技术商务文件中如有报价的内容，其投标文件将作无效处理。</w:t>
      </w:r>
      <w:r>
        <w:rPr>
          <w:rFonts w:ascii="宋体" w:hAnsi="宋体"/>
          <w:szCs w:val="21"/>
        </w:rPr>
        <w:t>成册后的投标文件不得有活页现象</w:t>
      </w:r>
      <w:r>
        <w:rPr>
          <w:rFonts w:hint="eastAsia" w:ascii="宋体" w:hAnsi="宋体"/>
          <w:szCs w:val="21"/>
        </w:rPr>
        <w:t>，否则其投标作无效标处理</w:t>
      </w:r>
      <w:r>
        <w:rPr>
          <w:rFonts w:ascii="宋体" w:hAnsi="宋体"/>
          <w:szCs w:val="21"/>
        </w:rPr>
        <w:t>。</w:t>
      </w:r>
    </w:p>
    <w:p>
      <w:pPr>
        <w:spacing w:line="400" w:lineRule="exact"/>
        <w:ind w:firstLine="420" w:firstLineChars="200"/>
        <w:rPr>
          <w:rFonts w:ascii="宋体" w:hAnsi="宋体"/>
          <w:szCs w:val="21"/>
        </w:rPr>
      </w:pPr>
      <w:r>
        <w:rPr>
          <w:rFonts w:ascii="宋体" w:hAnsi="宋体"/>
          <w:szCs w:val="21"/>
        </w:rPr>
        <w:t>2</w:t>
      </w:r>
      <w:r>
        <w:rPr>
          <w:rFonts w:hint="eastAsia" w:ascii="宋体" w:hAnsi="宋体"/>
          <w:szCs w:val="21"/>
        </w:rPr>
        <w:t>.在提交投标文件以后，投标截止时间之前，如果投标人提出修改、补充或书面撤标的要求，宁波国际投资咨询有限公司应予以接受。投标人若要撤回投标，应向宁波国际投资咨询有限公司提交由投标文件递交人（或法定代表人／负责人）签署的正式文件。</w:t>
      </w:r>
    </w:p>
    <w:p>
      <w:pPr>
        <w:spacing w:line="400" w:lineRule="exact"/>
        <w:ind w:firstLine="420" w:firstLineChars="200"/>
        <w:rPr>
          <w:rFonts w:ascii="宋体" w:hAnsi="宋体"/>
          <w:szCs w:val="21"/>
        </w:rPr>
      </w:pPr>
      <w:r>
        <w:rPr>
          <w:rFonts w:hint="eastAsia" w:ascii="宋体" w:hAnsi="宋体"/>
          <w:szCs w:val="21"/>
        </w:rPr>
        <w:t>3.投标人修改、补充投标文件的书面材料装入投标文件密封袋，如有两页及两页以上内容需装订成册，不得有活页</w:t>
      </w:r>
      <w:r>
        <w:rPr>
          <w:rFonts w:ascii="宋体" w:hAnsi="宋体"/>
          <w:szCs w:val="21"/>
        </w:rPr>
        <w:t>现象</w:t>
      </w:r>
      <w:r>
        <w:rPr>
          <w:rFonts w:hint="eastAsia" w:ascii="宋体" w:hAnsi="宋体"/>
          <w:szCs w:val="21"/>
        </w:rPr>
        <w:t>。密封袋封口处应加盖公章或法定代表人／负责人或授权代表签字。在密封袋上正确标明“修改/补充资格审查文件（并注明项目编号）”、“修改/补充技术商务文件（并注明项目编号）”字样或“修改/补充报价文件（并注明项目编号）”字样。</w:t>
      </w:r>
    </w:p>
    <w:p>
      <w:pPr>
        <w:spacing w:line="400" w:lineRule="exact"/>
        <w:ind w:firstLine="420" w:firstLineChars="200"/>
        <w:rPr>
          <w:rFonts w:ascii="宋体" w:hAnsi="宋体"/>
          <w:szCs w:val="21"/>
        </w:rPr>
      </w:pPr>
      <w:r>
        <w:rPr>
          <w:rFonts w:hint="eastAsia" w:ascii="宋体" w:hAnsi="宋体"/>
          <w:szCs w:val="21"/>
        </w:rPr>
        <w:t>4.在投标截止时间之后,投标人不得对其投标文件进行修改。</w:t>
      </w:r>
    </w:p>
    <w:p>
      <w:pPr>
        <w:spacing w:line="400" w:lineRule="exact"/>
        <w:ind w:firstLine="420" w:firstLineChars="200"/>
        <w:rPr>
          <w:rFonts w:ascii="宋体" w:hAnsi="宋体"/>
          <w:szCs w:val="21"/>
        </w:rPr>
      </w:pPr>
      <w:r>
        <w:rPr>
          <w:rFonts w:hint="eastAsia" w:ascii="宋体" w:hAnsi="宋体"/>
          <w:szCs w:val="21"/>
        </w:rPr>
        <w:t>四、开标</w:t>
      </w:r>
    </w:p>
    <w:p>
      <w:pPr>
        <w:spacing w:line="400" w:lineRule="exact"/>
        <w:ind w:firstLine="420" w:firstLineChars="200"/>
        <w:rPr>
          <w:rFonts w:ascii="宋体" w:hAnsi="宋体"/>
          <w:szCs w:val="21"/>
        </w:rPr>
      </w:pPr>
      <w:r>
        <w:rPr>
          <w:rFonts w:ascii="宋体" w:hAnsi="宋体"/>
          <w:szCs w:val="21"/>
        </w:rPr>
        <w:t>（一）开标准备</w:t>
      </w:r>
    </w:p>
    <w:p>
      <w:pPr>
        <w:spacing w:line="400" w:lineRule="exact"/>
        <w:ind w:firstLine="420" w:firstLineChars="200"/>
        <w:rPr>
          <w:rFonts w:ascii="宋体" w:hAnsi="宋体"/>
          <w:szCs w:val="21"/>
        </w:rPr>
      </w:pPr>
      <w:r>
        <w:rPr>
          <w:rFonts w:ascii="宋体" w:hAnsi="宋体"/>
          <w:szCs w:val="21"/>
        </w:rPr>
        <w:t>采购代理机构将在规定的时间和地点进行开标，投标人的法定代表人／负责人或其授权代表应</w:t>
      </w:r>
      <w:r>
        <w:rPr>
          <w:rFonts w:hint="eastAsia" w:ascii="宋体" w:hAnsi="宋体"/>
          <w:szCs w:val="21"/>
        </w:rPr>
        <w:t>随带身份证原件和保证金收据</w:t>
      </w:r>
      <w:r>
        <w:rPr>
          <w:rFonts w:ascii="宋体" w:hAnsi="宋体"/>
          <w:szCs w:val="21"/>
        </w:rPr>
        <w:t>参加开标会并签到。投标人的法定代表人／负责人或其授权代表未按时签到的，视同放弃开标监督权利、认可开标结果。</w:t>
      </w:r>
    </w:p>
    <w:p>
      <w:pPr>
        <w:spacing w:line="400" w:lineRule="exact"/>
        <w:ind w:firstLine="420" w:firstLineChars="200"/>
        <w:rPr>
          <w:rFonts w:ascii="宋体" w:hAnsi="宋体"/>
          <w:szCs w:val="21"/>
        </w:rPr>
      </w:pPr>
      <w:r>
        <w:rPr>
          <w:rFonts w:ascii="宋体" w:hAnsi="宋体"/>
          <w:szCs w:val="21"/>
        </w:rPr>
        <w:t>（二）开标程序：</w:t>
      </w:r>
    </w:p>
    <w:p>
      <w:pPr>
        <w:spacing w:line="400" w:lineRule="exact"/>
        <w:ind w:firstLine="420" w:firstLineChars="200"/>
        <w:rPr>
          <w:rFonts w:ascii="宋体" w:hAnsi="宋体"/>
          <w:szCs w:val="21"/>
        </w:rPr>
      </w:pPr>
      <w:r>
        <w:rPr>
          <w:rFonts w:hint="eastAsia" w:ascii="宋体" w:hAnsi="宋体"/>
          <w:szCs w:val="21"/>
        </w:rPr>
        <w:t>1、开标会由采购代理机构主持，主持人宣布开标会议开始；</w:t>
      </w:r>
    </w:p>
    <w:p>
      <w:pPr>
        <w:spacing w:line="400" w:lineRule="exact"/>
        <w:ind w:firstLine="420" w:firstLineChars="200"/>
        <w:rPr>
          <w:rFonts w:ascii="宋体" w:hAnsi="宋体"/>
          <w:szCs w:val="21"/>
        </w:rPr>
      </w:pPr>
      <w:r>
        <w:rPr>
          <w:rFonts w:hint="eastAsia" w:ascii="宋体" w:hAnsi="宋体"/>
          <w:szCs w:val="21"/>
        </w:rPr>
        <w:t>2、主持人介绍参加开标会的人员名单；</w:t>
      </w:r>
    </w:p>
    <w:p>
      <w:pPr>
        <w:spacing w:line="400" w:lineRule="exact"/>
        <w:ind w:firstLine="420" w:firstLineChars="200"/>
        <w:rPr>
          <w:rFonts w:ascii="宋体" w:hAnsi="宋体"/>
          <w:szCs w:val="21"/>
        </w:rPr>
      </w:pPr>
      <w:r>
        <w:rPr>
          <w:rFonts w:hint="eastAsia" w:ascii="宋体" w:hAnsi="宋体"/>
          <w:szCs w:val="21"/>
        </w:rPr>
        <w:t>3、主持人宣布评标期间的有关事项，告知应当回避的情形,提请有关人员回避；</w:t>
      </w:r>
    </w:p>
    <w:p>
      <w:pPr>
        <w:spacing w:line="400" w:lineRule="exact"/>
        <w:ind w:firstLine="420" w:firstLineChars="200"/>
        <w:rPr>
          <w:rFonts w:ascii="宋体" w:hAnsi="宋体"/>
          <w:szCs w:val="21"/>
        </w:rPr>
      </w:pPr>
      <w:r>
        <w:rPr>
          <w:rFonts w:hint="eastAsia" w:ascii="宋体" w:hAnsi="宋体"/>
          <w:szCs w:val="21"/>
        </w:rPr>
        <w:t>4、投标人或其当场推荐的代表检查投标文件密封的完整性并签字确认；</w:t>
      </w:r>
    </w:p>
    <w:p>
      <w:pPr>
        <w:spacing w:line="400" w:lineRule="exact"/>
        <w:ind w:firstLine="420" w:firstLineChars="200"/>
        <w:rPr>
          <w:rFonts w:ascii="宋体" w:hAnsi="宋体"/>
          <w:szCs w:val="21"/>
        </w:rPr>
      </w:pPr>
      <w:r>
        <w:rPr>
          <w:rFonts w:hint="eastAsia" w:ascii="宋体" w:hAnsi="宋体"/>
          <w:szCs w:val="21"/>
        </w:rPr>
        <w:t>5、按各投标人提交投标文件时间的先后顺序打开资格审查文件、商务技术文件外包装，清点投标文件正本、副本数量；</w:t>
      </w:r>
    </w:p>
    <w:p>
      <w:pPr>
        <w:spacing w:line="400" w:lineRule="exact"/>
        <w:ind w:firstLine="420" w:firstLineChars="200"/>
        <w:rPr>
          <w:rFonts w:ascii="宋体" w:hAnsi="宋体"/>
          <w:szCs w:val="21"/>
        </w:rPr>
      </w:pPr>
      <w:r>
        <w:rPr>
          <w:rFonts w:hint="eastAsia" w:ascii="宋体" w:hAnsi="宋体"/>
          <w:szCs w:val="21"/>
        </w:rPr>
        <w:t>6、资格审查、符合性检查、技术、资信售后服务及其他分评分结束后，由主持人公布无效投标的投标人名单、投标无效的原因及其他有效投标的评分结果；</w:t>
      </w:r>
    </w:p>
    <w:p>
      <w:pPr>
        <w:spacing w:line="400" w:lineRule="exact"/>
        <w:ind w:firstLine="420" w:firstLineChars="200"/>
        <w:rPr>
          <w:rFonts w:ascii="宋体" w:hAnsi="宋体"/>
          <w:szCs w:val="21"/>
        </w:rPr>
      </w:pPr>
      <w:r>
        <w:rPr>
          <w:rFonts w:hint="eastAsia" w:ascii="宋体" w:hAnsi="宋体"/>
          <w:szCs w:val="21"/>
        </w:rPr>
        <w:t>7、再开启报价文件，由主持人宣读《开标一览表》中的投标人名称及在其投标文件中承诺的投标报价、交货期（服务期限）等投标内容，以及采购代理机构认为有必要宣读的其他内容；</w:t>
      </w:r>
    </w:p>
    <w:p>
      <w:pPr>
        <w:spacing w:line="400" w:lineRule="exact"/>
        <w:ind w:firstLine="420" w:firstLineChars="200"/>
        <w:rPr>
          <w:rFonts w:ascii="宋体" w:hAnsi="宋体"/>
          <w:szCs w:val="21"/>
        </w:rPr>
      </w:pPr>
      <w:r>
        <w:rPr>
          <w:rFonts w:hint="eastAsia" w:ascii="宋体" w:hAnsi="宋体"/>
          <w:szCs w:val="21"/>
        </w:rPr>
        <w:t>8、采购代理机构做开标记录, 同时由记录人、监督人当场签字确认；</w:t>
      </w:r>
    </w:p>
    <w:p>
      <w:pPr>
        <w:spacing w:line="400" w:lineRule="exact"/>
        <w:ind w:firstLine="420" w:firstLineChars="200"/>
        <w:rPr>
          <w:rFonts w:ascii="宋体" w:hAnsi="宋体"/>
          <w:szCs w:val="21"/>
        </w:rPr>
      </w:pPr>
      <w:r>
        <w:rPr>
          <w:rFonts w:hint="eastAsia" w:ascii="宋体" w:hAnsi="宋体"/>
          <w:szCs w:val="21"/>
        </w:rPr>
        <w:t>9、评审结束后，主持人公布中标候选投标人名单，及采购人最终确定中标或成交投标人名单的时间和公告方式等。</w:t>
      </w:r>
    </w:p>
    <w:p>
      <w:pPr>
        <w:spacing w:line="400" w:lineRule="exact"/>
        <w:ind w:firstLine="420" w:firstLineChars="200"/>
        <w:rPr>
          <w:rFonts w:hAnsi="宋体" w:cs="宋体"/>
          <w:bCs/>
        </w:rPr>
      </w:pPr>
      <w:r>
        <w:rPr>
          <w:rFonts w:hint="eastAsia" w:ascii="宋体" w:hAnsi="宋体"/>
          <w:szCs w:val="21"/>
        </w:rPr>
        <w:t>10、开标会议结束</w:t>
      </w:r>
      <w:r>
        <w:rPr>
          <w:rFonts w:hint="eastAsia" w:hAnsi="宋体" w:cs="宋体"/>
          <w:bCs/>
        </w:rPr>
        <w:t>。</w:t>
      </w:r>
    </w:p>
    <w:p>
      <w:pPr>
        <w:spacing w:line="400" w:lineRule="exact"/>
        <w:ind w:firstLine="420" w:firstLineChars="200"/>
        <w:rPr>
          <w:rFonts w:ascii="宋体" w:hAnsi="宋体"/>
          <w:szCs w:val="21"/>
        </w:rPr>
      </w:pPr>
      <w:r>
        <w:rPr>
          <w:rFonts w:hint="eastAsia" w:ascii="宋体" w:hAnsi="宋体"/>
          <w:szCs w:val="21"/>
        </w:rPr>
        <w:t>五、评标</w:t>
      </w:r>
    </w:p>
    <w:p>
      <w:pPr>
        <w:spacing w:line="400" w:lineRule="exact"/>
        <w:ind w:firstLine="420" w:firstLineChars="200"/>
        <w:rPr>
          <w:rFonts w:ascii="宋体" w:hAnsi="宋体"/>
          <w:szCs w:val="21"/>
        </w:rPr>
      </w:pPr>
      <w:r>
        <w:rPr>
          <w:rFonts w:ascii="宋体" w:hAnsi="宋体"/>
          <w:szCs w:val="21"/>
        </w:rPr>
        <w:t>（一）组建评标委员会</w:t>
      </w:r>
    </w:p>
    <w:p>
      <w:pPr>
        <w:spacing w:line="400" w:lineRule="exact"/>
        <w:ind w:firstLine="420" w:firstLineChars="200"/>
        <w:rPr>
          <w:rFonts w:ascii="宋体" w:hAnsi="宋体"/>
          <w:szCs w:val="21"/>
        </w:rPr>
      </w:pPr>
      <w:r>
        <w:rPr>
          <w:rFonts w:ascii="宋体" w:hAnsi="宋体"/>
          <w:szCs w:val="21"/>
        </w:rPr>
        <w:t>评标委员会由采购人代表和评审专家组成，成员人数应当为5人</w:t>
      </w:r>
      <w:r>
        <w:rPr>
          <w:rFonts w:hint="eastAsia" w:ascii="宋体" w:hAnsi="宋体"/>
          <w:szCs w:val="21"/>
        </w:rPr>
        <w:t>以上单数</w:t>
      </w:r>
      <w:r>
        <w:rPr>
          <w:rFonts w:ascii="宋体" w:hAnsi="宋体"/>
          <w:szCs w:val="21"/>
        </w:rPr>
        <w:t>，其中评审专家不得少于成员总数的三分之二</w:t>
      </w:r>
      <w:r>
        <w:rPr>
          <w:rFonts w:hint="eastAsia" w:ascii="宋体" w:hAnsi="宋体"/>
          <w:szCs w:val="21"/>
        </w:rPr>
        <w:t>。（</w:t>
      </w:r>
      <w:r>
        <w:rPr>
          <w:rFonts w:ascii="宋体" w:hAnsi="宋体"/>
          <w:szCs w:val="21"/>
        </w:rPr>
        <w:t>评标委员会成员名单在评标结果公告前应当保密</w:t>
      </w:r>
      <w:r>
        <w:rPr>
          <w:rFonts w:hint="eastAsia" w:ascii="宋体" w:hAnsi="宋体"/>
          <w:szCs w:val="21"/>
        </w:rPr>
        <w:t>）</w:t>
      </w:r>
    </w:p>
    <w:p>
      <w:pPr>
        <w:spacing w:line="400" w:lineRule="exact"/>
        <w:ind w:firstLine="420" w:firstLineChars="200"/>
        <w:rPr>
          <w:rFonts w:ascii="宋体" w:hAnsi="宋体"/>
          <w:szCs w:val="21"/>
        </w:rPr>
      </w:pPr>
      <w:r>
        <w:rPr>
          <w:rFonts w:ascii="宋体" w:hAnsi="宋体"/>
          <w:szCs w:val="21"/>
        </w:rPr>
        <w:t>（二）评标的方式</w:t>
      </w:r>
    </w:p>
    <w:p>
      <w:pPr>
        <w:spacing w:line="400" w:lineRule="exact"/>
        <w:ind w:firstLine="420" w:firstLineChars="200"/>
        <w:rPr>
          <w:rFonts w:ascii="宋体" w:hAnsi="宋体"/>
          <w:szCs w:val="21"/>
        </w:rPr>
      </w:pPr>
      <w:r>
        <w:rPr>
          <w:rFonts w:ascii="宋体" w:hAnsi="宋体"/>
          <w:szCs w:val="21"/>
        </w:rPr>
        <w:t>本项目采用不公开方式评标，评标的依据为</w:t>
      </w:r>
      <w:r>
        <w:rPr>
          <w:rFonts w:hint="eastAsia" w:ascii="宋体" w:hAnsi="宋体"/>
          <w:szCs w:val="21"/>
        </w:rPr>
        <w:t>法律法规、</w:t>
      </w:r>
      <w:r>
        <w:rPr>
          <w:rFonts w:ascii="宋体" w:hAnsi="宋体"/>
          <w:szCs w:val="21"/>
        </w:rPr>
        <w:t>招标文件和投标文件。</w:t>
      </w:r>
    </w:p>
    <w:p>
      <w:pPr>
        <w:spacing w:line="400" w:lineRule="exact"/>
        <w:ind w:firstLine="420" w:firstLineChars="200"/>
        <w:rPr>
          <w:rFonts w:ascii="宋体" w:hAnsi="宋体"/>
          <w:szCs w:val="21"/>
        </w:rPr>
      </w:pPr>
      <w:r>
        <w:rPr>
          <w:rFonts w:ascii="宋体" w:hAnsi="宋体"/>
          <w:szCs w:val="21"/>
        </w:rPr>
        <w:t>（三）评标程序</w:t>
      </w:r>
    </w:p>
    <w:p>
      <w:pPr>
        <w:spacing w:line="400" w:lineRule="exact"/>
        <w:ind w:firstLine="420" w:firstLineChars="200"/>
        <w:rPr>
          <w:rFonts w:ascii="宋体" w:hAnsi="宋体"/>
          <w:szCs w:val="21"/>
        </w:rPr>
      </w:pPr>
      <w:r>
        <w:rPr>
          <w:rFonts w:hint="eastAsia" w:ascii="宋体" w:hAnsi="宋体"/>
          <w:szCs w:val="21"/>
        </w:rPr>
        <w:t>1.采购代理机构工作人员按评标委员会名单核对评委身份，组织评委及相关人员签到。</w:t>
      </w:r>
    </w:p>
    <w:p>
      <w:pPr>
        <w:spacing w:line="400" w:lineRule="exact"/>
        <w:ind w:firstLine="420" w:firstLineChars="200"/>
        <w:rPr>
          <w:rFonts w:ascii="宋体" w:hAnsi="宋体"/>
          <w:szCs w:val="21"/>
        </w:rPr>
      </w:pPr>
      <w:r>
        <w:rPr>
          <w:rFonts w:hint="eastAsia" w:ascii="宋体" w:hAnsi="宋体"/>
          <w:szCs w:val="21"/>
        </w:rPr>
        <w:t>2.采购代理机构工作人员宣布评审纪律，征询评委有无回避情形；</w:t>
      </w:r>
    </w:p>
    <w:p>
      <w:pPr>
        <w:spacing w:line="400" w:lineRule="exact"/>
        <w:ind w:firstLine="420" w:firstLineChars="200"/>
        <w:rPr>
          <w:rFonts w:ascii="宋体" w:hAnsi="宋体"/>
          <w:szCs w:val="21"/>
        </w:rPr>
      </w:pPr>
      <w:r>
        <w:rPr>
          <w:rFonts w:hint="eastAsia" w:ascii="宋体" w:hAnsi="宋体"/>
          <w:szCs w:val="21"/>
        </w:rPr>
        <w:t>3.评审委员会确定组长，负责组织评审活动；</w:t>
      </w:r>
    </w:p>
    <w:p>
      <w:pPr>
        <w:spacing w:line="400" w:lineRule="exact"/>
        <w:ind w:firstLine="420" w:firstLineChars="200"/>
        <w:rPr>
          <w:rFonts w:ascii="宋体" w:hAnsi="宋体"/>
          <w:szCs w:val="21"/>
        </w:rPr>
      </w:pPr>
      <w:r>
        <w:rPr>
          <w:rFonts w:hint="eastAsia" w:ascii="宋体" w:hAnsi="宋体"/>
          <w:szCs w:val="21"/>
        </w:rPr>
        <w:t>4.评委进行独立评审，并按要求必须提交评审依据；</w:t>
      </w:r>
    </w:p>
    <w:p>
      <w:pPr>
        <w:spacing w:line="400" w:lineRule="exact"/>
        <w:ind w:firstLine="420" w:firstLineChars="200"/>
        <w:rPr>
          <w:rFonts w:ascii="宋体" w:hAnsi="宋体"/>
          <w:szCs w:val="21"/>
        </w:rPr>
      </w:pPr>
      <w:r>
        <w:rPr>
          <w:rFonts w:hint="eastAsia" w:ascii="宋体" w:hAnsi="宋体"/>
          <w:szCs w:val="21"/>
        </w:rPr>
        <w:t>5.采购代理机构可协助评审小组组长对打分结果进行校对、核对并汇总统计，有差错或不合理的，提醒评委进行修正，评委拒绝修正的，提交评委会按少数服从多数原则集体决定，并记入评审记录内。情节严重的，报监管部门处理。</w:t>
      </w:r>
    </w:p>
    <w:p>
      <w:pPr>
        <w:spacing w:line="400" w:lineRule="exact"/>
        <w:ind w:firstLine="420" w:firstLineChars="200"/>
        <w:rPr>
          <w:rFonts w:ascii="宋体" w:hAnsi="宋体"/>
          <w:szCs w:val="21"/>
        </w:rPr>
      </w:pPr>
      <w:r>
        <w:rPr>
          <w:rFonts w:hint="eastAsia" w:ascii="宋体" w:hAnsi="宋体"/>
          <w:szCs w:val="21"/>
        </w:rPr>
        <w:t>6.采购代理机构工作人员协助做好价格分和评审情况的计算、汇总工作。</w:t>
      </w:r>
    </w:p>
    <w:p>
      <w:pPr>
        <w:spacing w:line="400" w:lineRule="exact"/>
        <w:ind w:firstLine="420" w:firstLineChars="200"/>
        <w:rPr>
          <w:rFonts w:ascii="宋体" w:hAnsi="宋体"/>
          <w:szCs w:val="21"/>
        </w:rPr>
      </w:pPr>
      <w:r>
        <w:rPr>
          <w:rFonts w:hint="eastAsia" w:ascii="宋体" w:hAnsi="宋体"/>
          <w:szCs w:val="21"/>
        </w:rPr>
        <w:t>7.评审委员会形成评标报告，应由全体成员签字确认。有保留意见的可以在评标报告中申明，未申明且拒绝签字的视同默认评标报告并载明此情形。</w:t>
      </w:r>
    </w:p>
    <w:p>
      <w:pPr>
        <w:spacing w:line="400" w:lineRule="exact"/>
        <w:ind w:firstLine="420" w:firstLineChars="200"/>
        <w:rPr>
          <w:rFonts w:ascii="宋体" w:hAnsi="宋体"/>
          <w:szCs w:val="21"/>
        </w:rPr>
      </w:pPr>
      <w:r>
        <w:rPr>
          <w:rFonts w:hint="eastAsia" w:ascii="宋体" w:hAnsi="宋体"/>
          <w:szCs w:val="21"/>
        </w:rPr>
        <w:t>8.采购代理机构工作人员宣布会议结束。</w:t>
      </w:r>
    </w:p>
    <w:p>
      <w:pPr>
        <w:spacing w:line="400" w:lineRule="exact"/>
        <w:ind w:firstLine="420" w:firstLineChars="200"/>
        <w:rPr>
          <w:rFonts w:ascii="宋体" w:hAnsi="宋体"/>
          <w:szCs w:val="21"/>
        </w:rPr>
      </w:pPr>
      <w:r>
        <w:rPr>
          <w:rFonts w:hint="eastAsia" w:ascii="宋体" w:hAnsi="宋体"/>
          <w:szCs w:val="21"/>
        </w:rPr>
        <w:t>（四）评委评审程序</w:t>
      </w:r>
    </w:p>
    <w:p>
      <w:pPr>
        <w:spacing w:line="400" w:lineRule="exact"/>
        <w:ind w:firstLine="420" w:firstLineChars="200"/>
        <w:rPr>
          <w:szCs w:val="21"/>
        </w:rPr>
      </w:pPr>
      <w:r>
        <w:rPr>
          <w:rFonts w:hint="eastAsia" w:ascii="宋体" w:hAnsi="宋体"/>
          <w:szCs w:val="21"/>
        </w:rPr>
        <w:t>1.</w:t>
      </w:r>
      <w:r>
        <w:rPr>
          <w:rFonts w:hint="eastAsia"/>
          <w:szCs w:val="21"/>
        </w:rPr>
        <w:t>资格条件审查</w:t>
      </w:r>
    </w:p>
    <w:p>
      <w:pPr>
        <w:spacing w:line="400" w:lineRule="exact"/>
        <w:ind w:firstLine="420" w:firstLineChars="200"/>
        <w:rPr>
          <w:szCs w:val="21"/>
        </w:rPr>
      </w:pPr>
      <w:r>
        <w:rPr>
          <w:rFonts w:hint="eastAsia"/>
          <w:szCs w:val="21"/>
        </w:rPr>
        <w:t>由采购人或代理机构对</w:t>
      </w:r>
      <w:r>
        <w:rPr>
          <w:rFonts w:hint="eastAsia" w:ascii="宋体" w:hAnsi="宋体"/>
          <w:szCs w:val="21"/>
        </w:rPr>
        <w:t>投标人</w:t>
      </w:r>
      <w:r>
        <w:rPr>
          <w:rFonts w:hint="eastAsia"/>
          <w:szCs w:val="21"/>
        </w:rPr>
        <w:t>的资格进行审查。</w:t>
      </w:r>
    </w:p>
    <w:tbl>
      <w:tblPr>
        <w:tblStyle w:val="16"/>
        <w:tblW w:w="81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0" w:type="dxa"/>
          <w:left w:w="150" w:type="dxa"/>
          <w:bottom w:w="150" w:type="dxa"/>
          <w:right w:w="150" w:type="dxa"/>
        </w:tblCellMar>
      </w:tblPr>
      <w:tblGrid>
        <w:gridCol w:w="4739"/>
        <w:gridCol w:w="1851"/>
        <w:gridCol w:w="1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0" w:type="dxa"/>
            <w:left w:w="150" w:type="dxa"/>
            <w:bottom w:w="150" w:type="dxa"/>
            <w:right w:w="150" w:type="dxa"/>
          </w:tblCellMar>
        </w:tblPrEx>
        <w:trPr>
          <w:trHeight w:val="688" w:hRule="atLeast"/>
          <w:jc w:val="center"/>
        </w:trPr>
        <w:tc>
          <w:tcPr>
            <w:tcW w:w="4739" w:type="dxa"/>
            <w:vAlign w:val="center"/>
          </w:tcPr>
          <w:p>
            <w:pPr>
              <w:adjustRightInd w:val="0"/>
              <w:snapToGrid w:val="0"/>
              <w:spacing w:line="400" w:lineRule="exact"/>
              <w:jc w:val="center"/>
              <w:rPr>
                <w:rFonts w:ascii="宋体" w:hAnsi="宋体" w:cs="宋体"/>
                <w:b/>
                <w:szCs w:val="21"/>
              </w:rPr>
            </w:pPr>
            <w:r>
              <w:rPr>
                <w:rStyle w:val="19"/>
                <w:rFonts w:hint="eastAsia" w:ascii="宋体" w:hAnsi="宋体" w:cs="宋体"/>
                <w:b w:val="0"/>
                <w:szCs w:val="21"/>
              </w:rPr>
              <w:t>采购文件要求</w:t>
            </w:r>
          </w:p>
        </w:tc>
        <w:tc>
          <w:tcPr>
            <w:tcW w:w="1851" w:type="dxa"/>
            <w:vAlign w:val="center"/>
          </w:tcPr>
          <w:p>
            <w:pPr>
              <w:adjustRightInd w:val="0"/>
              <w:snapToGrid w:val="0"/>
              <w:spacing w:line="400" w:lineRule="exact"/>
              <w:jc w:val="center"/>
              <w:rPr>
                <w:rStyle w:val="19"/>
                <w:rFonts w:ascii="宋体" w:hAnsi="宋体" w:cs="宋体"/>
                <w:b w:val="0"/>
                <w:szCs w:val="21"/>
              </w:rPr>
            </w:pPr>
            <w:r>
              <w:rPr>
                <w:rStyle w:val="19"/>
                <w:rFonts w:hint="eastAsia" w:ascii="宋体" w:hAnsi="宋体" w:cs="宋体"/>
                <w:b w:val="0"/>
                <w:szCs w:val="21"/>
              </w:rPr>
              <w:t>检查结论</w:t>
            </w:r>
          </w:p>
          <w:p>
            <w:pPr>
              <w:pStyle w:val="15"/>
              <w:spacing w:after="0" w:line="400" w:lineRule="exact"/>
              <w:ind w:left="0" w:leftChars="0" w:firstLine="0" w:firstLineChars="0"/>
              <w:jc w:val="center"/>
              <w:rPr>
                <w:rStyle w:val="19"/>
                <w:rFonts w:ascii="宋体" w:hAnsi="宋体" w:cs="宋体"/>
                <w:b w:val="0"/>
                <w:szCs w:val="21"/>
              </w:rPr>
            </w:pPr>
            <w:r>
              <w:rPr>
                <w:rStyle w:val="19"/>
                <w:rFonts w:hint="eastAsia" w:ascii="宋体" w:hAnsi="宋体" w:cs="宋体"/>
                <w:b w:val="0"/>
                <w:szCs w:val="21"/>
              </w:rPr>
              <w:t>（符合/不符合）</w:t>
            </w:r>
          </w:p>
        </w:tc>
        <w:tc>
          <w:tcPr>
            <w:tcW w:w="1548" w:type="dxa"/>
            <w:vAlign w:val="center"/>
          </w:tcPr>
          <w:p>
            <w:pPr>
              <w:adjustRightInd w:val="0"/>
              <w:snapToGrid w:val="0"/>
              <w:spacing w:line="400" w:lineRule="exact"/>
              <w:jc w:val="center"/>
              <w:rPr>
                <w:rStyle w:val="19"/>
                <w:rFonts w:ascii="宋体" w:hAnsi="宋体" w:cs="宋体"/>
                <w:b w:val="0"/>
                <w:szCs w:val="21"/>
              </w:rPr>
            </w:pPr>
            <w:r>
              <w:rPr>
                <w:rStyle w:val="19"/>
                <w:rFonts w:hint="eastAsia" w:ascii="宋体" w:hAnsi="宋体" w:cs="宋体"/>
                <w:b w:val="0"/>
                <w:szCs w:val="21"/>
              </w:rPr>
              <w:t>证明资料</w:t>
            </w:r>
          </w:p>
          <w:p>
            <w:pPr>
              <w:adjustRightInd w:val="0"/>
              <w:snapToGrid w:val="0"/>
              <w:spacing w:line="400" w:lineRule="exact"/>
              <w:jc w:val="center"/>
              <w:rPr>
                <w:rFonts w:ascii="宋体" w:hAnsi="宋体" w:cs="宋体"/>
                <w:b/>
                <w:szCs w:val="21"/>
              </w:rPr>
            </w:pPr>
            <w:r>
              <w:rPr>
                <w:rStyle w:val="19"/>
                <w:rFonts w:hint="eastAsia" w:ascii="宋体" w:hAnsi="宋体" w:cs="宋体"/>
                <w:b w:val="0"/>
                <w:szCs w:val="21"/>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0" w:type="dxa"/>
            <w:left w:w="150" w:type="dxa"/>
            <w:bottom w:w="150" w:type="dxa"/>
            <w:right w:w="150" w:type="dxa"/>
          </w:tblCellMar>
        </w:tblPrEx>
        <w:trPr>
          <w:trHeight w:val="420" w:hRule="atLeast"/>
          <w:jc w:val="center"/>
        </w:trPr>
        <w:tc>
          <w:tcPr>
            <w:tcW w:w="4739" w:type="dxa"/>
            <w:vAlign w:val="center"/>
          </w:tcPr>
          <w:p>
            <w:pPr>
              <w:adjustRightInd w:val="0"/>
              <w:snapToGrid w:val="0"/>
              <w:spacing w:line="400" w:lineRule="exact"/>
              <w:rPr>
                <w:rFonts w:ascii="宋体" w:hAnsi="宋体" w:cs="宋体"/>
                <w:szCs w:val="21"/>
              </w:rPr>
            </w:pPr>
            <w:r>
              <w:rPr>
                <w:rFonts w:hint="eastAsia" w:ascii="宋体" w:hAnsi="宋体"/>
                <w:szCs w:val="21"/>
              </w:rPr>
              <w:t>1.符合《中华人民共和国政府采购法》第二十二条规定的投标人承诺书；（格式见附件一）</w:t>
            </w:r>
          </w:p>
        </w:tc>
        <w:tc>
          <w:tcPr>
            <w:tcW w:w="1851" w:type="dxa"/>
            <w:vAlign w:val="center"/>
          </w:tcPr>
          <w:p>
            <w:pPr>
              <w:adjustRightInd w:val="0"/>
              <w:snapToGrid w:val="0"/>
              <w:spacing w:line="400" w:lineRule="exact"/>
              <w:rPr>
                <w:rFonts w:ascii="宋体" w:hAnsi="宋体" w:cs="宋体"/>
                <w:szCs w:val="21"/>
              </w:rPr>
            </w:pPr>
          </w:p>
        </w:tc>
        <w:tc>
          <w:tcPr>
            <w:tcW w:w="1548" w:type="dxa"/>
            <w:vAlign w:val="center"/>
          </w:tcPr>
          <w:p>
            <w:pPr>
              <w:adjustRightInd w:val="0"/>
              <w:snapToGrid w:val="0"/>
              <w:spacing w:line="400" w:lineRule="exact"/>
              <w:jc w:val="center"/>
              <w:rPr>
                <w:rFonts w:ascii="宋体" w:hAnsi="宋体" w:cs="宋体"/>
                <w:szCs w:val="21"/>
              </w:rPr>
            </w:pPr>
            <w:r>
              <w:rPr>
                <w:rFonts w:hint="eastAsia" w:ascii="Calibri" w:hAnsi="宋体"/>
                <w:szCs w:val="21"/>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0" w:type="dxa"/>
            <w:left w:w="150" w:type="dxa"/>
            <w:bottom w:w="150" w:type="dxa"/>
            <w:right w:w="150" w:type="dxa"/>
          </w:tblCellMar>
        </w:tblPrEx>
        <w:trPr>
          <w:trHeight w:val="1159" w:hRule="atLeast"/>
          <w:jc w:val="center"/>
        </w:trPr>
        <w:tc>
          <w:tcPr>
            <w:tcW w:w="4739" w:type="dxa"/>
            <w:vAlign w:val="center"/>
          </w:tcPr>
          <w:p>
            <w:pPr>
              <w:adjustRightInd w:val="0"/>
              <w:snapToGrid w:val="0"/>
              <w:spacing w:line="400" w:lineRule="exact"/>
              <w:rPr>
                <w:rFonts w:ascii="宋体" w:hAnsi="宋体"/>
                <w:szCs w:val="21"/>
              </w:rPr>
            </w:pPr>
            <w:r>
              <w:rPr>
                <w:rFonts w:hint="eastAsia" w:ascii="宋体" w:hAnsi="宋体" w:cs="宋体"/>
                <w:szCs w:val="21"/>
              </w:rPr>
              <w:t>2.</w:t>
            </w:r>
            <w:r>
              <w:rPr>
                <w:rFonts w:hint="eastAsia" w:ascii="宋体" w:hAnsi="宋体" w:cs="宋体"/>
              </w:rPr>
              <w:t>特定资格条件：见采购公告中合格投标人的资格要求的特定资格条件；</w:t>
            </w:r>
            <w:r>
              <w:rPr>
                <w:rFonts w:hint="eastAsia" w:ascii="宋体" w:hAnsi="宋体" w:cs="宋体"/>
                <w:szCs w:val="21"/>
              </w:rPr>
              <w:t>（如没有，则无须提供相关证明资料）</w:t>
            </w:r>
          </w:p>
        </w:tc>
        <w:tc>
          <w:tcPr>
            <w:tcW w:w="1851" w:type="dxa"/>
            <w:vAlign w:val="center"/>
          </w:tcPr>
          <w:p>
            <w:pPr>
              <w:adjustRightInd w:val="0"/>
              <w:snapToGrid w:val="0"/>
              <w:spacing w:line="400" w:lineRule="exact"/>
              <w:rPr>
                <w:rFonts w:ascii="宋体" w:hAnsi="宋体" w:cs="宋体"/>
                <w:szCs w:val="21"/>
              </w:rPr>
            </w:pPr>
          </w:p>
        </w:tc>
        <w:tc>
          <w:tcPr>
            <w:tcW w:w="1548" w:type="dxa"/>
            <w:vAlign w:val="center"/>
          </w:tcPr>
          <w:p>
            <w:pPr>
              <w:adjustRightInd w:val="0"/>
              <w:snapToGrid w:val="0"/>
              <w:spacing w:line="400" w:lineRule="exact"/>
              <w:jc w:val="center"/>
              <w:rPr>
                <w:rFonts w:ascii="Calibri" w:hAnsi="宋体"/>
                <w:szCs w:val="21"/>
              </w:rPr>
            </w:pPr>
            <w:r>
              <w:rPr>
                <w:rFonts w:hint="eastAsia" w:ascii="Calibri" w:hAnsi="宋体"/>
                <w:szCs w:val="21"/>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0" w:type="dxa"/>
            <w:left w:w="150" w:type="dxa"/>
            <w:bottom w:w="150" w:type="dxa"/>
            <w:right w:w="150" w:type="dxa"/>
          </w:tblCellMar>
        </w:tblPrEx>
        <w:trPr>
          <w:trHeight w:val="48" w:hRule="atLeast"/>
          <w:jc w:val="center"/>
        </w:trPr>
        <w:tc>
          <w:tcPr>
            <w:tcW w:w="4739" w:type="dxa"/>
            <w:vAlign w:val="center"/>
          </w:tcPr>
          <w:p>
            <w:pPr>
              <w:adjustRightInd w:val="0"/>
              <w:snapToGrid w:val="0"/>
              <w:spacing w:line="400" w:lineRule="exact"/>
              <w:rPr>
                <w:rFonts w:ascii="宋体" w:hAnsi="宋体" w:cs="宋体"/>
                <w:color w:val="000000"/>
                <w:szCs w:val="21"/>
              </w:rPr>
            </w:pPr>
            <w:r>
              <w:rPr>
                <w:rFonts w:hint="eastAsia" w:ascii="宋体" w:hAnsi="宋体" w:cs="宋体"/>
                <w:color w:val="000000"/>
                <w:szCs w:val="21"/>
              </w:rPr>
              <w:t>3.联合体投标</w:t>
            </w:r>
            <w:r>
              <w:rPr>
                <w:rFonts w:hint="eastAsia" w:ascii="宋体" w:hAnsi="宋体" w:cs="宋体"/>
                <w:color w:val="000000"/>
              </w:rPr>
              <w:t>：见采购公告中合格投标人的资格要求</w:t>
            </w:r>
            <w:r>
              <w:rPr>
                <w:rFonts w:hint="eastAsia" w:ascii="宋体" w:hAnsi="宋体" w:cs="宋体"/>
                <w:color w:val="000000"/>
                <w:szCs w:val="21"/>
              </w:rPr>
              <w:t>；（如没有，则无须提供相关证明资料）</w:t>
            </w:r>
          </w:p>
        </w:tc>
        <w:tc>
          <w:tcPr>
            <w:tcW w:w="1851" w:type="dxa"/>
            <w:vAlign w:val="center"/>
          </w:tcPr>
          <w:p>
            <w:pPr>
              <w:adjustRightInd w:val="0"/>
              <w:snapToGrid w:val="0"/>
              <w:spacing w:line="400" w:lineRule="exact"/>
              <w:rPr>
                <w:rFonts w:ascii="宋体" w:hAnsi="宋体" w:cs="宋体"/>
                <w:color w:val="000000"/>
                <w:szCs w:val="21"/>
              </w:rPr>
            </w:pPr>
          </w:p>
        </w:tc>
        <w:tc>
          <w:tcPr>
            <w:tcW w:w="1548" w:type="dxa"/>
            <w:vAlign w:val="center"/>
          </w:tcPr>
          <w:p>
            <w:pPr>
              <w:adjustRightInd w:val="0"/>
              <w:snapToGrid w:val="0"/>
              <w:spacing w:line="400" w:lineRule="exact"/>
              <w:jc w:val="center"/>
              <w:rPr>
                <w:rFonts w:ascii="宋体" w:hAnsi="宋体" w:cs="宋体"/>
                <w:color w:val="000000"/>
                <w:szCs w:val="21"/>
              </w:rPr>
            </w:pPr>
            <w:r>
              <w:rPr>
                <w:rFonts w:hint="eastAsia" w:ascii="Calibri" w:hAnsi="宋体"/>
                <w:szCs w:val="21"/>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0" w:type="dxa"/>
            <w:left w:w="150" w:type="dxa"/>
            <w:bottom w:w="150" w:type="dxa"/>
            <w:right w:w="150" w:type="dxa"/>
          </w:tblCellMar>
        </w:tblPrEx>
        <w:trPr>
          <w:trHeight w:val="12" w:hRule="atLeast"/>
          <w:jc w:val="center"/>
        </w:trPr>
        <w:tc>
          <w:tcPr>
            <w:tcW w:w="4739" w:type="dxa"/>
            <w:vAlign w:val="center"/>
          </w:tcPr>
          <w:p>
            <w:pPr>
              <w:spacing w:line="400" w:lineRule="exact"/>
              <w:rPr>
                <w:rFonts w:ascii="宋体" w:hAnsi="宋体" w:cs="宋体"/>
                <w:szCs w:val="21"/>
              </w:rPr>
            </w:pPr>
            <w:r>
              <w:rPr>
                <w:rFonts w:hint="eastAsia" w:ascii="宋体" w:hAnsi="宋体" w:cs="宋体"/>
                <w:color w:val="000000"/>
              </w:rPr>
              <w:t>4.</w:t>
            </w:r>
            <w:r>
              <w:rPr>
                <w:rFonts w:hint="eastAsia" w:ascii="宋体" w:hAnsi="宋体"/>
                <w:szCs w:val="21"/>
              </w:rPr>
              <w:t>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投标截止日当天在“信用中国”网站（www.creditchina.gov.cn）及中国政府采购网查询结果为准，如相关失信记录已失效，供应商需提供相关证明资料）；</w:t>
            </w:r>
          </w:p>
        </w:tc>
        <w:tc>
          <w:tcPr>
            <w:tcW w:w="1851" w:type="dxa"/>
            <w:vAlign w:val="center"/>
          </w:tcPr>
          <w:p>
            <w:pPr>
              <w:adjustRightInd w:val="0"/>
              <w:snapToGrid w:val="0"/>
              <w:spacing w:line="400" w:lineRule="exact"/>
              <w:rPr>
                <w:rFonts w:ascii="宋体" w:hAnsi="宋体" w:cs="宋体"/>
                <w:color w:val="000000"/>
                <w:szCs w:val="21"/>
              </w:rPr>
            </w:pPr>
          </w:p>
        </w:tc>
        <w:tc>
          <w:tcPr>
            <w:tcW w:w="1548" w:type="dxa"/>
            <w:vAlign w:val="center"/>
          </w:tcPr>
          <w:p>
            <w:pPr>
              <w:adjustRightInd w:val="0"/>
              <w:snapToGrid w:val="0"/>
              <w:spacing w:line="400" w:lineRule="exact"/>
              <w:jc w:val="center"/>
              <w:rPr>
                <w:rFonts w:ascii="宋体" w:hAnsi="宋体" w:cs="宋体"/>
                <w:color w:val="000000"/>
                <w:szCs w:val="21"/>
              </w:rPr>
            </w:pPr>
            <w:r>
              <w:rPr>
                <w:rFonts w:hint="eastAsia" w:ascii="Calibri" w:hAnsi="宋体"/>
                <w:szCs w:val="21"/>
              </w:rPr>
              <w:t>第（）页</w:t>
            </w:r>
          </w:p>
        </w:tc>
      </w:tr>
    </w:tbl>
    <w:p>
      <w:pPr>
        <w:spacing w:line="400" w:lineRule="exact"/>
        <w:ind w:firstLine="420" w:firstLineChars="200"/>
        <w:rPr>
          <w:szCs w:val="21"/>
        </w:rPr>
      </w:pPr>
      <w:r>
        <w:rPr>
          <w:rFonts w:hint="eastAsia" w:ascii="宋体" w:hAnsi="宋体"/>
          <w:szCs w:val="21"/>
        </w:rPr>
        <w:t>2.</w:t>
      </w:r>
      <w:r>
        <w:rPr>
          <w:rFonts w:hint="eastAsia"/>
          <w:szCs w:val="21"/>
        </w:rPr>
        <w:t>符合性审查</w:t>
      </w:r>
    </w:p>
    <w:p>
      <w:pPr>
        <w:spacing w:line="400" w:lineRule="exact"/>
        <w:ind w:firstLine="420" w:firstLineChars="200"/>
        <w:rPr>
          <w:szCs w:val="21"/>
        </w:rPr>
      </w:pPr>
      <w:r>
        <w:rPr>
          <w:rFonts w:hint="eastAsia" w:ascii="宋体" w:hAnsi="宋体" w:cs="宋体"/>
          <w:kern w:val="0"/>
          <w:szCs w:val="21"/>
        </w:rPr>
        <w:t>评标委员会应当对符合资格的</w:t>
      </w:r>
      <w:r>
        <w:rPr>
          <w:rFonts w:hint="eastAsia" w:ascii="宋体" w:hAnsi="宋体"/>
          <w:szCs w:val="21"/>
        </w:rPr>
        <w:t>投标人</w:t>
      </w:r>
      <w:r>
        <w:rPr>
          <w:rFonts w:hint="eastAsia" w:ascii="宋体" w:hAnsi="宋体" w:cs="宋体"/>
          <w:kern w:val="0"/>
          <w:szCs w:val="21"/>
        </w:rPr>
        <w:t>的投标文件进行符合性审查，以确定其是否满足采购文件的实质性要求。</w:t>
      </w:r>
    </w:p>
    <w:tbl>
      <w:tblPr>
        <w:tblStyle w:val="16"/>
        <w:tblW w:w="8128" w:type="dxa"/>
        <w:jc w:val="center"/>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0" w:type="dxa"/>
          <w:left w:w="150" w:type="dxa"/>
          <w:bottom w:w="150" w:type="dxa"/>
          <w:right w:w="150" w:type="dxa"/>
        </w:tblCellMar>
      </w:tblPr>
      <w:tblGrid>
        <w:gridCol w:w="4726"/>
        <w:gridCol w:w="1843"/>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0" w:type="dxa"/>
            <w:left w:w="150" w:type="dxa"/>
            <w:bottom w:w="150" w:type="dxa"/>
            <w:right w:w="150" w:type="dxa"/>
          </w:tblCellMar>
        </w:tblPrEx>
        <w:trPr>
          <w:trHeight w:val="217" w:hRule="atLeast"/>
          <w:jc w:val="center"/>
        </w:trPr>
        <w:tc>
          <w:tcPr>
            <w:tcW w:w="4726" w:type="dxa"/>
            <w:vAlign w:val="center"/>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采购文件要求</w:t>
            </w:r>
          </w:p>
        </w:tc>
        <w:tc>
          <w:tcPr>
            <w:tcW w:w="1843" w:type="dxa"/>
            <w:vAlign w:val="center"/>
          </w:tcPr>
          <w:p>
            <w:pPr>
              <w:adjustRightInd w:val="0"/>
              <w:snapToGrid w:val="0"/>
              <w:spacing w:line="400" w:lineRule="exact"/>
              <w:jc w:val="center"/>
              <w:rPr>
                <w:rFonts w:asciiTheme="minorEastAsia" w:hAnsiTheme="minorEastAsia" w:eastAsiaTheme="minorEastAsia"/>
                <w:bCs/>
              </w:rPr>
            </w:pPr>
            <w:r>
              <w:rPr>
                <w:rFonts w:hint="eastAsia" w:asciiTheme="minorEastAsia" w:hAnsiTheme="minorEastAsia" w:eastAsiaTheme="minorEastAsia"/>
                <w:bCs/>
              </w:rPr>
              <w:t>检查结论</w:t>
            </w:r>
          </w:p>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bCs/>
              </w:rPr>
              <w:t>（符合/不符合）</w:t>
            </w:r>
          </w:p>
        </w:tc>
        <w:tc>
          <w:tcPr>
            <w:tcW w:w="1559" w:type="dxa"/>
            <w:vAlign w:val="center"/>
          </w:tcPr>
          <w:p>
            <w:pPr>
              <w:spacing w:line="400" w:lineRule="exact"/>
              <w:jc w:val="center"/>
              <w:rPr>
                <w:rFonts w:asciiTheme="minorEastAsia" w:hAnsiTheme="minorEastAsia" w:eastAsiaTheme="minorEastAsia"/>
                <w:bCs/>
              </w:rPr>
            </w:pPr>
            <w:r>
              <w:rPr>
                <w:rFonts w:hint="eastAsia" w:asciiTheme="minorEastAsia" w:hAnsiTheme="minorEastAsia" w:eastAsiaTheme="minorEastAsia"/>
                <w:bCs/>
              </w:rPr>
              <w:t>证明资料</w:t>
            </w:r>
          </w:p>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bCs/>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0" w:type="dxa"/>
            <w:left w:w="150" w:type="dxa"/>
            <w:bottom w:w="150" w:type="dxa"/>
            <w:right w:w="150" w:type="dxa"/>
          </w:tblCellMar>
        </w:tblPrEx>
        <w:trPr>
          <w:trHeight w:val="660" w:hRule="atLeast"/>
          <w:jc w:val="center"/>
        </w:trPr>
        <w:tc>
          <w:tcPr>
            <w:tcW w:w="4726" w:type="dxa"/>
            <w:vAlign w:val="center"/>
          </w:tcPr>
          <w:p>
            <w:pPr>
              <w:tabs>
                <w:tab w:val="left" w:pos="612"/>
              </w:tabs>
              <w:spacing w:line="400" w:lineRule="exact"/>
              <w:rPr>
                <w:rFonts w:asciiTheme="minorEastAsia" w:hAnsiTheme="minorEastAsia" w:eastAsiaTheme="minorEastAsia"/>
                <w:szCs w:val="21"/>
              </w:rPr>
            </w:pPr>
            <w:r>
              <w:rPr>
                <w:rFonts w:hint="eastAsia" w:asciiTheme="minorEastAsia" w:hAnsiTheme="minorEastAsia" w:eastAsiaTheme="minorEastAsia"/>
                <w:szCs w:val="21"/>
              </w:rPr>
              <w:t>1.投标函已提交并符合采购文件要求的；（格式见附件十）</w:t>
            </w:r>
          </w:p>
        </w:tc>
        <w:tc>
          <w:tcPr>
            <w:tcW w:w="1843" w:type="dxa"/>
            <w:vAlign w:val="center"/>
          </w:tcPr>
          <w:p>
            <w:pPr>
              <w:spacing w:line="400" w:lineRule="exact"/>
              <w:rPr>
                <w:rFonts w:asciiTheme="minorEastAsia" w:hAnsiTheme="minorEastAsia" w:eastAsiaTheme="minorEastAsia"/>
                <w:szCs w:val="21"/>
              </w:rPr>
            </w:pPr>
          </w:p>
        </w:tc>
        <w:tc>
          <w:tcPr>
            <w:tcW w:w="1559" w:type="dxa"/>
            <w:vAlign w:val="center"/>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0" w:type="dxa"/>
            <w:left w:w="150" w:type="dxa"/>
            <w:bottom w:w="150" w:type="dxa"/>
            <w:right w:w="150" w:type="dxa"/>
          </w:tblCellMar>
        </w:tblPrEx>
        <w:trPr>
          <w:trHeight w:val="534" w:hRule="atLeast"/>
          <w:jc w:val="center"/>
        </w:trPr>
        <w:tc>
          <w:tcPr>
            <w:tcW w:w="4726" w:type="dxa"/>
            <w:vAlign w:val="center"/>
          </w:tcPr>
          <w:p>
            <w:pPr>
              <w:tabs>
                <w:tab w:val="left" w:pos="612"/>
              </w:tabs>
              <w:spacing w:line="400" w:lineRule="exact"/>
              <w:rPr>
                <w:rFonts w:asciiTheme="minorEastAsia" w:hAnsiTheme="minorEastAsia" w:eastAsiaTheme="minorEastAsia"/>
                <w:szCs w:val="21"/>
              </w:rPr>
            </w:pPr>
            <w:r>
              <w:rPr>
                <w:rFonts w:hint="eastAsia" w:asciiTheme="minorEastAsia" w:hAnsiTheme="minorEastAsia" w:eastAsiaTheme="minorEastAsia"/>
                <w:szCs w:val="21"/>
              </w:rPr>
              <w:t>2.投标人按采购文件要求缴纳投标保证金的相关证明资料（如有）；</w:t>
            </w:r>
          </w:p>
        </w:tc>
        <w:tc>
          <w:tcPr>
            <w:tcW w:w="1843" w:type="dxa"/>
            <w:vAlign w:val="center"/>
          </w:tcPr>
          <w:p>
            <w:pPr>
              <w:spacing w:line="400" w:lineRule="exact"/>
              <w:rPr>
                <w:rFonts w:asciiTheme="minorEastAsia" w:hAnsiTheme="minorEastAsia" w:eastAsiaTheme="minorEastAsia"/>
                <w:szCs w:val="21"/>
              </w:rPr>
            </w:pPr>
          </w:p>
        </w:tc>
        <w:tc>
          <w:tcPr>
            <w:tcW w:w="1559" w:type="dxa"/>
            <w:vAlign w:val="center"/>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0" w:type="dxa"/>
            <w:left w:w="150" w:type="dxa"/>
            <w:bottom w:w="150" w:type="dxa"/>
            <w:right w:w="150" w:type="dxa"/>
          </w:tblCellMar>
        </w:tblPrEx>
        <w:trPr>
          <w:trHeight w:val="175" w:hRule="atLeast"/>
          <w:jc w:val="center"/>
        </w:trPr>
        <w:tc>
          <w:tcPr>
            <w:tcW w:w="4726" w:type="dxa"/>
            <w:vAlign w:val="center"/>
          </w:tcPr>
          <w:p>
            <w:pPr>
              <w:tabs>
                <w:tab w:val="left" w:pos="612"/>
              </w:tabs>
              <w:spacing w:line="400" w:lineRule="exact"/>
              <w:rPr>
                <w:rFonts w:asciiTheme="minorEastAsia" w:hAnsiTheme="minorEastAsia" w:eastAsiaTheme="minorEastAsia"/>
                <w:szCs w:val="21"/>
              </w:rPr>
            </w:pPr>
            <w:r>
              <w:rPr>
                <w:rFonts w:hint="eastAsia" w:asciiTheme="minorEastAsia" w:hAnsiTheme="minorEastAsia" w:eastAsiaTheme="minorEastAsia"/>
                <w:szCs w:val="21"/>
              </w:rPr>
              <w:t>3.营业执照副本复印件、组织机构代码证复印件（如果已经换取证照合一的，可仅提供合一后的营业执照副本）；</w:t>
            </w:r>
          </w:p>
        </w:tc>
        <w:tc>
          <w:tcPr>
            <w:tcW w:w="1843" w:type="dxa"/>
            <w:vAlign w:val="center"/>
          </w:tcPr>
          <w:p>
            <w:pPr>
              <w:spacing w:line="400" w:lineRule="exact"/>
              <w:rPr>
                <w:rFonts w:asciiTheme="minorEastAsia" w:hAnsiTheme="minorEastAsia" w:eastAsiaTheme="minorEastAsia"/>
                <w:szCs w:val="21"/>
              </w:rPr>
            </w:pPr>
          </w:p>
        </w:tc>
        <w:tc>
          <w:tcPr>
            <w:tcW w:w="1559" w:type="dxa"/>
            <w:vAlign w:val="center"/>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0" w:type="dxa"/>
            <w:left w:w="150" w:type="dxa"/>
            <w:bottom w:w="150" w:type="dxa"/>
            <w:right w:w="150" w:type="dxa"/>
          </w:tblCellMar>
        </w:tblPrEx>
        <w:trPr>
          <w:trHeight w:val="314" w:hRule="atLeast"/>
          <w:jc w:val="center"/>
        </w:trPr>
        <w:tc>
          <w:tcPr>
            <w:tcW w:w="4726" w:type="dxa"/>
            <w:vAlign w:val="center"/>
          </w:tcPr>
          <w:p>
            <w:pPr>
              <w:tabs>
                <w:tab w:val="left" w:pos="612"/>
              </w:tabs>
              <w:spacing w:line="400" w:lineRule="exact"/>
              <w:rPr>
                <w:rFonts w:asciiTheme="minorEastAsia" w:hAnsiTheme="minorEastAsia" w:eastAsiaTheme="minorEastAsia"/>
                <w:szCs w:val="21"/>
              </w:rPr>
            </w:pPr>
            <w:r>
              <w:rPr>
                <w:rFonts w:hint="eastAsia" w:asciiTheme="minorEastAsia" w:hAnsiTheme="minorEastAsia" w:eastAsiaTheme="minorEastAsia"/>
                <w:szCs w:val="21"/>
              </w:rPr>
              <w:t>4.法定代表人／负责人身份证明书、法定代表人／负责人授权书原件（若投标人代表系法定代表人／负责人，投标文件又未提供本授权书，投标文件中应该提供书面声明并提供本人身份证复印件）；（格式见附件二）</w:t>
            </w:r>
          </w:p>
        </w:tc>
        <w:tc>
          <w:tcPr>
            <w:tcW w:w="1843" w:type="dxa"/>
            <w:vAlign w:val="center"/>
          </w:tcPr>
          <w:p>
            <w:pPr>
              <w:spacing w:line="400" w:lineRule="exact"/>
              <w:rPr>
                <w:rFonts w:asciiTheme="minorEastAsia" w:hAnsiTheme="minorEastAsia" w:eastAsiaTheme="minorEastAsia"/>
                <w:szCs w:val="21"/>
              </w:rPr>
            </w:pPr>
          </w:p>
        </w:tc>
        <w:tc>
          <w:tcPr>
            <w:tcW w:w="1559" w:type="dxa"/>
            <w:vAlign w:val="center"/>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0" w:type="dxa"/>
            <w:left w:w="150" w:type="dxa"/>
            <w:bottom w:w="150" w:type="dxa"/>
            <w:right w:w="150" w:type="dxa"/>
          </w:tblCellMar>
        </w:tblPrEx>
        <w:trPr>
          <w:trHeight w:val="47" w:hRule="atLeast"/>
          <w:jc w:val="center"/>
        </w:trPr>
        <w:tc>
          <w:tcPr>
            <w:tcW w:w="4726" w:type="dxa"/>
            <w:vAlign w:val="center"/>
          </w:tcPr>
          <w:p>
            <w:pPr>
              <w:tabs>
                <w:tab w:val="left" w:pos="612"/>
              </w:tabs>
              <w:spacing w:line="400" w:lineRule="exact"/>
              <w:rPr>
                <w:rFonts w:asciiTheme="minorEastAsia" w:hAnsiTheme="minorEastAsia" w:eastAsiaTheme="minorEastAsia"/>
                <w:szCs w:val="21"/>
              </w:rPr>
            </w:pPr>
            <w:r>
              <w:rPr>
                <w:rFonts w:hint="eastAsia" w:asciiTheme="minorEastAsia" w:hAnsiTheme="minorEastAsia" w:eastAsiaTheme="minorEastAsia"/>
                <w:szCs w:val="21"/>
              </w:rPr>
              <w:t>5.投标文件完全满足采购文件的实质性条款（即标注★号条款）无负偏离的；</w:t>
            </w:r>
          </w:p>
        </w:tc>
        <w:tc>
          <w:tcPr>
            <w:tcW w:w="1843" w:type="dxa"/>
            <w:vAlign w:val="center"/>
          </w:tcPr>
          <w:p>
            <w:pPr>
              <w:spacing w:line="400" w:lineRule="exact"/>
              <w:rPr>
                <w:rFonts w:asciiTheme="minorEastAsia" w:hAnsiTheme="minorEastAsia" w:eastAsiaTheme="minorEastAsia"/>
                <w:szCs w:val="21"/>
              </w:rPr>
            </w:pPr>
          </w:p>
        </w:tc>
        <w:tc>
          <w:tcPr>
            <w:tcW w:w="1559" w:type="dxa"/>
            <w:vAlign w:val="center"/>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0" w:type="dxa"/>
            <w:left w:w="150" w:type="dxa"/>
            <w:bottom w:w="150" w:type="dxa"/>
            <w:right w:w="150" w:type="dxa"/>
          </w:tblCellMar>
        </w:tblPrEx>
        <w:trPr>
          <w:trHeight w:val="770" w:hRule="atLeast"/>
          <w:jc w:val="center"/>
        </w:trPr>
        <w:tc>
          <w:tcPr>
            <w:tcW w:w="4726" w:type="dxa"/>
            <w:vAlign w:val="center"/>
          </w:tcPr>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6.投标文件没有采购文件中规定的其他无效投标条款的；</w:t>
            </w:r>
          </w:p>
        </w:tc>
        <w:tc>
          <w:tcPr>
            <w:tcW w:w="1843" w:type="dxa"/>
            <w:vAlign w:val="center"/>
          </w:tcPr>
          <w:p>
            <w:pPr>
              <w:spacing w:line="400" w:lineRule="exact"/>
              <w:rPr>
                <w:rFonts w:asciiTheme="minorEastAsia" w:hAnsiTheme="minorEastAsia" w:eastAsiaTheme="minorEastAsia"/>
                <w:szCs w:val="21"/>
              </w:rPr>
            </w:pPr>
          </w:p>
        </w:tc>
        <w:tc>
          <w:tcPr>
            <w:tcW w:w="1559" w:type="dxa"/>
            <w:vAlign w:val="center"/>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0" w:type="dxa"/>
            <w:left w:w="150" w:type="dxa"/>
            <w:bottom w:w="150" w:type="dxa"/>
            <w:right w:w="150" w:type="dxa"/>
          </w:tblCellMar>
        </w:tblPrEx>
        <w:trPr>
          <w:trHeight w:val="22" w:hRule="atLeast"/>
          <w:jc w:val="center"/>
        </w:trPr>
        <w:tc>
          <w:tcPr>
            <w:tcW w:w="4726" w:type="dxa"/>
            <w:vAlign w:val="center"/>
          </w:tcPr>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7.按有关法律、法规、规章不属于投标无效的。</w:t>
            </w:r>
          </w:p>
        </w:tc>
        <w:tc>
          <w:tcPr>
            <w:tcW w:w="1843" w:type="dxa"/>
            <w:vAlign w:val="center"/>
          </w:tcPr>
          <w:p>
            <w:pPr>
              <w:spacing w:line="400" w:lineRule="exact"/>
              <w:rPr>
                <w:rFonts w:asciiTheme="minorEastAsia" w:hAnsiTheme="minorEastAsia" w:eastAsiaTheme="minorEastAsia"/>
                <w:szCs w:val="21"/>
              </w:rPr>
            </w:pPr>
          </w:p>
        </w:tc>
        <w:tc>
          <w:tcPr>
            <w:tcW w:w="1559" w:type="dxa"/>
            <w:vAlign w:val="center"/>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第（）页</w:t>
            </w:r>
          </w:p>
        </w:tc>
      </w:tr>
    </w:tbl>
    <w:p>
      <w:pPr>
        <w:spacing w:line="400" w:lineRule="exact"/>
        <w:ind w:firstLine="420" w:firstLineChars="200"/>
        <w:rPr>
          <w:szCs w:val="21"/>
        </w:rPr>
      </w:pPr>
      <w:r>
        <w:rPr>
          <w:rFonts w:hint="eastAsia" w:ascii="宋体" w:hAnsi="宋体"/>
          <w:szCs w:val="21"/>
        </w:rPr>
        <w:t>3.</w:t>
      </w:r>
      <w:r>
        <w:rPr>
          <w:rFonts w:hint="eastAsia"/>
          <w:szCs w:val="21"/>
        </w:rPr>
        <w:t>详细评审</w:t>
      </w:r>
    </w:p>
    <w:p>
      <w:pPr>
        <w:spacing w:line="400" w:lineRule="exact"/>
        <w:ind w:firstLine="420" w:firstLineChars="200"/>
        <w:rPr>
          <w:rFonts w:ascii="宋体" w:hAnsi="宋体" w:cs="宋体"/>
          <w:kern w:val="0"/>
          <w:szCs w:val="21"/>
        </w:rPr>
      </w:pPr>
      <w:r>
        <w:rPr>
          <w:rFonts w:hint="eastAsia" w:ascii="宋体" w:hAnsi="宋体" w:cs="宋体"/>
          <w:kern w:val="0"/>
          <w:szCs w:val="21"/>
        </w:rPr>
        <w:t>评标委员会对资格审查、符合性审查合格的投标文件，对投标文件作进一步评审、比较。评标委员会成员经过阅标、审标和询标，对各</w:t>
      </w:r>
      <w:r>
        <w:rPr>
          <w:rFonts w:hint="eastAsia" w:ascii="宋体" w:hAnsi="宋体"/>
          <w:szCs w:val="21"/>
        </w:rPr>
        <w:t>投标人</w:t>
      </w:r>
      <w:r>
        <w:rPr>
          <w:rFonts w:hint="eastAsia" w:ascii="宋体" w:hAnsi="宋体" w:cs="宋体"/>
          <w:kern w:val="0"/>
          <w:szCs w:val="21"/>
        </w:rPr>
        <w:t>进行打分。</w:t>
      </w:r>
    </w:p>
    <w:p>
      <w:pPr>
        <w:spacing w:line="400" w:lineRule="exact"/>
        <w:ind w:firstLine="420" w:firstLineChars="200"/>
        <w:rPr>
          <w:rFonts w:ascii="宋体" w:hAnsi="宋体"/>
          <w:szCs w:val="21"/>
        </w:rPr>
      </w:pPr>
      <w:r>
        <w:rPr>
          <w:rFonts w:hint="eastAsia" w:ascii="宋体" w:hAnsi="宋体" w:cs="宋体"/>
          <w:kern w:val="0"/>
          <w:szCs w:val="21"/>
        </w:rPr>
        <w:t>评委打分参照《评分标准》。由各评标委员会成员根据</w:t>
      </w:r>
      <w:r>
        <w:rPr>
          <w:rFonts w:hint="eastAsia" w:ascii="宋体" w:hAnsi="宋体"/>
          <w:szCs w:val="21"/>
        </w:rPr>
        <w:t>投标人</w:t>
      </w:r>
      <w:r>
        <w:rPr>
          <w:rFonts w:hint="eastAsia" w:ascii="宋体" w:hAnsi="宋体" w:cs="宋体"/>
          <w:kern w:val="0"/>
          <w:szCs w:val="21"/>
        </w:rPr>
        <w:t>的投标文件及相关澄清文件，进行独立打分。评委打分采用记名方式，取算术平均分（小数点后保留两位小数）。对明显畸高、畸低的评分（其总评分偏离平均分30%以上的），评标委员会组长提醒相关评审人员进行复核或书面说明理由。</w:t>
      </w:r>
    </w:p>
    <w:p>
      <w:pPr>
        <w:spacing w:line="400" w:lineRule="exact"/>
        <w:ind w:firstLine="420" w:firstLineChars="200"/>
        <w:rPr>
          <w:rFonts w:ascii="宋体" w:hAnsi="宋体"/>
          <w:szCs w:val="21"/>
        </w:rPr>
      </w:pPr>
      <w:r>
        <w:rPr>
          <w:rFonts w:hint="eastAsia" w:ascii="宋体" w:hAnsi="宋体"/>
          <w:szCs w:val="21"/>
        </w:rPr>
        <w:t>4.投标无效的情形</w:t>
      </w:r>
    </w:p>
    <w:p>
      <w:pPr>
        <w:spacing w:line="400" w:lineRule="exact"/>
        <w:ind w:firstLine="420" w:firstLineChars="200"/>
        <w:rPr>
          <w:rFonts w:ascii="宋体" w:hAnsi="宋体"/>
          <w:szCs w:val="21"/>
        </w:rPr>
      </w:pPr>
      <w:r>
        <w:rPr>
          <w:rFonts w:hint="eastAsia" w:ascii="宋体" w:hAnsi="宋体"/>
          <w:szCs w:val="21"/>
        </w:rPr>
        <w:t>实质上没有响应采购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采购文件要求的，应认定其投标无效。投标人修改、补正投标文件后，不影响评标委员会对其投标文件所作的评价和评分结果。</w:t>
      </w:r>
    </w:p>
    <w:p>
      <w:pPr>
        <w:spacing w:line="400" w:lineRule="exact"/>
        <w:ind w:firstLine="420" w:firstLineChars="200"/>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）在技术商务文件评审时</w:t>
      </w:r>
      <w:r>
        <w:rPr>
          <w:rFonts w:ascii="宋体" w:hAnsi="宋体"/>
          <w:szCs w:val="21"/>
        </w:rPr>
        <w:t>如发现下列情形之一的，投标文件将被视为无效：</w:t>
      </w:r>
    </w:p>
    <w:p>
      <w:pPr>
        <w:spacing w:line="400" w:lineRule="exact"/>
        <w:ind w:firstLine="420" w:firstLineChars="200"/>
        <w:rPr>
          <w:rFonts w:ascii="宋体" w:hAnsi="宋体"/>
          <w:szCs w:val="21"/>
        </w:rPr>
      </w:pPr>
      <w:r>
        <w:rPr>
          <w:rFonts w:hint="eastAsia" w:ascii="宋体" w:hAnsi="宋体" w:cs="宋体"/>
          <w:color w:val="333333"/>
          <w:szCs w:val="21"/>
          <w:shd w:val="clear" w:color="auto" w:fill="FFFFFF"/>
        </w:rPr>
        <w:t>①</w:t>
      </w:r>
      <w:r>
        <w:rPr>
          <w:rFonts w:hint="eastAsia" w:ascii="宋体" w:hAnsi="宋体"/>
          <w:szCs w:val="21"/>
        </w:rPr>
        <w:t>未通过资格审查和符合性审查的；</w:t>
      </w:r>
    </w:p>
    <w:p>
      <w:pPr>
        <w:spacing w:line="400" w:lineRule="exact"/>
        <w:ind w:firstLine="420" w:firstLineChars="200"/>
        <w:rPr>
          <w:rFonts w:ascii="宋体" w:hAnsi="宋体"/>
          <w:szCs w:val="21"/>
        </w:rPr>
      </w:pPr>
      <w:r>
        <w:rPr>
          <w:rFonts w:hint="eastAsia" w:ascii="宋体" w:hAnsi="宋体" w:cs="宋体"/>
          <w:color w:val="333333"/>
          <w:szCs w:val="21"/>
          <w:shd w:val="clear" w:color="auto" w:fill="FFFFFF"/>
        </w:rPr>
        <w:t>②</w:t>
      </w:r>
      <w:r>
        <w:rPr>
          <w:rFonts w:ascii="宋体" w:hAnsi="宋体"/>
          <w:szCs w:val="21"/>
        </w:rPr>
        <w:t>投标文件无法定代表人／负责人</w:t>
      </w:r>
      <w:r>
        <w:rPr>
          <w:rFonts w:hint="eastAsia" w:ascii="宋体" w:hAnsi="宋体"/>
          <w:szCs w:val="21"/>
        </w:rPr>
        <w:t>或授权代表</w:t>
      </w:r>
      <w:r>
        <w:rPr>
          <w:rFonts w:ascii="宋体" w:hAnsi="宋体"/>
          <w:szCs w:val="21"/>
        </w:rPr>
        <w:t>签字,或未</w:t>
      </w:r>
      <w:r>
        <w:rPr>
          <w:rFonts w:hint="eastAsia" w:ascii="宋体" w:hAnsi="宋体"/>
          <w:szCs w:val="21"/>
        </w:rPr>
        <w:t>提供法定代表人／负责人授权委托书或者填写项目不齐全的；</w:t>
      </w:r>
    </w:p>
    <w:p>
      <w:pPr>
        <w:spacing w:line="400" w:lineRule="exact"/>
        <w:ind w:firstLine="420" w:firstLineChars="200"/>
        <w:rPr>
          <w:rFonts w:ascii="宋体" w:hAnsi="宋体"/>
          <w:szCs w:val="21"/>
        </w:rPr>
      </w:pPr>
      <w:r>
        <w:rPr>
          <w:rFonts w:hint="eastAsia" w:ascii="宋体" w:hAnsi="宋体" w:cs="宋体"/>
          <w:color w:val="333333"/>
          <w:szCs w:val="21"/>
          <w:shd w:val="clear" w:color="auto" w:fill="FFFFFF"/>
        </w:rPr>
        <w:t>③</w:t>
      </w:r>
      <w:r>
        <w:rPr>
          <w:rFonts w:hint="eastAsia" w:ascii="宋体" w:hAnsi="宋体"/>
          <w:szCs w:val="21"/>
        </w:rPr>
        <w:t>投标代表人未能出具身份证明或与法定代表人／负责人授权委托人身份不符的；</w:t>
      </w:r>
    </w:p>
    <w:p>
      <w:pPr>
        <w:spacing w:line="400" w:lineRule="exact"/>
        <w:ind w:firstLine="420" w:firstLineChars="200"/>
        <w:rPr>
          <w:rFonts w:ascii="宋体" w:hAnsi="宋体"/>
          <w:szCs w:val="21"/>
        </w:rPr>
      </w:pPr>
      <w:r>
        <w:rPr>
          <w:rFonts w:hint="eastAsia" w:ascii="宋体" w:hAnsi="宋体"/>
          <w:szCs w:val="21"/>
        </w:rPr>
        <w:t>④</w:t>
      </w:r>
      <w:r>
        <w:rPr>
          <w:rFonts w:ascii="宋体" w:hAnsi="宋体"/>
          <w:szCs w:val="21"/>
        </w:rPr>
        <w:t>投标文件</w:t>
      </w:r>
      <w:r>
        <w:rPr>
          <w:rFonts w:hint="eastAsia" w:ascii="宋体" w:hAnsi="宋体"/>
          <w:szCs w:val="21"/>
        </w:rPr>
        <w:t>份数不足或</w:t>
      </w:r>
      <w:r>
        <w:rPr>
          <w:rFonts w:ascii="宋体" w:hAnsi="宋体"/>
          <w:szCs w:val="21"/>
        </w:rPr>
        <w:t>格式不规范、项目不齐全或者内容虚假的；</w:t>
      </w:r>
    </w:p>
    <w:p>
      <w:pPr>
        <w:spacing w:line="400" w:lineRule="exact"/>
        <w:ind w:firstLine="420" w:firstLineChars="200"/>
        <w:rPr>
          <w:rFonts w:ascii="宋体" w:hAnsi="宋体"/>
          <w:szCs w:val="21"/>
        </w:rPr>
      </w:pPr>
      <w:r>
        <w:rPr>
          <w:rFonts w:hint="eastAsia" w:ascii="宋体" w:hAnsi="宋体"/>
          <w:szCs w:val="21"/>
        </w:rPr>
        <w:t>⑤</w:t>
      </w:r>
      <w:r>
        <w:rPr>
          <w:rFonts w:ascii="宋体" w:hAnsi="宋体"/>
          <w:szCs w:val="21"/>
        </w:rPr>
        <w:t>投标文件的实质性内容未使用中文表述、意思表述不明确、前后矛盾或者使用计量单位不符合招标文件要求的（经评标委员会认定</w:t>
      </w:r>
      <w:r>
        <w:rPr>
          <w:rFonts w:hint="eastAsia" w:ascii="宋体" w:hAnsi="宋体"/>
          <w:szCs w:val="21"/>
        </w:rPr>
        <w:t>并</w:t>
      </w:r>
      <w:r>
        <w:rPr>
          <w:rFonts w:ascii="宋体" w:hAnsi="宋体"/>
          <w:szCs w:val="21"/>
        </w:rPr>
        <w:t>允许其当场更正的笔误除外）</w:t>
      </w:r>
      <w:r>
        <w:rPr>
          <w:rFonts w:hint="eastAsia" w:ascii="宋体" w:hAnsi="宋体"/>
          <w:szCs w:val="21"/>
        </w:rPr>
        <w:t>；</w:t>
      </w:r>
    </w:p>
    <w:p>
      <w:pPr>
        <w:spacing w:line="400" w:lineRule="exact"/>
        <w:ind w:firstLine="420" w:firstLineChars="200"/>
        <w:rPr>
          <w:rFonts w:ascii="宋体" w:hAnsi="宋体"/>
          <w:szCs w:val="21"/>
        </w:rPr>
      </w:pPr>
      <w:r>
        <w:rPr>
          <w:rFonts w:hint="eastAsia" w:ascii="宋体" w:hAnsi="宋体"/>
          <w:szCs w:val="21"/>
        </w:rPr>
        <w:t>⑥未实质性</w:t>
      </w:r>
      <w:r>
        <w:rPr>
          <w:rFonts w:ascii="宋体" w:hAnsi="宋体"/>
          <w:szCs w:val="21"/>
        </w:rPr>
        <w:t>响应招标文件要求或者投标文件有</w:t>
      </w:r>
      <w:r>
        <w:rPr>
          <w:rFonts w:hint="eastAsia"/>
        </w:rPr>
        <w:t>采购人</w:t>
      </w:r>
      <w:r>
        <w:rPr>
          <w:rFonts w:ascii="宋体" w:hAnsi="宋体"/>
          <w:szCs w:val="21"/>
        </w:rPr>
        <w:t>不能接受的附加条件的；</w:t>
      </w:r>
    </w:p>
    <w:p>
      <w:pPr>
        <w:spacing w:line="400" w:lineRule="exact"/>
        <w:ind w:firstLine="420" w:firstLineChars="200"/>
        <w:rPr>
          <w:rFonts w:ascii="宋体" w:hAnsi="宋体"/>
          <w:szCs w:val="21"/>
        </w:rPr>
      </w:pPr>
      <w:r>
        <w:rPr>
          <w:rFonts w:hint="eastAsia" w:ascii="宋体" w:hAnsi="宋体"/>
          <w:szCs w:val="21"/>
        </w:rPr>
        <w:t>⑦法定代表人为同一个人的两个或多个法人，</w:t>
      </w:r>
      <w:r>
        <w:rPr>
          <w:rFonts w:ascii="宋体" w:hAnsi="宋体"/>
          <w:szCs w:val="21"/>
        </w:rPr>
        <w:t>母公司及其全资子公司，母公司及其控股公司</w:t>
      </w:r>
      <w:r>
        <w:rPr>
          <w:rFonts w:hint="eastAsia" w:ascii="宋体" w:hAnsi="宋体"/>
          <w:szCs w:val="21"/>
        </w:rPr>
        <w:t>在同一货物招标中同时投标的；</w:t>
      </w:r>
    </w:p>
    <w:p>
      <w:pPr>
        <w:spacing w:line="400" w:lineRule="exact"/>
        <w:ind w:firstLine="420" w:firstLineChars="200"/>
        <w:rPr>
          <w:rFonts w:ascii="宋体" w:hAnsi="宋体"/>
          <w:szCs w:val="21"/>
        </w:rPr>
      </w:pPr>
      <w:r>
        <w:rPr>
          <w:rFonts w:hint="eastAsia" w:ascii="宋体" w:hAnsi="宋体"/>
          <w:szCs w:val="21"/>
        </w:rPr>
        <w:t>⑧投标文件的签署、包装、递交、修改和撤回未按招标文件规定要求的；</w:t>
      </w:r>
    </w:p>
    <w:p>
      <w:pPr>
        <w:spacing w:line="400" w:lineRule="exact"/>
        <w:ind w:firstLine="420" w:firstLineChars="200"/>
        <w:rPr>
          <w:rFonts w:ascii="宋体" w:hAnsi="宋体"/>
          <w:szCs w:val="21"/>
        </w:rPr>
      </w:pPr>
      <w:r>
        <w:rPr>
          <w:rFonts w:hint="eastAsia" w:hAnsi="宋体"/>
          <w:szCs w:val="21"/>
        </w:rPr>
        <w:t>⑨</w:t>
      </w:r>
      <w:r>
        <w:rPr>
          <w:rFonts w:hAnsi="宋体"/>
          <w:szCs w:val="21"/>
        </w:rPr>
        <w:t>未提供或未如实提供投标货物的技术参数</w:t>
      </w:r>
      <w:r>
        <w:rPr>
          <w:rFonts w:ascii="宋体" w:hAnsi="宋体"/>
          <w:szCs w:val="21"/>
        </w:rPr>
        <w:t>，或者投标文件标明的响应或偏离与事实不符或虚假投标的；</w:t>
      </w:r>
    </w:p>
    <w:p>
      <w:pPr>
        <w:spacing w:line="400" w:lineRule="exact"/>
        <w:ind w:firstLine="420" w:firstLineChars="200"/>
        <w:rPr>
          <w:rFonts w:ascii="宋体" w:hAnsi="宋体"/>
          <w:szCs w:val="21"/>
        </w:rPr>
      </w:pPr>
      <w:r>
        <w:rPr>
          <w:rFonts w:hint="eastAsia" w:ascii="宋体" w:hAnsi="宋体"/>
          <w:szCs w:val="21"/>
        </w:rPr>
        <w:t>⑩经三分之二以上评委认定其技术参数有重大偏离的</w:t>
      </w:r>
      <w:r>
        <w:rPr>
          <w:rFonts w:ascii="宋体" w:hAnsi="宋体"/>
          <w:szCs w:val="21"/>
        </w:rPr>
        <w:t>；</w:t>
      </w:r>
    </w:p>
    <w:p>
      <w:pPr>
        <w:spacing w:line="400" w:lineRule="exact"/>
        <w:ind w:firstLine="420" w:firstLineChars="200"/>
        <w:rPr>
          <w:rFonts w:ascii="宋体" w:hAnsi="宋体"/>
          <w:szCs w:val="21"/>
        </w:rPr>
      </w:pPr>
      <w:r>
        <w:rPr>
          <w:rFonts w:hint="eastAsia" w:ascii="宋体" w:hAnsi="宋体"/>
          <w:szCs w:val="21"/>
        </w:rPr>
        <w:t>⑪</w:t>
      </w:r>
      <w:r>
        <w:rPr>
          <w:rFonts w:ascii="宋体" w:hAnsi="宋体"/>
          <w:szCs w:val="21"/>
        </w:rPr>
        <w:t>投标技术方案不明确，存在一个或一个以上备选（替代）投标方案的；</w:t>
      </w:r>
    </w:p>
    <w:p>
      <w:pPr>
        <w:spacing w:line="400" w:lineRule="exact"/>
        <w:ind w:firstLine="420" w:firstLineChars="200"/>
        <w:rPr>
          <w:rFonts w:ascii="宋体" w:hAnsi="宋体"/>
          <w:szCs w:val="21"/>
        </w:rPr>
      </w:pPr>
      <w:r>
        <w:rPr>
          <w:rFonts w:hint="eastAsia" w:ascii="宋体" w:hAnsi="宋体"/>
          <w:szCs w:val="21"/>
        </w:rPr>
        <w:t>⑫属国家实行经营/制造许可证、注册证、行业准入证、强制认证的，未提供相关证书；</w:t>
      </w:r>
    </w:p>
    <w:p>
      <w:pPr>
        <w:spacing w:line="400" w:lineRule="exact"/>
        <w:ind w:firstLine="420" w:firstLineChars="200"/>
        <w:rPr>
          <w:rFonts w:ascii="宋体" w:hAnsi="宋体"/>
          <w:szCs w:val="21"/>
        </w:rPr>
      </w:pPr>
      <w:r>
        <w:rPr>
          <w:rFonts w:hint="eastAsia" w:ascii="宋体" w:hAnsi="宋体"/>
          <w:szCs w:val="21"/>
        </w:rPr>
        <w:t>（2）</w:t>
      </w:r>
      <w:r>
        <w:rPr>
          <w:rFonts w:ascii="宋体" w:hAnsi="宋体"/>
          <w:szCs w:val="21"/>
        </w:rPr>
        <w:t>在</w:t>
      </w:r>
      <w:r>
        <w:rPr>
          <w:rFonts w:hint="eastAsia" w:ascii="宋体" w:hAnsi="宋体"/>
          <w:szCs w:val="21"/>
        </w:rPr>
        <w:t>报价文件</w:t>
      </w:r>
      <w:r>
        <w:rPr>
          <w:rFonts w:ascii="宋体" w:hAnsi="宋体"/>
          <w:szCs w:val="21"/>
        </w:rPr>
        <w:t>评审时，如发现下列情形之一的，投标文件将被视为无效：</w:t>
      </w:r>
    </w:p>
    <w:p>
      <w:pPr>
        <w:spacing w:line="400" w:lineRule="exact"/>
        <w:ind w:firstLine="420" w:firstLineChars="200"/>
        <w:rPr>
          <w:rFonts w:ascii="宋体" w:hAnsi="宋体"/>
          <w:szCs w:val="21"/>
        </w:rPr>
      </w:pPr>
      <w:r>
        <w:rPr>
          <w:rFonts w:hint="eastAsia" w:ascii="宋体" w:hAnsi="宋体" w:cs="宋体"/>
          <w:szCs w:val="21"/>
          <w:shd w:val="clear" w:color="auto" w:fill="FFFFFF"/>
        </w:rPr>
        <w:t>①</w:t>
      </w:r>
      <w:r>
        <w:rPr>
          <w:rFonts w:ascii="宋体" w:hAnsi="宋体"/>
          <w:szCs w:val="21"/>
        </w:rPr>
        <w:t>未采用人民币报价或者未按照招标文件标明的币种报价的；</w:t>
      </w:r>
    </w:p>
    <w:p>
      <w:pPr>
        <w:spacing w:line="400" w:lineRule="exact"/>
        <w:ind w:firstLine="420" w:firstLineChars="200"/>
        <w:rPr>
          <w:rFonts w:ascii="宋体" w:hAnsi="宋体"/>
          <w:szCs w:val="21"/>
        </w:rPr>
      </w:pPr>
      <w:r>
        <w:rPr>
          <w:rFonts w:hint="eastAsia" w:ascii="宋体" w:hAnsi="宋体" w:cs="宋体"/>
          <w:szCs w:val="21"/>
          <w:shd w:val="clear" w:color="auto" w:fill="FFFFFF"/>
        </w:rPr>
        <w:t>②</w:t>
      </w:r>
      <w:r>
        <w:rPr>
          <w:rFonts w:hint="eastAsia" w:ascii="宋体" w:hAnsi="宋体"/>
          <w:szCs w:val="21"/>
        </w:rPr>
        <w:t>报价超出最高限价，或者超出采购预算金额，采购人不能支付的；</w:t>
      </w:r>
    </w:p>
    <w:p>
      <w:pPr>
        <w:spacing w:line="400" w:lineRule="exact"/>
        <w:ind w:firstLine="420" w:firstLineChars="200"/>
        <w:rPr>
          <w:rFonts w:ascii="宋体" w:hAnsi="宋体"/>
          <w:szCs w:val="21"/>
        </w:rPr>
      </w:pPr>
      <w:r>
        <w:rPr>
          <w:rFonts w:hint="eastAsia" w:ascii="宋体" w:hAnsi="宋体" w:cs="宋体"/>
          <w:szCs w:val="21"/>
          <w:shd w:val="clear" w:color="auto" w:fill="FFFFFF"/>
        </w:rPr>
        <w:t>③</w:t>
      </w:r>
      <w:r>
        <w:rPr>
          <w:rFonts w:hint="eastAsia" w:ascii="宋体" w:hAnsi="宋体"/>
          <w:szCs w:val="21"/>
        </w:rPr>
        <w:t>投标报价具有选择性，或者开标价格与投标文件承诺的优惠（折扣）价格不一致的；</w:t>
      </w:r>
    </w:p>
    <w:p>
      <w:pPr>
        <w:spacing w:line="400" w:lineRule="exact"/>
        <w:ind w:firstLine="420" w:firstLineChars="200"/>
        <w:rPr>
          <w:rFonts w:ascii="宋体" w:hAnsi="宋体"/>
          <w:szCs w:val="21"/>
        </w:rPr>
      </w:pPr>
      <w:r>
        <w:rPr>
          <w:rFonts w:hint="eastAsia" w:ascii="宋体" w:hAnsi="宋体"/>
          <w:szCs w:val="21"/>
        </w:rPr>
        <w:t>（3）法律、法规和采购文件规定的其他无效情形。</w:t>
      </w:r>
    </w:p>
    <w:p>
      <w:pPr>
        <w:spacing w:line="400" w:lineRule="exact"/>
        <w:ind w:firstLine="420" w:firstLineChars="200"/>
        <w:rPr>
          <w:rFonts w:ascii="宋体" w:hAnsi="宋体"/>
          <w:szCs w:val="21"/>
        </w:rPr>
      </w:pPr>
      <w:r>
        <w:rPr>
          <w:rFonts w:hint="eastAsia" w:ascii="宋体" w:hAnsi="宋体"/>
          <w:szCs w:val="21"/>
        </w:rPr>
        <w:t>5.澄清问题的形式</w:t>
      </w:r>
    </w:p>
    <w:p>
      <w:pPr>
        <w:spacing w:line="400" w:lineRule="exact"/>
        <w:ind w:firstLine="420" w:firstLineChars="200"/>
        <w:rPr>
          <w:rFonts w:ascii="宋体" w:hAnsi="宋体"/>
          <w:szCs w:val="21"/>
        </w:rPr>
      </w:pPr>
      <w:r>
        <w:rPr>
          <w:rFonts w:hint="eastAsia" w:ascii="宋体" w:hAnsi="宋体"/>
          <w:szCs w:val="21"/>
        </w:rPr>
        <w:t>对投标文件中含义不明确、同类问题表述不一致或者有明显文字和计算错误的内容，评标委员会可要求投标人作出必要的澄清、说明或者纠正。投标人的澄清、说明或者补正应当采用书面形式，由其授权代表签字或盖章确认，并不得超出投标文件的范围或者改变投标文件的实质性内容。</w:t>
      </w:r>
    </w:p>
    <w:p>
      <w:pPr>
        <w:spacing w:line="400" w:lineRule="exact"/>
        <w:ind w:firstLine="420" w:firstLineChars="200"/>
        <w:rPr>
          <w:rFonts w:ascii="宋体" w:hAnsi="宋体"/>
          <w:szCs w:val="21"/>
        </w:rPr>
      </w:pPr>
      <w:r>
        <w:rPr>
          <w:rFonts w:hint="eastAsia" w:ascii="宋体" w:hAnsi="宋体"/>
          <w:szCs w:val="21"/>
        </w:rPr>
        <w:t>6.</w:t>
      </w:r>
      <w:r>
        <w:rPr>
          <w:rFonts w:ascii="宋体" w:hAnsi="宋体"/>
          <w:szCs w:val="21"/>
        </w:rPr>
        <w:t>错误修正</w:t>
      </w:r>
    </w:p>
    <w:p>
      <w:pPr>
        <w:spacing w:line="400" w:lineRule="exact"/>
        <w:ind w:firstLine="420" w:firstLineChars="200"/>
        <w:rPr>
          <w:rFonts w:ascii="宋体" w:hAnsi="宋体"/>
          <w:szCs w:val="21"/>
        </w:rPr>
      </w:pPr>
      <w:r>
        <w:rPr>
          <w:rFonts w:ascii="宋体" w:hAnsi="宋体"/>
          <w:szCs w:val="21"/>
        </w:rPr>
        <w:t>投标文件如果出现计算或表达上的错误，修正错误的原则如下：</w:t>
      </w:r>
    </w:p>
    <w:p>
      <w:pPr>
        <w:spacing w:line="400" w:lineRule="exact"/>
        <w:ind w:firstLine="315" w:firstLineChars="150"/>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w:t>
      </w:r>
      <w:r>
        <w:rPr>
          <w:rFonts w:hint="eastAsia"/>
        </w:rPr>
        <w:t>投标文件中开标一览表（报价表）内容与投标文件中相应内容不一致的，以开标一览表</w:t>
      </w:r>
      <w:r>
        <w:rPr>
          <w:rFonts w:hint="eastAsia" w:ascii="宋体" w:hAnsi="宋体"/>
          <w:szCs w:val="21"/>
        </w:rPr>
        <w:t>（报价表）为准；</w:t>
      </w:r>
    </w:p>
    <w:p>
      <w:pPr>
        <w:spacing w:line="400" w:lineRule="exact"/>
        <w:ind w:firstLine="315" w:firstLineChars="150"/>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）大写金额和小写金额不一致的，以大写金额为准；</w:t>
      </w:r>
    </w:p>
    <w:p>
      <w:pPr>
        <w:spacing w:line="400" w:lineRule="exact"/>
        <w:ind w:firstLine="315" w:firstLineChars="150"/>
        <w:rPr>
          <w:rFonts w:ascii="宋体" w:hAnsi="宋体"/>
          <w:szCs w:val="21"/>
        </w:rPr>
      </w:pPr>
      <w:r>
        <w:rPr>
          <w:rFonts w:hint="eastAsia" w:ascii="宋体" w:hAnsi="宋体"/>
          <w:szCs w:val="21"/>
        </w:rPr>
        <w:t>（3）单价金额小数点或者百分比有明显错位的，以开标一览表的总价为准，并修改单价；</w:t>
      </w:r>
    </w:p>
    <w:p>
      <w:pPr>
        <w:spacing w:line="400" w:lineRule="exact"/>
        <w:ind w:firstLine="315" w:firstLineChars="150"/>
        <w:rPr>
          <w:rFonts w:ascii="宋体" w:hAnsi="宋体"/>
          <w:szCs w:val="21"/>
        </w:rPr>
      </w:pPr>
      <w:r>
        <w:rPr>
          <w:rFonts w:hint="eastAsia" w:ascii="宋体" w:hAnsi="宋体"/>
          <w:szCs w:val="21"/>
        </w:rPr>
        <w:t>（4）总价金额与按单价汇总金额不一致的，以单价金额计算结果为准；</w:t>
      </w:r>
    </w:p>
    <w:p>
      <w:pPr>
        <w:spacing w:line="400" w:lineRule="exact"/>
        <w:ind w:firstLine="315" w:firstLineChars="150"/>
        <w:rPr>
          <w:rFonts w:ascii="宋体" w:hAnsi="宋体"/>
          <w:szCs w:val="21"/>
        </w:rPr>
      </w:pPr>
      <w:r>
        <w:rPr>
          <w:rFonts w:hint="eastAsia" w:ascii="宋体" w:hAnsi="宋体"/>
          <w:szCs w:val="21"/>
        </w:rPr>
        <w:t>（5）同时出现两种以上不一致的，按照1-4规定的顺序修改；</w:t>
      </w:r>
    </w:p>
    <w:p>
      <w:pPr>
        <w:spacing w:line="400" w:lineRule="exact"/>
        <w:ind w:firstLine="315" w:firstLineChars="150"/>
        <w:rPr>
          <w:rFonts w:ascii="宋体" w:hAnsi="宋体"/>
          <w:szCs w:val="21"/>
        </w:rPr>
      </w:pPr>
      <w:r>
        <w:rPr>
          <w:rFonts w:hint="eastAsia" w:ascii="宋体" w:hAnsi="宋体"/>
          <w:szCs w:val="21"/>
        </w:rPr>
        <w:t>（6）对不同文字文本投标文件的解释发生异议的，以中文文本为准；</w:t>
      </w:r>
    </w:p>
    <w:p>
      <w:pPr>
        <w:spacing w:line="400" w:lineRule="exact"/>
        <w:ind w:firstLine="315" w:firstLineChars="150"/>
        <w:rPr>
          <w:rFonts w:ascii="宋体" w:hAnsi="宋体"/>
          <w:szCs w:val="21"/>
        </w:rPr>
      </w:pPr>
      <w:r>
        <w:rPr>
          <w:rFonts w:hint="eastAsia" w:ascii="宋体" w:hAnsi="宋体"/>
          <w:szCs w:val="21"/>
        </w:rPr>
        <w:t>（7）投标文件的正本与副本不一致，则以正本为准。</w:t>
      </w:r>
    </w:p>
    <w:p>
      <w:pPr>
        <w:spacing w:line="400" w:lineRule="exact"/>
        <w:ind w:firstLine="420" w:firstLineChars="200"/>
        <w:rPr>
          <w:rFonts w:ascii="宋体" w:hAnsi="宋体"/>
          <w:szCs w:val="21"/>
        </w:rPr>
      </w:pPr>
      <w:r>
        <w:rPr>
          <w:rFonts w:ascii="宋体" w:hAnsi="宋体"/>
          <w:szCs w:val="21"/>
        </w:rPr>
        <w:t>按上述修正错误的原则及方法调整或修正投标文件的投标报价，投标人同意</w:t>
      </w:r>
      <w:r>
        <w:rPr>
          <w:rFonts w:hint="eastAsia" w:ascii="宋体" w:hAnsi="宋体"/>
          <w:szCs w:val="21"/>
        </w:rPr>
        <w:t>并签字确认</w:t>
      </w:r>
      <w:r>
        <w:rPr>
          <w:rFonts w:ascii="宋体" w:hAnsi="宋体"/>
          <w:szCs w:val="21"/>
        </w:rPr>
        <w:t>后，调整后的投标报价对投标人具有约束作用。如果投标人不</w:t>
      </w:r>
      <w:r>
        <w:rPr>
          <w:rFonts w:hint="eastAsia" w:ascii="宋体" w:hAnsi="宋体"/>
          <w:szCs w:val="21"/>
        </w:rPr>
        <w:t>确认的</w:t>
      </w:r>
      <w:r>
        <w:rPr>
          <w:rFonts w:ascii="宋体" w:hAnsi="宋体"/>
          <w:szCs w:val="21"/>
        </w:rPr>
        <w:t>，其投标</w:t>
      </w:r>
      <w:r>
        <w:rPr>
          <w:rFonts w:hint="eastAsia" w:ascii="宋体" w:hAnsi="宋体"/>
          <w:szCs w:val="21"/>
        </w:rPr>
        <w:t>无效</w:t>
      </w:r>
      <w:r>
        <w:rPr>
          <w:rFonts w:ascii="宋体" w:hAnsi="宋体"/>
          <w:szCs w:val="21"/>
        </w:rPr>
        <w:t>。</w:t>
      </w:r>
    </w:p>
    <w:p>
      <w:pPr>
        <w:spacing w:line="400" w:lineRule="exact"/>
        <w:ind w:firstLine="420" w:firstLineChars="200"/>
        <w:rPr>
          <w:rFonts w:ascii="宋体" w:hAnsi="宋体"/>
          <w:szCs w:val="21"/>
        </w:rPr>
      </w:pPr>
      <w:r>
        <w:rPr>
          <w:rFonts w:ascii="宋体" w:hAnsi="宋体"/>
          <w:szCs w:val="21"/>
        </w:rPr>
        <w:t>（</w:t>
      </w:r>
      <w:r>
        <w:rPr>
          <w:rFonts w:hint="eastAsia" w:ascii="宋体" w:hAnsi="宋体"/>
          <w:szCs w:val="21"/>
        </w:rPr>
        <w:t>五</w:t>
      </w:r>
      <w:r>
        <w:rPr>
          <w:rFonts w:ascii="宋体" w:hAnsi="宋体"/>
          <w:szCs w:val="21"/>
        </w:rPr>
        <w:t>）评标原则和评标办法</w:t>
      </w:r>
    </w:p>
    <w:p>
      <w:pPr>
        <w:spacing w:line="400" w:lineRule="exact"/>
        <w:ind w:firstLine="420" w:firstLineChars="200"/>
        <w:rPr>
          <w:rFonts w:ascii="宋体" w:hAnsi="宋体"/>
          <w:szCs w:val="21"/>
        </w:rPr>
      </w:pPr>
      <w:r>
        <w:rPr>
          <w:rFonts w:ascii="宋体" w:hAnsi="宋体"/>
          <w:szCs w:val="21"/>
        </w:rPr>
        <w:t>1</w:t>
      </w:r>
      <w:r>
        <w:rPr>
          <w:rFonts w:hint="eastAsia" w:ascii="宋体" w:hAnsi="宋体"/>
          <w:szCs w:val="21"/>
        </w:rPr>
        <w:t>.</w:t>
      </w:r>
      <w:r>
        <w:rPr>
          <w:rFonts w:ascii="宋体" w:hAnsi="宋体"/>
          <w:szCs w:val="21"/>
        </w:rPr>
        <w:t>评标原则。评标委员会必须公平、公正、客观，不带任何倾向性和启发性；不得向外界透露任何与评标有关的内容；任何单位和个人不得干扰、影响评标的正常进行；评标委员会及有关工作人员不得私下与投标人接触。</w:t>
      </w:r>
    </w:p>
    <w:p>
      <w:pPr>
        <w:spacing w:line="400" w:lineRule="exact"/>
        <w:ind w:firstLine="420" w:firstLineChars="200"/>
        <w:rPr>
          <w:rFonts w:ascii="宋体" w:hAnsi="宋体"/>
          <w:szCs w:val="21"/>
        </w:rPr>
      </w:pPr>
      <w:r>
        <w:rPr>
          <w:rFonts w:ascii="宋体" w:hAnsi="宋体"/>
          <w:szCs w:val="21"/>
        </w:rPr>
        <w:t>2</w:t>
      </w:r>
      <w:r>
        <w:rPr>
          <w:rFonts w:hint="eastAsia" w:ascii="宋体" w:hAnsi="宋体"/>
          <w:szCs w:val="21"/>
        </w:rPr>
        <w:t>.</w:t>
      </w:r>
      <w:r>
        <w:rPr>
          <w:rFonts w:ascii="宋体" w:hAnsi="宋体"/>
          <w:szCs w:val="21"/>
        </w:rPr>
        <w:t>评标办法。具体评标内容及评分标准等详见《第四章：评标办法及评分标准》。</w:t>
      </w:r>
    </w:p>
    <w:p>
      <w:pPr>
        <w:spacing w:line="400" w:lineRule="exact"/>
        <w:ind w:firstLine="420" w:firstLineChars="200"/>
        <w:rPr>
          <w:rFonts w:ascii="宋体" w:hAnsi="宋体"/>
          <w:szCs w:val="21"/>
        </w:rPr>
      </w:pPr>
      <w:r>
        <w:rPr>
          <w:rFonts w:ascii="宋体" w:hAnsi="宋体"/>
          <w:szCs w:val="21"/>
        </w:rPr>
        <w:t>（</w:t>
      </w:r>
      <w:r>
        <w:rPr>
          <w:rFonts w:hint="eastAsia" w:ascii="宋体" w:hAnsi="宋体"/>
          <w:szCs w:val="21"/>
        </w:rPr>
        <w:t>六</w:t>
      </w:r>
      <w:r>
        <w:rPr>
          <w:rFonts w:ascii="宋体" w:hAnsi="宋体"/>
          <w:szCs w:val="21"/>
        </w:rPr>
        <w:t>）评标过程的监控</w:t>
      </w:r>
    </w:p>
    <w:p>
      <w:pPr>
        <w:spacing w:line="400" w:lineRule="exact"/>
        <w:ind w:firstLine="420" w:firstLineChars="200"/>
        <w:rPr>
          <w:rFonts w:ascii="宋体" w:hAnsi="宋体"/>
          <w:szCs w:val="21"/>
        </w:rPr>
      </w:pPr>
      <w:r>
        <w:rPr>
          <w:rFonts w:ascii="宋体" w:hAnsi="宋体"/>
          <w:szCs w:val="21"/>
        </w:rPr>
        <w:t>本项目评标过程</w:t>
      </w:r>
      <w:r>
        <w:rPr>
          <w:rFonts w:hint="eastAsia" w:ascii="宋体" w:hAnsi="宋体"/>
          <w:szCs w:val="21"/>
        </w:rPr>
        <w:t>由相关监管部门</w:t>
      </w:r>
      <w:r>
        <w:rPr>
          <w:rFonts w:ascii="宋体" w:hAnsi="宋体"/>
          <w:szCs w:val="21"/>
        </w:rPr>
        <w:t>进行现场监督，投标人在评标过程中所进行的</w:t>
      </w:r>
      <w:r>
        <w:rPr>
          <w:rFonts w:hint="eastAsia" w:ascii="宋体" w:hAnsi="宋体"/>
          <w:szCs w:val="21"/>
        </w:rPr>
        <w:t>试</w:t>
      </w:r>
      <w:r>
        <w:rPr>
          <w:rFonts w:ascii="宋体" w:hAnsi="宋体"/>
          <w:szCs w:val="21"/>
        </w:rPr>
        <w:t>图影响评标结果的不公正活动，可能导致其投标被拒绝。</w:t>
      </w:r>
    </w:p>
    <w:p>
      <w:pPr>
        <w:spacing w:line="400" w:lineRule="exact"/>
        <w:ind w:firstLine="420" w:firstLineChars="200"/>
        <w:rPr>
          <w:rFonts w:ascii="宋体" w:hAnsi="宋体"/>
          <w:szCs w:val="21"/>
        </w:rPr>
      </w:pPr>
      <w:r>
        <w:rPr>
          <w:rFonts w:hint="eastAsia" w:ascii="宋体" w:hAnsi="宋体"/>
          <w:szCs w:val="21"/>
        </w:rPr>
        <w:t>六、采购方式变更</w:t>
      </w:r>
    </w:p>
    <w:p>
      <w:pPr>
        <w:spacing w:line="400" w:lineRule="exact"/>
        <w:ind w:firstLine="420" w:firstLineChars="200"/>
        <w:rPr>
          <w:rFonts w:ascii="宋体" w:hAnsi="宋体"/>
          <w:szCs w:val="21"/>
        </w:rPr>
      </w:pPr>
      <w:r>
        <w:rPr>
          <w:rFonts w:hint="eastAsia" w:ascii="宋体" w:hAnsi="宋体"/>
          <w:szCs w:val="21"/>
        </w:rPr>
        <w:t>采购响应截至时间止或评审期间，出现参与采购响应或者对采购文件作出实质性响应的供应商不足3家的情况，原则上应终止采购活动，重新组织采购。如果采购文件没有不合理条款，采购信息公告及相关程序符合规定，经财政监管部门批准，按原方式或其他方式继续进行。</w:t>
      </w:r>
    </w:p>
    <w:p>
      <w:pPr>
        <w:spacing w:line="400" w:lineRule="exact"/>
        <w:ind w:firstLine="420" w:firstLineChars="200"/>
        <w:rPr>
          <w:rFonts w:ascii="宋体" w:hAnsi="宋体"/>
          <w:szCs w:val="21"/>
        </w:rPr>
      </w:pPr>
      <w:r>
        <w:rPr>
          <w:rFonts w:hint="eastAsia" w:ascii="宋体" w:hAnsi="宋体"/>
          <w:szCs w:val="21"/>
        </w:rPr>
        <w:t>七、定标</w:t>
      </w:r>
    </w:p>
    <w:p>
      <w:pPr>
        <w:spacing w:line="400" w:lineRule="exact"/>
        <w:ind w:firstLine="420" w:firstLineChars="200"/>
        <w:rPr>
          <w:rFonts w:ascii="宋体" w:hAnsi="宋体"/>
          <w:szCs w:val="21"/>
        </w:rPr>
      </w:pPr>
      <w:r>
        <w:rPr>
          <w:rFonts w:hint="eastAsia" w:ascii="宋体" w:hAnsi="宋体"/>
          <w:szCs w:val="21"/>
        </w:rPr>
        <w:t>（一）确定中标人。本项目由采购人（或采购人事先授权评标委员会）确定中标人。</w:t>
      </w:r>
    </w:p>
    <w:p>
      <w:pPr>
        <w:spacing w:line="400" w:lineRule="exact"/>
        <w:ind w:firstLine="420" w:firstLineChars="200"/>
        <w:rPr>
          <w:rFonts w:ascii="宋体" w:hAnsi="宋体"/>
          <w:szCs w:val="21"/>
        </w:rPr>
      </w:pPr>
      <w:r>
        <w:rPr>
          <w:rFonts w:hint="eastAsia" w:ascii="宋体" w:hAnsi="宋体"/>
          <w:szCs w:val="21"/>
        </w:rPr>
        <w:t>（二）</w:t>
      </w:r>
      <w:r>
        <w:rPr>
          <w:rFonts w:ascii="宋体" w:hAnsi="宋体"/>
          <w:szCs w:val="21"/>
        </w:rPr>
        <w:t>采购代理机构在评标结束</w:t>
      </w:r>
      <w:r>
        <w:rPr>
          <w:rFonts w:hint="eastAsia" w:ascii="宋体" w:hAnsi="宋体"/>
          <w:szCs w:val="21"/>
        </w:rPr>
        <w:t>之日起</w:t>
      </w:r>
      <w:r>
        <w:rPr>
          <w:rFonts w:ascii="宋体" w:hAnsi="宋体"/>
          <w:szCs w:val="21"/>
        </w:rPr>
        <w:t>2个工作日内将评标报告交采购人确认，</w:t>
      </w:r>
      <w:r>
        <w:rPr>
          <w:rFonts w:hint="eastAsia" w:ascii="宋体" w:hAnsi="宋体"/>
          <w:szCs w:val="21"/>
        </w:rPr>
        <w:t>根据采购人确认的评标结果，在招标管理部门规定的媒体和在网上进行中标公告，中标公告期限为1个工作日。</w:t>
      </w:r>
    </w:p>
    <w:p>
      <w:pPr>
        <w:spacing w:line="400" w:lineRule="exact"/>
        <w:ind w:firstLine="420" w:firstLineChars="200"/>
        <w:rPr>
          <w:rFonts w:ascii="宋体" w:hAnsi="宋体"/>
          <w:szCs w:val="21"/>
        </w:rPr>
      </w:pPr>
      <w:r>
        <w:rPr>
          <w:rFonts w:hint="eastAsia" w:ascii="宋体" w:hAnsi="宋体"/>
          <w:szCs w:val="21"/>
        </w:rPr>
        <w:t>（三）供应商认为该中标结果使自己的权益受到损害的，可以自公告期限届满之日起7个工作日内，以书面形式向采购人提出质疑。质疑供应商对采购人、采购代理机构的答复不满意或者采购人、采购代理机构未在规定的时间内作出答复的，可以在答复期满后十五个工作日内向同级政府采购监督管理部门投诉。</w:t>
      </w:r>
    </w:p>
    <w:p>
      <w:pPr>
        <w:spacing w:line="400" w:lineRule="exact"/>
        <w:ind w:firstLine="420" w:firstLineChars="200"/>
        <w:rPr>
          <w:rFonts w:ascii="宋体" w:hAnsi="宋体"/>
          <w:szCs w:val="21"/>
        </w:rPr>
      </w:pPr>
      <w:r>
        <w:rPr>
          <w:rFonts w:hint="eastAsia" w:ascii="宋体" w:hAnsi="宋体"/>
          <w:szCs w:val="21"/>
        </w:rPr>
        <w:t>（四）若中标人放弃中标或因不可抗力提出不能履行合同，或不按招标文件规定提交履约保证金或其他原因将被依法撤销中标资格，则采购人可以重新组织招标。</w:t>
      </w:r>
    </w:p>
    <w:p>
      <w:pPr>
        <w:spacing w:line="400" w:lineRule="exact"/>
        <w:ind w:firstLine="420" w:firstLineChars="200"/>
        <w:rPr>
          <w:rFonts w:ascii="宋体" w:hAnsi="宋体"/>
          <w:szCs w:val="21"/>
        </w:rPr>
      </w:pPr>
      <w:r>
        <w:rPr>
          <w:rFonts w:hint="eastAsia" w:ascii="宋体" w:hAnsi="宋体"/>
          <w:szCs w:val="21"/>
        </w:rPr>
        <w:t>八、合同授予和验收</w:t>
      </w:r>
    </w:p>
    <w:p>
      <w:pPr>
        <w:spacing w:line="400" w:lineRule="exact"/>
        <w:ind w:firstLine="420" w:firstLineChars="200"/>
        <w:rPr>
          <w:rFonts w:ascii="宋体" w:hAnsi="宋体"/>
          <w:szCs w:val="21"/>
        </w:rPr>
      </w:pPr>
      <w:r>
        <w:rPr>
          <w:rFonts w:hint="eastAsia" w:ascii="宋体" w:hAnsi="宋体"/>
          <w:szCs w:val="21"/>
        </w:rPr>
        <w:t>（一）采购人与</w:t>
      </w:r>
      <w:r>
        <w:rPr>
          <w:rFonts w:ascii="宋体" w:hAnsi="宋体"/>
          <w:szCs w:val="21"/>
        </w:rPr>
        <w:t>中标人应</w:t>
      </w:r>
      <w:r>
        <w:rPr>
          <w:rFonts w:hint="eastAsia" w:ascii="宋体" w:hAnsi="宋体"/>
          <w:szCs w:val="21"/>
        </w:rPr>
        <w:t>当在《</w:t>
      </w:r>
      <w:r>
        <w:rPr>
          <w:rFonts w:ascii="宋体" w:hAnsi="宋体"/>
          <w:szCs w:val="21"/>
        </w:rPr>
        <w:t>中标通知书</w:t>
      </w:r>
      <w:r>
        <w:rPr>
          <w:rFonts w:hint="eastAsia" w:ascii="宋体" w:hAnsi="宋体"/>
          <w:szCs w:val="21"/>
        </w:rPr>
        <w:t>》发出之日起30日内签订政府采购合同。同时，采购代理机构对合同内容进行审查，如发现与采购结果和投标承诺内容不一致的，应予以纠正。</w:t>
      </w:r>
    </w:p>
    <w:p>
      <w:pPr>
        <w:spacing w:line="400" w:lineRule="exact"/>
        <w:ind w:firstLine="420" w:firstLineChars="200"/>
        <w:rPr>
          <w:rFonts w:ascii="宋体" w:hAnsi="宋体"/>
          <w:szCs w:val="21"/>
        </w:rPr>
      </w:pPr>
      <w:r>
        <w:rPr>
          <w:rFonts w:hint="eastAsia" w:ascii="宋体" w:hAnsi="宋体"/>
          <w:szCs w:val="21"/>
        </w:rPr>
        <w:t>（</w:t>
      </w:r>
      <w:r>
        <w:rPr>
          <w:rFonts w:hint="eastAsia" w:ascii="宋体" w:hAnsi="宋体"/>
          <w:szCs w:val="21"/>
          <w:lang w:eastAsia="zh-CN"/>
        </w:rPr>
        <w:t>二</w:t>
      </w:r>
      <w:r>
        <w:rPr>
          <w:rFonts w:hint="eastAsia" w:ascii="宋体" w:hAnsi="宋体"/>
          <w:szCs w:val="21"/>
        </w:rPr>
        <w:t>）合同验收按照宁采购办</w:t>
      </w:r>
      <w:r>
        <w:rPr>
          <w:rFonts w:ascii="宋体" w:hAnsi="宋体"/>
          <w:szCs w:val="21"/>
        </w:rPr>
        <w:t>〔201</w:t>
      </w:r>
      <w:r>
        <w:rPr>
          <w:rFonts w:hint="eastAsia" w:ascii="宋体" w:hAnsi="宋体"/>
          <w:szCs w:val="21"/>
        </w:rPr>
        <w:t>2</w:t>
      </w:r>
      <w:r>
        <w:rPr>
          <w:rFonts w:ascii="宋体" w:hAnsi="宋体"/>
          <w:szCs w:val="21"/>
        </w:rPr>
        <w:t>〕</w:t>
      </w:r>
      <w:r>
        <w:rPr>
          <w:rFonts w:hint="eastAsia" w:ascii="宋体" w:hAnsi="宋体"/>
          <w:szCs w:val="21"/>
        </w:rPr>
        <w:t>660号文件执行。</w:t>
      </w:r>
    </w:p>
    <w:p>
      <w:pPr>
        <w:pStyle w:val="9"/>
        <w:snapToGrid w:val="0"/>
        <w:spacing w:beforeLines="0" w:afterLines="0" w:line="380" w:lineRule="exact"/>
        <w:jc w:val="center"/>
        <w:outlineLvl w:val="0"/>
        <w:rPr>
          <w:rFonts w:ascii="黑体" w:hAnsi="宋体" w:eastAsia="黑体"/>
          <w:b/>
          <w:bCs/>
          <w:sz w:val="28"/>
          <w:szCs w:val="28"/>
        </w:rPr>
      </w:pPr>
    </w:p>
    <w:p>
      <w:pPr>
        <w:pStyle w:val="9"/>
        <w:snapToGrid w:val="0"/>
        <w:spacing w:beforeLines="0" w:afterLines="0" w:line="380" w:lineRule="exact"/>
        <w:jc w:val="center"/>
        <w:outlineLvl w:val="0"/>
        <w:rPr>
          <w:rFonts w:ascii="黑体" w:hAnsi="宋体" w:eastAsia="黑体"/>
          <w:b/>
          <w:bCs/>
          <w:sz w:val="28"/>
          <w:szCs w:val="28"/>
        </w:rPr>
      </w:pPr>
    </w:p>
    <w:p>
      <w:pPr>
        <w:pStyle w:val="9"/>
        <w:snapToGrid w:val="0"/>
        <w:spacing w:beforeLines="0" w:afterLines="0" w:line="380" w:lineRule="exact"/>
        <w:jc w:val="center"/>
        <w:outlineLvl w:val="0"/>
        <w:rPr>
          <w:rFonts w:ascii="黑体" w:hAnsi="宋体" w:eastAsia="黑体"/>
          <w:b/>
          <w:bCs/>
          <w:sz w:val="28"/>
          <w:szCs w:val="28"/>
        </w:rPr>
      </w:pPr>
    </w:p>
    <w:p>
      <w:pPr>
        <w:pStyle w:val="9"/>
        <w:snapToGrid w:val="0"/>
        <w:spacing w:beforeLines="0" w:afterLines="0" w:line="380" w:lineRule="exact"/>
        <w:jc w:val="center"/>
        <w:outlineLvl w:val="0"/>
        <w:rPr>
          <w:rFonts w:ascii="黑体" w:hAnsi="宋体" w:eastAsia="黑体"/>
          <w:b/>
          <w:bCs/>
          <w:sz w:val="28"/>
          <w:szCs w:val="28"/>
        </w:rPr>
      </w:pPr>
    </w:p>
    <w:p>
      <w:pPr>
        <w:pStyle w:val="9"/>
        <w:snapToGrid w:val="0"/>
        <w:spacing w:beforeLines="0" w:afterLines="0" w:line="380" w:lineRule="exact"/>
        <w:jc w:val="center"/>
        <w:outlineLvl w:val="0"/>
        <w:rPr>
          <w:rFonts w:ascii="黑体" w:hAnsi="宋体" w:eastAsia="黑体"/>
          <w:b/>
          <w:bCs/>
          <w:sz w:val="28"/>
          <w:szCs w:val="28"/>
        </w:rPr>
      </w:pPr>
    </w:p>
    <w:p>
      <w:pPr>
        <w:pStyle w:val="9"/>
        <w:snapToGrid w:val="0"/>
        <w:spacing w:beforeLines="0" w:afterLines="0" w:line="380" w:lineRule="exact"/>
        <w:jc w:val="center"/>
        <w:outlineLvl w:val="0"/>
        <w:rPr>
          <w:rFonts w:ascii="黑体" w:hAnsi="宋体" w:eastAsia="黑体"/>
          <w:b/>
          <w:bCs/>
          <w:sz w:val="28"/>
          <w:szCs w:val="28"/>
        </w:rPr>
      </w:pPr>
    </w:p>
    <w:p>
      <w:pPr>
        <w:pStyle w:val="9"/>
        <w:snapToGrid w:val="0"/>
        <w:spacing w:beforeLines="0" w:afterLines="0" w:line="380" w:lineRule="exact"/>
        <w:jc w:val="center"/>
        <w:outlineLvl w:val="0"/>
        <w:rPr>
          <w:rFonts w:ascii="黑体" w:hAnsi="宋体" w:eastAsia="黑体"/>
          <w:b/>
          <w:bCs/>
          <w:sz w:val="28"/>
          <w:szCs w:val="28"/>
        </w:rPr>
      </w:pPr>
    </w:p>
    <w:p>
      <w:pPr>
        <w:pStyle w:val="9"/>
        <w:snapToGrid w:val="0"/>
        <w:spacing w:beforeLines="0" w:afterLines="0" w:line="380" w:lineRule="exact"/>
        <w:jc w:val="center"/>
        <w:outlineLvl w:val="0"/>
        <w:rPr>
          <w:rFonts w:ascii="黑体" w:hAnsi="宋体" w:eastAsia="黑体"/>
          <w:b/>
          <w:bCs/>
          <w:sz w:val="28"/>
          <w:szCs w:val="28"/>
        </w:rPr>
      </w:pPr>
    </w:p>
    <w:p>
      <w:pPr>
        <w:pStyle w:val="9"/>
        <w:snapToGrid w:val="0"/>
        <w:spacing w:beforeLines="0" w:afterLines="0" w:line="380" w:lineRule="exact"/>
        <w:jc w:val="center"/>
        <w:outlineLvl w:val="0"/>
        <w:rPr>
          <w:rFonts w:ascii="黑体" w:hAnsi="宋体" w:eastAsia="黑体"/>
          <w:b/>
          <w:bCs/>
          <w:sz w:val="28"/>
          <w:szCs w:val="28"/>
        </w:rPr>
      </w:pPr>
    </w:p>
    <w:p>
      <w:pPr>
        <w:pStyle w:val="9"/>
        <w:snapToGrid w:val="0"/>
        <w:spacing w:beforeLines="0" w:afterLines="0" w:line="380" w:lineRule="exact"/>
        <w:jc w:val="center"/>
        <w:outlineLvl w:val="0"/>
        <w:rPr>
          <w:rFonts w:ascii="黑体" w:hAnsi="宋体" w:eastAsia="黑体"/>
          <w:b/>
          <w:bCs/>
          <w:sz w:val="28"/>
          <w:szCs w:val="28"/>
        </w:rPr>
      </w:pPr>
    </w:p>
    <w:p>
      <w:pPr>
        <w:pStyle w:val="9"/>
        <w:snapToGrid w:val="0"/>
        <w:spacing w:beforeLines="0" w:afterLines="0" w:line="380" w:lineRule="exact"/>
        <w:jc w:val="center"/>
        <w:outlineLvl w:val="0"/>
        <w:rPr>
          <w:rFonts w:ascii="黑体" w:hAnsi="宋体" w:eastAsia="黑体"/>
          <w:b/>
          <w:bCs/>
          <w:sz w:val="28"/>
          <w:szCs w:val="28"/>
        </w:rPr>
      </w:pPr>
    </w:p>
    <w:p>
      <w:pPr>
        <w:pStyle w:val="9"/>
        <w:snapToGrid w:val="0"/>
        <w:spacing w:beforeLines="0" w:afterLines="0" w:line="380" w:lineRule="exact"/>
        <w:jc w:val="center"/>
        <w:outlineLvl w:val="0"/>
        <w:rPr>
          <w:rFonts w:ascii="黑体" w:hAnsi="宋体" w:eastAsia="黑体"/>
          <w:b/>
          <w:bCs/>
          <w:sz w:val="28"/>
          <w:szCs w:val="28"/>
        </w:rPr>
      </w:pPr>
    </w:p>
    <w:p>
      <w:pPr>
        <w:pStyle w:val="9"/>
        <w:snapToGrid w:val="0"/>
        <w:spacing w:beforeLines="0" w:afterLines="0" w:line="380" w:lineRule="exact"/>
        <w:jc w:val="center"/>
        <w:outlineLvl w:val="0"/>
        <w:rPr>
          <w:rFonts w:ascii="黑体" w:hAnsi="宋体" w:eastAsia="黑体"/>
          <w:b/>
          <w:bCs/>
          <w:sz w:val="28"/>
          <w:szCs w:val="28"/>
        </w:rPr>
      </w:pPr>
    </w:p>
    <w:p>
      <w:pPr>
        <w:pStyle w:val="9"/>
        <w:snapToGrid w:val="0"/>
        <w:spacing w:beforeLines="0" w:afterLines="0" w:line="380" w:lineRule="exact"/>
        <w:jc w:val="center"/>
        <w:outlineLvl w:val="0"/>
        <w:rPr>
          <w:rFonts w:ascii="黑体" w:hAnsi="宋体" w:eastAsia="黑体"/>
          <w:b/>
          <w:bCs/>
          <w:sz w:val="28"/>
          <w:szCs w:val="28"/>
        </w:rPr>
      </w:pPr>
    </w:p>
    <w:p>
      <w:pPr>
        <w:pStyle w:val="9"/>
        <w:snapToGrid w:val="0"/>
        <w:spacing w:beforeLines="0" w:afterLines="0" w:line="380" w:lineRule="exact"/>
        <w:jc w:val="center"/>
        <w:outlineLvl w:val="0"/>
        <w:rPr>
          <w:rFonts w:ascii="黑体" w:hAnsi="宋体" w:eastAsia="黑体"/>
          <w:b/>
          <w:bCs/>
          <w:sz w:val="28"/>
          <w:szCs w:val="28"/>
        </w:rPr>
      </w:pPr>
    </w:p>
    <w:p>
      <w:pPr>
        <w:pStyle w:val="9"/>
        <w:snapToGrid w:val="0"/>
        <w:spacing w:beforeLines="0" w:afterLines="0" w:line="380" w:lineRule="exact"/>
        <w:jc w:val="center"/>
        <w:outlineLvl w:val="0"/>
        <w:rPr>
          <w:rFonts w:ascii="黑体" w:hAnsi="宋体" w:eastAsia="黑体"/>
          <w:b/>
          <w:bCs/>
          <w:sz w:val="28"/>
          <w:szCs w:val="28"/>
        </w:rPr>
      </w:pPr>
    </w:p>
    <w:p>
      <w:pPr>
        <w:pStyle w:val="9"/>
        <w:snapToGrid w:val="0"/>
        <w:spacing w:beforeLines="0" w:afterLines="0" w:line="380" w:lineRule="exact"/>
        <w:jc w:val="center"/>
        <w:outlineLvl w:val="0"/>
        <w:rPr>
          <w:rFonts w:ascii="黑体" w:hAnsi="宋体" w:eastAsia="黑体"/>
          <w:b/>
          <w:bCs/>
          <w:sz w:val="28"/>
          <w:szCs w:val="28"/>
        </w:rPr>
      </w:pPr>
    </w:p>
    <w:p>
      <w:pPr>
        <w:pStyle w:val="9"/>
        <w:snapToGrid w:val="0"/>
        <w:spacing w:beforeLines="0" w:afterLines="0" w:line="380" w:lineRule="exact"/>
        <w:jc w:val="center"/>
        <w:outlineLvl w:val="0"/>
        <w:rPr>
          <w:rFonts w:ascii="黑体" w:hAnsi="宋体" w:eastAsia="黑体"/>
          <w:b/>
          <w:bCs/>
          <w:sz w:val="28"/>
          <w:szCs w:val="28"/>
        </w:rPr>
      </w:pPr>
    </w:p>
    <w:p>
      <w:pPr>
        <w:pStyle w:val="9"/>
        <w:snapToGrid w:val="0"/>
        <w:spacing w:beforeLines="0" w:afterLines="0" w:line="380" w:lineRule="exact"/>
        <w:jc w:val="center"/>
        <w:outlineLvl w:val="0"/>
        <w:rPr>
          <w:rFonts w:ascii="黑体" w:hAnsi="宋体" w:eastAsia="黑体"/>
          <w:b/>
          <w:bCs/>
          <w:sz w:val="28"/>
          <w:szCs w:val="28"/>
        </w:rPr>
      </w:pPr>
    </w:p>
    <w:p>
      <w:pPr>
        <w:pStyle w:val="9"/>
        <w:snapToGrid w:val="0"/>
        <w:spacing w:beforeLines="0" w:afterLines="0" w:line="380" w:lineRule="exact"/>
        <w:jc w:val="center"/>
        <w:outlineLvl w:val="0"/>
        <w:rPr>
          <w:rFonts w:ascii="黑体" w:hAnsi="宋体" w:eastAsia="黑体"/>
          <w:b/>
          <w:bCs/>
          <w:sz w:val="28"/>
          <w:szCs w:val="28"/>
        </w:rPr>
      </w:pPr>
    </w:p>
    <w:p>
      <w:pPr>
        <w:pStyle w:val="9"/>
        <w:snapToGrid w:val="0"/>
        <w:spacing w:beforeLines="0" w:afterLines="0" w:line="380" w:lineRule="exact"/>
        <w:jc w:val="center"/>
        <w:outlineLvl w:val="0"/>
        <w:rPr>
          <w:rFonts w:ascii="黑体" w:hAnsi="宋体" w:eastAsia="黑体"/>
          <w:b/>
          <w:bCs/>
          <w:sz w:val="28"/>
          <w:szCs w:val="28"/>
        </w:rPr>
      </w:pPr>
    </w:p>
    <w:p>
      <w:pPr>
        <w:pStyle w:val="9"/>
        <w:snapToGrid w:val="0"/>
        <w:spacing w:beforeLines="0" w:afterLines="0" w:line="380" w:lineRule="exact"/>
        <w:jc w:val="center"/>
        <w:outlineLvl w:val="0"/>
        <w:rPr>
          <w:rFonts w:ascii="黑体" w:hAnsi="宋体" w:eastAsia="黑体"/>
          <w:b/>
          <w:bCs/>
          <w:sz w:val="28"/>
          <w:szCs w:val="28"/>
        </w:rPr>
      </w:pPr>
    </w:p>
    <w:p>
      <w:pPr>
        <w:pStyle w:val="9"/>
        <w:snapToGrid w:val="0"/>
        <w:spacing w:beforeLines="0" w:afterLines="0" w:line="380" w:lineRule="exact"/>
        <w:jc w:val="center"/>
        <w:outlineLvl w:val="0"/>
        <w:rPr>
          <w:rFonts w:ascii="黑体" w:hAnsi="宋体" w:eastAsia="黑体"/>
          <w:b/>
          <w:bCs/>
          <w:sz w:val="28"/>
          <w:szCs w:val="28"/>
        </w:rPr>
      </w:pPr>
    </w:p>
    <w:p>
      <w:pPr>
        <w:pStyle w:val="9"/>
        <w:snapToGrid w:val="0"/>
        <w:spacing w:beforeLines="0" w:afterLines="0" w:line="380" w:lineRule="exact"/>
        <w:jc w:val="center"/>
        <w:outlineLvl w:val="0"/>
        <w:rPr>
          <w:rFonts w:ascii="黑体" w:hAnsi="宋体" w:eastAsia="黑体"/>
          <w:b/>
          <w:bCs/>
          <w:sz w:val="28"/>
          <w:szCs w:val="28"/>
        </w:rPr>
      </w:pPr>
    </w:p>
    <w:p>
      <w:pPr>
        <w:pStyle w:val="9"/>
        <w:snapToGrid w:val="0"/>
        <w:spacing w:beforeLines="0" w:afterLines="0" w:line="380" w:lineRule="exact"/>
        <w:jc w:val="center"/>
        <w:outlineLvl w:val="0"/>
        <w:rPr>
          <w:rFonts w:ascii="黑体" w:hAnsi="宋体" w:eastAsia="黑体"/>
          <w:b/>
          <w:bCs/>
          <w:sz w:val="28"/>
          <w:szCs w:val="28"/>
        </w:rPr>
      </w:pPr>
    </w:p>
    <w:p>
      <w:pPr>
        <w:pStyle w:val="9"/>
        <w:snapToGrid w:val="0"/>
        <w:spacing w:beforeLines="0" w:afterLines="0" w:line="380" w:lineRule="exact"/>
        <w:jc w:val="center"/>
        <w:outlineLvl w:val="0"/>
        <w:rPr>
          <w:rFonts w:ascii="黑体" w:hAnsi="宋体" w:eastAsia="黑体"/>
          <w:b/>
          <w:bCs/>
          <w:sz w:val="28"/>
          <w:szCs w:val="28"/>
        </w:rPr>
      </w:pPr>
    </w:p>
    <w:p>
      <w:pPr>
        <w:pStyle w:val="9"/>
        <w:snapToGrid w:val="0"/>
        <w:spacing w:beforeLines="0" w:afterLines="0" w:line="380" w:lineRule="exact"/>
        <w:jc w:val="center"/>
        <w:outlineLvl w:val="0"/>
        <w:rPr>
          <w:rFonts w:ascii="黑体" w:hAnsi="宋体" w:eastAsia="黑体"/>
          <w:b/>
          <w:bCs/>
          <w:sz w:val="28"/>
          <w:szCs w:val="28"/>
        </w:rPr>
      </w:pPr>
    </w:p>
    <w:p>
      <w:pPr>
        <w:pStyle w:val="9"/>
        <w:snapToGrid w:val="0"/>
        <w:spacing w:beforeLines="0" w:afterLines="0" w:line="380" w:lineRule="exact"/>
        <w:jc w:val="center"/>
        <w:outlineLvl w:val="0"/>
        <w:rPr>
          <w:rFonts w:ascii="黑体" w:hAnsi="宋体" w:eastAsia="黑体"/>
          <w:b/>
          <w:bCs/>
          <w:sz w:val="28"/>
          <w:szCs w:val="28"/>
        </w:rPr>
      </w:pPr>
    </w:p>
    <w:p>
      <w:pPr>
        <w:pStyle w:val="9"/>
        <w:snapToGrid w:val="0"/>
        <w:spacing w:beforeLines="0" w:afterLines="0" w:line="380" w:lineRule="exact"/>
        <w:jc w:val="center"/>
        <w:outlineLvl w:val="0"/>
        <w:rPr>
          <w:rFonts w:ascii="黑体" w:hAnsi="宋体" w:eastAsia="黑体"/>
          <w:b/>
          <w:bCs/>
          <w:sz w:val="28"/>
          <w:szCs w:val="28"/>
        </w:rPr>
      </w:pPr>
    </w:p>
    <w:p>
      <w:pPr>
        <w:pStyle w:val="9"/>
        <w:snapToGrid w:val="0"/>
        <w:spacing w:beforeLines="0" w:afterLines="0" w:line="380" w:lineRule="exact"/>
        <w:jc w:val="center"/>
        <w:outlineLvl w:val="0"/>
        <w:rPr>
          <w:rFonts w:ascii="黑体" w:hAnsi="宋体" w:eastAsia="黑体"/>
          <w:b/>
          <w:bCs/>
          <w:sz w:val="28"/>
          <w:szCs w:val="28"/>
        </w:rPr>
      </w:pPr>
    </w:p>
    <w:p>
      <w:pPr>
        <w:pStyle w:val="9"/>
        <w:snapToGrid w:val="0"/>
        <w:spacing w:beforeLines="0" w:afterLines="0" w:line="380" w:lineRule="exact"/>
        <w:jc w:val="center"/>
        <w:outlineLvl w:val="0"/>
        <w:rPr>
          <w:rFonts w:ascii="黑体" w:hAnsi="宋体" w:eastAsia="黑体"/>
          <w:b/>
          <w:bCs/>
          <w:sz w:val="28"/>
          <w:szCs w:val="28"/>
        </w:rPr>
      </w:pPr>
    </w:p>
    <w:p>
      <w:pPr>
        <w:pStyle w:val="9"/>
        <w:snapToGrid w:val="0"/>
        <w:spacing w:beforeLines="0" w:afterLines="0" w:line="380" w:lineRule="exact"/>
        <w:jc w:val="center"/>
        <w:outlineLvl w:val="0"/>
        <w:rPr>
          <w:rFonts w:ascii="黑体" w:hAnsi="宋体" w:eastAsia="黑体"/>
          <w:b/>
          <w:bCs/>
          <w:sz w:val="28"/>
          <w:szCs w:val="28"/>
        </w:rPr>
      </w:pPr>
    </w:p>
    <w:p>
      <w:pPr>
        <w:pStyle w:val="9"/>
        <w:snapToGrid w:val="0"/>
        <w:spacing w:beforeLines="0" w:afterLines="0" w:line="380" w:lineRule="exact"/>
        <w:jc w:val="center"/>
        <w:outlineLvl w:val="0"/>
        <w:rPr>
          <w:rFonts w:ascii="黑体" w:hAnsi="宋体" w:eastAsia="黑体"/>
          <w:b/>
          <w:bCs/>
          <w:sz w:val="28"/>
          <w:szCs w:val="28"/>
        </w:rPr>
      </w:pPr>
    </w:p>
    <w:p>
      <w:pPr>
        <w:pStyle w:val="9"/>
        <w:snapToGrid w:val="0"/>
        <w:spacing w:beforeLines="0" w:afterLines="0" w:line="380" w:lineRule="exact"/>
        <w:jc w:val="center"/>
        <w:outlineLvl w:val="0"/>
        <w:rPr>
          <w:rFonts w:ascii="黑体" w:hAnsi="宋体" w:eastAsia="黑体"/>
          <w:b/>
          <w:bCs/>
          <w:sz w:val="28"/>
          <w:szCs w:val="28"/>
        </w:rPr>
      </w:pPr>
    </w:p>
    <w:p>
      <w:pPr>
        <w:pStyle w:val="9"/>
        <w:snapToGrid w:val="0"/>
        <w:spacing w:beforeLines="0" w:afterLines="0"/>
        <w:jc w:val="center"/>
        <w:outlineLvl w:val="0"/>
        <w:rPr>
          <w:rFonts w:ascii="黑体" w:hAnsi="宋体" w:eastAsia="黑体"/>
          <w:b/>
          <w:bCs/>
          <w:sz w:val="28"/>
          <w:szCs w:val="28"/>
        </w:rPr>
      </w:pPr>
      <w:r>
        <w:rPr>
          <w:rFonts w:hint="eastAsia" w:ascii="黑体" w:hAnsi="宋体" w:eastAsia="黑体"/>
          <w:b/>
          <w:bCs/>
          <w:sz w:val="28"/>
          <w:szCs w:val="28"/>
        </w:rPr>
        <w:t>第四章  评标办法及评分标准</w:t>
      </w:r>
    </w:p>
    <w:p>
      <w:pPr>
        <w:pStyle w:val="9"/>
        <w:snapToGrid w:val="0"/>
        <w:spacing w:beforeLines="0" w:afterLines="0"/>
        <w:jc w:val="center"/>
        <w:outlineLvl w:val="0"/>
        <w:rPr>
          <w:rFonts w:hAnsi="宋体"/>
          <w:szCs w:val="21"/>
        </w:rPr>
      </w:pPr>
    </w:p>
    <w:p>
      <w:pPr>
        <w:pStyle w:val="9"/>
        <w:snapToGrid w:val="0"/>
        <w:spacing w:beforeLines="0" w:afterLines="0"/>
        <w:jc w:val="center"/>
        <w:outlineLvl w:val="0"/>
        <w:rPr>
          <w:rFonts w:hAnsi="宋体"/>
          <w:szCs w:val="21"/>
        </w:rPr>
      </w:pPr>
      <w:r>
        <w:rPr>
          <w:rFonts w:hint="eastAsia" w:hAnsi="宋体"/>
          <w:szCs w:val="21"/>
        </w:rPr>
        <w:t>（评标方法：综合评分法）</w:t>
      </w:r>
    </w:p>
    <w:p>
      <w:pPr>
        <w:spacing w:line="500" w:lineRule="exact"/>
        <w:ind w:firstLine="420" w:firstLineChars="200"/>
        <w:rPr>
          <w:rFonts w:ascii="宋体" w:hAnsi="宋体"/>
          <w:szCs w:val="21"/>
        </w:rPr>
      </w:pPr>
      <w:r>
        <w:rPr>
          <w:rFonts w:hint="eastAsia" w:ascii="宋体" w:hAnsi="宋体"/>
          <w:szCs w:val="21"/>
        </w:rPr>
        <w:t>为公正、公平、科学地选择中标人，根据《中华人民共和国政府采购法》等有关法律法规的规定，并结合本项目的实际，制定本办法。</w:t>
      </w:r>
    </w:p>
    <w:p>
      <w:pPr>
        <w:spacing w:line="500" w:lineRule="exact"/>
        <w:ind w:firstLine="420" w:firstLineChars="200"/>
        <w:rPr>
          <w:rFonts w:ascii="宋体" w:hAnsi="宋体"/>
          <w:szCs w:val="21"/>
        </w:rPr>
      </w:pPr>
      <w:r>
        <w:rPr>
          <w:rFonts w:hint="eastAsia" w:ascii="宋体" w:hAnsi="宋体"/>
          <w:szCs w:val="21"/>
        </w:rPr>
        <w:t>一、评标依据</w:t>
      </w:r>
    </w:p>
    <w:p>
      <w:pPr>
        <w:spacing w:line="500" w:lineRule="exact"/>
        <w:ind w:firstLine="420" w:firstLineChars="200"/>
        <w:rPr>
          <w:rFonts w:ascii="宋体" w:hAnsi="宋体"/>
          <w:szCs w:val="21"/>
        </w:rPr>
      </w:pPr>
      <w:r>
        <w:rPr>
          <w:rFonts w:hint="eastAsia" w:ascii="宋体" w:hAnsi="宋体"/>
          <w:szCs w:val="21"/>
        </w:rPr>
        <w:t>1.法律法规        2.招标文件       3.投标文件</w:t>
      </w:r>
    </w:p>
    <w:p>
      <w:pPr>
        <w:spacing w:line="500" w:lineRule="exact"/>
        <w:ind w:firstLine="420" w:firstLineChars="200"/>
        <w:rPr>
          <w:rFonts w:ascii="宋体" w:hAnsi="宋体"/>
          <w:szCs w:val="21"/>
        </w:rPr>
      </w:pPr>
      <w:r>
        <w:rPr>
          <w:rFonts w:hint="eastAsia" w:ascii="宋体" w:hAnsi="宋体"/>
          <w:szCs w:val="21"/>
        </w:rPr>
        <w:t>二、投标文件的响应性的确定</w:t>
      </w:r>
    </w:p>
    <w:p>
      <w:pPr>
        <w:spacing w:line="500" w:lineRule="exact"/>
        <w:ind w:firstLine="420" w:firstLineChars="200"/>
        <w:rPr>
          <w:rFonts w:ascii="宋体" w:hAnsi="宋体"/>
          <w:szCs w:val="21"/>
        </w:rPr>
      </w:pPr>
      <w:r>
        <w:rPr>
          <w:rFonts w:ascii="宋体" w:hAnsi="宋体"/>
          <w:szCs w:val="21"/>
        </w:rPr>
        <w:t>1</w:t>
      </w:r>
      <w:r>
        <w:rPr>
          <w:rFonts w:hint="eastAsia" w:ascii="宋体" w:hAnsi="宋体"/>
          <w:szCs w:val="21"/>
        </w:rPr>
        <w:t>.审定投标文件是否实质上响应了招标文件的要求。</w:t>
      </w:r>
    </w:p>
    <w:p>
      <w:pPr>
        <w:spacing w:line="500" w:lineRule="exact"/>
        <w:ind w:firstLine="420" w:firstLineChars="200"/>
        <w:rPr>
          <w:rFonts w:ascii="宋体" w:hAnsi="宋体"/>
          <w:szCs w:val="21"/>
        </w:rPr>
      </w:pPr>
      <w:r>
        <w:rPr>
          <w:rFonts w:ascii="宋体" w:hAnsi="宋体"/>
          <w:szCs w:val="21"/>
        </w:rPr>
        <w:t>2</w:t>
      </w:r>
      <w:r>
        <w:rPr>
          <w:rFonts w:hint="eastAsia" w:ascii="宋体" w:hAnsi="宋体"/>
          <w:szCs w:val="21"/>
        </w:rPr>
        <w:t>.对符合上款的投标文件进行评定。</w:t>
      </w:r>
    </w:p>
    <w:p>
      <w:pPr>
        <w:spacing w:line="500" w:lineRule="exact"/>
        <w:ind w:firstLine="420" w:firstLineChars="200"/>
        <w:rPr>
          <w:rFonts w:ascii="宋体" w:hAnsi="宋体"/>
          <w:szCs w:val="21"/>
        </w:rPr>
      </w:pPr>
      <w:r>
        <w:rPr>
          <w:rFonts w:hint="eastAsia" w:ascii="宋体" w:hAnsi="宋体"/>
          <w:szCs w:val="21"/>
        </w:rPr>
        <w:t>三、评标原则</w:t>
      </w:r>
    </w:p>
    <w:p>
      <w:pPr>
        <w:spacing w:line="500" w:lineRule="exact"/>
        <w:ind w:firstLine="420" w:firstLineChars="200"/>
        <w:rPr>
          <w:rFonts w:ascii="宋体" w:hAnsi="宋体"/>
          <w:szCs w:val="21"/>
        </w:rPr>
      </w:pPr>
      <w:r>
        <w:rPr>
          <w:rFonts w:ascii="宋体" w:hAnsi="宋体"/>
          <w:szCs w:val="21"/>
        </w:rPr>
        <w:t>1</w:t>
      </w:r>
      <w:r>
        <w:rPr>
          <w:rFonts w:hint="eastAsia" w:ascii="宋体" w:hAnsi="宋体"/>
          <w:szCs w:val="21"/>
        </w:rPr>
        <w:t>.评标委员会遵守公平、公正、科学择优的评标原则。</w:t>
      </w:r>
    </w:p>
    <w:p>
      <w:pPr>
        <w:spacing w:line="500" w:lineRule="exact"/>
        <w:ind w:firstLine="420" w:firstLineChars="200"/>
        <w:rPr>
          <w:rFonts w:ascii="宋体" w:hAnsi="宋体"/>
          <w:szCs w:val="21"/>
        </w:rPr>
      </w:pPr>
      <w:r>
        <w:rPr>
          <w:rFonts w:ascii="宋体" w:hAnsi="宋体"/>
          <w:szCs w:val="21"/>
        </w:rPr>
        <w:t>2</w:t>
      </w:r>
      <w:r>
        <w:rPr>
          <w:rFonts w:hint="eastAsia" w:ascii="宋体" w:hAnsi="宋体"/>
          <w:szCs w:val="21"/>
        </w:rPr>
        <w:t>.评标严格按照招标文件规定程序进行。</w:t>
      </w:r>
    </w:p>
    <w:p>
      <w:pPr>
        <w:spacing w:line="500" w:lineRule="exact"/>
        <w:ind w:firstLine="420" w:firstLineChars="200"/>
        <w:rPr>
          <w:rFonts w:ascii="宋体" w:hAnsi="宋体"/>
          <w:szCs w:val="21"/>
        </w:rPr>
      </w:pPr>
      <w:r>
        <w:rPr>
          <w:rFonts w:ascii="宋体" w:hAnsi="宋体"/>
          <w:szCs w:val="21"/>
        </w:rPr>
        <w:t>3</w:t>
      </w:r>
      <w:r>
        <w:rPr>
          <w:rFonts w:hint="eastAsia" w:ascii="宋体" w:hAnsi="宋体"/>
          <w:szCs w:val="21"/>
        </w:rPr>
        <w:t>.对招标文件中实质性条款的任何负偏离将导致无效标。</w:t>
      </w:r>
    </w:p>
    <w:p>
      <w:pPr>
        <w:spacing w:line="500" w:lineRule="exact"/>
        <w:ind w:firstLine="420" w:firstLineChars="200"/>
        <w:rPr>
          <w:rFonts w:ascii="宋体" w:hAnsi="宋体"/>
          <w:szCs w:val="21"/>
        </w:rPr>
      </w:pPr>
      <w:r>
        <w:rPr>
          <w:rFonts w:hint="eastAsia" w:ascii="宋体" w:hAnsi="宋体"/>
          <w:szCs w:val="21"/>
        </w:rPr>
        <w:t>4.评标过程如发现有异常情况，由评委集体讨论决定。</w:t>
      </w:r>
    </w:p>
    <w:p>
      <w:pPr>
        <w:spacing w:line="500" w:lineRule="exact"/>
        <w:ind w:firstLine="420" w:firstLineChars="200"/>
        <w:rPr>
          <w:rFonts w:ascii="宋体" w:hAnsi="宋体"/>
          <w:szCs w:val="21"/>
        </w:rPr>
      </w:pPr>
      <w:r>
        <w:rPr>
          <w:rFonts w:hint="eastAsia" w:ascii="宋体" w:hAnsi="宋体"/>
          <w:szCs w:val="21"/>
        </w:rPr>
        <w:t>四</w:t>
      </w:r>
      <w:r>
        <w:rPr>
          <w:rFonts w:ascii="宋体" w:hAnsi="宋体"/>
          <w:szCs w:val="21"/>
        </w:rPr>
        <w:t>、</w:t>
      </w:r>
      <w:r>
        <w:rPr>
          <w:rFonts w:hint="eastAsia" w:ascii="宋体" w:hAnsi="宋体"/>
          <w:szCs w:val="21"/>
        </w:rPr>
        <w:t>评审流程</w:t>
      </w:r>
    </w:p>
    <w:p>
      <w:pPr>
        <w:spacing w:line="500" w:lineRule="exact"/>
        <w:ind w:firstLine="420" w:firstLineChars="200"/>
        <w:rPr>
          <w:rFonts w:ascii="宋体" w:hAnsi="宋体"/>
          <w:szCs w:val="21"/>
        </w:rPr>
      </w:pPr>
      <w:r>
        <w:rPr>
          <w:rFonts w:hint="eastAsia" w:ascii="宋体" w:hAnsi="宋体"/>
          <w:szCs w:val="21"/>
        </w:rPr>
        <w:t>1.进行资格审查和符合性审查，通过的投标文件进入技术商务评议。</w:t>
      </w:r>
    </w:p>
    <w:p>
      <w:pPr>
        <w:spacing w:line="500" w:lineRule="exact"/>
        <w:ind w:firstLine="420" w:firstLineChars="200"/>
        <w:rPr>
          <w:rFonts w:ascii="宋体" w:hAnsi="宋体"/>
          <w:szCs w:val="21"/>
        </w:rPr>
      </w:pPr>
      <w:r>
        <w:rPr>
          <w:rFonts w:hint="eastAsia" w:ascii="宋体" w:hAnsi="宋体"/>
          <w:szCs w:val="21"/>
        </w:rPr>
        <w:t>2.由评委对各投标人的投标文件进行审阅，然后对投标人进行询标和评议，并按评标内容和标准进行评审。</w:t>
      </w:r>
    </w:p>
    <w:p>
      <w:pPr>
        <w:spacing w:line="500" w:lineRule="exact"/>
        <w:ind w:firstLine="420" w:firstLineChars="200"/>
        <w:rPr>
          <w:rFonts w:ascii="宋体" w:hAnsi="宋体"/>
          <w:szCs w:val="21"/>
        </w:rPr>
      </w:pPr>
      <w:r>
        <w:rPr>
          <w:rFonts w:hint="eastAsia" w:ascii="宋体" w:hAnsi="宋体"/>
          <w:szCs w:val="21"/>
        </w:rPr>
        <w:t>3.由工作人员统计、汇总所有评委对每一份投标文件的评分。汇总各评委的评分取算术平均值（小数点后保留2位数）为该投标人的总得分。</w:t>
      </w:r>
    </w:p>
    <w:p>
      <w:pPr>
        <w:spacing w:line="500" w:lineRule="exact"/>
        <w:ind w:firstLine="420" w:firstLineChars="200"/>
        <w:rPr>
          <w:rFonts w:ascii="宋体" w:hAnsi="宋体"/>
          <w:szCs w:val="21"/>
        </w:rPr>
      </w:pPr>
      <w:r>
        <w:rPr>
          <w:rFonts w:hint="eastAsia" w:ascii="宋体" w:hAnsi="宋体"/>
          <w:szCs w:val="21"/>
        </w:rPr>
        <w:t>4.各投标人的最终得分按以下方法进行计算：</w:t>
      </w:r>
    </w:p>
    <w:p>
      <w:pPr>
        <w:spacing w:line="500" w:lineRule="exact"/>
        <w:ind w:firstLine="420" w:firstLineChars="200"/>
        <w:rPr>
          <w:rFonts w:ascii="宋体" w:hAnsi="宋体"/>
          <w:szCs w:val="21"/>
        </w:rPr>
      </w:pPr>
      <w:r>
        <w:rPr>
          <w:rFonts w:hint="eastAsia" w:ascii="宋体" w:hAnsi="宋体"/>
          <w:szCs w:val="21"/>
        </w:rPr>
        <w:t>最终得分＝报价分+技术商务分</w:t>
      </w:r>
    </w:p>
    <w:p>
      <w:pPr>
        <w:spacing w:line="500" w:lineRule="exact"/>
        <w:ind w:firstLine="420" w:firstLineChars="200"/>
        <w:rPr>
          <w:rFonts w:ascii="宋体" w:hAnsi="宋体"/>
          <w:szCs w:val="21"/>
        </w:rPr>
      </w:pPr>
      <w:r>
        <w:rPr>
          <w:rFonts w:hint="eastAsia" w:ascii="宋体" w:hAnsi="宋体"/>
          <w:szCs w:val="21"/>
        </w:rPr>
        <w:t>（1）各投标人的最终得分若出现并列分，则报价低的排列在前。</w:t>
      </w:r>
    </w:p>
    <w:p>
      <w:pPr>
        <w:spacing w:line="500" w:lineRule="exact"/>
        <w:ind w:firstLine="420" w:firstLineChars="200"/>
        <w:rPr>
          <w:rFonts w:ascii="宋体" w:hAnsi="宋体"/>
          <w:szCs w:val="21"/>
        </w:rPr>
      </w:pPr>
      <w:r>
        <w:rPr>
          <w:rFonts w:hint="eastAsia" w:ascii="宋体" w:hAnsi="宋体"/>
          <w:szCs w:val="21"/>
        </w:rPr>
        <w:t>（2）评标小组在审标、询标的基础上根据事先制定的评标办法对各投标人的投标文件进行评定，评出最高得分的投标人为中标候选人。</w:t>
      </w:r>
    </w:p>
    <w:p>
      <w:pPr>
        <w:spacing w:line="500" w:lineRule="exact"/>
        <w:rPr>
          <w:rFonts w:ascii="宋体" w:hAnsi="宋体"/>
          <w:szCs w:val="21"/>
        </w:rPr>
      </w:pPr>
      <w:r>
        <w:rPr>
          <w:rFonts w:hint="eastAsia" w:ascii="宋体" w:hAnsi="宋体"/>
          <w:szCs w:val="21"/>
        </w:rPr>
        <w:t>具体评分内容和标准，见下表：</w:t>
      </w:r>
    </w:p>
    <w:tbl>
      <w:tblPr>
        <w:tblStyle w:val="16"/>
        <w:tblW w:w="87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1418"/>
        <w:gridCol w:w="5387"/>
        <w:gridCol w:w="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271" w:type="dxa"/>
            <w:vAlign w:val="center"/>
          </w:tcPr>
          <w:p>
            <w:pPr>
              <w:pStyle w:val="38"/>
              <w:rPr>
                <w:b/>
              </w:rPr>
            </w:pPr>
            <w:r>
              <w:rPr>
                <w:rFonts w:hint="eastAsia"/>
              </w:rPr>
              <w:t>评分类别</w:t>
            </w:r>
          </w:p>
        </w:tc>
        <w:tc>
          <w:tcPr>
            <w:tcW w:w="1418" w:type="dxa"/>
            <w:shd w:val="clear" w:color="auto" w:fill="auto"/>
            <w:vAlign w:val="center"/>
          </w:tcPr>
          <w:p>
            <w:pPr>
              <w:pStyle w:val="38"/>
              <w:rPr>
                <w:b/>
              </w:rPr>
            </w:pPr>
            <w:r>
              <w:rPr>
                <w:rFonts w:hint="eastAsia"/>
              </w:rPr>
              <w:t>评分项目</w:t>
            </w:r>
          </w:p>
        </w:tc>
        <w:tc>
          <w:tcPr>
            <w:tcW w:w="5387" w:type="dxa"/>
            <w:shd w:val="clear" w:color="auto" w:fill="auto"/>
            <w:vAlign w:val="center"/>
          </w:tcPr>
          <w:p>
            <w:pPr>
              <w:pStyle w:val="38"/>
              <w:rPr>
                <w:b/>
              </w:rPr>
            </w:pPr>
            <w:r>
              <w:rPr>
                <w:rFonts w:hint="eastAsia"/>
              </w:rPr>
              <w:t>评分标准</w:t>
            </w:r>
          </w:p>
        </w:tc>
        <w:tc>
          <w:tcPr>
            <w:tcW w:w="723" w:type="dxa"/>
            <w:shd w:val="clear" w:color="auto" w:fill="auto"/>
            <w:vAlign w:val="center"/>
          </w:tcPr>
          <w:p>
            <w:pPr>
              <w:pStyle w:val="38"/>
              <w:rPr>
                <w:b/>
              </w:rPr>
            </w:pPr>
            <w:r>
              <w:rPr>
                <w:rFonts w:hint="eastAsia"/>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1271" w:type="dxa"/>
            <w:vAlign w:val="center"/>
          </w:tcPr>
          <w:p>
            <w:pPr>
              <w:pStyle w:val="38"/>
              <w:rPr>
                <w:b/>
              </w:rPr>
            </w:pPr>
            <w:r>
              <w:rPr>
                <w:rFonts w:hint="eastAsia"/>
              </w:rPr>
              <w:t>价格分（20分）</w:t>
            </w:r>
          </w:p>
        </w:tc>
        <w:tc>
          <w:tcPr>
            <w:tcW w:w="1418" w:type="dxa"/>
            <w:shd w:val="clear" w:color="auto" w:fill="auto"/>
            <w:vAlign w:val="center"/>
          </w:tcPr>
          <w:p>
            <w:pPr>
              <w:pStyle w:val="38"/>
              <w:rPr>
                <w:b/>
              </w:rPr>
            </w:pPr>
            <w:r>
              <w:rPr>
                <w:rFonts w:hint="eastAsia"/>
              </w:rPr>
              <w:t>投标产品报价（20分）</w:t>
            </w:r>
          </w:p>
        </w:tc>
        <w:tc>
          <w:tcPr>
            <w:tcW w:w="5387" w:type="dxa"/>
            <w:shd w:val="clear" w:color="auto" w:fill="auto"/>
            <w:vAlign w:val="center"/>
          </w:tcPr>
          <w:p>
            <w:pPr>
              <w:pStyle w:val="38"/>
              <w:rPr>
                <w:b/>
              </w:rPr>
            </w:pPr>
            <w:r>
              <w:rPr>
                <w:rFonts w:hint="eastAsia"/>
              </w:rPr>
              <w:t>以投标人有效投标价中的最低价为评标基准价，得满分20分。商务报价评分结算公式为:投标报价得分=(评标基准价／投标报价)×20%×100；</w:t>
            </w:r>
          </w:p>
        </w:tc>
        <w:tc>
          <w:tcPr>
            <w:tcW w:w="723" w:type="dxa"/>
            <w:shd w:val="clear" w:color="auto" w:fill="auto"/>
            <w:vAlign w:val="center"/>
          </w:tcPr>
          <w:p>
            <w:pPr>
              <w:pStyle w:val="38"/>
              <w:rPr>
                <w:b/>
              </w:rPr>
            </w:pPr>
            <w:r>
              <w:rPr>
                <w:rFonts w:hint="eastAsia"/>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1271" w:type="dxa"/>
            <w:vMerge w:val="restart"/>
            <w:vAlign w:val="center"/>
          </w:tcPr>
          <w:p>
            <w:pPr>
              <w:pStyle w:val="38"/>
              <w:rPr>
                <w:b/>
              </w:rPr>
            </w:pPr>
            <w:r>
              <w:rPr>
                <w:rFonts w:hint="eastAsia"/>
              </w:rPr>
              <w:t>技术分（8</w:t>
            </w:r>
            <w:r>
              <w:t>0</w:t>
            </w:r>
            <w:r>
              <w:rPr>
                <w:rFonts w:hint="eastAsia"/>
              </w:rPr>
              <w:t>分）</w:t>
            </w:r>
          </w:p>
        </w:tc>
        <w:tc>
          <w:tcPr>
            <w:tcW w:w="1418" w:type="dxa"/>
            <w:shd w:val="clear" w:color="auto" w:fill="auto"/>
            <w:vAlign w:val="center"/>
          </w:tcPr>
          <w:p>
            <w:pPr>
              <w:pStyle w:val="38"/>
              <w:rPr>
                <w:b/>
              </w:rPr>
            </w:pPr>
            <w:r>
              <w:rPr>
                <w:rFonts w:hint="eastAsia"/>
              </w:rPr>
              <w:t>产品技术响应情况（</w:t>
            </w:r>
            <w:r>
              <w:t>20</w:t>
            </w:r>
            <w:r>
              <w:rPr>
                <w:rFonts w:hint="eastAsia"/>
              </w:rPr>
              <w:t>分）</w:t>
            </w:r>
          </w:p>
        </w:tc>
        <w:tc>
          <w:tcPr>
            <w:tcW w:w="5387" w:type="dxa"/>
            <w:shd w:val="clear" w:color="auto" w:fill="auto"/>
            <w:vAlign w:val="center"/>
          </w:tcPr>
          <w:p>
            <w:pPr>
              <w:pStyle w:val="38"/>
              <w:rPr>
                <w:b/>
              </w:rPr>
            </w:pPr>
            <w:r>
              <w:rPr>
                <w:rFonts w:hint="eastAsia"/>
              </w:rPr>
              <w:t>是否符合用户提供最低要求技术参数指标，根据投标的技术指标和招标要求的满足程度打分。任何一项标“</w:t>
            </w:r>
            <w:r>
              <w:rPr>
                <w:szCs w:val="28"/>
              </w:rPr>
              <w:t>▲</w:t>
            </w:r>
            <w:r>
              <w:rPr>
                <w:rFonts w:hint="eastAsia"/>
              </w:rPr>
              <w:t>”指标未响应或不满足将被扣2分，其他扣</w:t>
            </w:r>
            <w:r>
              <w:t>1</w:t>
            </w:r>
            <w:r>
              <w:rPr>
                <w:rFonts w:hint="eastAsia"/>
              </w:rPr>
              <w:t>分，扣完为止。</w:t>
            </w:r>
          </w:p>
        </w:tc>
        <w:tc>
          <w:tcPr>
            <w:tcW w:w="723" w:type="dxa"/>
            <w:shd w:val="clear" w:color="auto" w:fill="auto"/>
            <w:vAlign w:val="center"/>
          </w:tcPr>
          <w:p>
            <w:pPr>
              <w:pStyle w:val="38"/>
              <w:rPr>
                <w:b/>
              </w:rPr>
            </w:pPr>
            <w: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1271" w:type="dxa"/>
            <w:vMerge w:val="continue"/>
            <w:vAlign w:val="center"/>
          </w:tcPr>
          <w:p>
            <w:pPr>
              <w:pStyle w:val="38"/>
              <w:rPr>
                <w:b/>
              </w:rPr>
            </w:pPr>
          </w:p>
        </w:tc>
        <w:tc>
          <w:tcPr>
            <w:tcW w:w="1418" w:type="dxa"/>
            <w:shd w:val="clear" w:color="auto" w:fill="auto"/>
            <w:vAlign w:val="center"/>
          </w:tcPr>
          <w:p>
            <w:pPr>
              <w:pStyle w:val="38"/>
              <w:rPr>
                <w:b/>
              </w:rPr>
            </w:pPr>
            <w:r>
              <w:rPr>
                <w:rFonts w:hint="eastAsia"/>
              </w:rPr>
              <w:t>总体方案设计（</w:t>
            </w:r>
            <w:r>
              <w:t>15</w:t>
            </w:r>
            <w:r>
              <w:rPr>
                <w:rFonts w:hint="eastAsia"/>
              </w:rPr>
              <w:t>分）</w:t>
            </w:r>
          </w:p>
        </w:tc>
        <w:tc>
          <w:tcPr>
            <w:tcW w:w="5387" w:type="dxa"/>
            <w:shd w:val="clear" w:color="auto" w:fill="auto"/>
            <w:vAlign w:val="center"/>
          </w:tcPr>
          <w:p>
            <w:pPr>
              <w:pStyle w:val="38"/>
              <w:rPr>
                <w:spacing w:val="-4"/>
              </w:rPr>
            </w:pPr>
            <w:r>
              <w:rPr>
                <w:rFonts w:hint="eastAsia"/>
                <w:spacing w:val="-4"/>
              </w:rPr>
              <w:t>投标人根据项目建设理解情况提出项目总体方案：</w:t>
            </w:r>
          </w:p>
          <w:p>
            <w:pPr>
              <w:pStyle w:val="38"/>
              <w:numPr>
                <w:ilvl w:val="0"/>
                <w:numId w:val="10"/>
              </w:numPr>
              <w:rPr>
                <w:spacing w:val="-3"/>
              </w:rPr>
            </w:pPr>
            <w:r>
              <w:rPr>
                <w:rFonts w:hint="eastAsia"/>
                <w:spacing w:val="-4"/>
              </w:rPr>
              <w:t>根据方案</w:t>
            </w:r>
            <w:r>
              <w:rPr>
                <w:spacing w:val="-4"/>
              </w:rPr>
              <w:t>与需求的吻合程度，包括方案技术架构的先进性、</w:t>
            </w:r>
            <w:r>
              <w:rPr>
                <w:spacing w:val="-3"/>
              </w:rPr>
              <w:t>成熟性</w:t>
            </w:r>
            <w:r>
              <w:rPr>
                <w:rFonts w:hint="eastAsia"/>
                <w:spacing w:val="-3"/>
              </w:rPr>
              <w:t>，业务流程的合</w:t>
            </w:r>
            <w:r>
              <w:rPr>
                <w:rFonts w:hint="eastAsia"/>
                <w:spacing w:val="-4"/>
              </w:rPr>
              <w:t>理性</w:t>
            </w:r>
            <w:r>
              <w:rPr>
                <w:spacing w:val="-4"/>
              </w:rPr>
              <w:t>，</w:t>
            </w:r>
            <w:r>
              <w:rPr>
                <w:spacing w:val="-3"/>
              </w:rPr>
              <w:t>经专家审定酌情给分</w:t>
            </w:r>
            <w:r>
              <w:rPr>
                <w:rFonts w:hint="eastAsia"/>
                <w:spacing w:val="-3"/>
              </w:rPr>
              <w:t>（5分）；</w:t>
            </w:r>
          </w:p>
          <w:p>
            <w:pPr>
              <w:pStyle w:val="38"/>
              <w:rPr>
                <w:spacing w:val="-4"/>
              </w:rPr>
            </w:pPr>
            <w:r>
              <w:rPr>
                <w:rFonts w:hint="eastAsia"/>
                <w:spacing w:val="-3"/>
              </w:rPr>
              <w:t>2、方案</w:t>
            </w:r>
            <w:r>
              <w:rPr>
                <w:spacing w:val="-4"/>
              </w:rPr>
              <w:t>是否充分满足用户当前和未来发展的使用需</w:t>
            </w:r>
            <w:r>
              <w:rPr>
                <w:spacing w:val="-3"/>
              </w:rPr>
              <w:t>求</w:t>
            </w:r>
            <w:r>
              <w:rPr>
                <w:rFonts w:hint="eastAsia"/>
                <w:spacing w:val="-3"/>
              </w:rPr>
              <w:t>，以及在本项目中的建设优势</w:t>
            </w:r>
            <w:r>
              <w:rPr>
                <w:spacing w:val="-3"/>
              </w:rPr>
              <w:t>进行打分</w:t>
            </w:r>
            <w:r>
              <w:rPr>
                <w:rFonts w:hint="eastAsia"/>
                <w:spacing w:val="-3"/>
              </w:rPr>
              <w:t>，</w:t>
            </w:r>
            <w:r>
              <w:rPr>
                <w:spacing w:val="-3"/>
              </w:rPr>
              <w:t>经专家审定酌情给分</w:t>
            </w:r>
            <w:r>
              <w:rPr>
                <w:rFonts w:hint="eastAsia"/>
                <w:spacing w:val="-3"/>
              </w:rPr>
              <w:t>（5分）。</w:t>
            </w:r>
          </w:p>
          <w:p>
            <w:pPr>
              <w:pStyle w:val="38"/>
              <w:rPr>
                <w:spacing w:val="-4"/>
              </w:rPr>
            </w:pPr>
            <w:r>
              <w:rPr>
                <w:rFonts w:hint="eastAsia"/>
                <w:spacing w:val="-4"/>
              </w:rPr>
              <w:t>3、根据投标人的</w:t>
            </w:r>
            <w:r>
              <w:rPr>
                <w:rFonts w:hint="eastAsia"/>
              </w:rPr>
              <w:t>区域卫生信息平台</w:t>
            </w:r>
            <w:r>
              <w:rPr>
                <w:rFonts w:hint="eastAsia"/>
                <w:spacing w:val="-4"/>
              </w:rPr>
              <w:t>产品互联互通能力打分。具有通过国家卫健委区域信息互联互通标准化成熟度测评四级乙等及以上的案例,根据案例数量、案例级别等情况综合评分，</w:t>
            </w:r>
            <w:r>
              <w:rPr>
                <w:rFonts w:hint="eastAsia"/>
              </w:rPr>
              <w:t>经专家审定后酌情给分（5分）</w:t>
            </w:r>
            <w:r>
              <w:rPr>
                <w:rFonts w:hint="eastAsia"/>
                <w:spacing w:val="-3"/>
              </w:rPr>
              <w:t>。</w:t>
            </w:r>
            <w:r>
              <w:rPr>
                <w:rFonts w:hint="eastAsia"/>
                <w:spacing w:val="-4"/>
              </w:rPr>
              <w:t>（需同时提供国家卫生计生委统计信息中心发布的通知复印件和项目建设合同复印件或用户使用证明，否则不得分）</w:t>
            </w:r>
          </w:p>
        </w:tc>
        <w:tc>
          <w:tcPr>
            <w:tcW w:w="723" w:type="dxa"/>
            <w:shd w:val="clear" w:color="auto" w:fill="auto"/>
            <w:vAlign w:val="center"/>
          </w:tcPr>
          <w:p>
            <w:pPr>
              <w:pStyle w:val="38"/>
              <w:rPr>
                <w:b/>
              </w:rPr>
            </w:pPr>
            <w: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1271" w:type="dxa"/>
            <w:vMerge w:val="continue"/>
            <w:vAlign w:val="center"/>
          </w:tcPr>
          <w:p>
            <w:pPr>
              <w:pStyle w:val="38"/>
              <w:rPr>
                <w:b/>
              </w:rPr>
            </w:pPr>
          </w:p>
        </w:tc>
        <w:tc>
          <w:tcPr>
            <w:tcW w:w="1418" w:type="dxa"/>
            <w:vMerge w:val="restart"/>
            <w:shd w:val="clear" w:color="auto" w:fill="auto"/>
            <w:vAlign w:val="center"/>
          </w:tcPr>
          <w:p>
            <w:pPr>
              <w:pStyle w:val="38"/>
              <w:rPr>
                <w:b/>
              </w:rPr>
            </w:pPr>
            <w:r>
              <w:rPr>
                <w:rFonts w:hint="eastAsia"/>
              </w:rPr>
              <w:t>与现有信息系统的对接融合（16分）</w:t>
            </w:r>
          </w:p>
        </w:tc>
        <w:tc>
          <w:tcPr>
            <w:tcW w:w="5387" w:type="dxa"/>
            <w:shd w:val="clear" w:color="auto" w:fill="auto"/>
            <w:vAlign w:val="center"/>
          </w:tcPr>
          <w:p>
            <w:pPr>
              <w:pStyle w:val="38"/>
              <w:rPr>
                <w:b/>
                <w:spacing w:val="-4"/>
              </w:rPr>
            </w:pPr>
            <w:r>
              <w:rPr>
                <w:spacing w:val="-4"/>
              </w:rPr>
              <w:t>本</w:t>
            </w:r>
            <w:r>
              <w:rPr>
                <w:rFonts w:hint="eastAsia"/>
                <w:spacing w:val="-4"/>
              </w:rPr>
              <w:t>项目数据资源标准化、互联互通标准化、互联互通应用等建设需基于宁海县区域卫生信息</w:t>
            </w:r>
            <w:r>
              <w:rPr>
                <w:rFonts w:hint="eastAsia"/>
              </w:rPr>
              <w:t>平台</w:t>
            </w:r>
            <w:r>
              <w:rPr>
                <w:rFonts w:hint="eastAsia"/>
                <w:spacing w:val="-4"/>
              </w:rPr>
              <w:t>，在满足互联互通测评要求的基础上，能充分与平台现有建设成果对接融合。提供对接融合方案和能确保融合的证明材料，经专家审定酌情给分（</w:t>
            </w:r>
            <w:r>
              <w:rPr>
                <w:rFonts w:hint="eastAsia"/>
                <w:spacing w:val="-4"/>
                <w:lang w:val="en-US" w:eastAsia="zh-CN"/>
              </w:rPr>
              <w:t>6</w:t>
            </w:r>
            <w:r>
              <w:rPr>
                <w:rFonts w:hint="eastAsia"/>
                <w:spacing w:val="-4"/>
              </w:rPr>
              <w:t>分）</w:t>
            </w:r>
            <w:r>
              <w:rPr>
                <w:rFonts w:hint="eastAsia"/>
                <w:spacing w:val="-3"/>
              </w:rPr>
              <w:t>。</w:t>
            </w:r>
          </w:p>
        </w:tc>
        <w:tc>
          <w:tcPr>
            <w:tcW w:w="723" w:type="dxa"/>
            <w:shd w:val="clear" w:color="auto" w:fill="auto"/>
            <w:vAlign w:val="center"/>
          </w:tcPr>
          <w:p>
            <w:pPr>
              <w:pStyle w:val="38"/>
              <w:rPr>
                <w:rFonts w:hint="eastAsia" w:eastAsia="宋体"/>
                <w:b/>
                <w:lang w:eastAsia="zh-CN"/>
              </w:rPr>
            </w:pPr>
            <w:r>
              <w:rPr>
                <w:rFonts w:hint="eastAsia"/>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1271" w:type="dxa"/>
            <w:vMerge w:val="continue"/>
            <w:vAlign w:val="center"/>
          </w:tcPr>
          <w:p>
            <w:pPr>
              <w:pStyle w:val="38"/>
              <w:rPr>
                <w:b/>
              </w:rPr>
            </w:pPr>
          </w:p>
        </w:tc>
        <w:tc>
          <w:tcPr>
            <w:tcW w:w="1418" w:type="dxa"/>
            <w:vMerge w:val="continue"/>
            <w:shd w:val="clear" w:color="auto" w:fill="auto"/>
            <w:vAlign w:val="center"/>
          </w:tcPr>
          <w:p>
            <w:pPr>
              <w:pStyle w:val="38"/>
              <w:rPr>
                <w:b/>
              </w:rPr>
            </w:pPr>
          </w:p>
        </w:tc>
        <w:tc>
          <w:tcPr>
            <w:tcW w:w="5387" w:type="dxa"/>
            <w:shd w:val="clear" w:color="auto" w:fill="auto"/>
            <w:vAlign w:val="center"/>
          </w:tcPr>
          <w:p>
            <w:pPr>
              <w:pStyle w:val="38"/>
            </w:pPr>
            <w:r>
              <w:rPr>
                <w:rFonts w:hint="eastAsia"/>
              </w:rPr>
              <w:t>本项目互联互通基层系统改造部分需与基层现有HIS系统充分融合，在满足互联互通测评要求的基础上，能最大限度的不影响现有业务流程，保障基层业务的正常开展。提供对接融合方案和能确保融合的证明材料，经专家审定酌情给分（</w:t>
            </w:r>
            <w:r>
              <w:t>5</w:t>
            </w:r>
            <w:r>
              <w:rPr>
                <w:rFonts w:hint="eastAsia"/>
              </w:rPr>
              <w:t>分）。</w:t>
            </w:r>
          </w:p>
        </w:tc>
        <w:tc>
          <w:tcPr>
            <w:tcW w:w="723" w:type="dxa"/>
            <w:shd w:val="clear" w:color="auto" w:fill="auto"/>
            <w:vAlign w:val="center"/>
          </w:tcPr>
          <w:p>
            <w:pPr>
              <w:pStyle w:val="38"/>
              <w:rPr>
                <w:b/>
                <w:spacing w:val="-4"/>
              </w:rPr>
            </w:pPr>
            <w:r>
              <w:rPr>
                <w:spacing w:val="-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8" w:hRule="atLeast"/>
        </w:trPr>
        <w:tc>
          <w:tcPr>
            <w:tcW w:w="1271" w:type="dxa"/>
            <w:vMerge w:val="continue"/>
            <w:vAlign w:val="center"/>
          </w:tcPr>
          <w:p>
            <w:pPr>
              <w:pStyle w:val="38"/>
              <w:rPr>
                <w:b/>
              </w:rPr>
            </w:pPr>
          </w:p>
        </w:tc>
        <w:tc>
          <w:tcPr>
            <w:tcW w:w="1418" w:type="dxa"/>
            <w:vMerge w:val="continue"/>
            <w:shd w:val="clear" w:color="auto" w:fill="auto"/>
            <w:vAlign w:val="center"/>
          </w:tcPr>
          <w:p>
            <w:pPr>
              <w:pStyle w:val="38"/>
              <w:rPr>
                <w:b/>
              </w:rPr>
            </w:pPr>
          </w:p>
        </w:tc>
        <w:tc>
          <w:tcPr>
            <w:tcW w:w="5387" w:type="dxa"/>
            <w:shd w:val="clear" w:color="auto" w:fill="auto"/>
            <w:vAlign w:val="center"/>
          </w:tcPr>
          <w:p>
            <w:pPr>
              <w:pStyle w:val="38"/>
              <w:rPr>
                <w:rFonts w:hint="eastAsia"/>
              </w:rPr>
            </w:pPr>
            <w:r>
              <w:rPr>
                <w:rFonts w:hint="eastAsia"/>
              </w:rPr>
              <w:t>本项目需基于宁海传染病直报系统无缝对接，在满足互联互通测评要求的基础上，能充分与该系统建设成果对接融合。提供对接融合方案和能确保融合的证明材料，经专家审定酌情给分（</w:t>
            </w:r>
            <w:r>
              <w:rPr>
                <w:rFonts w:hint="eastAsia"/>
                <w:lang w:val="en-US" w:eastAsia="zh-CN"/>
              </w:rPr>
              <w:t>5</w:t>
            </w:r>
            <w:r>
              <w:rPr>
                <w:rFonts w:hint="eastAsia"/>
              </w:rPr>
              <w:t>分）</w:t>
            </w:r>
          </w:p>
        </w:tc>
        <w:tc>
          <w:tcPr>
            <w:tcW w:w="723" w:type="dxa"/>
            <w:shd w:val="clear" w:color="auto" w:fill="auto"/>
            <w:vAlign w:val="center"/>
          </w:tcPr>
          <w:p>
            <w:pPr>
              <w:pStyle w:val="38"/>
              <w:rPr>
                <w:rFonts w:hint="eastAsia" w:eastAsia="宋体"/>
                <w:spacing w:val="-4"/>
                <w:lang w:eastAsia="zh-CN"/>
              </w:rPr>
            </w:pPr>
            <w:r>
              <w:rPr>
                <w:rFonts w:hint="eastAsia"/>
                <w:spacing w:val="-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1271" w:type="dxa"/>
            <w:vMerge w:val="continue"/>
            <w:vAlign w:val="center"/>
          </w:tcPr>
          <w:p>
            <w:pPr>
              <w:pStyle w:val="38"/>
              <w:rPr>
                <w:b/>
              </w:rPr>
            </w:pPr>
          </w:p>
        </w:tc>
        <w:tc>
          <w:tcPr>
            <w:tcW w:w="1418" w:type="dxa"/>
            <w:vMerge w:val="restart"/>
            <w:shd w:val="clear" w:color="auto" w:fill="auto"/>
            <w:vAlign w:val="center"/>
          </w:tcPr>
          <w:p>
            <w:pPr>
              <w:pStyle w:val="38"/>
            </w:pPr>
            <w:r>
              <w:rPr>
                <w:rFonts w:hint="eastAsia"/>
              </w:rPr>
              <w:t>项目实施（16分）</w:t>
            </w:r>
          </w:p>
        </w:tc>
        <w:tc>
          <w:tcPr>
            <w:tcW w:w="5387" w:type="dxa"/>
            <w:shd w:val="clear" w:color="auto" w:fill="auto"/>
            <w:vAlign w:val="center"/>
          </w:tcPr>
          <w:p>
            <w:pPr>
              <w:pStyle w:val="38"/>
            </w:pPr>
            <w:r>
              <w:rPr>
                <w:rFonts w:hint="eastAsia"/>
              </w:rPr>
              <w:t>投标人需具有丰富的同类项目实施经验，具有同类互联互通测评信息化项目建设案例，每具有1例得</w:t>
            </w:r>
            <w:r>
              <w:t>1.5</w:t>
            </w:r>
            <w:r>
              <w:rPr>
                <w:rFonts w:hint="eastAsia"/>
              </w:rPr>
              <w:t>分，最高得</w:t>
            </w:r>
            <w:r>
              <w:t>6</w:t>
            </w:r>
            <w:r>
              <w:rPr>
                <w:rFonts w:hint="eastAsia"/>
              </w:rPr>
              <w:t>分。</w:t>
            </w:r>
            <w:r>
              <w:t>（提供</w:t>
            </w:r>
            <w:r>
              <w:rPr>
                <w:rFonts w:hint="eastAsia"/>
              </w:rPr>
              <w:t>中标通知书复印件或</w:t>
            </w:r>
            <w:r>
              <w:t>合同复印件</w:t>
            </w:r>
            <w:r>
              <w:rPr>
                <w:rFonts w:hint="eastAsia"/>
              </w:rPr>
              <w:t>，合同内须具有“互联互通”关键字</w:t>
            </w:r>
            <w:r>
              <w:t>）</w:t>
            </w:r>
          </w:p>
        </w:tc>
        <w:tc>
          <w:tcPr>
            <w:tcW w:w="723" w:type="dxa"/>
            <w:shd w:val="clear" w:color="auto" w:fill="auto"/>
            <w:vAlign w:val="center"/>
          </w:tcPr>
          <w:p>
            <w:pPr>
              <w:pStyle w:val="38"/>
              <w:rPr>
                <w:spacing w:val="-4"/>
              </w:rPr>
            </w:pPr>
            <w:r>
              <w:rPr>
                <w:spacing w:val="-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1271" w:type="dxa"/>
            <w:vMerge w:val="continue"/>
            <w:vAlign w:val="center"/>
          </w:tcPr>
          <w:p>
            <w:pPr>
              <w:pStyle w:val="38"/>
              <w:rPr>
                <w:b/>
              </w:rPr>
            </w:pPr>
          </w:p>
        </w:tc>
        <w:tc>
          <w:tcPr>
            <w:tcW w:w="1418" w:type="dxa"/>
            <w:vMerge w:val="continue"/>
            <w:shd w:val="clear" w:color="auto" w:fill="auto"/>
            <w:vAlign w:val="center"/>
          </w:tcPr>
          <w:p>
            <w:pPr>
              <w:pStyle w:val="38"/>
              <w:rPr>
                <w:b/>
              </w:rPr>
            </w:pPr>
          </w:p>
        </w:tc>
        <w:tc>
          <w:tcPr>
            <w:tcW w:w="5387" w:type="dxa"/>
            <w:shd w:val="clear" w:color="auto" w:fill="auto"/>
            <w:vAlign w:val="center"/>
          </w:tcPr>
          <w:p>
            <w:pPr>
              <w:pStyle w:val="38"/>
              <w:rPr>
                <w:b/>
              </w:rPr>
            </w:pPr>
            <w:r>
              <w:rPr>
                <w:rFonts w:hint="eastAsia"/>
              </w:rPr>
              <w:t>根据投标人提供的项目实施方案的完整性、先进性、合理性进行综合评分，经专家审定后酌情给分（4分）。</w:t>
            </w:r>
          </w:p>
        </w:tc>
        <w:tc>
          <w:tcPr>
            <w:tcW w:w="723" w:type="dxa"/>
            <w:shd w:val="clear" w:color="auto" w:fill="auto"/>
            <w:vAlign w:val="center"/>
          </w:tcPr>
          <w:p>
            <w:pPr>
              <w:pStyle w:val="38"/>
              <w:rPr>
                <w:b/>
              </w:rPr>
            </w:pPr>
            <w:r>
              <w:rPr>
                <w:rFonts w:hint="eastAsi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271" w:type="dxa"/>
            <w:vMerge w:val="continue"/>
            <w:vAlign w:val="center"/>
          </w:tcPr>
          <w:p>
            <w:pPr>
              <w:pStyle w:val="38"/>
              <w:rPr>
                <w:b/>
              </w:rPr>
            </w:pPr>
          </w:p>
        </w:tc>
        <w:tc>
          <w:tcPr>
            <w:tcW w:w="1418" w:type="dxa"/>
            <w:vMerge w:val="continue"/>
            <w:vAlign w:val="center"/>
          </w:tcPr>
          <w:p>
            <w:pPr>
              <w:pStyle w:val="38"/>
              <w:rPr>
                <w:b/>
              </w:rPr>
            </w:pPr>
          </w:p>
        </w:tc>
        <w:tc>
          <w:tcPr>
            <w:tcW w:w="5387" w:type="dxa"/>
            <w:shd w:val="clear" w:color="auto" w:fill="auto"/>
            <w:vAlign w:val="center"/>
          </w:tcPr>
          <w:p>
            <w:pPr>
              <w:pStyle w:val="38"/>
              <w:rPr>
                <w:b/>
              </w:rPr>
            </w:pPr>
            <w:r>
              <w:t>项目实施期间内实施团队的成员有</w:t>
            </w:r>
            <w:r>
              <w:rPr>
                <w:rFonts w:hint="eastAsia"/>
              </w:rPr>
              <w:t>PMP、</w:t>
            </w:r>
            <w:r>
              <w:t>信息系统项目管理师、</w:t>
            </w:r>
            <w:r>
              <w:rPr>
                <w:rFonts w:hint="eastAsia"/>
              </w:rPr>
              <w:t>数据库系统</w:t>
            </w:r>
            <w:r>
              <w:t>工程师等拥有中高级职称的技术人员，每</w:t>
            </w:r>
            <w:r>
              <w:rPr>
                <w:rFonts w:hint="eastAsia"/>
              </w:rPr>
              <w:t>有1</w:t>
            </w:r>
            <w:r>
              <w:t>名得2分，最高得6分</w:t>
            </w:r>
            <w:r>
              <w:rPr>
                <w:rFonts w:hint="eastAsia"/>
              </w:rPr>
              <w:t>。</w:t>
            </w:r>
          </w:p>
        </w:tc>
        <w:tc>
          <w:tcPr>
            <w:tcW w:w="723" w:type="dxa"/>
            <w:shd w:val="clear" w:color="auto" w:fill="auto"/>
            <w:vAlign w:val="center"/>
          </w:tcPr>
          <w:p>
            <w:pPr>
              <w:pStyle w:val="38"/>
              <w:rPr>
                <w:b/>
              </w:rPr>
            </w:pPr>
            <w: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271" w:type="dxa"/>
            <w:vMerge w:val="continue"/>
            <w:vAlign w:val="center"/>
          </w:tcPr>
          <w:p>
            <w:pPr>
              <w:pStyle w:val="38"/>
              <w:rPr>
                <w:b/>
              </w:rPr>
            </w:pPr>
          </w:p>
        </w:tc>
        <w:tc>
          <w:tcPr>
            <w:tcW w:w="1418" w:type="dxa"/>
            <w:vAlign w:val="center"/>
          </w:tcPr>
          <w:p>
            <w:pPr>
              <w:pStyle w:val="38"/>
              <w:rPr>
                <w:b/>
              </w:rPr>
            </w:pPr>
            <w:r>
              <w:rPr>
                <w:rFonts w:hint="eastAsia"/>
              </w:rPr>
              <w:t>培训服务（5分）</w:t>
            </w:r>
          </w:p>
        </w:tc>
        <w:tc>
          <w:tcPr>
            <w:tcW w:w="5387" w:type="dxa"/>
            <w:shd w:val="clear" w:color="auto" w:fill="auto"/>
            <w:vAlign w:val="center"/>
          </w:tcPr>
          <w:p>
            <w:pPr>
              <w:pStyle w:val="38"/>
              <w:rPr>
                <w:b/>
              </w:rPr>
            </w:pPr>
            <w:r>
              <w:rPr>
                <w:rFonts w:hint="eastAsia"/>
              </w:rPr>
              <w:t>根据培训方案设置的合理性、培训师资的符合性及培训承诺，经专家审定后酌情给分（5分）。</w:t>
            </w:r>
          </w:p>
        </w:tc>
        <w:tc>
          <w:tcPr>
            <w:tcW w:w="723" w:type="dxa"/>
            <w:shd w:val="clear" w:color="auto" w:fill="auto"/>
            <w:vAlign w:val="center"/>
          </w:tcPr>
          <w:p>
            <w:pPr>
              <w:pStyle w:val="38"/>
              <w:rPr>
                <w:b/>
              </w:rPr>
            </w:pPr>
            <w:r>
              <w:rPr>
                <w:rFonts w:hint="eastAsi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1271" w:type="dxa"/>
            <w:vMerge w:val="continue"/>
            <w:vAlign w:val="center"/>
          </w:tcPr>
          <w:p>
            <w:pPr>
              <w:pStyle w:val="38"/>
              <w:rPr>
                <w:b/>
              </w:rPr>
            </w:pPr>
          </w:p>
        </w:tc>
        <w:tc>
          <w:tcPr>
            <w:tcW w:w="1418" w:type="dxa"/>
            <w:vMerge w:val="restart"/>
            <w:shd w:val="clear" w:color="auto" w:fill="auto"/>
            <w:vAlign w:val="center"/>
          </w:tcPr>
          <w:p>
            <w:pPr>
              <w:pStyle w:val="38"/>
              <w:rPr>
                <w:b/>
              </w:rPr>
            </w:pPr>
            <w:r>
              <w:rPr>
                <w:rFonts w:hint="eastAsia"/>
              </w:rPr>
              <w:t>售后服务保障（8分）</w:t>
            </w:r>
          </w:p>
        </w:tc>
        <w:tc>
          <w:tcPr>
            <w:tcW w:w="5387" w:type="dxa"/>
            <w:shd w:val="clear" w:color="auto" w:fill="auto"/>
            <w:vAlign w:val="center"/>
          </w:tcPr>
          <w:p>
            <w:pPr>
              <w:pStyle w:val="38"/>
              <w:rPr>
                <w:b/>
              </w:rPr>
            </w:pPr>
            <w:r>
              <w:rPr>
                <w:rFonts w:hint="eastAsia"/>
              </w:rPr>
              <w:t>根据售后服务响应时间、售后人员的投入、售后维护方案及承诺：有完整、可行、合理的售后维护方案、服务保障及服务方案，经专家审定酌情给分（4分）。</w:t>
            </w:r>
          </w:p>
        </w:tc>
        <w:tc>
          <w:tcPr>
            <w:tcW w:w="723" w:type="dxa"/>
            <w:shd w:val="clear" w:color="auto" w:fill="auto"/>
            <w:vAlign w:val="center"/>
          </w:tcPr>
          <w:p>
            <w:pPr>
              <w:pStyle w:val="38"/>
              <w:rPr>
                <w:b/>
              </w:rPr>
            </w:pPr>
            <w:r>
              <w:rPr>
                <w:rFonts w:hint="eastAsi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1271" w:type="dxa"/>
            <w:vMerge w:val="continue"/>
            <w:vAlign w:val="center"/>
          </w:tcPr>
          <w:p>
            <w:pPr>
              <w:pStyle w:val="38"/>
              <w:rPr>
                <w:b/>
              </w:rPr>
            </w:pPr>
          </w:p>
        </w:tc>
        <w:tc>
          <w:tcPr>
            <w:tcW w:w="1418" w:type="dxa"/>
            <w:vMerge w:val="continue"/>
            <w:vAlign w:val="center"/>
          </w:tcPr>
          <w:p>
            <w:pPr>
              <w:pStyle w:val="38"/>
              <w:rPr>
                <w:b/>
              </w:rPr>
            </w:pPr>
          </w:p>
        </w:tc>
        <w:tc>
          <w:tcPr>
            <w:tcW w:w="5387" w:type="dxa"/>
            <w:shd w:val="clear" w:color="auto" w:fill="auto"/>
            <w:vAlign w:val="center"/>
          </w:tcPr>
          <w:p>
            <w:pPr>
              <w:pStyle w:val="38"/>
              <w:rPr>
                <w:b/>
              </w:rPr>
            </w:pPr>
            <w:r>
              <w:rPr>
                <w:rFonts w:hint="eastAsia"/>
              </w:rPr>
              <w:t>投标人现具有的售后服务或分支机构，与本项目实施地点的距离及响应时间、</w:t>
            </w:r>
            <w:r>
              <w:t>速度</w:t>
            </w:r>
            <w:r>
              <w:rPr>
                <w:rFonts w:hint="eastAsia"/>
              </w:rPr>
              <w:t>，针对本项目人员就近调配能力，有20人以上技术团队</w:t>
            </w:r>
            <w:r>
              <w:t>等，</w:t>
            </w:r>
            <w:r>
              <w:rPr>
                <w:rFonts w:hint="eastAsia"/>
              </w:rPr>
              <w:t>由专家根据材料进行综合评审，优（4分）。</w:t>
            </w:r>
          </w:p>
        </w:tc>
        <w:tc>
          <w:tcPr>
            <w:tcW w:w="723" w:type="dxa"/>
            <w:shd w:val="clear" w:color="auto" w:fill="auto"/>
            <w:vAlign w:val="center"/>
          </w:tcPr>
          <w:p>
            <w:pPr>
              <w:pStyle w:val="38"/>
              <w:rPr>
                <w:b/>
              </w:rPr>
            </w:pPr>
            <w:r>
              <w:rPr>
                <w:rFonts w:hint="eastAsia"/>
              </w:rPr>
              <w:t>4</w:t>
            </w:r>
          </w:p>
        </w:tc>
      </w:tr>
    </w:tbl>
    <w:p>
      <w:pPr>
        <w:spacing w:line="500" w:lineRule="exact"/>
        <w:ind w:firstLine="420" w:firstLineChars="200"/>
        <w:rPr>
          <w:rFonts w:ascii="宋体" w:hAnsi="宋体"/>
          <w:szCs w:val="21"/>
        </w:rPr>
      </w:pPr>
    </w:p>
    <w:p>
      <w:pPr>
        <w:spacing w:line="400" w:lineRule="exact"/>
        <w:ind w:firstLine="420" w:firstLineChars="200"/>
        <w:rPr>
          <w:rFonts w:ascii="宋体" w:hAnsi="宋体"/>
          <w:szCs w:val="21"/>
        </w:rPr>
      </w:pPr>
      <w:r>
        <w:rPr>
          <w:rFonts w:hint="eastAsia" w:ascii="宋体" w:hAnsi="宋体"/>
          <w:szCs w:val="21"/>
        </w:rPr>
        <w:t>注：</w:t>
      </w:r>
    </w:p>
    <w:p>
      <w:pPr>
        <w:snapToGrid w:val="0"/>
        <w:spacing w:line="400" w:lineRule="exact"/>
        <w:ind w:firstLine="420" w:firstLineChars="200"/>
        <w:rPr>
          <w:rFonts w:ascii="宋体" w:hAnsi="宋体"/>
          <w:szCs w:val="21"/>
        </w:rPr>
      </w:pPr>
      <w:r>
        <w:rPr>
          <w:rFonts w:hint="eastAsia" w:ascii="宋体" w:hAnsi="宋体"/>
          <w:szCs w:val="21"/>
        </w:rPr>
        <w:t>1.招标文件中要求提供原件或有效公证件的，请在开标时提供。并将其复印件编入投标文件，复印件与原件（或有效公证件）两者都需提供且保持一致，否则不得分。</w:t>
      </w:r>
    </w:p>
    <w:p>
      <w:pPr>
        <w:snapToGrid w:val="0"/>
        <w:spacing w:line="400" w:lineRule="exact"/>
        <w:ind w:firstLine="420" w:firstLineChars="200"/>
        <w:rPr>
          <w:rFonts w:ascii="宋体" w:hAnsi="宋体"/>
          <w:szCs w:val="21"/>
        </w:rPr>
      </w:pPr>
      <w:r>
        <w:rPr>
          <w:rFonts w:hint="eastAsia" w:ascii="宋体" w:hAnsi="宋体"/>
          <w:szCs w:val="21"/>
        </w:rPr>
        <w:t>2.如招标文件中要求投标人提供合同原件、资质原件，证书原件等，应单独放置在另外的袋子里并在袋子封面注明其里面的内容（不用密封），以便评审小组查阅后退回投标人。上述原件的复印件请编入投标文件。如果投标人将上述原件和投标文件装订在一起，视为投标文件一部分而不予退回。</w:t>
      </w:r>
    </w:p>
    <w:p>
      <w:pPr>
        <w:snapToGrid w:val="0"/>
        <w:spacing w:line="400" w:lineRule="exact"/>
        <w:ind w:firstLine="420" w:firstLineChars="200"/>
        <w:rPr>
          <w:rFonts w:ascii="宋体" w:hAnsi="宋体"/>
          <w:szCs w:val="21"/>
        </w:rPr>
      </w:pPr>
    </w:p>
    <w:p>
      <w:pPr>
        <w:snapToGrid w:val="0"/>
        <w:spacing w:line="400" w:lineRule="exact"/>
        <w:ind w:firstLine="420" w:firstLineChars="200"/>
        <w:rPr>
          <w:rFonts w:ascii="宋体" w:hAnsi="宋体"/>
          <w:szCs w:val="21"/>
        </w:rPr>
      </w:pPr>
    </w:p>
    <w:p>
      <w:pPr>
        <w:snapToGrid w:val="0"/>
        <w:spacing w:line="400" w:lineRule="exact"/>
        <w:ind w:firstLine="420" w:firstLineChars="200"/>
        <w:rPr>
          <w:rFonts w:ascii="宋体" w:hAnsi="宋体"/>
          <w:szCs w:val="21"/>
        </w:rPr>
      </w:pPr>
    </w:p>
    <w:p>
      <w:pPr>
        <w:pStyle w:val="9"/>
        <w:snapToGrid w:val="0"/>
        <w:spacing w:beforeLines="0" w:afterLines="0"/>
        <w:outlineLvl w:val="0"/>
        <w:rPr>
          <w:rFonts w:ascii="黑体" w:hAnsi="宋体" w:eastAsia="黑体"/>
          <w:b/>
          <w:bCs/>
          <w:sz w:val="28"/>
          <w:szCs w:val="28"/>
        </w:rPr>
      </w:pPr>
    </w:p>
    <w:p>
      <w:pPr>
        <w:pStyle w:val="9"/>
        <w:snapToGrid w:val="0"/>
        <w:spacing w:beforeLines="0" w:afterLines="0"/>
        <w:outlineLvl w:val="0"/>
        <w:rPr>
          <w:rFonts w:ascii="黑体" w:hAnsi="宋体" w:eastAsia="黑体"/>
          <w:b/>
          <w:bCs/>
          <w:sz w:val="28"/>
          <w:szCs w:val="28"/>
        </w:rPr>
      </w:pPr>
    </w:p>
    <w:p>
      <w:pPr>
        <w:pStyle w:val="9"/>
        <w:snapToGrid w:val="0"/>
        <w:spacing w:beforeLines="0" w:afterLines="0"/>
        <w:outlineLvl w:val="0"/>
        <w:rPr>
          <w:rFonts w:ascii="黑体" w:hAnsi="宋体" w:eastAsia="黑体"/>
          <w:b/>
          <w:bCs/>
          <w:sz w:val="28"/>
          <w:szCs w:val="28"/>
        </w:rPr>
      </w:pPr>
    </w:p>
    <w:p>
      <w:pPr>
        <w:pStyle w:val="9"/>
        <w:snapToGrid w:val="0"/>
        <w:spacing w:beforeLines="0" w:afterLines="0"/>
        <w:outlineLvl w:val="0"/>
        <w:rPr>
          <w:rFonts w:ascii="黑体" w:hAnsi="宋体" w:eastAsia="黑体"/>
          <w:b/>
          <w:bCs/>
          <w:sz w:val="28"/>
          <w:szCs w:val="28"/>
        </w:rPr>
      </w:pPr>
    </w:p>
    <w:p>
      <w:pPr>
        <w:pStyle w:val="9"/>
        <w:snapToGrid w:val="0"/>
        <w:spacing w:beforeLines="0" w:afterLines="0"/>
        <w:outlineLvl w:val="0"/>
        <w:rPr>
          <w:rFonts w:ascii="黑体" w:hAnsi="宋体" w:eastAsia="黑体"/>
          <w:b/>
          <w:bCs/>
          <w:sz w:val="28"/>
          <w:szCs w:val="28"/>
        </w:rPr>
      </w:pPr>
    </w:p>
    <w:p>
      <w:pPr>
        <w:pStyle w:val="9"/>
        <w:snapToGrid w:val="0"/>
        <w:spacing w:beforeLines="0" w:afterLines="0"/>
        <w:outlineLvl w:val="0"/>
        <w:rPr>
          <w:rFonts w:ascii="黑体" w:hAnsi="宋体" w:eastAsia="黑体"/>
          <w:b/>
          <w:bCs/>
          <w:sz w:val="28"/>
          <w:szCs w:val="28"/>
        </w:rPr>
      </w:pPr>
    </w:p>
    <w:p>
      <w:pPr>
        <w:pStyle w:val="9"/>
        <w:snapToGrid w:val="0"/>
        <w:spacing w:beforeLines="0" w:afterLines="0"/>
        <w:outlineLvl w:val="0"/>
        <w:rPr>
          <w:rFonts w:ascii="黑体" w:hAnsi="宋体" w:eastAsia="黑体"/>
          <w:b/>
          <w:bCs/>
          <w:sz w:val="28"/>
          <w:szCs w:val="28"/>
        </w:rPr>
      </w:pPr>
    </w:p>
    <w:p>
      <w:pPr>
        <w:pStyle w:val="9"/>
        <w:snapToGrid w:val="0"/>
        <w:spacing w:beforeLines="0" w:afterLines="0"/>
        <w:outlineLvl w:val="0"/>
        <w:rPr>
          <w:rFonts w:ascii="黑体" w:hAnsi="宋体" w:eastAsia="黑体"/>
          <w:b/>
          <w:bCs/>
          <w:sz w:val="28"/>
          <w:szCs w:val="28"/>
        </w:rPr>
      </w:pPr>
    </w:p>
    <w:p>
      <w:pPr>
        <w:pStyle w:val="9"/>
        <w:snapToGrid w:val="0"/>
        <w:spacing w:beforeLines="0" w:afterLines="0"/>
        <w:outlineLvl w:val="0"/>
        <w:rPr>
          <w:rFonts w:ascii="黑体" w:hAnsi="宋体" w:eastAsia="黑体"/>
          <w:b/>
          <w:bCs/>
          <w:sz w:val="28"/>
          <w:szCs w:val="28"/>
        </w:rPr>
      </w:pPr>
    </w:p>
    <w:p>
      <w:pPr>
        <w:pStyle w:val="9"/>
        <w:snapToGrid w:val="0"/>
        <w:spacing w:beforeLines="0" w:afterLines="0"/>
        <w:outlineLvl w:val="0"/>
        <w:rPr>
          <w:rFonts w:ascii="黑体" w:hAnsi="宋体" w:eastAsia="黑体"/>
          <w:b/>
          <w:bCs/>
          <w:sz w:val="28"/>
          <w:szCs w:val="28"/>
        </w:rPr>
      </w:pPr>
    </w:p>
    <w:p>
      <w:pPr>
        <w:pStyle w:val="9"/>
        <w:snapToGrid w:val="0"/>
        <w:spacing w:beforeLines="0" w:afterLines="0"/>
        <w:outlineLvl w:val="0"/>
        <w:rPr>
          <w:rFonts w:ascii="黑体" w:hAnsi="宋体" w:eastAsia="黑体"/>
          <w:b/>
          <w:bCs/>
          <w:sz w:val="28"/>
          <w:szCs w:val="28"/>
        </w:rPr>
      </w:pPr>
    </w:p>
    <w:p>
      <w:pPr>
        <w:pStyle w:val="9"/>
        <w:snapToGrid w:val="0"/>
        <w:spacing w:beforeLines="0" w:afterLines="0"/>
        <w:outlineLvl w:val="0"/>
        <w:rPr>
          <w:rFonts w:ascii="黑体" w:hAnsi="宋体" w:eastAsia="黑体"/>
          <w:b/>
          <w:bCs/>
          <w:sz w:val="28"/>
          <w:szCs w:val="28"/>
        </w:rPr>
      </w:pPr>
    </w:p>
    <w:p>
      <w:pPr>
        <w:pStyle w:val="9"/>
        <w:snapToGrid w:val="0"/>
        <w:spacing w:beforeLines="0" w:afterLines="0"/>
        <w:outlineLvl w:val="0"/>
        <w:rPr>
          <w:rFonts w:ascii="黑体" w:hAnsi="宋体" w:eastAsia="黑体"/>
          <w:b/>
          <w:bCs/>
          <w:sz w:val="28"/>
          <w:szCs w:val="28"/>
        </w:rPr>
      </w:pPr>
    </w:p>
    <w:p>
      <w:pPr>
        <w:pStyle w:val="9"/>
        <w:snapToGrid w:val="0"/>
        <w:spacing w:beforeLines="0" w:afterLines="0"/>
        <w:outlineLvl w:val="0"/>
        <w:rPr>
          <w:rFonts w:ascii="黑体" w:hAnsi="宋体" w:eastAsia="黑体"/>
          <w:b/>
          <w:bCs/>
          <w:sz w:val="28"/>
          <w:szCs w:val="28"/>
        </w:rPr>
      </w:pPr>
    </w:p>
    <w:p>
      <w:pPr>
        <w:pStyle w:val="9"/>
        <w:snapToGrid w:val="0"/>
        <w:spacing w:beforeLines="0" w:afterLines="0"/>
        <w:outlineLvl w:val="0"/>
        <w:rPr>
          <w:rFonts w:ascii="黑体" w:hAnsi="宋体" w:eastAsia="黑体"/>
          <w:b/>
          <w:bCs/>
          <w:sz w:val="28"/>
          <w:szCs w:val="28"/>
        </w:rPr>
      </w:pPr>
    </w:p>
    <w:p>
      <w:pPr>
        <w:pStyle w:val="9"/>
        <w:snapToGrid w:val="0"/>
        <w:spacing w:beforeLines="0" w:afterLines="0"/>
        <w:outlineLvl w:val="0"/>
        <w:rPr>
          <w:rFonts w:ascii="黑体" w:hAnsi="宋体" w:eastAsia="黑体"/>
          <w:b/>
          <w:bCs/>
          <w:sz w:val="28"/>
          <w:szCs w:val="28"/>
        </w:rPr>
      </w:pPr>
    </w:p>
    <w:p>
      <w:pPr>
        <w:pStyle w:val="9"/>
        <w:snapToGrid w:val="0"/>
        <w:spacing w:beforeLines="0" w:afterLines="0"/>
        <w:outlineLvl w:val="0"/>
        <w:rPr>
          <w:rFonts w:ascii="黑体" w:hAnsi="宋体" w:eastAsia="黑体"/>
          <w:b/>
          <w:bCs/>
          <w:sz w:val="28"/>
          <w:szCs w:val="28"/>
        </w:rPr>
      </w:pPr>
    </w:p>
    <w:p>
      <w:pPr>
        <w:pStyle w:val="9"/>
        <w:snapToGrid w:val="0"/>
        <w:spacing w:beforeLines="0" w:afterLines="0"/>
        <w:outlineLvl w:val="0"/>
        <w:rPr>
          <w:rFonts w:ascii="黑体" w:hAnsi="宋体" w:eastAsia="黑体"/>
          <w:b/>
          <w:bCs/>
          <w:sz w:val="28"/>
          <w:szCs w:val="28"/>
        </w:rPr>
      </w:pPr>
    </w:p>
    <w:p>
      <w:pPr>
        <w:pStyle w:val="9"/>
        <w:snapToGrid w:val="0"/>
        <w:spacing w:beforeLines="0" w:afterLines="0"/>
        <w:outlineLvl w:val="0"/>
        <w:rPr>
          <w:rFonts w:ascii="黑体" w:hAnsi="宋体" w:eastAsia="黑体"/>
          <w:b/>
          <w:bCs/>
          <w:sz w:val="28"/>
          <w:szCs w:val="28"/>
        </w:rPr>
      </w:pPr>
    </w:p>
    <w:p>
      <w:pPr>
        <w:pStyle w:val="9"/>
        <w:snapToGrid w:val="0"/>
        <w:spacing w:beforeLines="0" w:afterLines="0"/>
        <w:outlineLvl w:val="0"/>
        <w:rPr>
          <w:rFonts w:ascii="黑体" w:hAnsi="宋体" w:eastAsia="黑体"/>
          <w:b/>
          <w:bCs/>
          <w:sz w:val="28"/>
          <w:szCs w:val="28"/>
        </w:rPr>
      </w:pPr>
    </w:p>
    <w:p>
      <w:pPr>
        <w:pStyle w:val="9"/>
        <w:snapToGrid w:val="0"/>
        <w:spacing w:beforeLines="0" w:afterLines="0"/>
        <w:outlineLvl w:val="0"/>
        <w:rPr>
          <w:rFonts w:ascii="黑体" w:hAnsi="宋体" w:eastAsia="黑体"/>
          <w:b/>
          <w:bCs/>
          <w:sz w:val="28"/>
          <w:szCs w:val="28"/>
        </w:rPr>
      </w:pPr>
    </w:p>
    <w:p>
      <w:pPr>
        <w:pStyle w:val="9"/>
        <w:snapToGrid w:val="0"/>
        <w:spacing w:beforeLines="0" w:afterLines="0"/>
        <w:jc w:val="center"/>
        <w:outlineLvl w:val="0"/>
        <w:rPr>
          <w:rFonts w:ascii="黑体" w:hAnsi="宋体" w:eastAsia="黑体"/>
          <w:b/>
          <w:bCs/>
          <w:sz w:val="28"/>
          <w:szCs w:val="28"/>
        </w:rPr>
      </w:pPr>
      <w:r>
        <w:rPr>
          <w:rFonts w:hint="eastAsia" w:ascii="黑体" w:hAnsi="宋体" w:eastAsia="黑体"/>
          <w:b/>
          <w:bCs/>
          <w:sz w:val="28"/>
          <w:szCs w:val="28"/>
        </w:rPr>
        <w:t>第五章  政府采购合同主要条款（仅作参考</w:t>
      </w:r>
      <w:r>
        <w:rPr>
          <w:rFonts w:ascii="黑体" w:hAnsi="宋体" w:eastAsia="黑体"/>
          <w:b/>
          <w:bCs/>
          <w:sz w:val="28"/>
          <w:szCs w:val="28"/>
        </w:rPr>
        <w:t>）</w:t>
      </w:r>
    </w:p>
    <w:p>
      <w:pPr>
        <w:pStyle w:val="9"/>
        <w:snapToGrid w:val="0"/>
        <w:spacing w:beforeLines="0" w:afterLines="0"/>
        <w:jc w:val="center"/>
        <w:outlineLvl w:val="0"/>
        <w:rPr>
          <w:rFonts w:ascii="黑体" w:hAnsi="宋体" w:eastAsia="黑体"/>
          <w:b/>
          <w:bCs/>
          <w:sz w:val="28"/>
          <w:szCs w:val="28"/>
        </w:rPr>
      </w:pPr>
    </w:p>
    <w:p>
      <w:pPr>
        <w:jc w:val="center"/>
        <w:rPr>
          <w:b/>
          <w:sz w:val="24"/>
        </w:rPr>
      </w:pPr>
      <w:r>
        <w:rPr>
          <w:rFonts w:hint="eastAsia"/>
          <w:b/>
          <w:sz w:val="24"/>
        </w:rPr>
        <w:t>政府采购合同（服务）</w:t>
      </w:r>
    </w:p>
    <w:p/>
    <w:p>
      <w:pPr>
        <w:spacing w:line="400" w:lineRule="exact"/>
        <w:rPr>
          <w:b/>
          <w:szCs w:val="21"/>
        </w:rPr>
      </w:pPr>
      <w:r>
        <w:rPr>
          <w:rFonts w:hint="eastAsia"/>
          <w:b/>
          <w:szCs w:val="21"/>
        </w:rPr>
        <w:t>甲</w:t>
      </w:r>
      <w:r>
        <w:rPr>
          <w:b/>
          <w:szCs w:val="21"/>
        </w:rPr>
        <w:t xml:space="preserve">    </w:t>
      </w:r>
      <w:r>
        <w:rPr>
          <w:rFonts w:hint="eastAsia"/>
          <w:b/>
          <w:szCs w:val="21"/>
        </w:rPr>
        <w:t>方</w:t>
      </w:r>
      <w:r>
        <w:rPr>
          <w:rFonts w:hint="eastAsia"/>
          <w:szCs w:val="21"/>
        </w:rPr>
        <w:t>（采购人）</w:t>
      </w:r>
      <w:r>
        <w:rPr>
          <w:rFonts w:hint="eastAsia"/>
          <w:b/>
          <w:szCs w:val="21"/>
        </w:rPr>
        <w:t>：</w:t>
      </w:r>
      <w:r>
        <w:rPr>
          <w:b/>
          <w:szCs w:val="21"/>
          <w:u w:val="single"/>
        </w:rPr>
        <w:t xml:space="preserve"> </w:t>
      </w:r>
      <w:r>
        <w:rPr>
          <w:rFonts w:hint="eastAsia"/>
          <w:b/>
          <w:szCs w:val="21"/>
          <w:u w:val="single"/>
        </w:rPr>
        <w:t xml:space="preserve">                   </w:t>
      </w:r>
    </w:p>
    <w:p>
      <w:pPr>
        <w:spacing w:line="400" w:lineRule="exact"/>
        <w:rPr>
          <w:szCs w:val="21"/>
        </w:rPr>
      </w:pPr>
      <w:r>
        <w:rPr>
          <w:rFonts w:hint="eastAsia"/>
          <w:szCs w:val="21"/>
        </w:rPr>
        <w:t>电</w:t>
      </w:r>
      <w:r>
        <w:rPr>
          <w:szCs w:val="21"/>
        </w:rPr>
        <w:t xml:space="preserve">    </w:t>
      </w:r>
      <w:r>
        <w:rPr>
          <w:rFonts w:hint="eastAsia"/>
          <w:szCs w:val="21"/>
        </w:rPr>
        <w:t xml:space="preserve">话：           </w:t>
      </w:r>
      <w:r>
        <w:rPr>
          <w:rFonts w:hint="eastAsia" w:ascii="Arial" w:hAnsi="Arial" w:cs="Arial"/>
          <w:szCs w:val="21"/>
        </w:rPr>
        <w:t xml:space="preserve"> </w:t>
      </w:r>
      <w:r>
        <w:rPr>
          <w:rFonts w:hint="eastAsia"/>
          <w:szCs w:val="21"/>
        </w:rPr>
        <w:t>传</w:t>
      </w:r>
      <w:r>
        <w:rPr>
          <w:szCs w:val="21"/>
        </w:rPr>
        <w:t xml:space="preserve">  </w:t>
      </w:r>
      <w:r>
        <w:rPr>
          <w:rFonts w:hint="eastAsia"/>
          <w:szCs w:val="21"/>
        </w:rPr>
        <w:t>真：</w:t>
      </w:r>
      <w:r>
        <w:rPr>
          <w:rFonts w:hint="eastAsia" w:ascii="Arial" w:hAnsi="Arial" w:cs="Arial"/>
          <w:szCs w:val="21"/>
        </w:rPr>
        <w:t xml:space="preserve">              </w:t>
      </w:r>
      <w:r>
        <w:rPr>
          <w:rFonts w:hint="eastAsia"/>
          <w:szCs w:val="21"/>
        </w:rPr>
        <w:t>地</w:t>
      </w:r>
      <w:r>
        <w:rPr>
          <w:szCs w:val="21"/>
        </w:rPr>
        <w:t xml:space="preserve">  </w:t>
      </w:r>
      <w:r>
        <w:rPr>
          <w:rFonts w:hint="eastAsia"/>
          <w:szCs w:val="21"/>
        </w:rPr>
        <w:t>址：</w:t>
      </w:r>
      <w:r>
        <w:rPr>
          <w:rFonts w:hint="eastAsia" w:ascii="Arial" w:hAnsi="Arial" w:cs="Arial"/>
          <w:szCs w:val="21"/>
        </w:rPr>
        <w:t xml:space="preserve"> </w:t>
      </w:r>
    </w:p>
    <w:p>
      <w:pPr>
        <w:spacing w:line="400" w:lineRule="exact"/>
        <w:rPr>
          <w:b/>
          <w:szCs w:val="21"/>
        </w:rPr>
      </w:pPr>
    </w:p>
    <w:p>
      <w:pPr>
        <w:spacing w:line="400" w:lineRule="exact"/>
        <w:rPr>
          <w:szCs w:val="21"/>
        </w:rPr>
      </w:pPr>
      <w:r>
        <w:rPr>
          <w:rFonts w:hint="eastAsia"/>
          <w:b/>
          <w:szCs w:val="21"/>
        </w:rPr>
        <w:t>乙</w:t>
      </w:r>
      <w:r>
        <w:rPr>
          <w:b/>
          <w:szCs w:val="21"/>
        </w:rPr>
        <w:t xml:space="preserve">    </w:t>
      </w:r>
      <w:r>
        <w:rPr>
          <w:rFonts w:hint="eastAsia"/>
          <w:b/>
          <w:szCs w:val="21"/>
        </w:rPr>
        <w:t>方</w:t>
      </w:r>
      <w:r>
        <w:rPr>
          <w:rFonts w:hint="eastAsia"/>
          <w:szCs w:val="21"/>
        </w:rPr>
        <w:t>（中标人）</w:t>
      </w:r>
      <w:r>
        <w:rPr>
          <w:rFonts w:hint="eastAsia"/>
          <w:b/>
          <w:szCs w:val="21"/>
        </w:rPr>
        <w:t>：</w:t>
      </w:r>
      <w:r>
        <w:rPr>
          <w:b/>
          <w:szCs w:val="21"/>
          <w:u w:val="single"/>
        </w:rPr>
        <w:t xml:space="preserve">                   </w:t>
      </w:r>
      <w:r>
        <w:rPr>
          <w:b/>
          <w:szCs w:val="21"/>
        </w:rPr>
        <w:br w:type="textWrapping"/>
      </w:r>
      <w:r>
        <w:rPr>
          <w:rFonts w:hint="eastAsia"/>
          <w:szCs w:val="21"/>
        </w:rPr>
        <w:t>电</w:t>
      </w:r>
      <w:r>
        <w:rPr>
          <w:szCs w:val="21"/>
        </w:rPr>
        <w:t xml:space="preserve">    </w:t>
      </w:r>
      <w:r>
        <w:rPr>
          <w:rFonts w:hint="eastAsia"/>
          <w:szCs w:val="21"/>
        </w:rPr>
        <w:t>话：</w:t>
      </w:r>
      <w:r>
        <w:rPr>
          <w:szCs w:val="21"/>
        </w:rPr>
        <w:t xml:space="preserve">                </w:t>
      </w:r>
      <w:r>
        <w:rPr>
          <w:rFonts w:hint="eastAsia"/>
          <w:szCs w:val="21"/>
        </w:rPr>
        <w:t>传</w:t>
      </w:r>
      <w:r>
        <w:rPr>
          <w:szCs w:val="21"/>
        </w:rPr>
        <w:t xml:space="preserve">  </w:t>
      </w:r>
      <w:r>
        <w:rPr>
          <w:rFonts w:hint="eastAsia"/>
          <w:szCs w:val="21"/>
        </w:rPr>
        <w:t>真：</w:t>
      </w:r>
      <w:r>
        <w:rPr>
          <w:szCs w:val="21"/>
        </w:rPr>
        <w:t xml:space="preserve">           </w:t>
      </w:r>
      <w:r>
        <w:rPr>
          <w:rFonts w:hint="eastAsia"/>
          <w:szCs w:val="21"/>
        </w:rPr>
        <w:t>地</w:t>
      </w:r>
      <w:r>
        <w:rPr>
          <w:szCs w:val="21"/>
        </w:rPr>
        <w:t xml:space="preserve">  </w:t>
      </w:r>
      <w:r>
        <w:rPr>
          <w:rFonts w:hint="eastAsia"/>
          <w:szCs w:val="21"/>
        </w:rPr>
        <w:t>址：</w:t>
      </w:r>
      <w:r>
        <w:rPr>
          <w:szCs w:val="21"/>
        </w:rPr>
        <w:t xml:space="preserve">   </w:t>
      </w:r>
    </w:p>
    <w:p>
      <w:pPr>
        <w:spacing w:line="400" w:lineRule="exact"/>
        <w:rPr>
          <w:szCs w:val="21"/>
        </w:rPr>
      </w:pPr>
    </w:p>
    <w:p>
      <w:pPr>
        <w:spacing w:line="360" w:lineRule="exact"/>
        <w:ind w:firstLine="315" w:firstLineChars="150"/>
        <w:rPr>
          <w:rFonts w:hAnsi="宋体"/>
          <w:szCs w:val="21"/>
        </w:rPr>
      </w:pPr>
      <w:r>
        <w:rPr>
          <w:rFonts w:hint="eastAsia" w:hAnsi="宋体"/>
          <w:szCs w:val="21"/>
        </w:rPr>
        <w:t>根据</w:t>
      </w:r>
      <w:r>
        <w:rPr>
          <w:rFonts w:hint="eastAsia" w:hAnsi="Arial"/>
          <w:szCs w:val="21"/>
        </w:rPr>
        <w:t>宁海县公共交通有限公司</w:t>
      </w:r>
      <w:r>
        <w:rPr>
          <w:rFonts w:hint="eastAsia" w:hAnsi="Arial"/>
          <w:szCs w:val="21"/>
          <w:u w:val="single"/>
        </w:rPr>
        <w:t>（</w:t>
      </w:r>
      <w:r>
        <w:rPr>
          <w:rFonts w:hint="eastAsia" w:ascii="Arial" w:hAnsi="宋体" w:cs="Arial"/>
          <w:szCs w:val="21"/>
          <w:u w:val="single"/>
        </w:rPr>
        <w:t>项目名称</w:t>
      </w:r>
      <w:r>
        <w:rPr>
          <w:rFonts w:hint="eastAsia" w:hAnsi="Arial"/>
          <w:szCs w:val="21"/>
          <w:u w:val="single"/>
        </w:rPr>
        <w:t>）</w:t>
      </w:r>
      <w:r>
        <w:rPr>
          <w:rFonts w:hint="eastAsia" w:hAnsi="宋体"/>
          <w:szCs w:val="21"/>
        </w:rPr>
        <w:t>（项目编号：</w:t>
      </w:r>
      <w:r>
        <w:rPr>
          <w:rFonts w:hint="eastAsia"/>
          <w:bCs/>
          <w:szCs w:val="21"/>
          <w:u w:val="single"/>
        </w:rPr>
        <w:t xml:space="preserve">         </w:t>
      </w:r>
      <w:r>
        <w:rPr>
          <w:rFonts w:hint="eastAsia" w:hAnsi="宋体"/>
          <w:szCs w:val="21"/>
        </w:rPr>
        <w:t>）的采购结果，按照《中华人民共和国政府采购法》及其实施条例、</w:t>
      </w:r>
      <w:r>
        <w:rPr>
          <w:szCs w:val="21"/>
        </w:rPr>
        <w:t>87</w:t>
      </w:r>
      <w:r>
        <w:rPr>
          <w:rFonts w:hint="eastAsia" w:hAnsi="宋体"/>
          <w:szCs w:val="21"/>
        </w:rPr>
        <w:t>号令、《中华人民共和国合同法》的规定，</w:t>
      </w:r>
      <w:r>
        <w:rPr>
          <w:rFonts w:hint="eastAsia" w:hAnsi="宋体"/>
          <w:kern w:val="28"/>
          <w:szCs w:val="21"/>
        </w:rPr>
        <w:t>经双方协商，</w:t>
      </w:r>
      <w:r>
        <w:rPr>
          <w:rFonts w:hint="eastAsia" w:hAnsi="宋体"/>
          <w:szCs w:val="21"/>
        </w:rPr>
        <w:t>本着平等互利和诚实信用的原则，</w:t>
      </w:r>
      <w:r>
        <w:rPr>
          <w:rFonts w:hint="eastAsia" w:hAnsi="宋体"/>
          <w:kern w:val="28"/>
          <w:szCs w:val="21"/>
        </w:rPr>
        <w:t>一致同意签订本合同如下</w:t>
      </w:r>
      <w:r>
        <w:rPr>
          <w:rFonts w:hint="eastAsia" w:hAnsi="宋体"/>
          <w:szCs w:val="21"/>
        </w:rPr>
        <w:t>。</w:t>
      </w:r>
    </w:p>
    <w:p>
      <w:pPr>
        <w:spacing w:line="400" w:lineRule="exact"/>
        <w:ind w:firstLine="420" w:firstLineChars="200"/>
        <w:rPr>
          <w:szCs w:val="21"/>
        </w:rPr>
      </w:pPr>
    </w:p>
    <w:p>
      <w:pPr>
        <w:spacing w:line="400" w:lineRule="exact"/>
        <w:rPr>
          <w:szCs w:val="21"/>
        </w:rPr>
      </w:pPr>
      <w:r>
        <w:rPr>
          <w:rFonts w:hint="eastAsia"/>
          <w:szCs w:val="21"/>
        </w:rPr>
        <w:t>一、</w:t>
      </w:r>
      <w:bookmarkStart w:id="16" w:name="_Toc435540759"/>
      <w:r>
        <w:rPr>
          <w:rFonts w:hint="eastAsia"/>
          <w:szCs w:val="21"/>
        </w:rPr>
        <w:t>合同金额</w:t>
      </w:r>
      <w:bookmarkEnd w:id="16"/>
    </w:p>
    <w:p>
      <w:pPr>
        <w:pStyle w:val="9"/>
        <w:spacing w:before="120" w:after="120"/>
        <w:ind w:firstLine="420" w:firstLineChars="200"/>
        <w:rPr>
          <w:rFonts w:ascii="Times New Roman" w:hAnsi="Times New Roman"/>
          <w:sz w:val="21"/>
          <w:szCs w:val="21"/>
        </w:rPr>
      </w:pPr>
      <w:r>
        <w:rPr>
          <w:rFonts w:hint="eastAsia" w:ascii="Times New Roman" w:hAnsi="宋体"/>
          <w:sz w:val="21"/>
          <w:szCs w:val="21"/>
        </w:rPr>
        <w:t>合同金额为（大写）：</w:t>
      </w:r>
      <w:r>
        <w:rPr>
          <w:rFonts w:ascii="Times New Roman" w:hAnsi="Times New Roman"/>
          <w:sz w:val="21"/>
          <w:szCs w:val="21"/>
        </w:rPr>
        <w:t>_________________</w:t>
      </w:r>
      <w:r>
        <w:rPr>
          <w:rFonts w:hint="eastAsia" w:ascii="Times New Roman" w:hAnsi="宋体"/>
          <w:sz w:val="21"/>
          <w:szCs w:val="21"/>
        </w:rPr>
        <w:t>元（￥</w:t>
      </w:r>
      <w:r>
        <w:rPr>
          <w:rFonts w:ascii="Times New Roman" w:hAnsi="Times New Roman"/>
          <w:sz w:val="21"/>
          <w:szCs w:val="21"/>
        </w:rPr>
        <w:t>_______________</w:t>
      </w:r>
      <w:r>
        <w:rPr>
          <w:rFonts w:hint="eastAsia" w:ascii="Times New Roman" w:hAnsi="宋体"/>
          <w:sz w:val="21"/>
          <w:szCs w:val="21"/>
        </w:rPr>
        <w:t>元）。</w:t>
      </w:r>
    </w:p>
    <w:p>
      <w:pPr>
        <w:spacing w:line="400" w:lineRule="exact"/>
        <w:rPr>
          <w:szCs w:val="21"/>
        </w:rPr>
      </w:pPr>
      <w:bookmarkStart w:id="17" w:name="_Toc435540760"/>
      <w:r>
        <w:rPr>
          <w:rFonts w:hint="eastAsia"/>
          <w:szCs w:val="21"/>
        </w:rPr>
        <w:t>二、服务范围</w:t>
      </w:r>
      <w:bookmarkEnd w:id="17"/>
    </w:p>
    <w:p>
      <w:pPr>
        <w:spacing w:line="360" w:lineRule="exact"/>
        <w:rPr>
          <w:szCs w:val="21"/>
          <w:u w:val="single"/>
        </w:rPr>
      </w:pPr>
      <w:r>
        <w:rPr>
          <w:rFonts w:hint="eastAsia" w:hAnsi="宋体"/>
          <w:szCs w:val="21"/>
        </w:rPr>
        <w:t>　　</w:t>
      </w:r>
      <w:r>
        <w:rPr>
          <w:szCs w:val="21"/>
        </w:rPr>
        <w:t>1</w:t>
      </w:r>
      <w:r>
        <w:rPr>
          <w:rFonts w:hint="eastAsia" w:hAnsi="宋体"/>
          <w:szCs w:val="21"/>
        </w:rPr>
        <w:t>．本合同项下的服务指</w:t>
      </w:r>
      <w:r>
        <w:rPr>
          <w:rFonts w:hint="eastAsia" w:ascii="Arial" w:hAnsi="宋体" w:cs="Arial"/>
          <w:szCs w:val="21"/>
          <w:u w:val="single"/>
        </w:rPr>
        <w:t>宁海县区域卫生互联互通测评信息化建设项目</w:t>
      </w:r>
    </w:p>
    <w:p>
      <w:pPr>
        <w:spacing w:line="400" w:lineRule="exact"/>
        <w:rPr>
          <w:szCs w:val="21"/>
        </w:rPr>
      </w:pPr>
      <w:r>
        <w:rPr>
          <w:rFonts w:hint="eastAsia" w:hAnsi="宋体"/>
          <w:szCs w:val="21"/>
        </w:rPr>
        <w:t>　　</w:t>
      </w:r>
      <w:r>
        <w:rPr>
          <w:szCs w:val="21"/>
        </w:rPr>
        <w:t>2</w:t>
      </w:r>
      <w:r>
        <w:rPr>
          <w:rFonts w:hint="eastAsia" w:hAnsi="宋体"/>
          <w:szCs w:val="21"/>
        </w:rPr>
        <w:t>．服务范围：</w:t>
      </w:r>
      <w:r>
        <w:rPr>
          <w:rFonts w:hint="eastAsia" w:ascii="Arial" w:cs="Arial"/>
          <w:szCs w:val="21"/>
          <w:u w:val="single"/>
        </w:rPr>
        <w:t>详见招标文件和投标文件</w:t>
      </w:r>
      <w:r>
        <w:rPr>
          <w:rFonts w:ascii="Arial" w:hAnsi="Arial" w:cs="Arial"/>
          <w:szCs w:val="21"/>
          <w:u w:val="single"/>
        </w:rPr>
        <w:t xml:space="preserve">   </w:t>
      </w:r>
    </w:p>
    <w:p>
      <w:pPr>
        <w:spacing w:line="400" w:lineRule="exact"/>
        <w:rPr>
          <w:szCs w:val="21"/>
        </w:rPr>
      </w:pPr>
      <w:r>
        <w:rPr>
          <w:rFonts w:hint="eastAsia" w:hAnsi="宋体"/>
          <w:szCs w:val="21"/>
        </w:rPr>
        <w:t>三、采购需求实质性条款：</w:t>
      </w:r>
    </w:p>
    <w:p>
      <w:pPr>
        <w:spacing w:line="400" w:lineRule="exact"/>
        <w:rPr>
          <w:szCs w:val="21"/>
        </w:rPr>
      </w:pPr>
      <w:r>
        <w:rPr>
          <w:szCs w:val="21"/>
        </w:rPr>
        <w:t>1</w:t>
      </w:r>
      <w:r>
        <w:rPr>
          <w:rFonts w:hint="eastAsia"/>
          <w:szCs w:val="21"/>
        </w:rPr>
        <w:t>、</w:t>
      </w:r>
      <w:r>
        <w:rPr>
          <w:rFonts w:hint="eastAsia" w:ascii="Arial" w:cs="Arial"/>
          <w:szCs w:val="21"/>
          <w:u w:val="single"/>
        </w:rPr>
        <w:t>详见招标文件</w:t>
      </w:r>
    </w:p>
    <w:p>
      <w:pPr>
        <w:spacing w:line="400" w:lineRule="exact"/>
        <w:rPr>
          <w:szCs w:val="21"/>
        </w:rPr>
      </w:pPr>
      <w:bookmarkStart w:id="18" w:name="_Toc435540761"/>
      <w:r>
        <w:rPr>
          <w:rFonts w:hint="eastAsia"/>
          <w:szCs w:val="21"/>
        </w:rPr>
        <w:t>四、甲方乙方的权利和义务</w:t>
      </w:r>
      <w:bookmarkEnd w:id="18"/>
    </w:p>
    <w:p>
      <w:pPr>
        <w:spacing w:line="400" w:lineRule="exact"/>
        <w:rPr>
          <w:szCs w:val="21"/>
        </w:rPr>
      </w:pPr>
      <w:r>
        <w:rPr>
          <w:rFonts w:hint="eastAsia" w:hAnsi="宋体"/>
          <w:szCs w:val="21"/>
        </w:rPr>
        <w:t>　　（一）甲方的义务：按合同约定支付合同款项。</w:t>
      </w:r>
    </w:p>
    <w:p>
      <w:pPr>
        <w:spacing w:line="400" w:lineRule="exact"/>
        <w:ind w:left="405"/>
        <w:rPr>
          <w:szCs w:val="21"/>
        </w:rPr>
      </w:pPr>
      <w:r>
        <w:rPr>
          <w:rFonts w:hint="eastAsia" w:hAnsi="宋体"/>
          <w:szCs w:val="21"/>
        </w:rPr>
        <w:t>（二）乙方的义务：按合同约定完成本项目全部服务内容。</w:t>
      </w:r>
    </w:p>
    <w:p>
      <w:pPr>
        <w:spacing w:line="400" w:lineRule="exact"/>
        <w:rPr>
          <w:szCs w:val="21"/>
        </w:rPr>
      </w:pPr>
      <w:bookmarkStart w:id="19" w:name="_Toc435540762"/>
      <w:r>
        <w:rPr>
          <w:rFonts w:hint="eastAsia"/>
          <w:szCs w:val="21"/>
        </w:rPr>
        <w:t>五、</w:t>
      </w:r>
      <w:bookmarkEnd w:id="19"/>
      <w:r>
        <w:rPr>
          <w:rFonts w:hint="eastAsia"/>
          <w:szCs w:val="21"/>
        </w:rPr>
        <w:t>项目完成时间：</w:t>
      </w:r>
    </w:p>
    <w:p>
      <w:pPr>
        <w:spacing w:line="400" w:lineRule="exact"/>
        <w:ind w:firstLine="435"/>
        <w:rPr>
          <w:rFonts w:ascii="Arial" w:hAnsi="宋体" w:cs="Arial"/>
          <w:szCs w:val="21"/>
        </w:rPr>
      </w:pPr>
    </w:p>
    <w:p>
      <w:pPr>
        <w:spacing w:line="400" w:lineRule="exact"/>
        <w:rPr>
          <w:szCs w:val="21"/>
        </w:rPr>
      </w:pPr>
      <w:r>
        <w:rPr>
          <w:rFonts w:hint="eastAsia"/>
          <w:szCs w:val="21"/>
        </w:rPr>
        <w:t>六、</w:t>
      </w:r>
      <w:bookmarkStart w:id="20" w:name="_Toc435540763"/>
      <w:r>
        <w:rPr>
          <w:rFonts w:hint="eastAsia"/>
          <w:szCs w:val="21"/>
        </w:rPr>
        <w:t>付款</w:t>
      </w:r>
      <w:bookmarkEnd w:id="20"/>
      <w:r>
        <w:rPr>
          <w:rFonts w:hint="eastAsia"/>
          <w:szCs w:val="21"/>
        </w:rPr>
        <w:t>方式</w:t>
      </w:r>
    </w:p>
    <w:p>
      <w:pPr>
        <w:spacing w:line="400" w:lineRule="exact"/>
        <w:ind w:firstLine="435"/>
        <w:rPr>
          <w:rFonts w:ascii="Arial" w:hAnsi="宋体" w:cs="Arial"/>
          <w:szCs w:val="21"/>
        </w:rPr>
      </w:pPr>
      <w:bookmarkStart w:id="21" w:name="_Toc435540764"/>
      <w:r>
        <w:rPr>
          <w:rFonts w:hint="eastAsia" w:ascii="Arial" w:hAnsi="宋体" w:cs="Arial"/>
          <w:szCs w:val="21"/>
        </w:rPr>
        <w:t>履约保证金：</w:t>
      </w:r>
      <w:r>
        <w:rPr>
          <w:rFonts w:hint="eastAsia" w:hAnsi="宋体"/>
          <w:kern w:val="0"/>
          <w:szCs w:val="21"/>
        </w:rPr>
        <w:t xml:space="preserve"> </w:t>
      </w:r>
    </w:p>
    <w:p>
      <w:pPr>
        <w:spacing w:line="400" w:lineRule="exact"/>
        <w:ind w:firstLine="435"/>
        <w:rPr>
          <w:rFonts w:ascii="Arial" w:hAnsi="Arial" w:cs="Arial"/>
          <w:kern w:val="0"/>
          <w:szCs w:val="21"/>
          <w:u w:val="single"/>
        </w:rPr>
      </w:pPr>
      <w:r>
        <w:rPr>
          <w:rFonts w:hint="eastAsia" w:hAnsi="宋体"/>
          <w:kern w:val="0"/>
          <w:szCs w:val="21"/>
        </w:rPr>
        <w:t>付款方法：</w:t>
      </w:r>
    </w:p>
    <w:p>
      <w:pPr>
        <w:spacing w:line="400" w:lineRule="exact"/>
        <w:ind w:firstLine="435"/>
        <w:rPr>
          <w:rFonts w:ascii="Arial" w:hAnsi="宋体" w:cs="Arial"/>
          <w:szCs w:val="21"/>
        </w:rPr>
      </w:pPr>
    </w:p>
    <w:p>
      <w:pPr>
        <w:spacing w:line="400" w:lineRule="exact"/>
        <w:rPr>
          <w:szCs w:val="21"/>
        </w:rPr>
      </w:pPr>
      <w:r>
        <w:rPr>
          <w:rFonts w:hint="eastAsia"/>
          <w:szCs w:val="21"/>
        </w:rPr>
        <w:t>七、知识产权产权归属</w:t>
      </w:r>
      <w:bookmarkEnd w:id="21"/>
    </w:p>
    <w:p>
      <w:pPr>
        <w:spacing w:line="400" w:lineRule="exact"/>
        <w:ind w:firstLine="420" w:firstLineChars="200"/>
        <w:rPr>
          <w:szCs w:val="21"/>
        </w:rPr>
      </w:pPr>
      <w:r>
        <w:rPr>
          <w:rFonts w:hint="eastAsia" w:hAnsi="宋体"/>
          <w:szCs w:val="21"/>
        </w:rPr>
        <w:t>乙方应保证本项目的投标技术、服务或其任何一部分不会产生因第三方提出侵犯其专利权、商标权或其他知识产权而引起的法律和经济纠纷；如因第三方提出其专利权、商标权或其他知识产权的侵权之诉，则一切法律责任由乙方承担。</w:t>
      </w:r>
      <w:bookmarkStart w:id="22" w:name="_Toc435540765"/>
    </w:p>
    <w:p>
      <w:pPr>
        <w:spacing w:line="400" w:lineRule="exact"/>
        <w:rPr>
          <w:szCs w:val="21"/>
        </w:rPr>
      </w:pPr>
      <w:r>
        <w:rPr>
          <w:rFonts w:hint="eastAsia"/>
          <w:szCs w:val="21"/>
        </w:rPr>
        <w:t>八、保密</w:t>
      </w:r>
      <w:bookmarkEnd w:id="22"/>
    </w:p>
    <w:p>
      <w:pPr>
        <w:spacing w:line="400" w:lineRule="exact"/>
        <w:ind w:firstLine="420" w:firstLineChars="200"/>
        <w:rPr>
          <w:szCs w:val="21"/>
        </w:rPr>
      </w:pPr>
      <w:r>
        <w:rPr>
          <w:rFonts w:hint="eastAsia" w:hAnsi="宋体"/>
          <w:szCs w:val="21"/>
        </w:rPr>
        <w:t>乙方必须采取措施对本项目实施过程中的技术资料保密，否则，由于乙方过错导致的上述资料泄密的，乙方必须承担一切责任。项目完成后，甲、乙双方均有责任对本项目的技术保密承担责任。</w:t>
      </w:r>
    </w:p>
    <w:p>
      <w:pPr>
        <w:tabs>
          <w:tab w:val="left" w:pos="900"/>
        </w:tabs>
        <w:spacing w:line="400" w:lineRule="exact"/>
        <w:ind w:firstLine="420" w:firstLineChars="200"/>
        <w:rPr>
          <w:szCs w:val="21"/>
        </w:rPr>
      </w:pPr>
      <w:r>
        <w:rPr>
          <w:szCs w:val="21"/>
        </w:rPr>
        <w:t>1</w:t>
      </w:r>
      <w:r>
        <w:rPr>
          <w:rFonts w:hint="eastAsia" w:hAnsi="宋体"/>
          <w:szCs w:val="21"/>
        </w:rPr>
        <w:t>）未经甲方事先书面同意，乙方不得将由甲方为本合同提供的技术资料提供给与本合同无关的任何第三方，不得将其用于履行本合同之外的其它用途。即使向与履行本合同有关的人员提供，也应注意保密并限于履行合同所必需的范围。</w:t>
      </w:r>
    </w:p>
    <w:p>
      <w:pPr>
        <w:tabs>
          <w:tab w:val="left" w:pos="900"/>
        </w:tabs>
        <w:spacing w:line="400" w:lineRule="exact"/>
        <w:ind w:firstLine="420" w:firstLineChars="200"/>
        <w:rPr>
          <w:szCs w:val="21"/>
        </w:rPr>
      </w:pPr>
      <w:r>
        <w:rPr>
          <w:szCs w:val="21"/>
        </w:rPr>
        <w:t>2</w:t>
      </w:r>
      <w:r>
        <w:rPr>
          <w:rFonts w:hint="eastAsia" w:hAnsi="宋体"/>
          <w:szCs w:val="21"/>
        </w:rPr>
        <w:t>）如果甲方有要求，乙方在完成合同后应将有关资料还给甲方。</w:t>
      </w:r>
    </w:p>
    <w:p>
      <w:pPr>
        <w:spacing w:line="400" w:lineRule="exact"/>
        <w:rPr>
          <w:szCs w:val="21"/>
        </w:rPr>
      </w:pPr>
      <w:bookmarkStart w:id="23" w:name="_Toc435540766"/>
      <w:bookmarkStart w:id="24" w:name="_Toc435540767"/>
      <w:r>
        <w:rPr>
          <w:rFonts w:hint="eastAsia"/>
          <w:szCs w:val="21"/>
        </w:rPr>
        <w:t>九、违约责任与赔偿损失</w:t>
      </w:r>
      <w:bookmarkEnd w:id="23"/>
    </w:p>
    <w:p>
      <w:pPr>
        <w:spacing w:line="400" w:lineRule="exact"/>
        <w:ind w:firstLine="420" w:firstLineChars="200"/>
        <w:rPr>
          <w:szCs w:val="21"/>
        </w:rPr>
      </w:pPr>
      <w:r>
        <w:rPr>
          <w:szCs w:val="21"/>
        </w:rPr>
        <w:t>1</w:t>
      </w:r>
      <w:r>
        <w:rPr>
          <w:rFonts w:hint="eastAsia"/>
          <w:szCs w:val="21"/>
        </w:rPr>
        <w:t>）乙方提供的服务不符合采购文件、投标文件或本合同规定的，甲方有权拒收，并且乙方须向甲方支付本合同总价10%的违约金。</w:t>
      </w:r>
    </w:p>
    <w:p>
      <w:pPr>
        <w:tabs>
          <w:tab w:val="left" w:pos="720"/>
          <w:tab w:val="left" w:pos="900"/>
        </w:tabs>
        <w:spacing w:line="400" w:lineRule="exact"/>
        <w:ind w:right="51" w:firstLine="420" w:firstLineChars="200"/>
        <w:rPr>
          <w:szCs w:val="21"/>
        </w:rPr>
      </w:pPr>
      <w:r>
        <w:rPr>
          <w:szCs w:val="21"/>
        </w:rPr>
        <w:t>2</w:t>
      </w:r>
      <w:r>
        <w:rPr>
          <w:rFonts w:hint="eastAsia" w:hAnsi="宋体"/>
          <w:szCs w:val="21"/>
        </w:rPr>
        <w:t>）乙方未能按本合同规定的交货时间交付货物的</w:t>
      </w:r>
      <w:r>
        <w:rPr>
          <w:szCs w:val="21"/>
        </w:rPr>
        <w:t>/</w:t>
      </w:r>
      <w:r>
        <w:rPr>
          <w:rFonts w:hint="eastAsia" w:hAnsi="宋体"/>
          <w:szCs w:val="21"/>
        </w:rPr>
        <w:t>提供服务的，从逾期之日起每日按本合同总价</w:t>
      </w:r>
      <w:r>
        <w:rPr>
          <w:rFonts w:hint="eastAsia"/>
          <w:szCs w:val="21"/>
        </w:rPr>
        <w:t>的</w:t>
      </w:r>
      <w:r>
        <w:rPr>
          <w:rFonts w:hint="eastAsia" w:hAnsi="宋体"/>
          <w:szCs w:val="21"/>
        </w:rPr>
        <w:t>万分之五向甲方偿付违约金；逾期</w:t>
      </w:r>
      <w:r>
        <w:rPr>
          <w:szCs w:val="21"/>
        </w:rPr>
        <w:t>15</w:t>
      </w:r>
      <w:r>
        <w:rPr>
          <w:rFonts w:hint="eastAsia" w:hAnsi="宋体"/>
          <w:szCs w:val="21"/>
        </w:rPr>
        <w:t>天以上（含</w:t>
      </w:r>
      <w:r>
        <w:rPr>
          <w:szCs w:val="21"/>
        </w:rPr>
        <w:t>15</w:t>
      </w:r>
      <w:r>
        <w:rPr>
          <w:rFonts w:hint="eastAsia" w:hAnsi="宋体"/>
          <w:szCs w:val="21"/>
        </w:rPr>
        <w:t>天）的，甲方有权终止合同，并要求乙方按合同总价的20%支付违约金，并且给甲方造成的经济损失由乙方承担赔偿责任。</w:t>
      </w:r>
    </w:p>
    <w:p>
      <w:pPr>
        <w:spacing w:line="400" w:lineRule="exact"/>
        <w:ind w:firstLine="420" w:firstLineChars="200"/>
        <w:rPr>
          <w:szCs w:val="21"/>
        </w:rPr>
      </w:pPr>
      <w:r>
        <w:rPr>
          <w:szCs w:val="21"/>
        </w:rPr>
        <w:t>3</w:t>
      </w:r>
      <w:r>
        <w:rPr>
          <w:rFonts w:hint="eastAsia" w:hAnsi="宋体"/>
          <w:szCs w:val="21"/>
        </w:rPr>
        <w:t>）甲方无正当理由拒收接受服务的，甲方向乙方偿付合同总价1</w:t>
      </w:r>
      <w:r>
        <w:rPr>
          <w:rFonts w:hint="eastAsia"/>
          <w:szCs w:val="21"/>
        </w:rPr>
        <w:t>0</w:t>
      </w:r>
      <w:r>
        <w:rPr>
          <w:szCs w:val="21"/>
        </w:rPr>
        <w:t>%</w:t>
      </w:r>
      <w:r>
        <w:rPr>
          <w:rFonts w:hint="eastAsia" w:hAnsi="宋体"/>
          <w:szCs w:val="21"/>
        </w:rPr>
        <w:t>的违约金。甲方逾期付款的，从逾期之日起每日按逾期付款金额的万分之五向乙方偿付违约金。</w:t>
      </w:r>
    </w:p>
    <w:p>
      <w:pPr>
        <w:spacing w:line="400" w:lineRule="exact"/>
        <w:ind w:firstLine="420" w:firstLineChars="200"/>
        <w:rPr>
          <w:bCs/>
          <w:szCs w:val="21"/>
        </w:rPr>
      </w:pPr>
      <w:r>
        <w:rPr>
          <w:bCs/>
          <w:szCs w:val="21"/>
        </w:rPr>
        <w:t>4</w:t>
      </w:r>
      <w:r>
        <w:rPr>
          <w:rFonts w:hint="eastAsia" w:hAnsi="宋体"/>
          <w:bCs/>
          <w:szCs w:val="21"/>
        </w:rPr>
        <w:t>）其它违约责任按《中华人民共和国合同法》处理。</w:t>
      </w:r>
    </w:p>
    <w:p>
      <w:pPr>
        <w:spacing w:line="400" w:lineRule="exact"/>
        <w:rPr>
          <w:szCs w:val="21"/>
        </w:rPr>
      </w:pPr>
      <w:r>
        <w:rPr>
          <w:rFonts w:hint="eastAsia"/>
          <w:szCs w:val="21"/>
        </w:rPr>
        <w:t>十、争端的解决</w:t>
      </w:r>
      <w:bookmarkEnd w:id="24"/>
    </w:p>
    <w:p>
      <w:pPr>
        <w:spacing w:line="400" w:lineRule="exact"/>
        <w:ind w:firstLine="420" w:firstLineChars="200"/>
        <w:rPr>
          <w:szCs w:val="21"/>
        </w:rPr>
      </w:pPr>
      <w:r>
        <w:rPr>
          <w:rFonts w:hint="eastAsia" w:hAnsi="宋体"/>
          <w:szCs w:val="21"/>
        </w:rPr>
        <w:t>合同执行过程中发生的任何争议，如双方不能通过友好协商解决，甲、乙双方一致同意向甲方所在地人民法院提起诉讼。</w:t>
      </w:r>
    </w:p>
    <w:p>
      <w:pPr>
        <w:spacing w:line="400" w:lineRule="exact"/>
        <w:rPr>
          <w:szCs w:val="21"/>
        </w:rPr>
      </w:pPr>
      <w:bookmarkStart w:id="25" w:name="_Toc435540768"/>
      <w:r>
        <w:rPr>
          <w:rFonts w:hint="eastAsia"/>
          <w:szCs w:val="21"/>
        </w:rPr>
        <w:t>十一、不可抗力</w:t>
      </w:r>
      <w:bookmarkEnd w:id="25"/>
    </w:p>
    <w:p>
      <w:pPr>
        <w:spacing w:line="400" w:lineRule="exact"/>
        <w:ind w:firstLine="420" w:firstLineChars="200"/>
        <w:rPr>
          <w:szCs w:val="21"/>
        </w:rPr>
      </w:pPr>
      <w:r>
        <w:rPr>
          <w:rFonts w:hint="eastAsia" w:hAnsi="宋体"/>
          <w:szCs w:val="21"/>
        </w:rPr>
        <w:t>任何一方由于不可抗力原因不能履行合同时，应在不可抗力事件结束后</w:t>
      </w:r>
      <w:r>
        <w:rPr>
          <w:szCs w:val="21"/>
        </w:rPr>
        <w:t>1</w:t>
      </w:r>
      <w:r>
        <w:rPr>
          <w:rFonts w:hint="eastAsia" w:hAnsi="宋体"/>
          <w:szCs w:val="21"/>
        </w:rPr>
        <w:t>日内向对方通报，以减轻可能给对方造成的损失，在取得有关机构的不可抗力证明或双方谅解确认后，允许延期履行或修订合同，并根据情况可部分或全部免于承担违约责任。</w:t>
      </w:r>
    </w:p>
    <w:p>
      <w:pPr>
        <w:spacing w:line="400" w:lineRule="exact"/>
        <w:rPr>
          <w:szCs w:val="21"/>
        </w:rPr>
      </w:pPr>
      <w:bookmarkStart w:id="26" w:name="_Toc435540769"/>
      <w:r>
        <w:rPr>
          <w:rFonts w:hint="eastAsia"/>
          <w:szCs w:val="21"/>
        </w:rPr>
        <w:t>十二、税费</w:t>
      </w:r>
      <w:bookmarkEnd w:id="26"/>
    </w:p>
    <w:p>
      <w:pPr>
        <w:spacing w:line="400" w:lineRule="exact"/>
        <w:ind w:firstLine="420" w:firstLineChars="200"/>
        <w:rPr>
          <w:szCs w:val="21"/>
        </w:rPr>
      </w:pPr>
      <w:r>
        <w:rPr>
          <w:rFonts w:hint="eastAsia" w:hAnsi="宋体"/>
          <w:szCs w:val="21"/>
        </w:rPr>
        <w:t>在中国境内、外发生的与本合同执行有关的一切税费均由乙方负担。</w:t>
      </w:r>
    </w:p>
    <w:p>
      <w:pPr>
        <w:spacing w:line="400" w:lineRule="exact"/>
        <w:rPr>
          <w:szCs w:val="21"/>
        </w:rPr>
      </w:pPr>
      <w:bookmarkStart w:id="27" w:name="_Toc435540770"/>
      <w:r>
        <w:rPr>
          <w:rFonts w:hint="eastAsia"/>
          <w:szCs w:val="21"/>
        </w:rPr>
        <w:t>十三、其它</w:t>
      </w:r>
      <w:bookmarkEnd w:id="27"/>
    </w:p>
    <w:p>
      <w:pPr>
        <w:spacing w:line="400" w:lineRule="exact"/>
        <w:ind w:firstLine="420" w:firstLineChars="200"/>
        <w:rPr>
          <w:b/>
          <w:szCs w:val="21"/>
        </w:rPr>
      </w:pPr>
      <w:r>
        <w:rPr>
          <w:szCs w:val="21"/>
        </w:rPr>
        <w:t>1</w:t>
      </w:r>
      <w:r>
        <w:rPr>
          <w:rFonts w:hint="eastAsia" w:hAnsi="宋体"/>
          <w:szCs w:val="21"/>
        </w:rPr>
        <w:t>）本合同所有附件、采购文件、投标文件、中标通知书均为合同的有效组成部分，与本合同具有同等法律效力。</w:t>
      </w:r>
    </w:p>
    <w:p>
      <w:pPr>
        <w:spacing w:line="400" w:lineRule="exact"/>
        <w:ind w:firstLine="420" w:firstLineChars="200"/>
        <w:rPr>
          <w:szCs w:val="21"/>
        </w:rPr>
      </w:pPr>
      <w:r>
        <w:rPr>
          <w:bCs/>
          <w:szCs w:val="21"/>
        </w:rPr>
        <w:t>2</w:t>
      </w:r>
      <w:r>
        <w:rPr>
          <w:rFonts w:hint="eastAsia" w:hAnsi="宋体"/>
          <w:szCs w:val="21"/>
        </w:rPr>
        <w:t>）在执行本合同的过程中，所有经双方签署确认的文件（包括会议纪要、补充协议、往来信函）即成为本合同的有效组成部分。</w:t>
      </w:r>
    </w:p>
    <w:p>
      <w:pPr>
        <w:spacing w:line="400" w:lineRule="exact"/>
        <w:ind w:firstLine="420" w:firstLineChars="200"/>
        <w:rPr>
          <w:szCs w:val="21"/>
        </w:rPr>
      </w:pPr>
      <w:r>
        <w:rPr>
          <w:szCs w:val="21"/>
        </w:rPr>
        <w:t>3</w:t>
      </w:r>
      <w:r>
        <w:rPr>
          <w:rFonts w:hint="eastAsia" w:hAnsi="宋体"/>
          <w:szCs w:val="21"/>
        </w:rPr>
        <w:t>）如一方地址、电话、传真号码有变更，应在变更当日内书面通知对方，否则，应承担相应责任。</w:t>
      </w:r>
      <w:r>
        <w:rPr>
          <w:szCs w:val="21"/>
        </w:rPr>
        <w:t xml:space="preserve"> </w:t>
      </w:r>
    </w:p>
    <w:p>
      <w:pPr>
        <w:spacing w:line="400" w:lineRule="exact"/>
        <w:ind w:firstLine="420" w:firstLineChars="200"/>
        <w:rPr>
          <w:szCs w:val="21"/>
        </w:rPr>
      </w:pPr>
      <w:r>
        <w:rPr>
          <w:szCs w:val="21"/>
        </w:rPr>
        <w:t>4</w:t>
      </w:r>
      <w:r>
        <w:rPr>
          <w:rFonts w:hint="eastAsia" w:hAnsi="宋体"/>
          <w:szCs w:val="21"/>
        </w:rPr>
        <w:t>）除甲方事先书面同意外，乙方不得部分或全部转让其应履行的合同项下的义务。</w:t>
      </w:r>
    </w:p>
    <w:p>
      <w:pPr>
        <w:spacing w:line="400" w:lineRule="exact"/>
        <w:rPr>
          <w:szCs w:val="21"/>
        </w:rPr>
      </w:pPr>
      <w:bookmarkStart w:id="28" w:name="_Toc435540771"/>
      <w:r>
        <w:rPr>
          <w:rFonts w:hint="eastAsia"/>
          <w:szCs w:val="21"/>
        </w:rPr>
        <w:t>十四、合同生效</w:t>
      </w:r>
      <w:bookmarkEnd w:id="28"/>
    </w:p>
    <w:p>
      <w:pPr>
        <w:spacing w:line="400" w:lineRule="exact"/>
        <w:ind w:firstLine="420" w:firstLineChars="200"/>
        <w:rPr>
          <w:szCs w:val="21"/>
        </w:rPr>
      </w:pPr>
      <w:r>
        <w:rPr>
          <w:szCs w:val="21"/>
        </w:rPr>
        <w:t>1</w:t>
      </w:r>
      <w:r>
        <w:rPr>
          <w:rFonts w:hint="eastAsia" w:hAnsi="宋体"/>
          <w:szCs w:val="21"/>
        </w:rPr>
        <w:t>）合同自甲乙双方法人代表或其授权代表签字盖章之日起生效。</w:t>
      </w:r>
    </w:p>
    <w:p>
      <w:pPr>
        <w:spacing w:line="400" w:lineRule="exact"/>
        <w:ind w:firstLine="420" w:firstLineChars="200"/>
        <w:rPr>
          <w:szCs w:val="21"/>
        </w:rPr>
      </w:pPr>
      <w:r>
        <w:rPr>
          <w:szCs w:val="21"/>
        </w:rPr>
        <w:t>2</w:t>
      </w:r>
      <w:r>
        <w:rPr>
          <w:rFonts w:hint="eastAsia" w:hAnsi="宋体"/>
          <w:szCs w:val="21"/>
        </w:rPr>
        <w:t>）合同壹式</w:t>
      </w:r>
      <w:r>
        <w:rPr>
          <w:szCs w:val="21"/>
          <w:u w:val="single"/>
        </w:rPr>
        <w:t xml:space="preserve"> </w:t>
      </w:r>
      <w:r>
        <w:rPr>
          <w:rFonts w:hint="eastAsia"/>
          <w:szCs w:val="21"/>
          <w:u w:val="single"/>
        </w:rPr>
        <w:t>肆</w:t>
      </w:r>
      <w:r>
        <w:rPr>
          <w:szCs w:val="21"/>
          <w:u w:val="single"/>
        </w:rPr>
        <w:t xml:space="preserve"> </w:t>
      </w:r>
      <w:r>
        <w:rPr>
          <w:rFonts w:hint="eastAsia" w:hAnsi="宋体"/>
          <w:szCs w:val="21"/>
        </w:rPr>
        <w:t>份，其中甲乙双方各执</w:t>
      </w:r>
      <w:r>
        <w:rPr>
          <w:szCs w:val="21"/>
          <w:u w:val="single"/>
        </w:rPr>
        <w:t xml:space="preserve"> </w:t>
      </w:r>
      <w:r>
        <w:rPr>
          <w:rFonts w:hint="eastAsia"/>
          <w:szCs w:val="21"/>
          <w:u w:val="single"/>
        </w:rPr>
        <w:t>贰</w:t>
      </w:r>
      <w:r>
        <w:rPr>
          <w:szCs w:val="21"/>
          <w:u w:val="single"/>
        </w:rPr>
        <w:t xml:space="preserve"> </w:t>
      </w:r>
      <w:r>
        <w:rPr>
          <w:rFonts w:hint="eastAsia" w:hAnsi="宋体"/>
          <w:szCs w:val="21"/>
        </w:rPr>
        <w:t>份。</w:t>
      </w:r>
    </w:p>
    <w:p>
      <w:pPr>
        <w:tabs>
          <w:tab w:val="left" w:pos="720"/>
        </w:tabs>
        <w:spacing w:line="400" w:lineRule="exact"/>
        <w:rPr>
          <w:szCs w:val="21"/>
        </w:rPr>
      </w:pPr>
    </w:p>
    <w:p>
      <w:pPr>
        <w:spacing w:line="400" w:lineRule="exact"/>
        <w:rPr>
          <w:rFonts w:ascii="Arial" w:hAnsi="Arial" w:cs="Arial"/>
          <w:szCs w:val="21"/>
        </w:rPr>
      </w:pPr>
      <w:r>
        <w:rPr>
          <w:rFonts w:ascii="Arial" w:hAnsi="Arial" w:cs="Arial"/>
          <w:szCs w:val="21"/>
        </w:rPr>
        <w:t xml:space="preserve">  </w:t>
      </w:r>
      <w:r>
        <w:rPr>
          <w:rFonts w:hint="eastAsia" w:ascii="Arial" w:cs="Arial"/>
          <w:szCs w:val="21"/>
        </w:rPr>
        <w:t>甲方：</w:t>
      </w:r>
      <w:r>
        <w:rPr>
          <w:rFonts w:ascii="Arial" w:hAnsi="Arial" w:cs="Arial"/>
          <w:szCs w:val="21"/>
        </w:rPr>
        <w:t xml:space="preserve">                                   </w:t>
      </w:r>
      <w:r>
        <w:rPr>
          <w:rFonts w:hint="eastAsia" w:ascii="Arial" w:cs="Arial"/>
          <w:szCs w:val="21"/>
        </w:rPr>
        <w:t>乙方：</w:t>
      </w:r>
      <w:r>
        <w:rPr>
          <w:rFonts w:ascii="Arial" w:hAnsi="Arial" w:cs="Arial"/>
          <w:szCs w:val="21"/>
        </w:rPr>
        <w:t xml:space="preserve"> </w:t>
      </w:r>
    </w:p>
    <w:p>
      <w:pPr>
        <w:spacing w:line="400" w:lineRule="exact"/>
        <w:rPr>
          <w:rFonts w:ascii="Arial" w:hAnsi="Arial" w:cs="Arial"/>
          <w:szCs w:val="21"/>
        </w:rPr>
      </w:pPr>
      <w:r>
        <w:rPr>
          <w:rFonts w:ascii="Arial" w:hAnsi="Arial" w:cs="Arial"/>
          <w:szCs w:val="21"/>
        </w:rPr>
        <w:t xml:space="preserve">  </w:t>
      </w:r>
      <w:r>
        <w:rPr>
          <w:rFonts w:hint="eastAsia" w:ascii="Arial" w:cs="Arial"/>
          <w:szCs w:val="21"/>
        </w:rPr>
        <w:t>地址：</w:t>
      </w:r>
      <w:r>
        <w:rPr>
          <w:rFonts w:ascii="Arial" w:hAnsi="Arial" w:cs="Arial"/>
          <w:szCs w:val="21"/>
        </w:rPr>
        <w:t xml:space="preserve">                                   </w:t>
      </w:r>
      <w:r>
        <w:rPr>
          <w:rFonts w:hint="eastAsia" w:ascii="Arial" w:cs="Arial"/>
          <w:szCs w:val="21"/>
        </w:rPr>
        <w:t>地址：</w:t>
      </w:r>
      <w:r>
        <w:rPr>
          <w:rFonts w:ascii="Arial" w:hAnsi="Arial" w:cs="Arial"/>
          <w:szCs w:val="21"/>
        </w:rPr>
        <w:t xml:space="preserve"> </w:t>
      </w:r>
    </w:p>
    <w:p>
      <w:pPr>
        <w:spacing w:line="400" w:lineRule="exact"/>
        <w:rPr>
          <w:rFonts w:ascii="Arial" w:hAnsi="Arial" w:cs="Arial"/>
          <w:szCs w:val="21"/>
        </w:rPr>
      </w:pPr>
      <w:r>
        <w:rPr>
          <w:rFonts w:ascii="Arial" w:hAnsi="Arial" w:cs="Arial"/>
          <w:szCs w:val="21"/>
        </w:rPr>
        <w:t xml:space="preserve">  </w:t>
      </w:r>
      <w:r>
        <w:rPr>
          <w:rFonts w:hint="eastAsia" w:ascii="Arial" w:cs="Arial"/>
          <w:szCs w:val="21"/>
        </w:rPr>
        <w:t>法定（授权）代表人：</w:t>
      </w:r>
      <w:r>
        <w:rPr>
          <w:rFonts w:ascii="Arial" w:hAnsi="Arial" w:cs="Arial"/>
          <w:szCs w:val="21"/>
        </w:rPr>
        <w:t xml:space="preserve">                     </w:t>
      </w:r>
      <w:r>
        <w:rPr>
          <w:rFonts w:hint="eastAsia" w:ascii="Arial" w:cs="Arial"/>
          <w:szCs w:val="21"/>
        </w:rPr>
        <w:t>法定（授权）代表人：</w:t>
      </w:r>
    </w:p>
    <w:p>
      <w:pPr>
        <w:spacing w:line="400" w:lineRule="exact"/>
        <w:rPr>
          <w:rFonts w:ascii="Arial" w:hAnsi="Arial" w:cs="Arial"/>
          <w:szCs w:val="21"/>
        </w:rPr>
      </w:pPr>
      <w:r>
        <w:rPr>
          <w:rFonts w:ascii="Arial" w:hAnsi="Arial" w:cs="Arial"/>
          <w:szCs w:val="21"/>
        </w:rPr>
        <w:t xml:space="preserve">  </w:t>
      </w:r>
      <w:r>
        <w:rPr>
          <w:rFonts w:hint="eastAsia" w:ascii="Arial" w:cs="Arial"/>
          <w:szCs w:val="21"/>
        </w:rPr>
        <w:t>签字日期：</w:t>
      </w:r>
      <w:r>
        <w:rPr>
          <w:rFonts w:ascii="Arial" w:hAnsi="Arial" w:cs="Arial"/>
          <w:szCs w:val="21"/>
        </w:rPr>
        <w:t xml:space="preserve">      </w:t>
      </w:r>
      <w:r>
        <w:rPr>
          <w:rFonts w:hint="eastAsia" w:ascii="Arial" w:cs="Arial"/>
          <w:szCs w:val="21"/>
        </w:rPr>
        <w:t>年</w:t>
      </w:r>
      <w:r>
        <w:rPr>
          <w:rFonts w:ascii="Arial" w:hAnsi="Arial" w:cs="Arial"/>
          <w:szCs w:val="21"/>
        </w:rPr>
        <w:t xml:space="preserve">  </w:t>
      </w:r>
      <w:r>
        <w:rPr>
          <w:rFonts w:hint="eastAsia" w:ascii="Arial" w:cs="Arial"/>
          <w:szCs w:val="21"/>
        </w:rPr>
        <w:t>月</w:t>
      </w:r>
      <w:r>
        <w:rPr>
          <w:rFonts w:ascii="Arial" w:hAnsi="Arial" w:cs="Arial"/>
          <w:szCs w:val="21"/>
        </w:rPr>
        <w:t xml:space="preserve">  </w:t>
      </w:r>
      <w:r>
        <w:rPr>
          <w:rFonts w:hint="eastAsia" w:ascii="Arial" w:hAnsi="Arial" w:cs="Arial"/>
          <w:szCs w:val="21"/>
        </w:rPr>
        <w:t>日</w:t>
      </w:r>
      <w:r>
        <w:rPr>
          <w:rFonts w:ascii="Arial" w:hAnsi="Arial" w:cs="Arial"/>
          <w:szCs w:val="21"/>
        </w:rPr>
        <w:t xml:space="preserve">               </w:t>
      </w:r>
      <w:r>
        <w:rPr>
          <w:rFonts w:hint="eastAsia" w:ascii="Arial" w:hAnsi="Arial" w:cs="Arial"/>
          <w:szCs w:val="21"/>
        </w:rPr>
        <w:t>签字日期：</w:t>
      </w:r>
      <w:r>
        <w:rPr>
          <w:rFonts w:ascii="Arial" w:hAnsi="Arial" w:cs="Arial"/>
          <w:szCs w:val="21"/>
        </w:rPr>
        <w:t xml:space="preserve">      </w:t>
      </w:r>
      <w:r>
        <w:rPr>
          <w:rFonts w:hint="eastAsia" w:ascii="Arial" w:hAnsi="Arial" w:cs="Arial"/>
          <w:szCs w:val="21"/>
        </w:rPr>
        <w:t>年</w:t>
      </w:r>
      <w:r>
        <w:rPr>
          <w:rFonts w:ascii="Arial" w:hAnsi="Arial" w:cs="Arial"/>
          <w:szCs w:val="21"/>
        </w:rPr>
        <w:t xml:space="preserve">  </w:t>
      </w:r>
      <w:r>
        <w:rPr>
          <w:rFonts w:hint="eastAsia" w:ascii="Arial" w:hAnsi="Arial" w:cs="Arial"/>
          <w:szCs w:val="21"/>
        </w:rPr>
        <w:t>月</w:t>
      </w:r>
      <w:r>
        <w:rPr>
          <w:rFonts w:ascii="Arial" w:hAnsi="Arial" w:cs="Arial"/>
          <w:szCs w:val="21"/>
        </w:rPr>
        <w:t xml:space="preserve">  </w:t>
      </w:r>
      <w:r>
        <w:rPr>
          <w:rFonts w:hint="eastAsia" w:ascii="Arial" w:hAnsi="Arial" w:cs="Arial"/>
          <w:szCs w:val="21"/>
        </w:rPr>
        <w:t>日</w:t>
      </w:r>
    </w:p>
    <w:p>
      <w:pPr>
        <w:spacing w:line="400" w:lineRule="exact"/>
        <w:rPr>
          <w:rFonts w:ascii="Arial" w:hAnsi="Arial" w:cs="Arial"/>
          <w:szCs w:val="21"/>
        </w:rPr>
      </w:pPr>
    </w:p>
    <w:p>
      <w:pPr>
        <w:spacing w:line="400" w:lineRule="exact"/>
        <w:ind w:firstLine="105" w:firstLineChars="50"/>
        <w:rPr>
          <w:rFonts w:ascii="Arial" w:hAnsi="Arial" w:cs="Arial"/>
          <w:szCs w:val="21"/>
        </w:rPr>
      </w:pPr>
    </w:p>
    <w:p>
      <w:pPr>
        <w:pStyle w:val="9"/>
        <w:snapToGrid w:val="0"/>
        <w:spacing w:beforeLines="0" w:afterLines="0"/>
        <w:jc w:val="center"/>
        <w:outlineLvl w:val="0"/>
        <w:rPr>
          <w:rFonts w:ascii="黑体" w:hAnsi="宋体" w:eastAsia="黑体"/>
          <w:b/>
          <w:bCs/>
          <w:sz w:val="28"/>
          <w:szCs w:val="28"/>
        </w:rPr>
      </w:pPr>
      <w:r>
        <w:rPr>
          <w:rFonts w:hint="eastAsia" w:hAnsi="宋体"/>
          <w:szCs w:val="21"/>
        </w:rPr>
        <w:br w:type="page"/>
      </w:r>
    </w:p>
    <w:p>
      <w:pPr>
        <w:spacing w:line="400" w:lineRule="exact"/>
        <w:jc w:val="center"/>
      </w:pPr>
      <w:r>
        <w:rPr>
          <w:rFonts w:hint="eastAsia" w:ascii="黑体" w:hAnsi="宋体" w:eastAsia="黑体"/>
          <w:b/>
          <w:bCs/>
          <w:sz w:val="28"/>
          <w:szCs w:val="28"/>
        </w:rPr>
        <w:t>第六章  投标文件格式</w:t>
      </w:r>
    </w:p>
    <w:p>
      <w:pPr>
        <w:numPr>
          <w:ilvl w:val="0"/>
          <w:numId w:val="11"/>
        </w:numPr>
        <w:jc w:val="center"/>
      </w:pPr>
      <w:r>
        <w:rPr>
          <w:rFonts w:hint="eastAsia"/>
        </w:rPr>
        <w:t>资格审查文件格式</w:t>
      </w:r>
    </w:p>
    <w:p/>
    <w:p>
      <w:r>
        <w:rPr>
          <w:rFonts w:hint="eastAsia"/>
        </w:rPr>
        <w:t>1.资格审查文件的外包装封面格式：</w:t>
      </w:r>
    </w:p>
    <w:p/>
    <w:p/>
    <w:p>
      <w:pPr>
        <w:snapToGrid w:val="0"/>
        <w:spacing w:beforeLines="50" w:after="50"/>
        <w:ind w:firstLine="3675" w:firstLineChars="1750"/>
        <w:rPr>
          <w:rFonts w:ascii="宋体" w:hAnsi="宋体"/>
          <w:szCs w:val="21"/>
        </w:rPr>
      </w:pPr>
      <w:r>
        <w:rPr>
          <w:rFonts w:hint="eastAsia" w:ascii="宋体" w:hAnsi="宋体"/>
          <w:szCs w:val="21"/>
        </w:rPr>
        <w:t>资格审查文件</w:t>
      </w:r>
    </w:p>
    <w:p/>
    <w:p>
      <w:pPr>
        <w:spacing w:line="360" w:lineRule="auto"/>
      </w:pPr>
      <w:r>
        <w:rPr>
          <w:rFonts w:hint="eastAsia"/>
        </w:rPr>
        <w:t xml:space="preserve">项目名称：                        </w:t>
      </w:r>
    </w:p>
    <w:p>
      <w:pPr>
        <w:spacing w:line="360" w:lineRule="auto"/>
      </w:pPr>
      <w:r>
        <w:rPr>
          <w:rFonts w:hint="eastAsia"/>
        </w:rPr>
        <w:t xml:space="preserve">项目编号： </w:t>
      </w:r>
    </w:p>
    <w:p>
      <w:pPr>
        <w:spacing w:line="360" w:lineRule="auto"/>
      </w:pPr>
      <w:r>
        <w:rPr>
          <w:rFonts w:hint="eastAsia"/>
        </w:rPr>
        <w:t>供应商名称：</w:t>
      </w:r>
    </w:p>
    <w:p>
      <w:pPr>
        <w:spacing w:line="360" w:lineRule="auto"/>
      </w:pPr>
      <w:r>
        <w:rPr>
          <w:rFonts w:hint="eastAsia"/>
        </w:rPr>
        <w:t>供应商地址：</w:t>
      </w:r>
    </w:p>
    <w:p>
      <w:pPr>
        <w:pStyle w:val="6"/>
        <w:snapToGrid w:val="0"/>
        <w:spacing w:before="50" w:after="50"/>
        <w:ind w:firstLine="932" w:firstLineChars="444"/>
        <w:jc w:val="center"/>
        <w:rPr>
          <w:rFonts w:ascii="宋体" w:hAnsi="宋体"/>
          <w:bCs/>
          <w:szCs w:val="21"/>
        </w:rPr>
      </w:pPr>
      <w:r>
        <w:rPr>
          <w:rFonts w:hint="eastAsia"/>
        </w:rPr>
        <w:t>开标时启封</w:t>
      </w:r>
    </w:p>
    <w:p>
      <w:pPr>
        <w:spacing w:line="360" w:lineRule="auto"/>
      </w:pPr>
      <w:r>
        <w:rPr>
          <w:rFonts w:hint="eastAsia"/>
        </w:rPr>
        <w:t xml:space="preserve">      </w:t>
      </w:r>
    </w:p>
    <w:p>
      <w:pPr>
        <w:spacing w:line="360" w:lineRule="auto"/>
      </w:pPr>
      <w:r>
        <w:rPr>
          <w:rFonts w:hint="eastAsia"/>
        </w:rPr>
        <w:t xml:space="preserve">                                                    （供应商公章）</w:t>
      </w:r>
    </w:p>
    <w:p>
      <w:pPr>
        <w:spacing w:line="360" w:lineRule="auto"/>
      </w:pPr>
      <w:r>
        <w:rPr>
          <w:rFonts w:hint="eastAsia"/>
        </w:rPr>
        <w:t xml:space="preserve">                                                      年  月  日</w:t>
      </w:r>
    </w:p>
    <w:p/>
    <w:p>
      <w:r>
        <w:rPr>
          <w:rFonts w:hint="eastAsia"/>
        </w:rPr>
        <w:t xml:space="preserve">2.资格审查文件封面格式： </w:t>
      </w:r>
    </w:p>
    <w:p>
      <w:r>
        <w:rPr>
          <w:rFonts w:hint="eastAsia"/>
        </w:rPr>
        <w:t xml:space="preserve">                                                        正本/或副本</w:t>
      </w:r>
    </w:p>
    <w:p/>
    <w:p/>
    <w:p>
      <w:pPr>
        <w:snapToGrid w:val="0"/>
        <w:spacing w:beforeLines="50" w:after="50"/>
        <w:ind w:firstLine="3675" w:firstLineChars="1750"/>
        <w:rPr>
          <w:rFonts w:ascii="宋体" w:hAnsi="宋体"/>
          <w:szCs w:val="21"/>
        </w:rPr>
      </w:pPr>
      <w:r>
        <w:rPr>
          <w:rFonts w:hint="eastAsia" w:ascii="宋体" w:hAnsi="宋体"/>
          <w:szCs w:val="21"/>
        </w:rPr>
        <w:t>资格审查文件</w:t>
      </w:r>
    </w:p>
    <w:p/>
    <w:p>
      <w:pPr>
        <w:spacing w:line="360" w:lineRule="auto"/>
      </w:pPr>
      <w:r>
        <w:rPr>
          <w:rFonts w:hint="eastAsia"/>
        </w:rPr>
        <w:t xml:space="preserve">项目名称：                       </w:t>
      </w:r>
    </w:p>
    <w:p>
      <w:pPr>
        <w:spacing w:line="360" w:lineRule="auto"/>
      </w:pPr>
      <w:r>
        <w:rPr>
          <w:rFonts w:hint="eastAsia"/>
        </w:rPr>
        <w:t xml:space="preserve">项目编号： </w:t>
      </w:r>
    </w:p>
    <w:p>
      <w:pPr>
        <w:spacing w:line="360" w:lineRule="auto"/>
      </w:pPr>
      <w:r>
        <w:rPr>
          <w:rFonts w:hint="eastAsia"/>
        </w:rPr>
        <w:t>供应商名称：</w:t>
      </w:r>
    </w:p>
    <w:p>
      <w:pPr>
        <w:spacing w:line="360" w:lineRule="auto"/>
      </w:pPr>
      <w:r>
        <w:rPr>
          <w:rFonts w:hint="eastAsia"/>
        </w:rPr>
        <w:t>供应商地址：</w:t>
      </w:r>
    </w:p>
    <w:p>
      <w:pPr>
        <w:spacing w:line="360" w:lineRule="auto"/>
      </w:pPr>
    </w:p>
    <w:p>
      <w:pPr>
        <w:spacing w:line="360" w:lineRule="auto"/>
        <w:ind w:firstLine="5355" w:firstLineChars="2550"/>
      </w:pPr>
      <w:r>
        <w:rPr>
          <w:rFonts w:hint="eastAsia"/>
        </w:rPr>
        <w:t>（供应商公章）</w:t>
      </w:r>
    </w:p>
    <w:p>
      <w:pPr>
        <w:spacing w:line="360" w:lineRule="auto"/>
      </w:pPr>
      <w:r>
        <w:rPr>
          <w:rFonts w:hint="eastAsia"/>
        </w:rPr>
        <w:t xml:space="preserve">                                                       年  月  日</w:t>
      </w:r>
    </w:p>
    <w:p>
      <w:pPr>
        <w:jc w:val="center"/>
      </w:pPr>
    </w:p>
    <w:p>
      <w:pPr>
        <w:jc w:val="center"/>
        <w:sectPr>
          <w:footerReference r:id="rId4" w:type="first"/>
          <w:footerReference r:id="rId3" w:type="default"/>
          <w:pgSz w:w="11906" w:h="16838"/>
          <w:pgMar w:top="1474" w:right="1797" w:bottom="1247" w:left="1797" w:header="851" w:footer="851" w:gutter="0"/>
          <w:cols w:space="720" w:num="1"/>
          <w:titlePg/>
          <w:docGrid w:linePitch="312" w:charSpace="0"/>
        </w:sectPr>
      </w:pPr>
    </w:p>
    <w:p>
      <w:pPr>
        <w:spacing w:line="360" w:lineRule="auto"/>
        <w:rPr>
          <w:b/>
        </w:rPr>
      </w:pPr>
      <w:r>
        <w:rPr>
          <w:rFonts w:hint="eastAsia"/>
          <w:b/>
        </w:rPr>
        <w:t>4.资格条件自查表</w:t>
      </w:r>
    </w:p>
    <w:p>
      <w:pPr>
        <w:adjustRightInd w:val="0"/>
        <w:snapToGrid w:val="0"/>
        <w:jc w:val="center"/>
        <w:rPr>
          <w:rFonts w:ascii="宋体" w:hAnsi="宋体"/>
          <w:b/>
          <w:sz w:val="24"/>
        </w:rPr>
      </w:pPr>
    </w:p>
    <w:p>
      <w:pPr>
        <w:adjustRightInd w:val="0"/>
        <w:snapToGrid w:val="0"/>
        <w:jc w:val="center"/>
        <w:rPr>
          <w:rFonts w:ascii="宋体" w:hAnsi="宋体"/>
          <w:b/>
          <w:sz w:val="24"/>
        </w:rPr>
      </w:pPr>
      <w:r>
        <w:rPr>
          <w:rFonts w:hint="eastAsia" w:ascii="宋体" w:hAnsi="宋体"/>
          <w:b/>
          <w:sz w:val="24"/>
        </w:rPr>
        <w:t>资格条件自查表</w:t>
      </w:r>
    </w:p>
    <w:p>
      <w:pPr>
        <w:spacing w:line="400" w:lineRule="exact"/>
        <w:jc w:val="center"/>
        <w:rPr>
          <w:rFonts w:ascii="宋体" w:hAnsi="宋体"/>
          <w:szCs w:val="21"/>
        </w:rPr>
      </w:pPr>
    </w:p>
    <w:tbl>
      <w:tblPr>
        <w:tblStyle w:val="16"/>
        <w:tblW w:w="81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0" w:type="dxa"/>
          <w:left w:w="150" w:type="dxa"/>
          <w:bottom w:w="150" w:type="dxa"/>
          <w:right w:w="150" w:type="dxa"/>
        </w:tblCellMar>
      </w:tblPr>
      <w:tblGrid>
        <w:gridCol w:w="4739"/>
        <w:gridCol w:w="1851"/>
        <w:gridCol w:w="1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0" w:type="dxa"/>
            <w:left w:w="150" w:type="dxa"/>
            <w:bottom w:w="150" w:type="dxa"/>
            <w:right w:w="150" w:type="dxa"/>
          </w:tblCellMar>
        </w:tblPrEx>
        <w:trPr>
          <w:trHeight w:val="688" w:hRule="atLeast"/>
          <w:jc w:val="center"/>
        </w:trPr>
        <w:tc>
          <w:tcPr>
            <w:tcW w:w="4739" w:type="dxa"/>
            <w:vAlign w:val="center"/>
          </w:tcPr>
          <w:p>
            <w:pPr>
              <w:adjustRightInd w:val="0"/>
              <w:snapToGrid w:val="0"/>
              <w:spacing w:line="400" w:lineRule="exact"/>
              <w:jc w:val="center"/>
              <w:rPr>
                <w:rFonts w:ascii="宋体" w:hAnsi="宋体" w:cs="宋体"/>
                <w:b/>
                <w:szCs w:val="21"/>
              </w:rPr>
            </w:pPr>
            <w:r>
              <w:rPr>
                <w:rStyle w:val="19"/>
                <w:rFonts w:hint="eastAsia" w:ascii="宋体" w:hAnsi="宋体" w:cs="宋体"/>
                <w:b w:val="0"/>
                <w:szCs w:val="21"/>
              </w:rPr>
              <w:t>采购文件要求</w:t>
            </w:r>
          </w:p>
        </w:tc>
        <w:tc>
          <w:tcPr>
            <w:tcW w:w="1851" w:type="dxa"/>
            <w:vAlign w:val="center"/>
          </w:tcPr>
          <w:p>
            <w:pPr>
              <w:adjustRightInd w:val="0"/>
              <w:snapToGrid w:val="0"/>
              <w:spacing w:line="400" w:lineRule="exact"/>
              <w:jc w:val="center"/>
              <w:rPr>
                <w:rStyle w:val="19"/>
                <w:rFonts w:ascii="宋体" w:hAnsi="宋体" w:cs="宋体"/>
                <w:b w:val="0"/>
                <w:szCs w:val="21"/>
              </w:rPr>
            </w:pPr>
            <w:r>
              <w:rPr>
                <w:rStyle w:val="19"/>
                <w:rFonts w:hint="eastAsia" w:ascii="宋体" w:hAnsi="宋体" w:cs="宋体"/>
                <w:b w:val="0"/>
                <w:szCs w:val="21"/>
              </w:rPr>
              <w:t>自查结论</w:t>
            </w:r>
          </w:p>
          <w:p>
            <w:pPr>
              <w:pStyle w:val="15"/>
              <w:spacing w:after="0" w:line="400" w:lineRule="exact"/>
              <w:ind w:left="0" w:leftChars="0" w:firstLine="0" w:firstLineChars="0"/>
              <w:jc w:val="center"/>
              <w:rPr>
                <w:rStyle w:val="19"/>
                <w:rFonts w:ascii="宋体" w:hAnsi="宋体" w:cs="宋体"/>
                <w:b w:val="0"/>
                <w:szCs w:val="21"/>
              </w:rPr>
            </w:pPr>
            <w:r>
              <w:rPr>
                <w:rStyle w:val="19"/>
                <w:rFonts w:hint="eastAsia" w:ascii="宋体" w:hAnsi="宋体" w:cs="宋体"/>
                <w:b w:val="0"/>
                <w:szCs w:val="21"/>
              </w:rPr>
              <w:t>（符合/不符合）</w:t>
            </w:r>
          </w:p>
        </w:tc>
        <w:tc>
          <w:tcPr>
            <w:tcW w:w="1548" w:type="dxa"/>
            <w:vAlign w:val="center"/>
          </w:tcPr>
          <w:p>
            <w:pPr>
              <w:adjustRightInd w:val="0"/>
              <w:snapToGrid w:val="0"/>
              <w:spacing w:line="400" w:lineRule="exact"/>
              <w:jc w:val="center"/>
              <w:rPr>
                <w:rStyle w:val="19"/>
                <w:rFonts w:ascii="宋体" w:hAnsi="宋体" w:cs="宋体"/>
                <w:b w:val="0"/>
                <w:szCs w:val="21"/>
              </w:rPr>
            </w:pPr>
            <w:r>
              <w:rPr>
                <w:rStyle w:val="19"/>
                <w:rFonts w:hint="eastAsia" w:ascii="宋体" w:hAnsi="宋体" w:cs="宋体"/>
                <w:b w:val="0"/>
                <w:szCs w:val="21"/>
              </w:rPr>
              <w:t>证明资料</w:t>
            </w:r>
          </w:p>
          <w:p>
            <w:pPr>
              <w:adjustRightInd w:val="0"/>
              <w:snapToGrid w:val="0"/>
              <w:spacing w:line="400" w:lineRule="exact"/>
              <w:jc w:val="center"/>
              <w:rPr>
                <w:rFonts w:ascii="宋体" w:hAnsi="宋体" w:cs="宋体"/>
                <w:b/>
                <w:szCs w:val="21"/>
              </w:rPr>
            </w:pPr>
            <w:r>
              <w:rPr>
                <w:rStyle w:val="19"/>
                <w:rFonts w:hint="eastAsia" w:ascii="宋体" w:hAnsi="宋体" w:cs="宋体"/>
                <w:b w:val="0"/>
                <w:szCs w:val="21"/>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0" w:type="dxa"/>
            <w:left w:w="150" w:type="dxa"/>
            <w:bottom w:w="150" w:type="dxa"/>
            <w:right w:w="150" w:type="dxa"/>
          </w:tblCellMar>
        </w:tblPrEx>
        <w:trPr>
          <w:trHeight w:val="420" w:hRule="atLeast"/>
          <w:jc w:val="center"/>
        </w:trPr>
        <w:tc>
          <w:tcPr>
            <w:tcW w:w="4739" w:type="dxa"/>
            <w:vAlign w:val="center"/>
          </w:tcPr>
          <w:p>
            <w:pPr>
              <w:adjustRightInd w:val="0"/>
              <w:snapToGrid w:val="0"/>
              <w:spacing w:line="400" w:lineRule="exact"/>
              <w:rPr>
                <w:rFonts w:ascii="宋体" w:hAnsi="宋体" w:cs="宋体"/>
                <w:szCs w:val="21"/>
              </w:rPr>
            </w:pPr>
            <w:r>
              <w:rPr>
                <w:rFonts w:hint="eastAsia" w:ascii="宋体" w:hAnsi="宋体"/>
                <w:szCs w:val="21"/>
              </w:rPr>
              <w:t>1.符合《中华人民共和国政府采购法》第二十二条规定的投标人承诺书；（格式见附件一）</w:t>
            </w:r>
          </w:p>
        </w:tc>
        <w:tc>
          <w:tcPr>
            <w:tcW w:w="1851" w:type="dxa"/>
            <w:vAlign w:val="center"/>
          </w:tcPr>
          <w:p>
            <w:pPr>
              <w:adjustRightInd w:val="0"/>
              <w:snapToGrid w:val="0"/>
              <w:spacing w:line="400" w:lineRule="exact"/>
              <w:rPr>
                <w:rFonts w:ascii="宋体" w:hAnsi="宋体" w:cs="宋体"/>
                <w:szCs w:val="21"/>
              </w:rPr>
            </w:pPr>
          </w:p>
        </w:tc>
        <w:tc>
          <w:tcPr>
            <w:tcW w:w="1548" w:type="dxa"/>
            <w:vAlign w:val="center"/>
          </w:tcPr>
          <w:p>
            <w:pPr>
              <w:adjustRightInd w:val="0"/>
              <w:snapToGrid w:val="0"/>
              <w:spacing w:line="400" w:lineRule="exact"/>
              <w:jc w:val="center"/>
              <w:rPr>
                <w:rFonts w:ascii="宋体" w:hAnsi="宋体" w:cs="宋体"/>
                <w:szCs w:val="21"/>
              </w:rPr>
            </w:pPr>
            <w:r>
              <w:rPr>
                <w:rFonts w:hint="eastAsia" w:ascii="Calibri" w:hAnsi="宋体"/>
                <w:szCs w:val="21"/>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0" w:type="dxa"/>
            <w:left w:w="150" w:type="dxa"/>
            <w:bottom w:w="150" w:type="dxa"/>
            <w:right w:w="150" w:type="dxa"/>
          </w:tblCellMar>
        </w:tblPrEx>
        <w:trPr>
          <w:trHeight w:val="1159" w:hRule="atLeast"/>
          <w:jc w:val="center"/>
        </w:trPr>
        <w:tc>
          <w:tcPr>
            <w:tcW w:w="4739" w:type="dxa"/>
            <w:vAlign w:val="center"/>
          </w:tcPr>
          <w:p>
            <w:pPr>
              <w:adjustRightInd w:val="0"/>
              <w:snapToGrid w:val="0"/>
              <w:spacing w:line="400" w:lineRule="exact"/>
              <w:rPr>
                <w:rFonts w:ascii="宋体" w:hAnsi="宋体"/>
                <w:szCs w:val="21"/>
              </w:rPr>
            </w:pPr>
            <w:r>
              <w:rPr>
                <w:rFonts w:hint="eastAsia" w:ascii="宋体" w:hAnsi="宋体" w:cs="宋体"/>
                <w:szCs w:val="21"/>
              </w:rPr>
              <w:t>2.</w:t>
            </w:r>
            <w:r>
              <w:rPr>
                <w:rFonts w:hint="eastAsia" w:ascii="宋体" w:hAnsi="宋体" w:cs="宋体"/>
              </w:rPr>
              <w:t>特定资格条件：见采购公告中合格投标人的资格要求的特定资格条件；</w:t>
            </w:r>
            <w:r>
              <w:rPr>
                <w:rFonts w:hint="eastAsia" w:ascii="宋体" w:hAnsi="宋体" w:cs="宋体"/>
                <w:szCs w:val="21"/>
              </w:rPr>
              <w:t>（如没有，则无须提供相关证明资料）</w:t>
            </w:r>
          </w:p>
        </w:tc>
        <w:tc>
          <w:tcPr>
            <w:tcW w:w="1851" w:type="dxa"/>
            <w:vAlign w:val="center"/>
          </w:tcPr>
          <w:p>
            <w:pPr>
              <w:adjustRightInd w:val="0"/>
              <w:snapToGrid w:val="0"/>
              <w:spacing w:line="400" w:lineRule="exact"/>
              <w:rPr>
                <w:rFonts w:ascii="宋体" w:hAnsi="宋体" w:cs="宋体"/>
                <w:szCs w:val="21"/>
              </w:rPr>
            </w:pPr>
          </w:p>
        </w:tc>
        <w:tc>
          <w:tcPr>
            <w:tcW w:w="1548" w:type="dxa"/>
            <w:vAlign w:val="center"/>
          </w:tcPr>
          <w:p>
            <w:pPr>
              <w:adjustRightInd w:val="0"/>
              <w:snapToGrid w:val="0"/>
              <w:spacing w:line="400" w:lineRule="exact"/>
              <w:jc w:val="center"/>
              <w:rPr>
                <w:rFonts w:ascii="Calibri" w:hAnsi="宋体"/>
                <w:szCs w:val="21"/>
              </w:rPr>
            </w:pPr>
            <w:r>
              <w:rPr>
                <w:rFonts w:hint="eastAsia" w:ascii="Calibri" w:hAnsi="宋体"/>
                <w:szCs w:val="21"/>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0" w:type="dxa"/>
            <w:left w:w="150" w:type="dxa"/>
            <w:bottom w:w="150" w:type="dxa"/>
            <w:right w:w="150" w:type="dxa"/>
          </w:tblCellMar>
        </w:tblPrEx>
        <w:trPr>
          <w:trHeight w:val="48" w:hRule="atLeast"/>
          <w:jc w:val="center"/>
        </w:trPr>
        <w:tc>
          <w:tcPr>
            <w:tcW w:w="4739" w:type="dxa"/>
            <w:vAlign w:val="center"/>
          </w:tcPr>
          <w:p>
            <w:pPr>
              <w:adjustRightInd w:val="0"/>
              <w:snapToGrid w:val="0"/>
              <w:spacing w:line="400" w:lineRule="exact"/>
              <w:rPr>
                <w:rFonts w:ascii="宋体" w:hAnsi="宋体" w:cs="宋体"/>
                <w:color w:val="000000"/>
                <w:szCs w:val="21"/>
              </w:rPr>
            </w:pPr>
            <w:r>
              <w:rPr>
                <w:rFonts w:hint="eastAsia" w:ascii="宋体" w:hAnsi="宋体" w:cs="宋体"/>
                <w:color w:val="000000"/>
                <w:szCs w:val="21"/>
              </w:rPr>
              <w:t>3.联合体投标</w:t>
            </w:r>
            <w:r>
              <w:rPr>
                <w:rFonts w:hint="eastAsia" w:ascii="宋体" w:hAnsi="宋体" w:cs="宋体"/>
                <w:color w:val="000000"/>
              </w:rPr>
              <w:t>：见采购公告中合格投标人的资格要求</w:t>
            </w:r>
            <w:r>
              <w:rPr>
                <w:rFonts w:hint="eastAsia" w:ascii="宋体" w:hAnsi="宋体" w:cs="宋体"/>
                <w:color w:val="000000"/>
                <w:szCs w:val="21"/>
              </w:rPr>
              <w:t>；（如没有，则无须提供相关证明资料）</w:t>
            </w:r>
          </w:p>
        </w:tc>
        <w:tc>
          <w:tcPr>
            <w:tcW w:w="1851" w:type="dxa"/>
            <w:vAlign w:val="center"/>
          </w:tcPr>
          <w:p>
            <w:pPr>
              <w:adjustRightInd w:val="0"/>
              <w:snapToGrid w:val="0"/>
              <w:spacing w:line="400" w:lineRule="exact"/>
              <w:rPr>
                <w:rFonts w:ascii="宋体" w:hAnsi="宋体" w:cs="宋体"/>
                <w:color w:val="000000"/>
                <w:szCs w:val="21"/>
              </w:rPr>
            </w:pPr>
          </w:p>
        </w:tc>
        <w:tc>
          <w:tcPr>
            <w:tcW w:w="1548" w:type="dxa"/>
            <w:vAlign w:val="center"/>
          </w:tcPr>
          <w:p>
            <w:pPr>
              <w:adjustRightInd w:val="0"/>
              <w:snapToGrid w:val="0"/>
              <w:spacing w:line="400" w:lineRule="exact"/>
              <w:jc w:val="center"/>
              <w:rPr>
                <w:rFonts w:ascii="宋体" w:hAnsi="宋体" w:cs="宋体"/>
                <w:color w:val="000000"/>
                <w:szCs w:val="21"/>
              </w:rPr>
            </w:pPr>
            <w:r>
              <w:rPr>
                <w:rFonts w:hint="eastAsia" w:ascii="Calibri" w:hAnsi="宋体"/>
                <w:szCs w:val="21"/>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0" w:type="dxa"/>
            <w:left w:w="150" w:type="dxa"/>
            <w:bottom w:w="150" w:type="dxa"/>
            <w:right w:w="150" w:type="dxa"/>
          </w:tblCellMar>
        </w:tblPrEx>
        <w:trPr>
          <w:trHeight w:val="12" w:hRule="atLeast"/>
          <w:jc w:val="center"/>
        </w:trPr>
        <w:tc>
          <w:tcPr>
            <w:tcW w:w="4739" w:type="dxa"/>
            <w:vAlign w:val="center"/>
          </w:tcPr>
          <w:p>
            <w:pPr>
              <w:spacing w:line="400" w:lineRule="exact"/>
              <w:rPr>
                <w:rFonts w:ascii="宋体" w:hAnsi="宋体" w:cs="宋体"/>
                <w:szCs w:val="21"/>
              </w:rPr>
            </w:pPr>
            <w:r>
              <w:rPr>
                <w:rFonts w:hint="eastAsia" w:ascii="宋体" w:hAnsi="宋体" w:cs="宋体"/>
                <w:color w:val="000000"/>
              </w:rPr>
              <w:t>4.</w:t>
            </w:r>
            <w:r>
              <w:rPr>
                <w:rFonts w:hint="eastAsia" w:ascii="宋体" w:hAnsi="宋体"/>
                <w:szCs w:val="21"/>
              </w:rPr>
              <w:t>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投标截止日当天在“信用中国”网站（www.creditchina.gov.cn）及中国政府采购网查询结果为准，如相关失信记录已失效，供应商需提供相关证明资料）</w:t>
            </w:r>
          </w:p>
        </w:tc>
        <w:tc>
          <w:tcPr>
            <w:tcW w:w="1851" w:type="dxa"/>
            <w:vAlign w:val="center"/>
          </w:tcPr>
          <w:p>
            <w:pPr>
              <w:adjustRightInd w:val="0"/>
              <w:snapToGrid w:val="0"/>
              <w:spacing w:line="400" w:lineRule="exact"/>
              <w:rPr>
                <w:rFonts w:ascii="宋体" w:hAnsi="宋体" w:cs="宋体"/>
                <w:color w:val="000000"/>
                <w:szCs w:val="21"/>
              </w:rPr>
            </w:pPr>
          </w:p>
        </w:tc>
        <w:tc>
          <w:tcPr>
            <w:tcW w:w="1548" w:type="dxa"/>
            <w:vAlign w:val="center"/>
          </w:tcPr>
          <w:p>
            <w:pPr>
              <w:adjustRightInd w:val="0"/>
              <w:snapToGrid w:val="0"/>
              <w:spacing w:line="400" w:lineRule="exact"/>
              <w:jc w:val="center"/>
              <w:rPr>
                <w:rFonts w:ascii="宋体" w:hAnsi="宋体" w:cs="宋体"/>
                <w:color w:val="000000"/>
                <w:szCs w:val="21"/>
              </w:rPr>
            </w:pPr>
            <w:r>
              <w:rPr>
                <w:rFonts w:hint="eastAsia" w:ascii="Calibri" w:hAnsi="宋体"/>
                <w:szCs w:val="21"/>
              </w:rPr>
              <w:t>第（）页</w:t>
            </w:r>
          </w:p>
        </w:tc>
      </w:tr>
    </w:tbl>
    <w:p>
      <w:pPr>
        <w:spacing w:line="400" w:lineRule="exact"/>
        <w:rPr>
          <w:rFonts w:ascii="宋体" w:hAnsi="宋体"/>
          <w:szCs w:val="21"/>
        </w:rPr>
      </w:pPr>
      <w:r>
        <w:rPr>
          <w:rFonts w:hint="eastAsia" w:ascii="宋体" w:hAnsi="宋体"/>
          <w:b/>
          <w:szCs w:val="21"/>
        </w:rPr>
        <w:t>备注：资格条件自查表将作为</w:t>
      </w:r>
      <w:r>
        <w:rPr>
          <w:rFonts w:hint="eastAsia" w:ascii="宋体" w:hAnsi="宋体"/>
          <w:b/>
          <w:bCs/>
          <w:szCs w:val="21"/>
        </w:rPr>
        <w:t>投标人</w:t>
      </w:r>
      <w:r>
        <w:rPr>
          <w:rFonts w:hint="eastAsia" w:ascii="宋体" w:hAnsi="宋体"/>
          <w:b/>
          <w:szCs w:val="21"/>
        </w:rPr>
        <w:t>有效性审查的重要内容之一，</w:t>
      </w:r>
      <w:r>
        <w:rPr>
          <w:rFonts w:hint="eastAsia" w:ascii="宋体" w:hAnsi="宋体"/>
          <w:b/>
          <w:bCs/>
          <w:szCs w:val="21"/>
        </w:rPr>
        <w:t>投标人</w:t>
      </w:r>
      <w:r>
        <w:rPr>
          <w:rFonts w:hint="eastAsia" w:ascii="宋体" w:hAnsi="宋体"/>
          <w:b/>
          <w:szCs w:val="21"/>
        </w:rPr>
        <w:t>必须严格按照其内容及序列要求在投标文件中对应如实提供，对资格性证明文件的任何缺漏和不符合项将会直接导致投标无效！</w:t>
      </w:r>
    </w:p>
    <w:p>
      <w:pPr>
        <w:spacing w:line="400" w:lineRule="exact"/>
        <w:rPr>
          <w:rFonts w:ascii="宋体" w:hAnsi="宋体"/>
          <w:szCs w:val="21"/>
        </w:rPr>
      </w:pPr>
    </w:p>
    <w:p>
      <w:pPr>
        <w:rPr>
          <w:b/>
        </w:rPr>
      </w:pPr>
    </w:p>
    <w:p>
      <w:pPr>
        <w:pStyle w:val="2"/>
        <w:widowControl w:val="0"/>
        <w:numPr>
          <w:ilvl w:val="0"/>
          <w:numId w:val="0"/>
        </w:numPr>
        <w:spacing w:line="360" w:lineRule="auto"/>
        <w:jc w:val="both"/>
        <w:rPr>
          <w:b/>
        </w:rPr>
      </w:pPr>
    </w:p>
    <w:p>
      <w:pPr>
        <w:pStyle w:val="2"/>
        <w:widowControl w:val="0"/>
        <w:numPr>
          <w:ilvl w:val="0"/>
          <w:numId w:val="0"/>
        </w:numPr>
        <w:spacing w:line="360" w:lineRule="auto"/>
        <w:jc w:val="both"/>
        <w:rPr>
          <w:b/>
        </w:rPr>
      </w:pPr>
    </w:p>
    <w:p>
      <w:pPr>
        <w:pStyle w:val="2"/>
        <w:widowControl w:val="0"/>
        <w:numPr>
          <w:ilvl w:val="0"/>
          <w:numId w:val="0"/>
        </w:numPr>
        <w:spacing w:line="360" w:lineRule="auto"/>
        <w:jc w:val="both"/>
        <w:rPr>
          <w:b/>
        </w:rPr>
      </w:pPr>
    </w:p>
    <w:p>
      <w:pPr>
        <w:rPr>
          <w:b/>
        </w:rPr>
      </w:pPr>
      <w:r>
        <w:rPr>
          <w:rFonts w:hint="eastAsia"/>
          <w:b/>
        </w:rPr>
        <w:t>5.投标声明书</w:t>
      </w:r>
    </w:p>
    <w:p>
      <w:pPr>
        <w:jc w:val="center"/>
        <w:outlineLvl w:val="2"/>
        <w:rPr>
          <w:rFonts w:ascii="宋体" w:hAnsi="宋体"/>
          <w:b/>
          <w:sz w:val="28"/>
          <w:szCs w:val="28"/>
        </w:rPr>
      </w:pPr>
      <w:bookmarkStart w:id="29" w:name="_Toc275865606"/>
    </w:p>
    <w:bookmarkEnd w:id="29"/>
    <w:p>
      <w:pPr>
        <w:jc w:val="center"/>
        <w:rPr>
          <w:rFonts w:ascii="宋体" w:hAnsi="宋体"/>
          <w:b/>
          <w:sz w:val="28"/>
          <w:szCs w:val="28"/>
        </w:rPr>
      </w:pPr>
      <w:r>
        <w:rPr>
          <w:rFonts w:hint="eastAsia" w:ascii="宋体" w:hAnsi="宋体"/>
          <w:b/>
          <w:sz w:val="28"/>
          <w:szCs w:val="28"/>
        </w:rPr>
        <w:t>投标声明书</w:t>
      </w:r>
    </w:p>
    <w:p>
      <w:pPr>
        <w:rPr>
          <w:rFonts w:ascii="宋体" w:hAnsi="宋体"/>
          <w:b/>
        </w:rPr>
      </w:pPr>
    </w:p>
    <w:p>
      <w:pPr>
        <w:rPr>
          <w:rFonts w:ascii="宋体" w:hAnsi="宋体"/>
          <w:b/>
        </w:rPr>
      </w:pPr>
      <w:r>
        <w:rPr>
          <w:rFonts w:hint="eastAsia" w:ascii="宋体" w:hAnsi="宋体"/>
          <w:b/>
        </w:rPr>
        <w:t>宁波国际投资咨询有限公司：</w:t>
      </w:r>
    </w:p>
    <w:p>
      <w:pPr>
        <w:snapToGrid w:val="0"/>
        <w:spacing w:beforeLines="50" w:line="360" w:lineRule="auto"/>
        <w:ind w:firstLine="424" w:firstLineChars="202"/>
        <w:rPr>
          <w:rFonts w:ascii="宋体" w:hAnsi="宋体"/>
        </w:rPr>
      </w:pPr>
      <w:r>
        <w:rPr>
          <w:rFonts w:hint="eastAsia" w:ascii="宋体" w:hAnsi="宋体"/>
        </w:rPr>
        <w:t>关于你贵司</w:t>
      </w:r>
      <w:r>
        <w:rPr>
          <w:rFonts w:hint="eastAsia" w:ascii="宋体" w:hAnsi="宋体"/>
          <w:u w:val="single"/>
        </w:rPr>
        <w:t xml:space="preserve">      </w:t>
      </w:r>
      <w:r>
        <w:rPr>
          <w:rFonts w:hint="eastAsia" w:ascii="宋体" w:hAnsi="宋体"/>
        </w:rPr>
        <w:t>年</w:t>
      </w:r>
      <w:r>
        <w:rPr>
          <w:rFonts w:hint="eastAsia" w:ascii="宋体" w:hAnsi="宋体"/>
          <w:u w:val="single"/>
        </w:rPr>
        <w:t>　　</w:t>
      </w:r>
      <w:r>
        <w:rPr>
          <w:rFonts w:hint="eastAsia" w:ascii="宋体" w:hAnsi="宋体"/>
        </w:rPr>
        <w:t>月</w:t>
      </w:r>
      <w:r>
        <w:rPr>
          <w:rFonts w:hint="eastAsia" w:ascii="宋体" w:hAnsi="宋体"/>
          <w:u w:val="single"/>
        </w:rPr>
        <w:t>　　</w:t>
      </w:r>
      <w:r>
        <w:rPr>
          <w:rFonts w:hint="eastAsia" w:ascii="宋体" w:hAnsi="宋体"/>
        </w:rPr>
        <w:t>日发布</w:t>
      </w:r>
      <w:r>
        <w:rPr>
          <w:rFonts w:ascii="宋体" w:hAnsi="宋体"/>
          <w:u w:val="single"/>
        </w:rPr>
        <w:t xml:space="preserve">  </w:t>
      </w:r>
      <w:r>
        <w:rPr>
          <w:rFonts w:hint="eastAsia" w:ascii="宋体" w:hAnsi="宋体"/>
          <w:kern w:val="28"/>
          <w:u w:val="single"/>
        </w:rPr>
        <w:t>XXXXXXXXXXXXXXXXXXXXXXXXXXXX</w:t>
      </w:r>
      <w:r>
        <w:rPr>
          <w:rFonts w:ascii="宋体" w:hAnsi="宋体"/>
          <w:u w:val="single"/>
        </w:rPr>
        <w:t xml:space="preserve">  </w:t>
      </w:r>
      <w:r>
        <w:rPr>
          <w:rFonts w:hint="eastAsia" w:ascii="宋体" w:hAnsi="宋体"/>
        </w:rPr>
        <w:t>项目（项目编号：　　　）的采购公告，本公司（企业）愿意参加投标，并声明：</w:t>
      </w:r>
    </w:p>
    <w:p>
      <w:pPr>
        <w:snapToGrid w:val="0"/>
        <w:spacing w:line="360" w:lineRule="auto"/>
        <w:ind w:firstLine="424" w:firstLineChars="202"/>
        <w:rPr>
          <w:rFonts w:ascii="宋体" w:hAnsi="宋体"/>
        </w:rPr>
      </w:pPr>
      <w:r>
        <w:rPr>
          <w:rFonts w:hint="eastAsia" w:ascii="宋体" w:hAnsi="宋体"/>
        </w:rPr>
        <w:t>本公司（企业）具备</w:t>
      </w:r>
      <w:r>
        <w:rPr>
          <w:rFonts w:hint="eastAsia" w:ascii="宋体" w:hAnsi="宋体"/>
          <w:bCs/>
          <w:szCs w:val="21"/>
        </w:rPr>
        <w:t>《中华人民共和国政府采购法》第二十二条资格条件，</w:t>
      </w:r>
      <w:r>
        <w:rPr>
          <w:rFonts w:hint="eastAsia" w:ascii="宋体" w:hAnsi="宋体"/>
        </w:rPr>
        <w:t>并已清楚采购文件的要求及有关文件规定。</w:t>
      </w:r>
    </w:p>
    <w:p>
      <w:pPr>
        <w:snapToGrid w:val="0"/>
        <w:spacing w:line="360" w:lineRule="auto"/>
        <w:ind w:firstLine="424" w:firstLineChars="202"/>
        <w:rPr>
          <w:rFonts w:ascii="宋体" w:hAnsi="宋体"/>
        </w:rPr>
      </w:pPr>
      <w:r>
        <w:rPr>
          <w:rFonts w:hint="eastAsia" w:ascii="宋体" w:hAnsi="宋体"/>
        </w:rPr>
        <w:t>本公司（企业）的法定代表人或单位负责人与所参投的本采购项目的其他供应商的法定代表人或单位负责人不为同一人且与其他供应商之间不存在直接控股、管理关系。</w:t>
      </w:r>
    </w:p>
    <w:p>
      <w:pPr>
        <w:snapToGrid w:val="0"/>
        <w:spacing w:line="380" w:lineRule="exact"/>
        <w:ind w:firstLine="420" w:firstLineChars="200"/>
        <w:rPr>
          <w:rFonts w:ascii="宋体" w:hAnsi="宋体"/>
        </w:rPr>
      </w:pPr>
      <w:r>
        <w:rPr>
          <w:rFonts w:hint="eastAsia" w:ascii="宋体" w:hAnsi="宋体"/>
        </w:rPr>
        <w:t>根据《中华人民共和国政府采购法实施条例》的规定，本公司（企业）如为本采购项目提供整体设计、规范编制或者项目管理、监理、检测等服务的供应商，不得再参加该采购项目的其他采购活动。否则，由此所造成的损失、不良后果及法律责任，一律由我公司（企业）承担。</w:t>
      </w:r>
    </w:p>
    <w:p>
      <w:pPr>
        <w:snapToGrid w:val="0"/>
        <w:spacing w:line="360" w:lineRule="auto"/>
        <w:ind w:firstLine="426" w:firstLineChars="202"/>
        <w:rPr>
          <w:rFonts w:ascii="宋体" w:hAnsi="宋体"/>
        </w:rPr>
      </w:pPr>
      <w:r>
        <w:rPr>
          <w:rFonts w:hint="eastAsia" w:ascii="宋体" w:hAnsi="宋体"/>
          <w:b/>
        </w:rPr>
        <w:t>本公司（企业）</w:t>
      </w:r>
      <w:r>
        <w:rPr>
          <w:rFonts w:ascii="宋体" w:hAnsi="宋体"/>
          <w:b/>
        </w:rPr>
        <w:t>具有履行合同所必需的设备和专业技术能力</w:t>
      </w:r>
      <w:r>
        <w:rPr>
          <w:rFonts w:hint="eastAsia" w:ascii="宋体" w:hAnsi="宋体"/>
          <w:b/>
        </w:rPr>
        <w:t>，且本公司（企业）参加政府采购活动前</w:t>
      </w:r>
      <w:r>
        <w:rPr>
          <w:rFonts w:ascii="宋体" w:hAnsi="宋体"/>
          <w:b/>
        </w:rPr>
        <w:t>3</w:t>
      </w:r>
      <w:r>
        <w:rPr>
          <w:rFonts w:hint="eastAsia" w:ascii="宋体" w:hAnsi="宋体"/>
          <w:b/>
        </w:rPr>
        <w:t>年内在经营活动中没有重大违法记录。</w:t>
      </w:r>
      <w:r>
        <w:rPr>
          <w:rFonts w:hint="eastAsia" w:ascii="宋体" w:hAnsi="宋体"/>
        </w:rPr>
        <w:t>否则，由此所造成的损失、不良后果及法律责任，一律由我公司（企业）承担。</w:t>
      </w:r>
    </w:p>
    <w:p>
      <w:pPr>
        <w:snapToGrid w:val="0"/>
        <w:spacing w:line="360" w:lineRule="auto"/>
        <w:ind w:firstLine="426" w:firstLineChars="202"/>
        <w:rPr>
          <w:rFonts w:ascii="宋体" w:hAnsi="宋体"/>
          <w:b/>
          <w:bCs/>
        </w:rPr>
      </w:pPr>
      <w:r>
        <w:rPr>
          <w:rFonts w:hint="eastAsia" w:ascii="宋体" w:hAnsi="宋体"/>
          <w:b/>
          <w:bCs/>
        </w:rPr>
        <w:t>本公司（企业）</w:t>
      </w:r>
      <w:r>
        <w:rPr>
          <w:rFonts w:hint="eastAsia" w:ascii="宋体" w:hAnsi="宋体"/>
          <w:b/>
          <w:bCs/>
          <w:szCs w:val="21"/>
        </w:rPr>
        <w:t>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w:t>
      </w:r>
      <w:r>
        <w:rPr>
          <w:rFonts w:hint="eastAsia" w:ascii="宋体" w:hAnsi="宋体"/>
          <w:b/>
          <w:bCs/>
        </w:rPr>
        <w:t>否则，由此所造成的损失、不良后果及法律责任，一律由我公司（企业）承担。</w:t>
      </w:r>
    </w:p>
    <w:p>
      <w:pPr>
        <w:snapToGrid w:val="0"/>
        <w:spacing w:line="360" w:lineRule="auto"/>
        <w:ind w:firstLine="426" w:firstLineChars="202"/>
        <w:rPr>
          <w:rFonts w:ascii="宋体" w:hAnsi="宋体"/>
          <w:b/>
          <w:bCs/>
        </w:rPr>
      </w:pPr>
    </w:p>
    <w:p>
      <w:pPr>
        <w:snapToGrid w:val="0"/>
        <w:spacing w:line="360" w:lineRule="auto"/>
        <w:ind w:firstLine="424" w:firstLineChars="202"/>
        <w:rPr>
          <w:rFonts w:ascii="宋体" w:hAnsi="宋体"/>
        </w:rPr>
      </w:pPr>
      <w:r>
        <w:rPr>
          <w:rFonts w:hint="eastAsia" w:ascii="宋体" w:hAnsi="宋体"/>
        </w:rPr>
        <w:t>本次招标采购活动中，如有违法、违规、弄虚作假行为，所造成的损失、不良后果及法律责任，一律由我公司（企业）承担。</w:t>
      </w:r>
    </w:p>
    <w:p>
      <w:pPr>
        <w:spacing w:line="360" w:lineRule="auto"/>
        <w:ind w:firstLine="420"/>
        <w:rPr>
          <w:rFonts w:ascii="宋体" w:hAnsi="宋体"/>
          <w:b/>
        </w:rPr>
      </w:pPr>
      <w:r>
        <w:rPr>
          <w:rFonts w:hint="eastAsia" w:ascii="宋体" w:hAnsi="宋体"/>
          <w:b/>
        </w:rPr>
        <w:t>特此声明！</w:t>
      </w:r>
    </w:p>
    <w:p>
      <w:pPr>
        <w:adjustRightInd w:val="0"/>
        <w:snapToGrid w:val="0"/>
        <w:spacing w:line="360" w:lineRule="auto"/>
        <w:ind w:left="425"/>
        <w:rPr>
          <w:rFonts w:ascii="宋体" w:hAnsi="宋体"/>
          <w:spacing w:val="4"/>
        </w:rPr>
      </w:pPr>
    </w:p>
    <w:p>
      <w:pPr>
        <w:spacing w:line="360" w:lineRule="auto"/>
        <w:ind w:right="420" w:firstLine="3150" w:firstLineChars="1500"/>
      </w:pPr>
      <w:r>
        <w:rPr>
          <w:rFonts w:hint="eastAsia"/>
        </w:rPr>
        <w:t xml:space="preserve">法定代表人或授权代表签名：     </w:t>
      </w:r>
    </w:p>
    <w:p>
      <w:pPr>
        <w:spacing w:line="360" w:lineRule="auto"/>
        <w:ind w:right="420" w:firstLine="3150" w:firstLineChars="1500"/>
      </w:pPr>
      <w:r>
        <w:rPr>
          <w:rFonts w:hint="eastAsia"/>
        </w:rPr>
        <w:t xml:space="preserve">供应商公章：                               </w:t>
      </w:r>
    </w:p>
    <w:p>
      <w:pPr>
        <w:spacing w:line="360" w:lineRule="auto"/>
        <w:ind w:right="420" w:firstLine="3045" w:firstLineChars="1450"/>
      </w:pPr>
      <w:r>
        <w:rPr>
          <w:rFonts w:hint="eastAsia"/>
        </w:rPr>
        <w:t xml:space="preserve"> 年    月    日</w:t>
      </w:r>
    </w:p>
    <w:p>
      <w:pPr>
        <w:rPr>
          <w:rFonts w:ascii="宋体" w:hAnsi="宋体"/>
          <w:b/>
        </w:rPr>
      </w:pPr>
      <w:r>
        <w:rPr>
          <w:rFonts w:hint="eastAsia" w:ascii="宋体" w:hAnsi="宋体"/>
          <w:b/>
        </w:rPr>
        <w:br w:type="page"/>
      </w:r>
      <w:r>
        <w:rPr>
          <w:rFonts w:hint="eastAsia" w:ascii="宋体" w:hAnsi="宋体"/>
          <w:b/>
        </w:rPr>
        <w:t>6.《中华人民共和国政府采购法》第二十二条规定的供应商资格条件：</w:t>
      </w:r>
    </w:p>
    <w:p>
      <w:pPr>
        <w:spacing w:line="360" w:lineRule="auto"/>
        <w:ind w:firstLine="420" w:firstLineChars="200"/>
      </w:pPr>
      <w:r>
        <w:rPr>
          <w:rFonts w:hint="eastAsia"/>
        </w:rPr>
        <w:t>（1）有效的企业法人营业执照（或事业法人登记证）、其他组织（个体工商户）的营业执照或者民办非企业单位登记证书复印件</w:t>
      </w:r>
    </w:p>
    <w:p>
      <w:pPr>
        <w:spacing w:line="360" w:lineRule="auto"/>
      </w:pPr>
    </w:p>
    <w:p>
      <w:pPr>
        <w:spacing w:line="360" w:lineRule="auto"/>
      </w:pPr>
    </w:p>
    <w:p>
      <w:pPr>
        <w:spacing w:line="360" w:lineRule="auto"/>
      </w:pPr>
    </w:p>
    <w:p>
      <w:pPr>
        <w:spacing w:line="360" w:lineRule="auto"/>
        <w:ind w:firstLine="420" w:firstLineChars="200"/>
      </w:pPr>
      <w:r>
        <w:rPr>
          <w:rFonts w:hint="eastAsia"/>
        </w:rPr>
        <w:t>（2）2018年财务状况报告复印件，其他组织或供应商新成立不足一年，提供银行出具的资信证明材料复印件</w:t>
      </w: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r>
        <w:rPr>
          <w:rFonts w:hint="eastAsia"/>
        </w:rPr>
        <w:t>（3）2019年开具的缴纳税收的凭据证明材料复印件；如依法免税的，应提供相应文件证明其依法免税</w:t>
      </w: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r>
        <w:rPr>
          <w:rFonts w:hint="eastAsia"/>
        </w:rPr>
        <w:t>（4）2019年开具的缴纳社会保险的凭据证明材料复印件；如依法不需要缴纳社会保障资金的，应提供相应文件证明其依法不需要缴纳社会保障资金</w:t>
      </w:r>
    </w:p>
    <w:p>
      <w:pPr>
        <w:spacing w:line="360" w:lineRule="auto"/>
        <w:ind w:firstLine="420" w:firstLineChars="200"/>
      </w:pPr>
      <w:r>
        <w:rPr>
          <w:rFonts w:hint="eastAsia"/>
        </w:rPr>
        <w:br w:type="page"/>
      </w:r>
      <w:r>
        <w:rPr>
          <w:rFonts w:hint="eastAsia"/>
        </w:rPr>
        <w:t>（5）提供</w:t>
      </w:r>
      <w:r>
        <w:t>具有履行合同所必需的设备和专业技术能力</w:t>
      </w:r>
      <w:r>
        <w:rPr>
          <w:rFonts w:hint="eastAsia"/>
        </w:rPr>
        <w:t>的书面声明</w:t>
      </w:r>
    </w:p>
    <w:p>
      <w:pPr>
        <w:jc w:val="center"/>
        <w:rPr>
          <w:b/>
          <w:sz w:val="32"/>
          <w:szCs w:val="32"/>
        </w:rPr>
      </w:pPr>
      <w:r>
        <w:rPr>
          <w:rFonts w:hint="eastAsia"/>
          <w:b/>
          <w:sz w:val="32"/>
          <w:szCs w:val="32"/>
        </w:rPr>
        <w:t>具备履行合同所需的设备和专业技术能力的声明</w:t>
      </w:r>
    </w:p>
    <w:p/>
    <w:p>
      <w:pPr>
        <w:spacing w:line="360" w:lineRule="auto"/>
      </w:pPr>
      <w:r>
        <w:rPr>
          <w:rFonts w:hint="eastAsia"/>
        </w:rPr>
        <w:t xml:space="preserve"> </w:t>
      </w:r>
    </w:p>
    <w:p>
      <w:pPr>
        <w:spacing w:line="360" w:lineRule="auto"/>
        <w:ind w:firstLine="420" w:firstLineChars="200"/>
      </w:pPr>
      <w:r>
        <w:rPr>
          <w:rFonts w:hint="eastAsia"/>
        </w:rPr>
        <w:t>我公司（单位）具备履行合同所需的设备和专业技术能力，具体情况介绍如下：</w:t>
      </w:r>
    </w:p>
    <w:p>
      <w:pPr>
        <w:spacing w:line="360" w:lineRule="auto"/>
      </w:pPr>
      <w:r>
        <w:rPr>
          <w:rFonts w:hint="eastAsia"/>
        </w:rPr>
        <w:t xml:space="preserve">        （内容包括：主要设备、专业技术人员、公司资质等）                                          </w:t>
      </w:r>
    </w:p>
    <w:p>
      <w:pPr>
        <w:spacing w:line="360" w:lineRule="auto"/>
      </w:pPr>
      <w:r>
        <w:rPr>
          <w:rFonts w:hint="eastAsia"/>
        </w:rPr>
        <w:t xml:space="preserve">                                                                            </w:t>
      </w:r>
    </w:p>
    <w:p>
      <w:pPr>
        <w:spacing w:line="360" w:lineRule="auto"/>
      </w:pPr>
      <w:r>
        <w:t>……</w:t>
      </w:r>
      <w:r>
        <w:rPr>
          <w:rFonts w:hint="eastAsia"/>
        </w:rPr>
        <w:t>..</w:t>
      </w:r>
    </w:p>
    <w:p>
      <w:pPr>
        <w:spacing w:line="360" w:lineRule="auto"/>
      </w:pPr>
      <w:r>
        <w:rPr>
          <w:rFonts w:hint="eastAsia"/>
        </w:rPr>
        <w:t xml:space="preserve">     特此承诺。</w:t>
      </w:r>
    </w:p>
    <w:p>
      <w:pPr>
        <w:spacing w:line="360" w:lineRule="auto"/>
      </w:pPr>
    </w:p>
    <w:p>
      <w:pPr>
        <w:spacing w:line="360" w:lineRule="auto"/>
      </w:pPr>
    </w:p>
    <w:p>
      <w:pPr>
        <w:spacing w:line="360" w:lineRule="auto"/>
        <w:ind w:firstLine="4830" w:firstLineChars="2300"/>
      </w:pPr>
      <w:r>
        <w:rPr>
          <w:rFonts w:hint="eastAsia"/>
        </w:rPr>
        <w:t>供应商（盖章）</w:t>
      </w:r>
    </w:p>
    <w:p>
      <w:pPr>
        <w:spacing w:line="360" w:lineRule="auto"/>
      </w:pPr>
      <w:r>
        <w:rPr>
          <w:rFonts w:hint="eastAsia"/>
        </w:rPr>
        <w:t xml:space="preserve">             法定代表人（负责人）或其授权委托人（签名或印章）：</w:t>
      </w:r>
    </w:p>
    <w:p>
      <w:pPr>
        <w:spacing w:line="360" w:lineRule="auto"/>
      </w:pPr>
      <w:r>
        <w:rPr>
          <w:rFonts w:hint="eastAsia"/>
        </w:rPr>
        <w:t xml:space="preserve">                                  日期：</w:t>
      </w:r>
    </w:p>
    <w:p>
      <w:pPr>
        <w:spacing w:line="360" w:lineRule="auto"/>
        <w:ind w:firstLine="420" w:firstLineChars="200"/>
      </w:pPr>
    </w:p>
    <w:p>
      <w:pPr>
        <w:spacing w:line="360" w:lineRule="auto"/>
        <w:ind w:firstLine="420" w:firstLineChars="200"/>
      </w:pPr>
      <w:r>
        <w:rPr>
          <w:rFonts w:hint="eastAsia"/>
        </w:rPr>
        <w:t>（6）提供参加政府采购活动前</w:t>
      </w:r>
      <w:r>
        <w:t>3</w:t>
      </w:r>
      <w:r>
        <w:rPr>
          <w:rFonts w:hint="eastAsia"/>
        </w:rPr>
        <w:t>年内在经营活动中没有重大违法记录的书面声明。</w:t>
      </w:r>
    </w:p>
    <w:p/>
    <w:p/>
    <w:p>
      <w:pPr>
        <w:jc w:val="center"/>
        <w:rPr>
          <w:b/>
          <w:sz w:val="32"/>
          <w:szCs w:val="32"/>
        </w:rPr>
      </w:pPr>
      <w:r>
        <w:rPr>
          <w:rFonts w:hint="eastAsia"/>
          <w:b/>
          <w:sz w:val="32"/>
          <w:szCs w:val="32"/>
        </w:rPr>
        <w:t>近三年在政府采购活动中无重大违法记录的声明</w:t>
      </w:r>
    </w:p>
    <w:p/>
    <w:p/>
    <w:p>
      <w:pPr>
        <w:spacing w:line="360" w:lineRule="auto"/>
      </w:pPr>
      <w:r>
        <w:rPr>
          <w:rFonts w:hint="eastAsia"/>
        </w:rPr>
        <w:t xml:space="preserve">     参加政府采购活动前三年内，在经营活动中没有重大违法记录，特此声明。</w:t>
      </w:r>
    </w:p>
    <w:p>
      <w:pPr>
        <w:spacing w:line="360" w:lineRule="auto"/>
      </w:pPr>
    </w:p>
    <w:p>
      <w:pPr>
        <w:spacing w:line="360" w:lineRule="auto"/>
        <w:ind w:firstLine="1365" w:firstLineChars="650"/>
      </w:pPr>
    </w:p>
    <w:p>
      <w:pPr>
        <w:spacing w:line="360" w:lineRule="auto"/>
        <w:ind w:firstLine="1365" w:firstLineChars="650"/>
      </w:pPr>
    </w:p>
    <w:p>
      <w:pPr>
        <w:spacing w:line="360" w:lineRule="auto"/>
        <w:ind w:firstLine="3675" w:firstLineChars="1750"/>
      </w:pPr>
      <w:r>
        <w:rPr>
          <w:rFonts w:hint="eastAsia"/>
        </w:rPr>
        <w:t>供应商（盖章）</w:t>
      </w:r>
    </w:p>
    <w:p>
      <w:pPr>
        <w:spacing w:line="360" w:lineRule="auto"/>
      </w:pPr>
      <w:r>
        <w:rPr>
          <w:rFonts w:hint="eastAsia"/>
        </w:rPr>
        <w:t xml:space="preserve">             法定代表人（负责人）或其授权委托人（签名或印章）：</w:t>
      </w:r>
    </w:p>
    <w:p>
      <w:pPr>
        <w:spacing w:line="360" w:lineRule="auto"/>
      </w:pPr>
      <w:r>
        <w:rPr>
          <w:rFonts w:hint="eastAsia"/>
        </w:rPr>
        <w:t xml:space="preserve">                                    日    期：</w:t>
      </w:r>
    </w:p>
    <w:p>
      <w:pPr>
        <w:spacing w:line="360" w:lineRule="auto"/>
      </w:pPr>
    </w:p>
    <w:p/>
    <w:p/>
    <w:p>
      <w:pPr>
        <w:snapToGrid w:val="0"/>
        <w:spacing w:line="400" w:lineRule="exact"/>
        <w:jc w:val="center"/>
        <w:rPr>
          <w:rFonts w:ascii="宋体" w:hAnsi="宋体"/>
          <w:b/>
          <w:bCs/>
          <w:szCs w:val="21"/>
        </w:rPr>
      </w:pPr>
      <w:r>
        <w:br w:type="page"/>
      </w:r>
      <w:r>
        <w:rPr>
          <w:rFonts w:hint="eastAsia" w:ascii="宋体" w:hAnsi="宋体"/>
          <w:b/>
          <w:bCs/>
          <w:szCs w:val="21"/>
        </w:rPr>
        <w:t>二、技术商务文件格式</w:t>
      </w:r>
    </w:p>
    <w:p>
      <w:pPr>
        <w:snapToGrid w:val="0"/>
        <w:spacing w:line="400" w:lineRule="exact"/>
        <w:ind w:firstLine="420" w:firstLineChars="200"/>
        <w:jc w:val="center"/>
        <w:outlineLvl w:val="1"/>
        <w:rPr>
          <w:rFonts w:ascii="宋体" w:hAnsi="宋体"/>
          <w:szCs w:val="21"/>
        </w:rPr>
      </w:pPr>
    </w:p>
    <w:p>
      <w:pPr>
        <w:snapToGrid w:val="0"/>
        <w:spacing w:line="400" w:lineRule="exact"/>
        <w:ind w:firstLine="420" w:firstLineChars="200"/>
        <w:rPr>
          <w:rFonts w:ascii="宋体" w:hAnsi="宋体"/>
          <w:bCs/>
          <w:szCs w:val="21"/>
        </w:rPr>
      </w:pPr>
      <w:r>
        <w:rPr>
          <w:rFonts w:hint="eastAsia" w:ascii="宋体" w:hAnsi="宋体"/>
          <w:bCs/>
          <w:szCs w:val="21"/>
        </w:rPr>
        <w:t>1.技术商务文件的外包装封面格式（不可缺）：</w:t>
      </w:r>
    </w:p>
    <w:p>
      <w:pPr>
        <w:snapToGrid w:val="0"/>
        <w:spacing w:line="400" w:lineRule="exact"/>
        <w:ind w:firstLine="420" w:firstLineChars="200"/>
        <w:rPr>
          <w:rFonts w:ascii="宋体" w:hAnsi="宋体"/>
          <w:bCs/>
          <w:szCs w:val="21"/>
        </w:rPr>
      </w:pPr>
    </w:p>
    <w:p>
      <w:pPr>
        <w:snapToGrid w:val="0"/>
        <w:spacing w:line="400" w:lineRule="exact"/>
        <w:ind w:firstLine="420" w:firstLineChars="200"/>
        <w:jc w:val="center"/>
        <w:rPr>
          <w:rFonts w:ascii="宋体" w:hAnsi="宋体"/>
          <w:bCs/>
          <w:szCs w:val="21"/>
        </w:rPr>
      </w:pPr>
      <w:r>
        <w:rPr>
          <w:rFonts w:hint="eastAsia" w:ascii="宋体" w:hAnsi="宋体"/>
          <w:bCs/>
          <w:szCs w:val="21"/>
        </w:rPr>
        <w:t>技术商务文件</w:t>
      </w:r>
    </w:p>
    <w:p>
      <w:pPr>
        <w:snapToGrid w:val="0"/>
        <w:spacing w:line="400" w:lineRule="exact"/>
        <w:ind w:firstLine="420" w:firstLineChars="200"/>
        <w:rPr>
          <w:rFonts w:ascii="宋体" w:hAnsi="宋体"/>
          <w:bCs/>
          <w:szCs w:val="21"/>
        </w:rPr>
      </w:pPr>
    </w:p>
    <w:p>
      <w:pPr>
        <w:snapToGrid w:val="0"/>
        <w:spacing w:line="400" w:lineRule="exact"/>
        <w:ind w:firstLine="420" w:firstLineChars="200"/>
        <w:rPr>
          <w:rFonts w:ascii="宋体" w:hAnsi="宋体"/>
          <w:bCs/>
          <w:szCs w:val="21"/>
        </w:rPr>
      </w:pPr>
      <w:r>
        <w:rPr>
          <w:rFonts w:hint="eastAsia" w:ascii="宋体" w:hAnsi="宋体"/>
          <w:bCs/>
          <w:szCs w:val="21"/>
        </w:rPr>
        <w:t>项目名称：</w:t>
      </w:r>
    </w:p>
    <w:p>
      <w:pPr>
        <w:snapToGrid w:val="0"/>
        <w:spacing w:line="400" w:lineRule="exact"/>
        <w:ind w:firstLine="420" w:firstLineChars="200"/>
        <w:rPr>
          <w:rFonts w:ascii="宋体" w:hAnsi="宋体"/>
          <w:bCs/>
          <w:szCs w:val="21"/>
        </w:rPr>
      </w:pPr>
      <w:r>
        <w:rPr>
          <w:rFonts w:hint="eastAsia" w:ascii="宋体" w:hAnsi="宋体"/>
          <w:bCs/>
          <w:szCs w:val="21"/>
        </w:rPr>
        <w:t>项目编号：</w:t>
      </w:r>
    </w:p>
    <w:p>
      <w:pPr>
        <w:pStyle w:val="6"/>
        <w:snapToGrid w:val="0"/>
        <w:spacing w:line="400" w:lineRule="exact"/>
        <w:ind w:firstLineChars="200"/>
        <w:rPr>
          <w:rFonts w:ascii="宋体" w:hAnsi="宋体"/>
          <w:bCs/>
          <w:szCs w:val="21"/>
        </w:rPr>
      </w:pPr>
      <w:r>
        <w:rPr>
          <w:rFonts w:hint="eastAsia" w:ascii="宋体" w:hAnsi="宋体"/>
          <w:bCs/>
          <w:szCs w:val="21"/>
        </w:rPr>
        <w:t>投标人名称：</w:t>
      </w:r>
    </w:p>
    <w:p>
      <w:pPr>
        <w:snapToGrid w:val="0"/>
        <w:spacing w:line="400" w:lineRule="exact"/>
        <w:ind w:firstLine="420" w:firstLineChars="200"/>
        <w:jc w:val="center"/>
        <w:rPr>
          <w:rFonts w:ascii="宋体" w:hAnsi="宋体"/>
          <w:szCs w:val="21"/>
        </w:rPr>
      </w:pPr>
    </w:p>
    <w:p>
      <w:pPr>
        <w:snapToGrid w:val="0"/>
        <w:spacing w:line="400" w:lineRule="exact"/>
        <w:ind w:firstLine="420" w:firstLineChars="200"/>
        <w:jc w:val="center"/>
        <w:rPr>
          <w:rFonts w:ascii="宋体" w:hAnsi="宋体"/>
          <w:szCs w:val="21"/>
        </w:rPr>
      </w:pPr>
    </w:p>
    <w:p>
      <w:pPr>
        <w:snapToGrid w:val="0"/>
        <w:spacing w:line="400" w:lineRule="exact"/>
        <w:ind w:firstLine="420" w:firstLineChars="200"/>
        <w:rPr>
          <w:rFonts w:ascii="宋体" w:hAnsi="宋体"/>
          <w:szCs w:val="21"/>
        </w:rPr>
      </w:pPr>
      <w:r>
        <w:rPr>
          <w:rFonts w:hint="eastAsia" w:ascii="宋体" w:hAnsi="宋体"/>
          <w:szCs w:val="21"/>
        </w:rPr>
        <w:t>2.技术商务文件封面格式：</w:t>
      </w:r>
    </w:p>
    <w:p>
      <w:pPr>
        <w:snapToGrid w:val="0"/>
        <w:spacing w:line="400" w:lineRule="exact"/>
        <w:ind w:firstLine="5985" w:firstLineChars="2850"/>
        <w:rPr>
          <w:rFonts w:ascii="宋体" w:hAnsi="宋体"/>
          <w:bCs/>
          <w:szCs w:val="21"/>
        </w:rPr>
      </w:pPr>
      <w:r>
        <w:rPr>
          <w:rFonts w:hint="eastAsia" w:ascii="宋体" w:hAnsi="宋体"/>
          <w:bCs/>
          <w:szCs w:val="21"/>
        </w:rPr>
        <w:t>正本</w:t>
      </w:r>
      <w:r>
        <w:rPr>
          <w:rFonts w:ascii="宋体" w:hAnsi="宋体"/>
          <w:bCs/>
          <w:szCs w:val="21"/>
        </w:rPr>
        <w:t>/</w:t>
      </w:r>
      <w:r>
        <w:rPr>
          <w:rFonts w:hint="eastAsia" w:ascii="宋体" w:hAnsi="宋体"/>
          <w:bCs/>
          <w:szCs w:val="21"/>
        </w:rPr>
        <w:t>或副本</w:t>
      </w:r>
    </w:p>
    <w:p>
      <w:pPr>
        <w:snapToGrid w:val="0"/>
        <w:spacing w:line="400" w:lineRule="exact"/>
        <w:ind w:firstLine="420" w:firstLineChars="200"/>
        <w:rPr>
          <w:rFonts w:ascii="宋体" w:hAnsi="宋体"/>
          <w:bCs/>
          <w:szCs w:val="21"/>
        </w:rPr>
      </w:pPr>
    </w:p>
    <w:p>
      <w:pPr>
        <w:snapToGrid w:val="0"/>
        <w:spacing w:line="400" w:lineRule="exact"/>
        <w:ind w:firstLine="420" w:firstLineChars="200"/>
        <w:jc w:val="center"/>
        <w:rPr>
          <w:rFonts w:ascii="宋体" w:hAnsi="宋体"/>
          <w:bCs/>
          <w:szCs w:val="21"/>
        </w:rPr>
      </w:pPr>
      <w:r>
        <w:rPr>
          <w:rFonts w:hint="eastAsia" w:ascii="宋体" w:hAnsi="宋体"/>
          <w:bCs/>
          <w:szCs w:val="21"/>
        </w:rPr>
        <w:t>技术商务文件</w:t>
      </w:r>
    </w:p>
    <w:p>
      <w:pPr>
        <w:snapToGrid w:val="0"/>
        <w:spacing w:line="400" w:lineRule="exact"/>
        <w:ind w:firstLine="420" w:firstLineChars="200"/>
        <w:rPr>
          <w:rFonts w:ascii="宋体" w:hAnsi="宋体"/>
          <w:bCs/>
          <w:szCs w:val="21"/>
        </w:rPr>
      </w:pPr>
    </w:p>
    <w:p>
      <w:pPr>
        <w:snapToGrid w:val="0"/>
        <w:spacing w:line="400" w:lineRule="exact"/>
        <w:ind w:firstLine="420" w:firstLineChars="200"/>
        <w:rPr>
          <w:rFonts w:ascii="宋体" w:hAnsi="宋体"/>
          <w:bCs/>
          <w:szCs w:val="21"/>
        </w:rPr>
      </w:pPr>
      <w:r>
        <w:rPr>
          <w:rFonts w:hint="eastAsia" w:ascii="宋体" w:hAnsi="宋体"/>
          <w:bCs/>
          <w:szCs w:val="21"/>
        </w:rPr>
        <w:t>项目名称：</w:t>
      </w:r>
    </w:p>
    <w:p>
      <w:pPr>
        <w:snapToGrid w:val="0"/>
        <w:spacing w:line="400" w:lineRule="exact"/>
        <w:ind w:firstLine="420" w:firstLineChars="200"/>
        <w:rPr>
          <w:rFonts w:ascii="宋体" w:hAnsi="宋体"/>
          <w:bCs/>
          <w:szCs w:val="21"/>
        </w:rPr>
      </w:pPr>
      <w:r>
        <w:rPr>
          <w:rFonts w:hint="eastAsia" w:ascii="宋体" w:hAnsi="宋体"/>
          <w:bCs/>
          <w:szCs w:val="21"/>
        </w:rPr>
        <w:t>项目编号：</w:t>
      </w:r>
    </w:p>
    <w:p>
      <w:pPr>
        <w:snapToGrid w:val="0"/>
        <w:spacing w:line="400" w:lineRule="exact"/>
        <w:ind w:firstLine="420" w:firstLineChars="200"/>
        <w:outlineLvl w:val="1"/>
        <w:rPr>
          <w:rFonts w:ascii="宋体" w:hAnsi="宋体"/>
          <w:bCs/>
          <w:szCs w:val="21"/>
        </w:rPr>
      </w:pPr>
      <w:r>
        <w:rPr>
          <w:rFonts w:hint="eastAsia" w:ascii="宋体" w:hAnsi="宋体"/>
          <w:bCs/>
          <w:szCs w:val="21"/>
        </w:rPr>
        <w:t>投标人名称：</w:t>
      </w:r>
    </w:p>
    <w:p>
      <w:pPr>
        <w:snapToGrid w:val="0"/>
        <w:spacing w:line="400" w:lineRule="exact"/>
        <w:ind w:firstLine="420" w:firstLineChars="200"/>
        <w:rPr>
          <w:rFonts w:ascii="宋体" w:hAnsi="宋体"/>
          <w:szCs w:val="21"/>
        </w:rPr>
      </w:pPr>
    </w:p>
    <w:p>
      <w:pPr>
        <w:snapToGrid w:val="0"/>
        <w:spacing w:line="400" w:lineRule="exact"/>
        <w:ind w:firstLine="420" w:firstLineChars="200"/>
        <w:rPr>
          <w:rFonts w:ascii="宋体" w:hAnsi="宋体"/>
          <w:szCs w:val="21"/>
        </w:rPr>
      </w:pPr>
    </w:p>
    <w:p>
      <w:pPr>
        <w:snapToGrid w:val="0"/>
        <w:spacing w:line="400" w:lineRule="exact"/>
        <w:ind w:firstLine="420" w:firstLineChars="200"/>
        <w:rPr>
          <w:rFonts w:ascii="宋体" w:hAnsi="宋体"/>
          <w:szCs w:val="21"/>
        </w:rPr>
      </w:pPr>
    </w:p>
    <w:p>
      <w:pPr>
        <w:snapToGrid w:val="0"/>
        <w:spacing w:line="400" w:lineRule="exact"/>
        <w:ind w:firstLine="420" w:firstLineChars="200"/>
        <w:rPr>
          <w:rFonts w:ascii="宋体" w:hAnsi="宋体"/>
          <w:szCs w:val="21"/>
        </w:rPr>
      </w:pPr>
    </w:p>
    <w:p>
      <w:pPr>
        <w:snapToGrid w:val="0"/>
        <w:spacing w:line="400" w:lineRule="exact"/>
        <w:ind w:firstLine="420" w:firstLineChars="200"/>
        <w:rPr>
          <w:rFonts w:ascii="宋体" w:hAnsi="宋体"/>
          <w:szCs w:val="21"/>
        </w:rPr>
      </w:pPr>
    </w:p>
    <w:p>
      <w:pPr>
        <w:snapToGrid w:val="0"/>
        <w:spacing w:line="400" w:lineRule="exact"/>
        <w:ind w:firstLine="420" w:firstLineChars="200"/>
        <w:rPr>
          <w:rFonts w:ascii="宋体" w:hAnsi="宋体"/>
          <w:szCs w:val="21"/>
        </w:rPr>
      </w:pPr>
    </w:p>
    <w:p>
      <w:pPr>
        <w:snapToGrid w:val="0"/>
        <w:spacing w:line="400" w:lineRule="exact"/>
        <w:ind w:firstLine="420" w:firstLineChars="200"/>
        <w:rPr>
          <w:rFonts w:ascii="宋体" w:hAnsi="宋体"/>
          <w:szCs w:val="21"/>
        </w:rPr>
      </w:pPr>
    </w:p>
    <w:p>
      <w:pPr>
        <w:snapToGrid w:val="0"/>
        <w:spacing w:line="400" w:lineRule="exact"/>
        <w:ind w:firstLine="420" w:firstLineChars="200"/>
        <w:rPr>
          <w:rFonts w:ascii="宋体" w:hAnsi="宋体"/>
          <w:szCs w:val="21"/>
        </w:rPr>
      </w:pPr>
    </w:p>
    <w:p>
      <w:pPr>
        <w:snapToGrid w:val="0"/>
        <w:spacing w:line="400" w:lineRule="exact"/>
        <w:ind w:firstLine="420" w:firstLineChars="200"/>
        <w:rPr>
          <w:rFonts w:ascii="宋体" w:hAnsi="宋体"/>
          <w:szCs w:val="21"/>
        </w:rPr>
      </w:pPr>
    </w:p>
    <w:p>
      <w:pPr>
        <w:pStyle w:val="2"/>
        <w:numPr>
          <w:ilvl w:val="0"/>
          <w:numId w:val="0"/>
        </w:numPr>
      </w:pPr>
    </w:p>
    <w:p>
      <w:pPr>
        <w:pStyle w:val="2"/>
        <w:numPr>
          <w:ilvl w:val="0"/>
          <w:numId w:val="0"/>
        </w:numPr>
      </w:pPr>
    </w:p>
    <w:p>
      <w:pPr>
        <w:pStyle w:val="2"/>
        <w:numPr>
          <w:ilvl w:val="0"/>
          <w:numId w:val="0"/>
        </w:numPr>
      </w:pPr>
    </w:p>
    <w:p>
      <w:pPr>
        <w:snapToGrid w:val="0"/>
        <w:spacing w:line="400" w:lineRule="exact"/>
        <w:rPr>
          <w:rFonts w:ascii="宋体" w:hAnsi="宋体"/>
          <w:szCs w:val="21"/>
        </w:rPr>
      </w:pPr>
    </w:p>
    <w:p>
      <w:pPr>
        <w:spacing w:line="400" w:lineRule="exact"/>
        <w:ind w:firstLine="420" w:firstLineChars="200"/>
        <w:rPr>
          <w:rFonts w:ascii="宋体" w:hAnsi="宋体"/>
          <w:szCs w:val="21"/>
        </w:rPr>
      </w:pPr>
    </w:p>
    <w:p>
      <w:pPr>
        <w:spacing w:line="400" w:lineRule="exact"/>
        <w:ind w:firstLine="420" w:firstLineChars="200"/>
        <w:rPr>
          <w:rFonts w:ascii="宋体" w:hAnsi="宋体"/>
          <w:szCs w:val="21"/>
        </w:rPr>
      </w:pPr>
    </w:p>
    <w:p>
      <w:pPr>
        <w:spacing w:line="400" w:lineRule="exact"/>
        <w:ind w:firstLine="420" w:firstLineChars="200"/>
        <w:rPr>
          <w:rFonts w:ascii="宋体" w:hAnsi="宋体"/>
          <w:szCs w:val="21"/>
        </w:rPr>
      </w:pPr>
      <w:r>
        <w:rPr>
          <w:rFonts w:hint="eastAsia" w:ascii="宋体" w:hAnsi="宋体"/>
          <w:szCs w:val="21"/>
        </w:rPr>
        <w:t>3.评分索引表</w:t>
      </w:r>
    </w:p>
    <w:p>
      <w:pPr>
        <w:spacing w:line="400" w:lineRule="exact"/>
        <w:ind w:firstLine="420" w:firstLineChars="200"/>
        <w:rPr>
          <w:rFonts w:ascii="宋体" w:hAnsi="宋体"/>
          <w:szCs w:val="21"/>
        </w:rPr>
      </w:pPr>
      <w:r>
        <w:rPr>
          <w:rFonts w:hint="eastAsia" w:ascii="宋体" w:hAnsi="宋体"/>
          <w:szCs w:val="21"/>
        </w:rPr>
        <w:t>具体内容参见招标文件的评分内容和标准，格式如下：</w:t>
      </w:r>
    </w:p>
    <w:tbl>
      <w:tblPr>
        <w:tblStyle w:val="16"/>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5769"/>
        <w:gridCol w:w="1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1440" w:type="dxa"/>
            <w:vAlign w:val="center"/>
          </w:tcPr>
          <w:p>
            <w:pPr>
              <w:spacing w:line="400" w:lineRule="exact"/>
              <w:jc w:val="center"/>
              <w:rPr>
                <w:rFonts w:ascii="宋体" w:hAnsi="宋体"/>
                <w:szCs w:val="21"/>
              </w:rPr>
            </w:pPr>
            <w:r>
              <w:rPr>
                <w:rFonts w:hint="eastAsia" w:ascii="宋体" w:hAnsi="宋体"/>
                <w:szCs w:val="21"/>
              </w:rPr>
              <w:t>考核项目</w:t>
            </w:r>
          </w:p>
        </w:tc>
        <w:tc>
          <w:tcPr>
            <w:tcW w:w="5769" w:type="dxa"/>
            <w:vAlign w:val="center"/>
          </w:tcPr>
          <w:p>
            <w:pPr>
              <w:spacing w:line="400" w:lineRule="exact"/>
              <w:jc w:val="center"/>
              <w:rPr>
                <w:rFonts w:ascii="宋体" w:hAnsi="宋体"/>
                <w:szCs w:val="21"/>
              </w:rPr>
            </w:pPr>
            <w:r>
              <w:rPr>
                <w:rFonts w:hint="eastAsia" w:ascii="宋体" w:hAnsi="宋体"/>
                <w:szCs w:val="21"/>
              </w:rPr>
              <w:t>评分标准</w:t>
            </w:r>
          </w:p>
        </w:tc>
        <w:tc>
          <w:tcPr>
            <w:tcW w:w="1313" w:type="dxa"/>
            <w:vAlign w:val="center"/>
          </w:tcPr>
          <w:p>
            <w:pPr>
              <w:spacing w:line="400" w:lineRule="exact"/>
              <w:jc w:val="center"/>
              <w:rPr>
                <w:rFonts w:ascii="宋体" w:hAnsi="宋体"/>
                <w:szCs w:val="21"/>
              </w:rPr>
            </w:pPr>
            <w:r>
              <w:rPr>
                <w:rFonts w:hint="eastAsia" w:ascii="宋体" w:hAnsi="宋体"/>
                <w:szCs w:val="21"/>
              </w:rPr>
              <w:t>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1440" w:type="dxa"/>
            <w:vMerge w:val="restart"/>
            <w:vAlign w:val="center"/>
          </w:tcPr>
          <w:p>
            <w:pPr>
              <w:spacing w:line="400" w:lineRule="exact"/>
              <w:jc w:val="center"/>
              <w:rPr>
                <w:rFonts w:ascii="宋体" w:hAnsi="宋体"/>
                <w:szCs w:val="21"/>
              </w:rPr>
            </w:pPr>
          </w:p>
        </w:tc>
        <w:tc>
          <w:tcPr>
            <w:tcW w:w="5769" w:type="dxa"/>
            <w:vAlign w:val="center"/>
          </w:tcPr>
          <w:p>
            <w:pPr>
              <w:spacing w:line="400" w:lineRule="exact"/>
              <w:jc w:val="center"/>
              <w:rPr>
                <w:rFonts w:ascii="宋体" w:hAnsi="宋体"/>
                <w:szCs w:val="21"/>
              </w:rPr>
            </w:pPr>
          </w:p>
        </w:tc>
        <w:tc>
          <w:tcPr>
            <w:tcW w:w="1313" w:type="dxa"/>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1440" w:type="dxa"/>
            <w:vMerge w:val="continue"/>
            <w:vAlign w:val="center"/>
          </w:tcPr>
          <w:p>
            <w:pPr>
              <w:spacing w:line="400" w:lineRule="exact"/>
              <w:jc w:val="center"/>
              <w:rPr>
                <w:rFonts w:ascii="宋体" w:hAnsi="宋体"/>
                <w:szCs w:val="21"/>
              </w:rPr>
            </w:pPr>
          </w:p>
        </w:tc>
        <w:tc>
          <w:tcPr>
            <w:tcW w:w="5769" w:type="dxa"/>
            <w:vAlign w:val="center"/>
          </w:tcPr>
          <w:p>
            <w:pPr>
              <w:spacing w:line="400" w:lineRule="exact"/>
              <w:jc w:val="center"/>
              <w:rPr>
                <w:rFonts w:ascii="宋体" w:hAnsi="宋体"/>
                <w:szCs w:val="21"/>
              </w:rPr>
            </w:pPr>
          </w:p>
        </w:tc>
        <w:tc>
          <w:tcPr>
            <w:tcW w:w="1313" w:type="dxa"/>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1440" w:type="dxa"/>
            <w:vMerge w:val="continue"/>
            <w:vAlign w:val="center"/>
          </w:tcPr>
          <w:p>
            <w:pPr>
              <w:spacing w:line="400" w:lineRule="exact"/>
              <w:jc w:val="center"/>
              <w:rPr>
                <w:rFonts w:ascii="宋体" w:hAnsi="宋体"/>
                <w:szCs w:val="21"/>
              </w:rPr>
            </w:pPr>
          </w:p>
        </w:tc>
        <w:tc>
          <w:tcPr>
            <w:tcW w:w="5769" w:type="dxa"/>
            <w:vAlign w:val="center"/>
          </w:tcPr>
          <w:p>
            <w:pPr>
              <w:spacing w:line="400" w:lineRule="exact"/>
              <w:jc w:val="center"/>
              <w:rPr>
                <w:rFonts w:ascii="宋体" w:hAnsi="宋体"/>
                <w:szCs w:val="21"/>
              </w:rPr>
            </w:pPr>
          </w:p>
        </w:tc>
        <w:tc>
          <w:tcPr>
            <w:tcW w:w="1313" w:type="dxa"/>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1440" w:type="dxa"/>
            <w:vMerge w:val="continue"/>
            <w:vAlign w:val="center"/>
          </w:tcPr>
          <w:p>
            <w:pPr>
              <w:spacing w:line="400" w:lineRule="exact"/>
              <w:jc w:val="center"/>
              <w:rPr>
                <w:rFonts w:ascii="宋体" w:hAnsi="宋体"/>
                <w:szCs w:val="21"/>
              </w:rPr>
            </w:pPr>
          </w:p>
        </w:tc>
        <w:tc>
          <w:tcPr>
            <w:tcW w:w="5769" w:type="dxa"/>
            <w:vAlign w:val="center"/>
          </w:tcPr>
          <w:p>
            <w:pPr>
              <w:spacing w:line="400" w:lineRule="exact"/>
              <w:jc w:val="center"/>
              <w:rPr>
                <w:rFonts w:ascii="宋体" w:hAnsi="宋体"/>
                <w:szCs w:val="21"/>
              </w:rPr>
            </w:pPr>
          </w:p>
        </w:tc>
        <w:tc>
          <w:tcPr>
            <w:tcW w:w="1313" w:type="dxa"/>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1440" w:type="dxa"/>
            <w:vAlign w:val="center"/>
          </w:tcPr>
          <w:p>
            <w:pPr>
              <w:spacing w:line="400" w:lineRule="exact"/>
              <w:jc w:val="center"/>
              <w:rPr>
                <w:rFonts w:ascii="宋体" w:hAnsi="宋体"/>
                <w:szCs w:val="21"/>
              </w:rPr>
            </w:pPr>
          </w:p>
        </w:tc>
        <w:tc>
          <w:tcPr>
            <w:tcW w:w="5769" w:type="dxa"/>
            <w:vAlign w:val="center"/>
          </w:tcPr>
          <w:p>
            <w:pPr>
              <w:spacing w:line="400" w:lineRule="exact"/>
              <w:jc w:val="center"/>
              <w:rPr>
                <w:rFonts w:ascii="宋体" w:hAnsi="宋体"/>
                <w:szCs w:val="21"/>
              </w:rPr>
            </w:pPr>
          </w:p>
        </w:tc>
        <w:tc>
          <w:tcPr>
            <w:tcW w:w="1313" w:type="dxa"/>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1440" w:type="dxa"/>
            <w:vAlign w:val="center"/>
          </w:tcPr>
          <w:p>
            <w:pPr>
              <w:spacing w:line="400" w:lineRule="exact"/>
              <w:jc w:val="center"/>
              <w:rPr>
                <w:rFonts w:ascii="宋体" w:hAnsi="宋体"/>
                <w:szCs w:val="21"/>
              </w:rPr>
            </w:pPr>
          </w:p>
        </w:tc>
        <w:tc>
          <w:tcPr>
            <w:tcW w:w="5769" w:type="dxa"/>
            <w:vAlign w:val="center"/>
          </w:tcPr>
          <w:p>
            <w:pPr>
              <w:spacing w:line="400" w:lineRule="exact"/>
              <w:jc w:val="center"/>
              <w:rPr>
                <w:rFonts w:ascii="宋体" w:hAnsi="宋体"/>
                <w:szCs w:val="21"/>
              </w:rPr>
            </w:pPr>
          </w:p>
        </w:tc>
        <w:tc>
          <w:tcPr>
            <w:tcW w:w="1313" w:type="dxa"/>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1440" w:type="dxa"/>
            <w:vAlign w:val="center"/>
          </w:tcPr>
          <w:p>
            <w:pPr>
              <w:spacing w:line="400" w:lineRule="exact"/>
              <w:jc w:val="center"/>
              <w:rPr>
                <w:rFonts w:ascii="宋体" w:hAnsi="宋体"/>
                <w:szCs w:val="21"/>
              </w:rPr>
            </w:pPr>
          </w:p>
        </w:tc>
        <w:tc>
          <w:tcPr>
            <w:tcW w:w="5769" w:type="dxa"/>
            <w:vAlign w:val="center"/>
          </w:tcPr>
          <w:p>
            <w:pPr>
              <w:spacing w:line="400" w:lineRule="exact"/>
              <w:jc w:val="center"/>
              <w:rPr>
                <w:rFonts w:ascii="宋体" w:hAnsi="宋体"/>
                <w:szCs w:val="21"/>
              </w:rPr>
            </w:pPr>
          </w:p>
        </w:tc>
        <w:tc>
          <w:tcPr>
            <w:tcW w:w="1313" w:type="dxa"/>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1440" w:type="dxa"/>
            <w:vAlign w:val="center"/>
          </w:tcPr>
          <w:p>
            <w:pPr>
              <w:spacing w:line="400" w:lineRule="exact"/>
              <w:jc w:val="center"/>
              <w:rPr>
                <w:rFonts w:ascii="宋体" w:hAnsi="宋体"/>
                <w:szCs w:val="21"/>
              </w:rPr>
            </w:pPr>
          </w:p>
        </w:tc>
        <w:tc>
          <w:tcPr>
            <w:tcW w:w="5769" w:type="dxa"/>
            <w:vAlign w:val="center"/>
          </w:tcPr>
          <w:p>
            <w:pPr>
              <w:spacing w:line="400" w:lineRule="exact"/>
              <w:jc w:val="center"/>
              <w:rPr>
                <w:rFonts w:ascii="宋体" w:hAnsi="宋体"/>
                <w:szCs w:val="21"/>
              </w:rPr>
            </w:pPr>
          </w:p>
        </w:tc>
        <w:tc>
          <w:tcPr>
            <w:tcW w:w="1313" w:type="dxa"/>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1440" w:type="dxa"/>
            <w:vAlign w:val="center"/>
          </w:tcPr>
          <w:p>
            <w:pPr>
              <w:spacing w:line="400" w:lineRule="exact"/>
              <w:jc w:val="center"/>
              <w:rPr>
                <w:rFonts w:ascii="宋体" w:hAnsi="宋体"/>
                <w:szCs w:val="21"/>
              </w:rPr>
            </w:pPr>
          </w:p>
        </w:tc>
        <w:tc>
          <w:tcPr>
            <w:tcW w:w="5769" w:type="dxa"/>
            <w:vAlign w:val="center"/>
          </w:tcPr>
          <w:p>
            <w:pPr>
              <w:spacing w:line="400" w:lineRule="exact"/>
              <w:jc w:val="center"/>
              <w:rPr>
                <w:rFonts w:ascii="宋体" w:hAnsi="宋体"/>
                <w:szCs w:val="21"/>
              </w:rPr>
            </w:pPr>
          </w:p>
        </w:tc>
        <w:tc>
          <w:tcPr>
            <w:tcW w:w="1313" w:type="dxa"/>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1440" w:type="dxa"/>
            <w:vAlign w:val="center"/>
          </w:tcPr>
          <w:p>
            <w:pPr>
              <w:spacing w:line="400" w:lineRule="exact"/>
              <w:jc w:val="center"/>
              <w:rPr>
                <w:rFonts w:ascii="宋体" w:hAnsi="宋体"/>
                <w:szCs w:val="21"/>
              </w:rPr>
            </w:pPr>
          </w:p>
        </w:tc>
        <w:tc>
          <w:tcPr>
            <w:tcW w:w="5769" w:type="dxa"/>
            <w:vAlign w:val="center"/>
          </w:tcPr>
          <w:p>
            <w:pPr>
              <w:spacing w:line="400" w:lineRule="exact"/>
              <w:jc w:val="center"/>
              <w:rPr>
                <w:rFonts w:ascii="宋体" w:hAnsi="宋体"/>
                <w:szCs w:val="21"/>
              </w:rPr>
            </w:pPr>
          </w:p>
        </w:tc>
        <w:tc>
          <w:tcPr>
            <w:tcW w:w="1313" w:type="dxa"/>
            <w:vAlign w:val="center"/>
          </w:tcPr>
          <w:p>
            <w:pPr>
              <w:spacing w:line="400" w:lineRule="exact"/>
              <w:jc w:val="center"/>
              <w:rPr>
                <w:rFonts w:ascii="宋体" w:hAnsi="宋体"/>
                <w:szCs w:val="21"/>
              </w:rPr>
            </w:pPr>
          </w:p>
        </w:tc>
      </w:tr>
    </w:tbl>
    <w:p>
      <w:pPr>
        <w:spacing w:line="400" w:lineRule="exact"/>
        <w:rPr>
          <w:rFonts w:ascii="宋体" w:hAnsi="宋体"/>
          <w:szCs w:val="21"/>
        </w:rPr>
      </w:pPr>
      <w:r>
        <w:rPr>
          <w:rFonts w:hint="eastAsia" w:ascii="宋体" w:hAnsi="宋体"/>
          <w:b/>
          <w:szCs w:val="21"/>
        </w:rPr>
        <w:t>注：请各投标人将本表放在投标文件目录前</w:t>
      </w:r>
    </w:p>
    <w:p>
      <w:pPr>
        <w:rPr>
          <w:rFonts w:ascii="宋体" w:hAnsi="宋体"/>
          <w:szCs w:val="21"/>
        </w:rPr>
      </w:pPr>
      <w:r>
        <w:rPr>
          <w:rFonts w:hint="eastAsia" w:ascii="宋体" w:hAnsi="宋体"/>
          <w:szCs w:val="21"/>
        </w:rPr>
        <w:br w:type="page"/>
      </w:r>
    </w:p>
    <w:p>
      <w:pPr>
        <w:snapToGrid w:val="0"/>
        <w:spacing w:line="400" w:lineRule="exact"/>
        <w:rPr>
          <w:rFonts w:ascii="宋体" w:hAnsi="宋体"/>
          <w:spacing w:val="-4"/>
          <w:szCs w:val="21"/>
        </w:rPr>
      </w:pPr>
      <w:r>
        <w:rPr>
          <w:rFonts w:hint="eastAsia" w:ascii="宋体" w:hAnsi="宋体"/>
          <w:spacing w:val="-4"/>
          <w:szCs w:val="21"/>
        </w:rPr>
        <w:t>附件一</w:t>
      </w:r>
    </w:p>
    <w:p>
      <w:pPr>
        <w:snapToGrid w:val="0"/>
        <w:spacing w:line="400" w:lineRule="exact"/>
        <w:rPr>
          <w:rFonts w:ascii="宋体" w:hAnsi="宋体"/>
          <w:b/>
          <w:spacing w:val="-4"/>
          <w:sz w:val="18"/>
          <w:szCs w:val="20"/>
        </w:rPr>
      </w:pPr>
    </w:p>
    <w:p>
      <w:pPr>
        <w:spacing w:line="400" w:lineRule="exact"/>
        <w:ind w:firstLine="420" w:firstLineChars="200"/>
        <w:jc w:val="center"/>
        <w:rPr>
          <w:rFonts w:ascii="宋体" w:hAnsi="宋体"/>
          <w:szCs w:val="21"/>
        </w:rPr>
      </w:pPr>
      <w:r>
        <w:rPr>
          <w:rFonts w:hint="eastAsia" w:ascii="宋体" w:hAnsi="宋体"/>
          <w:szCs w:val="21"/>
        </w:rPr>
        <w:t>符合《中华人民共和国政府采购法》第二十二条规定的投标人承诺书</w:t>
      </w:r>
    </w:p>
    <w:p>
      <w:pPr>
        <w:spacing w:line="400" w:lineRule="exact"/>
        <w:ind w:firstLine="420" w:firstLineChars="200"/>
        <w:rPr>
          <w:rFonts w:ascii="宋体" w:hAnsi="宋体"/>
          <w:szCs w:val="21"/>
        </w:rPr>
      </w:pPr>
    </w:p>
    <w:p>
      <w:pPr>
        <w:spacing w:line="400" w:lineRule="exact"/>
        <w:ind w:firstLine="420" w:firstLineChars="200"/>
        <w:rPr>
          <w:rFonts w:ascii="宋体" w:hAnsi="宋体"/>
          <w:szCs w:val="21"/>
        </w:rPr>
      </w:pPr>
      <w:r>
        <w:rPr>
          <w:rFonts w:hint="eastAsia" w:ascii="宋体" w:hAnsi="宋体"/>
          <w:szCs w:val="21"/>
        </w:rPr>
        <w:t>我公司/单位符合《中华人民共和国政府采购法》第二十二条规定的投标人资格条件：</w:t>
      </w:r>
    </w:p>
    <w:p>
      <w:pPr>
        <w:spacing w:line="400" w:lineRule="exact"/>
        <w:ind w:firstLine="420" w:firstLineChars="200"/>
        <w:rPr>
          <w:rFonts w:ascii="宋体" w:hAnsi="宋体"/>
          <w:szCs w:val="21"/>
        </w:rPr>
      </w:pPr>
      <w:r>
        <w:rPr>
          <w:rFonts w:hint="eastAsia" w:ascii="宋体" w:hAnsi="宋体"/>
          <w:szCs w:val="21"/>
        </w:rPr>
        <w:t>1.具有独立承担民事责任的能力；</w:t>
      </w:r>
    </w:p>
    <w:p>
      <w:pPr>
        <w:spacing w:line="400" w:lineRule="exact"/>
        <w:ind w:firstLine="420" w:firstLineChars="200"/>
        <w:rPr>
          <w:rFonts w:ascii="宋体" w:hAnsi="宋体"/>
          <w:szCs w:val="21"/>
        </w:rPr>
      </w:pPr>
      <w:r>
        <w:rPr>
          <w:rFonts w:hint="eastAsia" w:ascii="宋体" w:hAnsi="宋体"/>
          <w:szCs w:val="21"/>
        </w:rPr>
        <w:t>2.具有良好的商业信誉和健全的财务会计制度；</w:t>
      </w:r>
    </w:p>
    <w:p>
      <w:pPr>
        <w:spacing w:line="400" w:lineRule="exact"/>
        <w:ind w:firstLine="420" w:firstLineChars="200"/>
        <w:rPr>
          <w:rFonts w:ascii="宋体" w:hAnsi="宋体"/>
          <w:szCs w:val="21"/>
        </w:rPr>
      </w:pPr>
      <w:r>
        <w:rPr>
          <w:rFonts w:hint="eastAsia" w:ascii="宋体" w:hAnsi="宋体"/>
          <w:szCs w:val="21"/>
        </w:rPr>
        <w:t>3.具有履行合同所必需的设备和专业技术能力；</w:t>
      </w:r>
    </w:p>
    <w:p>
      <w:pPr>
        <w:spacing w:line="400" w:lineRule="exact"/>
        <w:ind w:firstLine="420" w:firstLineChars="200"/>
        <w:rPr>
          <w:rFonts w:ascii="宋体" w:hAnsi="宋体"/>
          <w:szCs w:val="21"/>
        </w:rPr>
      </w:pPr>
      <w:r>
        <w:rPr>
          <w:rFonts w:hint="eastAsia" w:ascii="宋体" w:hAnsi="宋体"/>
          <w:szCs w:val="21"/>
        </w:rPr>
        <w:t>4.有依法缴纳税收和社会保障资金的良好记录；</w:t>
      </w:r>
    </w:p>
    <w:p>
      <w:pPr>
        <w:spacing w:line="400" w:lineRule="exact"/>
        <w:ind w:firstLine="420" w:firstLineChars="200"/>
        <w:rPr>
          <w:rFonts w:ascii="宋体" w:hAnsi="宋体"/>
          <w:szCs w:val="21"/>
        </w:rPr>
      </w:pPr>
      <w:r>
        <w:rPr>
          <w:rFonts w:hint="eastAsia" w:ascii="宋体" w:hAnsi="宋体"/>
          <w:szCs w:val="21"/>
        </w:rPr>
        <w:t>5.参加政府采购活动前三年内，在经营活动中没有重大违法记录；</w:t>
      </w:r>
    </w:p>
    <w:p>
      <w:pPr>
        <w:spacing w:line="400" w:lineRule="exact"/>
        <w:ind w:firstLine="420" w:firstLineChars="200"/>
        <w:rPr>
          <w:rFonts w:ascii="宋体" w:hAnsi="宋体"/>
          <w:szCs w:val="21"/>
        </w:rPr>
      </w:pPr>
      <w:r>
        <w:rPr>
          <w:rFonts w:hint="eastAsia" w:ascii="宋体" w:hAnsi="宋体"/>
          <w:szCs w:val="21"/>
        </w:rPr>
        <w:t>6.法律、行政法规规定的其他条件。</w:t>
      </w:r>
    </w:p>
    <w:p>
      <w:pPr>
        <w:spacing w:line="400" w:lineRule="exact"/>
        <w:ind w:firstLine="420" w:firstLineChars="200"/>
        <w:rPr>
          <w:rFonts w:ascii="宋体" w:hAnsi="宋体"/>
          <w:szCs w:val="21"/>
        </w:rPr>
      </w:pPr>
      <w:r>
        <w:rPr>
          <w:rFonts w:hint="eastAsia" w:ascii="宋体" w:hAnsi="宋体"/>
          <w:szCs w:val="21"/>
        </w:rPr>
        <w:t>特此承诺！</w:t>
      </w:r>
    </w:p>
    <w:p>
      <w:pPr>
        <w:spacing w:line="400" w:lineRule="exact"/>
        <w:ind w:firstLine="420" w:firstLineChars="200"/>
        <w:rPr>
          <w:rFonts w:ascii="宋体" w:hAnsi="宋体"/>
          <w:szCs w:val="21"/>
        </w:rPr>
      </w:pPr>
    </w:p>
    <w:p>
      <w:pPr>
        <w:spacing w:line="400" w:lineRule="exact"/>
        <w:ind w:firstLine="420" w:firstLineChars="200"/>
        <w:rPr>
          <w:rFonts w:ascii="宋体" w:hAnsi="宋体"/>
          <w:szCs w:val="21"/>
        </w:rPr>
      </w:pPr>
    </w:p>
    <w:p>
      <w:pPr>
        <w:spacing w:line="400" w:lineRule="exact"/>
        <w:ind w:firstLine="420" w:firstLineChars="200"/>
        <w:rPr>
          <w:rFonts w:ascii="宋体" w:hAnsi="宋体"/>
          <w:szCs w:val="21"/>
        </w:rPr>
      </w:pPr>
    </w:p>
    <w:p>
      <w:pPr>
        <w:spacing w:line="400" w:lineRule="exact"/>
        <w:ind w:firstLine="4830" w:firstLineChars="2300"/>
        <w:rPr>
          <w:rFonts w:ascii="宋体" w:hAnsi="宋体"/>
          <w:szCs w:val="21"/>
        </w:rPr>
      </w:pPr>
      <w:r>
        <w:rPr>
          <w:rFonts w:hint="eastAsia" w:ascii="宋体" w:hAnsi="宋体"/>
          <w:szCs w:val="21"/>
        </w:rPr>
        <w:t xml:space="preserve">投标人（盖章）：        </w:t>
      </w:r>
    </w:p>
    <w:p>
      <w:pPr>
        <w:spacing w:line="400" w:lineRule="exact"/>
        <w:ind w:firstLine="1575" w:firstLineChars="750"/>
        <w:rPr>
          <w:rFonts w:ascii="宋体" w:hAnsi="宋体"/>
          <w:szCs w:val="21"/>
        </w:rPr>
      </w:pPr>
      <w:r>
        <w:rPr>
          <w:rFonts w:hint="eastAsia" w:ascii="宋体" w:hAnsi="宋体"/>
          <w:szCs w:val="21"/>
        </w:rPr>
        <w:t xml:space="preserve">投标人的法定代表人／负责人或其授权代表(签字)：        </w:t>
      </w:r>
    </w:p>
    <w:p>
      <w:pPr>
        <w:spacing w:line="400" w:lineRule="exact"/>
        <w:ind w:firstLine="420" w:firstLineChars="200"/>
        <w:rPr>
          <w:rFonts w:ascii="宋体" w:hAnsi="宋体"/>
          <w:szCs w:val="21"/>
        </w:rPr>
      </w:pPr>
      <w:r>
        <w:rPr>
          <w:rFonts w:hint="eastAsia" w:ascii="宋体" w:hAnsi="宋体"/>
          <w:szCs w:val="21"/>
        </w:rPr>
        <w:t xml:space="preserve">                                                 日  期：  </w:t>
      </w:r>
    </w:p>
    <w:p>
      <w:pPr>
        <w:spacing w:line="400" w:lineRule="exact"/>
        <w:ind w:firstLine="420" w:firstLineChars="200"/>
        <w:rPr>
          <w:rFonts w:ascii="宋体" w:hAnsi="宋体"/>
          <w:szCs w:val="21"/>
        </w:rPr>
      </w:pPr>
    </w:p>
    <w:p>
      <w:pPr>
        <w:widowControl/>
        <w:spacing w:line="360" w:lineRule="auto"/>
        <w:ind w:left="420" w:right="159"/>
        <w:rPr>
          <w:rFonts w:ascii="宋体" w:hAnsi="宋体"/>
          <w:kern w:val="0"/>
          <w:szCs w:val="21"/>
        </w:rPr>
      </w:pPr>
    </w:p>
    <w:p>
      <w:pPr>
        <w:widowControl/>
        <w:spacing w:line="360" w:lineRule="auto"/>
        <w:ind w:left="420" w:right="159"/>
        <w:rPr>
          <w:rFonts w:ascii="宋体" w:hAnsi="宋体"/>
          <w:kern w:val="0"/>
          <w:szCs w:val="21"/>
        </w:rPr>
      </w:pPr>
    </w:p>
    <w:p>
      <w:pPr>
        <w:widowControl/>
        <w:spacing w:line="360" w:lineRule="auto"/>
        <w:ind w:left="420" w:right="159"/>
        <w:rPr>
          <w:rFonts w:ascii="宋体" w:hAnsi="宋体"/>
          <w:kern w:val="0"/>
          <w:szCs w:val="21"/>
        </w:rPr>
      </w:pPr>
    </w:p>
    <w:p>
      <w:pPr>
        <w:widowControl/>
        <w:spacing w:line="360" w:lineRule="auto"/>
        <w:ind w:left="420" w:right="159"/>
        <w:rPr>
          <w:rFonts w:ascii="宋体" w:hAnsi="宋体"/>
          <w:kern w:val="0"/>
          <w:szCs w:val="21"/>
        </w:rPr>
      </w:pPr>
    </w:p>
    <w:p>
      <w:pPr>
        <w:widowControl/>
        <w:spacing w:line="360" w:lineRule="auto"/>
        <w:ind w:left="420" w:right="159"/>
        <w:rPr>
          <w:rFonts w:ascii="宋体" w:hAnsi="宋体"/>
          <w:kern w:val="0"/>
          <w:szCs w:val="21"/>
        </w:rPr>
      </w:pPr>
    </w:p>
    <w:p>
      <w:pPr>
        <w:widowControl/>
        <w:spacing w:line="360" w:lineRule="auto"/>
        <w:ind w:left="420" w:right="159"/>
        <w:rPr>
          <w:rFonts w:ascii="宋体" w:hAnsi="宋体"/>
          <w:kern w:val="0"/>
          <w:szCs w:val="21"/>
        </w:rPr>
      </w:pPr>
    </w:p>
    <w:p>
      <w:pPr>
        <w:widowControl/>
        <w:spacing w:line="360" w:lineRule="auto"/>
        <w:ind w:left="420" w:right="159"/>
        <w:rPr>
          <w:rFonts w:ascii="宋体" w:hAnsi="宋体"/>
          <w:kern w:val="0"/>
          <w:szCs w:val="21"/>
        </w:rPr>
      </w:pPr>
    </w:p>
    <w:p>
      <w:pPr>
        <w:widowControl/>
        <w:spacing w:line="360" w:lineRule="auto"/>
        <w:ind w:left="420" w:right="159"/>
        <w:rPr>
          <w:rFonts w:ascii="宋体" w:hAnsi="宋体"/>
          <w:kern w:val="0"/>
          <w:szCs w:val="21"/>
        </w:rPr>
      </w:pPr>
    </w:p>
    <w:p>
      <w:pPr>
        <w:snapToGrid w:val="0"/>
        <w:spacing w:beforeLines="50" w:after="50"/>
        <w:jc w:val="left"/>
        <w:rPr>
          <w:rFonts w:ascii="宋体" w:hAnsi="宋体"/>
          <w:b/>
          <w:spacing w:val="-4"/>
          <w:sz w:val="18"/>
          <w:szCs w:val="20"/>
        </w:rPr>
      </w:pPr>
    </w:p>
    <w:p>
      <w:pPr>
        <w:snapToGrid w:val="0"/>
        <w:spacing w:beforeLines="50" w:after="50"/>
        <w:jc w:val="left"/>
        <w:rPr>
          <w:rFonts w:ascii="宋体" w:hAnsi="宋体"/>
          <w:b/>
          <w:spacing w:val="-4"/>
          <w:sz w:val="18"/>
          <w:szCs w:val="20"/>
        </w:rPr>
      </w:pPr>
    </w:p>
    <w:p>
      <w:pPr>
        <w:snapToGrid w:val="0"/>
        <w:spacing w:beforeLines="50" w:after="50"/>
        <w:jc w:val="left"/>
        <w:rPr>
          <w:rFonts w:ascii="宋体" w:hAnsi="宋体"/>
          <w:b/>
          <w:spacing w:val="-4"/>
          <w:sz w:val="18"/>
          <w:szCs w:val="20"/>
        </w:rPr>
      </w:pPr>
    </w:p>
    <w:p>
      <w:pPr>
        <w:snapToGrid w:val="0"/>
        <w:spacing w:beforeLines="50" w:after="50"/>
        <w:jc w:val="left"/>
        <w:rPr>
          <w:rFonts w:ascii="宋体" w:hAnsi="宋体"/>
          <w:b/>
          <w:spacing w:val="-4"/>
          <w:sz w:val="18"/>
          <w:szCs w:val="20"/>
        </w:rPr>
      </w:pPr>
    </w:p>
    <w:p>
      <w:pPr>
        <w:snapToGrid w:val="0"/>
        <w:spacing w:beforeLines="50" w:after="50"/>
        <w:jc w:val="left"/>
        <w:rPr>
          <w:rFonts w:ascii="宋体" w:hAnsi="宋体"/>
          <w:b/>
          <w:spacing w:val="-4"/>
          <w:sz w:val="18"/>
          <w:szCs w:val="20"/>
        </w:rPr>
      </w:pPr>
    </w:p>
    <w:p>
      <w:pPr>
        <w:snapToGrid w:val="0"/>
        <w:spacing w:beforeLines="50" w:after="50"/>
        <w:jc w:val="left"/>
        <w:rPr>
          <w:rFonts w:ascii="宋体" w:hAnsi="宋体"/>
          <w:b/>
          <w:spacing w:val="-4"/>
          <w:sz w:val="18"/>
          <w:szCs w:val="20"/>
        </w:rPr>
      </w:pPr>
    </w:p>
    <w:p>
      <w:pPr>
        <w:snapToGrid w:val="0"/>
        <w:spacing w:line="400" w:lineRule="exact"/>
        <w:jc w:val="left"/>
        <w:rPr>
          <w:rFonts w:ascii="宋体" w:hAnsi="宋体"/>
          <w:spacing w:val="-4"/>
          <w:szCs w:val="21"/>
        </w:rPr>
      </w:pPr>
      <w:r>
        <w:rPr>
          <w:rFonts w:hint="eastAsia" w:ascii="宋体" w:hAnsi="宋体"/>
          <w:spacing w:val="-4"/>
          <w:szCs w:val="21"/>
        </w:rPr>
        <w:t>附件二</w:t>
      </w:r>
    </w:p>
    <w:p>
      <w:pPr>
        <w:pStyle w:val="8"/>
        <w:spacing w:line="400" w:lineRule="exact"/>
        <w:jc w:val="center"/>
        <w:rPr>
          <w:rFonts w:hAnsi="宋体"/>
          <w:szCs w:val="21"/>
          <w:lang w:val="zh-CN"/>
        </w:rPr>
      </w:pPr>
      <w:bookmarkStart w:id="30" w:name="_Toc372547187"/>
      <w:r>
        <w:rPr>
          <w:rFonts w:hint="eastAsia" w:ascii="宋体" w:hAnsi="宋体"/>
          <w:szCs w:val="21"/>
        </w:rPr>
        <w:t>（二-1）</w:t>
      </w:r>
      <w:r>
        <w:rPr>
          <w:rFonts w:hint="eastAsia" w:ascii="宋体" w:hAnsi="宋体"/>
          <w:szCs w:val="21"/>
          <w:lang w:val="zh-CN"/>
        </w:rPr>
        <w:t>法定代表人／负责</w:t>
      </w:r>
      <w:r>
        <w:rPr>
          <w:rFonts w:hint="eastAsia" w:hAnsi="宋体"/>
          <w:szCs w:val="21"/>
          <w:lang w:val="zh-CN"/>
        </w:rPr>
        <w:t>人身份证明书</w:t>
      </w:r>
    </w:p>
    <w:p>
      <w:pPr>
        <w:spacing w:line="400" w:lineRule="exact"/>
        <w:jc w:val="center"/>
        <w:rPr>
          <w:rFonts w:ascii="宋体" w:hAnsi="宋体" w:cs="宋体"/>
          <w:szCs w:val="21"/>
        </w:rPr>
      </w:pPr>
    </w:p>
    <w:p>
      <w:pPr>
        <w:spacing w:line="400" w:lineRule="exact"/>
        <w:ind w:firstLine="420" w:firstLineChars="200"/>
        <w:rPr>
          <w:rFonts w:ascii="宋体" w:hAnsi="宋体" w:cs="宋体"/>
          <w:szCs w:val="21"/>
          <w:u w:val="single"/>
        </w:rPr>
      </w:pPr>
      <w:r>
        <w:rPr>
          <w:rFonts w:hint="eastAsia" w:ascii="宋体" w:hAnsi="宋体" w:cs="宋体"/>
          <w:szCs w:val="21"/>
        </w:rPr>
        <w:t>单位名称：</w:t>
      </w:r>
      <w:r>
        <w:rPr>
          <w:rFonts w:hint="eastAsia" w:ascii="宋体" w:hAnsi="宋体" w:cs="宋体"/>
          <w:szCs w:val="21"/>
          <w:u w:val="single"/>
        </w:rPr>
        <w:t xml:space="preserve">                                                              </w:t>
      </w:r>
    </w:p>
    <w:p>
      <w:pPr>
        <w:spacing w:line="400" w:lineRule="exact"/>
        <w:ind w:firstLine="420" w:firstLineChars="200"/>
        <w:rPr>
          <w:rFonts w:ascii="宋体" w:hAnsi="宋体" w:cs="宋体"/>
          <w:szCs w:val="21"/>
          <w:u w:val="single"/>
        </w:rPr>
      </w:pPr>
      <w:r>
        <w:rPr>
          <w:rFonts w:hint="eastAsia" w:ascii="宋体" w:hAnsi="宋体" w:cs="宋体"/>
          <w:szCs w:val="21"/>
        </w:rPr>
        <w:t>单位性质：</w:t>
      </w:r>
      <w:r>
        <w:rPr>
          <w:rFonts w:hint="eastAsia" w:ascii="宋体" w:hAnsi="宋体" w:cs="宋体"/>
          <w:szCs w:val="21"/>
          <w:u w:val="single"/>
        </w:rPr>
        <w:t xml:space="preserve">                                                              </w:t>
      </w:r>
    </w:p>
    <w:p>
      <w:pPr>
        <w:spacing w:line="400" w:lineRule="exact"/>
        <w:ind w:firstLine="420" w:firstLineChars="200"/>
        <w:rPr>
          <w:rFonts w:ascii="宋体" w:hAnsi="宋体" w:cs="宋体"/>
          <w:szCs w:val="21"/>
          <w:u w:val="single"/>
        </w:rPr>
      </w:pPr>
      <w:r>
        <w:rPr>
          <w:rFonts w:hint="eastAsia" w:ascii="宋体" w:hAnsi="宋体" w:cs="宋体"/>
          <w:szCs w:val="21"/>
        </w:rPr>
        <w:t>地    址：</w:t>
      </w:r>
      <w:r>
        <w:rPr>
          <w:rFonts w:hint="eastAsia" w:ascii="宋体" w:hAnsi="宋体" w:cs="宋体"/>
          <w:szCs w:val="21"/>
          <w:u w:val="single"/>
        </w:rPr>
        <w:t xml:space="preserve">                                                              </w:t>
      </w:r>
    </w:p>
    <w:p>
      <w:pPr>
        <w:spacing w:line="400" w:lineRule="exact"/>
        <w:ind w:firstLine="420" w:firstLineChars="200"/>
        <w:rPr>
          <w:rFonts w:ascii="宋体" w:hAnsi="宋体" w:cs="宋体"/>
          <w:szCs w:val="21"/>
        </w:rPr>
      </w:pPr>
      <w:r>
        <w:rPr>
          <w:rFonts w:hint="eastAsia" w:ascii="宋体" w:hAnsi="宋体" w:cs="宋体"/>
          <w:szCs w:val="21"/>
        </w:rPr>
        <w:t>成立时间：</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spacing w:line="400" w:lineRule="exact"/>
        <w:ind w:firstLine="420" w:firstLineChars="200"/>
        <w:rPr>
          <w:rFonts w:ascii="宋体" w:hAnsi="宋体" w:cs="宋体"/>
          <w:szCs w:val="21"/>
          <w:u w:val="single"/>
        </w:rPr>
      </w:pPr>
      <w:r>
        <w:rPr>
          <w:rFonts w:hint="eastAsia" w:ascii="宋体" w:hAnsi="宋体" w:cs="宋体"/>
          <w:szCs w:val="21"/>
        </w:rPr>
        <w:t>经营期限：</w:t>
      </w:r>
      <w:r>
        <w:rPr>
          <w:rFonts w:hint="eastAsia" w:ascii="宋体" w:hAnsi="宋体" w:cs="宋体"/>
          <w:szCs w:val="21"/>
          <w:u w:val="single"/>
        </w:rPr>
        <w:t xml:space="preserve">                                                             </w:t>
      </w:r>
    </w:p>
    <w:p>
      <w:pPr>
        <w:spacing w:line="400" w:lineRule="exact"/>
        <w:ind w:firstLine="420" w:firstLineChars="200"/>
        <w:rPr>
          <w:rFonts w:ascii="宋体" w:hAnsi="宋体" w:cs="宋体"/>
          <w:szCs w:val="21"/>
          <w:u w:val="single"/>
        </w:rPr>
      </w:pPr>
      <w:r>
        <w:rPr>
          <w:rFonts w:hint="eastAsia" w:ascii="宋体" w:hAnsi="宋体" w:cs="宋体"/>
          <w:szCs w:val="21"/>
        </w:rPr>
        <w:t>姓    名：</w:t>
      </w:r>
      <w:r>
        <w:rPr>
          <w:rFonts w:hint="eastAsia" w:ascii="宋体" w:hAnsi="宋体" w:cs="宋体"/>
          <w:szCs w:val="21"/>
          <w:u w:val="single"/>
        </w:rPr>
        <w:t xml:space="preserve">            </w:t>
      </w:r>
      <w:r>
        <w:rPr>
          <w:rFonts w:hint="eastAsia" w:ascii="宋体" w:hAnsi="宋体" w:cs="宋体"/>
          <w:szCs w:val="21"/>
        </w:rPr>
        <w:t xml:space="preserve">  性别：</w:t>
      </w:r>
      <w:r>
        <w:rPr>
          <w:rFonts w:hint="eastAsia" w:ascii="宋体" w:hAnsi="宋体" w:cs="宋体"/>
          <w:szCs w:val="21"/>
          <w:u w:val="single"/>
        </w:rPr>
        <w:t xml:space="preserve">         </w:t>
      </w:r>
      <w:r>
        <w:rPr>
          <w:rFonts w:hint="eastAsia" w:ascii="宋体" w:hAnsi="宋体" w:cs="宋体"/>
          <w:szCs w:val="21"/>
        </w:rPr>
        <w:t xml:space="preserve"> 年龄：</w:t>
      </w:r>
      <w:r>
        <w:rPr>
          <w:rFonts w:hint="eastAsia" w:ascii="宋体" w:hAnsi="宋体" w:cs="宋体"/>
          <w:szCs w:val="21"/>
          <w:u w:val="single"/>
        </w:rPr>
        <w:t xml:space="preserve">          </w:t>
      </w:r>
      <w:r>
        <w:rPr>
          <w:rFonts w:hint="eastAsia" w:ascii="宋体" w:hAnsi="宋体" w:cs="宋体"/>
          <w:szCs w:val="21"/>
        </w:rPr>
        <w:t xml:space="preserve"> 职务：</w:t>
      </w:r>
      <w:r>
        <w:rPr>
          <w:rFonts w:hint="eastAsia" w:ascii="宋体" w:hAnsi="宋体" w:cs="宋体"/>
          <w:szCs w:val="21"/>
          <w:u w:val="single"/>
        </w:rPr>
        <w:t xml:space="preserve">         </w:t>
      </w:r>
    </w:p>
    <w:p>
      <w:pPr>
        <w:spacing w:line="400" w:lineRule="exact"/>
        <w:ind w:firstLine="420" w:firstLineChars="200"/>
        <w:rPr>
          <w:rFonts w:ascii="宋体" w:hAnsi="宋体" w:cs="宋体"/>
          <w:szCs w:val="21"/>
        </w:rPr>
      </w:pPr>
      <w:r>
        <w:rPr>
          <w:rFonts w:hint="eastAsia" w:ascii="宋体" w:hAnsi="宋体" w:cs="宋体"/>
          <w:szCs w:val="21"/>
        </w:rPr>
        <w:t xml:space="preserve">系 </w:t>
      </w:r>
      <w:r>
        <w:rPr>
          <w:rFonts w:hint="eastAsia" w:ascii="宋体" w:hAnsi="宋体" w:cs="宋体"/>
          <w:szCs w:val="21"/>
          <w:u w:val="single"/>
        </w:rPr>
        <w:t xml:space="preserve">           (供应商名称)                         </w:t>
      </w:r>
      <w:r>
        <w:rPr>
          <w:rFonts w:hint="eastAsia" w:ascii="宋体" w:hAnsi="宋体" w:cs="宋体"/>
          <w:szCs w:val="21"/>
        </w:rPr>
        <w:t>的法定代表人／负责人。</w:t>
      </w:r>
    </w:p>
    <w:p>
      <w:pPr>
        <w:spacing w:line="400" w:lineRule="exact"/>
        <w:ind w:firstLine="420" w:firstLineChars="200"/>
        <w:rPr>
          <w:rFonts w:ascii="宋体" w:hAnsi="宋体" w:cs="宋体"/>
          <w:szCs w:val="21"/>
        </w:rPr>
      </w:pPr>
    </w:p>
    <w:p>
      <w:pPr>
        <w:spacing w:line="400" w:lineRule="exact"/>
        <w:ind w:firstLine="420" w:firstLineChars="200"/>
        <w:rPr>
          <w:rFonts w:ascii="宋体" w:hAnsi="宋体" w:cs="宋体"/>
          <w:szCs w:val="21"/>
        </w:rPr>
      </w:pPr>
      <w:r>
        <w:rPr>
          <w:rFonts w:hint="eastAsia" w:ascii="宋体" w:hAnsi="宋体" w:cs="宋体"/>
          <w:szCs w:val="21"/>
        </w:rPr>
        <w:t>特此证明。</w:t>
      </w:r>
    </w:p>
    <w:p>
      <w:pPr>
        <w:spacing w:line="400" w:lineRule="exact"/>
        <w:rPr>
          <w:rFonts w:ascii="宋体" w:hAnsi="宋体" w:cs="宋体"/>
          <w:szCs w:val="21"/>
        </w:rPr>
      </w:pPr>
    </w:p>
    <w:p>
      <w:pPr>
        <w:spacing w:line="400" w:lineRule="exact"/>
        <w:rPr>
          <w:rFonts w:ascii="宋体" w:hAnsi="宋体" w:cs="宋体"/>
          <w:szCs w:val="21"/>
        </w:rPr>
      </w:pPr>
    </w:p>
    <w:p>
      <w:pPr>
        <w:spacing w:line="400" w:lineRule="exact"/>
        <w:ind w:firstLine="2940" w:firstLineChars="1400"/>
        <w:rPr>
          <w:rFonts w:ascii="宋体" w:hAnsi="宋体" w:cs="宋体"/>
          <w:szCs w:val="21"/>
          <w:u w:val="single"/>
        </w:rPr>
      </w:pPr>
      <w:r>
        <w:rPr>
          <w:rFonts w:hint="eastAsia" w:ascii="宋体" w:hAnsi="宋体" w:cs="宋体"/>
          <w:szCs w:val="21"/>
        </w:rPr>
        <w:t xml:space="preserve">  供应商：</w:t>
      </w:r>
      <w:r>
        <w:rPr>
          <w:rFonts w:hint="eastAsia" w:ascii="宋体" w:hAnsi="宋体" w:cs="宋体"/>
          <w:szCs w:val="21"/>
          <w:u w:val="single"/>
        </w:rPr>
        <w:t xml:space="preserve">                     (盖章)      </w:t>
      </w:r>
    </w:p>
    <w:p>
      <w:pPr>
        <w:snapToGrid w:val="0"/>
        <w:spacing w:line="400" w:lineRule="exact"/>
        <w:jc w:val="left"/>
        <w:rPr>
          <w:rFonts w:ascii="宋体" w:hAnsi="宋体"/>
          <w:szCs w:val="21"/>
        </w:rPr>
      </w:pPr>
      <w:r>
        <w:rPr>
          <w:rFonts w:hint="eastAsia" w:ascii="宋体" w:hAnsi="宋体" w:cs="宋体"/>
          <w:szCs w:val="21"/>
        </w:rPr>
        <w:t xml:space="preserve">                              日  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snapToGrid w:val="0"/>
        <w:spacing w:line="400" w:lineRule="exact"/>
        <w:jc w:val="left"/>
        <w:rPr>
          <w:rFonts w:ascii="宋体" w:hAnsi="宋体"/>
          <w:szCs w:val="21"/>
        </w:rPr>
      </w:pPr>
    </w:p>
    <w:p>
      <w:pPr>
        <w:snapToGrid w:val="0"/>
        <w:spacing w:line="400" w:lineRule="exact"/>
        <w:jc w:val="center"/>
        <w:rPr>
          <w:rFonts w:ascii="宋体" w:hAnsi="宋体"/>
          <w:szCs w:val="21"/>
        </w:rPr>
      </w:pPr>
    </w:p>
    <w:p>
      <w:pPr>
        <w:snapToGrid w:val="0"/>
        <w:spacing w:line="400" w:lineRule="exact"/>
        <w:jc w:val="center"/>
        <w:rPr>
          <w:rFonts w:ascii="宋体" w:hAnsi="宋体"/>
          <w:szCs w:val="21"/>
        </w:rPr>
      </w:pPr>
    </w:p>
    <w:p/>
    <w:p>
      <w:pPr>
        <w:snapToGrid w:val="0"/>
        <w:spacing w:beforeLines="50" w:after="50"/>
        <w:jc w:val="left"/>
        <w:rPr>
          <w:rFonts w:hAnsi="宋体" w:cs="宋体"/>
        </w:rPr>
      </w:pPr>
      <w:r>
        <w:rPr>
          <w:rFonts w:hint="eastAsia" w:hAnsi="宋体"/>
          <w:b/>
          <w:szCs w:val="21"/>
          <w:lang w:val="zh-CN"/>
        </w:rPr>
        <w:t>法定代表人／负责人身份证复印件</w:t>
      </w:r>
    </w:p>
    <w:p>
      <w:pPr>
        <w:snapToGrid w:val="0"/>
        <w:spacing w:beforeLines="50" w:after="50"/>
        <w:jc w:val="left"/>
        <w:rPr>
          <w:rFonts w:hAnsi="宋体" w:cs="宋体"/>
        </w:rPr>
      </w:pPr>
    </w:p>
    <w:tbl>
      <w:tblPr>
        <w:tblStyle w:val="16"/>
        <w:tblpPr w:leftFromText="180" w:rightFromText="180" w:vertAnchor="text" w:tblpY="1"/>
        <w:tblOverlap w:val="never"/>
        <w:tblW w:w="3917" w:type="dxa"/>
        <w:tblInd w:w="0" w:type="dxa"/>
        <w:tblLayout w:type="fixed"/>
        <w:tblCellMar>
          <w:top w:w="0" w:type="dxa"/>
          <w:left w:w="108" w:type="dxa"/>
          <w:bottom w:w="0" w:type="dxa"/>
          <w:right w:w="108" w:type="dxa"/>
        </w:tblCellMar>
      </w:tblPr>
      <w:tblGrid>
        <w:gridCol w:w="3917"/>
      </w:tblGrid>
      <w:tr>
        <w:tblPrEx>
          <w:tblLayout w:type="fixed"/>
          <w:tblCellMar>
            <w:top w:w="0" w:type="dxa"/>
            <w:left w:w="108" w:type="dxa"/>
            <w:bottom w:w="0" w:type="dxa"/>
            <w:right w:w="108" w:type="dxa"/>
          </w:tblCellMar>
        </w:tblPrEx>
        <w:trPr>
          <w:trHeight w:val="2359" w:hRule="atLeast"/>
        </w:trPr>
        <w:tc>
          <w:tcPr>
            <w:tcW w:w="3917" w:type="dxa"/>
            <w:vAlign w:val="center"/>
          </w:tcPr>
          <w:p>
            <w:pPr>
              <w:snapToGrid w:val="0"/>
              <w:spacing w:beforeLines="50" w:after="50" w:line="200" w:lineRule="exact"/>
              <w:jc w:val="center"/>
              <w:rPr>
                <w:rFonts w:hAnsi="宋体" w:cs="宋体"/>
              </w:rPr>
            </w:pPr>
            <w:r>
              <w:rPr>
                <w:rFonts w:hint="eastAsia" w:hAnsi="宋体"/>
                <w:szCs w:val="21"/>
                <w:lang w:val="zh-CN"/>
              </w:rPr>
              <w:t>复印件正面粘贴处</w:t>
            </w:r>
          </w:p>
        </w:tc>
      </w:tr>
    </w:tbl>
    <w:tbl>
      <w:tblPr>
        <w:tblStyle w:val="16"/>
        <w:tblpPr w:leftFromText="180" w:rightFromText="180" w:vertAnchor="text" w:horzAnchor="margin" w:tblpXSpec="right" w:tblpY="28"/>
        <w:tblOverlap w:val="never"/>
        <w:tblW w:w="3917" w:type="dxa"/>
        <w:tblInd w:w="0" w:type="dxa"/>
        <w:tblLayout w:type="fixed"/>
        <w:tblCellMar>
          <w:top w:w="0" w:type="dxa"/>
          <w:left w:w="108" w:type="dxa"/>
          <w:bottom w:w="0" w:type="dxa"/>
          <w:right w:w="108" w:type="dxa"/>
        </w:tblCellMar>
      </w:tblPr>
      <w:tblGrid>
        <w:gridCol w:w="3917"/>
      </w:tblGrid>
      <w:tr>
        <w:tblPrEx>
          <w:tblLayout w:type="fixed"/>
          <w:tblCellMar>
            <w:top w:w="0" w:type="dxa"/>
            <w:left w:w="108" w:type="dxa"/>
            <w:bottom w:w="0" w:type="dxa"/>
            <w:right w:w="108" w:type="dxa"/>
          </w:tblCellMar>
        </w:tblPrEx>
        <w:trPr>
          <w:trHeight w:val="2359" w:hRule="atLeast"/>
        </w:trPr>
        <w:tc>
          <w:tcPr>
            <w:tcW w:w="3917" w:type="dxa"/>
            <w:vAlign w:val="center"/>
          </w:tcPr>
          <w:p>
            <w:pPr>
              <w:snapToGrid w:val="0"/>
              <w:spacing w:beforeLines="50" w:after="50"/>
              <w:jc w:val="center"/>
              <w:rPr>
                <w:rFonts w:hAnsi="宋体" w:cs="宋体"/>
              </w:rPr>
            </w:pPr>
            <w:r>
              <w:rPr>
                <w:rFonts w:hint="eastAsia" w:hAnsi="宋体"/>
                <w:szCs w:val="21"/>
                <w:lang w:val="zh-CN"/>
              </w:rPr>
              <w:t>复印件反面粘贴处</w:t>
            </w:r>
          </w:p>
        </w:tc>
      </w:tr>
    </w:tbl>
    <w:p>
      <w:pPr>
        <w:snapToGrid w:val="0"/>
        <w:spacing w:beforeLines="50" w:after="50"/>
        <w:jc w:val="left"/>
        <w:rPr>
          <w:rFonts w:hAnsi="宋体" w:cs="宋体"/>
        </w:rPr>
      </w:pPr>
    </w:p>
    <w:p>
      <w:pPr>
        <w:snapToGrid w:val="0"/>
        <w:spacing w:beforeLines="50" w:after="50"/>
        <w:jc w:val="left"/>
        <w:rPr>
          <w:rFonts w:ascii="宋体" w:hAnsi="宋体"/>
          <w:szCs w:val="21"/>
        </w:rPr>
      </w:pPr>
    </w:p>
    <w:p>
      <w:pPr>
        <w:snapToGrid w:val="0"/>
        <w:spacing w:beforeLines="50" w:after="50"/>
        <w:jc w:val="left"/>
        <w:rPr>
          <w:rFonts w:ascii="宋体" w:hAnsi="宋体"/>
          <w:szCs w:val="21"/>
        </w:rPr>
      </w:pPr>
    </w:p>
    <w:p>
      <w:pPr>
        <w:snapToGrid w:val="0"/>
        <w:spacing w:beforeLines="50" w:after="50"/>
        <w:jc w:val="left"/>
        <w:rPr>
          <w:rFonts w:ascii="宋体" w:hAnsi="宋体"/>
          <w:szCs w:val="21"/>
        </w:rPr>
      </w:pPr>
    </w:p>
    <w:p>
      <w:pPr>
        <w:snapToGrid w:val="0"/>
        <w:spacing w:beforeLines="50" w:after="50"/>
        <w:jc w:val="left"/>
        <w:rPr>
          <w:rFonts w:ascii="宋体" w:hAnsi="宋体"/>
          <w:szCs w:val="21"/>
        </w:rPr>
      </w:pPr>
    </w:p>
    <w:p>
      <w:pPr>
        <w:snapToGrid w:val="0"/>
        <w:spacing w:beforeLines="50" w:after="50"/>
        <w:jc w:val="left"/>
        <w:rPr>
          <w:rFonts w:ascii="宋体" w:hAnsi="宋体"/>
          <w:b/>
          <w:spacing w:val="-4"/>
          <w:sz w:val="18"/>
        </w:rPr>
      </w:pPr>
    </w:p>
    <w:p>
      <w:pPr>
        <w:snapToGrid w:val="0"/>
        <w:spacing w:line="400" w:lineRule="exact"/>
        <w:jc w:val="center"/>
        <w:rPr>
          <w:rFonts w:ascii="宋体" w:hAnsi="宋体"/>
          <w:szCs w:val="21"/>
        </w:rPr>
      </w:pPr>
      <w:r>
        <w:rPr>
          <w:rFonts w:hint="eastAsia" w:ascii="宋体" w:hAnsi="宋体"/>
          <w:spacing w:val="-4"/>
          <w:szCs w:val="21"/>
        </w:rPr>
        <w:t xml:space="preserve">（二-2） </w:t>
      </w:r>
      <w:r>
        <w:rPr>
          <w:rFonts w:hint="eastAsia" w:ascii="宋体" w:hAnsi="宋体"/>
          <w:szCs w:val="21"/>
        </w:rPr>
        <w:t>法定代表人／负责人授权书</w:t>
      </w:r>
    </w:p>
    <w:p>
      <w:pPr>
        <w:snapToGrid w:val="0"/>
        <w:spacing w:line="400" w:lineRule="exact"/>
        <w:jc w:val="center"/>
        <w:rPr>
          <w:rFonts w:ascii="宋体" w:hAnsi="宋体"/>
          <w:spacing w:val="-4"/>
          <w:szCs w:val="21"/>
        </w:rPr>
      </w:pPr>
    </w:p>
    <w:p>
      <w:pPr>
        <w:snapToGrid w:val="0"/>
        <w:spacing w:line="400" w:lineRule="exact"/>
        <w:jc w:val="left"/>
        <w:rPr>
          <w:rFonts w:ascii="宋体" w:hAnsi="宋体"/>
          <w:bCs/>
          <w:szCs w:val="21"/>
        </w:rPr>
      </w:pPr>
      <w:r>
        <w:rPr>
          <w:rFonts w:hint="eastAsia" w:ascii="宋体" w:hAnsi="宋体"/>
          <w:bCs/>
          <w:szCs w:val="21"/>
        </w:rPr>
        <w:t>致：</w:t>
      </w:r>
      <w:r>
        <w:rPr>
          <w:rFonts w:hint="eastAsia" w:ascii="宋体" w:hAnsi="宋体"/>
          <w:szCs w:val="21"/>
          <w:u w:val="single"/>
        </w:rPr>
        <w:t xml:space="preserve">                               </w:t>
      </w:r>
      <w:r>
        <w:rPr>
          <w:rFonts w:hint="eastAsia" w:ascii="宋体" w:hAnsi="宋体"/>
          <w:szCs w:val="21"/>
        </w:rPr>
        <w:t>（招标采购单位名称）：</w:t>
      </w:r>
    </w:p>
    <w:p>
      <w:pPr>
        <w:snapToGrid w:val="0"/>
        <w:spacing w:line="400" w:lineRule="exact"/>
        <w:ind w:firstLine="420" w:firstLineChars="200"/>
        <w:jc w:val="left"/>
        <w:rPr>
          <w:rFonts w:ascii="宋体" w:hAnsi="宋体"/>
          <w:szCs w:val="21"/>
        </w:rPr>
      </w:pPr>
      <w:r>
        <w:rPr>
          <w:rFonts w:hint="eastAsia" w:ascii="宋体" w:hAnsi="宋体"/>
          <w:szCs w:val="21"/>
        </w:rPr>
        <w:t xml:space="preserve">我 </w:t>
      </w:r>
      <w:r>
        <w:rPr>
          <w:rFonts w:hint="eastAsia" w:ascii="宋体" w:hAnsi="宋体"/>
          <w:szCs w:val="21"/>
          <w:u w:val="single"/>
        </w:rPr>
        <w:t xml:space="preserve">             </w:t>
      </w:r>
      <w:r>
        <w:rPr>
          <w:rFonts w:hint="eastAsia" w:ascii="宋体" w:hAnsi="宋体"/>
          <w:szCs w:val="21"/>
        </w:rPr>
        <w:t xml:space="preserve">（姓名）系 </w:t>
      </w:r>
      <w:r>
        <w:rPr>
          <w:rFonts w:hint="eastAsia" w:ascii="宋体" w:hAnsi="宋体"/>
          <w:szCs w:val="21"/>
          <w:u w:val="single"/>
        </w:rPr>
        <w:t xml:space="preserve">                                   </w:t>
      </w:r>
      <w:r>
        <w:rPr>
          <w:rFonts w:hint="eastAsia" w:ascii="宋体" w:hAnsi="宋体"/>
          <w:szCs w:val="21"/>
        </w:rPr>
        <w:t>（投标人名称）的法定代表人／负责人，现授权委托本单位在职职工</w:t>
      </w:r>
      <w:r>
        <w:rPr>
          <w:rFonts w:hint="eastAsia" w:ascii="宋体" w:hAnsi="宋体"/>
          <w:szCs w:val="21"/>
          <w:u w:val="single"/>
        </w:rPr>
        <w:t xml:space="preserve">             </w:t>
      </w:r>
      <w:r>
        <w:rPr>
          <w:rFonts w:hint="eastAsia" w:ascii="宋体" w:hAnsi="宋体"/>
          <w:szCs w:val="21"/>
        </w:rPr>
        <w:t>（姓名）以我方的名义参加</w:t>
      </w:r>
      <w:r>
        <w:rPr>
          <w:rFonts w:hint="eastAsia" w:ascii="宋体" w:hAnsi="宋体"/>
          <w:szCs w:val="21"/>
          <w:u w:val="single"/>
        </w:rPr>
        <w:t xml:space="preserve">                                        </w:t>
      </w:r>
      <w:r>
        <w:rPr>
          <w:rFonts w:hint="eastAsia" w:ascii="宋体" w:hAnsi="宋体"/>
          <w:szCs w:val="21"/>
        </w:rPr>
        <w:t>项目的投标活动，并代表我方全权办理针对上述项目的投标、开标、评标、签约等具体事务和签署相关文件。</w:t>
      </w:r>
    </w:p>
    <w:p>
      <w:pPr>
        <w:snapToGrid w:val="0"/>
        <w:spacing w:line="400" w:lineRule="exact"/>
        <w:ind w:firstLine="420" w:firstLineChars="200"/>
        <w:jc w:val="left"/>
        <w:rPr>
          <w:rFonts w:ascii="宋体" w:hAnsi="宋体"/>
          <w:szCs w:val="21"/>
        </w:rPr>
      </w:pPr>
      <w:r>
        <w:rPr>
          <w:rFonts w:hint="eastAsia" w:ascii="宋体" w:hAnsi="宋体"/>
          <w:szCs w:val="21"/>
        </w:rPr>
        <w:t>我方对授权代表的签名事项负全部责任。</w:t>
      </w:r>
    </w:p>
    <w:p>
      <w:pPr>
        <w:snapToGrid w:val="0"/>
        <w:spacing w:line="400" w:lineRule="exact"/>
        <w:ind w:firstLine="420" w:firstLineChars="200"/>
        <w:jc w:val="left"/>
        <w:rPr>
          <w:rFonts w:ascii="宋体" w:hAnsi="宋体"/>
          <w:szCs w:val="21"/>
        </w:rPr>
      </w:pPr>
      <w:r>
        <w:rPr>
          <w:rFonts w:hint="eastAsia" w:ascii="宋体" w:hAnsi="宋体"/>
          <w:szCs w:val="21"/>
        </w:rPr>
        <w:t>在撤销授权的书面通知以前，本授权书一直有效。授权代表在授权书有效期内签署的所有文件不因授权的撤销而失效。</w:t>
      </w:r>
    </w:p>
    <w:p>
      <w:pPr>
        <w:snapToGrid w:val="0"/>
        <w:spacing w:line="400" w:lineRule="exact"/>
        <w:ind w:firstLine="420" w:firstLineChars="200"/>
        <w:jc w:val="left"/>
        <w:rPr>
          <w:rFonts w:ascii="宋体" w:hAnsi="宋体"/>
          <w:szCs w:val="21"/>
        </w:rPr>
      </w:pPr>
      <w:r>
        <w:rPr>
          <w:rFonts w:hint="eastAsia" w:ascii="宋体" w:hAnsi="宋体"/>
          <w:szCs w:val="21"/>
        </w:rPr>
        <w:t>授权代表无转委托权，特此委托。</w:t>
      </w:r>
    </w:p>
    <w:p>
      <w:pPr>
        <w:snapToGrid w:val="0"/>
        <w:spacing w:line="400" w:lineRule="exact"/>
        <w:ind w:firstLine="420" w:firstLineChars="200"/>
        <w:jc w:val="left"/>
        <w:rPr>
          <w:rFonts w:ascii="宋体" w:hAnsi="宋体"/>
          <w:szCs w:val="21"/>
        </w:rPr>
      </w:pPr>
    </w:p>
    <w:p>
      <w:pPr>
        <w:snapToGrid w:val="0"/>
        <w:spacing w:line="400" w:lineRule="exact"/>
        <w:ind w:firstLine="420" w:firstLineChars="200"/>
        <w:jc w:val="left"/>
        <w:rPr>
          <w:rFonts w:ascii="宋体" w:hAnsi="宋体"/>
          <w:szCs w:val="21"/>
        </w:rPr>
      </w:pPr>
    </w:p>
    <w:p>
      <w:pPr>
        <w:snapToGrid w:val="0"/>
        <w:spacing w:line="400" w:lineRule="exact"/>
        <w:ind w:firstLine="420" w:firstLineChars="200"/>
        <w:jc w:val="left"/>
        <w:rPr>
          <w:rFonts w:ascii="宋体" w:hAnsi="宋体"/>
          <w:szCs w:val="21"/>
          <w:u w:val="single"/>
        </w:rPr>
      </w:pPr>
      <w:r>
        <w:rPr>
          <w:rFonts w:hint="eastAsia" w:ascii="宋体" w:hAnsi="宋体"/>
          <w:szCs w:val="21"/>
        </w:rPr>
        <w:t>授权代表签字：</w:t>
      </w:r>
      <w:r>
        <w:rPr>
          <w:rFonts w:ascii="宋体" w:hAnsi="宋体"/>
          <w:szCs w:val="21"/>
          <w:u w:val="single"/>
        </w:rPr>
        <w:t xml:space="preserve">          </w:t>
      </w:r>
      <w:r>
        <w:rPr>
          <w:rFonts w:ascii="宋体" w:hAnsi="宋体"/>
          <w:szCs w:val="21"/>
        </w:rPr>
        <w:t xml:space="preserve">                 </w:t>
      </w:r>
      <w:r>
        <w:rPr>
          <w:rFonts w:hint="eastAsia" w:ascii="宋体" w:hAnsi="宋体"/>
          <w:szCs w:val="21"/>
        </w:rPr>
        <w:t>法定代表人／负责人签字：</w:t>
      </w:r>
      <w:r>
        <w:rPr>
          <w:rFonts w:ascii="宋体" w:hAnsi="宋体"/>
          <w:szCs w:val="21"/>
          <w:u w:val="single"/>
        </w:rPr>
        <w:t xml:space="preserve">          </w:t>
      </w:r>
    </w:p>
    <w:p>
      <w:pPr>
        <w:snapToGrid w:val="0"/>
        <w:spacing w:line="400" w:lineRule="exact"/>
        <w:ind w:firstLine="420" w:firstLineChars="200"/>
        <w:jc w:val="left"/>
        <w:rPr>
          <w:rFonts w:ascii="宋体" w:hAnsi="宋体"/>
          <w:szCs w:val="21"/>
        </w:rPr>
      </w:pPr>
      <w:r>
        <w:rPr>
          <w:rFonts w:hint="eastAsia" w:ascii="宋体" w:hAnsi="宋体"/>
          <w:szCs w:val="21"/>
        </w:rPr>
        <w:t>职务：</w:t>
      </w:r>
      <w:r>
        <w:rPr>
          <w:rFonts w:ascii="宋体" w:hAnsi="宋体"/>
          <w:szCs w:val="21"/>
          <w:u w:val="single"/>
        </w:rPr>
        <w:t xml:space="preserve">           </w:t>
      </w:r>
      <w:r>
        <w:rPr>
          <w:rFonts w:ascii="宋体" w:hAnsi="宋体"/>
          <w:szCs w:val="21"/>
        </w:rPr>
        <w:t xml:space="preserve">                        </w:t>
      </w:r>
      <w:r>
        <w:rPr>
          <w:rFonts w:hint="eastAsia" w:ascii="宋体" w:hAnsi="宋体"/>
          <w:szCs w:val="21"/>
        </w:rPr>
        <w:t>职务：</w:t>
      </w:r>
      <w:r>
        <w:rPr>
          <w:rFonts w:ascii="宋体" w:hAnsi="宋体"/>
          <w:szCs w:val="21"/>
          <w:u w:val="single"/>
        </w:rPr>
        <w:t xml:space="preserve">           </w:t>
      </w:r>
    </w:p>
    <w:p>
      <w:pPr>
        <w:snapToGrid w:val="0"/>
        <w:spacing w:line="400" w:lineRule="exact"/>
        <w:ind w:firstLine="420" w:firstLineChars="200"/>
        <w:jc w:val="left"/>
        <w:rPr>
          <w:rFonts w:ascii="宋体" w:hAnsi="宋体"/>
          <w:szCs w:val="21"/>
        </w:rPr>
      </w:pPr>
      <w:r>
        <w:rPr>
          <w:rFonts w:hint="eastAsia" w:ascii="宋体" w:hAnsi="宋体"/>
          <w:szCs w:val="21"/>
        </w:rPr>
        <w:t>授权代表身份证号码：</w:t>
      </w:r>
      <w:r>
        <w:rPr>
          <w:rFonts w:ascii="宋体" w:hAnsi="宋体"/>
          <w:szCs w:val="21"/>
          <w:u w:val="single"/>
        </w:rPr>
        <w:t xml:space="preserve">                             </w:t>
      </w:r>
      <w:r>
        <w:rPr>
          <w:rFonts w:ascii="宋体" w:hAnsi="宋体"/>
          <w:szCs w:val="21"/>
        </w:rPr>
        <w:t xml:space="preserve"> </w:t>
      </w:r>
    </w:p>
    <w:p>
      <w:pPr>
        <w:snapToGrid w:val="0"/>
        <w:spacing w:line="400" w:lineRule="exact"/>
        <w:ind w:firstLine="420" w:firstLineChars="200"/>
        <w:jc w:val="left"/>
        <w:rPr>
          <w:rFonts w:ascii="宋体" w:hAnsi="宋体"/>
          <w:szCs w:val="21"/>
        </w:rPr>
      </w:pPr>
      <w:r>
        <w:rPr>
          <w:rFonts w:ascii="宋体" w:hAnsi="宋体"/>
          <w:szCs w:val="21"/>
        </w:rPr>
        <w:t xml:space="preserve">                                   </w:t>
      </w:r>
    </w:p>
    <w:p>
      <w:pPr>
        <w:snapToGrid w:val="0"/>
        <w:spacing w:line="400" w:lineRule="exact"/>
        <w:ind w:firstLine="420" w:firstLineChars="200"/>
        <w:jc w:val="left"/>
        <w:rPr>
          <w:rFonts w:ascii="宋体" w:hAnsi="宋体"/>
          <w:szCs w:val="21"/>
        </w:rPr>
      </w:pPr>
    </w:p>
    <w:p>
      <w:pPr>
        <w:snapToGrid w:val="0"/>
        <w:spacing w:line="400" w:lineRule="exact"/>
        <w:ind w:firstLine="4410" w:firstLineChars="2100"/>
        <w:jc w:val="left"/>
        <w:rPr>
          <w:rFonts w:ascii="宋体" w:hAnsi="宋体"/>
          <w:szCs w:val="21"/>
        </w:rPr>
      </w:pPr>
      <w:r>
        <w:rPr>
          <w:rFonts w:ascii="宋体" w:hAnsi="宋体"/>
          <w:szCs w:val="21"/>
        </w:rPr>
        <w:t xml:space="preserve">  </w:t>
      </w:r>
      <w:r>
        <w:rPr>
          <w:rFonts w:hint="eastAsia" w:ascii="宋体" w:hAnsi="宋体"/>
          <w:szCs w:val="21"/>
        </w:rPr>
        <w:t>投标人公章：</w:t>
      </w:r>
    </w:p>
    <w:p>
      <w:pPr>
        <w:snapToGrid w:val="0"/>
        <w:spacing w:line="400" w:lineRule="exact"/>
        <w:ind w:firstLine="420" w:firstLineChars="200"/>
        <w:jc w:val="left"/>
        <w:rPr>
          <w:rFonts w:ascii="宋体" w:hAnsi="宋体"/>
          <w:szCs w:val="21"/>
        </w:rPr>
      </w:pP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
    <w:p/>
    <w:p>
      <w:pPr>
        <w:snapToGrid w:val="0"/>
        <w:spacing w:beforeLines="50" w:after="50"/>
        <w:jc w:val="left"/>
        <w:rPr>
          <w:rFonts w:hAnsi="宋体" w:cs="宋体"/>
        </w:rPr>
      </w:pPr>
      <w:r>
        <w:rPr>
          <w:rFonts w:hint="eastAsia" w:ascii="宋体" w:hAnsi="宋体"/>
          <w:b/>
          <w:szCs w:val="21"/>
        </w:rPr>
        <w:t>授权代表身份证</w:t>
      </w:r>
      <w:r>
        <w:rPr>
          <w:rFonts w:hint="eastAsia" w:hAnsi="宋体"/>
          <w:b/>
          <w:szCs w:val="21"/>
          <w:lang w:val="zh-CN"/>
        </w:rPr>
        <w:t>复印件</w:t>
      </w:r>
    </w:p>
    <w:p>
      <w:pPr>
        <w:snapToGrid w:val="0"/>
        <w:spacing w:beforeLines="50" w:after="50"/>
        <w:jc w:val="left"/>
        <w:rPr>
          <w:rFonts w:hAnsi="宋体" w:cs="宋体"/>
        </w:rPr>
      </w:pPr>
    </w:p>
    <w:tbl>
      <w:tblPr>
        <w:tblStyle w:val="16"/>
        <w:tblpPr w:leftFromText="180" w:rightFromText="180" w:vertAnchor="text" w:tblpY="1"/>
        <w:tblOverlap w:val="never"/>
        <w:tblW w:w="3917" w:type="dxa"/>
        <w:tblInd w:w="0" w:type="dxa"/>
        <w:tblLayout w:type="fixed"/>
        <w:tblCellMar>
          <w:top w:w="0" w:type="dxa"/>
          <w:left w:w="108" w:type="dxa"/>
          <w:bottom w:w="0" w:type="dxa"/>
          <w:right w:w="108" w:type="dxa"/>
        </w:tblCellMar>
      </w:tblPr>
      <w:tblGrid>
        <w:gridCol w:w="3917"/>
      </w:tblGrid>
      <w:tr>
        <w:tblPrEx>
          <w:tblLayout w:type="fixed"/>
          <w:tblCellMar>
            <w:top w:w="0" w:type="dxa"/>
            <w:left w:w="108" w:type="dxa"/>
            <w:bottom w:w="0" w:type="dxa"/>
            <w:right w:w="108" w:type="dxa"/>
          </w:tblCellMar>
        </w:tblPrEx>
        <w:trPr>
          <w:trHeight w:val="2359" w:hRule="atLeast"/>
        </w:trPr>
        <w:tc>
          <w:tcPr>
            <w:tcW w:w="3917" w:type="dxa"/>
            <w:vAlign w:val="center"/>
          </w:tcPr>
          <w:p>
            <w:pPr>
              <w:snapToGrid w:val="0"/>
              <w:spacing w:beforeLines="50" w:after="50" w:line="200" w:lineRule="exact"/>
              <w:jc w:val="center"/>
              <w:rPr>
                <w:rFonts w:hAnsi="宋体" w:cs="宋体"/>
              </w:rPr>
            </w:pPr>
            <w:r>
              <w:rPr>
                <w:rFonts w:hint="eastAsia" w:hAnsi="宋体"/>
                <w:szCs w:val="21"/>
                <w:lang w:val="zh-CN"/>
              </w:rPr>
              <w:t>复印件正面粘贴处</w:t>
            </w:r>
          </w:p>
        </w:tc>
      </w:tr>
    </w:tbl>
    <w:tbl>
      <w:tblPr>
        <w:tblStyle w:val="16"/>
        <w:tblpPr w:leftFromText="180" w:rightFromText="180" w:vertAnchor="text" w:horzAnchor="margin" w:tblpXSpec="right" w:tblpY="28"/>
        <w:tblOverlap w:val="never"/>
        <w:tblW w:w="3917" w:type="dxa"/>
        <w:tblInd w:w="0" w:type="dxa"/>
        <w:tblLayout w:type="fixed"/>
        <w:tblCellMar>
          <w:top w:w="0" w:type="dxa"/>
          <w:left w:w="108" w:type="dxa"/>
          <w:bottom w:w="0" w:type="dxa"/>
          <w:right w:w="108" w:type="dxa"/>
        </w:tblCellMar>
      </w:tblPr>
      <w:tblGrid>
        <w:gridCol w:w="3917"/>
      </w:tblGrid>
      <w:tr>
        <w:tblPrEx>
          <w:tblLayout w:type="fixed"/>
          <w:tblCellMar>
            <w:top w:w="0" w:type="dxa"/>
            <w:left w:w="108" w:type="dxa"/>
            <w:bottom w:w="0" w:type="dxa"/>
            <w:right w:w="108" w:type="dxa"/>
          </w:tblCellMar>
        </w:tblPrEx>
        <w:trPr>
          <w:trHeight w:val="2359" w:hRule="atLeast"/>
        </w:trPr>
        <w:tc>
          <w:tcPr>
            <w:tcW w:w="3917" w:type="dxa"/>
            <w:vAlign w:val="center"/>
          </w:tcPr>
          <w:p>
            <w:pPr>
              <w:snapToGrid w:val="0"/>
              <w:spacing w:beforeLines="50" w:after="50"/>
              <w:jc w:val="center"/>
              <w:rPr>
                <w:rFonts w:hAnsi="宋体" w:cs="宋体"/>
              </w:rPr>
            </w:pPr>
            <w:r>
              <w:rPr>
                <w:rFonts w:hint="eastAsia" w:hAnsi="宋体"/>
                <w:szCs w:val="21"/>
                <w:lang w:val="zh-CN"/>
              </w:rPr>
              <w:t>复印件反面粘贴处</w:t>
            </w:r>
          </w:p>
        </w:tc>
      </w:tr>
    </w:tbl>
    <w:p>
      <w:pPr>
        <w:snapToGrid w:val="0"/>
        <w:spacing w:beforeLines="50" w:after="50"/>
        <w:jc w:val="left"/>
        <w:rPr>
          <w:rFonts w:ascii="宋体" w:hAnsi="宋体"/>
          <w:szCs w:val="21"/>
        </w:rPr>
      </w:pPr>
    </w:p>
    <w:p>
      <w:pPr>
        <w:snapToGrid w:val="0"/>
        <w:spacing w:beforeLines="50" w:after="50"/>
        <w:jc w:val="left"/>
        <w:rPr>
          <w:rFonts w:ascii="宋体" w:hAnsi="宋体"/>
          <w:szCs w:val="21"/>
        </w:rPr>
      </w:pPr>
    </w:p>
    <w:p>
      <w:pPr>
        <w:snapToGrid w:val="0"/>
        <w:spacing w:beforeLines="50" w:after="50"/>
        <w:rPr>
          <w:rFonts w:ascii="宋体" w:hAnsi="宋体"/>
          <w:szCs w:val="21"/>
        </w:rPr>
      </w:pPr>
    </w:p>
    <w:p>
      <w:pPr>
        <w:snapToGrid w:val="0"/>
        <w:spacing w:beforeLines="50" w:after="50"/>
        <w:rPr>
          <w:rFonts w:ascii="宋体" w:hAnsi="宋体"/>
          <w:szCs w:val="21"/>
        </w:rPr>
      </w:pPr>
    </w:p>
    <w:bookmarkEnd w:id="30"/>
    <w:p>
      <w:pPr>
        <w:pStyle w:val="9"/>
        <w:snapToGrid w:val="0"/>
        <w:spacing w:beforeLines="0" w:afterLines="0"/>
        <w:jc w:val="left"/>
        <w:rPr>
          <w:rFonts w:hAnsi="宋体"/>
          <w:sz w:val="21"/>
          <w:szCs w:val="21"/>
        </w:rPr>
      </w:pPr>
      <w:r>
        <w:rPr>
          <w:rFonts w:hint="eastAsia"/>
          <w:sz w:val="21"/>
          <w:szCs w:val="21"/>
        </w:rPr>
        <w:t>附件五</w:t>
      </w:r>
    </w:p>
    <w:p>
      <w:pPr>
        <w:spacing w:line="400" w:lineRule="exact"/>
        <w:jc w:val="center"/>
        <w:rPr>
          <w:rFonts w:ascii="宋体" w:hAnsi="宋体"/>
          <w:szCs w:val="21"/>
        </w:rPr>
      </w:pPr>
      <w:r>
        <w:rPr>
          <w:rFonts w:hint="eastAsia" w:ascii="宋体"/>
          <w:szCs w:val="21"/>
        </w:rPr>
        <w:t>技术规格</w:t>
      </w:r>
      <w:r>
        <w:rPr>
          <w:rFonts w:hint="eastAsia" w:ascii="宋体" w:hAnsi="宋体"/>
          <w:szCs w:val="21"/>
        </w:rPr>
        <w:t>偏离表</w:t>
      </w:r>
    </w:p>
    <w:p>
      <w:pPr>
        <w:spacing w:line="400" w:lineRule="exact"/>
        <w:rPr>
          <w:rFonts w:ascii="宋体" w:hAnsi="宋体"/>
          <w:szCs w:val="21"/>
        </w:rPr>
      </w:pPr>
    </w:p>
    <w:tbl>
      <w:tblPr>
        <w:tblStyle w:val="16"/>
        <w:tblW w:w="84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3241"/>
        <w:gridCol w:w="2805"/>
        <w:gridCol w:w="1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exact"/>
          <w:jc w:val="center"/>
        </w:trPr>
        <w:tc>
          <w:tcPr>
            <w:tcW w:w="855" w:type="dxa"/>
            <w:vAlign w:val="center"/>
          </w:tcPr>
          <w:p>
            <w:pPr>
              <w:spacing w:line="400" w:lineRule="exact"/>
              <w:jc w:val="center"/>
              <w:rPr>
                <w:rFonts w:ascii="宋体" w:hAnsi="宋体"/>
                <w:szCs w:val="21"/>
              </w:rPr>
            </w:pPr>
            <w:r>
              <w:rPr>
                <w:rFonts w:hint="eastAsia" w:ascii="宋体" w:hAnsi="宋体"/>
                <w:szCs w:val="21"/>
              </w:rPr>
              <w:t>序号</w:t>
            </w:r>
          </w:p>
        </w:tc>
        <w:tc>
          <w:tcPr>
            <w:tcW w:w="3241" w:type="dxa"/>
            <w:vAlign w:val="center"/>
          </w:tcPr>
          <w:p>
            <w:pPr>
              <w:spacing w:line="400" w:lineRule="exact"/>
              <w:jc w:val="center"/>
              <w:rPr>
                <w:rFonts w:ascii="宋体" w:hAnsi="宋体"/>
                <w:szCs w:val="21"/>
              </w:rPr>
            </w:pPr>
            <w:r>
              <w:rPr>
                <w:rFonts w:hint="eastAsia" w:ascii="宋体" w:hAnsi="宋体"/>
                <w:szCs w:val="21"/>
              </w:rPr>
              <w:t>招标文件</w:t>
            </w:r>
          </w:p>
          <w:p>
            <w:pPr>
              <w:spacing w:line="400" w:lineRule="exact"/>
              <w:jc w:val="center"/>
              <w:rPr>
                <w:rFonts w:ascii="宋体" w:hAnsi="宋体"/>
                <w:szCs w:val="21"/>
              </w:rPr>
            </w:pPr>
            <w:r>
              <w:rPr>
                <w:rFonts w:hint="eastAsia" w:ascii="宋体"/>
                <w:szCs w:val="21"/>
              </w:rPr>
              <w:t>技术规格</w:t>
            </w:r>
            <w:r>
              <w:rPr>
                <w:rFonts w:hint="eastAsia" w:ascii="宋体" w:hAnsi="宋体"/>
                <w:szCs w:val="21"/>
              </w:rPr>
              <w:t>要求</w:t>
            </w:r>
          </w:p>
        </w:tc>
        <w:tc>
          <w:tcPr>
            <w:tcW w:w="2805" w:type="dxa"/>
            <w:vAlign w:val="center"/>
          </w:tcPr>
          <w:p>
            <w:pPr>
              <w:spacing w:line="400" w:lineRule="exact"/>
              <w:jc w:val="center"/>
              <w:rPr>
                <w:rFonts w:ascii="宋体" w:hAnsi="宋体"/>
                <w:szCs w:val="21"/>
              </w:rPr>
            </w:pPr>
            <w:r>
              <w:rPr>
                <w:rFonts w:hint="eastAsia" w:ascii="宋体" w:hAnsi="宋体"/>
                <w:szCs w:val="21"/>
              </w:rPr>
              <w:t>投标文件</w:t>
            </w:r>
          </w:p>
          <w:p>
            <w:pPr>
              <w:spacing w:line="400" w:lineRule="exact"/>
              <w:jc w:val="center"/>
              <w:rPr>
                <w:rFonts w:ascii="宋体" w:hAnsi="宋体"/>
                <w:szCs w:val="21"/>
              </w:rPr>
            </w:pPr>
            <w:r>
              <w:rPr>
                <w:rFonts w:hint="eastAsia" w:ascii="宋体" w:hAnsi="宋体"/>
                <w:szCs w:val="21"/>
              </w:rPr>
              <w:t>对应规格</w:t>
            </w:r>
          </w:p>
        </w:tc>
        <w:tc>
          <w:tcPr>
            <w:tcW w:w="1522" w:type="dxa"/>
            <w:vAlign w:val="center"/>
          </w:tcPr>
          <w:p>
            <w:pPr>
              <w:spacing w:line="400" w:lineRule="exact"/>
              <w:jc w:val="center"/>
              <w:rPr>
                <w:rFonts w:ascii="宋体" w:hAnsi="宋体"/>
                <w:szCs w:val="21"/>
              </w:rPr>
            </w:pPr>
            <w:r>
              <w:rPr>
                <w:rFonts w:hint="eastAsia" w:ascii="宋体" w:hAnsi="宋体"/>
                <w:szCs w:val="21"/>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9" w:hRule="exact"/>
          <w:jc w:val="center"/>
        </w:trPr>
        <w:tc>
          <w:tcPr>
            <w:tcW w:w="855" w:type="dxa"/>
            <w:vAlign w:val="center"/>
          </w:tcPr>
          <w:p>
            <w:pPr>
              <w:spacing w:line="400" w:lineRule="exact"/>
              <w:jc w:val="center"/>
              <w:rPr>
                <w:rFonts w:ascii="宋体" w:hAnsi="宋体"/>
                <w:szCs w:val="21"/>
              </w:rPr>
            </w:pPr>
          </w:p>
        </w:tc>
        <w:tc>
          <w:tcPr>
            <w:tcW w:w="3241" w:type="dxa"/>
            <w:vAlign w:val="center"/>
          </w:tcPr>
          <w:p>
            <w:pPr>
              <w:spacing w:line="400" w:lineRule="exact"/>
              <w:jc w:val="center"/>
              <w:rPr>
                <w:rFonts w:ascii="宋体" w:hAnsi="宋体"/>
                <w:szCs w:val="21"/>
              </w:rPr>
            </w:pPr>
          </w:p>
        </w:tc>
        <w:tc>
          <w:tcPr>
            <w:tcW w:w="2805" w:type="dxa"/>
            <w:vAlign w:val="center"/>
          </w:tcPr>
          <w:p>
            <w:pPr>
              <w:spacing w:line="400" w:lineRule="exact"/>
              <w:jc w:val="center"/>
              <w:rPr>
                <w:rFonts w:ascii="宋体" w:hAnsi="宋体"/>
                <w:szCs w:val="21"/>
              </w:rPr>
            </w:pPr>
          </w:p>
        </w:tc>
        <w:tc>
          <w:tcPr>
            <w:tcW w:w="1522" w:type="dxa"/>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9" w:hRule="exact"/>
          <w:jc w:val="center"/>
        </w:trPr>
        <w:tc>
          <w:tcPr>
            <w:tcW w:w="855" w:type="dxa"/>
            <w:vAlign w:val="center"/>
          </w:tcPr>
          <w:p>
            <w:pPr>
              <w:spacing w:line="400" w:lineRule="exact"/>
              <w:jc w:val="center"/>
              <w:rPr>
                <w:rFonts w:ascii="宋体" w:hAnsi="宋体"/>
                <w:szCs w:val="21"/>
              </w:rPr>
            </w:pPr>
          </w:p>
        </w:tc>
        <w:tc>
          <w:tcPr>
            <w:tcW w:w="3241" w:type="dxa"/>
            <w:vAlign w:val="center"/>
          </w:tcPr>
          <w:p>
            <w:pPr>
              <w:spacing w:line="400" w:lineRule="exact"/>
              <w:jc w:val="center"/>
              <w:rPr>
                <w:rFonts w:ascii="宋体" w:hAnsi="宋体"/>
                <w:szCs w:val="21"/>
              </w:rPr>
            </w:pPr>
          </w:p>
        </w:tc>
        <w:tc>
          <w:tcPr>
            <w:tcW w:w="2805" w:type="dxa"/>
            <w:vAlign w:val="center"/>
          </w:tcPr>
          <w:p>
            <w:pPr>
              <w:spacing w:line="400" w:lineRule="exact"/>
              <w:jc w:val="center"/>
              <w:rPr>
                <w:rFonts w:ascii="宋体" w:hAnsi="宋体"/>
                <w:szCs w:val="21"/>
              </w:rPr>
            </w:pPr>
          </w:p>
        </w:tc>
        <w:tc>
          <w:tcPr>
            <w:tcW w:w="1522" w:type="dxa"/>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9" w:hRule="exact"/>
          <w:jc w:val="center"/>
        </w:trPr>
        <w:tc>
          <w:tcPr>
            <w:tcW w:w="855" w:type="dxa"/>
            <w:vAlign w:val="center"/>
          </w:tcPr>
          <w:p>
            <w:pPr>
              <w:spacing w:line="400" w:lineRule="exact"/>
              <w:jc w:val="center"/>
              <w:rPr>
                <w:rFonts w:ascii="宋体" w:hAnsi="宋体"/>
                <w:szCs w:val="21"/>
              </w:rPr>
            </w:pPr>
          </w:p>
        </w:tc>
        <w:tc>
          <w:tcPr>
            <w:tcW w:w="3241" w:type="dxa"/>
            <w:vAlign w:val="center"/>
          </w:tcPr>
          <w:p>
            <w:pPr>
              <w:spacing w:line="400" w:lineRule="exact"/>
              <w:jc w:val="center"/>
              <w:rPr>
                <w:rFonts w:ascii="宋体" w:hAnsi="宋体"/>
                <w:szCs w:val="21"/>
              </w:rPr>
            </w:pPr>
          </w:p>
        </w:tc>
        <w:tc>
          <w:tcPr>
            <w:tcW w:w="2805" w:type="dxa"/>
            <w:vAlign w:val="center"/>
          </w:tcPr>
          <w:p>
            <w:pPr>
              <w:spacing w:line="400" w:lineRule="exact"/>
              <w:jc w:val="center"/>
              <w:rPr>
                <w:rFonts w:ascii="宋体" w:hAnsi="宋体"/>
                <w:szCs w:val="21"/>
              </w:rPr>
            </w:pPr>
          </w:p>
        </w:tc>
        <w:tc>
          <w:tcPr>
            <w:tcW w:w="1522" w:type="dxa"/>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9" w:hRule="exact"/>
          <w:jc w:val="center"/>
        </w:trPr>
        <w:tc>
          <w:tcPr>
            <w:tcW w:w="855" w:type="dxa"/>
            <w:vAlign w:val="center"/>
          </w:tcPr>
          <w:p>
            <w:pPr>
              <w:spacing w:line="400" w:lineRule="exact"/>
              <w:jc w:val="center"/>
              <w:rPr>
                <w:rFonts w:ascii="宋体" w:hAnsi="宋体"/>
                <w:szCs w:val="21"/>
              </w:rPr>
            </w:pPr>
          </w:p>
        </w:tc>
        <w:tc>
          <w:tcPr>
            <w:tcW w:w="3241" w:type="dxa"/>
            <w:vAlign w:val="center"/>
          </w:tcPr>
          <w:p>
            <w:pPr>
              <w:spacing w:line="400" w:lineRule="exact"/>
              <w:jc w:val="center"/>
              <w:rPr>
                <w:rFonts w:ascii="宋体" w:hAnsi="宋体"/>
                <w:szCs w:val="21"/>
              </w:rPr>
            </w:pPr>
          </w:p>
        </w:tc>
        <w:tc>
          <w:tcPr>
            <w:tcW w:w="2805" w:type="dxa"/>
            <w:vAlign w:val="center"/>
          </w:tcPr>
          <w:p>
            <w:pPr>
              <w:spacing w:line="400" w:lineRule="exact"/>
              <w:jc w:val="center"/>
              <w:rPr>
                <w:rFonts w:ascii="宋体" w:hAnsi="宋体"/>
                <w:szCs w:val="21"/>
              </w:rPr>
            </w:pPr>
          </w:p>
        </w:tc>
        <w:tc>
          <w:tcPr>
            <w:tcW w:w="1522" w:type="dxa"/>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9" w:hRule="exact"/>
          <w:jc w:val="center"/>
        </w:trPr>
        <w:tc>
          <w:tcPr>
            <w:tcW w:w="855" w:type="dxa"/>
            <w:vAlign w:val="center"/>
          </w:tcPr>
          <w:p>
            <w:pPr>
              <w:spacing w:line="400" w:lineRule="exact"/>
              <w:jc w:val="center"/>
              <w:rPr>
                <w:rFonts w:ascii="宋体" w:hAnsi="宋体"/>
                <w:szCs w:val="21"/>
              </w:rPr>
            </w:pPr>
          </w:p>
        </w:tc>
        <w:tc>
          <w:tcPr>
            <w:tcW w:w="3241" w:type="dxa"/>
            <w:vAlign w:val="center"/>
          </w:tcPr>
          <w:p>
            <w:pPr>
              <w:spacing w:line="400" w:lineRule="exact"/>
              <w:jc w:val="center"/>
              <w:rPr>
                <w:rFonts w:ascii="宋体" w:hAnsi="宋体"/>
                <w:szCs w:val="21"/>
              </w:rPr>
            </w:pPr>
          </w:p>
        </w:tc>
        <w:tc>
          <w:tcPr>
            <w:tcW w:w="2805" w:type="dxa"/>
            <w:vAlign w:val="center"/>
          </w:tcPr>
          <w:p>
            <w:pPr>
              <w:spacing w:line="400" w:lineRule="exact"/>
              <w:jc w:val="center"/>
              <w:rPr>
                <w:rFonts w:ascii="宋体" w:hAnsi="宋体"/>
                <w:szCs w:val="21"/>
              </w:rPr>
            </w:pPr>
          </w:p>
        </w:tc>
        <w:tc>
          <w:tcPr>
            <w:tcW w:w="1522" w:type="dxa"/>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9" w:hRule="exact"/>
          <w:jc w:val="center"/>
        </w:trPr>
        <w:tc>
          <w:tcPr>
            <w:tcW w:w="855" w:type="dxa"/>
            <w:vAlign w:val="center"/>
          </w:tcPr>
          <w:p>
            <w:pPr>
              <w:spacing w:line="400" w:lineRule="exact"/>
              <w:jc w:val="center"/>
              <w:rPr>
                <w:rFonts w:ascii="宋体" w:hAnsi="宋体"/>
                <w:szCs w:val="21"/>
              </w:rPr>
            </w:pPr>
          </w:p>
        </w:tc>
        <w:tc>
          <w:tcPr>
            <w:tcW w:w="3241" w:type="dxa"/>
            <w:vAlign w:val="center"/>
          </w:tcPr>
          <w:p>
            <w:pPr>
              <w:spacing w:line="400" w:lineRule="exact"/>
              <w:jc w:val="center"/>
              <w:rPr>
                <w:rFonts w:ascii="宋体" w:hAnsi="宋体"/>
                <w:szCs w:val="21"/>
              </w:rPr>
            </w:pPr>
          </w:p>
        </w:tc>
        <w:tc>
          <w:tcPr>
            <w:tcW w:w="2805" w:type="dxa"/>
            <w:vAlign w:val="center"/>
          </w:tcPr>
          <w:p>
            <w:pPr>
              <w:spacing w:line="400" w:lineRule="exact"/>
              <w:jc w:val="center"/>
              <w:rPr>
                <w:rFonts w:ascii="宋体" w:hAnsi="宋体"/>
                <w:szCs w:val="21"/>
              </w:rPr>
            </w:pPr>
          </w:p>
        </w:tc>
        <w:tc>
          <w:tcPr>
            <w:tcW w:w="1522" w:type="dxa"/>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9" w:hRule="exact"/>
          <w:jc w:val="center"/>
        </w:trPr>
        <w:tc>
          <w:tcPr>
            <w:tcW w:w="855" w:type="dxa"/>
            <w:vAlign w:val="center"/>
          </w:tcPr>
          <w:p>
            <w:pPr>
              <w:spacing w:line="400" w:lineRule="exact"/>
              <w:jc w:val="center"/>
              <w:rPr>
                <w:rFonts w:ascii="宋体" w:hAnsi="宋体"/>
                <w:szCs w:val="21"/>
              </w:rPr>
            </w:pPr>
          </w:p>
        </w:tc>
        <w:tc>
          <w:tcPr>
            <w:tcW w:w="3241" w:type="dxa"/>
            <w:vAlign w:val="center"/>
          </w:tcPr>
          <w:p>
            <w:pPr>
              <w:spacing w:line="400" w:lineRule="exact"/>
              <w:jc w:val="center"/>
              <w:rPr>
                <w:rFonts w:ascii="宋体" w:hAnsi="宋体"/>
                <w:szCs w:val="21"/>
              </w:rPr>
            </w:pPr>
          </w:p>
        </w:tc>
        <w:tc>
          <w:tcPr>
            <w:tcW w:w="2805" w:type="dxa"/>
            <w:vAlign w:val="center"/>
          </w:tcPr>
          <w:p>
            <w:pPr>
              <w:spacing w:line="400" w:lineRule="exact"/>
              <w:jc w:val="center"/>
              <w:rPr>
                <w:rFonts w:ascii="宋体" w:hAnsi="宋体"/>
                <w:szCs w:val="21"/>
              </w:rPr>
            </w:pPr>
          </w:p>
        </w:tc>
        <w:tc>
          <w:tcPr>
            <w:tcW w:w="1522" w:type="dxa"/>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9" w:hRule="exact"/>
          <w:jc w:val="center"/>
        </w:trPr>
        <w:tc>
          <w:tcPr>
            <w:tcW w:w="855" w:type="dxa"/>
            <w:vAlign w:val="center"/>
          </w:tcPr>
          <w:p>
            <w:pPr>
              <w:spacing w:line="400" w:lineRule="exact"/>
              <w:jc w:val="center"/>
              <w:rPr>
                <w:rFonts w:ascii="宋体" w:hAnsi="宋体"/>
                <w:szCs w:val="21"/>
              </w:rPr>
            </w:pPr>
          </w:p>
        </w:tc>
        <w:tc>
          <w:tcPr>
            <w:tcW w:w="3241" w:type="dxa"/>
            <w:vAlign w:val="center"/>
          </w:tcPr>
          <w:p>
            <w:pPr>
              <w:spacing w:line="400" w:lineRule="exact"/>
              <w:jc w:val="center"/>
              <w:rPr>
                <w:rFonts w:ascii="宋体" w:hAnsi="宋体"/>
                <w:szCs w:val="21"/>
              </w:rPr>
            </w:pPr>
          </w:p>
        </w:tc>
        <w:tc>
          <w:tcPr>
            <w:tcW w:w="2805" w:type="dxa"/>
            <w:vAlign w:val="center"/>
          </w:tcPr>
          <w:p>
            <w:pPr>
              <w:spacing w:line="400" w:lineRule="exact"/>
              <w:jc w:val="center"/>
              <w:rPr>
                <w:rFonts w:ascii="宋体" w:hAnsi="宋体"/>
                <w:szCs w:val="21"/>
              </w:rPr>
            </w:pPr>
          </w:p>
        </w:tc>
        <w:tc>
          <w:tcPr>
            <w:tcW w:w="1522" w:type="dxa"/>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9" w:hRule="exact"/>
          <w:jc w:val="center"/>
        </w:trPr>
        <w:tc>
          <w:tcPr>
            <w:tcW w:w="855" w:type="dxa"/>
            <w:vAlign w:val="center"/>
          </w:tcPr>
          <w:p>
            <w:pPr>
              <w:spacing w:line="400" w:lineRule="exact"/>
              <w:jc w:val="center"/>
              <w:rPr>
                <w:rFonts w:ascii="宋体" w:hAnsi="宋体"/>
                <w:szCs w:val="21"/>
              </w:rPr>
            </w:pPr>
          </w:p>
        </w:tc>
        <w:tc>
          <w:tcPr>
            <w:tcW w:w="3241" w:type="dxa"/>
            <w:vAlign w:val="center"/>
          </w:tcPr>
          <w:p>
            <w:pPr>
              <w:spacing w:line="400" w:lineRule="exact"/>
              <w:jc w:val="center"/>
              <w:rPr>
                <w:rFonts w:ascii="宋体" w:hAnsi="宋体"/>
                <w:szCs w:val="21"/>
              </w:rPr>
            </w:pPr>
          </w:p>
        </w:tc>
        <w:tc>
          <w:tcPr>
            <w:tcW w:w="2805" w:type="dxa"/>
            <w:vAlign w:val="center"/>
          </w:tcPr>
          <w:p>
            <w:pPr>
              <w:spacing w:line="400" w:lineRule="exact"/>
              <w:jc w:val="center"/>
              <w:rPr>
                <w:rFonts w:ascii="宋体" w:hAnsi="宋体"/>
                <w:szCs w:val="21"/>
              </w:rPr>
            </w:pPr>
          </w:p>
        </w:tc>
        <w:tc>
          <w:tcPr>
            <w:tcW w:w="1522" w:type="dxa"/>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9" w:hRule="exact"/>
          <w:jc w:val="center"/>
        </w:trPr>
        <w:tc>
          <w:tcPr>
            <w:tcW w:w="855" w:type="dxa"/>
            <w:vAlign w:val="center"/>
          </w:tcPr>
          <w:p>
            <w:pPr>
              <w:spacing w:line="400" w:lineRule="exact"/>
              <w:jc w:val="center"/>
              <w:rPr>
                <w:rFonts w:ascii="宋体" w:hAnsi="宋体"/>
                <w:szCs w:val="21"/>
              </w:rPr>
            </w:pPr>
          </w:p>
        </w:tc>
        <w:tc>
          <w:tcPr>
            <w:tcW w:w="3241" w:type="dxa"/>
            <w:vAlign w:val="center"/>
          </w:tcPr>
          <w:p>
            <w:pPr>
              <w:spacing w:line="400" w:lineRule="exact"/>
              <w:jc w:val="center"/>
              <w:rPr>
                <w:rFonts w:ascii="宋体" w:hAnsi="宋体"/>
                <w:szCs w:val="21"/>
              </w:rPr>
            </w:pPr>
          </w:p>
        </w:tc>
        <w:tc>
          <w:tcPr>
            <w:tcW w:w="2805" w:type="dxa"/>
            <w:vAlign w:val="center"/>
          </w:tcPr>
          <w:p>
            <w:pPr>
              <w:spacing w:line="400" w:lineRule="exact"/>
              <w:jc w:val="center"/>
              <w:rPr>
                <w:rFonts w:ascii="宋体" w:hAnsi="宋体"/>
                <w:szCs w:val="21"/>
              </w:rPr>
            </w:pPr>
          </w:p>
        </w:tc>
        <w:tc>
          <w:tcPr>
            <w:tcW w:w="1522" w:type="dxa"/>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9" w:hRule="exact"/>
          <w:jc w:val="center"/>
        </w:trPr>
        <w:tc>
          <w:tcPr>
            <w:tcW w:w="855" w:type="dxa"/>
            <w:vAlign w:val="center"/>
          </w:tcPr>
          <w:p>
            <w:pPr>
              <w:spacing w:line="400" w:lineRule="exact"/>
              <w:jc w:val="center"/>
              <w:rPr>
                <w:rFonts w:ascii="宋体" w:hAnsi="宋体"/>
                <w:szCs w:val="21"/>
              </w:rPr>
            </w:pPr>
          </w:p>
        </w:tc>
        <w:tc>
          <w:tcPr>
            <w:tcW w:w="3241" w:type="dxa"/>
            <w:vAlign w:val="center"/>
          </w:tcPr>
          <w:p>
            <w:pPr>
              <w:spacing w:line="400" w:lineRule="exact"/>
              <w:jc w:val="center"/>
              <w:rPr>
                <w:rFonts w:ascii="宋体" w:hAnsi="宋体"/>
                <w:szCs w:val="21"/>
              </w:rPr>
            </w:pPr>
          </w:p>
        </w:tc>
        <w:tc>
          <w:tcPr>
            <w:tcW w:w="2805" w:type="dxa"/>
            <w:vAlign w:val="center"/>
          </w:tcPr>
          <w:p>
            <w:pPr>
              <w:spacing w:line="400" w:lineRule="exact"/>
              <w:jc w:val="center"/>
              <w:rPr>
                <w:rFonts w:ascii="宋体" w:hAnsi="宋体"/>
                <w:szCs w:val="21"/>
              </w:rPr>
            </w:pPr>
          </w:p>
        </w:tc>
        <w:tc>
          <w:tcPr>
            <w:tcW w:w="1522" w:type="dxa"/>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9" w:hRule="exact"/>
          <w:jc w:val="center"/>
        </w:trPr>
        <w:tc>
          <w:tcPr>
            <w:tcW w:w="855" w:type="dxa"/>
            <w:vAlign w:val="center"/>
          </w:tcPr>
          <w:p>
            <w:pPr>
              <w:spacing w:line="400" w:lineRule="exact"/>
              <w:jc w:val="center"/>
              <w:rPr>
                <w:rFonts w:ascii="宋体" w:hAnsi="宋体"/>
                <w:szCs w:val="21"/>
              </w:rPr>
            </w:pPr>
          </w:p>
        </w:tc>
        <w:tc>
          <w:tcPr>
            <w:tcW w:w="3241" w:type="dxa"/>
            <w:vAlign w:val="center"/>
          </w:tcPr>
          <w:p>
            <w:pPr>
              <w:spacing w:line="400" w:lineRule="exact"/>
              <w:jc w:val="center"/>
              <w:rPr>
                <w:rFonts w:ascii="宋体" w:hAnsi="宋体"/>
                <w:szCs w:val="21"/>
              </w:rPr>
            </w:pPr>
          </w:p>
        </w:tc>
        <w:tc>
          <w:tcPr>
            <w:tcW w:w="2805" w:type="dxa"/>
            <w:vAlign w:val="center"/>
          </w:tcPr>
          <w:p>
            <w:pPr>
              <w:spacing w:line="400" w:lineRule="exact"/>
              <w:jc w:val="center"/>
              <w:rPr>
                <w:rFonts w:ascii="宋体" w:hAnsi="宋体"/>
                <w:szCs w:val="21"/>
              </w:rPr>
            </w:pPr>
          </w:p>
        </w:tc>
        <w:tc>
          <w:tcPr>
            <w:tcW w:w="1522" w:type="dxa"/>
            <w:vAlign w:val="center"/>
          </w:tcPr>
          <w:p>
            <w:pPr>
              <w:spacing w:line="400" w:lineRule="exact"/>
              <w:jc w:val="center"/>
              <w:rPr>
                <w:rFonts w:ascii="宋体" w:hAnsi="宋体"/>
                <w:szCs w:val="21"/>
              </w:rPr>
            </w:pPr>
          </w:p>
        </w:tc>
      </w:tr>
    </w:tbl>
    <w:p>
      <w:pPr>
        <w:spacing w:line="400" w:lineRule="exact"/>
        <w:rPr>
          <w:rFonts w:ascii="宋体" w:hAnsi="宋体"/>
          <w:szCs w:val="21"/>
        </w:rPr>
      </w:pPr>
    </w:p>
    <w:p>
      <w:pPr>
        <w:pStyle w:val="8"/>
        <w:spacing w:after="0" w:line="400" w:lineRule="exact"/>
        <w:rPr>
          <w:rFonts w:hAnsi="宋体"/>
          <w:szCs w:val="21"/>
        </w:rPr>
      </w:pPr>
      <w:r>
        <w:rPr>
          <w:rFonts w:hint="eastAsia" w:hAnsi="宋体"/>
          <w:szCs w:val="21"/>
        </w:rPr>
        <w:t>投标人（盖章）：</w:t>
      </w:r>
    </w:p>
    <w:p>
      <w:pPr>
        <w:pStyle w:val="8"/>
        <w:spacing w:after="0" w:line="400" w:lineRule="exact"/>
        <w:rPr>
          <w:rFonts w:hAnsi="宋体"/>
          <w:szCs w:val="21"/>
        </w:rPr>
      </w:pPr>
      <w:r>
        <w:rPr>
          <w:rFonts w:hint="eastAsia" w:hAnsi="宋体"/>
          <w:szCs w:val="21"/>
        </w:rPr>
        <w:t>法定代表人／负责人或授权代表人（签字）：</w:t>
      </w:r>
    </w:p>
    <w:p>
      <w:pPr>
        <w:pStyle w:val="8"/>
        <w:spacing w:after="0" w:line="400" w:lineRule="exact"/>
        <w:rPr>
          <w:rFonts w:hAnsi="宋体"/>
          <w:szCs w:val="21"/>
        </w:rPr>
      </w:pPr>
      <w:r>
        <w:rPr>
          <w:rFonts w:hint="eastAsia" w:hAnsi="宋体"/>
          <w:szCs w:val="21"/>
        </w:rPr>
        <w:t>日期：</w:t>
      </w:r>
    </w:p>
    <w:p>
      <w:pPr>
        <w:spacing w:line="400" w:lineRule="exact"/>
        <w:rPr>
          <w:rFonts w:ascii="宋体" w:hAnsi="宋体"/>
          <w:szCs w:val="21"/>
        </w:rPr>
      </w:pPr>
    </w:p>
    <w:p>
      <w:pPr>
        <w:spacing w:line="400" w:lineRule="exact"/>
        <w:rPr>
          <w:rFonts w:ascii="宋体" w:hAnsi="宋体"/>
          <w:szCs w:val="21"/>
        </w:rPr>
      </w:pPr>
      <w:r>
        <w:rPr>
          <w:rFonts w:hint="eastAsia" w:ascii="宋体" w:hAnsi="宋体"/>
          <w:szCs w:val="21"/>
        </w:rPr>
        <w:t xml:space="preserve">附件六 </w:t>
      </w:r>
    </w:p>
    <w:p>
      <w:pPr>
        <w:spacing w:line="400" w:lineRule="exact"/>
        <w:ind w:left="3696"/>
        <w:rPr>
          <w:rFonts w:ascii="宋体" w:hAnsi="宋体"/>
          <w:szCs w:val="21"/>
        </w:rPr>
      </w:pPr>
      <w:r>
        <w:rPr>
          <w:rFonts w:hint="eastAsia" w:ascii="宋体" w:hAnsi="宋体"/>
          <w:szCs w:val="21"/>
        </w:rPr>
        <w:t>商务条款偏离表</w:t>
      </w:r>
    </w:p>
    <w:p>
      <w:pPr>
        <w:spacing w:line="400" w:lineRule="exact"/>
        <w:rPr>
          <w:rFonts w:ascii="宋体" w:hAnsi="宋体"/>
          <w:szCs w:val="21"/>
        </w:rPr>
      </w:pPr>
    </w:p>
    <w:tbl>
      <w:tblPr>
        <w:tblStyle w:val="16"/>
        <w:tblW w:w="8488" w:type="dxa"/>
        <w:jc w:val="center"/>
        <w:tblInd w:w="2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3260"/>
        <w:gridCol w:w="2693"/>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6" w:hRule="atLeast"/>
          <w:jc w:val="center"/>
        </w:trPr>
        <w:tc>
          <w:tcPr>
            <w:tcW w:w="975" w:type="dxa"/>
            <w:vAlign w:val="center"/>
          </w:tcPr>
          <w:p>
            <w:pPr>
              <w:spacing w:line="400" w:lineRule="exact"/>
              <w:jc w:val="center"/>
              <w:rPr>
                <w:rFonts w:ascii="宋体" w:hAnsi="宋体"/>
                <w:szCs w:val="21"/>
              </w:rPr>
            </w:pPr>
            <w:r>
              <w:rPr>
                <w:rFonts w:hint="eastAsia" w:ascii="宋体" w:hAnsi="宋体"/>
                <w:szCs w:val="21"/>
              </w:rPr>
              <w:t>序号</w:t>
            </w:r>
          </w:p>
        </w:tc>
        <w:tc>
          <w:tcPr>
            <w:tcW w:w="3260" w:type="dxa"/>
            <w:vAlign w:val="center"/>
          </w:tcPr>
          <w:p>
            <w:pPr>
              <w:spacing w:line="400" w:lineRule="exact"/>
              <w:jc w:val="center"/>
              <w:rPr>
                <w:rFonts w:ascii="宋体" w:hAnsi="宋体"/>
                <w:szCs w:val="21"/>
              </w:rPr>
            </w:pPr>
            <w:r>
              <w:rPr>
                <w:rFonts w:hint="eastAsia" w:ascii="宋体" w:hAnsi="宋体"/>
                <w:szCs w:val="21"/>
              </w:rPr>
              <w:t>招标文件的商务条款</w:t>
            </w:r>
          </w:p>
        </w:tc>
        <w:tc>
          <w:tcPr>
            <w:tcW w:w="2693" w:type="dxa"/>
            <w:vAlign w:val="center"/>
          </w:tcPr>
          <w:p>
            <w:pPr>
              <w:spacing w:line="400" w:lineRule="exact"/>
              <w:jc w:val="center"/>
              <w:rPr>
                <w:rFonts w:ascii="宋体" w:hAnsi="宋体"/>
                <w:szCs w:val="21"/>
              </w:rPr>
            </w:pPr>
            <w:r>
              <w:rPr>
                <w:rFonts w:hint="eastAsia" w:ascii="宋体" w:hAnsi="宋体"/>
                <w:szCs w:val="21"/>
              </w:rPr>
              <w:t>投标文件的商务条款</w:t>
            </w:r>
          </w:p>
        </w:tc>
        <w:tc>
          <w:tcPr>
            <w:tcW w:w="1560" w:type="dxa"/>
            <w:vAlign w:val="center"/>
          </w:tcPr>
          <w:p>
            <w:pPr>
              <w:spacing w:line="400" w:lineRule="exact"/>
              <w:jc w:val="center"/>
              <w:rPr>
                <w:rFonts w:ascii="宋体" w:hAnsi="宋体"/>
                <w:szCs w:val="21"/>
              </w:rPr>
            </w:pPr>
            <w:r>
              <w:rPr>
                <w:rFonts w:hint="eastAsia" w:ascii="宋体" w:hAnsi="宋体"/>
                <w:szCs w:val="21"/>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6" w:hRule="atLeast"/>
          <w:jc w:val="center"/>
        </w:trPr>
        <w:tc>
          <w:tcPr>
            <w:tcW w:w="975" w:type="dxa"/>
            <w:vAlign w:val="center"/>
          </w:tcPr>
          <w:p>
            <w:pPr>
              <w:spacing w:line="400" w:lineRule="exact"/>
              <w:jc w:val="center"/>
              <w:rPr>
                <w:rFonts w:ascii="宋体" w:hAnsi="宋体"/>
                <w:szCs w:val="21"/>
              </w:rPr>
            </w:pPr>
          </w:p>
        </w:tc>
        <w:tc>
          <w:tcPr>
            <w:tcW w:w="3260" w:type="dxa"/>
            <w:vAlign w:val="center"/>
          </w:tcPr>
          <w:p>
            <w:pPr>
              <w:spacing w:line="400" w:lineRule="exact"/>
              <w:jc w:val="center"/>
              <w:rPr>
                <w:rFonts w:ascii="宋体" w:hAnsi="宋体"/>
                <w:szCs w:val="21"/>
              </w:rPr>
            </w:pPr>
          </w:p>
        </w:tc>
        <w:tc>
          <w:tcPr>
            <w:tcW w:w="2693" w:type="dxa"/>
            <w:vAlign w:val="center"/>
          </w:tcPr>
          <w:p>
            <w:pPr>
              <w:spacing w:line="400" w:lineRule="exact"/>
              <w:jc w:val="center"/>
              <w:rPr>
                <w:rFonts w:ascii="宋体" w:hAnsi="宋体"/>
                <w:szCs w:val="21"/>
              </w:rPr>
            </w:pPr>
          </w:p>
        </w:tc>
        <w:tc>
          <w:tcPr>
            <w:tcW w:w="1560" w:type="dxa"/>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6" w:hRule="atLeast"/>
          <w:jc w:val="center"/>
        </w:trPr>
        <w:tc>
          <w:tcPr>
            <w:tcW w:w="975" w:type="dxa"/>
            <w:vAlign w:val="center"/>
          </w:tcPr>
          <w:p>
            <w:pPr>
              <w:spacing w:line="400" w:lineRule="exact"/>
              <w:jc w:val="center"/>
              <w:rPr>
                <w:rFonts w:ascii="宋体" w:hAnsi="宋体"/>
                <w:szCs w:val="21"/>
              </w:rPr>
            </w:pPr>
          </w:p>
        </w:tc>
        <w:tc>
          <w:tcPr>
            <w:tcW w:w="3260" w:type="dxa"/>
            <w:vAlign w:val="center"/>
          </w:tcPr>
          <w:p>
            <w:pPr>
              <w:spacing w:line="400" w:lineRule="exact"/>
              <w:jc w:val="center"/>
              <w:rPr>
                <w:rFonts w:ascii="宋体" w:hAnsi="宋体"/>
                <w:szCs w:val="21"/>
              </w:rPr>
            </w:pPr>
          </w:p>
        </w:tc>
        <w:tc>
          <w:tcPr>
            <w:tcW w:w="2693" w:type="dxa"/>
            <w:vAlign w:val="center"/>
          </w:tcPr>
          <w:p>
            <w:pPr>
              <w:spacing w:line="400" w:lineRule="exact"/>
              <w:jc w:val="center"/>
              <w:rPr>
                <w:rFonts w:ascii="宋体" w:hAnsi="宋体"/>
                <w:szCs w:val="21"/>
              </w:rPr>
            </w:pPr>
          </w:p>
        </w:tc>
        <w:tc>
          <w:tcPr>
            <w:tcW w:w="1560" w:type="dxa"/>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6" w:hRule="atLeast"/>
          <w:jc w:val="center"/>
        </w:trPr>
        <w:tc>
          <w:tcPr>
            <w:tcW w:w="975" w:type="dxa"/>
            <w:vAlign w:val="center"/>
          </w:tcPr>
          <w:p>
            <w:pPr>
              <w:spacing w:line="400" w:lineRule="exact"/>
              <w:jc w:val="center"/>
              <w:rPr>
                <w:rFonts w:ascii="宋体" w:hAnsi="宋体"/>
                <w:szCs w:val="21"/>
              </w:rPr>
            </w:pPr>
          </w:p>
        </w:tc>
        <w:tc>
          <w:tcPr>
            <w:tcW w:w="3260" w:type="dxa"/>
            <w:vAlign w:val="center"/>
          </w:tcPr>
          <w:p>
            <w:pPr>
              <w:spacing w:line="400" w:lineRule="exact"/>
              <w:jc w:val="center"/>
              <w:rPr>
                <w:rFonts w:ascii="宋体" w:hAnsi="宋体"/>
                <w:szCs w:val="21"/>
              </w:rPr>
            </w:pPr>
          </w:p>
        </w:tc>
        <w:tc>
          <w:tcPr>
            <w:tcW w:w="2693" w:type="dxa"/>
            <w:vAlign w:val="center"/>
          </w:tcPr>
          <w:p>
            <w:pPr>
              <w:spacing w:line="400" w:lineRule="exact"/>
              <w:jc w:val="center"/>
              <w:rPr>
                <w:rFonts w:ascii="宋体" w:hAnsi="宋体"/>
                <w:szCs w:val="21"/>
              </w:rPr>
            </w:pPr>
          </w:p>
        </w:tc>
        <w:tc>
          <w:tcPr>
            <w:tcW w:w="1560" w:type="dxa"/>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6" w:hRule="atLeast"/>
          <w:jc w:val="center"/>
        </w:trPr>
        <w:tc>
          <w:tcPr>
            <w:tcW w:w="975" w:type="dxa"/>
            <w:vAlign w:val="center"/>
          </w:tcPr>
          <w:p>
            <w:pPr>
              <w:spacing w:line="400" w:lineRule="exact"/>
              <w:jc w:val="center"/>
              <w:rPr>
                <w:rFonts w:ascii="宋体" w:hAnsi="宋体"/>
                <w:szCs w:val="21"/>
              </w:rPr>
            </w:pPr>
          </w:p>
        </w:tc>
        <w:tc>
          <w:tcPr>
            <w:tcW w:w="3260" w:type="dxa"/>
            <w:vAlign w:val="center"/>
          </w:tcPr>
          <w:p>
            <w:pPr>
              <w:spacing w:line="400" w:lineRule="exact"/>
              <w:jc w:val="center"/>
              <w:rPr>
                <w:rFonts w:ascii="宋体" w:hAnsi="宋体"/>
                <w:szCs w:val="21"/>
              </w:rPr>
            </w:pPr>
          </w:p>
        </w:tc>
        <w:tc>
          <w:tcPr>
            <w:tcW w:w="2693" w:type="dxa"/>
            <w:vAlign w:val="center"/>
          </w:tcPr>
          <w:p>
            <w:pPr>
              <w:spacing w:line="400" w:lineRule="exact"/>
              <w:jc w:val="center"/>
              <w:rPr>
                <w:rFonts w:ascii="宋体" w:hAnsi="宋体"/>
                <w:szCs w:val="21"/>
              </w:rPr>
            </w:pPr>
          </w:p>
        </w:tc>
        <w:tc>
          <w:tcPr>
            <w:tcW w:w="1560" w:type="dxa"/>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6" w:hRule="atLeast"/>
          <w:jc w:val="center"/>
        </w:trPr>
        <w:tc>
          <w:tcPr>
            <w:tcW w:w="975" w:type="dxa"/>
            <w:vAlign w:val="center"/>
          </w:tcPr>
          <w:p>
            <w:pPr>
              <w:spacing w:line="400" w:lineRule="exact"/>
              <w:jc w:val="center"/>
              <w:rPr>
                <w:rFonts w:ascii="宋体" w:hAnsi="宋体"/>
                <w:szCs w:val="21"/>
              </w:rPr>
            </w:pPr>
          </w:p>
        </w:tc>
        <w:tc>
          <w:tcPr>
            <w:tcW w:w="3260" w:type="dxa"/>
            <w:vAlign w:val="center"/>
          </w:tcPr>
          <w:p>
            <w:pPr>
              <w:spacing w:line="400" w:lineRule="exact"/>
              <w:jc w:val="center"/>
              <w:rPr>
                <w:rFonts w:ascii="宋体" w:hAnsi="宋体"/>
                <w:szCs w:val="21"/>
              </w:rPr>
            </w:pPr>
          </w:p>
        </w:tc>
        <w:tc>
          <w:tcPr>
            <w:tcW w:w="2693" w:type="dxa"/>
            <w:vAlign w:val="center"/>
          </w:tcPr>
          <w:p>
            <w:pPr>
              <w:spacing w:line="400" w:lineRule="exact"/>
              <w:jc w:val="center"/>
              <w:rPr>
                <w:rFonts w:ascii="宋体" w:hAnsi="宋体"/>
                <w:szCs w:val="21"/>
              </w:rPr>
            </w:pPr>
          </w:p>
        </w:tc>
        <w:tc>
          <w:tcPr>
            <w:tcW w:w="1560" w:type="dxa"/>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6" w:hRule="atLeast"/>
          <w:jc w:val="center"/>
        </w:trPr>
        <w:tc>
          <w:tcPr>
            <w:tcW w:w="975" w:type="dxa"/>
            <w:vAlign w:val="center"/>
          </w:tcPr>
          <w:p>
            <w:pPr>
              <w:spacing w:line="400" w:lineRule="exact"/>
              <w:jc w:val="center"/>
              <w:rPr>
                <w:rFonts w:ascii="宋体" w:hAnsi="宋体"/>
                <w:szCs w:val="21"/>
              </w:rPr>
            </w:pPr>
          </w:p>
        </w:tc>
        <w:tc>
          <w:tcPr>
            <w:tcW w:w="3260" w:type="dxa"/>
            <w:vAlign w:val="center"/>
          </w:tcPr>
          <w:p>
            <w:pPr>
              <w:spacing w:line="400" w:lineRule="exact"/>
              <w:jc w:val="center"/>
              <w:rPr>
                <w:rFonts w:ascii="宋体" w:hAnsi="宋体"/>
                <w:szCs w:val="21"/>
              </w:rPr>
            </w:pPr>
          </w:p>
        </w:tc>
        <w:tc>
          <w:tcPr>
            <w:tcW w:w="2693" w:type="dxa"/>
            <w:vAlign w:val="center"/>
          </w:tcPr>
          <w:p>
            <w:pPr>
              <w:spacing w:line="400" w:lineRule="exact"/>
              <w:jc w:val="center"/>
              <w:rPr>
                <w:rFonts w:ascii="宋体" w:hAnsi="宋体"/>
                <w:szCs w:val="21"/>
              </w:rPr>
            </w:pPr>
          </w:p>
        </w:tc>
        <w:tc>
          <w:tcPr>
            <w:tcW w:w="1560" w:type="dxa"/>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6" w:hRule="atLeast"/>
          <w:jc w:val="center"/>
        </w:trPr>
        <w:tc>
          <w:tcPr>
            <w:tcW w:w="975" w:type="dxa"/>
            <w:vAlign w:val="center"/>
          </w:tcPr>
          <w:p>
            <w:pPr>
              <w:spacing w:line="400" w:lineRule="exact"/>
              <w:jc w:val="center"/>
              <w:rPr>
                <w:rFonts w:ascii="宋体" w:hAnsi="宋体"/>
                <w:szCs w:val="21"/>
              </w:rPr>
            </w:pPr>
          </w:p>
        </w:tc>
        <w:tc>
          <w:tcPr>
            <w:tcW w:w="3260" w:type="dxa"/>
            <w:vAlign w:val="center"/>
          </w:tcPr>
          <w:p>
            <w:pPr>
              <w:spacing w:line="400" w:lineRule="exact"/>
              <w:jc w:val="center"/>
              <w:rPr>
                <w:rFonts w:ascii="宋体" w:hAnsi="宋体"/>
                <w:szCs w:val="21"/>
              </w:rPr>
            </w:pPr>
          </w:p>
        </w:tc>
        <w:tc>
          <w:tcPr>
            <w:tcW w:w="2693" w:type="dxa"/>
            <w:vAlign w:val="center"/>
          </w:tcPr>
          <w:p>
            <w:pPr>
              <w:spacing w:line="400" w:lineRule="exact"/>
              <w:jc w:val="center"/>
              <w:rPr>
                <w:rFonts w:ascii="宋体" w:hAnsi="宋体"/>
                <w:szCs w:val="21"/>
              </w:rPr>
            </w:pPr>
          </w:p>
        </w:tc>
        <w:tc>
          <w:tcPr>
            <w:tcW w:w="1560" w:type="dxa"/>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6" w:hRule="atLeast"/>
          <w:jc w:val="center"/>
        </w:trPr>
        <w:tc>
          <w:tcPr>
            <w:tcW w:w="975" w:type="dxa"/>
            <w:vAlign w:val="center"/>
          </w:tcPr>
          <w:p>
            <w:pPr>
              <w:spacing w:line="400" w:lineRule="exact"/>
              <w:jc w:val="center"/>
              <w:rPr>
                <w:rFonts w:ascii="宋体" w:hAnsi="宋体"/>
                <w:szCs w:val="21"/>
              </w:rPr>
            </w:pPr>
          </w:p>
        </w:tc>
        <w:tc>
          <w:tcPr>
            <w:tcW w:w="3260" w:type="dxa"/>
            <w:vAlign w:val="center"/>
          </w:tcPr>
          <w:p>
            <w:pPr>
              <w:spacing w:line="400" w:lineRule="exact"/>
              <w:jc w:val="center"/>
              <w:rPr>
                <w:rFonts w:ascii="宋体" w:hAnsi="宋体"/>
                <w:szCs w:val="21"/>
              </w:rPr>
            </w:pPr>
          </w:p>
        </w:tc>
        <w:tc>
          <w:tcPr>
            <w:tcW w:w="2693" w:type="dxa"/>
            <w:vAlign w:val="center"/>
          </w:tcPr>
          <w:p>
            <w:pPr>
              <w:spacing w:line="400" w:lineRule="exact"/>
              <w:jc w:val="center"/>
              <w:rPr>
                <w:rFonts w:ascii="宋体" w:hAnsi="宋体"/>
                <w:szCs w:val="21"/>
              </w:rPr>
            </w:pPr>
          </w:p>
        </w:tc>
        <w:tc>
          <w:tcPr>
            <w:tcW w:w="1560" w:type="dxa"/>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6" w:hRule="atLeast"/>
          <w:jc w:val="center"/>
        </w:trPr>
        <w:tc>
          <w:tcPr>
            <w:tcW w:w="975" w:type="dxa"/>
            <w:vAlign w:val="center"/>
          </w:tcPr>
          <w:p>
            <w:pPr>
              <w:spacing w:line="400" w:lineRule="exact"/>
              <w:jc w:val="center"/>
              <w:rPr>
                <w:rFonts w:ascii="宋体" w:hAnsi="宋体"/>
                <w:szCs w:val="21"/>
              </w:rPr>
            </w:pPr>
          </w:p>
        </w:tc>
        <w:tc>
          <w:tcPr>
            <w:tcW w:w="3260" w:type="dxa"/>
            <w:vAlign w:val="center"/>
          </w:tcPr>
          <w:p>
            <w:pPr>
              <w:spacing w:line="400" w:lineRule="exact"/>
              <w:jc w:val="center"/>
              <w:rPr>
                <w:rFonts w:ascii="宋体" w:hAnsi="宋体"/>
                <w:szCs w:val="21"/>
              </w:rPr>
            </w:pPr>
          </w:p>
        </w:tc>
        <w:tc>
          <w:tcPr>
            <w:tcW w:w="2693" w:type="dxa"/>
            <w:vAlign w:val="center"/>
          </w:tcPr>
          <w:p>
            <w:pPr>
              <w:spacing w:line="400" w:lineRule="exact"/>
              <w:jc w:val="center"/>
              <w:rPr>
                <w:rFonts w:ascii="宋体" w:hAnsi="宋体"/>
                <w:szCs w:val="21"/>
              </w:rPr>
            </w:pPr>
          </w:p>
        </w:tc>
        <w:tc>
          <w:tcPr>
            <w:tcW w:w="1560" w:type="dxa"/>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6" w:hRule="atLeast"/>
          <w:jc w:val="center"/>
        </w:trPr>
        <w:tc>
          <w:tcPr>
            <w:tcW w:w="975" w:type="dxa"/>
            <w:vAlign w:val="center"/>
          </w:tcPr>
          <w:p>
            <w:pPr>
              <w:spacing w:line="400" w:lineRule="exact"/>
              <w:jc w:val="center"/>
              <w:rPr>
                <w:rFonts w:ascii="宋体" w:hAnsi="宋体"/>
                <w:szCs w:val="21"/>
              </w:rPr>
            </w:pPr>
          </w:p>
        </w:tc>
        <w:tc>
          <w:tcPr>
            <w:tcW w:w="3260" w:type="dxa"/>
            <w:vAlign w:val="center"/>
          </w:tcPr>
          <w:p>
            <w:pPr>
              <w:spacing w:line="400" w:lineRule="exact"/>
              <w:jc w:val="center"/>
              <w:rPr>
                <w:rFonts w:ascii="宋体" w:hAnsi="宋体"/>
                <w:szCs w:val="21"/>
              </w:rPr>
            </w:pPr>
          </w:p>
        </w:tc>
        <w:tc>
          <w:tcPr>
            <w:tcW w:w="2693" w:type="dxa"/>
            <w:vAlign w:val="center"/>
          </w:tcPr>
          <w:p>
            <w:pPr>
              <w:spacing w:line="400" w:lineRule="exact"/>
              <w:jc w:val="center"/>
              <w:rPr>
                <w:rFonts w:ascii="宋体" w:hAnsi="宋体"/>
                <w:szCs w:val="21"/>
              </w:rPr>
            </w:pPr>
          </w:p>
        </w:tc>
        <w:tc>
          <w:tcPr>
            <w:tcW w:w="1560" w:type="dxa"/>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6" w:hRule="atLeast"/>
          <w:jc w:val="center"/>
        </w:trPr>
        <w:tc>
          <w:tcPr>
            <w:tcW w:w="975" w:type="dxa"/>
            <w:vAlign w:val="center"/>
          </w:tcPr>
          <w:p>
            <w:pPr>
              <w:spacing w:line="400" w:lineRule="exact"/>
              <w:jc w:val="center"/>
              <w:rPr>
                <w:rFonts w:ascii="宋体" w:hAnsi="宋体"/>
                <w:szCs w:val="21"/>
              </w:rPr>
            </w:pPr>
          </w:p>
        </w:tc>
        <w:tc>
          <w:tcPr>
            <w:tcW w:w="3260" w:type="dxa"/>
            <w:vAlign w:val="center"/>
          </w:tcPr>
          <w:p>
            <w:pPr>
              <w:spacing w:line="400" w:lineRule="exact"/>
              <w:jc w:val="center"/>
              <w:rPr>
                <w:rFonts w:ascii="宋体" w:hAnsi="宋体"/>
                <w:szCs w:val="21"/>
              </w:rPr>
            </w:pPr>
          </w:p>
        </w:tc>
        <w:tc>
          <w:tcPr>
            <w:tcW w:w="2693" w:type="dxa"/>
            <w:vAlign w:val="center"/>
          </w:tcPr>
          <w:p>
            <w:pPr>
              <w:spacing w:line="400" w:lineRule="exact"/>
              <w:jc w:val="center"/>
              <w:rPr>
                <w:rFonts w:ascii="宋体" w:hAnsi="宋体"/>
                <w:szCs w:val="21"/>
              </w:rPr>
            </w:pPr>
          </w:p>
        </w:tc>
        <w:tc>
          <w:tcPr>
            <w:tcW w:w="1560" w:type="dxa"/>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6" w:hRule="atLeast"/>
          <w:jc w:val="center"/>
        </w:trPr>
        <w:tc>
          <w:tcPr>
            <w:tcW w:w="975" w:type="dxa"/>
            <w:vAlign w:val="center"/>
          </w:tcPr>
          <w:p>
            <w:pPr>
              <w:spacing w:line="400" w:lineRule="exact"/>
              <w:jc w:val="center"/>
              <w:rPr>
                <w:rFonts w:ascii="宋体" w:hAnsi="宋体"/>
                <w:szCs w:val="21"/>
              </w:rPr>
            </w:pPr>
          </w:p>
        </w:tc>
        <w:tc>
          <w:tcPr>
            <w:tcW w:w="3260" w:type="dxa"/>
            <w:vAlign w:val="center"/>
          </w:tcPr>
          <w:p>
            <w:pPr>
              <w:spacing w:line="400" w:lineRule="exact"/>
              <w:jc w:val="center"/>
              <w:rPr>
                <w:rFonts w:ascii="宋体" w:hAnsi="宋体"/>
                <w:szCs w:val="21"/>
              </w:rPr>
            </w:pPr>
          </w:p>
        </w:tc>
        <w:tc>
          <w:tcPr>
            <w:tcW w:w="2693" w:type="dxa"/>
            <w:vAlign w:val="center"/>
          </w:tcPr>
          <w:p>
            <w:pPr>
              <w:spacing w:line="400" w:lineRule="exact"/>
              <w:jc w:val="center"/>
              <w:rPr>
                <w:rFonts w:ascii="宋体" w:hAnsi="宋体"/>
                <w:szCs w:val="21"/>
              </w:rPr>
            </w:pPr>
          </w:p>
        </w:tc>
        <w:tc>
          <w:tcPr>
            <w:tcW w:w="1560" w:type="dxa"/>
            <w:vAlign w:val="center"/>
          </w:tcPr>
          <w:p>
            <w:pPr>
              <w:spacing w:line="400" w:lineRule="exact"/>
              <w:jc w:val="center"/>
              <w:rPr>
                <w:rFonts w:ascii="宋体" w:hAnsi="宋体"/>
                <w:szCs w:val="21"/>
              </w:rPr>
            </w:pPr>
          </w:p>
        </w:tc>
      </w:tr>
    </w:tbl>
    <w:p>
      <w:pPr>
        <w:spacing w:line="400" w:lineRule="exact"/>
        <w:rPr>
          <w:rFonts w:ascii="宋体" w:hAnsi="宋体"/>
          <w:szCs w:val="21"/>
        </w:rPr>
      </w:pPr>
    </w:p>
    <w:p>
      <w:pPr>
        <w:pStyle w:val="8"/>
        <w:spacing w:after="0" w:line="400" w:lineRule="exact"/>
        <w:ind w:firstLine="420" w:firstLineChars="200"/>
        <w:rPr>
          <w:rFonts w:hAnsi="宋体"/>
          <w:szCs w:val="21"/>
        </w:rPr>
      </w:pPr>
      <w:r>
        <w:rPr>
          <w:rFonts w:hint="eastAsia" w:hAnsi="宋体"/>
          <w:szCs w:val="21"/>
        </w:rPr>
        <w:t>投标人（盖章）：</w:t>
      </w:r>
    </w:p>
    <w:p>
      <w:pPr>
        <w:pStyle w:val="8"/>
        <w:spacing w:after="0" w:line="400" w:lineRule="exact"/>
        <w:ind w:firstLine="420" w:firstLineChars="200"/>
        <w:rPr>
          <w:rFonts w:hAnsi="宋体"/>
          <w:szCs w:val="21"/>
        </w:rPr>
      </w:pPr>
      <w:r>
        <w:rPr>
          <w:rFonts w:hint="eastAsia" w:hAnsi="宋体"/>
          <w:szCs w:val="21"/>
        </w:rPr>
        <w:t>法定代表人／负责人或授权代表人（签字）：</w:t>
      </w:r>
    </w:p>
    <w:p>
      <w:pPr>
        <w:pStyle w:val="8"/>
        <w:spacing w:after="0" w:line="400" w:lineRule="exact"/>
        <w:ind w:firstLine="420" w:firstLineChars="200"/>
        <w:rPr>
          <w:rFonts w:hAnsi="宋体"/>
          <w:szCs w:val="21"/>
        </w:rPr>
      </w:pPr>
      <w:r>
        <w:rPr>
          <w:rFonts w:hint="eastAsia" w:hAnsi="宋体"/>
          <w:szCs w:val="21"/>
        </w:rPr>
        <w:t>日期：</w:t>
      </w:r>
    </w:p>
    <w:p>
      <w:pPr>
        <w:rPr>
          <w:rFonts w:hAnsi="宋体"/>
          <w:szCs w:val="21"/>
        </w:rPr>
      </w:pPr>
      <w:r>
        <w:rPr>
          <w:rFonts w:hint="eastAsia" w:hAnsi="宋体"/>
          <w:szCs w:val="21"/>
        </w:rPr>
        <w:br w:type="page"/>
      </w:r>
    </w:p>
    <w:p>
      <w:pPr>
        <w:rPr>
          <w:rFonts w:ascii="宋体" w:hAnsi="宋体"/>
          <w:szCs w:val="21"/>
        </w:rPr>
      </w:pPr>
    </w:p>
    <w:p>
      <w:pPr>
        <w:rPr>
          <w:rFonts w:ascii="宋体" w:hAnsi="宋体"/>
          <w:szCs w:val="21"/>
        </w:rPr>
      </w:pPr>
    </w:p>
    <w:p>
      <w:pPr>
        <w:spacing w:line="400" w:lineRule="exact"/>
        <w:rPr>
          <w:rFonts w:ascii="宋体" w:hAnsi="宋体"/>
          <w:szCs w:val="21"/>
        </w:rPr>
      </w:pPr>
      <w:r>
        <w:rPr>
          <w:rFonts w:hint="eastAsia" w:ascii="宋体" w:hAnsi="宋体"/>
          <w:szCs w:val="21"/>
        </w:rPr>
        <w:t>附件八</w:t>
      </w:r>
    </w:p>
    <w:p>
      <w:pPr>
        <w:spacing w:line="400" w:lineRule="exact"/>
        <w:jc w:val="center"/>
        <w:rPr>
          <w:szCs w:val="21"/>
        </w:rPr>
      </w:pPr>
      <w:r>
        <w:rPr>
          <w:rFonts w:hint="eastAsia"/>
          <w:szCs w:val="21"/>
        </w:rPr>
        <w:t>符合性自查表</w:t>
      </w:r>
    </w:p>
    <w:p>
      <w:pPr>
        <w:spacing w:line="400" w:lineRule="exact"/>
        <w:jc w:val="center"/>
        <w:rPr>
          <w:szCs w:val="21"/>
        </w:rPr>
      </w:pPr>
    </w:p>
    <w:tbl>
      <w:tblPr>
        <w:tblStyle w:val="16"/>
        <w:tblW w:w="8118" w:type="dxa"/>
        <w:jc w:val="center"/>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0" w:type="dxa"/>
          <w:left w:w="150" w:type="dxa"/>
          <w:bottom w:w="150" w:type="dxa"/>
          <w:right w:w="150" w:type="dxa"/>
        </w:tblCellMar>
      </w:tblPr>
      <w:tblGrid>
        <w:gridCol w:w="4726"/>
        <w:gridCol w:w="1843"/>
        <w:gridCol w:w="1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0" w:type="dxa"/>
            <w:left w:w="150" w:type="dxa"/>
            <w:bottom w:w="150" w:type="dxa"/>
            <w:right w:w="150" w:type="dxa"/>
          </w:tblCellMar>
        </w:tblPrEx>
        <w:trPr>
          <w:trHeight w:val="217" w:hRule="atLeast"/>
          <w:jc w:val="center"/>
        </w:trPr>
        <w:tc>
          <w:tcPr>
            <w:tcW w:w="4726" w:type="dxa"/>
            <w:vAlign w:val="center"/>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采购文件要求</w:t>
            </w:r>
          </w:p>
        </w:tc>
        <w:tc>
          <w:tcPr>
            <w:tcW w:w="1843" w:type="dxa"/>
            <w:vAlign w:val="center"/>
          </w:tcPr>
          <w:p>
            <w:pPr>
              <w:adjustRightInd w:val="0"/>
              <w:snapToGrid w:val="0"/>
              <w:spacing w:line="400" w:lineRule="exact"/>
              <w:jc w:val="center"/>
              <w:rPr>
                <w:rFonts w:asciiTheme="minorEastAsia" w:hAnsiTheme="minorEastAsia" w:eastAsiaTheme="minorEastAsia"/>
                <w:bCs/>
              </w:rPr>
            </w:pPr>
            <w:r>
              <w:rPr>
                <w:rFonts w:hint="eastAsia" w:asciiTheme="minorEastAsia" w:hAnsiTheme="minorEastAsia" w:eastAsiaTheme="minorEastAsia"/>
                <w:bCs/>
              </w:rPr>
              <w:t>自查结论</w:t>
            </w:r>
          </w:p>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bCs/>
              </w:rPr>
              <w:t>（符合/不符合）</w:t>
            </w:r>
          </w:p>
        </w:tc>
        <w:tc>
          <w:tcPr>
            <w:tcW w:w="1549" w:type="dxa"/>
            <w:vAlign w:val="center"/>
          </w:tcPr>
          <w:p>
            <w:pPr>
              <w:spacing w:line="400" w:lineRule="exact"/>
              <w:jc w:val="center"/>
              <w:rPr>
                <w:rFonts w:asciiTheme="minorEastAsia" w:hAnsiTheme="minorEastAsia" w:eastAsiaTheme="minorEastAsia"/>
                <w:bCs/>
              </w:rPr>
            </w:pPr>
            <w:r>
              <w:rPr>
                <w:rFonts w:hint="eastAsia" w:asciiTheme="minorEastAsia" w:hAnsiTheme="minorEastAsia" w:eastAsiaTheme="minorEastAsia"/>
                <w:bCs/>
              </w:rPr>
              <w:t>证明资料</w:t>
            </w:r>
          </w:p>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bCs/>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0" w:type="dxa"/>
            <w:left w:w="150" w:type="dxa"/>
            <w:bottom w:w="150" w:type="dxa"/>
            <w:right w:w="150" w:type="dxa"/>
          </w:tblCellMar>
        </w:tblPrEx>
        <w:trPr>
          <w:trHeight w:val="660" w:hRule="atLeast"/>
          <w:jc w:val="center"/>
        </w:trPr>
        <w:tc>
          <w:tcPr>
            <w:tcW w:w="4726" w:type="dxa"/>
            <w:vAlign w:val="center"/>
          </w:tcPr>
          <w:p>
            <w:pPr>
              <w:tabs>
                <w:tab w:val="left" w:pos="612"/>
              </w:tabs>
              <w:spacing w:line="400" w:lineRule="exact"/>
              <w:rPr>
                <w:rFonts w:asciiTheme="minorEastAsia" w:hAnsiTheme="minorEastAsia" w:eastAsiaTheme="minorEastAsia"/>
                <w:szCs w:val="21"/>
              </w:rPr>
            </w:pPr>
            <w:r>
              <w:rPr>
                <w:rFonts w:hint="eastAsia" w:asciiTheme="minorEastAsia" w:hAnsiTheme="minorEastAsia" w:eastAsiaTheme="minorEastAsia"/>
                <w:szCs w:val="21"/>
              </w:rPr>
              <w:t>1.投标函已提交并符合采购文件要求的；（格式见附件十）</w:t>
            </w:r>
          </w:p>
        </w:tc>
        <w:tc>
          <w:tcPr>
            <w:tcW w:w="1843" w:type="dxa"/>
            <w:vAlign w:val="center"/>
          </w:tcPr>
          <w:p>
            <w:pPr>
              <w:spacing w:line="400" w:lineRule="exact"/>
              <w:rPr>
                <w:rFonts w:asciiTheme="minorEastAsia" w:hAnsiTheme="minorEastAsia" w:eastAsiaTheme="minorEastAsia"/>
                <w:szCs w:val="21"/>
              </w:rPr>
            </w:pPr>
          </w:p>
        </w:tc>
        <w:tc>
          <w:tcPr>
            <w:tcW w:w="1549" w:type="dxa"/>
            <w:vAlign w:val="center"/>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0" w:type="dxa"/>
            <w:left w:w="150" w:type="dxa"/>
            <w:bottom w:w="150" w:type="dxa"/>
            <w:right w:w="150" w:type="dxa"/>
          </w:tblCellMar>
        </w:tblPrEx>
        <w:trPr>
          <w:trHeight w:val="534" w:hRule="atLeast"/>
          <w:jc w:val="center"/>
        </w:trPr>
        <w:tc>
          <w:tcPr>
            <w:tcW w:w="4726" w:type="dxa"/>
            <w:vAlign w:val="center"/>
          </w:tcPr>
          <w:p>
            <w:pPr>
              <w:tabs>
                <w:tab w:val="left" w:pos="612"/>
              </w:tabs>
              <w:spacing w:line="400" w:lineRule="exact"/>
              <w:rPr>
                <w:rFonts w:asciiTheme="minorEastAsia" w:hAnsiTheme="minorEastAsia" w:eastAsiaTheme="minorEastAsia"/>
                <w:szCs w:val="21"/>
              </w:rPr>
            </w:pPr>
            <w:r>
              <w:rPr>
                <w:rFonts w:hint="eastAsia" w:asciiTheme="minorEastAsia" w:hAnsiTheme="minorEastAsia" w:eastAsiaTheme="minorEastAsia"/>
                <w:szCs w:val="21"/>
              </w:rPr>
              <w:t>2.投标人按采购文件要求缴纳投标保证金的相关证明资料；</w:t>
            </w:r>
          </w:p>
        </w:tc>
        <w:tc>
          <w:tcPr>
            <w:tcW w:w="1843" w:type="dxa"/>
            <w:vAlign w:val="center"/>
          </w:tcPr>
          <w:p>
            <w:pPr>
              <w:spacing w:line="400" w:lineRule="exact"/>
              <w:rPr>
                <w:rFonts w:asciiTheme="minorEastAsia" w:hAnsiTheme="minorEastAsia" w:eastAsiaTheme="minorEastAsia"/>
                <w:szCs w:val="21"/>
              </w:rPr>
            </w:pPr>
          </w:p>
        </w:tc>
        <w:tc>
          <w:tcPr>
            <w:tcW w:w="1549" w:type="dxa"/>
            <w:vAlign w:val="center"/>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0" w:type="dxa"/>
            <w:left w:w="150" w:type="dxa"/>
            <w:bottom w:w="150" w:type="dxa"/>
            <w:right w:w="150" w:type="dxa"/>
          </w:tblCellMar>
        </w:tblPrEx>
        <w:trPr>
          <w:trHeight w:val="175" w:hRule="atLeast"/>
          <w:jc w:val="center"/>
        </w:trPr>
        <w:tc>
          <w:tcPr>
            <w:tcW w:w="4726" w:type="dxa"/>
            <w:vAlign w:val="center"/>
          </w:tcPr>
          <w:p>
            <w:pPr>
              <w:tabs>
                <w:tab w:val="left" w:pos="612"/>
              </w:tabs>
              <w:spacing w:line="400" w:lineRule="exact"/>
              <w:rPr>
                <w:rFonts w:asciiTheme="minorEastAsia" w:hAnsiTheme="minorEastAsia" w:eastAsiaTheme="minorEastAsia"/>
                <w:szCs w:val="21"/>
              </w:rPr>
            </w:pPr>
            <w:r>
              <w:rPr>
                <w:rFonts w:hint="eastAsia" w:asciiTheme="minorEastAsia" w:hAnsiTheme="minorEastAsia" w:eastAsiaTheme="minorEastAsia"/>
                <w:szCs w:val="21"/>
              </w:rPr>
              <w:t>3.营业执照副本复印件、组织机构代码证复印件（如果已经换取证照合一的，可仅提供合一后的营业执照副本）；</w:t>
            </w:r>
          </w:p>
        </w:tc>
        <w:tc>
          <w:tcPr>
            <w:tcW w:w="1843" w:type="dxa"/>
            <w:vAlign w:val="center"/>
          </w:tcPr>
          <w:p>
            <w:pPr>
              <w:spacing w:line="400" w:lineRule="exact"/>
              <w:rPr>
                <w:rFonts w:asciiTheme="minorEastAsia" w:hAnsiTheme="minorEastAsia" w:eastAsiaTheme="minorEastAsia"/>
                <w:szCs w:val="21"/>
              </w:rPr>
            </w:pPr>
          </w:p>
        </w:tc>
        <w:tc>
          <w:tcPr>
            <w:tcW w:w="1549" w:type="dxa"/>
            <w:vAlign w:val="center"/>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0" w:type="dxa"/>
            <w:left w:w="150" w:type="dxa"/>
            <w:bottom w:w="150" w:type="dxa"/>
            <w:right w:w="150" w:type="dxa"/>
          </w:tblCellMar>
        </w:tblPrEx>
        <w:trPr>
          <w:trHeight w:val="314" w:hRule="atLeast"/>
          <w:jc w:val="center"/>
        </w:trPr>
        <w:tc>
          <w:tcPr>
            <w:tcW w:w="4726" w:type="dxa"/>
            <w:vAlign w:val="center"/>
          </w:tcPr>
          <w:p>
            <w:pPr>
              <w:tabs>
                <w:tab w:val="left" w:pos="612"/>
              </w:tabs>
              <w:spacing w:line="400" w:lineRule="exact"/>
              <w:rPr>
                <w:rFonts w:asciiTheme="minorEastAsia" w:hAnsiTheme="minorEastAsia" w:eastAsiaTheme="minorEastAsia"/>
                <w:szCs w:val="21"/>
              </w:rPr>
            </w:pPr>
            <w:r>
              <w:rPr>
                <w:rFonts w:hint="eastAsia" w:asciiTheme="minorEastAsia" w:hAnsiTheme="minorEastAsia" w:eastAsiaTheme="minorEastAsia"/>
                <w:szCs w:val="21"/>
              </w:rPr>
              <w:t>4.法定代表人／负责人身份证明书、法定代表人／负责人授权书原件（若投标人代表系法定代表人／负责人，投标文件又未提供本授权书，投标文件中应该提供书面声明并提供本人身份证复印件）；（格式见附件二）</w:t>
            </w:r>
          </w:p>
        </w:tc>
        <w:tc>
          <w:tcPr>
            <w:tcW w:w="1843" w:type="dxa"/>
            <w:vAlign w:val="center"/>
          </w:tcPr>
          <w:p>
            <w:pPr>
              <w:spacing w:line="400" w:lineRule="exact"/>
              <w:rPr>
                <w:rFonts w:asciiTheme="minorEastAsia" w:hAnsiTheme="minorEastAsia" w:eastAsiaTheme="minorEastAsia"/>
                <w:szCs w:val="21"/>
              </w:rPr>
            </w:pPr>
          </w:p>
        </w:tc>
        <w:tc>
          <w:tcPr>
            <w:tcW w:w="1549" w:type="dxa"/>
            <w:vAlign w:val="center"/>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0" w:type="dxa"/>
            <w:left w:w="150" w:type="dxa"/>
            <w:bottom w:w="150" w:type="dxa"/>
            <w:right w:w="150" w:type="dxa"/>
          </w:tblCellMar>
        </w:tblPrEx>
        <w:trPr>
          <w:trHeight w:val="47" w:hRule="atLeast"/>
          <w:jc w:val="center"/>
        </w:trPr>
        <w:tc>
          <w:tcPr>
            <w:tcW w:w="4726" w:type="dxa"/>
            <w:vAlign w:val="center"/>
          </w:tcPr>
          <w:p>
            <w:pPr>
              <w:tabs>
                <w:tab w:val="left" w:pos="612"/>
              </w:tabs>
              <w:spacing w:line="400" w:lineRule="exact"/>
              <w:rPr>
                <w:rFonts w:asciiTheme="minorEastAsia" w:hAnsiTheme="minorEastAsia" w:eastAsiaTheme="minorEastAsia"/>
                <w:szCs w:val="21"/>
              </w:rPr>
            </w:pPr>
            <w:r>
              <w:rPr>
                <w:rFonts w:hint="eastAsia" w:asciiTheme="minorEastAsia" w:hAnsiTheme="minorEastAsia" w:eastAsiaTheme="minorEastAsia"/>
                <w:szCs w:val="21"/>
              </w:rPr>
              <w:t>5.投标文件完全满足采购文件的实质性条款（即标注★号条款）无负偏离的；</w:t>
            </w:r>
          </w:p>
        </w:tc>
        <w:tc>
          <w:tcPr>
            <w:tcW w:w="1843" w:type="dxa"/>
            <w:vAlign w:val="center"/>
          </w:tcPr>
          <w:p>
            <w:pPr>
              <w:spacing w:line="400" w:lineRule="exact"/>
              <w:rPr>
                <w:rFonts w:asciiTheme="minorEastAsia" w:hAnsiTheme="minorEastAsia" w:eastAsiaTheme="minorEastAsia"/>
                <w:szCs w:val="21"/>
              </w:rPr>
            </w:pPr>
          </w:p>
        </w:tc>
        <w:tc>
          <w:tcPr>
            <w:tcW w:w="1549" w:type="dxa"/>
            <w:vAlign w:val="center"/>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0" w:type="dxa"/>
            <w:left w:w="150" w:type="dxa"/>
            <w:bottom w:w="150" w:type="dxa"/>
            <w:right w:w="150" w:type="dxa"/>
          </w:tblCellMar>
        </w:tblPrEx>
        <w:trPr>
          <w:trHeight w:val="75" w:hRule="atLeast"/>
          <w:jc w:val="center"/>
        </w:trPr>
        <w:tc>
          <w:tcPr>
            <w:tcW w:w="4726" w:type="dxa"/>
            <w:vAlign w:val="center"/>
          </w:tcPr>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6.投标文件没有采购文件中规定的其他无效投标条款的；</w:t>
            </w:r>
          </w:p>
        </w:tc>
        <w:tc>
          <w:tcPr>
            <w:tcW w:w="1843" w:type="dxa"/>
            <w:vAlign w:val="center"/>
          </w:tcPr>
          <w:p>
            <w:pPr>
              <w:spacing w:line="400" w:lineRule="exact"/>
              <w:rPr>
                <w:rFonts w:asciiTheme="minorEastAsia" w:hAnsiTheme="minorEastAsia" w:eastAsiaTheme="minorEastAsia"/>
                <w:szCs w:val="21"/>
              </w:rPr>
            </w:pPr>
          </w:p>
        </w:tc>
        <w:tc>
          <w:tcPr>
            <w:tcW w:w="1549" w:type="dxa"/>
            <w:vAlign w:val="center"/>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0" w:type="dxa"/>
            <w:left w:w="150" w:type="dxa"/>
            <w:bottom w:w="150" w:type="dxa"/>
            <w:right w:w="150" w:type="dxa"/>
          </w:tblCellMar>
        </w:tblPrEx>
        <w:trPr>
          <w:trHeight w:val="22" w:hRule="atLeast"/>
          <w:jc w:val="center"/>
        </w:trPr>
        <w:tc>
          <w:tcPr>
            <w:tcW w:w="4726" w:type="dxa"/>
            <w:vAlign w:val="center"/>
          </w:tcPr>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7.按有关法律、法规、规章不属于投标无效的。</w:t>
            </w:r>
          </w:p>
        </w:tc>
        <w:tc>
          <w:tcPr>
            <w:tcW w:w="1843" w:type="dxa"/>
            <w:vAlign w:val="center"/>
          </w:tcPr>
          <w:p>
            <w:pPr>
              <w:spacing w:line="400" w:lineRule="exact"/>
              <w:rPr>
                <w:rFonts w:asciiTheme="minorEastAsia" w:hAnsiTheme="minorEastAsia" w:eastAsiaTheme="minorEastAsia"/>
                <w:szCs w:val="21"/>
              </w:rPr>
            </w:pPr>
          </w:p>
        </w:tc>
        <w:tc>
          <w:tcPr>
            <w:tcW w:w="1549" w:type="dxa"/>
            <w:vAlign w:val="center"/>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第（）页</w:t>
            </w:r>
          </w:p>
        </w:tc>
      </w:tr>
    </w:tbl>
    <w:p>
      <w:pPr>
        <w:snapToGrid w:val="0"/>
        <w:spacing w:line="400" w:lineRule="exact"/>
        <w:outlineLvl w:val="1"/>
        <w:rPr>
          <w:rFonts w:ascii="宋体" w:hAnsi="宋体"/>
          <w:b/>
          <w:szCs w:val="21"/>
        </w:rPr>
      </w:pPr>
      <w:r>
        <w:rPr>
          <w:rFonts w:hint="eastAsia" w:ascii="宋体" w:hAnsi="宋体"/>
          <w:b/>
          <w:szCs w:val="21"/>
        </w:rPr>
        <w:t>备注：符合性自查表将作为投标人有效性审查的重要内容之一，投标人必须严格按照其内容及序列要求在投标文件中对应如实提供，对资格性证明文件的任何缺漏和不符合项将会直接导致投标无效！</w:t>
      </w: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spacing w:line="400" w:lineRule="exact"/>
        <w:rPr>
          <w:rFonts w:ascii="宋体" w:hAnsi="宋体"/>
          <w:szCs w:val="21"/>
        </w:rPr>
      </w:pPr>
      <w:r>
        <w:rPr>
          <w:rFonts w:hint="eastAsia" w:ascii="宋体" w:hAnsi="宋体"/>
          <w:szCs w:val="21"/>
        </w:rPr>
        <w:t>附件九</w:t>
      </w:r>
    </w:p>
    <w:p>
      <w:pPr>
        <w:snapToGrid w:val="0"/>
        <w:spacing w:line="600" w:lineRule="exact"/>
        <w:jc w:val="center"/>
        <w:outlineLvl w:val="1"/>
        <w:rPr>
          <w:rFonts w:ascii="宋体" w:hAnsi="宋体"/>
          <w:b/>
          <w:szCs w:val="21"/>
        </w:rPr>
      </w:pPr>
      <w:r>
        <w:rPr>
          <w:rFonts w:hint="eastAsia" w:ascii="宋体" w:hAnsi="宋体"/>
          <w:szCs w:val="21"/>
        </w:rPr>
        <w:t>未被列入失信被执行人承诺函</w:t>
      </w:r>
    </w:p>
    <w:p>
      <w:pPr>
        <w:snapToGrid w:val="0"/>
        <w:spacing w:line="600" w:lineRule="exact"/>
        <w:outlineLvl w:val="1"/>
        <w:rPr>
          <w:rFonts w:ascii="宋体" w:hAnsi="宋体"/>
          <w:szCs w:val="21"/>
        </w:rPr>
      </w:pPr>
    </w:p>
    <w:p>
      <w:pPr>
        <w:widowControl/>
        <w:spacing w:line="600" w:lineRule="exact"/>
        <w:ind w:right="159"/>
        <w:rPr>
          <w:rFonts w:ascii="宋体" w:hAnsi="宋体" w:cs="宋体"/>
          <w:kern w:val="0"/>
          <w:szCs w:val="21"/>
        </w:rPr>
      </w:pPr>
      <w:r>
        <w:rPr>
          <w:rFonts w:hint="eastAsia" w:ascii="宋体" w:hAnsi="宋体" w:cs="宋体"/>
          <w:kern w:val="0"/>
          <w:szCs w:val="21"/>
        </w:rPr>
        <w:t>致:</w:t>
      </w:r>
      <w:r>
        <w:rPr>
          <w:rFonts w:hint="eastAsia" w:ascii="宋体" w:hAnsi="宋体"/>
          <w:szCs w:val="21"/>
        </w:rPr>
        <w:t>宁波国际投资咨询有限公司</w:t>
      </w:r>
    </w:p>
    <w:p>
      <w:pPr>
        <w:snapToGrid w:val="0"/>
        <w:spacing w:line="400" w:lineRule="exact"/>
        <w:jc w:val="left"/>
        <w:rPr>
          <w:rFonts w:ascii="宋体" w:hAnsi="宋体"/>
          <w:szCs w:val="21"/>
        </w:rPr>
      </w:pPr>
      <w:r>
        <w:rPr>
          <w:rFonts w:hint="eastAsia" w:ascii="宋体" w:hAnsi="宋体" w:cs="宋体"/>
          <w:kern w:val="0"/>
          <w:szCs w:val="21"/>
        </w:rPr>
        <w:t>我公司/单位承诺我公司/单位</w:t>
      </w:r>
      <w:r>
        <w:rPr>
          <w:rFonts w:hint="eastAsia" w:ascii="宋体" w:hAnsi="宋体"/>
        </w:rPr>
        <w:t>和</w:t>
      </w:r>
      <w:r>
        <w:rPr>
          <w:rFonts w:hint="eastAsia" w:ascii="宋体" w:hAnsi="宋体" w:cs="宋体"/>
          <w:kern w:val="0"/>
          <w:szCs w:val="21"/>
        </w:rPr>
        <w:t>我公司/单位</w:t>
      </w:r>
      <w:r>
        <w:rPr>
          <w:rFonts w:hint="eastAsia" w:ascii="宋体" w:hAnsi="宋体"/>
        </w:rPr>
        <w:t>的法定代表人</w:t>
      </w:r>
      <w:r>
        <w:rPr>
          <w:rFonts w:ascii="宋体" w:hAnsi="宋体"/>
        </w:rPr>
        <w:t>/</w:t>
      </w:r>
      <w:r>
        <w:rPr>
          <w:rFonts w:hint="eastAsia" w:ascii="宋体" w:hAnsi="宋体"/>
        </w:rPr>
        <w:t>负责人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w:t>
      </w:r>
    </w:p>
    <w:p>
      <w:pPr>
        <w:widowControl/>
        <w:spacing w:line="600" w:lineRule="exact"/>
        <w:ind w:right="159" w:firstLine="420" w:firstLineChars="200"/>
        <w:rPr>
          <w:rFonts w:ascii="宋体" w:hAnsi="宋体" w:cs="宋体"/>
          <w:kern w:val="0"/>
          <w:szCs w:val="21"/>
        </w:rPr>
      </w:pPr>
      <w:r>
        <w:rPr>
          <w:rFonts w:hint="eastAsia" w:ascii="宋体" w:hAnsi="宋体" w:cs="宋体"/>
          <w:kern w:val="0"/>
          <w:szCs w:val="21"/>
        </w:rPr>
        <w:t xml:space="preserve">针对上述承诺，我司保证严格遵守！如有违反，愿无条件放弃中标，并接受处理，承担相应的责任。 </w:t>
      </w:r>
    </w:p>
    <w:p>
      <w:pPr>
        <w:widowControl/>
        <w:spacing w:line="600" w:lineRule="exact"/>
        <w:ind w:right="159" w:firstLine="660"/>
        <w:rPr>
          <w:rFonts w:ascii="宋体" w:hAnsi="宋体" w:cs="宋体"/>
          <w:kern w:val="0"/>
          <w:szCs w:val="21"/>
        </w:rPr>
      </w:pPr>
    </w:p>
    <w:p>
      <w:pPr>
        <w:pStyle w:val="14"/>
        <w:widowControl w:val="0"/>
        <w:snapToGrid w:val="0"/>
        <w:spacing w:before="0" w:beforeAutospacing="0" w:after="0" w:afterAutospacing="0" w:line="600" w:lineRule="exact"/>
        <w:ind w:firstLine="301"/>
        <w:jc w:val="both"/>
        <w:rPr>
          <w:rFonts w:ascii="宋体" w:hAnsi="宋体" w:cs="宋体"/>
          <w:spacing w:val="-4"/>
          <w:kern w:val="2"/>
          <w:sz w:val="21"/>
          <w:szCs w:val="21"/>
        </w:rPr>
      </w:pPr>
    </w:p>
    <w:p>
      <w:pPr>
        <w:pStyle w:val="14"/>
        <w:widowControl w:val="0"/>
        <w:snapToGrid w:val="0"/>
        <w:spacing w:before="0" w:beforeAutospacing="0" w:after="0" w:afterAutospacing="0" w:line="600" w:lineRule="exact"/>
        <w:ind w:firstLine="301"/>
        <w:jc w:val="both"/>
        <w:rPr>
          <w:rFonts w:ascii="宋体" w:hAnsi="宋体" w:cs="宋体"/>
          <w:spacing w:val="-4"/>
          <w:kern w:val="2"/>
          <w:sz w:val="21"/>
          <w:szCs w:val="21"/>
        </w:rPr>
      </w:pPr>
    </w:p>
    <w:p>
      <w:pPr>
        <w:pStyle w:val="8"/>
        <w:spacing w:after="0" w:line="600" w:lineRule="exact"/>
        <w:rPr>
          <w:rFonts w:hAnsi="宋体"/>
          <w:szCs w:val="21"/>
        </w:rPr>
      </w:pPr>
      <w:r>
        <w:rPr>
          <w:rFonts w:hint="eastAsia" w:hAnsi="宋体"/>
          <w:szCs w:val="21"/>
        </w:rPr>
        <w:t>投标人（盖章）：</w:t>
      </w:r>
    </w:p>
    <w:p>
      <w:pPr>
        <w:pStyle w:val="8"/>
        <w:spacing w:after="0" w:line="600" w:lineRule="exact"/>
        <w:rPr>
          <w:rFonts w:hAnsi="宋体"/>
          <w:szCs w:val="21"/>
        </w:rPr>
      </w:pPr>
      <w:r>
        <w:rPr>
          <w:rFonts w:hint="eastAsia" w:hAnsi="宋体"/>
          <w:szCs w:val="21"/>
        </w:rPr>
        <w:t>法定代表人／负责人或授权代表（签字）：</w:t>
      </w:r>
    </w:p>
    <w:p>
      <w:pPr>
        <w:spacing w:line="600" w:lineRule="exact"/>
        <w:ind w:firstLine="420" w:firstLineChars="200"/>
        <w:rPr>
          <w:rFonts w:ascii="宋体" w:hAnsi="宋体"/>
          <w:szCs w:val="21"/>
        </w:rPr>
      </w:pPr>
      <w:r>
        <w:rPr>
          <w:rFonts w:hint="eastAsia" w:ascii="宋体" w:hAnsi="宋体"/>
          <w:szCs w:val="21"/>
        </w:rPr>
        <w:t>日期：</w:t>
      </w:r>
    </w:p>
    <w:p>
      <w:pPr>
        <w:snapToGrid w:val="0"/>
        <w:spacing w:line="600" w:lineRule="exact"/>
        <w:ind w:firstLine="420" w:firstLineChars="200"/>
        <w:jc w:val="left"/>
        <w:outlineLvl w:val="1"/>
        <w:rPr>
          <w:rFonts w:ascii="宋体" w:hAnsi="宋体"/>
          <w:szCs w:val="21"/>
        </w:rPr>
      </w:pPr>
    </w:p>
    <w:p>
      <w:pPr>
        <w:snapToGrid w:val="0"/>
        <w:spacing w:line="400" w:lineRule="exact"/>
        <w:ind w:firstLine="420" w:firstLineChars="200"/>
        <w:jc w:val="center"/>
        <w:outlineLvl w:val="1"/>
        <w:rPr>
          <w:rFonts w:ascii="宋体" w:hAnsi="宋体"/>
          <w:szCs w:val="21"/>
        </w:rPr>
      </w:pPr>
    </w:p>
    <w:p>
      <w:pPr>
        <w:snapToGrid w:val="0"/>
        <w:spacing w:line="400" w:lineRule="exact"/>
        <w:ind w:firstLine="420" w:firstLineChars="200"/>
        <w:jc w:val="center"/>
        <w:outlineLvl w:val="1"/>
        <w:rPr>
          <w:rFonts w:ascii="宋体" w:hAnsi="宋体"/>
          <w:szCs w:val="21"/>
        </w:rPr>
      </w:pPr>
    </w:p>
    <w:p>
      <w:pPr>
        <w:snapToGrid w:val="0"/>
        <w:spacing w:line="400" w:lineRule="exact"/>
        <w:ind w:firstLine="420" w:firstLineChars="200"/>
        <w:jc w:val="center"/>
        <w:outlineLvl w:val="1"/>
        <w:rPr>
          <w:rFonts w:ascii="宋体" w:hAnsi="宋体"/>
          <w:szCs w:val="21"/>
        </w:rPr>
      </w:pPr>
    </w:p>
    <w:p>
      <w:pPr>
        <w:snapToGrid w:val="0"/>
        <w:spacing w:line="400" w:lineRule="exact"/>
        <w:ind w:firstLine="420" w:firstLineChars="200"/>
        <w:jc w:val="center"/>
        <w:outlineLvl w:val="1"/>
        <w:rPr>
          <w:rFonts w:ascii="宋体" w:hAnsi="宋体"/>
          <w:szCs w:val="21"/>
        </w:rPr>
      </w:pPr>
    </w:p>
    <w:p>
      <w:pPr>
        <w:snapToGrid w:val="0"/>
        <w:spacing w:line="400" w:lineRule="exact"/>
        <w:ind w:firstLine="420" w:firstLineChars="200"/>
        <w:jc w:val="center"/>
        <w:outlineLvl w:val="1"/>
        <w:rPr>
          <w:rFonts w:ascii="宋体" w:hAnsi="宋体"/>
          <w:szCs w:val="21"/>
        </w:rPr>
      </w:pPr>
    </w:p>
    <w:p>
      <w:pPr>
        <w:snapToGrid w:val="0"/>
        <w:spacing w:line="400" w:lineRule="exact"/>
        <w:ind w:firstLine="420" w:firstLineChars="200"/>
        <w:jc w:val="center"/>
        <w:outlineLvl w:val="1"/>
        <w:rPr>
          <w:rFonts w:ascii="宋体" w:hAnsi="宋体"/>
          <w:szCs w:val="21"/>
        </w:rPr>
      </w:pPr>
    </w:p>
    <w:p>
      <w:pPr>
        <w:snapToGrid w:val="0"/>
        <w:spacing w:line="400" w:lineRule="exact"/>
        <w:ind w:firstLine="420" w:firstLineChars="200"/>
        <w:jc w:val="center"/>
        <w:outlineLvl w:val="1"/>
        <w:rPr>
          <w:rFonts w:ascii="宋体" w:hAnsi="宋体"/>
          <w:szCs w:val="21"/>
        </w:rPr>
      </w:pPr>
    </w:p>
    <w:p>
      <w:pPr>
        <w:snapToGrid w:val="0"/>
        <w:spacing w:line="400" w:lineRule="exact"/>
        <w:ind w:firstLine="420" w:firstLineChars="200"/>
        <w:jc w:val="center"/>
        <w:outlineLvl w:val="1"/>
        <w:rPr>
          <w:rFonts w:ascii="宋体" w:hAnsi="宋体"/>
          <w:szCs w:val="21"/>
        </w:rPr>
      </w:pPr>
    </w:p>
    <w:p>
      <w:pPr>
        <w:snapToGrid w:val="0"/>
        <w:spacing w:line="400" w:lineRule="exact"/>
        <w:ind w:firstLine="420" w:firstLineChars="200"/>
        <w:jc w:val="center"/>
        <w:outlineLvl w:val="1"/>
        <w:rPr>
          <w:rFonts w:ascii="宋体" w:hAnsi="宋体"/>
          <w:szCs w:val="21"/>
        </w:rPr>
      </w:pPr>
    </w:p>
    <w:p>
      <w:pPr>
        <w:rPr>
          <w:rFonts w:ascii="宋体" w:hAnsi="宋体"/>
          <w:szCs w:val="21"/>
        </w:rPr>
      </w:pPr>
      <w:r>
        <w:rPr>
          <w:rFonts w:ascii="宋体" w:hAnsi="宋体"/>
          <w:szCs w:val="21"/>
        </w:rPr>
        <w:br w:type="page"/>
      </w:r>
    </w:p>
    <w:p>
      <w:pPr>
        <w:snapToGrid w:val="0"/>
        <w:spacing w:line="400" w:lineRule="exact"/>
        <w:jc w:val="left"/>
        <w:rPr>
          <w:rFonts w:ascii="宋体" w:hAnsi="宋体"/>
          <w:szCs w:val="21"/>
        </w:rPr>
      </w:pPr>
      <w:r>
        <w:rPr>
          <w:rFonts w:hint="eastAsia" w:ascii="宋体" w:hAnsi="宋体"/>
          <w:szCs w:val="21"/>
        </w:rPr>
        <w:t>附件十</w:t>
      </w:r>
    </w:p>
    <w:p>
      <w:pPr>
        <w:snapToGrid w:val="0"/>
        <w:spacing w:line="400" w:lineRule="exact"/>
        <w:jc w:val="center"/>
        <w:rPr>
          <w:rFonts w:ascii="宋体" w:hAnsi="宋体"/>
          <w:szCs w:val="21"/>
        </w:rPr>
      </w:pPr>
      <w:r>
        <w:rPr>
          <w:rFonts w:hint="eastAsia" w:ascii="宋体" w:hAnsi="宋体"/>
          <w:szCs w:val="21"/>
        </w:rPr>
        <w:t>投</w:t>
      </w:r>
      <w:r>
        <w:rPr>
          <w:rFonts w:ascii="宋体" w:hAnsi="宋体"/>
          <w:szCs w:val="21"/>
        </w:rPr>
        <w:t xml:space="preserve"> </w:t>
      </w:r>
      <w:r>
        <w:rPr>
          <w:rFonts w:hint="eastAsia" w:ascii="宋体" w:hAnsi="宋体"/>
          <w:szCs w:val="21"/>
        </w:rPr>
        <w:t>标</w:t>
      </w:r>
      <w:r>
        <w:rPr>
          <w:rFonts w:ascii="宋体" w:hAnsi="宋体"/>
          <w:szCs w:val="21"/>
        </w:rPr>
        <w:t xml:space="preserve"> </w:t>
      </w:r>
      <w:r>
        <w:rPr>
          <w:rFonts w:hint="eastAsia" w:ascii="宋体" w:hAnsi="宋体"/>
          <w:szCs w:val="21"/>
        </w:rPr>
        <w:t>函</w:t>
      </w:r>
    </w:p>
    <w:p>
      <w:pPr>
        <w:snapToGrid w:val="0"/>
        <w:spacing w:line="400" w:lineRule="exact"/>
        <w:jc w:val="center"/>
        <w:rPr>
          <w:rFonts w:ascii="宋体" w:hAnsi="宋体"/>
          <w:szCs w:val="21"/>
        </w:rPr>
      </w:pPr>
    </w:p>
    <w:p>
      <w:pPr>
        <w:snapToGrid w:val="0"/>
        <w:spacing w:line="400" w:lineRule="exact"/>
        <w:jc w:val="left"/>
        <w:rPr>
          <w:rFonts w:ascii="宋体" w:hAnsi="宋体"/>
          <w:szCs w:val="21"/>
        </w:rPr>
      </w:pPr>
      <w:r>
        <w:rPr>
          <w:rFonts w:hint="eastAsia" w:ascii="宋体" w:hAnsi="宋体"/>
          <w:szCs w:val="21"/>
        </w:rPr>
        <w:t>致：</w:t>
      </w:r>
      <w:r>
        <w:rPr>
          <w:rFonts w:hint="eastAsia" w:ascii="宋体" w:hAnsi="宋体"/>
          <w:szCs w:val="21"/>
          <w:u w:val="single"/>
        </w:rPr>
        <w:t xml:space="preserve">                                    </w:t>
      </w:r>
      <w:r>
        <w:rPr>
          <w:rFonts w:hint="eastAsia" w:ascii="宋体" w:hAnsi="宋体"/>
          <w:szCs w:val="21"/>
        </w:rPr>
        <w:t>（招标采购单位名称）：</w:t>
      </w:r>
    </w:p>
    <w:p>
      <w:pPr>
        <w:snapToGrid w:val="0"/>
        <w:spacing w:line="400" w:lineRule="exact"/>
        <w:ind w:firstLine="420" w:firstLineChars="200"/>
        <w:jc w:val="left"/>
        <w:rPr>
          <w:rFonts w:ascii="宋体" w:hAnsi="宋体"/>
          <w:szCs w:val="21"/>
        </w:rPr>
      </w:pPr>
      <w:r>
        <w:rPr>
          <w:rFonts w:hint="eastAsia" w:ascii="宋体" w:hAnsi="宋体"/>
          <w:szCs w:val="21"/>
        </w:rPr>
        <w:t>根据贵方为</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项目的采购公告（项目编号：</w:t>
      </w:r>
      <w:r>
        <w:rPr>
          <w:rFonts w:hint="eastAsia" w:ascii="宋体" w:hAnsi="宋体"/>
          <w:szCs w:val="21"/>
          <w:u w:val="single"/>
        </w:rPr>
        <w:t xml:space="preserve">           </w:t>
      </w:r>
      <w:r>
        <w:rPr>
          <w:rFonts w:hint="eastAsia" w:ascii="宋体" w:hAnsi="宋体"/>
          <w:szCs w:val="21"/>
        </w:rPr>
        <w:t>），签字代表</w:t>
      </w:r>
      <w:r>
        <w:rPr>
          <w:rFonts w:hint="eastAsia" w:ascii="宋体" w:hAnsi="宋体"/>
          <w:szCs w:val="21"/>
          <w:u w:val="single"/>
        </w:rPr>
        <w:t xml:space="preserve">              </w:t>
      </w:r>
      <w:r>
        <w:rPr>
          <w:rFonts w:hint="eastAsia" w:ascii="宋体" w:hAnsi="宋体"/>
          <w:szCs w:val="21"/>
        </w:rPr>
        <w:t>（全名）经正式授权并代表</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（供应商名称）提交技术商务文件、报价文件正本各一份、副本各</w:t>
      </w:r>
      <w:r>
        <w:rPr>
          <w:rFonts w:ascii="宋体" w:hAnsi="宋体"/>
          <w:szCs w:val="21"/>
          <w:u w:val="single"/>
        </w:rPr>
        <w:t xml:space="preserve">      </w:t>
      </w:r>
      <w:r>
        <w:rPr>
          <w:rFonts w:hint="eastAsia" w:ascii="宋体" w:hAnsi="宋体"/>
          <w:szCs w:val="21"/>
        </w:rPr>
        <w:t>份。</w:t>
      </w:r>
    </w:p>
    <w:p>
      <w:pPr>
        <w:snapToGrid w:val="0"/>
        <w:spacing w:line="400" w:lineRule="exact"/>
        <w:ind w:firstLine="420" w:firstLineChars="200"/>
        <w:jc w:val="left"/>
        <w:rPr>
          <w:rFonts w:ascii="宋体" w:hAnsi="宋体"/>
          <w:szCs w:val="21"/>
        </w:rPr>
      </w:pPr>
      <w:r>
        <w:rPr>
          <w:rFonts w:hint="eastAsia" w:ascii="宋体" w:hAnsi="宋体"/>
          <w:szCs w:val="21"/>
        </w:rPr>
        <w:t>据此函，签字代表宣布同意如下：</w:t>
      </w:r>
    </w:p>
    <w:p>
      <w:pPr>
        <w:snapToGrid w:val="0"/>
        <w:spacing w:line="400" w:lineRule="exact"/>
        <w:ind w:firstLine="420" w:firstLineChars="200"/>
        <w:jc w:val="left"/>
        <w:rPr>
          <w:rFonts w:ascii="宋体" w:hAnsi="宋体"/>
          <w:szCs w:val="21"/>
        </w:rPr>
      </w:pPr>
      <w:r>
        <w:rPr>
          <w:rFonts w:ascii="宋体" w:hAnsi="宋体"/>
          <w:szCs w:val="21"/>
        </w:rPr>
        <w:t>1</w:t>
      </w:r>
      <w:r>
        <w:rPr>
          <w:rFonts w:hint="eastAsia" w:ascii="宋体" w:hAnsi="宋体"/>
          <w:szCs w:val="21"/>
        </w:rPr>
        <w:t>.供应商已详细审查全部“采购文件”，包括修改文件（如有的话）以及全部参考资料和有关附件，已经了解我方对于采购文件、采购过程、采购结果有依法进行询问、质疑、投诉的权利及相关渠道和要求。</w:t>
      </w:r>
    </w:p>
    <w:p>
      <w:pPr>
        <w:snapToGrid w:val="0"/>
        <w:spacing w:line="400" w:lineRule="exact"/>
        <w:ind w:firstLine="420" w:firstLineChars="200"/>
        <w:jc w:val="left"/>
        <w:rPr>
          <w:rFonts w:ascii="宋体" w:hAnsi="宋体"/>
          <w:szCs w:val="21"/>
        </w:rPr>
      </w:pPr>
      <w:r>
        <w:rPr>
          <w:rFonts w:ascii="宋体" w:hAnsi="宋体"/>
          <w:szCs w:val="21"/>
        </w:rPr>
        <w:t>2</w:t>
      </w:r>
      <w:r>
        <w:rPr>
          <w:rFonts w:hint="eastAsia" w:ascii="宋体" w:hAnsi="宋体"/>
          <w:szCs w:val="21"/>
        </w:rPr>
        <w:t>.供应商在投标之前已经与贵方进行了充分的沟通，完全理解并接受采购文件的各项规定和要求，对采购文件的合理性、合法性不再有异议。</w:t>
      </w:r>
    </w:p>
    <w:p>
      <w:pPr>
        <w:snapToGrid w:val="0"/>
        <w:spacing w:line="400" w:lineRule="exact"/>
        <w:ind w:firstLine="420" w:firstLineChars="200"/>
        <w:jc w:val="left"/>
        <w:rPr>
          <w:rFonts w:ascii="宋体" w:hAnsi="宋体"/>
          <w:szCs w:val="21"/>
        </w:rPr>
      </w:pPr>
      <w:r>
        <w:rPr>
          <w:rFonts w:ascii="宋体" w:hAnsi="宋体"/>
          <w:szCs w:val="21"/>
        </w:rPr>
        <w:t>3</w:t>
      </w:r>
      <w:r>
        <w:rPr>
          <w:rFonts w:hint="eastAsia" w:ascii="宋体" w:hAnsi="宋体"/>
          <w:szCs w:val="21"/>
        </w:rPr>
        <w:t>.本投标有效期自开标日起</w:t>
      </w:r>
      <w:r>
        <w:rPr>
          <w:rFonts w:hint="eastAsia" w:ascii="宋体" w:hAnsi="宋体"/>
          <w:szCs w:val="21"/>
          <w:u w:val="single"/>
        </w:rPr>
        <w:t xml:space="preserve">   90  </w:t>
      </w:r>
      <w:r>
        <w:rPr>
          <w:rFonts w:hint="eastAsia" w:ascii="宋体" w:hAnsi="宋体"/>
          <w:szCs w:val="21"/>
        </w:rPr>
        <w:t>个日历天。</w:t>
      </w:r>
    </w:p>
    <w:p>
      <w:pPr>
        <w:snapToGrid w:val="0"/>
        <w:spacing w:line="400" w:lineRule="exact"/>
        <w:ind w:firstLine="420" w:firstLineChars="200"/>
        <w:jc w:val="left"/>
        <w:rPr>
          <w:rFonts w:ascii="宋体" w:hAnsi="宋体"/>
          <w:szCs w:val="21"/>
        </w:rPr>
      </w:pPr>
      <w:r>
        <w:rPr>
          <w:rFonts w:ascii="宋体" w:hAnsi="宋体"/>
          <w:szCs w:val="21"/>
        </w:rPr>
        <w:t>4</w:t>
      </w:r>
      <w:r>
        <w:rPr>
          <w:rFonts w:hint="eastAsia" w:ascii="宋体" w:hAnsi="宋体"/>
          <w:szCs w:val="21"/>
        </w:rPr>
        <w:t>.如中标，本投标文件至本项目合同履行完毕止均保持有效，本供应商将按“采购文件”及政府采购法律、法规的规定履行合同责任和义务。</w:t>
      </w:r>
    </w:p>
    <w:p>
      <w:pPr>
        <w:snapToGrid w:val="0"/>
        <w:spacing w:line="400" w:lineRule="exact"/>
        <w:ind w:firstLine="420" w:firstLineChars="200"/>
        <w:jc w:val="left"/>
        <w:rPr>
          <w:rFonts w:ascii="宋体" w:hAnsi="宋体"/>
          <w:szCs w:val="21"/>
        </w:rPr>
      </w:pPr>
      <w:r>
        <w:rPr>
          <w:rFonts w:ascii="宋体" w:hAnsi="宋体"/>
          <w:szCs w:val="21"/>
        </w:rPr>
        <w:t>5</w:t>
      </w:r>
      <w:r>
        <w:rPr>
          <w:rFonts w:hint="eastAsia" w:ascii="宋体" w:hAnsi="宋体"/>
          <w:szCs w:val="21"/>
        </w:rPr>
        <w:t>.供应商同意按照贵方要求提供与投标有关的一切数据或资料。</w:t>
      </w:r>
    </w:p>
    <w:p>
      <w:pPr>
        <w:snapToGrid w:val="0"/>
        <w:spacing w:line="400" w:lineRule="exact"/>
        <w:ind w:firstLine="420" w:firstLineChars="200"/>
        <w:jc w:val="left"/>
        <w:rPr>
          <w:rFonts w:ascii="宋体" w:hAnsi="宋体"/>
          <w:szCs w:val="21"/>
        </w:rPr>
      </w:pPr>
      <w:r>
        <w:rPr>
          <w:rFonts w:hint="eastAsia" w:ascii="宋体" w:hAnsi="宋体"/>
          <w:szCs w:val="21"/>
        </w:rPr>
        <w:t>6.</w:t>
      </w:r>
      <w:r>
        <w:rPr>
          <w:rFonts w:hint="eastAsia" w:ascii="宋体" w:hAnsi="宋体" w:cs="宋体"/>
          <w:szCs w:val="21"/>
        </w:rPr>
        <w:t>我们郑重声明：本投标文件提供的情况和文件完全是真实的，我单位符合政府采购法规定的参加采购活动应当具备的条件（《中华人民共和国政府采购法》第22条）。</w:t>
      </w:r>
    </w:p>
    <w:p>
      <w:pPr>
        <w:snapToGrid w:val="0"/>
        <w:spacing w:line="400" w:lineRule="exact"/>
        <w:ind w:firstLine="420" w:firstLineChars="200"/>
        <w:jc w:val="left"/>
        <w:rPr>
          <w:rFonts w:ascii="宋体" w:hAnsi="宋体"/>
          <w:szCs w:val="21"/>
        </w:rPr>
      </w:pPr>
      <w:r>
        <w:rPr>
          <w:rFonts w:hint="eastAsia" w:ascii="宋体" w:hAnsi="宋体"/>
          <w:szCs w:val="21"/>
        </w:rPr>
        <w:t>7.与本投标有关的一切正式往来信函请寄：</w:t>
      </w:r>
    </w:p>
    <w:p>
      <w:pPr>
        <w:snapToGrid w:val="0"/>
        <w:spacing w:line="400" w:lineRule="exact"/>
        <w:ind w:firstLine="420" w:firstLineChars="200"/>
        <w:jc w:val="left"/>
        <w:rPr>
          <w:rFonts w:ascii="宋体" w:hAnsi="宋体"/>
          <w:szCs w:val="21"/>
        </w:rPr>
      </w:pPr>
    </w:p>
    <w:p>
      <w:pPr>
        <w:snapToGrid w:val="0"/>
        <w:spacing w:line="400" w:lineRule="exact"/>
        <w:ind w:firstLine="420" w:firstLineChars="200"/>
        <w:jc w:val="left"/>
        <w:rPr>
          <w:rFonts w:ascii="宋体" w:hAnsi="宋体"/>
          <w:szCs w:val="21"/>
          <w:u w:val="single"/>
        </w:rPr>
      </w:pPr>
      <w:r>
        <w:rPr>
          <w:rFonts w:hint="eastAsia" w:ascii="宋体" w:hAnsi="宋体"/>
          <w:szCs w:val="21"/>
        </w:rPr>
        <w:t xml:space="preserve">地址： </w:t>
      </w:r>
      <w:r>
        <w:rPr>
          <w:rFonts w:hint="eastAsia" w:ascii="宋体" w:hAnsi="宋体"/>
          <w:szCs w:val="21"/>
          <w:u w:val="single"/>
        </w:rPr>
        <w:t xml:space="preserve">                                                            </w:t>
      </w:r>
    </w:p>
    <w:p>
      <w:pPr>
        <w:snapToGrid w:val="0"/>
        <w:spacing w:line="400" w:lineRule="exact"/>
        <w:ind w:firstLine="420" w:firstLineChars="200"/>
        <w:jc w:val="left"/>
        <w:rPr>
          <w:rFonts w:ascii="宋体" w:hAnsi="宋体"/>
          <w:szCs w:val="21"/>
          <w:u w:val="single"/>
        </w:rPr>
      </w:pPr>
      <w:r>
        <w:rPr>
          <w:rFonts w:hint="eastAsia" w:ascii="宋体" w:hAnsi="宋体"/>
          <w:szCs w:val="21"/>
        </w:rPr>
        <w:t xml:space="preserve">邮编： </w:t>
      </w:r>
      <w:r>
        <w:rPr>
          <w:rFonts w:hint="eastAsia" w:ascii="宋体" w:hAnsi="宋体"/>
          <w:szCs w:val="21"/>
          <w:u w:val="single"/>
        </w:rPr>
        <w:t xml:space="preserve">                </w:t>
      </w:r>
      <w:r>
        <w:rPr>
          <w:rFonts w:hint="eastAsia" w:ascii="宋体" w:hAnsi="宋体"/>
          <w:szCs w:val="21"/>
        </w:rPr>
        <w:t xml:space="preserve"> 电话： </w:t>
      </w:r>
      <w:r>
        <w:rPr>
          <w:rFonts w:hint="eastAsia" w:ascii="宋体" w:hAnsi="宋体"/>
          <w:szCs w:val="21"/>
          <w:u w:val="single"/>
        </w:rPr>
        <w:t xml:space="preserve">               </w:t>
      </w:r>
      <w:r>
        <w:rPr>
          <w:rFonts w:hint="eastAsia" w:ascii="宋体" w:hAnsi="宋体"/>
          <w:szCs w:val="21"/>
        </w:rPr>
        <w:t xml:space="preserve">  传真：</w:t>
      </w:r>
      <w:r>
        <w:rPr>
          <w:rFonts w:hint="eastAsia" w:ascii="宋体" w:hAnsi="宋体"/>
          <w:szCs w:val="21"/>
          <w:u w:val="single"/>
        </w:rPr>
        <w:t xml:space="preserve">                   </w:t>
      </w:r>
    </w:p>
    <w:p>
      <w:pPr>
        <w:snapToGrid w:val="0"/>
        <w:spacing w:line="400" w:lineRule="exact"/>
        <w:ind w:firstLine="420" w:firstLineChars="200"/>
        <w:jc w:val="left"/>
        <w:rPr>
          <w:rFonts w:ascii="宋体" w:hAnsi="宋体"/>
          <w:szCs w:val="21"/>
          <w:u w:val="single"/>
        </w:rPr>
      </w:pPr>
      <w:r>
        <w:rPr>
          <w:rFonts w:hint="eastAsia" w:ascii="宋体" w:hAnsi="宋体"/>
          <w:szCs w:val="21"/>
        </w:rPr>
        <w:t>投标单位</w:t>
      </w:r>
      <w:r>
        <w:rPr>
          <w:rFonts w:ascii="宋体" w:hAnsi="宋体"/>
          <w:szCs w:val="21"/>
        </w:rPr>
        <w:t>名称（盖章）:</w:t>
      </w:r>
      <w:r>
        <w:rPr>
          <w:rFonts w:hint="eastAsia" w:ascii="宋体" w:hAnsi="宋体"/>
          <w:szCs w:val="21"/>
        </w:rPr>
        <w:t xml:space="preserve"> </w:t>
      </w:r>
      <w:r>
        <w:rPr>
          <w:rFonts w:hint="eastAsia" w:ascii="宋体" w:hAnsi="宋体"/>
          <w:szCs w:val="21"/>
          <w:u w:val="single"/>
        </w:rPr>
        <w:t xml:space="preserve">                                    </w:t>
      </w:r>
    </w:p>
    <w:p>
      <w:pPr>
        <w:snapToGrid w:val="0"/>
        <w:spacing w:line="400" w:lineRule="exact"/>
        <w:ind w:firstLine="420" w:firstLineChars="200"/>
        <w:jc w:val="left"/>
        <w:rPr>
          <w:rFonts w:ascii="宋体" w:hAnsi="宋体"/>
          <w:szCs w:val="21"/>
        </w:rPr>
      </w:pPr>
      <w:r>
        <w:rPr>
          <w:rFonts w:hint="eastAsia" w:ascii="宋体" w:hAnsi="宋体"/>
          <w:szCs w:val="21"/>
        </w:rPr>
        <w:t>开户银行：</w:t>
      </w:r>
      <w:r>
        <w:rPr>
          <w:rFonts w:ascii="宋体" w:hAnsi="宋体"/>
          <w:szCs w:val="21"/>
          <w:u w:val="single"/>
        </w:rPr>
        <w:t xml:space="preserve">                      </w:t>
      </w:r>
      <w:r>
        <w:rPr>
          <w:rFonts w:ascii="宋体" w:hAnsi="宋体"/>
          <w:szCs w:val="21"/>
        </w:rPr>
        <w:t xml:space="preserve">   </w:t>
      </w:r>
      <w:r>
        <w:rPr>
          <w:rFonts w:hint="eastAsia" w:ascii="宋体" w:hAnsi="宋体"/>
          <w:szCs w:val="21"/>
        </w:rPr>
        <w:t>银行帐号：</w:t>
      </w:r>
      <w:r>
        <w:rPr>
          <w:rFonts w:ascii="宋体" w:hAnsi="宋体"/>
          <w:szCs w:val="21"/>
          <w:u w:val="single"/>
        </w:rPr>
        <w:t xml:space="preserve">                      </w:t>
      </w:r>
      <w:r>
        <w:rPr>
          <w:rFonts w:ascii="宋体" w:hAnsi="宋体"/>
          <w:szCs w:val="21"/>
        </w:rPr>
        <w:t xml:space="preserve">    </w:t>
      </w:r>
    </w:p>
    <w:p>
      <w:pPr>
        <w:snapToGrid w:val="0"/>
        <w:spacing w:line="400" w:lineRule="exact"/>
        <w:ind w:firstLine="420" w:firstLineChars="200"/>
        <w:jc w:val="left"/>
        <w:rPr>
          <w:rFonts w:ascii="宋体" w:hAnsi="宋体"/>
          <w:szCs w:val="21"/>
          <w:u w:val="single"/>
        </w:rPr>
      </w:pPr>
      <w:r>
        <w:rPr>
          <w:rFonts w:hint="eastAsia" w:ascii="宋体" w:hAnsi="宋体"/>
          <w:szCs w:val="21"/>
        </w:rPr>
        <w:t>法定代表人／负责人或授权代表签字</w:t>
      </w:r>
      <w:r>
        <w:rPr>
          <w:rFonts w:ascii="宋体" w:hAnsi="宋体"/>
          <w:szCs w:val="21"/>
        </w:rPr>
        <w:t>:</w:t>
      </w:r>
      <w:r>
        <w:rPr>
          <w:rFonts w:hint="eastAsia" w:ascii="宋体" w:hAnsi="宋体"/>
          <w:szCs w:val="21"/>
        </w:rPr>
        <w:t xml:space="preserve"> </w:t>
      </w:r>
      <w:r>
        <w:rPr>
          <w:rFonts w:hint="eastAsia" w:ascii="宋体" w:hAnsi="宋体"/>
          <w:szCs w:val="21"/>
          <w:u w:val="single"/>
        </w:rPr>
        <w:t xml:space="preserve">                     </w:t>
      </w:r>
    </w:p>
    <w:p>
      <w:pPr>
        <w:snapToGrid w:val="0"/>
        <w:spacing w:line="400" w:lineRule="exact"/>
        <w:ind w:firstLine="420" w:firstLineChars="200"/>
        <w:jc w:val="left"/>
        <w:rPr>
          <w:rFonts w:ascii="宋体" w:hAnsi="宋体"/>
          <w:szCs w:val="21"/>
        </w:rPr>
      </w:pPr>
      <w:r>
        <w:rPr>
          <w:rFonts w:ascii="宋体" w:hAnsi="宋体"/>
          <w:szCs w:val="21"/>
        </w:rPr>
        <w:t xml:space="preserve">              </w:t>
      </w:r>
    </w:p>
    <w:p>
      <w:pPr>
        <w:snapToGrid w:val="0"/>
        <w:spacing w:line="400" w:lineRule="exact"/>
        <w:ind w:firstLine="420" w:firstLineChars="200"/>
        <w:jc w:val="left"/>
        <w:rPr>
          <w:rFonts w:ascii="宋体" w:hAnsi="宋体"/>
          <w:szCs w:val="21"/>
        </w:rPr>
      </w:pPr>
      <w:r>
        <w:rPr>
          <w:rFonts w:hint="eastAsia" w:ascii="宋体" w:hAnsi="宋体"/>
          <w:szCs w:val="21"/>
        </w:rPr>
        <w:t>日期</w:t>
      </w:r>
      <w:r>
        <w:rPr>
          <w:rFonts w:ascii="宋体" w:hAnsi="宋体"/>
          <w:szCs w:val="21"/>
        </w:rPr>
        <w:t>:</w:t>
      </w: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 xml:space="preserve">年 </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r>
        <w:rPr>
          <w:rFonts w:hint="eastAsia" w:ascii="宋体" w:hAnsi="宋体"/>
          <w:szCs w:val="21"/>
        </w:rPr>
        <w:br w:type="page"/>
      </w:r>
    </w:p>
    <w:p>
      <w:pPr>
        <w:snapToGrid w:val="0"/>
        <w:spacing w:line="400" w:lineRule="exact"/>
        <w:ind w:firstLine="420" w:firstLineChars="200"/>
        <w:jc w:val="center"/>
        <w:outlineLvl w:val="1"/>
        <w:rPr>
          <w:rFonts w:ascii="宋体" w:hAnsi="宋体"/>
          <w:szCs w:val="21"/>
        </w:rPr>
      </w:pPr>
      <w:r>
        <w:rPr>
          <w:rFonts w:hint="eastAsia" w:ascii="宋体" w:hAnsi="宋体"/>
          <w:szCs w:val="21"/>
        </w:rPr>
        <w:t>三、报价</w:t>
      </w:r>
      <w:r>
        <w:rPr>
          <w:rFonts w:hint="eastAsia" w:ascii="宋体" w:hAnsi="宋体"/>
          <w:bCs/>
          <w:szCs w:val="21"/>
        </w:rPr>
        <w:t>文件格式</w:t>
      </w:r>
    </w:p>
    <w:p>
      <w:pPr>
        <w:snapToGrid w:val="0"/>
        <w:spacing w:line="400" w:lineRule="exact"/>
        <w:ind w:firstLine="420" w:firstLineChars="200"/>
        <w:rPr>
          <w:rFonts w:ascii="宋体" w:hAnsi="宋体"/>
          <w:bCs/>
          <w:szCs w:val="21"/>
        </w:rPr>
      </w:pPr>
    </w:p>
    <w:p>
      <w:pPr>
        <w:pStyle w:val="6"/>
        <w:snapToGrid w:val="0"/>
        <w:spacing w:line="400" w:lineRule="exact"/>
        <w:ind w:firstLineChars="200"/>
        <w:rPr>
          <w:rFonts w:ascii="宋体" w:hAnsi="宋体"/>
          <w:bCs/>
          <w:szCs w:val="21"/>
        </w:rPr>
      </w:pPr>
    </w:p>
    <w:p>
      <w:pPr>
        <w:pStyle w:val="6"/>
        <w:snapToGrid w:val="0"/>
        <w:spacing w:line="400" w:lineRule="exact"/>
        <w:ind w:firstLineChars="200"/>
        <w:rPr>
          <w:rFonts w:ascii="宋体" w:hAnsi="宋体"/>
          <w:bCs/>
          <w:szCs w:val="21"/>
        </w:rPr>
      </w:pPr>
    </w:p>
    <w:p>
      <w:pPr>
        <w:pStyle w:val="6"/>
        <w:snapToGrid w:val="0"/>
        <w:spacing w:line="400" w:lineRule="exact"/>
        <w:ind w:firstLineChars="200"/>
        <w:rPr>
          <w:rFonts w:ascii="宋体" w:hAnsi="宋体"/>
          <w:bCs/>
          <w:szCs w:val="21"/>
        </w:rPr>
      </w:pPr>
    </w:p>
    <w:p>
      <w:pPr>
        <w:snapToGrid w:val="0"/>
        <w:spacing w:line="400" w:lineRule="exact"/>
        <w:ind w:firstLine="420" w:firstLineChars="200"/>
        <w:rPr>
          <w:rFonts w:ascii="宋体" w:hAnsi="宋体"/>
          <w:bCs/>
          <w:szCs w:val="21"/>
        </w:rPr>
      </w:pPr>
      <w:r>
        <w:rPr>
          <w:rFonts w:hint="eastAsia" w:ascii="宋体" w:hAnsi="宋体"/>
          <w:szCs w:val="21"/>
        </w:rPr>
        <w:t>1.报价</w:t>
      </w:r>
      <w:r>
        <w:rPr>
          <w:rFonts w:hint="eastAsia" w:ascii="宋体" w:hAnsi="宋体"/>
          <w:bCs/>
          <w:szCs w:val="21"/>
        </w:rPr>
        <w:t>文件的外包装封面格式（不可缺）：</w:t>
      </w:r>
    </w:p>
    <w:p>
      <w:pPr>
        <w:snapToGrid w:val="0"/>
        <w:spacing w:line="400" w:lineRule="exact"/>
        <w:ind w:firstLine="420" w:firstLineChars="200"/>
        <w:jc w:val="center"/>
        <w:rPr>
          <w:rFonts w:ascii="宋体" w:hAnsi="宋体"/>
          <w:szCs w:val="21"/>
        </w:rPr>
      </w:pPr>
    </w:p>
    <w:p>
      <w:pPr>
        <w:snapToGrid w:val="0"/>
        <w:spacing w:line="400" w:lineRule="exact"/>
        <w:ind w:firstLine="420" w:firstLineChars="200"/>
        <w:jc w:val="center"/>
        <w:rPr>
          <w:rFonts w:ascii="宋体" w:hAnsi="宋体"/>
          <w:bCs/>
          <w:szCs w:val="21"/>
        </w:rPr>
      </w:pPr>
      <w:r>
        <w:rPr>
          <w:rFonts w:hint="eastAsia" w:ascii="宋体" w:hAnsi="宋体"/>
          <w:szCs w:val="21"/>
        </w:rPr>
        <w:t>报价</w:t>
      </w:r>
      <w:r>
        <w:rPr>
          <w:rFonts w:hint="eastAsia" w:ascii="宋体" w:hAnsi="宋体"/>
          <w:bCs/>
          <w:szCs w:val="21"/>
        </w:rPr>
        <w:t>文件</w:t>
      </w:r>
    </w:p>
    <w:p>
      <w:pPr>
        <w:snapToGrid w:val="0"/>
        <w:spacing w:line="400" w:lineRule="exact"/>
        <w:ind w:firstLine="420" w:firstLineChars="200"/>
        <w:jc w:val="center"/>
        <w:rPr>
          <w:rFonts w:ascii="宋体" w:hAnsi="宋体"/>
          <w:bCs/>
          <w:szCs w:val="21"/>
        </w:rPr>
      </w:pPr>
    </w:p>
    <w:p>
      <w:pPr>
        <w:snapToGrid w:val="0"/>
        <w:spacing w:line="400" w:lineRule="exact"/>
        <w:ind w:firstLine="420" w:firstLineChars="200"/>
        <w:rPr>
          <w:rFonts w:ascii="宋体" w:hAnsi="宋体"/>
          <w:bCs/>
          <w:szCs w:val="21"/>
        </w:rPr>
      </w:pPr>
      <w:r>
        <w:rPr>
          <w:rFonts w:hint="eastAsia" w:ascii="宋体" w:hAnsi="宋体"/>
          <w:bCs/>
          <w:szCs w:val="21"/>
        </w:rPr>
        <w:t>项目名称：</w:t>
      </w:r>
    </w:p>
    <w:p>
      <w:pPr>
        <w:snapToGrid w:val="0"/>
        <w:spacing w:line="400" w:lineRule="exact"/>
        <w:ind w:firstLine="420" w:firstLineChars="200"/>
        <w:rPr>
          <w:rFonts w:ascii="宋体" w:hAnsi="宋体"/>
          <w:bCs/>
          <w:szCs w:val="21"/>
        </w:rPr>
      </w:pPr>
      <w:r>
        <w:rPr>
          <w:rFonts w:hint="eastAsia" w:ascii="宋体" w:hAnsi="宋体"/>
          <w:bCs/>
          <w:szCs w:val="21"/>
        </w:rPr>
        <w:t>项目编号：</w:t>
      </w:r>
    </w:p>
    <w:p>
      <w:pPr>
        <w:snapToGrid w:val="0"/>
        <w:spacing w:line="400" w:lineRule="exact"/>
        <w:ind w:firstLine="420" w:firstLineChars="200"/>
        <w:rPr>
          <w:rFonts w:ascii="宋体" w:hAnsi="宋体"/>
          <w:bCs/>
          <w:szCs w:val="21"/>
        </w:rPr>
      </w:pPr>
      <w:r>
        <w:rPr>
          <w:rFonts w:hint="eastAsia" w:ascii="宋体" w:hAnsi="宋体"/>
          <w:bCs/>
          <w:szCs w:val="21"/>
        </w:rPr>
        <w:t>标   项：（如有，请填写）</w:t>
      </w:r>
    </w:p>
    <w:p>
      <w:pPr>
        <w:pStyle w:val="6"/>
        <w:snapToGrid w:val="0"/>
        <w:spacing w:line="400" w:lineRule="exact"/>
        <w:ind w:firstLineChars="200"/>
        <w:rPr>
          <w:rFonts w:ascii="宋体" w:hAnsi="宋体"/>
          <w:bCs/>
          <w:szCs w:val="21"/>
        </w:rPr>
      </w:pPr>
      <w:r>
        <w:rPr>
          <w:rFonts w:hint="eastAsia" w:ascii="宋体" w:hAnsi="宋体"/>
          <w:bCs/>
          <w:szCs w:val="21"/>
        </w:rPr>
        <w:t>投标人名称：</w:t>
      </w:r>
    </w:p>
    <w:p>
      <w:pPr>
        <w:snapToGrid w:val="0"/>
        <w:spacing w:line="400" w:lineRule="exact"/>
        <w:ind w:firstLine="420" w:firstLineChars="200"/>
        <w:rPr>
          <w:rFonts w:ascii="宋体" w:hAnsi="宋体"/>
          <w:szCs w:val="21"/>
        </w:rPr>
      </w:pPr>
    </w:p>
    <w:p>
      <w:pPr>
        <w:snapToGrid w:val="0"/>
        <w:spacing w:line="400" w:lineRule="exact"/>
        <w:ind w:firstLine="420" w:firstLineChars="200"/>
        <w:rPr>
          <w:rFonts w:ascii="宋体" w:hAnsi="宋体"/>
          <w:szCs w:val="21"/>
        </w:rPr>
      </w:pPr>
    </w:p>
    <w:p>
      <w:pPr>
        <w:snapToGrid w:val="0"/>
        <w:spacing w:line="400" w:lineRule="exact"/>
        <w:ind w:firstLine="420" w:firstLineChars="200"/>
        <w:rPr>
          <w:rFonts w:ascii="宋体" w:hAnsi="宋体"/>
          <w:szCs w:val="21"/>
        </w:rPr>
      </w:pPr>
    </w:p>
    <w:p>
      <w:pPr>
        <w:snapToGrid w:val="0"/>
        <w:spacing w:line="400" w:lineRule="exact"/>
        <w:ind w:firstLine="420" w:firstLineChars="200"/>
        <w:rPr>
          <w:rFonts w:ascii="宋体" w:hAnsi="宋体"/>
          <w:szCs w:val="21"/>
        </w:rPr>
      </w:pPr>
    </w:p>
    <w:p>
      <w:pPr>
        <w:snapToGrid w:val="0"/>
        <w:spacing w:line="400" w:lineRule="exact"/>
        <w:ind w:firstLine="420" w:firstLineChars="200"/>
        <w:rPr>
          <w:rFonts w:ascii="宋体" w:hAnsi="宋体"/>
          <w:szCs w:val="21"/>
        </w:rPr>
      </w:pPr>
    </w:p>
    <w:p>
      <w:pPr>
        <w:snapToGrid w:val="0"/>
        <w:spacing w:line="400" w:lineRule="exact"/>
        <w:ind w:firstLine="420" w:firstLineChars="200"/>
        <w:rPr>
          <w:rFonts w:ascii="宋体" w:hAnsi="宋体"/>
          <w:szCs w:val="21"/>
        </w:rPr>
      </w:pPr>
    </w:p>
    <w:p>
      <w:pPr>
        <w:snapToGrid w:val="0"/>
        <w:spacing w:line="400" w:lineRule="exact"/>
        <w:ind w:firstLine="420" w:firstLineChars="200"/>
        <w:rPr>
          <w:rFonts w:ascii="宋体" w:hAnsi="宋体"/>
          <w:szCs w:val="21"/>
        </w:rPr>
      </w:pPr>
    </w:p>
    <w:p>
      <w:pPr>
        <w:snapToGrid w:val="0"/>
        <w:spacing w:line="400" w:lineRule="exact"/>
        <w:ind w:firstLine="420" w:firstLineChars="200"/>
        <w:rPr>
          <w:rFonts w:ascii="宋体" w:hAnsi="宋体"/>
          <w:szCs w:val="21"/>
        </w:rPr>
      </w:pPr>
      <w:r>
        <w:rPr>
          <w:rFonts w:hint="eastAsia" w:ascii="宋体" w:hAnsi="宋体"/>
          <w:szCs w:val="21"/>
        </w:rPr>
        <w:t>2.报价文件封面格式：</w:t>
      </w:r>
    </w:p>
    <w:p>
      <w:pPr>
        <w:snapToGrid w:val="0"/>
        <w:spacing w:line="400" w:lineRule="exact"/>
        <w:ind w:firstLine="6090" w:firstLineChars="2900"/>
        <w:rPr>
          <w:rFonts w:ascii="宋体" w:hAnsi="宋体"/>
          <w:bCs/>
          <w:szCs w:val="21"/>
        </w:rPr>
      </w:pPr>
      <w:r>
        <w:rPr>
          <w:rFonts w:hint="eastAsia" w:ascii="宋体" w:hAnsi="宋体"/>
          <w:bCs/>
          <w:szCs w:val="21"/>
        </w:rPr>
        <w:t>正本</w:t>
      </w:r>
      <w:r>
        <w:rPr>
          <w:rFonts w:ascii="宋体" w:hAnsi="宋体"/>
          <w:bCs/>
          <w:szCs w:val="21"/>
        </w:rPr>
        <w:t>/</w:t>
      </w:r>
      <w:r>
        <w:rPr>
          <w:rFonts w:hint="eastAsia" w:ascii="宋体" w:hAnsi="宋体"/>
          <w:bCs/>
          <w:szCs w:val="21"/>
        </w:rPr>
        <w:t>或副本</w:t>
      </w:r>
    </w:p>
    <w:p>
      <w:pPr>
        <w:snapToGrid w:val="0"/>
        <w:spacing w:line="400" w:lineRule="exact"/>
        <w:ind w:firstLine="420" w:firstLineChars="200"/>
        <w:rPr>
          <w:rFonts w:ascii="宋体" w:hAnsi="宋体"/>
          <w:bCs/>
          <w:szCs w:val="21"/>
        </w:rPr>
      </w:pPr>
    </w:p>
    <w:p>
      <w:pPr>
        <w:snapToGrid w:val="0"/>
        <w:spacing w:line="400" w:lineRule="exact"/>
        <w:ind w:firstLine="420" w:firstLineChars="200"/>
        <w:jc w:val="center"/>
        <w:rPr>
          <w:rFonts w:ascii="宋体" w:hAnsi="宋体"/>
          <w:bCs/>
          <w:szCs w:val="21"/>
        </w:rPr>
      </w:pPr>
      <w:r>
        <w:rPr>
          <w:rFonts w:hint="eastAsia" w:ascii="宋体" w:hAnsi="宋体"/>
          <w:szCs w:val="21"/>
        </w:rPr>
        <w:t>报价</w:t>
      </w:r>
      <w:r>
        <w:rPr>
          <w:rFonts w:hint="eastAsia" w:ascii="宋体" w:hAnsi="宋体"/>
          <w:bCs/>
          <w:szCs w:val="21"/>
        </w:rPr>
        <w:t>文件</w:t>
      </w:r>
    </w:p>
    <w:p>
      <w:pPr>
        <w:snapToGrid w:val="0"/>
        <w:spacing w:line="400" w:lineRule="exact"/>
        <w:ind w:firstLine="420" w:firstLineChars="200"/>
        <w:rPr>
          <w:rFonts w:ascii="宋体" w:hAnsi="宋体"/>
          <w:bCs/>
          <w:szCs w:val="21"/>
        </w:rPr>
      </w:pPr>
    </w:p>
    <w:p>
      <w:pPr>
        <w:snapToGrid w:val="0"/>
        <w:spacing w:line="400" w:lineRule="exact"/>
        <w:ind w:firstLine="420" w:firstLineChars="200"/>
        <w:rPr>
          <w:rFonts w:ascii="宋体" w:hAnsi="宋体"/>
          <w:bCs/>
          <w:szCs w:val="21"/>
        </w:rPr>
      </w:pPr>
      <w:r>
        <w:rPr>
          <w:rFonts w:hint="eastAsia" w:ascii="宋体" w:hAnsi="宋体"/>
          <w:bCs/>
          <w:szCs w:val="21"/>
        </w:rPr>
        <w:t>项目名称：</w:t>
      </w:r>
    </w:p>
    <w:p>
      <w:pPr>
        <w:snapToGrid w:val="0"/>
        <w:spacing w:line="400" w:lineRule="exact"/>
        <w:ind w:firstLine="420" w:firstLineChars="200"/>
        <w:rPr>
          <w:rFonts w:ascii="宋体" w:hAnsi="宋体"/>
          <w:bCs/>
          <w:szCs w:val="21"/>
        </w:rPr>
      </w:pPr>
      <w:r>
        <w:rPr>
          <w:rFonts w:hint="eastAsia" w:ascii="宋体" w:hAnsi="宋体"/>
          <w:bCs/>
          <w:szCs w:val="21"/>
        </w:rPr>
        <w:t>项目编号：</w:t>
      </w:r>
    </w:p>
    <w:p>
      <w:pPr>
        <w:snapToGrid w:val="0"/>
        <w:spacing w:line="400" w:lineRule="exact"/>
        <w:ind w:firstLine="420" w:firstLineChars="200"/>
        <w:rPr>
          <w:rFonts w:ascii="宋体" w:hAnsi="宋体"/>
          <w:bCs/>
          <w:szCs w:val="21"/>
        </w:rPr>
      </w:pPr>
      <w:r>
        <w:rPr>
          <w:rFonts w:hint="eastAsia" w:ascii="宋体" w:hAnsi="宋体"/>
          <w:bCs/>
          <w:szCs w:val="21"/>
        </w:rPr>
        <w:t>标   项：（如有，请填写）</w:t>
      </w:r>
    </w:p>
    <w:p>
      <w:pPr>
        <w:pStyle w:val="6"/>
        <w:snapToGrid w:val="0"/>
        <w:spacing w:line="400" w:lineRule="exact"/>
        <w:ind w:firstLineChars="200"/>
        <w:rPr>
          <w:rFonts w:ascii="宋体" w:hAnsi="宋体"/>
          <w:bCs/>
          <w:szCs w:val="21"/>
        </w:rPr>
      </w:pPr>
      <w:r>
        <w:rPr>
          <w:rFonts w:hint="eastAsia" w:ascii="宋体" w:hAnsi="宋体"/>
          <w:bCs/>
          <w:szCs w:val="21"/>
        </w:rPr>
        <w:t>投标人名称：</w:t>
      </w:r>
    </w:p>
    <w:p>
      <w:pPr>
        <w:pStyle w:val="8"/>
        <w:spacing w:line="400" w:lineRule="exact"/>
        <w:ind w:firstLine="420" w:firstLineChars="200"/>
        <w:rPr>
          <w:rFonts w:hAnsi="宋体"/>
          <w:szCs w:val="21"/>
        </w:rPr>
      </w:pPr>
    </w:p>
    <w:p>
      <w:pPr>
        <w:pStyle w:val="8"/>
        <w:spacing w:line="400" w:lineRule="exact"/>
        <w:ind w:firstLine="420" w:firstLineChars="200"/>
        <w:rPr>
          <w:rFonts w:hAnsi="宋体"/>
          <w:szCs w:val="21"/>
        </w:rPr>
      </w:pPr>
    </w:p>
    <w:p>
      <w:pPr>
        <w:spacing w:line="400" w:lineRule="exact"/>
        <w:ind w:firstLine="420" w:firstLineChars="200"/>
        <w:rPr>
          <w:rFonts w:ascii="宋体" w:hAnsi="宋体"/>
          <w:szCs w:val="21"/>
        </w:rPr>
      </w:pPr>
    </w:p>
    <w:p>
      <w:pPr>
        <w:pStyle w:val="6"/>
        <w:snapToGrid w:val="0"/>
        <w:spacing w:line="400" w:lineRule="exact"/>
        <w:ind w:firstLineChars="200"/>
        <w:rPr>
          <w:rFonts w:ascii="宋体" w:hAnsi="宋体"/>
          <w:szCs w:val="21"/>
        </w:rPr>
      </w:pPr>
    </w:p>
    <w:p>
      <w:pPr>
        <w:pStyle w:val="6"/>
        <w:snapToGrid w:val="0"/>
        <w:spacing w:line="400" w:lineRule="exact"/>
        <w:ind w:firstLineChars="200"/>
        <w:rPr>
          <w:rFonts w:ascii="宋体" w:hAnsi="宋体"/>
          <w:szCs w:val="21"/>
        </w:rPr>
      </w:pPr>
    </w:p>
    <w:p>
      <w:pPr>
        <w:pStyle w:val="13"/>
        <w:widowControl w:val="0"/>
        <w:spacing w:before="0" w:afterLines="0"/>
        <w:ind w:left="315"/>
        <w:rPr>
          <w:color w:val="auto"/>
          <w:sz w:val="21"/>
          <w:szCs w:val="21"/>
        </w:rPr>
      </w:pPr>
    </w:p>
    <w:p>
      <w:pPr>
        <w:snapToGrid w:val="0"/>
        <w:spacing w:line="400" w:lineRule="exact"/>
        <w:jc w:val="left"/>
        <w:rPr>
          <w:rFonts w:ascii="宋体" w:hAnsi="宋体"/>
          <w:szCs w:val="21"/>
        </w:rPr>
      </w:pPr>
      <w:r>
        <w:rPr>
          <w:rFonts w:hint="eastAsia" w:ascii="宋体" w:hAnsi="宋体"/>
          <w:szCs w:val="21"/>
        </w:rPr>
        <w:t>附件1</w:t>
      </w:r>
    </w:p>
    <w:p>
      <w:pPr>
        <w:snapToGrid w:val="0"/>
        <w:spacing w:line="400" w:lineRule="exact"/>
        <w:jc w:val="center"/>
        <w:rPr>
          <w:rFonts w:ascii="宋体" w:hAnsi="宋体"/>
          <w:szCs w:val="21"/>
        </w:rPr>
      </w:pPr>
      <w:r>
        <w:rPr>
          <w:rFonts w:hint="eastAsia" w:ascii="宋体" w:hAnsi="宋体"/>
          <w:szCs w:val="21"/>
        </w:rPr>
        <w:t>开标一览表</w:t>
      </w:r>
    </w:p>
    <w:p>
      <w:pPr>
        <w:tabs>
          <w:tab w:val="left" w:pos="1418"/>
        </w:tabs>
        <w:snapToGrid w:val="0"/>
        <w:spacing w:line="400" w:lineRule="exact"/>
        <w:jc w:val="center"/>
        <w:rPr>
          <w:rFonts w:ascii="宋体" w:hAnsi="宋体"/>
          <w:szCs w:val="21"/>
        </w:rPr>
      </w:pPr>
    </w:p>
    <w:p>
      <w:pPr>
        <w:tabs>
          <w:tab w:val="left" w:pos="1418"/>
        </w:tabs>
        <w:snapToGrid w:val="0"/>
        <w:spacing w:line="400" w:lineRule="exact"/>
        <w:ind w:firstLine="420" w:firstLineChars="200"/>
        <w:rPr>
          <w:rFonts w:ascii="宋体" w:hAnsi="宋体"/>
          <w:szCs w:val="21"/>
        </w:rPr>
      </w:pPr>
      <w:r>
        <w:rPr>
          <w:rFonts w:hint="eastAsia"/>
        </w:rPr>
        <w:t>项目名称：　　　　　　　　　　　　　　　　　　　　项目编号：</w:t>
      </w:r>
    </w:p>
    <w:tbl>
      <w:tblPr>
        <w:tblStyle w:val="16"/>
        <w:tblW w:w="832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8"/>
        <w:gridCol w:w="264"/>
        <w:gridCol w:w="1620"/>
        <w:gridCol w:w="720"/>
        <w:gridCol w:w="798"/>
        <w:gridCol w:w="957"/>
        <w:gridCol w:w="1080"/>
        <w:gridCol w:w="1305"/>
        <w:gridCol w:w="1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jc w:val="center"/>
        </w:trPr>
        <w:tc>
          <w:tcPr>
            <w:tcW w:w="548" w:type="dxa"/>
            <w:vAlign w:val="center"/>
          </w:tcPr>
          <w:p>
            <w:pPr>
              <w:spacing w:line="400" w:lineRule="exact"/>
              <w:jc w:val="center"/>
              <w:rPr>
                <w:rFonts w:ascii="宋体" w:hAnsi="宋体"/>
                <w:szCs w:val="21"/>
              </w:rPr>
            </w:pPr>
            <w:r>
              <w:rPr>
                <w:rFonts w:hint="eastAsia" w:ascii="宋体" w:hAnsi="宋体"/>
                <w:szCs w:val="21"/>
              </w:rPr>
              <w:t>序号</w:t>
            </w:r>
          </w:p>
        </w:tc>
        <w:tc>
          <w:tcPr>
            <w:tcW w:w="1884" w:type="dxa"/>
            <w:gridSpan w:val="2"/>
            <w:vAlign w:val="center"/>
          </w:tcPr>
          <w:p>
            <w:pPr>
              <w:spacing w:line="400" w:lineRule="exact"/>
              <w:jc w:val="center"/>
            </w:pPr>
            <w:r>
              <w:rPr>
                <w:rFonts w:hint="eastAsia"/>
              </w:rPr>
              <w:t>货物名称</w:t>
            </w:r>
          </w:p>
        </w:tc>
        <w:tc>
          <w:tcPr>
            <w:tcW w:w="720" w:type="dxa"/>
            <w:vAlign w:val="center"/>
          </w:tcPr>
          <w:p>
            <w:pPr>
              <w:spacing w:line="400" w:lineRule="exact"/>
              <w:jc w:val="center"/>
            </w:pPr>
            <w:r>
              <w:rPr>
                <w:rFonts w:hint="eastAsia"/>
              </w:rPr>
              <w:t>数量</w:t>
            </w:r>
          </w:p>
        </w:tc>
        <w:tc>
          <w:tcPr>
            <w:tcW w:w="798" w:type="dxa"/>
            <w:vAlign w:val="center"/>
          </w:tcPr>
          <w:p>
            <w:pPr>
              <w:spacing w:line="400" w:lineRule="exact"/>
              <w:jc w:val="center"/>
            </w:pPr>
            <w:r>
              <w:rPr>
                <w:rFonts w:hint="eastAsia"/>
              </w:rPr>
              <w:t>单位</w:t>
            </w:r>
          </w:p>
        </w:tc>
        <w:tc>
          <w:tcPr>
            <w:tcW w:w="957" w:type="dxa"/>
            <w:vAlign w:val="center"/>
          </w:tcPr>
          <w:p>
            <w:pPr>
              <w:spacing w:line="400" w:lineRule="exact"/>
              <w:jc w:val="center"/>
            </w:pPr>
            <w:r>
              <w:rPr>
                <w:rFonts w:hint="eastAsia"/>
              </w:rPr>
              <w:t>单价（人民币元）</w:t>
            </w:r>
          </w:p>
        </w:tc>
        <w:tc>
          <w:tcPr>
            <w:tcW w:w="1080" w:type="dxa"/>
            <w:vAlign w:val="center"/>
          </w:tcPr>
          <w:p>
            <w:pPr>
              <w:spacing w:line="400" w:lineRule="exact"/>
              <w:jc w:val="center"/>
            </w:pPr>
            <w:r>
              <w:rPr>
                <w:rFonts w:hint="eastAsia"/>
              </w:rPr>
              <w:t>合计（人民币元）</w:t>
            </w:r>
          </w:p>
        </w:tc>
        <w:tc>
          <w:tcPr>
            <w:tcW w:w="1305" w:type="dxa"/>
            <w:vAlign w:val="center"/>
          </w:tcPr>
          <w:p>
            <w:pPr>
              <w:spacing w:line="400" w:lineRule="exact"/>
              <w:jc w:val="center"/>
            </w:pPr>
            <w:r>
              <w:rPr>
                <w:rFonts w:hint="eastAsia"/>
              </w:rPr>
              <w:t>完工时间（工作日）</w:t>
            </w:r>
          </w:p>
        </w:tc>
        <w:tc>
          <w:tcPr>
            <w:tcW w:w="1035" w:type="dxa"/>
            <w:vAlign w:val="center"/>
          </w:tcPr>
          <w:p>
            <w:pPr>
              <w:spacing w:line="400" w:lineRule="exact"/>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jc w:val="center"/>
        </w:trPr>
        <w:tc>
          <w:tcPr>
            <w:tcW w:w="548" w:type="dxa"/>
            <w:vAlign w:val="center"/>
          </w:tcPr>
          <w:p>
            <w:pPr>
              <w:spacing w:line="400" w:lineRule="exact"/>
              <w:jc w:val="center"/>
              <w:rPr>
                <w:rFonts w:ascii="宋体" w:hAnsi="宋体"/>
                <w:szCs w:val="21"/>
              </w:rPr>
            </w:pPr>
          </w:p>
          <w:p>
            <w:pPr>
              <w:spacing w:line="400" w:lineRule="exact"/>
              <w:jc w:val="center"/>
              <w:rPr>
                <w:rFonts w:ascii="宋体" w:hAnsi="宋体"/>
                <w:szCs w:val="21"/>
              </w:rPr>
            </w:pPr>
          </w:p>
        </w:tc>
        <w:tc>
          <w:tcPr>
            <w:tcW w:w="1884" w:type="dxa"/>
            <w:gridSpan w:val="2"/>
            <w:vAlign w:val="center"/>
          </w:tcPr>
          <w:p>
            <w:pPr>
              <w:spacing w:line="400" w:lineRule="exact"/>
              <w:jc w:val="center"/>
              <w:rPr>
                <w:rFonts w:ascii="宋体" w:hAnsi="宋体"/>
                <w:szCs w:val="21"/>
              </w:rPr>
            </w:pPr>
          </w:p>
        </w:tc>
        <w:tc>
          <w:tcPr>
            <w:tcW w:w="720" w:type="dxa"/>
            <w:vAlign w:val="center"/>
          </w:tcPr>
          <w:p>
            <w:pPr>
              <w:spacing w:line="400" w:lineRule="exact"/>
              <w:jc w:val="center"/>
              <w:rPr>
                <w:rFonts w:ascii="宋体" w:hAnsi="宋体"/>
                <w:szCs w:val="21"/>
              </w:rPr>
            </w:pPr>
          </w:p>
        </w:tc>
        <w:tc>
          <w:tcPr>
            <w:tcW w:w="798" w:type="dxa"/>
            <w:vAlign w:val="center"/>
          </w:tcPr>
          <w:p>
            <w:pPr>
              <w:spacing w:line="400" w:lineRule="exact"/>
              <w:jc w:val="center"/>
              <w:rPr>
                <w:rFonts w:ascii="宋体" w:hAnsi="宋体"/>
                <w:szCs w:val="21"/>
              </w:rPr>
            </w:pPr>
          </w:p>
        </w:tc>
        <w:tc>
          <w:tcPr>
            <w:tcW w:w="957" w:type="dxa"/>
            <w:vAlign w:val="center"/>
          </w:tcPr>
          <w:p>
            <w:pPr>
              <w:spacing w:line="400" w:lineRule="exact"/>
              <w:jc w:val="center"/>
              <w:rPr>
                <w:rFonts w:ascii="宋体" w:hAnsi="宋体"/>
                <w:szCs w:val="21"/>
              </w:rPr>
            </w:pPr>
          </w:p>
        </w:tc>
        <w:tc>
          <w:tcPr>
            <w:tcW w:w="1080" w:type="dxa"/>
            <w:vAlign w:val="center"/>
          </w:tcPr>
          <w:p>
            <w:pPr>
              <w:spacing w:line="400" w:lineRule="exact"/>
              <w:jc w:val="center"/>
              <w:rPr>
                <w:rFonts w:ascii="宋体" w:hAnsi="宋体"/>
                <w:szCs w:val="21"/>
              </w:rPr>
            </w:pPr>
          </w:p>
        </w:tc>
        <w:tc>
          <w:tcPr>
            <w:tcW w:w="1305" w:type="dxa"/>
            <w:vAlign w:val="center"/>
          </w:tcPr>
          <w:p>
            <w:pPr>
              <w:spacing w:line="400" w:lineRule="exact"/>
              <w:jc w:val="center"/>
              <w:rPr>
                <w:rFonts w:ascii="宋体" w:hAnsi="宋体"/>
                <w:szCs w:val="21"/>
              </w:rPr>
            </w:pPr>
          </w:p>
        </w:tc>
        <w:tc>
          <w:tcPr>
            <w:tcW w:w="1035" w:type="dxa"/>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jc w:val="center"/>
        </w:trPr>
        <w:tc>
          <w:tcPr>
            <w:tcW w:w="548" w:type="dxa"/>
            <w:vAlign w:val="center"/>
          </w:tcPr>
          <w:p>
            <w:pPr>
              <w:spacing w:line="400" w:lineRule="exact"/>
              <w:jc w:val="center"/>
              <w:rPr>
                <w:rFonts w:ascii="宋体" w:hAnsi="宋体"/>
                <w:szCs w:val="21"/>
              </w:rPr>
            </w:pPr>
          </w:p>
        </w:tc>
        <w:tc>
          <w:tcPr>
            <w:tcW w:w="1884" w:type="dxa"/>
            <w:gridSpan w:val="2"/>
            <w:vAlign w:val="center"/>
          </w:tcPr>
          <w:p>
            <w:pPr>
              <w:spacing w:line="400" w:lineRule="exact"/>
              <w:jc w:val="center"/>
              <w:rPr>
                <w:rFonts w:ascii="宋体" w:hAnsi="宋体"/>
                <w:szCs w:val="21"/>
              </w:rPr>
            </w:pPr>
          </w:p>
        </w:tc>
        <w:tc>
          <w:tcPr>
            <w:tcW w:w="720" w:type="dxa"/>
            <w:vAlign w:val="center"/>
          </w:tcPr>
          <w:p>
            <w:pPr>
              <w:spacing w:line="400" w:lineRule="exact"/>
              <w:jc w:val="center"/>
              <w:rPr>
                <w:rFonts w:ascii="宋体" w:hAnsi="宋体"/>
                <w:szCs w:val="21"/>
              </w:rPr>
            </w:pPr>
          </w:p>
        </w:tc>
        <w:tc>
          <w:tcPr>
            <w:tcW w:w="798" w:type="dxa"/>
            <w:vAlign w:val="center"/>
          </w:tcPr>
          <w:p>
            <w:pPr>
              <w:spacing w:line="400" w:lineRule="exact"/>
              <w:jc w:val="center"/>
              <w:rPr>
                <w:rFonts w:ascii="宋体" w:hAnsi="宋体"/>
                <w:szCs w:val="21"/>
              </w:rPr>
            </w:pPr>
          </w:p>
        </w:tc>
        <w:tc>
          <w:tcPr>
            <w:tcW w:w="957" w:type="dxa"/>
            <w:vAlign w:val="center"/>
          </w:tcPr>
          <w:p>
            <w:pPr>
              <w:spacing w:line="400" w:lineRule="exact"/>
              <w:jc w:val="center"/>
              <w:rPr>
                <w:rFonts w:ascii="宋体" w:hAnsi="宋体"/>
                <w:szCs w:val="21"/>
              </w:rPr>
            </w:pPr>
          </w:p>
        </w:tc>
        <w:tc>
          <w:tcPr>
            <w:tcW w:w="1080" w:type="dxa"/>
            <w:vAlign w:val="center"/>
          </w:tcPr>
          <w:p>
            <w:pPr>
              <w:spacing w:line="400" w:lineRule="exact"/>
              <w:jc w:val="center"/>
              <w:rPr>
                <w:rFonts w:ascii="宋体" w:hAnsi="宋体"/>
                <w:szCs w:val="21"/>
              </w:rPr>
            </w:pPr>
          </w:p>
        </w:tc>
        <w:tc>
          <w:tcPr>
            <w:tcW w:w="1305" w:type="dxa"/>
            <w:vAlign w:val="center"/>
          </w:tcPr>
          <w:p>
            <w:pPr>
              <w:spacing w:line="400" w:lineRule="exact"/>
              <w:jc w:val="center"/>
              <w:rPr>
                <w:rFonts w:ascii="宋体" w:hAnsi="宋体"/>
                <w:szCs w:val="21"/>
              </w:rPr>
            </w:pPr>
          </w:p>
        </w:tc>
        <w:tc>
          <w:tcPr>
            <w:tcW w:w="1035" w:type="dxa"/>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jc w:val="center"/>
        </w:trPr>
        <w:tc>
          <w:tcPr>
            <w:tcW w:w="548" w:type="dxa"/>
            <w:vAlign w:val="center"/>
          </w:tcPr>
          <w:p>
            <w:pPr>
              <w:spacing w:line="400" w:lineRule="exact"/>
              <w:jc w:val="center"/>
              <w:rPr>
                <w:rFonts w:ascii="宋体" w:hAnsi="宋体"/>
                <w:szCs w:val="21"/>
              </w:rPr>
            </w:pPr>
          </w:p>
        </w:tc>
        <w:tc>
          <w:tcPr>
            <w:tcW w:w="1884" w:type="dxa"/>
            <w:gridSpan w:val="2"/>
            <w:vAlign w:val="center"/>
          </w:tcPr>
          <w:p>
            <w:pPr>
              <w:spacing w:line="400" w:lineRule="exact"/>
              <w:jc w:val="center"/>
              <w:rPr>
                <w:rFonts w:ascii="宋体" w:hAnsi="宋体"/>
                <w:szCs w:val="21"/>
              </w:rPr>
            </w:pPr>
          </w:p>
        </w:tc>
        <w:tc>
          <w:tcPr>
            <w:tcW w:w="720" w:type="dxa"/>
            <w:vAlign w:val="center"/>
          </w:tcPr>
          <w:p>
            <w:pPr>
              <w:spacing w:line="400" w:lineRule="exact"/>
              <w:jc w:val="center"/>
              <w:rPr>
                <w:rFonts w:ascii="宋体" w:hAnsi="宋体"/>
                <w:szCs w:val="21"/>
              </w:rPr>
            </w:pPr>
          </w:p>
        </w:tc>
        <w:tc>
          <w:tcPr>
            <w:tcW w:w="798" w:type="dxa"/>
            <w:vAlign w:val="center"/>
          </w:tcPr>
          <w:p>
            <w:pPr>
              <w:spacing w:line="400" w:lineRule="exact"/>
              <w:jc w:val="center"/>
              <w:rPr>
                <w:rFonts w:ascii="宋体" w:hAnsi="宋体"/>
                <w:szCs w:val="21"/>
              </w:rPr>
            </w:pPr>
          </w:p>
        </w:tc>
        <w:tc>
          <w:tcPr>
            <w:tcW w:w="957" w:type="dxa"/>
            <w:vAlign w:val="center"/>
          </w:tcPr>
          <w:p>
            <w:pPr>
              <w:spacing w:line="400" w:lineRule="exact"/>
              <w:jc w:val="center"/>
              <w:rPr>
                <w:rFonts w:ascii="宋体" w:hAnsi="宋体"/>
                <w:szCs w:val="21"/>
              </w:rPr>
            </w:pPr>
          </w:p>
        </w:tc>
        <w:tc>
          <w:tcPr>
            <w:tcW w:w="1080" w:type="dxa"/>
            <w:vAlign w:val="center"/>
          </w:tcPr>
          <w:p>
            <w:pPr>
              <w:spacing w:line="400" w:lineRule="exact"/>
              <w:jc w:val="center"/>
              <w:rPr>
                <w:rFonts w:ascii="宋体" w:hAnsi="宋体"/>
                <w:szCs w:val="21"/>
              </w:rPr>
            </w:pPr>
          </w:p>
        </w:tc>
        <w:tc>
          <w:tcPr>
            <w:tcW w:w="1305" w:type="dxa"/>
            <w:vAlign w:val="center"/>
          </w:tcPr>
          <w:p>
            <w:pPr>
              <w:spacing w:line="400" w:lineRule="exact"/>
              <w:jc w:val="center"/>
              <w:rPr>
                <w:rFonts w:ascii="宋体" w:hAnsi="宋体"/>
                <w:szCs w:val="21"/>
              </w:rPr>
            </w:pPr>
          </w:p>
        </w:tc>
        <w:tc>
          <w:tcPr>
            <w:tcW w:w="1035" w:type="dxa"/>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jc w:val="center"/>
        </w:trPr>
        <w:tc>
          <w:tcPr>
            <w:tcW w:w="548" w:type="dxa"/>
            <w:vAlign w:val="center"/>
          </w:tcPr>
          <w:p>
            <w:pPr>
              <w:spacing w:line="400" w:lineRule="exact"/>
              <w:jc w:val="center"/>
              <w:rPr>
                <w:rFonts w:ascii="宋体" w:hAnsi="宋体"/>
                <w:szCs w:val="21"/>
              </w:rPr>
            </w:pPr>
          </w:p>
        </w:tc>
        <w:tc>
          <w:tcPr>
            <w:tcW w:w="1884" w:type="dxa"/>
            <w:gridSpan w:val="2"/>
            <w:vAlign w:val="center"/>
          </w:tcPr>
          <w:p>
            <w:pPr>
              <w:spacing w:line="400" w:lineRule="exact"/>
              <w:jc w:val="center"/>
              <w:rPr>
                <w:rFonts w:ascii="宋体" w:hAnsi="宋体"/>
                <w:szCs w:val="21"/>
              </w:rPr>
            </w:pPr>
          </w:p>
        </w:tc>
        <w:tc>
          <w:tcPr>
            <w:tcW w:w="720" w:type="dxa"/>
            <w:vAlign w:val="center"/>
          </w:tcPr>
          <w:p>
            <w:pPr>
              <w:spacing w:line="400" w:lineRule="exact"/>
              <w:jc w:val="center"/>
              <w:rPr>
                <w:rFonts w:ascii="宋体" w:hAnsi="宋体"/>
                <w:szCs w:val="21"/>
              </w:rPr>
            </w:pPr>
          </w:p>
        </w:tc>
        <w:tc>
          <w:tcPr>
            <w:tcW w:w="798" w:type="dxa"/>
            <w:vAlign w:val="center"/>
          </w:tcPr>
          <w:p>
            <w:pPr>
              <w:spacing w:line="400" w:lineRule="exact"/>
              <w:jc w:val="center"/>
              <w:rPr>
                <w:rFonts w:ascii="宋体" w:hAnsi="宋体"/>
                <w:szCs w:val="21"/>
              </w:rPr>
            </w:pPr>
          </w:p>
        </w:tc>
        <w:tc>
          <w:tcPr>
            <w:tcW w:w="957" w:type="dxa"/>
            <w:vAlign w:val="center"/>
          </w:tcPr>
          <w:p>
            <w:pPr>
              <w:spacing w:line="400" w:lineRule="exact"/>
              <w:jc w:val="center"/>
              <w:rPr>
                <w:rFonts w:ascii="宋体" w:hAnsi="宋体"/>
                <w:szCs w:val="21"/>
              </w:rPr>
            </w:pPr>
          </w:p>
        </w:tc>
        <w:tc>
          <w:tcPr>
            <w:tcW w:w="1080" w:type="dxa"/>
            <w:vAlign w:val="center"/>
          </w:tcPr>
          <w:p>
            <w:pPr>
              <w:spacing w:line="400" w:lineRule="exact"/>
              <w:jc w:val="center"/>
              <w:rPr>
                <w:rFonts w:ascii="宋体" w:hAnsi="宋体"/>
                <w:szCs w:val="21"/>
              </w:rPr>
            </w:pPr>
          </w:p>
        </w:tc>
        <w:tc>
          <w:tcPr>
            <w:tcW w:w="1305" w:type="dxa"/>
            <w:vAlign w:val="center"/>
          </w:tcPr>
          <w:p>
            <w:pPr>
              <w:spacing w:line="400" w:lineRule="exact"/>
              <w:jc w:val="center"/>
              <w:rPr>
                <w:rFonts w:ascii="宋体" w:hAnsi="宋体"/>
                <w:szCs w:val="21"/>
              </w:rPr>
            </w:pPr>
          </w:p>
        </w:tc>
        <w:tc>
          <w:tcPr>
            <w:tcW w:w="1035" w:type="dxa"/>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jc w:val="center"/>
        </w:trPr>
        <w:tc>
          <w:tcPr>
            <w:tcW w:w="548" w:type="dxa"/>
            <w:vAlign w:val="center"/>
          </w:tcPr>
          <w:p>
            <w:pPr>
              <w:spacing w:line="400" w:lineRule="exact"/>
              <w:jc w:val="center"/>
              <w:rPr>
                <w:rFonts w:ascii="宋体" w:hAnsi="宋体"/>
                <w:szCs w:val="21"/>
              </w:rPr>
            </w:pPr>
          </w:p>
        </w:tc>
        <w:tc>
          <w:tcPr>
            <w:tcW w:w="1884" w:type="dxa"/>
            <w:gridSpan w:val="2"/>
            <w:vAlign w:val="center"/>
          </w:tcPr>
          <w:p>
            <w:pPr>
              <w:spacing w:line="400" w:lineRule="exact"/>
              <w:jc w:val="center"/>
              <w:rPr>
                <w:rFonts w:ascii="宋体" w:hAnsi="宋体"/>
                <w:szCs w:val="21"/>
              </w:rPr>
            </w:pPr>
          </w:p>
        </w:tc>
        <w:tc>
          <w:tcPr>
            <w:tcW w:w="720" w:type="dxa"/>
            <w:vAlign w:val="center"/>
          </w:tcPr>
          <w:p>
            <w:pPr>
              <w:spacing w:line="400" w:lineRule="exact"/>
              <w:jc w:val="center"/>
              <w:rPr>
                <w:rFonts w:ascii="宋体" w:hAnsi="宋体"/>
                <w:szCs w:val="21"/>
              </w:rPr>
            </w:pPr>
          </w:p>
        </w:tc>
        <w:tc>
          <w:tcPr>
            <w:tcW w:w="798" w:type="dxa"/>
            <w:vAlign w:val="center"/>
          </w:tcPr>
          <w:p>
            <w:pPr>
              <w:spacing w:line="400" w:lineRule="exact"/>
              <w:jc w:val="center"/>
              <w:rPr>
                <w:rFonts w:ascii="宋体" w:hAnsi="宋体"/>
                <w:szCs w:val="21"/>
              </w:rPr>
            </w:pPr>
          </w:p>
        </w:tc>
        <w:tc>
          <w:tcPr>
            <w:tcW w:w="957" w:type="dxa"/>
            <w:vAlign w:val="center"/>
          </w:tcPr>
          <w:p>
            <w:pPr>
              <w:spacing w:line="400" w:lineRule="exact"/>
              <w:jc w:val="center"/>
              <w:rPr>
                <w:rFonts w:ascii="宋体" w:hAnsi="宋体"/>
                <w:szCs w:val="21"/>
              </w:rPr>
            </w:pPr>
          </w:p>
        </w:tc>
        <w:tc>
          <w:tcPr>
            <w:tcW w:w="1080" w:type="dxa"/>
            <w:vAlign w:val="center"/>
          </w:tcPr>
          <w:p>
            <w:pPr>
              <w:spacing w:line="400" w:lineRule="exact"/>
              <w:jc w:val="center"/>
              <w:rPr>
                <w:rFonts w:ascii="宋体" w:hAnsi="宋体"/>
                <w:szCs w:val="21"/>
              </w:rPr>
            </w:pPr>
          </w:p>
        </w:tc>
        <w:tc>
          <w:tcPr>
            <w:tcW w:w="1305" w:type="dxa"/>
            <w:vAlign w:val="center"/>
          </w:tcPr>
          <w:p>
            <w:pPr>
              <w:spacing w:line="400" w:lineRule="exact"/>
              <w:jc w:val="center"/>
              <w:rPr>
                <w:rFonts w:ascii="宋体" w:hAnsi="宋体"/>
                <w:szCs w:val="21"/>
              </w:rPr>
            </w:pPr>
          </w:p>
        </w:tc>
        <w:tc>
          <w:tcPr>
            <w:tcW w:w="1035" w:type="dxa"/>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jc w:val="center"/>
        </w:trPr>
        <w:tc>
          <w:tcPr>
            <w:tcW w:w="548" w:type="dxa"/>
            <w:vAlign w:val="center"/>
          </w:tcPr>
          <w:p>
            <w:pPr>
              <w:spacing w:line="400" w:lineRule="exact"/>
              <w:jc w:val="center"/>
              <w:rPr>
                <w:rFonts w:ascii="宋体" w:hAnsi="宋体"/>
                <w:szCs w:val="21"/>
              </w:rPr>
            </w:pPr>
          </w:p>
        </w:tc>
        <w:tc>
          <w:tcPr>
            <w:tcW w:w="1884" w:type="dxa"/>
            <w:gridSpan w:val="2"/>
            <w:vAlign w:val="center"/>
          </w:tcPr>
          <w:p>
            <w:pPr>
              <w:spacing w:line="400" w:lineRule="exact"/>
              <w:jc w:val="center"/>
              <w:rPr>
                <w:rFonts w:ascii="宋体" w:hAnsi="宋体"/>
                <w:szCs w:val="21"/>
              </w:rPr>
            </w:pPr>
          </w:p>
        </w:tc>
        <w:tc>
          <w:tcPr>
            <w:tcW w:w="720" w:type="dxa"/>
            <w:vAlign w:val="center"/>
          </w:tcPr>
          <w:p>
            <w:pPr>
              <w:spacing w:line="400" w:lineRule="exact"/>
              <w:jc w:val="center"/>
              <w:rPr>
                <w:rFonts w:ascii="宋体" w:hAnsi="宋体"/>
                <w:szCs w:val="21"/>
              </w:rPr>
            </w:pPr>
          </w:p>
        </w:tc>
        <w:tc>
          <w:tcPr>
            <w:tcW w:w="798" w:type="dxa"/>
            <w:vAlign w:val="center"/>
          </w:tcPr>
          <w:p>
            <w:pPr>
              <w:spacing w:line="400" w:lineRule="exact"/>
              <w:jc w:val="center"/>
              <w:rPr>
                <w:rFonts w:ascii="宋体" w:hAnsi="宋体"/>
                <w:szCs w:val="21"/>
              </w:rPr>
            </w:pPr>
          </w:p>
        </w:tc>
        <w:tc>
          <w:tcPr>
            <w:tcW w:w="957" w:type="dxa"/>
            <w:vAlign w:val="center"/>
          </w:tcPr>
          <w:p>
            <w:pPr>
              <w:spacing w:line="400" w:lineRule="exact"/>
              <w:jc w:val="center"/>
              <w:rPr>
                <w:rFonts w:ascii="宋体" w:hAnsi="宋体"/>
                <w:szCs w:val="21"/>
              </w:rPr>
            </w:pPr>
          </w:p>
        </w:tc>
        <w:tc>
          <w:tcPr>
            <w:tcW w:w="1080" w:type="dxa"/>
            <w:vAlign w:val="center"/>
          </w:tcPr>
          <w:p>
            <w:pPr>
              <w:spacing w:line="400" w:lineRule="exact"/>
              <w:jc w:val="center"/>
              <w:rPr>
                <w:rFonts w:ascii="宋体" w:hAnsi="宋体"/>
                <w:szCs w:val="21"/>
              </w:rPr>
            </w:pPr>
          </w:p>
        </w:tc>
        <w:tc>
          <w:tcPr>
            <w:tcW w:w="1305" w:type="dxa"/>
            <w:vAlign w:val="center"/>
          </w:tcPr>
          <w:p>
            <w:pPr>
              <w:spacing w:line="400" w:lineRule="exact"/>
              <w:jc w:val="center"/>
              <w:rPr>
                <w:rFonts w:ascii="宋体" w:hAnsi="宋体"/>
                <w:szCs w:val="21"/>
              </w:rPr>
            </w:pPr>
          </w:p>
        </w:tc>
        <w:tc>
          <w:tcPr>
            <w:tcW w:w="1035" w:type="dxa"/>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jc w:val="center"/>
        </w:trPr>
        <w:tc>
          <w:tcPr>
            <w:tcW w:w="548" w:type="dxa"/>
            <w:vAlign w:val="center"/>
          </w:tcPr>
          <w:p>
            <w:pPr>
              <w:spacing w:line="400" w:lineRule="exact"/>
              <w:jc w:val="center"/>
              <w:rPr>
                <w:rFonts w:ascii="宋体" w:hAnsi="宋体"/>
                <w:szCs w:val="21"/>
              </w:rPr>
            </w:pPr>
          </w:p>
        </w:tc>
        <w:tc>
          <w:tcPr>
            <w:tcW w:w="1884" w:type="dxa"/>
            <w:gridSpan w:val="2"/>
            <w:vAlign w:val="center"/>
          </w:tcPr>
          <w:p>
            <w:pPr>
              <w:spacing w:line="400" w:lineRule="exact"/>
              <w:jc w:val="center"/>
              <w:rPr>
                <w:rFonts w:ascii="宋体" w:hAnsi="宋体"/>
                <w:szCs w:val="21"/>
              </w:rPr>
            </w:pPr>
          </w:p>
        </w:tc>
        <w:tc>
          <w:tcPr>
            <w:tcW w:w="720" w:type="dxa"/>
            <w:vAlign w:val="center"/>
          </w:tcPr>
          <w:p>
            <w:pPr>
              <w:spacing w:line="400" w:lineRule="exact"/>
              <w:jc w:val="center"/>
              <w:rPr>
                <w:rFonts w:ascii="宋体" w:hAnsi="宋体"/>
                <w:szCs w:val="21"/>
              </w:rPr>
            </w:pPr>
          </w:p>
        </w:tc>
        <w:tc>
          <w:tcPr>
            <w:tcW w:w="798" w:type="dxa"/>
            <w:vAlign w:val="center"/>
          </w:tcPr>
          <w:p>
            <w:pPr>
              <w:spacing w:line="400" w:lineRule="exact"/>
              <w:jc w:val="center"/>
              <w:rPr>
                <w:rFonts w:ascii="宋体" w:hAnsi="宋体"/>
                <w:szCs w:val="21"/>
              </w:rPr>
            </w:pPr>
          </w:p>
        </w:tc>
        <w:tc>
          <w:tcPr>
            <w:tcW w:w="957" w:type="dxa"/>
            <w:vAlign w:val="center"/>
          </w:tcPr>
          <w:p>
            <w:pPr>
              <w:spacing w:line="400" w:lineRule="exact"/>
              <w:jc w:val="center"/>
              <w:rPr>
                <w:rFonts w:ascii="宋体" w:hAnsi="宋体"/>
                <w:szCs w:val="21"/>
              </w:rPr>
            </w:pPr>
          </w:p>
        </w:tc>
        <w:tc>
          <w:tcPr>
            <w:tcW w:w="1080" w:type="dxa"/>
            <w:vAlign w:val="center"/>
          </w:tcPr>
          <w:p>
            <w:pPr>
              <w:spacing w:line="400" w:lineRule="exact"/>
              <w:jc w:val="center"/>
              <w:rPr>
                <w:rFonts w:ascii="宋体" w:hAnsi="宋体"/>
                <w:szCs w:val="21"/>
              </w:rPr>
            </w:pPr>
          </w:p>
        </w:tc>
        <w:tc>
          <w:tcPr>
            <w:tcW w:w="1305" w:type="dxa"/>
            <w:vAlign w:val="center"/>
          </w:tcPr>
          <w:p>
            <w:pPr>
              <w:spacing w:line="400" w:lineRule="exact"/>
              <w:jc w:val="center"/>
              <w:rPr>
                <w:rFonts w:ascii="宋体" w:hAnsi="宋体"/>
                <w:szCs w:val="21"/>
              </w:rPr>
            </w:pPr>
          </w:p>
        </w:tc>
        <w:tc>
          <w:tcPr>
            <w:tcW w:w="1035" w:type="dxa"/>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jc w:val="center"/>
        </w:trPr>
        <w:tc>
          <w:tcPr>
            <w:tcW w:w="8327" w:type="dxa"/>
            <w:gridSpan w:val="9"/>
            <w:vAlign w:val="center"/>
          </w:tcPr>
          <w:p>
            <w:pPr>
              <w:spacing w:line="400" w:lineRule="exact"/>
              <w:rPr>
                <w:rFonts w:ascii="宋体" w:hAnsi="宋体"/>
                <w:szCs w:val="21"/>
              </w:rPr>
            </w:pPr>
            <w:r>
              <w:rPr>
                <w:rFonts w:hint="eastAsia" w:ascii="宋体" w:hAnsi="宋体"/>
                <w:szCs w:val="21"/>
              </w:rPr>
              <w:t>投标总价金额大写：                                       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8" w:hRule="atLeast"/>
          <w:jc w:val="center"/>
        </w:trPr>
        <w:tc>
          <w:tcPr>
            <w:tcW w:w="812" w:type="dxa"/>
            <w:gridSpan w:val="2"/>
            <w:vAlign w:val="center"/>
          </w:tcPr>
          <w:p>
            <w:pPr>
              <w:spacing w:line="400" w:lineRule="exact"/>
              <w:jc w:val="center"/>
              <w:rPr>
                <w:rFonts w:ascii="宋体" w:hAnsi="宋体"/>
                <w:szCs w:val="21"/>
              </w:rPr>
            </w:pPr>
          </w:p>
          <w:p>
            <w:pPr>
              <w:spacing w:line="400" w:lineRule="exact"/>
              <w:jc w:val="center"/>
              <w:rPr>
                <w:rFonts w:ascii="宋体" w:hAnsi="宋体"/>
                <w:szCs w:val="21"/>
              </w:rPr>
            </w:pPr>
            <w:r>
              <w:rPr>
                <w:rFonts w:hint="eastAsia" w:ascii="宋体" w:hAnsi="宋体"/>
                <w:szCs w:val="21"/>
              </w:rPr>
              <w:t>投标声明</w:t>
            </w:r>
          </w:p>
          <w:p>
            <w:pPr>
              <w:spacing w:line="400" w:lineRule="exact"/>
              <w:jc w:val="center"/>
              <w:rPr>
                <w:rFonts w:ascii="宋体" w:hAnsi="宋体"/>
                <w:szCs w:val="21"/>
              </w:rPr>
            </w:pPr>
          </w:p>
        </w:tc>
        <w:tc>
          <w:tcPr>
            <w:tcW w:w="7515" w:type="dxa"/>
            <w:gridSpan w:val="7"/>
            <w:vAlign w:val="center"/>
          </w:tcPr>
          <w:p>
            <w:pPr>
              <w:spacing w:line="400" w:lineRule="exact"/>
              <w:jc w:val="center"/>
              <w:rPr>
                <w:rFonts w:ascii="宋体" w:hAnsi="宋体"/>
                <w:szCs w:val="21"/>
              </w:rPr>
            </w:pPr>
          </w:p>
          <w:p>
            <w:pPr>
              <w:widowControl/>
              <w:spacing w:line="400" w:lineRule="exact"/>
              <w:jc w:val="left"/>
              <w:rPr>
                <w:rFonts w:ascii="宋体" w:hAnsi="宋体"/>
                <w:szCs w:val="21"/>
              </w:rPr>
            </w:pPr>
          </w:p>
          <w:p>
            <w:pPr>
              <w:spacing w:line="400" w:lineRule="exact"/>
              <w:jc w:val="center"/>
              <w:rPr>
                <w:rFonts w:ascii="宋体" w:hAnsi="宋体"/>
                <w:szCs w:val="21"/>
              </w:rPr>
            </w:pPr>
          </w:p>
        </w:tc>
      </w:tr>
    </w:tbl>
    <w:p>
      <w:pPr>
        <w:pStyle w:val="8"/>
        <w:spacing w:line="400" w:lineRule="exact"/>
        <w:rPr>
          <w:rFonts w:hAnsi="宋体"/>
          <w:szCs w:val="21"/>
          <w:u w:val="single"/>
        </w:rPr>
      </w:pPr>
    </w:p>
    <w:p>
      <w:pPr>
        <w:pStyle w:val="8"/>
        <w:spacing w:line="400" w:lineRule="exact"/>
        <w:ind w:firstLine="420" w:firstLineChars="200"/>
        <w:rPr>
          <w:rFonts w:hAnsi="宋体"/>
          <w:szCs w:val="21"/>
        </w:rPr>
      </w:pPr>
      <w:r>
        <w:rPr>
          <w:rFonts w:hint="eastAsia" w:hAnsi="宋体"/>
          <w:szCs w:val="21"/>
        </w:rPr>
        <w:t>注：“投标总价”应与“投标分项报价表”中“投标总价”一致。</w:t>
      </w:r>
    </w:p>
    <w:p>
      <w:pPr>
        <w:pStyle w:val="8"/>
        <w:spacing w:line="400" w:lineRule="exact"/>
        <w:ind w:firstLine="420" w:firstLineChars="200"/>
        <w:rPr>
          <w:rFonts w:hAnsi="宋体"/>
          <w:szCs w:val="21"/>
        </w:rPr>
      </w:pPr>
    </w:p>
    <w:p>
      <w:pPr>
        <w:pStyle w:val="8"/>
        <w:spacing w:line="400" w:lineRule="exact"/>
        <w:ind w:firstLine="420" w:firstLineChars="200"/>
        <w:rPr>
          <w:rFonts w:hAnsi="宋体"/>
          <w:szCs w:val="21"/>
        </w:rPr>
      </w:pPr>
      <w:r>
        <w:rPr>
          <w:rFonts w:hint="eastAsia" w:hAnsi="宋体"/>
          <w:szCs w:val="21"/>
        </w:rPr>
        <w:t>投标人（盖章）：</w:t>
      </w:r>
    </w:p>
    <w:p>
      <w:pPr>
        <w:pStyle w:val="8"/>
        <w:spacing w:line="400" w:lineRule="exact"/>
        <w:ind w:firstLine="420" w:firstLineChars="200"/>
        <w:rPr>
          <w:rFonts w:hAnsi="宋体"/>
          <w:szCs w:val="21"/>
        </w:rPr>
      </w:pPr>
      <w:r>
        <w:rPr>
          <w:rFonts w:hint="eastAsia" w:hAnsi="宋体"/>
          <w:szCs w:val="21"/>
        </w:rPr>
        <w:t>法定代表人／负责人或授权代表（签字）：</w:t>
      </w:r>
    </w:p>
    <w:p>
      <w:pPr>
        <w:spacing w:line="400" w:lineRule="exact"/>
        <w:ind w:firstLine="840" w:firstLineChars="400"/>
        <w:rPr>
          <w:rFonts w:ascii="宋体" w:hAnsi="宋体"/>
          <w:szCs w:val="21"/>
        </w:rPr>
      </w:pPr>
      <w:r>
        <w:rPr>
          <w:rFonts w:hint="eastAsia" w:ascii="宋体" w:hAnsi="宋体"/>
          <w:szCs w:val="21"/>
        </w:rPr>
        <w:t>日期：</w:t>
      </w:r>
    </w:p>
    <w:p>
      <w:pPr>
        <w:snapToGrid w:val="0"/>
        <w:spacing w:line="400" w:lineRule="exact"/>
        <w:jc w:val="left"/>
        <w:rPr>
          <w:rFonts w:ascii="宋体" w:hAnsi="宋体"/>
          <w:szCs w:val="21"/>
        </w:rPr>
      </w:pPr>
    </w:p>
    <w:p>
      <w:pPr>
        <w:snapToGrid w:val="0"/>
        <w:spacing w:line="400" w:lineRule="exact"/>
        <w:jc w:val="left"/>
        <w:rPr>
          <w:rFonts w:ascii="宋体" w:hAnsi="宋体"/>
          <w:szCs w:val="21"/>
        </w:rPr>
      </w:pPr>
    </w:p>
    <w:p>
      <w:pPr>
        <w:snapToGrid w:val="0"/>
        <w:spacing w:line="400" w:lineRule="exact"/>
        <w:jc w:val="left"/>
        <w:rPr>
          <w:rFonts w:ascii="宋体" w:hAnsi="宋体"/>
          <w:szCs w:val="21"/>
        </w:rPr>
      </w:pPr>
      <w:r>
        <w:rPr>
          <w:rFonts w:hint="eastAsia" w:ascii="宋体" w:hAnsi="宋体"/>
          <w:szCs w:val="21"/>
        </w:rPr>
        <w:t>附件5</w:t>
      </w:r>
    </w:p>
    <w:p>
      <w:pPr>
        <w:pStyle w:val="9"/>
        <w:snapToGrid w:val="0"/>
        <w:spacing w:beforeLines="0" w:afterLines="0"/>
        <w:jc w:val="center"/>
        <w:rPr>
          <w:rFonts w:hAnsi="宋体"/>
          <w:sz w:val="21"/>
          <w:szCs w:val="21"/>
        </w:rPr>
      </w:pPr>
      <w:r>
        <w:rPr>
          <w:rFonts w:hint="eastAsia" w:hAnsi="宋体"/>
          <w:sz w:val="21"/>
          <w:szCs w:val="21"/>
        </w:rPr>
        <w:t>投标分项报价表</w:t>
      </w:r>
    </w:p>
    <w:p>
      <w:pPr>
        <w:pStyle w:val="9"/>
        <w:snapToGrid w:val="0"/>
        <w:spacing w:beforeLines="0" w:afterLines="0"/>
        <w:jc w:val="center"/>
        <w:rPr>
          <w:rFonts w:hAnsi="宋体"/>
          <w:sz w:val="21"/>
          <w:szCs w:val="21"/>
        </w:rPr>
      </w:pPr>
    </w:p>
    <w:p>
      <w:pPr>
        <w:pStyle w:val="9"/>
        <w:snapToGrid w:val="0"/>
        <w:spacing w:beforeLines="0" w:afterLines="0"/>
        <w:ind w:firstLine="420" w:firstLineChars="200"/>
        <w:rPr>
          <w:rFonts w:hAnsi="宋体"/>
          <w:sz w:val="21"/>
          <w:szCs w:val="21"/>
        </w:rPr>
      </w:pPr>
      <w:r>
        <w:rPr>
          <w:rFonts w:hAnsi="宋体"/>
          <w:sz w:val="21"/>
          <w:szCs w:val="21"/>
        </w:rPr>
        <w:t>标项：</w:t>
      </w:r>
      <w:r>
        <w:rPr>
          <w:rFonts w:hint="eastAsia" w:hAnsi="宋体"/>
          <w:sz w:val="21"/>
          <w:szCs w:val="21"/>
        </w:rPr>
        <w:t>　　　　　　　　　　　　　　　　　　　　　　</w:t>
      </w:r>
      <w:r>
        <w:rPr>
          <w:rFonts w:hAnsi="宋体"/>
          <w:sz w:val="21"/>
          <w:szCs w:val="21"/>
        </w:rPr>
        <w:t>金额单位：人民币（元）</w:t>
      </w:r>
    </w:p>
    <w:tbl>
      <w:tblPr>
        <w:tblStyle w:val="16"/>
        <w:tblW w:w="8629"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32"/>
        <w:gridCol w:w="1506"/>
        <w:gridCol w:w="1219"/>
        <w:gridCol w:w="1627"/>
        <w:gridCol w:w="1504"/>
        <w:gridCol w:w="922"/>
        <w:gridCol w:w="121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24" w:hRule="atLeast"/>
          <w:jc w:val="center"/>
        </w:trPr>
        <w:tc>
          <w:tcPr>
            <w:tcW w:w="63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pPr>
            <w:r>
              <w:rPr>
                <w:rFonts w:hint="eastAsia"/>
              </w:rPr>
              <w:t>序号</w:t>
            </w:r>
          </w:p>
        </w:tc>
        <w:tc>
          <w:tcPr>
            <w:tcW w:w="150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pPr>
            <w:r>
              <w:rPr>
                <w:rFonts w:hint="eastAsia"/>
              </w:rPr>
              <w:t>货物名称</w:t>
            </w:r>
          </w:p>
        </w:tc>
        <w:tc>
          <w:tcPr>
            <w:tcW w:w="121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pPr>
            <w:r>
              <w:t>品牌</w:t>
            </w:r>
          </w:p>
        </w:tc>
        <w:tc>
          <w:tcPr>
            <w:tcW w:w="162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pPr>
            <w:r>
              <w:rPr>
                <w:rFonts w:hint="eastAsia"/>
              </w:rPr>
              <w:t>规格型号</w:t>
            </w:r>
          </w:p>
        </w:tc>
        <w:tc>
          <w:tcPr>
            <w:tcW w:w="150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pPr>
            <w:r>
              <w:rPr>
                <w:rFonts w:hint="eastAsia"/>
              </w:rPr>
              <w:t>单位及数量</w:t>
            </w:r>
          </w:p>
        </w:tc>
        <w:tc>
          <w:tcPr>
            <w:tcW w:w="9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pPr>
            <w:r>
              <w:rPr>
                <w:rFonts w:hint="eastAsia"/>
              </w:rPr>
              <w:t>单价</w:t>
            </w:r>
          </w:p>
        </w:tc>
        <w:tc>
          <w:tcPr>
            <w:tcW w:w="121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pPr>
            <w:r>
              <w:rPr>
                <w:rFonts w:hint="eastAsia"/>
              </w:rPr>
              <w:t>合计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4" w:hRule="atLeast"/>
          <w:jc w:val="center"/>
        </w:trPr>
        <w:tc>
          <w:tcPr>
            <w:tcW w:w="63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506"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21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627"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504"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92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21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4" w:hRule="atLeast"/>
          <w:jc w:val="center"/>
        </w:trPr>
        <w:tc>
          <w:tcPr>
            <w:tcW w:w="63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506"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21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627"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504"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92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21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75" w:hRule="atLeast"/>
          <w:jc w:val="center"/>
        </w:trPr>
        <w:tc>
          <w:tcPr>
            <w:tcW w:w="63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506"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21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627"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504"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92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21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4" w:hRule="atLeast"/>
          <w:jc w:val="center"/>
        </w:trPr>
        <w:tc>
          <w:tcPr>
            <w:tcW w:w="63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506"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21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627"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504"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92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21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4" w:hRule="atLeast"/>
          <w:jc w:val="center"/>
        </w:trPr>
        <w:tc>
          <w:tcPr>
            <w:tcW w:w="63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506"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21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627"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504"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92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21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75" w:hRule="atLeast"/>
          <w:jc w:val="center"/>
        </w:trPr>
        <w:tc>
          <w:tcPr>
            <w:tcW w:w="63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506"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21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627"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504"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92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21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4" w:hRule="atLeast"/>
          <w:jc w:val="center"/>
        </w:trPr>
        <w:tc>
          <w:tcPr>
            <w:tcW w:w="63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506"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21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627"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504"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92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21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4" w:hRule="atLeast"/>
          <w:jc w:val="center"/>
        </w:trPr>
        <w:tc>
          <w:tcPr>
            <w:tcW w:w="63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506"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21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627"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504"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92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21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4" w:hRule="atLeast"/>
          <w:jc w:val="center"/>
        </w:trPr>
        <w:tc>
          <w:tcPr>
            <w:tcW w:w="63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506"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21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627"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504"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92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21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4" w:hRule="atLeast"/>
          <w:jc w:val="center"/>
        </w:trPr>
        <w:tc>
          <w:tcPr>
            <w:tcW w:w="63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506"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21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627"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504"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92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21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4" w:hRule="atLeast"/>
          <w:jc w:val="center"/>
        </w:trPr>
        <w:tc>
          <w:tcPr>
            <w:tcW w:w="63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506"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21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627"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504"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92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21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4" w:hRule="atLeast"/>
          <w:jc w:val="center"/>
        </w:trPr>
        <w:tc>
          <w:tcPr>
            <w:tcW w:w="63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506"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21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627"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504"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92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21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4" w:hRule="atLeast"/>
          <w:jc w:val="center"/>
        </w:trPr>
        <w:tc>
          <w:tcPr>
            <w:tcW w:w="63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506"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21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627"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504"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92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21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4" w:hRule="atLeast"/>
          <w:jc w:val="center"/>
        </w:trPr>
        <w:tc>
          <w:tcPr>
            <w:tcW w:w="63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506"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21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627"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504"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92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21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8" w:hRule="atLeast"/>
          <w:jc w:val="center"/>
        </w:trPr>
        <w:tc>
          <w:tcPr>
            <w:tcW w:w="63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506"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r>
              <w:rPr>
                <w:rFonts w:ascii="宋体" w:hAnsi="宋体"/>
                <w:spacing w:val="20"/>
                <w:szCs w:val="21"/>
              </w:rPr>
              <w:t>……</w:t>
            </w:r>
          </w:p>
        </w:tc>
        <w:tc>
          <w:tcPr>
            <w:tcW w:w="121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627"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504"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92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21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r>
    </w:tbl>
    <w:p>
      <w:pPr>
        <w:tabs>
          <w:tab w:val="left" w:pos="1418"/>
        </w:tabs>
        <w:snapToGrid w:val="0"/>
        <w:spacing w:line="400" w:lineRule="exact"/>
        <w:ind w:left="851"/>
        <w:jc w:val="center"/>
        <w:rPr>
          <w:rFonts w:ascii="宋体" w:hAnsi="宋体"/>
          <w:spacing w:val="20"/>
          <w:szCs w:val="21"/>
          <w:u w:val="single"/>
        </w:rPr>
      </w:pPr>
    </w:p>
    <w:p>
      <w:pPr>
        <w:pStyle w:val="8"/>
        <w:spacing w:after="0" w:line="400" w:lineRule="exact"/>
        <w:ind w:firstLine="420" w:firstLineChars="200"/>
        <w:rPr>
          <w:rFonts w:hAnsi="宋体"/>
          <w:szCs w:val="21"/>
        </w:rPr>
      </w:pPr>
      <w:r>
        <w:rPr>
          <w:rFonts w:hint="eastAsia" w:hAnsi="宋体"/>
          <w:szCs w:val="21"/>
        </w:rPr>
        <w:t>投标人（盖章）：</w:t>
      </w:r>
    </w:p>
    <w:p>
      <w:pPr>
        <w:pStyle w:val="8"/>
        <w:spacing w:after="0" w:line="400" w:lineRule="exact"/>
        <w:ind w:firstLine="420" w:firstLineChars="200"/>
        <w:rPr>
          <w:rFonts w:hAnsi="宋体"/>
          <w:szCs w:val="21"/>
        </w:rPr>
      </w:pPr>
      <w:r>
        <w:rPr>
          <w:rFonts w:hint="eastAsia" w:hAnsi="宋体"/>
          <w:szCs w:val="21"/>
        </w:rPr>
        <w:t>法定代表人／负责人或授权代表（签字）：</w:t>
      </w:r>
    </w:p>
    <w:p>
      <w:pPr>
        <w:spacing w:line="400" w:lineRule="exact"/>
        <w:ind w:firstLine="840" w:firstLineChars="400"/>
      </w:pPr>
      <w:r>
        <w:rPr>
          <w:rFonts w:hint="eastAsia" w:ascii="宋体" w:hAnsi="宋体"/>
          <w:szCs w:val="21"/>
        </w:rPr>
        <w:t>日期：</w:t>
      </w:r>
    </w:p>
    <w:p/>
    <w:p/>
    <w:sectPr>
      <w:headerReference r:id="rId5" w:type="default"/>
      <w:footerReference r:id="rId6" w:type="default"/>
      <w:pgSz w:w="11906" w:h="16838"/>
      <w:pgMar w:top="1440" w:right="1800" w:bottom="1440" w:left="1800"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MS PGothic">
    <w:panose1 w:val="020B0600070205080204"/>
    <w:charset w:val="80"/>
    <w:family w:val="auto"/>
    <w:pitch w:val="default"/>
    <w:sig w:usb0="E00002FF" w:usb1="6AC7FDFB" w:usb2="00000012" w:usb3="00000000" w:csb0="4002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firstLine="360"/>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30</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oaYJL0wAAAAUBAAAPAAAAAAAAAAEAIAAAACIAAABkcnMvZG93bnJldi54bWxQSwECFAAU&#10;AAAACACHTuJACKF0pr0BAABjAwAADgAAAAAAAAABACAAAAAiAQAAZHJzL2Uyb0RvYy54bWxQSwUG&#10;AAAAAAYABgBZAQAAUQU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30</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0</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aGmCS9MAAAAFAQAADwAAAAAAAAABACAAAAAiAAAAZHJzL2Rvd25yZXYueG1sUEsBAhQAFAAA&#10;AAgAh07iQDSm+r67AQAAYwMAAA4AAAAAAAAAAQAgAAAAIgEAAGRycy9lMm9Eb2MueG1sUEsFBgAA&#10;AAAGAAYAWQEAAE8FA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0</w:t>
                    </w:r>
                    <w:r>
                      <w:rPr>
                        <w:rFonts w:hint="eastAsia"/>
                        <w:sz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lang w:val="zh-CN"/>
      </w:rPr>
      <w:fldChar w:fldCharType="begin"/>
    </w:r>
    <w:r>
      <w:rPr>
        <w:lang w:val="zh-CN"/>
      </w:rPr>
      <w:instrText xml:space="preserve"> PAGE   \* MERGEFORMAT </w:instrText>
    </w:r>
    <w:r>
      <w:rPr>
        <w:lang w:val="zh-CN"/>
      </w:rPr>
      <w:fldChar w:fldCharType="separate"/>
    </w:r>
    <w:r>
      <w:rPr>
        <w:lang w:val="zh-CN"/>
      </w:rPr>
      <w:t>1</w:t>
    </w:r>
    <w:r>
      <w:rPr>
        <w:lang w:val="zh-CN"/>
      </w:rPr>
      <w:fldChar w:fldCharType="end"/>
    </w: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828C4A"/>
    <w:multiLevelType w:val="singleLevel"/>
    <w:tmpl w:val="8F828C4A"/>
    <w:lvl w:ilvl="0" w:tentative="0">
      <w:start w:val="1"/>
      <w:numFmt w:val="decimal"/>
      <w:suff w:val="nothing"/>
      <w:lvlText w:val="%1）"/>
      <w:lvlJc w:val="left"/>
    </w:lvl>
  </w:abstractNum>
  <w:abstractNum w:abstractNumId="1">
    <w:nsid w:val="9564C4A5"/>
    <w:multiLevelType w:val="singleLevel"/>
    <w:tmpl w:val="9564C4A5"/>
    <w:lvl w:ilvl="0" w:tentative="0">
      <w:start w:val="1"/>
      <w:numFmt w:val="decimal"/>
      <w:suff w:val="nothing"/>
      <w:lvlText w:val="%1、"/>
      <w:lvlJc w:val="left"/>
    </w:lvl>
  </w:abstractNum>
  <w:abstractNum w:abstractNumId="2">
    <w:nsid w:val="AD7A7B76"/>
    <w:multiLevelType w:val="singleLevel"/>
    <w:tmpl w:val="AD7A7B76"/>
    <w:lvl w:ilvl="0" w:tentative="0">
      <w:start w:val="1"/>
      <w:numFmt w:val="decimal"/>
      <w:suff w:val="nothing"/>
      <w:lvlText w:val="%1）"/>
      <w:lvlJc w:val="left"/>
    </w:lvl>
  </w:abstractNum>
  <w:abstractNum w:abstractNumId="3">
    <w:nsid w:val="D32BBABF"/>
    <w:multiLevelType w:val="singleLevel"/>
    <w:tmpl w:val="D32BBABF"/>
    <w:lvl w:ilvl="0" w:tentative="0">
      <w:start w:val="1"/>
      <w:numFmt w:val="decimal"/>
      <w:suff w:val="nothing"/>
      <w:lvlText w:val="%1）"/>
      <w:lvlJc w:val="left"/>
    </w:lvl>
  </w:abstractNum>
  <w:abstractNum w:abstractNumId="4">
    <w:nsid w:val="ED8127CE"/>
    <w:multiLevelType w:val="singleLevel"/>
    <w:tmpl w:val="ED8127CE"/>
    <w:lvl w:ilvl="0" w:tentative="0">
      <w:start w:val="1"/>
      <w:numFmt w:val="decimal"/>
      <w:suff w:val="nothing"/>
      <w:lvlText w:val="%1）"/>
      <w:lvlJc w:val="left"/>
    </w:lvl>
  </w:abstractNum>
  <w:abstractNum w:abstractNumId="5">
    <w:nsid w:val="00000009"/>
    <w:multiLevelType w:val="multilevel"/>
    <w:tmpl w:val="00000009"/>
    <w:lvl w:ilvl="0" w:tentative="0">
      <w:start w:val="9"/>
      <w:numFmt w:val="decimal"/>
      <w:pStyle w:val="2"/>
      <w:suff w:val="space"/>
      <w:lvlText w:val="%1."/>
      <w:lvlJc w:val="left"/>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2D4BF88"/>
    <w:multiLevelType w:val="multilevel"/>
    <w:tmpl w:val="02D4BF88"/>
    <w:lvl w:ilvl="0" w:tentative="0">
      <w:start w:val="1"/>
      <w:numFmt w:val="chineseCounting"/>
      <w:suff w:val="nothing"/>
      <w:lvlText w:val="%1、"/>
      <w:lvlJc w:val="left"/>
      <w:pPr>
        <w:tabs>
          <w:tab w:val="left" w:pos="0"/>
        </w:tabs>
        <w:ind w:left="0" w:firstLine="400"/>
      </w:pPr>
      <w:rPr>
        <w:rFonts w:hint="eastAsia" w:ascii="宋体" w:hAnsi="宋体" w:eastAsia="宋体" w:cs="宋体"/>
      </w:rPr>
    </w:lvl>
    <w:lvl w:ilvl="1" w:tentative="0">
      <w:start w:val="1"/>
      <w:numFmt w:val="decimal"/>
      <w:isLgl/>
      <w:suff w:val="nothing"/>
      <w:lvlText w:val="%1.%2 "/>
      <w:lvlJc w:val="left"/>
      <w:pPr>
        <w:tabs>
          <w:tab w:val="left" w:pos="0"/>
        </w:tabs>
        <w:ind w:left="0" w:firstLine="400"/>
      </w:pPr>
      <w:rPr>
        <w:rFonts w:hint="eastAsia" w:ascii="宋体" w:hAnsi="宋体" w:eastAsia="宋体" w:cs="宋体"/>
      </w:rPr>
    </w:lvl>
    <w:lvl w:ilvl="2" w:tentative="0">
      <w:start w:val="1"/>
      <w:numFmt w:val="decimal"/>
      <w:pStyle w:val="5"/>
      <w:isLgl/>
      <w:suff w:val="nothing"/>
      <w:lvlText w:val="%1.%2.%3 "/>
      <w:lvlJc w:val="left"/>
      <w:pPr>
        <w:ind w:left="0" w:firstLine="402"/>
      </w:pPr>
      <w:rPr>
        <w:rFonts w:hint="eastAsia" w:ascii="宋体" w:hAnsi="宋体" w:eastAsia="宋体" w:cs="宋体"/>
      </w:rPr>
    </w:lvl>
    <w:lvl w:ilvl="3" w:tentative="0">
      <w:start w:val="1"/>
      <w:numFmt w:val="decimal"/>
      <w:isLgl/>
      <w:suff w:val="nothing"/>
      <w:lvlText w:val="%1.%2.%3.%4 "/>
      <w:lvlJc w:val="left"/>
      <w:pPr>
        <w:ind w:left="0" w:firstLine="402"/>
      </w:pPr>
      <w:rPr>
        <w:rFonts w:hint="eastAsia" w:ascii="宋体" w:hAnsi="宋体" w:eastAsia="宋体" w:cs="宋体"/>
      </w:rPr>
    </w:lvl>
    <w:lvl w:ilvl="4" w:tentative="0">
      <w:start w:val="1"/>
      <w:numFmt w:val="decimal"/>
      <w:isLgl/>
      <w:suff w:val="nothing"/>
      <w:lvlText w:val="%1.%2.%3.%4.%5 "/>
      <w:lvlJc w:val="left"/>
      <w:pPr>
        <w:ind w:left="0" w:firstLine="402"/>
      </w:pPr>
      <w:rPr>
        <w:rFonts w:hint="eastAsia" w:ascii="宋体" w:hAnsi="宋体" w:eastAsia="宋体" w:cs="宋体"/>
      </w:rPr>
    </w:lvl>
    <w:lvl w:ilvl="5" w:tentative="0">
      <w:start w:val="1"/>
      <w:numFmt w:val="lowerLetter"/>
      <w:suff w:val="nothing"/>
      <w:lvlText w:val="%6．"/>
      <w:lvlJc w:val="left"/>
      <w:pPr>
        <w:ind w:left="0" w:firstLine="402"/>
      </w:pPr>
      <w:rPr>
        <w:rFonts w:hint="eastAsia" w:ascii="宋体" w:hAnsi="宋体" w:eastAsia="宋体" w:cs="宋体"/>
      </w:rPr>
    </w:lvl>
    <w:lvl w:ilvl="6" w:tentative="0">
      <w:start w:val="1"/>
      <w:numFmt w:val="lowerLetter"/>
      <w:suff w:val="nothing"/>
      <w:lvlText w:val="%7）"/>
      <w:lvlJc w:val="left"/>
      <w:pPr>
        <w:ind w:left="0" w:firstLine="402"/>
      </w:pPr>
      <w:rPr>
        <w:rFonts w:hint="eastAsia"/>
      </w:rPr>
    </w:lvl>
    <w:lvl w:ilvl="7" w:tentative="0">
      <w:start w:val="1"/>
      <w:numFmt w:val="lowerRoman"/>
      <w:suff w:val="nothing"/>
      <w:lvlText w:val="%8. "/>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abstractNum w:abstractNumId="7">
    <w:nsid w:val="59E319C1"/>
    <w:multiLevelType w:val="singleLevel"/>
    <w:tmpl w:val="59E319C1"/>
    <w:lvl w:ilvl="0" w:tentative="0">
      <w:start w:val="1"/>
      <w:numFmt w:val="decimal"/>
      <w:suff w:val="nothing"/>
      <w:lvlText w:val="（%1）"/>
      <w:lvlJc w:val="left"/>
    </w:lvl>
  </w:abstractNum>
  <w:abstractNum w:abstractNumId="8">
    <w:nsid w:val="59E319DD"/>
    <w:multiLevelType w:val="singleLevel"/>
    <w:tmpl w:val="59E319DD"/>
    <w:lvl w:ilvl="0" w:tentative="0">
      <w:start w:val="1"/>
      <w:numFmt w:val="decimal"/>
      <w:suff w:val="nothing"/>
      <w:lvlText w:val="%1）"/>
      <w:lvlJc w:val="left"/>
    </w:lvl>
  </w:abstractNum>
  <w:abstractNum w:abstractNumId="9">
    <w:nsid w:val="59E49691"/>
    <w:multiLevelType w:val="singleLevel"/>
    <w:tmpl w:val="59E49691"/>
    <w:lvl w:ilvl="0" w:tentative="0">
      <w:start w:val="1"/>
      <w:numFmt w:val="chineseCounting"/>
      <w:suff w:val="nothing"/>
      <w:lvlText w:val="%1、"/>
      <w:lvlJc w:val="left"/>
    </w:lvl>
  </w:abstractNum>
  <w:abstractNum w:abstractNumId="10">
    <w:nsid w:val="77EC59BA"/>
    <w:multiLevelType w:val="multilevel"/>
    <w:tmpl w:val="77EC59BA"/>
    <w:lvl w:ilvl="0" w:tentative="0">
      <w:start w:val="1"/>
      <w:numFmt w:val="decimal"/>
      <w:pStyle w:val="3"/>
      <w:lvlText w:val="%1"/>
      <w:lvlJc w:val="left"/>
      <w:pPr>
        <w:ind w:left="432" w:hanging="432"/>
      </w:pPr>
    </w:lvl>
    <w:lvl w:ilvl="1" w:tentative="0">
      <w:start w:val="1"/>
      <w:numFmt w:val="chineseCountingThousand"/>
      <w:lvlText w:val="%2、"/>
      <w:lvlJc w:val="left"/>
      <w:pPr>
        <w:ind w:left="576" w:hanging="576"/>
      </w:pPr>
      <w:rPr>
        <w:rFonts w:cs="Times New Roman"/>
        <w:b w:val="0"/>
        <w:bCs w:val="0"/>
        <w:i w:val="0"/>
        <w:iCs w:val="0"/>
        <w:caps w:val="0"/>
        <w:smallCaps w:val="0"/>
        <w:strike w:val="0"/>
        <w:dstrike w:val="0"/>
        <w:vanish w:val="0"/>
        <w:spacing w:val="0"/>
        <w:kern w:val="0"/>
        <w:position w:val="0"/>
        <w:u w:val="none"/>
        <w:vertAlign w:val="baseline"/>
        <w:lang w:val="en-US"/>
      </w:rPr>
    </w:lvl>
    <w:lvl w:ilvl="2" w:tentative="0">
      <w:start w:val="1"/>
      <w:numFmt w:val="decimal"/>
      <w:lvlText w:val="%1.%2.%3"/>
      <w:lvlJc w:val="left"/>
      <w:pPr>
        <w:ind w:left="1571" w:hanging="720"/>
      </w:pPr>
    </w:lvl>
    <w:lvl w:ilvl="3" w:tentative="0">
      <w:start w:val="1"/>
      <w:numFmt w:val="decimal"/>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num w:numId="1">
    <w:abstractNumId w:val="10"/>
  </w:num>
  <w:num w:numId="2">
    <w:abstractNumId w:val="6"/>
  </w:num>
  <w:num w:numId="3">
    <w:abstractNumId w:val="5"/>
  </w:num>
  <w:num w:numId="4">
    <w:abstractNumId w:val="3"/>
  </w:num>
  <w:num w:numId="5">
    <w:abstractNumId w:val="4"/>
  </w:num>
  <w:num w:numId="6">
    <w:abstractNumId w:val="2"/>
  </w:num>
  <w:num w:numId="7">
    <w:abstractNumId w:val="0"/>
  </w:num>
  <w:num w:numId="8">
    <w:abstractNumId w:val="7"/>
  </w:num>
  <w:num w:numId="9">
    <w:abstractNumId w:val="8"/>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D41"/>
    <w:rsid w:val="000010E6"/>
    <w:rsid w:val="0000123B"/>
    <w:rsid w:val="00005033"/>
    <w:rsid w:val="000073E5"/>
    <w:rsid w:val="00032133"/>
    <w:rsid w:val="0003435F"/>
    <w:rsid w:val="00035A35"/>
    <w:rsid w:val="00051027"/>
    <w:rsid w:val="00060E1F"/>
    <w:rsid w:val="00066A03"/>
    <w:rsid w:val="0007734A"/>
    <w:rsid w:val="000860FF"/>
    <w:rsid w:val="0009020B"/>
    <w:rsid w:val="000937E3"/>
    <w:rsid w:val="000A4937"/>
    <w:rsid w:val="000A72BD"/>
    <w:rsid w:val="000C0038"/>
    <w:rsid w:val="000C0AD1"/>
    <w:rsid w:val="000C6A1A"/>
    <w:rsid w:val="000D39B1"/>
    <w:rsid w:val="000E1B40"/>
    <w:rsid w:val="000E62D3"/>
    <w:rsid w:val="000E6D8E"/>
    <w:rsid w:val="000F12B9"/>
    <w:rsid w:val="001014EC"/>
    <w:rsid w:val="00107B26"/>
    <w:rsid w:val="0011202C"/>
    <w:rsid w:val="001264D3"/>
    <w:rsid w:val="00134836"/>
    <w:rsid w:val="00144752"/>
    <w:rsid w:val="00146028"/>
    <w:rsid w:val="001548BB"/>
    <w:rsid w:val="00160510"/>
    <w:rsid w:val="00162D8F"/>
    <w:rsid w:val="001630BB"/>
    <w:rsid w:val="00170274"/>
    <w:rsid w:val="0018049C"/>
    <w:rsid w:val="0018534E"/>
    <w:rsid w:val="001A6928"/>
    <w:rsid w:val="001C5586"/>
    <w:rsid w:val="001D65D2"/>
    <w:rsid w:val="001E0B8F"/>
    <w:rsid w:val="001F7B3F"/>
    <w:rsid w:val="00212F4E"/>
    <w:rsid w:val="00222784"/>
    <w:rsid w:val="00236EFC"/>
    <w:rsid w:val="00251AFA"/>
    <w:rsid w:val="002658C5"/>
    <w:rsid w:val="0027207D"/>
    <w:rsid w:val="00276A9D"/>
    <w:rsid w:val="00281BCD"/>
    <w:rsid w:val="00295D41"/>
    <w:rsid w:val="002A21E8"/>
    <w:rsid w:val="002C3728"/>
    <w:rsid w:val="002D1957"/>
    <w:rsid w:val="002E061C"/>
    <w:rsid w:val="002E07FC"/>
    <w:rsid w:val="002E151B"/>
    <w:rsid w:val="002E7D91"/>
    <w:rsid w:val="00301868"/>
    <w:rsid w:val="00312F86"/>
    <w:rsid w:val="003135D6"/>
    <w:rsid w:val="003178B2"/>
    <w:rsid w:val="00333545"/>
    <w:rsid w:val="00336FC2"/>
    <w:rsid w:val="003503D5"/>
    <w:rsid w:val="00355FA4"/>
    <w:rsid w:val="00361FAA"/>
    <w:rsid w:val="003670FC"/>
    <w:rsid w:val="003714F1"/>
    <w:rsid w:val="0037152C"/>
    <w:rsid w:val="00373BC6"/>
    <w:rsid w:val="003832AB"/>
    <w:rsid w:val="003836E0"/>
    <w:rsid w:val="003B1B8E"/>
    <w:rsid w:val="003B6298"/>
    <w:rsid w:val="003D3DCF"/>
    <w:rsid w:val="003D50DE"/>
    <w:rsid w:val="003E785C"/>
    <w:rsid w:val="003F4629"/>
    <w:rsid w:val="00400034"/>
    <w:rsid w:val="004344E7"/>
    <w:rsid w:val="00444D0B"/>
    <w:rsid w:val="00451EEF"/>
    <w:rsid w:val="0046197F"/>
    <w:rsid w:val="00481FE9"/>
    <w:rsid w:val="004835B8"/>
    <w:rsid w:val="00490F41"/>
    <w:rsid w:val="00491E25"/>
    <w:rsid w:val="004958A8"/>
    <w:rsid w:val="004B0849"/>
    <w:rsid w:val="004B43C6"/>
    <w:rsid w:val="004B4BC6"/>
    <w:rsid w:val="004C2F9D"/>
    <w:rsid w:val="004C58FE"/>
    <w:rsid w:val="004C7919"/>
    <w:rsid w:val="004F2F54"/>
    <w:rsid w:val="0051291F"/>
    <w:rsid w:val="005168D7"/>
    <w:rsid w:val="00517996"/>
    <w:rsid w:val="00532001"/>
    <w:rsid w:val="0055388B"/>
    <w:rsid w:val="00554316"/>
    <w:rsid w:val="00561303"/>
    <w:rsid w:val="00561770"/>
    <w:rsid w:val="00573610"/>
    <w:rsid w:val="005846CC"/>
    <w:rsid w:val="00591436"/>
    <w:rsid w:val="0059230A"/>
    <w:rsid w:val="0059361D"/>
    <w:rsid w:val="0059757D"/>
    <w:rsid w:val="005A5197"/>
    <w:rsid w:val="005B1A63"/>
    <w:rsid w:val="005D43FF"/>
    <w:rsid w:val="005E6886"/>
    <w:rsid w:val="005E7F65"/>
    <w:rsid w:val="005F110F"/>
    <w:rsid w:val="00603B9E"/>
    <w:rsid w:val="00604584"/>
    <w:rsid w:val="006075A3"/>
    <w:rsid w:val="00633467"/>
    <w:rsid w:val="0065181F"/>
    <w:rsid w:val="00657EA6"/>
    <w:rsid w:val="0066076C"/>
    <w:rsid w:val="00676EC6"/>
    <w:rsid w:val="006816E0"/>
    <w:rsid w:val="00684AD0"/>
    <w:rsid w:val="00685530"/>
    <w:rsid w:val="00694B4A"/>
    <w:rsid w:val="006B30DE"/>
    <w:rsid w:val="006B39E1"/>
    <w:rsid w:val="006B6C1D"/>
    <w:rsid w:val="006B798A"/>
    <w:rsid w:val="006B7FAE"/>
    <w:rsid w:val="006E3978"/>
    <w:rsid w:val="0070159A"/>
    <w:rsid w:val="007048FE"/>
    <w:rsid w:val="0070663B"/>
    <w:rsid w:val="00707F6E"/>
    <w:rsid w:val="00710F8E"/>
    <w:rsid w:val="00711D04"/>
    <w:rsid w:val="00716F79"/>
    <w:rsid w:val="00720FAA"/>
    <w:rsid w:val="00744EE2"/>
    <w:rsid w:val="00753B5A"/>
    <w:rsid w:val="00756E27"/>
    <w:rsid w:val="0075781A"/>
    <w:rsid w:val="00773CC2"/>
    <w:rsid w:val="00792A24"/>
    <w:rsid w:val="00793D7D"/>
    <w:rsid w:val="007B30E4"/>
    <w:rsid w:val="007D17DF"/>
    <w:rsid w:val="007D4ADE"/>
    <w:rsid w:val="007E4B6D"/>
    <w:rsid w:val="007E74C3"/>
    <w:rsid w:val="007F1C57"/>
    <w:rsid w:val="008030D0"/>
    <w:rsid w:val="00806F1C"/>
    <w:rsid w:val="00814545"/>
    <w:rsid w:val="00820B67"/>
    <w:rsid w:val="00836051"/>
    <w:rsid w:val="00837A44"/>
    <w:rsid w:val="00841909"/>
    <w:rsid w:val="00851E39"/>
    <w:rsid w:val="0085494F"/>
    <w:rsid w:val="00857F24"/>
    <w:rsid w:val="00864DC2"/>
    <w:rsid w:val="00871429"/>
    <w:rsid w:val="00880833"/>
    <w:rsid w:val="00885C04"/>
    <w:rsid w:val="00887D87"/>
    <w:rsid w:val="00895249"/>
    <w:rsid w:val="008A5CF9"/>
    <w:rsid w:val="008B0C13"/>
    <w:rsid w:val="008B3F9F"/>
    <w:rsid w:val="008B741B"/>
    <w:rsid w:val="008C5813"/>
    <w:rsid w:val="008D372C"/>
    <w:rsid w:val="008F48DE"/>
    <w:rsid w:val="00901843"/>
    <w:rsid w:val="00907528"/>
    <w:rsid w:val="0091416A"/>
    <w:rsid w:val="00916D9E"/>
    <w:rsid w:val="009348B3"/>
    <w:rsid w:val="00940272"/>
    <w:rsid w:val="00942AF7"/>
    <w:rsid w:val="009452BD"/>
    <w:rsid w:val="00945ED4"/>
    <w:rsid w:val="0095635E"/>
    <w:rsid w:val="00956767"/>
    <w:rsid w:val="00962717"/>
    <w:rsid w:val="009636ED"/>
    <w:rsid w:val="00964832"/>
    <w:rsid w:val="00964C59"/>
    <w:rsid w:val="00975C16"/>
    <w:rsid w:val="00975E46"/>
    <w:rsid w:val="00981D0D"/>
    <w:rsid w:val="00986BC0"/>
    <w:rsid w:val="009912E1"/>
    <w:rsid w:val="009A23EB"/>
    <w:rsid w:val="009A3D8A"/>
    <w:rsid w:val="009A4B2F"/>
    <w:rsid w:val="009C34E2"/>
    <w:rsid w:val="009D04D5"/>
    <w:rsid w:val="009E0586"/>
    <w:rsid w:val="009E43E2"/>
    <w:rsid w:val="009E67F9"/>
    <w:rsid w:val="00A27C00"/>
    <w:rsid w:val="00A307C3"/>
    <w:rsid w:val="00A31931"/>
    <w:rsid w:val="00A41217"/>
    <w:rsid w:val="00A43213"/>
    <w:rsid w:val="00A85E47"/>
    <w:rsid w:val="00A85E83"/>
    <w:rsid w:val="00A86371"/>
    <w:rsid w:val="00AC46D6"/>
    <w:rsid w:val="00AD4433"/>
    <w:rsid w:val="00AF138A"/>
    <w:rsid w:val="00B03D68"/>
    <w:rsid w:val="00B11C29"/>
    <w:rsid w:val="00B2144E"/>
    <w:rsid w:val="00B2173F"/>
    <w:rsid w:val="00B23D16"/>
    <w:rsid w:val="00B33BAA"/>
    <w:rsid w:val="00B404E5"/>
    <w:rsid w:val="00B6323C"/>
    <w:rsid w:val="00B90484"/>
    <w:rsid w:val="00BA014F"/>
    <w:rsid w:val="00BA3A2F"/>
    <w:rsid w:val="00BB5909"/>
    <w:rsid w:val="00BC20C7"/>
    <w:rsid w:val="00BC2653"/>
    <w:rsid w:val="00BC7603"/>
    <w:rsid w:val="00BD0B06"/>
    <w:rsid w:val="00BD4EFB"/>
    <w:rsid w:val="00BD65C5"/>
    <w:rsid w:val="00BE7708"/>
    <w:rsid w:val="00BF7ACA"/>
    <w:rsid w:val="00C037FF"/>
    <w:rsid w:val="00C06B9D"/>
    <w:rsid w:val="00C143EC"/>
    <w:rsid w:val="00C225E8"/>
    <w:rsid w:val="00C25001"/>
    <w:rsid w:val="00C3234A"/>
    <w:rsid w:val="00C44EFF"/>
    <w:rsid w:val="00C4602B"/>
    <w:rsid w:val="00C53E34"/>
    <w:rsid w:val="00C61DF0"/>
    <w:rsid w:val="00C70338"/>
    <w:rsid w:val="00C70F5F"/>
    <w:rsid w:val="00C714AB"/>
    <w:rsid w:val="00C94091"/>
    <w:rsid w:val="00CA4871"/>
    <w:rsid w:val="00CA4D0B"/>
    <w:rsid w:val="00CB7612"/>
    <w:rsid w:val="00CB77DB"/>
    <w:rsid w:val="00CC2918"/>
    <w:rsid w:val="00CC3495"/>
    <w:rsid w:val="00CC4A0F"/>
    <w:rsid w:val="00CD188B"/>
    <w:rsid w:val="00CD2B4A"/>
    <w:rsid w:val="00CF3A6C"/>
    <w:rsid w:val="00D04456"/>
    <w:rsid w:val="00D17FA4"/>
    <w:rsid w:val="00D20493"/>
    <w:rsid w:val="00D21D36"/>
    <w:rsid w:val="00D23F43"/>
    <w:rsid w:val="00D24CF4"/>
    <w:rsid w:val="00D25EA5"/>
    <w:rsid w:val="00D368D5"/>
    <w:rsid w:val="00D376EC"/>
    <w:rsid w:val="00D46522"/>
    <w:rsid w:val="00D4660B"/>
    <w:rsid w:val="00D506CA"/>
    <w:rsid w:val="00D60899"/>
    <w:rsid w:val="00D87F80"/>
    <w:rsid w:val="00D909BF"/>
    <w:rsid w:val="00D95DBA"/>
    <w:rsid w:val="00D97653"/>
    <w:rsid w:val="00DA38E1"/>
    <w:rsid w:val="00DA73EA"/>
    <w:rsid w:val="00DB37C7"/>
    <w:rsid w:val="00DD0672"/>
    <w:rsid w:val="00DD1C6B"/>
    <w:rsid w:val="00DD589D"/>
    <w:rsid w:val="00DE1F60"/>
    <w:rsid w:val="00DE5D30"/>
    <w:rsid w:val="00DE6047"/>
    <w:rsid w:val="00DF2AC1"/>
    <w:rsid w:val="00DF3E22"/>
    <w:rsid w:val="00E14EAD"/>
    <w:rsid w:val="00E414C3"/>
    <w:rsid w:val="00E45540"/>
    <w:rsid w:val="00E50A1E"/>
    <w:rsid w:val="00E563E3"/>
    <w:rsid w:val="00E67154"/>
    <w:rsid w:val="00E74AA0"/>
    <w:rsid w:val="00E84C50"/>
    <w:rsid w:val="00E92BBC"/>
    <w:rsid w:val="00EA0DD9"/>
    <w:rsid w:val="00EA6A81"/>
    <w:rsid w:val="00EB085C"/>
    <w:rsid w:val="00EB2145"/>
    <w:rsid w:val="00EB4389"/>
    <w:rsid w:val="00EB5396"/>
    <w:rsid w:val="00EB620E"/>
    <w:rsid w:val="00EB6696"/>
    <w:rsid w:val="00EB7D5A"/>
    <w:rsid w:val="00ED0512"/>
    <w:rsid w:val="00ED06F2"/>
    <w:rsid w:val="00ED4C19"/>
    <w:rsid w:val="00EE5D39"/>
    <w:rsid w:val="00F0068C"/>
    <w:rsid w:val="00F0097C"/>
    <w:rsid w:val="00F1330D"/>
    <w:rsid w:val="00F1498E"/>
    <w:rsid w:val="00F17C11"/>
    <w:rsid w:val="00F204A1"/>
    <w:rsid w:val="00F234B2"/>
    <w:rsid w:val="00F273BF"/>
    <w:rsid w:val="00F303E0"/>
    <w:rsid w:val="00F33BE6"/>
    <w:rsid w:val="00F61E48"/>
    <w:rsid w:val="00F62F9E"/>
    <w:rsid w:val="00F64C53"/>
    <w:rsid w:val="00F74206"/>
    <w:rsid w:val="00F80B59"/>
    <w:rsid w:val="00F82E3D"/>
    <w:rsid w:val="00F82E67"/>
    <w:rsid w:val="00F85F03"/>
    <w:rsid w:val="00FA320A"/>
    <w:rsid w:val="00FB1C6A"/>
    <w:rsid w:val="00FB5667"/>
    <w:rsid w:val="00FB5BAE"/>
    <w:rsid w:val="00FB638D"/>
    <w:rsid w:val="00FD7E7A"/>
    <w:rsid w:val="00FF190F"/>
    <w:rsid w:val="00FF6123"/>
    <w:rsid w:val="0292352F"/>
    <w:rsid w:val="04794FC5"/>
    <w:rsid w:val="05C6182A"/>
    <w:rsid w:val="06AA2E98"/>
    <w:rsid w:val="0DF836E7"/>
    <w:rsid w:val="0E747D52"/>
    <w:rsid w:val="0E832B9C"/>
    <w:rsid w:val="0E87736D"/>
    <w:rsid w:val="0EB844FF"/>
    <w:rsid w:val="0FEF4578"/>
    <w:rsid w:val="11D57905"/>
    <w:rsid w:val="12D86C47"/>
    <w:rsid w:val="142B3CD0"/>
    <w:rsid w:val="15FB7040"/>
    <w:rsid w:val="1C1C054A"/>
    <w:rsid w:val="20B87CF4"/>
    <w:rsid w:val="21E71BDE"/>
    <w:rsid w:val="23350929"/>
    <w:rsid w:val="2597155A"/>
    <w:rsid w:val="271A707C"/>
    <w:rsid w:val="2B4B1E14"/>
    <w:rsid w:val="34016F10"/>
    <w:rsid w:val="364B0C03"/>
    <w:rsid w:val="36F15A9A"/>
    <w:rsid w:val="37E50148"/>
    <w:rsid w:val="39552B46"/>
    <w:rsid w:val="3FD574BE"/>
    <w:rsid w:val="401512A5"/>
    <w:rsid w:val="4060665F"/>
    <w:rsid w:val="46A20959"/>
    <w:rsid w:val="479C2AD1"/>
    <w:rsid w:val="47C67140"/>
    <w:rsid w:val="47CD2C4D"/>
    <w:rsid w:val="49F13145"/>
    <w:rsid w:val="4BE11663"/>
    <w:rsid w:val="4BE53563"/>
    <w:rsid w:val="4C382434"/>
    <w:rsid w:val="4CFE35EB"/>
    <w:rsid w:val="4EC81DE0"/>
    <w:rsid w:val="4F5B44F6"/>
    <w:rsid w:val="503F60C3"/>
    <w:rsid w:val="54974FEC"/>
    <w:rsid w:val="56CC59D3"/>
    <w:rsid w:val="57D86E75"/>
    <w:rsid w:val="58C86543"/>
    <w:rsid w:val="5DDF25DB"/>
    <w:rsid w:val="5F210946"/>
    <w:rsid w:val="61ED1A57"/>
    <w:rsid w:val="62256918"/>
    <w:rsid w:val="67485A31"/>
    <w:rsid w:val="67D73D0F"/>
    <w:rsid w:val="682D0413"/>
    <w:rsid w:val="68726539"/>
    <w:rsid w:val="69730410"/>
    <w:rsid w:val="6A8F47BC"/>
    <w:rsid w:val="6B325061"/>
    <w:rsid w:val="6BEB0BA5"/>
    <w:rsid w:val="6D7655C8"/>
    <w:rsid w:val="6D867957"/>
    <w:rsid w:val="75D63C4E"/>
    <w:rsid w:val="768F4739"/>
    <w:rsid w:val="7A887619"/>
    <w:rsid w:val="7DC9437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numPr>
        <w:ilvl w:val="0"/>
        <w:numId w:val="1"/>
      </w:numPr>
      <w:ind w:firstLine="0"/>
      <w:outlineLvl w:val="0"/>
    </w:pPr>
    <w:rPr>
      <w:b/>
      <w:kern w:val="44"/>
      <w:sz w:val="36"/>
      <w:szCs w:val="28"/>
    </w:rPr>
  </w:style>
  <w:style w:type="paragraph" w:styleId="4">
    <w:name w:val="heading 2"/>
    <w:basedOn w:val="1"/>
    <w:next w:val="1"/>
    <w:link w:val="23"/>
    <w:qFormat/>
    <w:uiPriority w:val="0"/>
    <w:pPr>
      <w:keepNext/>
      <w:keepLines/>
      <w:spacing w:before="260" w:after="260" w:line="416" w:lineRule="auto"/>
      <w:outlineLvl w:val="1"/>
    </w:pPr>
    <w:rPr>
      <w:rFonts w:ascii="宋体" w:hAnsi="宋体"/>
      <w:b/>
      <w:bCs/>
      <w:sz w:val="24"/>
    </w:rPr>
  </w:style>
  <w:style w:type="paragraph" w:styleId="5">
    <w:name w:val="heading 3"/>
    <w:basedOn w:val="1"/>
    <w:next w:val="1"/>
    <w:unhideWhenUsed/>
    <w:qFormat/>
    <w:uiPriority w:val="9"/>
    <w:pPr>
      <w:keepNext/>
      <w:keepLines/>
      <w:numPr>
        <w:ilvl w:val="2"/>
        <w:numId w:val="2"/>
      </w:numPr>
      <w:ind w:firstLine="0"/>
      <w:outlineLvl w:val="2"/>
    </w:pPr>
    <w:rPr>
      <w:b/>
      <w:bCs/>
      <w:szCs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正文1"/>
    <w:basedOn w:val="1"/>
    <w:qFormat/>
    <w:uiPriority w:val="0"/>
    <w:pPr>
      <w:numPr>
        <w:ilvl w:val="0"/>
        <w:numId w:val="3"/>
      </w:numPr>
      <w:tabs>
        <w:tab w:val="left" w:pos="360"/>
      </w:tabs>
      <w:spacing w:line="360" w:lineRule="auto"/>
      <w:ind w:left="357" w:hanging="357"/>
    </w:pPr>
    <w:rPr>
      <w:rFonts w:ascii="宋体" w:hAnsi="宋体"/>
      <w:color w:val="FF0000"/>
    </w:rPr>
  </w:style>
  <w:style w:type="paragraph" w:styleId="6">
    <w:name w:val="Normal Indent"/>
    <w:basedOn w:val="1"/>
    <w:link w:val="35"/>
    <w:qFormat/>
    <w:uiPriority w:val="0"/>
    <w:pPr>
      <w:ind w:firstLine="420"/>
    </w:pPr>
    <w:rPr>
      <w:szCs w:val="20"/>
    </w:rPr>
  </w:style>
  <w:style w:type="paragraph" w:styleId="7">
    <w:name w:val="Body Text"/>
    <w:basedOn w:val="1"/>
    <w:link w:val="24"/>
    <w:qFormat/>
    <w:uiPriority w:val="0"/>
    <w:pPr>
      <w:spacing w:after="120"/>
    </w:pPr>
    <w:rPr>
      <w:rFonts w:ascii="Calibri" w:hAnsi="Calibri"/>
    </w:rPr>
  </w:style>
  <w:style w:type="paragraph" w:styleId="8">
    <w:name w:val="Body Text Indent"/>
    <w:basedOn w:val="1"/>
    <w:link w:val="25"/>
    <w:qFormat/>
    <w:uiPriority w:val="0"/>
    <w:pPr>
      <w:spacing w:after="120"/>
      <w:ind w:left="420" w:leftChars="200"/>
    </w:pPr>
    <w:rPr>
      <w:rFonts w:ascii="Calibri" w:hAnsi="Calibri"/>
    </w:rPr>
  </w:style>
  <w:style w:type="paragraph" w:styleId="9">
    <w:name w:val="Plain Text"/>
    <w:basedOn w:val="1"/>
    <w:link w:val="26"/>
    <w:qFormat/>
    <w:uiPriority w:val="0"/>
    <w:pPr>
      <w:spacing w:beforeLines="50" w:afterLines="50" w:line="400" w:lineRule="exact"/>
    </w:pPr>
    <w:rPr>
      <w:rFonts w:ascii="宋体" w:hAnsi="Courier New"/>
      <w:sz w:val="24"/>
    </w:rPr>
  </w:style>
  <w:style w:type="paragraph" w:styleId="10">
    <w:name w:val="Balloon Text"/>
    <w:basedOn w:val="1"/>
    <w:link w:val="33"/>
    <w:unhideWhenUsed/>
    <w:qFormat/>
    <w:uiPriority w:val="0"/>
    <w:rPr>
      <w:sz w:val="18"/>
      <w:szCs w:val="18"/>
    </w:rPr>
  </w:style>
  <w:style w:type="paragraph" w:styleId="11">
    <w:name w:val="footer"/>
    <w:basedOn w:val="1"/>
    <w:link w:val="27"/>
    <w:unhideWhenUsed/>
    <w:qFormat/>
    <w:uiPriority w:val="0"/>
    <w:pPr>
      <w:tabs>
        <w:tab w:val="center" w:pos="4153"/>
        <w:tab w:val="right" w:pos="8306"/>
      </w:tabs>
      <w:snapToGrid w:val="0"/>
      <w:jc w:val="left"/>
    </w:pPr>
    <w:rPr>
      <w:sz w:val="18"/>
      <w:szCs w:val="18"/>
    </w:rPr>
  </w:style>
  <w:style w:type="paragraph" w:styleId="12">
    <w:name w:val="header"/>
    <w:basedOn w:val="1"/>
    <w:link w:val="28"/>
    <w:unhideWhenUsed/>
    <w:qFormat/>
    <w:uiPriority w:val="0"/>
    <w:pPr>
      <w:pBdr>
        <w:bottom w:val="single" w:color="auto" w:sz="6" w:space="1"/>
      </w:pBdr>
      <w:tabs>
        <w:tab w:val="center" w:pos="4153"/>
        <w:tab w:val="right" w:pos="8306"/>
      </w:tabs>
      <w:snapToGrid w:val="0"/>
      <w:jc w:val="center"/>
    </w:pPr>
    <w:rPr>
      <w:sz w:val="18"/>
      <w:szCs w:val="18"/>
    </w:rPr>
  </w:style>
  <w:style w:type="paragraph" w:styleId="13">
    <w:name w:val="Body Text 2"/>
    <w:basedOn w:val="1"/>
    <w:link w:val="29"/>
    <w:qFormat/>
    <w:uiPriority w:val="0"/>
    <w:pPr>
      <w:widowControl/>
      <w:snapToGrid w:val="0"/>
      <w:spacing w:before="50" w:afterLines="50" w:line="400" w:lineRule="exact"/>
      <w:jc w:val="left"/>
    </w:pPr>
    <w:rPr>
      <w:rFonts w:ascii="宋体" w:hAnsi="宋体"/>
      <w:color w:val="000000"/>
      <w:sz w:val="24"/>
    </w:rPr>
  </w:style>
  <w:style w:type="paragraph" w:styleId="14">
    <w:name w:val="Normal (Web)"/>
    <w:basedOn w:val="1"/>
    <w:qFormat/>
    <w:uiPriority w:val="0"/>
    <w:pPr>
      <w:widowControl/>
      <w:spacing w:before="100" w:beforeAutospacing="1" w:after="100" w:afterAutospacing="1"/>
      <w:jc w:val="left"/>
    </w:pPr>
    <w:rPr>
      <w:kern w:val="0"/>
      <w:sz w:val="24"/>
    </w:rPr>
  </w:style>
  <w:style w:type="paragraph" w:styleId="15">
    <w:name w:val="Body Text First Indent 2"/>
    <w:basedOn w:val="8"/>
    <w:link w:val="30"/>
    <w:semiHidden/>
    <w:unhideWhenUsed/>
    <w:qFormat/>
    <w:uiPriority w:val="99"/>
    <w:pPr>
      <w:ind w:firstLine="420" w:firstLineChars="200"/>
    </w:pPr>
    <w:rPr>
      <w:rFonts w:ascii="Times New Roman" w:hAnsi="Times New Roman"/>
    </w:rPr>
  </w:style>
  <w:style w:type="table" w:styleId="17">
    <w:name w:val="Table Grid"/>
    <w:basedOn w:val="1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9">
    <w:name w:val="Strong"/>
    <w:qFormat/>
    <w:uiPriority w:val="0"/>
    <w:rPr>
      <w:b/>
      <w:bCs/>
    </w:rPr>
  </w:style>
  <w:style w:type="character" w:styleId="20">
    <w:name w:val="FollowedHyperlink"/>
    <w:basedOn w:val="18"/>
    <w:semiHidden/>
    <w:unhideWhenUsed/>
    <w:qFormat/>
    <w:uiPriority w:val="99"/>
    <w:rPr>
      <w:color w:val="333333"/>
      <w:u w:val="none"/>
    </w:rPr>
  </w:style>
  <w:style w:type="character" w:styleId="21">
    <w:name w:val="Hyperlink"/>
    <w:qFormat/>
    <w:uiPriority w:val="0"/>
    <w:rPr>
      <w:color w:val="0000FF"/>
      <w:u w:val="single"/>
    </w:rPr>
  </w:style>
  <w:style w:type="paragraph" w:customStyle="1" w:styleId="22">
    <w:name w:val="正文2"/>
    <w:basedOn w:val="1"/>
    <w:qFormat/>
    <w:uiPriority w:val="0"/>
    <w:pPr>
      <w:adjustRightInd w:val="0"/>
      <w:spacing w:line="318" w:lineRule="atLeast"/>
      <w:ind w:left="369" w:firstLine="369"/>
      <w:textAlignment w:val="baseline"/>
    </w:pPr>
    <w:rPr>
      <w:rFonts w:ascii="宋体"/>
      <w:szCs w:val="20"/>
    </w:rPr>
  </w:style>
  <w:style w:type="character" w:customStyle="1" w:styleId="23">
    <w:name w:val="标题 2 Char"/>
    <w:basedOn w:val="18"/>
    <w:link w:val="4"/>
    <w:qFormat/>
    <w:uiPriority w:val="0"/>
    <w:rPr>
      <w:rFonts w:ascii="宋体" w:hAnsi="宋体" w:eastAsia="宋体" w:cs="Times New Roman"/>
      <w:b/>
      <w:bCs/>
      <w:sz w:val="24"/>
      <w:szCs w:val="24"/>
    </w:rPr>
  </w:style>
  <w:style w:type="character" w:customStyle="1" w:styleId="24">
    <w:name w:val="正文文本 Char"/>
    <w:basedOn w:val="18"/>
    <w:link w:val="7"/>
    <w:qFormat/>
    <w:uiPriority w:val="0"/>
    <w:rPr>
      <w:rFonts w:ascii="Calibri" w:hAnsi="Calibri" w:eastAsia="宋体" w:cs="Times New Roman"/>
      <w:szCs w:val="24"/>
    </w:rPr>
  </w:style>
  <w:style w:type="character" w:customStyle="1" w:styleId="25">
    <w:name w:val="正文文本缩进 Char"/>
    <w:basedOn w:val="18"/>
    <w:link w:val="8"/>
    <w:qFormat/>
    <w:uiPriority w:val="0"/>
    <w:rPr>
      <w:rFonts w:ascii="Calibri" w:hAnsi="Calibri" w:eastAsia="宋体" w:cs="Times New Roman"/>
      <w:szCs w:val="24"/>
    </w:rPr>
  </w:style>
  <w:style w:type="character" w:customStyle="1" w:styleId="26">
    <w:name w:val="纯文本 Char"/>
    <w:basedOn w:val="18"/>
    <w:link w:val="9"/>
    <w:qFormat/>
    <w:uiPriority w:val="0"/>
    <w:rPr>
      <w:rFonts w:ascii="宋体" w:hAnsi="Courier New" w:eastAsia="宋体" w:cs="Times New Roman"/>
      <w:sz w:val="24"/>
      <w:szCs w:val="24"/>
    </w:rPr>
  </w:style>
  <w:style w:type="character" w:customStyle="1" w:styleId="27">
    <w:name w:val="页脚 Char"/>
    <w:basedOn w:val="18"/>
    <w:link w:val="11"/>
    <w:qFormat/>
    <w:uiPriority w:val="0"/>
    <w:rPr>
      <w:rFonts w:ascii="Times New Roman" w:hAnsi="Times New Roman" w:eastAsia="宋体" w:cs="Times New Roman"/>
      <w:sz w:val="18"/>
      <w:szCs w:val="18"/>
    </w:rPr>
  </w:style>
  <w:style w:type="character" w:customStyle="1" w:styleId="28">
    <w:name w:val="页眉 Char"/>
    <w:basedOn w:val="18"/>
    <w:link w:val="12"/>
    <w:qFormat/>
    <w:uiPriority w:val="0"/>
    <w:rPr>
      <w:rFonts w:ascii="Times New Roman" w:hAnsi="Times New Roman" w:eastAsia="宋体" w:cs="Times New Roman"/>
      <w:sz w:val="18"/>
      <w:szCs w:val="18"/>
    </w:rPr>
  </w:style>
  <w:style w:type="character" w:customStyle="1" w:styleId="29">
    <w:name w:val="正文文本 2 Char"/>
    <w:basedOn w:val="18"/>
    <w:link w:val="13"/>
    <w:qFormat/>
    <w:uiPriority w:val="0"/>
    <w:rPr>
      <w:rFonts w:ascii="宋体" w:hAnsi="宋体" w:eastAsia="宋体" w:cs="Times New Roman"/>
      <w:color w:val="000000"/>
      <w:sz w:val="24"/>
      <w:szCs w:val="24"/>
    </w:rPr>
  </w:style>
  <w:style w:type="character" w:customStyle="1" w:styleId="30">
    <w:name w:val="正文首行缩进 2 Char"/>
    <w:basedOn w:val="25"/>
    <w:link w:val="15"/>
    <w:semiHidden/>
    <w:qFormat/>
    <w:uiPriority w:val="99"/>
    <w:rPr>
      <w:rFonts w:ascii="Times New Roman" w:hAnsi="Times New Roman"/>
    </w:rPr>
  </w:style>
  <w:style w:type="paragraph" w:customStyle="1" w:styleId="31">
    <w:name w:val="*正文"/>
    <w:basedOn w:val="1"/>
    <w:qFormat/>
    <w:uiPriority w:val="0"/>
    <w:pPr>
      <w:spacing w:line="360" w:lineRule="auto"/>
      <w:ind w:firstLine="200" w:firstLineChars="200"/>
    </w:pPr>
    <w:rPr>
      <w:rFonts w:ascii="宋体" w:hAnsi="宋体" w:cstheme="minorBidi"/>
      <w:sz w:val="22"/>
    </w:rPr>
  </w:style>
  <w:style w:type="character" w:customStyle="1" w:styleId="32">
    <w:name w:val="font61"/>
    <w:basedOn w:val="18"/>
    <w:qFormat/>
    <w:uiPriority w:val="0"/>
    <w:rPr>
      <w:rFonts w:hint="eastAsia" w:ascii="宋体" w:hAnsi="宋体" w:eastAsia="宋体" w:cs="宋体"/>
      <w:color w:val="000000"/>
      <w:sz w:val="22"/>
      <w:szCs w:val="22"/>
      <w:u w:val="none"/>
    </w:rPr>
  </w:style>
  <w:style w:type="character" w:customStyle="1" w:styleId="33">
    <w:name w:val="批注框文本 Char"/>
    <w:basedOn w:val="18"/>
    <w:link w:val="10"/>
    <w:qFormat/>
    <w:uiPriority w:val="0"/>
    <w:rPr>
      <w:rFonts w:ascii="Times New Roman" w:hAnsi="Times New Roman" w:eastAsia="宋体" w:cs="Times New Roman"/>
      <w:sz w:val="18"/>
      <w:szCs w:val="18"/>
    </w:rPr>
  </w:style>
  <w:style w:type="character" w:customStyle="1" w:styleId="34">
    <w:name w:val="纯文本 Char1"/>
    <w:basedOn w:val="18"/>
    <w:qFormat/>
    <w:uiPriority w:val="0"/>
    <w:rPr>
      <w:rFonts w:ascii="宋体" w:hAnsi="Courier New" w:eastAsia="宋体" w:cs="Times New Roman"/>
      <w:sz w:val="24"/>
      <w:szCs w:val="24"/>
    </w:rPr>
  </w:style>
  <w:style w:type="character" w:customStyle="1" w:styleId="35">
    <w:name w:val="正文缩进 Char"/>
    <w:basedOn w:val="18"/>
    <w:link w:val="6"/>
    <w:qFormat/>
    <w:uiPriority w:val="0"/>
    <w:rPr>
      <w:rFonts w:ascii="Times New Roman" w:hAnsi="Times New Roman" w:eastAsia="宋体" w:cs="Times New Roman"/>
      <w:szCs w:val="20"/>
    </w:rPr>
  </w:style>
  <w:style w:type="character" w:customStyle="1" w:styleId="36">
    <w:name w:val="正文文本缩进 Char1"/>
    <w:basedOn w:val="18"/>
    <w:qFormat/>
    <w:uiPriority w:val="0"/>
    <w:rPr>
      <w:rFonts w:ascii="Calibri" w:hAnsi="Calibri" w:eastAsia="宋体" w:cs="Times New Roman"/>
      <w:szCs w:val="24"/>
    </w:rPr>
  </w:style>
  <w:style w:type="paragraph" w:styleId="37">
    <w:name w:val="List Paragraph"/>
    <w:basedOn w:val="1"/>
    <w:qFormat/>
    <w:uiPriority w:val="34"/>
    <w:pPr>
      <w:ind w:firstLine="420" w:firstLineChars="200"/>
    </w:pPr>
    <w:rPr>
      <w:rFonts w:ascii="Calibri" w:hAnsi="Calibri" w:cs="黑体"/>
    </w:rPr>
  </w:style>
  <w:style w:type="paragraph" w:customStyle="1" w:styleId="38">
    <w:name w:val="表格用"/>
    <w:basedOn w:val="1"/>
    <w:qFormat/>
    <w:uiPriority w:val="0"/>
    <w:rPr>
      <w:kern w:val="0"/>
    </w:rPr>
  </w:style>
  <w:style w:type="paragraph" w:customStyle="1" w:styleId="39">
    <w:name w:val="普通(网站)1"/>
    <w:basedOn w:val="1"/>
    <w:qFormat/>
    <w:uiPriority w:val="0"/>
    <w:pPr>
      <w:widowControl/>
      <w:spacing w:before="100" w:beforeAutospacing="1" w:after="100" w:afterAutospacing="1"/>
      <w:jc w:val="left"/>
    </w:pPr>
    <w:rPr>
      <w:rFonts w:ascii="宋体" w:hAnsi="宋体"/>
      <w:kern w:val="0"/>
      <w:sz w:val="24"/>
    </w:rPr>
  </w:style>
  <w:style w:type="character" w:customStyle="1" w:styleId="40">
    <w:name w:val="layui-laypage-curr"/>
    <w:basedOn w:val="18"/>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47C5EB-5F7B-4726-8219-656127FE7F7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53</Pages>
  <Words>5795</Words>
  <Characters>33037</Characters>
  <Lines>275</Lines>
  <Paragraphs>77</Paragraphs>
  <TotalTime>5</TotalTime>
  <ScaleCrop>false</ScaleCrop>
  <LinksUpToDate>false</LinksUpToDate>
  <CharactersWithSpaces>38755</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2019-04-28T06:31:00Z</dcterms:created>
  <dc:creator>gf</dc:creator>
  <cp:lastModifiedBy>孤单双子星</cp:lastModifiedBy>
  <cp:lastPrinted>2019-10-11T01:43:00Z</cp:lastPrinted>
  <dcterms:modified xsi:type="dcterms:W3CDTF">2019-10-12T01:41:54Z</dcterms:modified>
  <cp:revision>451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