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900" w:lineRule="exact"/>
        <w:jc w:val="center"/>
        <w:rPr>
          <w:rFonts w:hint="eastAsia" w:ascii="宋体" w:hAnsi="宋体"/>
          <w:b/>
          <w:color w:val="000000"/>
          <w:sz w:val="46"/>
          <w:szCs w:val="50"/>
        </w:rPr>
      </w:pPr>
      <w:bookmarkStart w:id="85" w:name="_GoBack"/>
      <w:bookmarkEnd w:id="85"/>
    </w:p>
    <w:p>
      <w:pPr>
        <w:spacing w:after="120" w:line="900" w:lineRule="exact"/>
        <w:jc w:val="center"/>
        <w:rPr>
          <w:rFonts w:hint="eastAsia" w:ascii="宋体" w:hAnsi="宋体"/>
          <w:b/>
          <w:color w:val="000000"/>
          <w:sz w:val="46"/>
          <w:szCs w:val="50"/>
        </w:rPr>
      </w:pPr>
      <w:r>
        <w:rPr>
          <w:rFonts w:hint="eastAsia" w:ascii="宋体" w:hAnsi="宋体"/>
          <w:b/>
          <w:color w:val="000000"/>
          <w:sz w:val="46"/>
          <w:szCs w:val="50"/>
        </w:rPr>
        <w:t>舟山市中医院保安服务采购项目</w:t>
      </w:r>
    </w:p>
    <w:p>
      <w:pPr>
        <w:spacing w:after="120" w:line="900" w:lineRule="exact"/>
        <w:jc w:val="center"/>
        <w:rPr>
          <w:rFonts w:ascii="宋体" w:hAnsi="宋体"/>
          <w:b/>
          <w:color w:val="000000"/>
          <w:sz w:val="46"/>
          <w:szCs w:val="50"/>
        </w:rPr>
      </w:pPr>
      <w:r>
        <w:rPr>
          <w:rFonts w:hint="eastAsia" w:ascii="宋体" w:hAnsi="宋体"/>
          <w:b/>
          <w:color w:val="000000"/>
          <w:sz w:val="46"/>
          <w:szCs w:val="50"/>
        </w:rPr>
        <w:t>政府采购</w:t>
      </w:r>
    </w:p>
    <w:p>
      <w:pPr>
        <w:spacing w:after="120" w:line="400" w:lineRule="exact"/>
        <w:jc w:val="center"/>
        <w:rPr>
          <w:rFonts w:ascii="宋体" w:hAnsi="宋体"/>
          <w:b/>
          <w:color w:val="000000"/>
          <w:sz w:val="32"/>
          <w:szCs w:val="32"/>
        </w:rPr>
      </w:pPr>
    </w:p>
    <w:p>
      <w:pPr>
        <w:spacing w:after="120" w:line="800" w:lineRule="exact"/>
        <w:jc w:val="center"/>
        <w:rPr>
          <w:rFonts w:ascii="宋体" w:hAnsi="宋体"/>
          <w:b/>
          <w:color w:val="000000"/>
          <w:sz w:val="48"/>
          <w:szCs w:val="48"/>
        </w:rPr>
      </w:pPr>
      <w:r>
        <w:rPr>
          <w:rFonts w:hint="eastAsia" w:ascii="宋体" w:hAnsi="宋体"/>
          <w:b/>
          <w:color w:val="000000"/>
          <w:sz w:val="48"/>
          <w:szCs w:val="48"/>
        </w:rPr>
        <w:t>公</w:t>
      </w:r>
    </w:p>
    <w:p>
      <w:pPr>
        <w:spacing w:after="120" w:line="800" w:lineRule="exact"/>
        <w:jc w:val="center"/>
        <w:rPr>
          <w:rFonts w:ascii="宋体" w:hAnsi="宋体"/>
          <w:b/>
          <w:color w:val="000000"/>
          <w:sz w:val="48"/>
          <w:szCs w:val="48"/>
        </w:rPr>
      </w:pPr>
      <w:r>
        <w:rPr>
          <w:rFonts w:hint="eastAsia" w:ascii="宋体" w:hAnsi="宋体"/>
          <w:b/>
          <w:color w:val="000000"/>
          <w:sz w:val="48"/>
          <w:szCs w:val="48"/>
        </w:rPr>
        <w:t>开</w:t>
      </w:r>
    </w:p>
    <w:p>
      <w:pPr>
        <w:spacing w:after="120" w:line="800" w:lineRule="exact"/>
        <w:jc w:val="center"/>
        <w:rPr>
          <w:rFonts w:ascii="宋体" w:hAnsi="宋体"/>
          <w:b/>
          <w:color w:val="000000"/>
          <w:sz w:val="48"/>
          <w:szCs w:val="48"/>
        </w:rPr>
      </w:pPr>
      <w:r>
        <w:rPr>
          <w:rFonts w:hint="eastAsia" w:ascii="宋体" w:hAnsi="宋体"/>
          <w:b/>
          <w:color w:val="000000"/>
          <w:sz w:val="48"/>
          <w:szCs w:val="48"/>
        </w:rPr>
        <w:t>招</w:t>
      </w:r>
    </w:p>
    <w:p>
      <w:pPr>
        <w:spacing w:after="120" w:line="800" w:lineRule="exact"/>
        <w:jc w:val="center"/>
        <w:rPr>
          <w:rFonts w:ascii="宋体" w:hAnsi="宋体"/>
          <w:b/>
          <w:color w:val="000000"/>
          <w:sz w:val="48"/>
          <w:szCs w:val="48"/>
        </w:rPr>
      </w:pPr>
      <w:r>
        <w:rPr>
          <w:rFonts w:hint="eastAsia" w:ascii="宋体" w:hAnsi="宋体"/>
          <w:b/>
          <w:color w:val="000000"/>
          <w:sz w:val="48"/>
          <w:szCs w:val="48"/>
        </w:rPr>
        <w:t>标</w:t>
      </w:r>
    </w:p>
    <w:p>
      <w:pPr>
        <w:spacing w:after="120" w:line="800" w:lineRule="exact"/>
        <w:jc w:val="center"/>
        <w:rPr>
          <w:rFonts w:ascii="宋体" w:hAnsi="宋体"/>
          <w:b/>
          <w:color w:val="000000"/>
          <w:sz w:val="48"/>
          <w:szCs w:val="48"/>
        </w:rPr>
      </w:pPr>
      <w:r>
        <w:rPr>
          <w:rFonts w:hint="eastAsia" w:ascii="宋体" w:hAnsi="宋体"/>
          <w:b/>
          <w:color w:val="000000"/>
          <w:sz w:val="48"/>
          <w:szCs w:val="48"/>
        </w:rPr>
        <w:t>文</w:t>
      </w:r>
    </w:p>
    <w:p>
      <w:pPr>
        <w:spacing w:after="120" w:line="800" w:lineRule="exact"/>
        <w:jc w:val="center"/>
        <w:rPr>
          <w:rFonts w:ascii="宋体" w:hAnsi="宋体"/>
          <w:b/>
          <w:color w:val="000000"/>
          <w:sz w:val="48"/>
          <w:szCs w:val="48"/>
        </w:rPr>
      </w:pPr>
      <w:r>
        <w:rPr>
          <w:rFonts w:hint="eastAsia" w:ascii="宋体" w:hAnsi="宋体"/>
          <w:b/>
          <w:color w:val="000000"/>
          <w:sz w:val="48"/>
          <w:szCs w:val="48"/>
        </w:rPr>
        <w:t>件</w:t>
      </w:r>
    </w:p>
    <w:p>
      <w:pPr>
        <w:rPr>
          <w:rFonts w:ascii="宋体" w:hAnsi="宋体"/>
          <w:b/>
          <w:color w:val="000000"/>
          <w:sz w:val="36"/>
          <w:szCs w:val="36"/>
        </w:rPr>
      </w:pPr>
    </w:p>
    <w:p>
      <w:pPr>
        <w:spacing w:line="600" w:lineRule="exact"/>
        <w:rPr>
          <w:rFonts w:hint="eastAsia" w:ascii="宋体" w:hAnsi="宋体"/>
          <w:b/>
          <w:color w:val="000000"/>
          <w:sz w:val="28"/>
          <w:szCs w:val="28"/>
        </w:rPr>
      </w:pPr>
    </w:p>
    <w:p>
      <w:pPr>
        <w:spacing w:line="600" w:lineRule="exact"/>
        <w:rPr>
          <w:rFonts w:hint="eastAsia" w:ascii="宋体" w:hAnsi="宋体"/>
          <w:b/>
          <w:color w:val="000000"/>
          <w:sz w:val="28"/>
          <w:szCs w:val="28"/>
        </w:rPr>
      </w:pPr>
      <w:r>
        <w:rPr>
          <w:rFonts w:hint="eastAsia" w:ascii="宋体" w:hAnsi="宋体"/>
          <w:b/>
          <w:color w:val="000000"/>
          <w:sz w:val="28"/>
          <w:szCs w:val="28"/>
        </w:rPr>
        <w:t>采购编号：NBITC-202250011G</w:t>
      </w:r>
    </w:p>
    <w:p>
      <w:pPr>
        <w:spacing w:line="600" w:lineRule="exact"/>
        <w:ind w:left="1405" w:hanging="1405" w:hangingChars="500"/>
        <w:rPr>
          <w:rFonts w:hint="eastAsia" w:ascii="宋体" w:hAnsi="宋体"/>
          <w:b/>
          <w:color w:val="000000"/>
          <w:sz w:val="28"/>
          <w:szCs w:val="28"/>
        </w:rPr>
      </w:pPr>
      <w:r>
        <w:rPr>
          <w:rFonts w:hint="eastAsia" w:ascii="宋体" w:hAnsi="宋体"/>
          <w:b/>
          <w:color w:val="000000"/>
          <w:sz w:val="28"/>
          <w:szCs w:val="28"/>
        </w:rPr>
        <w:t>采</w:t>
      </w:r>
      <w:r>
        <w:rPr>
          <w:rFonts w:ascii="宋体" w:hAnsi="宋体"/>
          <w:b/>
          <w:color w:val="000000"/>
          <w:sz w:val="28"/>
          <w:szCs w:val="28"/>
        </w:rPr>
        <w:t xml:space="preserve"> </w:t>
      </w:r>
      <w:r>
        <w:rPr>
          <w:rFonts w:hint="eastAsia" w:ascii="宋体" w:hAnsi="宋体"/>
          <w:b/>
          <w:color w:val="000000"/>
          <w:sz w:val="28"/>
          <w:szCs w:val="28"/>
        </w:rPr>
        <w:t>购</w:t>
      </w:r>
      <w:r>
        <w:rPr>
          <w:rFonts w:ascii="宋体" w:hAnsi="宋体"/>
          <w:b/>
          <w:color w:val="000000"/>
          <w:sz w:val="28"/>
          <w:szCs w:val="28"/>
        </w:rPr>
        <w:t xml:space="preserve"> </w:t>
      </w:r>
      <w:r>
        <w:rPr>
          <w:rFonts w:hint="eastAsia" w:ascii="宋体" w:hAnsi="宋体"/>
          <w:b/>
          <w:color w:val="000000"/>
          <w:sz w:val="28"/>
          <w:szCs w:val="28"/>
        </w:rPr>
        <w:t>人：舟山市中医院</w:t>
      </w:r>
    </w:p>
    <w:p>
      <w:pPr>
        <w:spacing w:line="600" w:lineRule="exact"/>
        <w:rPr>
          <w:rFonts w:ascii="宋体" w:hAnsi="宋体"/>
          <w:b/>
          <w:color w:val="000000"/>
          <w:sz w:val="28"/>
          <w:szCs w:val="28"/>
        </w:rPr>
      </w:pPr>
      <w:r>
        <w:rPr>
          <w:rFonts w:hint="eastAsia" w:ascii="宋体" w:hAnsi="宋体"/>
          <w:b/>
          <w:color w:val="000000"/>
          <w:sz w:val="28"/>
          <w:szCs w:val="28"/>
        </w:rPr>
        <w:t>代理机构：宁波市国际招标有限公司</w:t>
      </w:r>
    </w:p>
    <w:p>
      <w:pPr>
        <w:spacing w:line="600" w:lineRule="exact"/>
        <w:rPr>
          <w:rFonts w:hint="eastAsia" w:ascii="宋体" w:hAnsi="宋体"/>
          <w:b/>
          <w:color w:val="000000"/>
          <w:sz w:val="28"/>
          <w:szCs w:val="28"/>
        </w:rPr>
      </w:pPr>
      <w:r>
        <w:rPr>
          <w:rFonts w:hint="eastAsia" w:ascii="宋体" w:hAnsi="宋体"/>
          <w:b/>
          <w:color w:val="000000"/>
          <w:sz w:val="28"/>
          <w:szCs w:val="28"/>
        </w:rPr>
        <w:t>编制日期：2022年2月</w:t>
      </w:r>
    </w:p>
    <w:p>
      <w:pPr>
        <w:spacing w:line="400" w:lineRule="exact"/>
        <w:rPr>
          <w:rFonts w:hint="eastAsia" w:ascii="宋体" w:hAnsi="宋体"/>
          <w:b/>
          <w:color w:val="000000"/>
          <w:sz w:val="28"/>
          <w:szCs w:val="28"/>
        </w:rPr>
      </w:pPr>
    </w:p>
    <w:p>
      <w:pPr>
        <w:pStyle w:val="4"/>
        <w:rPr>
          <w:rFonts w:hint="eastAsia"/>
        </w:rPr>
        <w:sectPr>
          <w:headerReference r:id="rId3" w:type="default"/>
          <w:footerReference r:id="rId4" w:type="default"/>
          <w:footerReference r:id="rId5" w:type="even"/>
          <w:type w:val="nextColumn"/>
          <w:pgSz w:w="11907" w:h="16840"/>
          <w:pgMar w:top="993" w:right="1701" w:bottom="1440" w:left="1701" w:header="720" w:footer="0" w:gutter="0"/>
          <w:pgNumType w:start="1"/>
          <w:cols w:space="720" w:num="1"/>
          <w:docGrid w:type="lines" w:linePitch="285" w:charSpace="0"/>
        </w:sectPr>
      </w:pPr>
    </w:p>
    <w:p>
      <w:pPr>
        <w:spacing w:line="1200" w:lineRule="exact"/>
        <w:jc w:val="center"/>
        <w:rPr>
          <w:rFonts w:ascii="宋体" w:hAnsi="宋体"/>
          <w:b/>
          <w:color w:val="000000"/>
          <w:sz w:val="44"/>
          <w:szCs w:val="44"/>
        </w:rPr>
      </w:pPr>
      <w:r>
        <w:rPr>
          <w:rFonts w:hint="eastAsia" w:ascii="宋体" w:hAnsi="宋体"/>
          <w:b/>
          <w:color w:val="000000"/>
          <w:sz w:val="44"/>
          <w:szCs w:val="44"/>
        </w:rPr>
        <w:t>温馨提醒</w:t>
      </w:r>
    </w:p>
    <w:p>
      <w:pPr>
        <w:spacing w:line="1000" w:lineRule="exact"/>
        <w:jc w:val="left"/>
        <w:rPr>
          <w:rFonts w:ascii="宋体" w:hAnsi="宋体"/>
          <w:b/>
          <w:color w:val="000000"/>
          <w:sz w:val="28"/>
          <w:szCs w:val="28"/>
        </w:rPr>
      </w:pPr>
      <w:r>
        <w:rPr>
          <w:rFonts w:ascii="宋体" w:hAnsi="宋体"/>
          <w:b/>
          <w:color w:val="000000"/>
          <w:sz w:val="28"/>
          <w:szCs w:val="28"/>
        </w:rPr>
        <w:t>1</w:t>
      </w:r>
      <w:r>
        <w:rPr>
          <w:rFonts w:hint="eastAsia" w:ascii="宋体" w:hAnsi="宋体"/>
          <w:b/>
          <w:color w:val="000000"/>
          <w:sz w:val="28"/>
          <w:szCs w:val="28"/>
        </w:rPr>
        <w:t>、备份投标文件应按招标文件要求将“报价文件”、“商务和技术文件”、“资格文件”分别编制、装订成册、包封。</w:t>
      </w:r>
    </w:p>
    <w:p>
      <w:pPr>
        <w:spacing w:line="1000" w:lineRule="exact"/>
        <w:jc w:val="left"/>
        <w:rPr>
          <w:rFonts w:ascii="宋体" w:hAnsi="宋体"/>
          <w:b/>
          <w:color w:val="000000"/>
          <w:sz w:val="28"/>
          <w:szCs w:val="28"/>
        </w:rPr>
      </w:pPr>
      <w:r>
        <w:rPr>
          <w:rFonts w:ascii="宋体" w:hAnsi="宋体"/>
          <w:b/>
          <w:color w:val="000000"/>
          <w:sz w:val="28"/>
          <w:szCs w:val="28"/>
        </w:rPr>
        <w:t>2</w:t>
      </w:r>
      <w:r>
        <w:rPr>
          <w:rFonts w:hint="eastAsia" w:ascii="宋体" w:hAnsi="宋体"/>
          <w:b/>
          <w:color w:val="000000"/>
          <w:sz w:val="28"/>
          <w:szCs w:val="28"/>
        </w:rPr>
        <w:t>、商务和技术文件中不得出现涉及投标价格的内容，否则作无效标处理。</w:t>
      </w:r>
    </w:p>
    <w:p>
      <w:pPr>
        <w:spacing w:line="1000" w:lineRule="exact"/>
        <w:jc w:val="left"/>
        <w:rPr>
          <w:rFonts w:hint="eastAsia" w:ascii="宋体" w:hAnsi="宋体"/>
          <w:b/>
          <w:color w:val="000000"/>
          <w:sz w:val="28"/>
          <w:szCs w:val="28"/>
        </w:rPr>
      </w:pPr>
      <w:r>
        <w:rPr>
          <w:rFonts w:hint="eastAsia" w:ascii="宋体" w:hAnsi="宋体"/>
          <w:b/>
          <w:color w:val="000000"/>
          <w:sz w:val="28"/>
          <w:szCs w:val="28"/>
        </w:rPr>
        <w:t>3、采购人可以对已发出的招标文件进行必要的澄清或者修改，将以“澄清公告”的形式发布在政采云平台，供应商应及时登录政采云平台，进行浏览并下载，未及时浏览下载的责任自负。</w:t>
      </w:r>
    </w:p>
    <w:p>
      <w:pPr>
        <w:spacing w:line="1000" w:lineRule="exact"/>
        <w:jc w:val="left"/>
        <w:rPr>
          <w:rFonts w:hint="eastAsia" w:ascii="宋体" w:hAnsi="宋体"/>
          <w:b/>
          <w:color w:val="000000"/>
          <w:sz w:val="28"/>
          <w:szCs w:val="28"/>
        </w:rPr>
      </w:pPr>
      <w:r>
        <w:rPr>
          <w:rFonts w:hint="eastAsia" w:ascii="宋体" w:hAnsi="宋体"/>
          <w:b/>
          <w:color w:val="000000"/>
          <w:sz w:val="28"/>
          <w:szCs w:val="28"/>
        </w:rPr>
        <w:t>4、不同投标文件上传的为同一网卡地址，或同一IP地址的为无效投标文件，并作为投标人之间串通投标处理！</w:t>
      </w:r>
    </w:p>
    <w:p>
      <w:pPr>
        <w:spacing w:line="1000" w:lineRule="exact"/>
        <w:jc w:val="left"/>
        <w:rPr>
          <w:rFonts w:ascii="宋体" w:hAnsi="宋体"/>
          <w:b/>
          <w:sz w:val="28"/>
          <w:szCs w:val="28"/>
        </w:rPr>
      </w:pPr>
      <w:r>
        <w:rPr>
          <w:rFonts w:hint="eastAsia" w:ascii="宋体" w:hAnsi="宋体"/>
          <w:b/>
          <w:sz w:val="28"/>
          <w:szCs w:val="28"/>
        </w:rPr>
        <w:t>5、投标人上传平台的是后缀为.jmbs的加密文件，递交给招标代理公司的是后缀为.bfbs的备份文件，未及时解密的责任自负！</w:t>
      </w:r>
    </w:p>
    <w:p>
      <w:pPr>
        <w:spacing w:line="1000" w:lineRule="exact"/>
        <w:jc w:val="left"/>
        <w:rPr>
          <w:rFonts w:hint="eastAsia" w:ascii="宋体" w:hAnsi="宋体"/>
          <w:b/>
          <w:color w:val="000000"/>
          <w:sz w:val="30"/>
          <w:szCs w:val="30"/>
        </w:rPr>
      </w:pPr>
    </w:p>
    <w:p>
      <w:pPr>
        <w:spacing w:line="1000" w:lineRule="exact"/>
        <w:jc w:val="left"/>
        <w:rPr>
          <w:rFonts w:ascii="宋体" w:hAnsi="宋体"/>
          <w:b/>
          <w:bCs/>
          <w:color w:val="000000"/>
          <w:sz w:val="32"/>
          <w:szCs w:val="32"/>
        </w:rPr>
      </w:pPr>
    </w:p>
    <w:p>
      <w:pPr>
        <w:pStyle w:val="2"/>
        <w:rPr>
          <w:i/>
          <w:sz w:val="24"/>
          <w:szCs w:val="24"/>
        </w:rPr>
      </w:pPr>
    </w:p>
    <w:p>
      <w:pPr>
        <w:rPr>
          <w:rFonts w:ascii="宋体" w:hAnsi="宋体"/>
          <w:i/>
          <w:sz w:val="24"/>
          <w:szCs w:val="24"/>
        </w:rPr>
      </w:pPr>
    </w:p>
    <w:p>
      <w:pPr>
        <w:pStyle w:val="2"/>
        <w:rPr>
          <w:rFonts w:hint="eastAsia"/>
          <w:i/>
          <w:sz w:val="24"/>
          <w:szCs w:val="24"/>
        </w:rPr>
      </w:pPr>
    </w:p>
    <w:p>
      <w:pPr>
        <w:tabs>
          <w:tab w:val="center" w:pos="4365"/>
        </w:tabs>
        <w:spacing w:line="480" w:lineRule="auto"/>
        <w:jc w:val="center"/>
        <w:rPr>
          <w:rFonts w:hint="eastAsia" w:ascii="宋体" w:hAnsi="宋体"/>
          <w:b/>
          <w:color w:val="000000"/>
          <w:sz w:val="52"/>
          <w:szCs w:val="52"/>
        </w:rPr>
      </w:pPr>
    </w:p>
    <w:p>
      <w:pPr>
        <w:tabs>
          <w:tab w:val="center" w:pos="4365"/>
        </w:tabs>
        <w:spacing w:line="480" w:lineRule="auto"/>
        <w:jc w:val="center"/>
        <w:rPr>
          <w:rFonts w:ascii="宋体" w:hAnsi="宋体"/>
          <w:b/>
          <w:color w:val="000000"/>
          <w:sz w:val="44"/>
          <w:szCs w:val="44"/>
        </w:rPr>
      </w:pPr>
      <w:r>
        <w:rPr>
          <w:rFonts w:hint="eastAsia" w:ascii="宋体" w:hAnsi="宋体"/>
          <w:b/>
          <w:color w:val="000000"/>
          <w:sz w:val="44"/>
          <w:szCs w:val="44"/>
        </w:rPr>
        <w:t>目</w:t>
      </w:r>
      <w:r>
        <w:rPr>
          <w:rFonts w:ascii="宋体" w:hAnsi="宋体"/>
          <w:b/>
          <w:color w:val="000000"/>
          <w:sz w:val="44"/>
          <w:szCs w:val="44"/>
        </w:rPr>
        <w:t xml:space="preserve">  </w:t>
      </w:r>
      <w:r>
        <w:rPr>
          <w:rFonts w:hint="eastAsia" w:ascii="宋体" w:hAnsi="宋体"/>
          <w:b/>
          <w:color w:val="000000"/>
          <w:sz w:val="44"/>
          <w:szCs w:val="44"/>
        </w:rPr>
        <w:t>录</w:t>
      </w:r>
    </w:p>
    <w:p>
      <w:pPr>
        <w:pStyle w:val="30"/>
        <w:tabs>
          <w:tab w:val="right" w:leader="dot" w:pos="8731"/>
          <w:tab w:val="clear" w:pos="8721"/>
        </w:tabs>
      </w:pPr>
      <w:r>
        <w:rPr>
          <w:rFonts w:hint="eastAsia" w:cs="宋体"/>
          <w:sz w:val="28"/>
          <w:szCs w:val="28"/>
        </w:rPr>
        <w:fldChar w:fldCharType="begin"/>
      </w:r>
      <w:r>
        <w:rPr>
          <w:rFonts w:hint="eastAsia" w:cs="宋体"/>
          <w:sz w:val="28"/>
          <w:szCs w:val="28"/>
        </w:rPr>
        <w:instrText xml:space="preserve">TOC \o "1-1" \h \u </w:instrText>
      </w:r>
      <w:r>
        <w:rPr>
          <w:rFonts w:hint="eastAsia" w:cs="宋体"/>
          <w:sz w:val="28"/>
          <w:szCs w:val="28"/>
        </w:rPr>
        <w:fldChar w:fldCharType="separate"/>
      </w:r>
      <w:r>
        <w:rPr>
          <w:rFonts w:hint="eastAsia" w:cs="宋体"/>
          <w:szCs w:val="28"/>
        </w:rPr>
        <w:fldChar w:fldCharType="begin"/>
      </w:r>
      <w:r>
        <w:rPr>
          <w:rFonts w:hint="eastAsia" w:cs="宋体"/>
          <w:szCs w:val="28"/>
        </w:rPr>
        <w:instrText xml:space="preserve"> HYPERLINK \l _Toc10687 </w:instrText>
      </w:r>
      <w:r>
        <w:rPr>
          <w:rFonts w:hint="eastAsia" w:cs="宋体"/>
          <w:szCs w:val="28"/>
        </w:rPr>
        <w:fldChar w:fldCharType="separate"/>
      </w:r>
      <w:r>
        <w:rPr>
          <w:rFonts w:hint="eastAsia"/>
        </w:rPr>
        <w:t>第一章</w:t>
      </w:r>
      <w:r>
        <w:t xml:space="preserve">  </w:t>
      </w:r>
      <w:r>
        <w:rPr>
          <w:rFonts w:hint="eastAsia"/>
        </w:rPr>
        <w:t>采购公告</w:t>
      </w:r>
      <w:r>
        <w:tab/>
      </w:r>
      <w:r>
        <w:fldChar w:fldCharType="begin"/>
      </w:r>
      <w:r>
        <w:instrText xml:space="preserve"> PAGEREF _Toc10687 \h </w:instrText>
      </w:r>
      <w:r>
        <w:fldChar w:fldCharType="separate"/>
      </w:r>
      <w:r>
        <w:t>1</w:t>
      </w:r>
      <w:r>
        <w:fldChar w:fldCharType="end"/>
      </w:r>
      <w:r>
        <w:rPr>
          <w:rFonts w:hint="eastAsia" w:cs="宋体"/>
          <w:szCs w:val="28"/>
        </w:rPr>
        <w:fldChar w:fldCharType="end"/>
      </w:r>
    </w:p>
    <w:p>
      <w:pPr>
        <w:pStyle w:val="30"/>
        <w:tabs>
          <w:tab w:val="right" w:leader="dot" w:pos="8731"/>
          <w:tab w:val="clear" w:pos="8721"/>
        </w:tabs>
      </w:pPr>
      <w:r>
        <w:rPr>
          <w:rFonts w:hint="eastAsia" w:cs="宋体"/>
          <w:szCs w:val="28"/>
        </w:rPr>
        <w:fldChar w:fldCharType="begin"/>
      </w:r>
      <w:r>
        <w:rPr>
          <w:rFonts w:hint="eastAsia" w:cs="宋体"/>
          <w:szCs w:val="28"/>
        </w:rPr>
        <w:instrText xml:space="preserve"> HYPERLINK \l _Toc13269 </w:instrText>
      </w:r>
      <w:r>
        <w:rPr>
          <w:rFonts w:hint="eastAsia" w:cs="宋体"/>
          <w:szCs w:val="28"/>
        </w:rPr>
        <w:fldChar w:fldCharType="separate"/>
      </w:r>
      <w:r>
        <w:rPr>
          <w:rFonts w:hint="eastAsia"/>
        </w:rPr>
        <w:t>第二章</w:t>
      </w:r>
      <w:r>
        <w:t xml:space="preserve">  </w:t>
      </w:r>
      <w:r>
        <w:rPr>
          <w:rFonts w:hint="eastAsia"/>
        </w:rPr>
        <w:t>投标须知</w:t>
      </w:r>
      <w:r>
        <w:tab/>
      </w:r>
      <w:r>
        <w:fldChar w:fldCharType="begin"/>
      </w:r>
      <w:r>
        <w:instrText xml:space="preserve"> PAGEREF _Toc13269 \h </w:instrText>
      </w:r>
      <w:r>
        <w:fldChar w:fldCharType="separate"/>
      </w:r>
      <w:r>
        <w:t>5</w:t>
      </w:r>
      <w:r>
        <w:fldChar w:fldCharType="end"/>
      </w:r>
      <w:r>
        <w:rPr>
          <w:rFonts w:hint="eastAsia" w:cs="宋体"/>
          <w:szCs w:val="28"/>
        </w:rPr>
        <w:fldChar w:fldCharType="end"/>
      </w:r>
    </w:p>
    <w:p>
      <w:pPr>
        <w:pStyle w:val="30"/>
        <w:tabs>
          <w:tab w:val="right" w:leader="dot" w:pos="8731"/>
          <w:tab w:val="clear" w:pos="8721"/>
        </w:tabs>
      </w:pPr>
      <w:r>
        <w:rPr>
          <w:rFonts w:hint="eastAsia" w:cs="宋体"/>
          <w:szCs w:val="28"/>
        </w:rPr>
        <w:fldChar w:fldCharType="begin"/>
      </w:r>
      <w:r>
        <w:rPr>
          <w:rFonts w:hint="eastAsia" w:cs="宋体"/>
          <w:szCs w:val="28"/>
        </w:rPr>
        <w:instrText xml:space="preserve"> HYPERLINK \l _Toc31027 </w:instrText>
      </w:r>
      <w:r>
        <w:rPr>
          <w:rFonts w:hint="eastAsia" w:cs="宋体"/>
          <w:szCs w:val="28"/>
        </w:rPr>
        <w:fldChar w:fldCharType="separate"/>
      </w:r>
      <w:r>
        <w:rPr>
          <w:rFonts w:hint="eastAsia"/>
        </w:rPr>
        <w:t>第三章</w:t>
      </w:r>
      <w:r>
        <w:t xml:space="preserve">  </w:t>
      </w:r>
      <w:r>
        <w:rPr>
          <w:rFonts w:hint="eastAsia"/>
        </w:rPr>
        <w:t>评标办法及标准</w:t>
      </w:r>
      <w:r>
        <w:tab/>
      </w:r>
      <w:r>
        <w:fldChar w:fldCharType="begin"/>
      </w:r>
      <w:r>
        <w:instrText xml:space="preserve"> PAGEREF _Toc31027 \h </w:instrText>
      </w:r>
      <w:r>
        <w:fldChar w:fldCharType="separate"/>
      </w:r>
      <w:r>
        <w:t>13</w:t>
      </w:r>
      <w:r>
        <w:fldChar w:fldCharType="end"/>
      </w:r>
      <w:r>
        <w:rPr>
          <w:rFonts w:hint="eastAsia" w:cs="宋体"/>
          <w:szCs w:val="28"/>
        </w:rPr>
        <w:fldChar w:fldCharType="end"/>
      </w:r>
    </w:p>
    <w:p>
      <w:pPr>
        <w:pStyle w:val="30"/>
        <w:tabs>
          <w:tab w:val="right" w:leader="dot" w:pos="8731"/>
          <w:tab w:val="clear" w:pos="8721"/>
        </w:tabs>
      </w:pPr>
      <w:r>
        <w:rPr>
          <w:rFonts w:hint="eastAsia" w:cs="宋体"/>
          <w:szCs w:val="28"/>
        </w:rPr>
        <w:fldChar w:fldCharType="begin"/>
      </w:r>
      <w:r>
        <w:rPr>
          <w:rFonts w:hint="eastAsia" w:cs="宋体"/>
          <w:szCs w:val="28"/>
        </w:rPr>
        <w:instrText xml:space="preserve"> HYPERLINK \l _Toc17636 </w:instrText>
      </w:r>
      <w:r>
        <w:rPr>
          <w:rFonts w:hint="eastAsia" w:cs="宋体"/>
          <w:szCs w:val="28"/>
        </w:rPr>
        <w:fldChar w:fldCharType="separate"/>
      </w:r>
      <w:r>
        <w:rPr>
          <w:rFonts w:hint="eastAsia"/>
        </w:rPr>
        <w:t>第四章</w:t>
      </w:r>
      <w:r>
        <w:t xml:space="preserve">  </w:t>
      </w:r>
      <w:r>
        <w:rPr>
          <w:rFonts w:hint="eastAsia"/>
        </w:rPr>
        <w:t>采购合同样本</w:t>
      </w:r>
      <w:r>
        <w:tab/>
      </w:r>
      <w:r>
        <w:fldChar w:fldCharType="begin"/>
      </w:r>
      <w:r>
        <w:instrText xml:space="preserve"> PAGEREF _Toc17636 \h </w:instrText>
      </w:r>
      <w:r>
        <w:fldChar w:fldCharType="separate"/>
      </w:r>
      <w:r>
        <w:t>22</w:t>
      </w:r>
      <w:r>
        <w:fldChar w:fldCharType="end"/>
      </w:r>
      <w:r>
        <w:rPr>
          <w:rFonts w:hint="eastAsia" w:cs="宋体"/>
          <w:szCs w:val="28"/>
        </w:rPr>
        <w:fldChar w:fldCharType="end"/>
      </w:r>
    </w:p>
    <w:p>
      <w:pPr>
        <w:pStyle w:val="30"/>
        <w:tabs>
          <w:tab w:val="right" w:leader="dot" w:pos="8731"/>
          <w:tab w:val="clear" w:pos="8721"/>
        </w:tabs>
      </w:pPr>
      <w:r>
        <w:rPr>
          <w:rFonts w:hint="eastAsia" w:cs="宋体"/>
          <w:szCs w:val="28"/>
        </w:rPr>
        <w:fldChar w:fldCharType="begin"/>
      </w:r>
      <w:r>
        <w:rPr>
          <w:rFonts w:hint="eastAsia" w:cs="宋体"/>
          <w:szCs w:val="28"/>
        </w:rPr>
        <w:instrText xml:space="preserve"> HYPERLINK \l _Toc31329 </w:instrText>
      </w:r>
      <w:r>
        <w:rPr>
          <w:rFonts w:hint="eastAsia" w:cs="宋体"/>
          <w:szCs w:val="28"/>
        </w:rPr>
        <w:fldChar w:fldCharType="separate"/>
      </w:r>
      <w:r>
        <w:rPr>
          <w:rFonts w:hint="eastAsia"/>
        </w:rPr>
        <w:t>第五章</w:t>
      </w:r>
      <w:r>
        <w:t xml:space="preserve">  </w:t>
      </w:r>
      <w:r>
        <w:rPr>
          <w:rFonts w:hint="eastAsia"/>
        </w:rPr>
        <w:t>招标内容及技术要求</w:t>
      </w:r>
      <w:r>
        <w:tab/>
      </w:r>
      <w:r>
        <w:fldChar w:fldCharType="begin"/>
      </w:r>
      <w:r>
        <w:instrText xml:space="preserve"> PAGEREF _Toc31329 \h </w:instrText>
      </w:r>
      <w:r>
        <w:fldChar w:fldCharType="separate"/>
      </w:r>
      <w:r>
        <w:t>26</w:t>
      </w:r>
      <w:r>
        <w:fldChar w:fldCharType="end"/>
      </w:r>
      <w:r>
        <w:rPr>
          <w:rFonts w:hint="eastAsia" w:cs="宋体"/>
          <w:szCs w:val="28"/>
        </w:rPr>
        <w:fldChar w:fldCharType="end"/>
      </w:r>
    </w:p>
    <w:p>
      <w:pPr>
        <w:pStyle w:val="30"/>
        <w:tabs>
          <w:tab w:val="right" w:leader="dot" w:pos="8731"/>
          <w:tab w:val="clear" w:pos="8721"/>
        </w:tabs>
      </w:pPr>
      <w:r>
        <w:rPr>
          <w:rFonts w:hint="eastAsia" w:cs="宋体"/>
          <w:szCs w:val="28"/>
        </w:rPr>
        <w:fldChar w:fldCharType="begin"/>
      </w:r>
      <w:r>
        <w:rPr>
          <w:rFonts w:hint="eastAsia" w:cs="宋体"/>
          <w:szCs w:val="28"/>
        </w:rPr>
        <w:instrText xml:space="preserve"> HYPERLINK \l _Toc3175 </w:instrText>
      </w:r>
      <w:r>
        <w:rPr>
          <w:rFonts w:hint="eastAsia" w:cs="宋体"/>
          <w:szCs w:val="28"/>
        </w:rPr>
        <w:fldChar w:fldCharType="separate"/>
      </w:r>
      <w:r>
        <w:rPr>
          <w:rFonts w:hint="eastAsia"/>
        </w:rPr>
        <w:t>第六章</w:t>
      </w:r>
      <w:r>
        <w:t xml:space="preserve">  </w:t>
      </w:r>
      <w:r>
        <w:rPr>
          <w:rFonts w:hint="eastAsia"/>
        </w:rPr>
        <w:t>商务条款</w:t>
      </w:r>
      <w:r>
        <w:tab/>
      </w:r>
      <w:r>
        <w:fldChar w:fldCharType="begin"/>
      </w:r>
      <w:r>
        <w:instrText xml:space="preserve"> PAGEREF _Toc3175 \h </w:instrText>
      </w:r>
      <w:r>
        <w:fldChar w:fldCharType="separate"/>
      </w:r>
      <w:r>
        <w:t>26</w:t>
      </w:r>
      <w:r>
        <w:fldChar w:fldCharType="end"/>
      </w:r>
      <w:r>
        <w:rPr>
          <w:rFonts w:hint="eastAsia" w:cs="宋体"/>
          <w:szCs w:val="28"/>
        </w:rPr>
        <w:fldChar w:fldCharType="end"/>
      </w:r>
    </w:p>
    <w:p>
      <w:pPr>
        <w:pStyle w:val="30"/>
        <w:tabs>
          <w:tab w:val="right" w:leader="dot" w:pos="8731"/>
          <w:tab w:val="clear" w:pos="8721"/>
        </w:tabs>
      </w:pPr>
      <w:r>
        <w:rPr>
          <w:rFonts w:hint="eastAsia" w:cs="宋体"/>
          <w:szCs w:val="28"/>
        </w:rPr>
        <w:fldChar w:fldCharType="begin"/>
      </w:r>
      <w:r>
        <w:rPr>
          <w:rFonts w:hint="eastAsia" w:cs="宋体"/>
          <w:szCs w:val="28"/>
        </w:rPr>
        <w:instrText xml:space="preserve"> HYPERLINK \l _Toc2642 </w:instrText>
      </w:r>
      <w:r>
        <w:rPr>
          <w:rFonts w:hint="eastAsia" w:cs="宋体"/>
          <w:szCs w:val="28"/>
        </w:rPr>
        <w:fldChar w:fldCharType="separate"/>
      </w:r>
      <w:r>
        <w:rPr>
          <w:rFonts w:hint="eastAsia"/>
        </w:rPr>
        <w:t>第七章</w:t>
      </w:r>
      <w:r>
        <w:t xml:space="preserve">  </w:t>
      </w:r>
      <w:r>
        <w:rPr>
          <w:rFonts w:hint="eastAsia"/>
        </w:rPr>
        <w:t>附件</w:t>
      </w:r>
      <w:r>
        <w:tab/>
      </w:r>
      <w:r>
        <w:fldChar w:fldCharType="begin"/>
      </w:r>
      <w:r>
        <w:instrText xml:space="preserve"> PAGEREF _Toc2642 \h </w:instrText>
      </w:r>
      <w:r>
        <w:fldChar w:fldCharType="separate"/>
      </w:r>
      <w:r>
        <w:t>36</w:t>
      </w:r>
      <w:r>
        <w:fldChar w:fldCharType="end"/>
      </w:r>
      <w:r>
        <w:rPr>
          <w:rFonts w:hint="eastAsia" w:cs="宋体"/>
          <w:szCs w:val="28"/>
        </w:rPr>
        <w:fldChar w:fldCharType="end"/>
      </w:r>
    </w:p>
    <w:p>
      <w:pPr>
        <w:pStyle w:val="2"/>
        <w:spacing w:line="800" w:lineRule="exact"/>
        <w:sectPr>
          <w:headerReference r:id="rId6" w:type="default"/>
          <w:type w:val="nextColumn"/>
          <w:pgSz w:w="11907" w:h="16840"/>
          <w:pgMar w:top="1135" w:right="1588" w:bottom="854" w:left="1588" w:header="569" w:footer="700" w:gutter="0"/>
          <w:cols w:space="720" w:num="1"/>
          <w:docGrid w:linePitch="285" w:charSpace="0"/>
        </w:sectPr>
      </w:pPr>
      <w:r>
        <w:rPr>
          <w:rFonts w:hint="eastAsia" w:cs="宋体"/>
          <w:szCs w:val="28"/>
        </w:rPr>
        <w:fldChar w:fldCharType="end"/>
      </w:r>
    </w:p>
    <w:p>
      <w:pPr>
        <w:spacing w:line="400" w:lineRule="exact"/>
        <w:jc w:val="center"/>
        <w:outlineLvl w:val="0"/>
        <w:rPr>
          <w:rFonts w:ascii="宋体" w:hAnsi="宋体"/>
          <w:b/>
          <w:color w:val="000000"/>
          <w:sz w:val="32"/>
        </w:rPr>
      </w:pPr>
      <w:bookmarkStart w:id="0" w:name="_Toc10687"/>
      <w:bookmarkStart w:id="1" w:name="_Toc21541005"/>
      <w:r>
        <w:rPr>
          <w:rFonts w:hint="eastAsia" w:ascii="宋体" w:hAnsi="宋体"/>
          <w:b/>
          <w:color w:val="000000"/>
          <w:sz w:val="32"/>
        </w:rPr>
        <w:t>第一章</w:t>
      </w:r>
      <w:r>
        <w:rPr>
          <w:rFonts w:ascii="宋体" w:hAnsi="宋体"/>
          <w:b/>
          <w:color w:val="000000"/>
          <w:sz w:val="32"/>
        </w:rPr>
        <w:t xml:space="preserve">  </w:t>
      </w:r>
      <w:r>
        <w:rPr>
          <w:rFonts w:hint="eastAsia" w:ascii="宋体" w:hAnsi="宋体"/>
          <w:b/>
          <w:color w:val="000000"/>
          <w:sz w:val="32"/>
        </w:rPr>
        <w:t>采购公告</w:t>
      </w:r>
      <w:bookmarkEnd w:id="0"/>
      <w:bookmarkEnd w:id="1"/>
    </w:p>
    <w:p>
      <w:pPr>
        <w:spacing w:line="400" w:lineRule="exact"/>
        <w:rPr>
          <w:rFonts w:hint="eastAsia" w:ascii="宋体" w:hAnsi="宋体" w:cs="宋体"/>
        </w:rPr>
      </w:pPr>
      <w:r>
        <w:rPr>
          <w:rFonts w:hint="eastAsia" w:ascii="宋体" w:hAnsi="宋体" w:cs="宋体"/>
        </w:rPr>
        <w:t>项目概况</w:t>
      </w:r>
    </w:p>
    <w:p>
      <w:pPr>
        <w:spacing w:line="400" w:lineRule="exact"/>
        <w:rPr>
          <w:rFonts w:hint="eastAsia" w:ascii="宋体" w:hAnsi="宋体" w:cs="宋体"/>
        </w:rPr>
      </w:pPr>
      <w:r>
        <w:rPr>
          <w:rFonts w:hint="eastAsia" w:ascii="宋体" w:hAnsi="宋体" w:cs="宋体"/>
        </w:rPr>
        <w:t>舟山市中医院保安服务采购项目招标项目的潜在投标人应在政采云平台（https://login.zcygov.cn/user-login/#/login）获取（下载）招标文件，并于2022年</w:t>
      </w:r>
      <w:r>
        <w:rPr>
          <w:rFonts w:hint="eastAsia" w:ascii="宋体" w:hAnsi="宋体" w:cs="宋体"/>
          <w:lang w:eastAsia="zh-CN"/>
        </w:rPr>
        <w:t>3月4日</w:t>
      </w:r>
      <w:r>
        <w:rPr>
          <w:rFonts w:hint="eastAsia" w:ascii="宋体" w:hAnsi="宋体" w:cs="宋体"/>
        </w:rPr>
        <w:t xml:space="preserve"> </w:t>
      </w:r>
      <w:r>
        <w:rPr>
          <w:rFonts w:hint="eastAsia" w:ascii="宋体" w:hAnsi="宋体" w:cs="宋体"/>
          <w:lang w:eastAsia="zh-CN"/>
        </w:rPr>
        <w:t>09:30</w:t>
      </w:r>
      <w:r>
        <w:rPr>
          <w:rFonts w:hint="eastAsia" w:ascii="宋体" w:hAnsi="宋体" w:cs="宋体"/>
        </w:rPr>
        <w:t>（北京时间）前递交（上传）投标文件。</w:t>
      </w:r>
    </w:p>
    <w:p>
      <w:pPr>
        <w:spacing w:line="400" w:lineRule="exact"/>
        <w:rPr>
          <w:rFonts w:hint="eastAsia" w:ascii="宋体" w:hAnsi="宋体" w:cs="宋体"/>
        </w:rPr>
      </w:pPr>
      <w:r>
        <w:rPr>
          <w:rFonts w:hint="eastAsia" w:ascii="宋体" w:hAnsi="宋体" w:cs="宋体"/>
        </w:rPr>
        <w:t>一、项目基本情况</w:t>
      </w:r>
    </w:p>
    <w:p>
      <w:pPr>
        <w:spacing w:line="400" w:lineRule="exact"/>
        <w:rPr>
          <w:rFonts w:hint="eastAsia" w:ascii="宋体" w:hAnsi="宋体" w:cs="宋体"/>
        </w:rPr>
      </w:pPr>
      <w:r>
        <w:rPr>
          <w:rFonts w:hint="eastAsia" w:ascii="宋体" w:hAnsi="宋体" w:cs="宋体"/>
        </w:rPr>
        <w:t>项目编号：NBITC-202250011G</w:t>
      </w:r>
    </w:p>
    <w:p>
      <w:pPr>
        <w:spacing w:line="400" w:lineRule="exact"/>
        <w:rPr>
          <w:rFonts w:hint="eastAsia" w:ascii="宋体" w:hAnsi="宋体" w:cs="宋体"/>
        </w:rPr>
      </w:pPr>
      <w:r>
        <w:rPr>
          <w:rFonts w:hint="eastAsia" w:ascii="宋体" w:hAnsi="宋体" w:cs="宋体"/>
        </w:rPr>
        <w:t>项目名称：舟山市中医院保安服务采购项目</w:t>
      </w:r>
    </w:p>
    <w:p>
      <w:pPr>
        <w:spacing w:line="400" w:lineRule="exact"/>
        <w:rPr>
          <w:rFonts w:hint="eastAsia" w:ascii="宋体" w:hAnsi="宋体" w:cs="宋体"/>
          <w:highlight w:val="none"/>
        </w:rPr>
      </w:pPr>
      <w:r>
        <w:rPr>
          <w:rFonts w:hint="eastAsia" w:ascii="宋体" w:hAnsi="宋体" w:cs="宋体"/>
          <w:highlight w:val="none"/>
        </w:rPr>
        <w:t>预算金额（元）：5400000</w:t>
      </w:r>
    </w:p>
    <w:p>
      <w:pPr>
        <w:spacing w:line="400" w:lineRule="exact"/>
        <w:rPr>
          <w:rFonts w:hint="eastAsia" w:ascii="宋体" w:hAnsi="宋体" w:cs="宋体"/>
          <w:highlight w:val="none"/>
        </w:rPr>
      </w:pPr>
      <w:r>
        <w:rPr>
          <w:rFonts w:hint="eastAsia" w:ascii="宋体" w:hAnsi="宋体" w:cs="宋体"/>
          <w:highlight w:val="none"/>
        </w:rPr>
        <w:t>最高限价（元）：5400000</w:t>
      </w:r>
    </w:p>
    <w:p>
      <w:pPr>
        <w:spacing w:line="400" w:lineRule="exact"/>
        <w:rPr>
          <w:rFonts w:hint="eastAsia" w:ascii="宋体" w:hAnsi="宋体" w:cs="宋体"/>
        </w:rPr>
      </w:pPr>
      <w:r>
        <w:rPr>
          <w:rFonts w:hint="eastAsia" w:ascii="宋体" w:hAnsi="宋体" w:cs="宋体"/>
        </w:rPr>
        <w:t>采购需求：</w:t>
      </w:r>
    </w:p>
    <w:p>
      <w:pPr>
        <w:spacing w:line="400" w:lineRule="exact"/>
        <w:rPr>
          <w:rFonts w:hint="eastAsia" w:ascii="宋体" w:hAnsi="宋体" w:cs="宋体"/>
        </w:rPr>
      </w:pPr>
      <w:r>
        <w:rPr>
          <w:rFonts w:hint="eastAsia" w:ascii="宋体" w:hAnsi="宋体" w:cs="宋体"/>
        </w:rPr>
        <w:t>标项名称：保安服务</w:t>
      </w:r>
    </w:p>
    <w:p>
      <w:pPr>
        <w:spacing w:line="400" w:lineRule="exact"/>
        <w:rPr>
          <w:rFonts w:hint="eastAsia" w:ascii="宋体" w:hAnsi="宋体" w:cs="宋体"/>
        </w:rPr>
      </w:pPr>
      <w:r>
        <w:rPr>
          <w:rFonts w:hint="eastAsia" w:ascii="宋体" w:hAnsi="宋体" w:cs="宋体"/>
        </w:rPr>
        <w:t>数量：1</w:t>
      </w:r>
    </w:p>
    <w:p>
      <w:pPr>
        <w:spacing w:line="400" w:lineRule="exact"/>
        <w:rPr>
          <w:rFonts w:hint="eastAsia" w:ascii="宋体" w:hAnsi="宋体" w:cs="宋体"/>
        </w:rPr>
      </w:pPr>
      <w:r>
        <w:rPr>
          <w:rFonts w:hint="eastAsia" w:ascii="宋体" w:hAnsi="宋体" w:cs="宋体"/>
        </w:rPr>
        <w:t>预</w:t>
      </w:r>
      <w:r>
        <w:rPr>
          <w:rFonts w:hint="eastAsia" w:ascii="宋体" w:hAnsi="宋体" w:cs="宋体"/>
          <w:highlight w:val="none"/>
        </w:rPr>
        <w:t>算金额（元）：5400000</w:t>
      </w:r>
    </w:p>
    <w:p>
      <w:pPr>
        <w:spacing w:line="400" w:lineRule="exact"/>
        <w:rPr>
          <w:rFonts w:hint="eastAsia" w:ascii="宋体" w:hAnsi="宋体" w:cs="宋体"/>
        </w:rPr>
      </w:pPr>
      <w:r>
        <w:rPr>
          <w:rFonts w:hint="eastAsia" w:ascii="宋体" w:hAnsi="宋体" w:cs="宋体"/>
        </w:rPr>
        <w:t>简要规格描述或项目基本概况介绍、用途：详见招标文件</w:t>
      </w:r>
    </w:p>
    <w:p>
      <w:pPr>
        <w:spacing w:line="400" w:lineRule="exact"/>
        <w:rPr>
          <w:rFonts w:hint="eastAsia" w:ascii="宋体" w:hAnsi="宋体" w:cs="宋体"/>
        </w:rPr>
      </w:pPr>
      <w:r>
        <w:rPr>
          <w:rFonts w:hint="eastAsia" w:ascii="宋体" w:hAnsi="宋体" w:cs="宋体"/>
        </w:rPr>
        <w:t>备注：</w:t>
      </w:r>
      <w:r>
        <w:rPr>
          <w:rFonts w:hint="eastAsia" w:ascii="宋体" w:hAnsi="宋体" w:cs="宋体"/>
          <w:szCs w:val="21"/>
        </w:rPr>
        <w:t>本项目未预留份额专门面向中小企业采购</w:t>
      </w:r>
    </w:p>
    <w:p>
      <w:pPr>
        <w:spacing w:line="400" w:lineRule="exact"/>
        <w:rPr>
          <w:rFonts w:hint="eastAsia" w:ascii="宋体" w:hAnsi="宋体" w:cs="宋体"/>
        </w:rPr>
      </w:pPr>
    </w:p>
    <w:p>
      <w:pPr>
        <w:spacing w:line="400" w:lineRule="exact"/>
        <w:rPr>
          <w:rFonts w:hint="eastAsia" w:ascii="宋体" w:hAnsi="宋体" w:cs="宋体"/>
        </w:rPr>
      </w:pPr>
      <w:r>
        <w:rPr>
          <w:rFonts w:hint="eastAsia" w:ascii="宋体" w:hAnsi="宋体" w:cs="宋体"/>
        </w:rPr>
        <w:t>合同履约期限：标项1，</w:t>
      </w:r>
      <w:r>
        <w:rPr>
          <w:rFonts w:hint="eastAsia" w:ascii="宋体" w:hAnsi="宋体" w:cs="宋体"/>
          <w:szCs w:val="21"/>
          <w:highlight w:val="none"/>
        </w:rPr>
        <w:t>服务期限三年，合同一年一签，每年期满后，招标人对中标人的合同履行等情况进行综合评估考核，考核合格后续签下一年度</w:t>
      </w:r>
      <w:r>
        <w:rPr>
          <w:rFonts w:hint="eastAsia" w:ascii="宋体" w:hAnsi="宋体"/>
          <w:highlight w:val="none"/>
        </w:rPr>
        <w:t>，续签条款按照原合同履行。</w:t>
      </w:r>
    </w:p>
    <w:p>
      <w:pPr>
        <w:spacing w:line="400" w:lineRule="exact"/>
        <w:rPr>
          <w:rFonts w:hint="eastAsia" w:ascii="宋体" w:hAnsi="宋体" w:cs="宋体"/>
        </w:rPr>
      </w:pPr>
      <w:r>
        <w:rPr>
          <w:rFonts w:hint="eastAsia" w:ascii="宋体" w:hAnsi="宋体" w:cs="宋体"/>
        </w:rPr>
        <w:t>本项目（否）接受联合体投标。</w:t>
      </w:r>
    </w:p>
    <w:p>
      <w:pPr>
        <w:spacing w:line="400" w:lineRule="exact"/>
        <w:rPr>
          <w:rFonts w:hint="eastAsia" w:ascii="宋体" w:hAnsi="宋体" w:cs="宋体"/>
        </w:rPr>
      </w:pPr>
    </w:p>
    <w:p>
      <w:pPr>
        <w:spacing w:line="400" w:lineRule="exact"/>
        <w:rPr>
          <w:rFonts w:hint="eastAsia" w:ascii="宋体" w:hAnsi="宋体" w:cs="宋体"/>
        </w:rPr>
      </w:pPr>
      <w:r>
        <w:rPr>
          <w:rFonts w:hint="eastAsia" w:ascii="宋体" w:hAnsi="宋体" w:cs="宋体"/>
        </w:rPr>
        <w:t>二、申请人的资格要求：</w:t>
      </w:r>
    </w:p>
    <w:p>
      <w:pPr>
        <w:spacing w:line="400" w:lineRule="exact"/>
        <w:rPr>
          <w:rFonts w:hint="eastAsia" w:ascii="宋体" w:hAnsi="宋体" w:cs="宋体"/>
        </w:rPr>
      </w:pPr>
      <w:r>
        <w:rPr>
          <w:rFonts w:hint="eastAsia" w:ascii="宋体" w:hAnsi="宋体" w:cs="宋体"/>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400" w:lineRule="exact"/>
        <w:rPr>
          <w:rFonts w:hint="eastAsia" w:ascii="宋体" w:hAnsi="宋体" w:cs="宋体"/>
        </w:rPr>
      </w:pPr>
      <w:r>
        <w:rPr>
          <w:rFonts w:hint="eastAsia" w:ascii="宋体" w:hAnsi="宋体" w:cs="宋体"/>
        </w:rPr>
        <w:t>2.落实政府采购政策需满足的资格要求：无</w:t>
      </w:r>
    </w:p>
    <w:p>
      <w:pPr>
        <w:spacing w:line="400" w:lineRule="exact"/>
        <w:rPr>
          <w:rFonts w:hint="eastAsia" w:ascii="宋体" w:hAnsi="宋体" w:cs="宋体"/>
        </w:rPr>
      </w:pPr>
      <w:r>
        <w:rPr>
          <w:rFonts w:hint="eastAsia" w:ascii="宋体" w:hAnsi="宋体" w:cs="宋体"/>
        </w:rPr>
        <w:t>3.本项目的特定资格要求：</w:t>
      </w:r>
      <w:r>
        <w:rPr>
          <w:rFonts w:hint="eastAsia" w:ascii="宋体" w:hAnsi="宋体" w:cs="宋体"/>
          <w:szCs w:val="21"/>
        </w:rPr>
        <w:t>供应商须具有公安机关核发的保安服务许可证。</w:t>
      </w:r>
    </w:p>
    <w:p>
      <w:pPr>
        <w:spacing w:line="400" w:lineRule="exact"/>
        <w:rPr>
          <w:rFonts w:hint="eastAsia" w:ascii="宋体" w:hAnsi="宋体" w:cs="宋体"/>
        </w:rPr>
      </w:pPr>
    </w:p>
    <w:p>
      <w:pPr>
        <w:spacing w:line="400" w:lineRule="exact"/>
        <w:rPr>
          <w:rFonts w:hint="eastAsia" w:ascii="宋体" w:hAnsi="宋体" w:cs="宋体"/>
        </w:rPr>
      </w:pPr>
      <w:r>
        <w:rPr>
          <w:rFonts w:hint="eastAsia" w:ascii="宋体" w:hAnsi="宋体" w:cs="宋体"/>
        </w:rPr>
        <w:t>三、获取招标文件</w:t>
      </w:r>
    </w:p>
    <w:p>
      <w:pPr>
        <w:spacing w:line="400" w:lineRule="exact"/>
        <w:rPr>
          <w:rFonts w:hint="eastAsia" w:ascii="宋体" w:hAnsi="宋体" w:cs="宋体"/>
        </w:rPr>
      </w:pPr>
      <w:r>
        <w:rPr>
          <w:rFonts w:hint="eastAsia" w:ascii="宋体" w:hAnsi="宋体" w:cs="宋体"/>
        </w:rPr>
        <w:t>时间：2022年</w:t>
      </w:r>
      <w:r>
        <w:rPr>
          <w:rFonts w:hint="eastAsia" w:ascii="宋体" w:hAnsi="宋体" w:cs="宋体"/>
          <w:lang w:val="en-US" w:eastAsia="zh-CN"/>
        </w:rPr>
        <w:t>2</w:t>
      </w:r>
      <w:r>
        <w:rPr>
          <w:rFonts w:hint="eastAsia" w:ascii="宋体" w:hAnsi="宋体" w:cs="宋体"/>
          <w:lang w:eastAsia="zh-CN"/>
        </w:rPr>
        <w:t>月</w:t>
      </w:r>
      <w:r>
        <w:rPr>
          <w:rFonts w:hint="eastAsia" w:ascii="宋体" w:hAnsi="宋体" w:cs="宋体"/>
          <w:lang w:val="en-US" w:eastAsia="zh-CN"/>
        </w:rPr>
        <w:t>11</w:t>
      </w:r>
      <w:r>
        <w:rPr>
          <w:rFonts w:hint="eastAsia" w:ascii="宋体" w:hAnsi="宋体" w:cs="宋体"/>
          <w:lang w:eastAsia="zh-CN"/>
        </w:rPr>
        <w:t>日</w:t>
      </w:r>
      <w:r>
        <w:rPr>
          <w:rFonts w:hint="eastAsia" w:ascii="宋体" w:hAnsi="宋体" w:cs="宋体"/>
        </w:rPr>
        <w:t>至2022年</w:t>
      </w:r>
      <w:r>
        <w:rPr>
          <w:rFonts w:hint="eastAsia" w:ascii="宋体" w:hAnsi="宋体" w:cs="宋体"/>
          <w:lang w:eastAsia="zh-CN"/>
        </w:rPr>
        <w:t>3月4日</w:t>
      </w:r>
      <w:r>
        <w:rPr>
          <w:rFonts w:hint="eastAsia" w:ascii="宋体" w:hAnsi="宋体" w:cs="宋体"/>
        </w:rPr>
        <w:t>，每天上午00:00至12:00，下午12:00至23:59（北京时间，线上获取法定节假日均可，线下获取文件法定节假日除外）</w:t>
      </w:r>
    </w:p>
    <w:p>
      <w:pPr>
        <w:spacing w:line="400" w:lineRule="exact"/>
        <w:rPr>
          <w:rFonts w:hint="eastAsia" w:ascii="宋体" w:hAnsi="宋体" w:cs="宋体"/>
        </w:rPr>
      </w:pPr>
      <w:r>
        <w:rPr>
          <w:rFonts w:hint="eastAsia" w:ascii="宋体" w:hAnsi="宋体" w:cs="宋体"/>
        </w:rPr>
        <w:t>地点（网址）：政采云平台（https://login.zcygov.cn/user-login/#/login）</w:t>
      </w:r>
    </w:p>
    <w:p>
      <w:pPr>
        <w:spacing w:line="400" w:lineRule="exact"/>
        <w:rPr>
          <w:rFonts w:hint="eastAsia" w:ascii="宋体" w:hAnsi="宋体" w:cs="宋体"/>
        </w:rPr>
      </w:pPr>
      <w:r>
        <w:rPr>
          <w:rFonts w:hint="eastAsia" w:ascii="宋体" w:hAnsi="宋体" w:cs="宋体"/>
        </w:rPr>
        <w:t>方式：供应商登录政采云平台（https://login.zcygov.cn/user-login/#/login）的注册账号后，进入政采云系统“项目采购”模块“获取采购文件”菜单，进行网上获取采购文件。如有疑问请及时咨询网站客服，咨询电话：4008817190。</w:t>
      </w:r>
    </w:p>
    <w:p>
      <w:pPr>
        <w:spacing w:line="400" w:lineRule="exact"/>
        <w:rPr>
          <w:rFonts w:hint="eastAsia" w:ascii="宋体" w:hAnsi="宋体" w:cs="宋体"/>
        </w:rPr>
      </w:pPr>
      <w:r>
        <w:rPr>
          <w:rFonts w:hint="eastAsia" w:ascii="宋体" w:hAnsi="宋体" w:cs="宋体"/>
        </w:rPr>
        <w:t>本招标公告附件中的招标文件仅供阅览使用，供应商应在规定的招标文件提供期限内在政采云平台登录上述供应商注册的账号后获取招标文件，未在规定的招标文件提供期限内或未按上述方式获取招标文件的，其投标均视为无效，并不得对招标文件提起质疑投诉。</w:t>
      </w:r>
    </w:p>
    <w:p>
      <w:pPr>
        <w:spacing w:line="400" w:lineRule="exact"/>
        <w:rPr>
          <w:rFonts w:hint="eastAsia" w:ascii="宋体" w:hAnsi="宋体" w:cs="宋体"/>
        </w:rPr>
      </w:pPr>
      <w:r>
        <w:rPr>
          <w:rFonts w:hint="eastAsia" w:ascii="宋体" w:hAnsi="宋体" w:cs="宋体"/>
        </w:rPr>
        <w:t>售价（元）：0</w:t>
      </w:r>
    </w:p>
    <w:p>
      <w:pPr>
        <w:spacing w:line="400" w:lineRule="exact"/>
        <w:rPr>
          <w:rFonts w:hint="eastAsia" w:ascii="宋体" w:hAnsi="宋体" w:cs="宋体"/>
        </w:rPr>
      </w:pPr>
    </w:p>
    <w:p>
      <w:pPr>
        <w:spacing w:line="400" w:lineRule="exact"/>
        <w:rPr>
          <w:rFonts w:hint="eastAsia" w:ascii="宋体" w:hAnsi="宋体" w:cs="宋体"/>
        </w:rPr>
      </w:pPr>
      <w:r>
        <w:rPr>
          <w:rFonts w:hint="eastAsia" w:ascii="宋体" w:hAnsi="宋体" w:cs="宋体"/>
        </w:rPr>
        <w:t>四、提交投标文件截止时间、开标时间和地点</w:t>
      </w:r>
    </w:p>
    <w:p>
      <w:pPr>
        <w:spacing w:line="400" w:lineRule="exact"/>
        <w:rPr>
          <w:rFonts w:hint="eastAsia" w:ascii="宋体" w:hAnsi="宋体" w:cs="宋体"/>
        </w:rPr>
      </w:pPr>
      <w:r>
        <w:rPr>
          <w:rFonts w:hint="eastAsia" w:ascii="宋体" w:hAnsi="宋体" w:cs="宋体"/>
        </w:rPr>
        <w:t>提交投标文件截止时间：2022年</w:t>
      </w:r>
      <w:r>
        <w:rPr>
          <w:rFonts w:hint="eastAsia" w:ascii="宋体" w:hAnsi="宋体" w:cs="宋体"/>
          <w:lang w:eastAsia="zh-CN"/>
        </w:rPr>
        <w:t>3月4日</w:t>
      </w:r>
      <w:r>
        <w:rPr>
          <w:rFonts w:hint="eastAsia" w:ascii="宋体" w:hAnsi="宋体" w:cs="宋体"/>
        </w:rPr>
        <w:t xml:space="preserve"> </w:t>
      </w:r>
      <w:r>
        <w:rPr>
          <w:rFonts w:hint="eastAsia" w:ascii="宋体" w:hAnsi="宋体" w:cs="宋体"/>
          <w:lang w:eastAsia="zh-CN"/>
        </w:rPr>
        <w:t>09:30</w:t>
      </w:r>
      <w:r>
        <w:rPr>
          <w:rFonts w:hint="eastAsia" w:ascii="宋体" w:hAnsi="宋体" w:cs="宋体"/>
        </w:rPr>
        <w:t>（北京时间）</w:t>
      </w:r>
    </w:p>
    <w:p>
      <w:pPr>
        <w:spacing w:line="400" w:lineRule="exact"/>
        <w:rPr>
          <w:rFonts w:hint="eastAsia" w:ascii="宋体" w:hAnsi="宋体" w:cs="宋体"/>
        </w:rPr>
      </w:pPr>
      <w:r>
        <w:rPr>
          <w:rFonts w:hint="eastAsia" w:ascii="宋体" w:hAnsi="宋体" w:cs="宋体"/>
        </w:rPr>
        <w:t xml:space="preserve">投标地点（网址）：“政府采购云平台”线上开标 </w:t>
      </w:r>
    </w:p>
    <w:p>
      <w:pPr>
        <w:spacing w:line="400" w:lineRule="exact"/>
        <w:rPr>
          <w:rFonts w:hint="eastAsia" w:ascii="宋体" w:hAnsi="宋体" w:cs="宋体"/>
        </w:rPr>
      </w:pPr>
      <w:r>
        <w:rPr>
          <w:rFonts w:hint="eastAsia" w:ascii="宋体" w:cs="宋体"/>
          <w:szCs w:val="21"/>
        </w:rPr>
        <w:t>投标人应于提交投标文件截止时间前将电子投标文件上传到政府采购云平台（</w:t>
      </w:r>
      <w:r>
        <w:rPr>
          <w:rFonts w:hint="eastAsia" w:ascii="宋体" w:cs="宋体"/>
          <w:szCs w:val="21"/>
        </w:rPr>
        <w:fldChar w:fldCharType="begin"/>
      </w:r>
      <w:r>
        <w:rPr>
          <w:rFonts w:hint="eastAsia" w:ascii="宋体" w:cs="宋体"/>
          <w:szCs w:val="21"/>
        </w:rPr>
        <w:instrText xml:space="preserve"> HYPERLINK "https://www.zcygov.cn/" </w:instrText>
      </w:r>
      <w:r>
        <w:rPr>
          <w:rFonts w:hint="eastAsia" w:ascii="宋体" w:cs="宋体"/>
          <w:szCs w:val="21"/>
        </w:rPr>
        <w:fldChar w:fldCharType="separate"/>
      </w:r>
      <w:r>
        <w:rPr>
          <w:rFonts w:hint="eastAsia" w:ascii="宋体" w:cs="宋体"/>
          <w:szCs w:val="21"/>
        </w:rPr>
        <w:t>https://www.zcygov.cn/</w:t>
      </w:r>
      <w:r>
        <w:rPr>
          <w:rFonts w:hint="eastAsia" w:ascii="宋体" w:cs="宋体"/>
          <w:szCs w:val="21"/>
        </w:rPr>
        <w:fldChar w:fldCharType="end"/>
      </w:r>
      <w:r>
        <w:rPr>
          <w:rFonts w:hint="eastAsia" w:ascii="宋体" w:cs="宋体"/>
          <w:szCs w:val="21"/>
        </w:rPr>
        <w:t>），并应将以U盘或光盘存储的电子备份投标文件（1份）和纸质备份投标文件（1份）密封邮寄或派专人递送于投标截止时间前到达招标代理公司：宁波市国际招标有限公司（宁波市江北区环城北路西段207弄19号世茂茂悦商业中心1号楼八楼010室），联系方式：吴婧13777146394。</w:t>
      </w:r>
      <w:r>
        <w:rPr>
          <w:rFonts w:hint="eastAsia" w:ascii="宋体" w:hAnsi="宋体" w:cs="宋体"/>
        </w:rPr>
        <w:t>开标当天下午递交送至：</w:t>
      </w:r>
      <w:r>
        <w:rPr>
          <w:rFonts w:hint="eastAsia" w:ascii="宋体" w:cs="宋体"/>
          <w:szCs w:val="21"/>
          <w:shd w:val="clear" w:color="auto" w:fill="FFFFFF"/>
        </w:rPr>
        <w:t>舟山市公共资源交易中心（舟山市新城翁山路555号四楼（大宗商品交易中心同幢西边））开标室（详见大屏幕）</w:t>
      </w:r>
    </w:p>
    <w:p>
      <w:pPr>
        <w:spacing w:line="400" w:lineRule="exact"/>
        <w:rPr>
          <w:rFonts w:hint="eastAsia" w:ascii="宋体" w:hAnsi="宋体" w:eastAsia="宋体" w:cs="宋体"/>
          <w:lang w:eastAsia="zh-CN"/>
        </w:rPr>
      </w:pPr>
      <w:r>
        <w:rPr>
          <w:rFonts w:hint="eastAsia" w:ascii="宋体" w:hAnsi="宋体" w:cs="宋体"/>
        </w:rPr>
        <w:t>开标时间：2022年</w:t>
      </w:r>
      <w:r>
        <w:rPr>
          <w:rFonts w:hint="eastAsia" w:ascii="宋体" w:hAnsi="宋体" w:cs="宋体"/>
          <w:lang w:eastAsia="zh-CN"/>
        </w:rPr>
        <w:t>3月4日</w:t>
      </w:r>
      <w:r>
        <w:rPr>
          <w:rFonts w:hint="eastAsia" w:ascii="宋体" w:hAnsi="宋体" w:cs="宋体"/>
        </w:rPr>
        <w:t xml:space="preserve"> </w:t>
      </w:r>
      <w:r>
        <w:rPr>
          <w:rFonts w:hint="eastAsia" w:ascii="宋体" w:hAnsi="宋体" w:cs="宋体"/>
          <w:lang w:eastAsia="zh-CN"/>
        </w:rPr>
        <w:t>09:30</w:t>
      </w:r>
    </w:p>
    <w:p>
      <w:pPr>
        <w:spacing w:line="400" w:lineRule="exact"/>
        <w:rPr>
          <w:rFonts w:hint="eastAsia" w:ascii="宋体" w:hAnsi="宋体" w:cs="宋体"/>
        </w:rPr>
      </w:pPr>
      <w:r>
        <w:rPr>
          <w:rFonts w:hint="eastAsia" w:ascii="宋体" w:hAnsi="宋体" w:cs="宋体"/>
        </w:rPr>
        <w:t xml:space="preserve">开标地点（网址）：“政府采购云平台”线上开标 </w:t>
      </w:r>
    </w:p>
    <w:p>
      <w:pPr>
        <w:spacing w:line="400" w:lineRule="exact"/>
        <w:rPr>
          <w:rFonts w:hint="eastAsia" w:ascii="宋体" w:hAnsi="宋体" w:cs="宋体"/>
        </w:rPr>
      </w:pPr>
      <w:r>
        <w:rPr>
          <w:rFonts w:hint="eastAsia" w:ascii="宋体" w:hAnsi="宋体" w:cs="宋体"/>
        </w:rPr>
        <w:t>开标时间后半小时内（2022年</w:t>
      </w:r>
      <w:r>
        <w:rPr>
          <w:rFonts w:hint="eastAsia" w:ascii="宋体" w:hAnsi="宋体" w:cs="宋体"/>
          <w:lang w:eastAsia="zh-CN"/>
        </w:rPr>
        <w:t>3月4日</w:t>
      </w:r>
      <w:r>
        <w:rPr>
          <w:rFonts w:hint="eastAsia" w:ascii="宋体" w:hAnsi="宋体" w:cs="宋体"/>
          <w:lang w:val="en-US" w:eastAsia="zh-CN"/>
        </w:rPr>
        <w:t>10</w:t>
      </w:r>
      <w:r>
        <w:rPr>
          <w:rFonts w:hint="eastAsia" w:ascii="宋体" w:hAnsi="宋体" w:cs="宋体"/>
        </w:rPr>
        <w:t>时</w:t>
      </w:r>
      <w:r>
        <w:rPr>
          <w:rFonts w:hint="eastAsia" w:ascii="宋体" w:hAnsi="宋体" w:cs="宋体"/>
          <w:lang w:val="en-US" w:eastAsia="zh-CN"/>
        </w:rPr>
        <w:t>00</w:t>
      </w:r>
      <w:r>
        <w:rPr>
          <w:rFonts w:hint="eastAsia" w:ascii="宋体" w:hAnsi="宋体" w:cs="宋体"/>
        </w:rPr>
        <w:t>分前）投标人可以登录政府采购云平台https://www.zcygov.cn/，用“项目采购-开标评标”功能进行解密投标文件。</w:t>
      </w:r>
    </w:p>
    <w:p>
      <w:pPr>
        <w:spacing w:line="400" w:lineRule="exact"/>
        <w:rPr>
          <w:rFonts w:hint="eastAsia" w:ascii="宋体" w:hAnsi="宋体" w:cs="宋体"/>
        </w:rPr>
      </w:pPr>
    </w:p>
    <w:p>
      <w:pPr>
        <w:spacing w:line="400" w:lineRule="exact"/>
        <w:rPr>
          <w:rFonts w:hint="eastAsia" w:ascii="宋体" w:hAnsi="宋体" w:cs="宋体"/>
        </w:rPr>
      </w:pPr>
      <w:r>
        <w:rPr>
          <w:rFonts w:hint="eastAsia" w:ascii="宋体" w:hAnsi="宋体" w:cs="宋体"/>
        </w:rPr>
        <w:t>五、采购意向公开链接</w:t>
      </w:r>
    </w:p>
    <w:p>
      <w:pPr>
        <w:spacing w:line="400" w:lineRule="exact"/>
        <w:rPr>
          <w:rFonts w:hint="eastAsia" w:ascii="宋体" w:hAnsi="宋体" w:cs="宋体"/>
        </w:rPr>
      </w:pPr>
      <w:r>
        <w:rPr>
          <w:rFonts w:hint="eastAsia" w:ascii="宋体" w:hAnsi="宋体" w:cs="宋体"/>
        </w:rPr>
        <w:t>https://zfcg.czt.zj.gov.cn/innerUsed_noticeDetails/index.html?noticeId=8517063&amp;utm=web-government-front.49399a16.0.0.eb4d62508b0411ecb78a33434f81ac05</w:t>
      </w:r>
    </w:p>
    <w:p>
      <w:pPr>
        <w:spacing w:line="400" w:lineRule="exact"/>
        <w:rPr>
          <w:rFonts w:hint="eastAsia" w:ascii="宋体" w:hAnsi="宋体" w:cs="宋体"/>
        </w:rPr>
      </w:pPr>
    </w:p>
    <w:p>
      <w:pPr>
        <w:spacing w:line="400" w:lineRule="exact"/>
        <w:rPr>
          <w:rFonts w:hint="eastAsia" w:ascii="宋体" w:hAnsi="宋体" w:cs="宋体"/>
        </w:rPr>
      </w:pPr>
      <w:r>
        <w:rPr>
          <w:rFonts w:hint="eastAsia" w:ascii="宋体" w:hAnsi="宋体" w:cs="宋体"/>
        </w:rPr>
        <w:t>六、公告期限</w:t>
      </w:r>
    </w:p>
    <w:p>
      <w:pPr>
        <w:spacing w:line="400" w:lineRule="exact"/>
        <w:rPr>
          <w:rFonts w:hint="eastAsia" w:ascii="宋体" w:hAnsi="宋体" w:cs="宋体"/>
        </w:rPr>
      </w:pPr>
      <w:r>
        <w:rPr>
          <w:rFonts w:hint="eastAsia" w:ascii="宋体" w:hAnsi="宋体" w:cs="宋体"/>
        </w:rPr>
        <w:t>自本公告发布之日起5个工作日。</w:t>
      </w:r>
    </w:p>
    <w:p>
      <w:pPr>
        <w:spacing w:line="400" w:lineRule="exact"/>
        <w:rPr>
          <w:rFonts w:hint="eastAsia" w:ascii="宋体" w:hAnsi="宋体" w:cs="宋体"/>
        </w:rPr>
      </w:pPr>
    </w:p>
    <w:p>
      <w:pPr>
        <w:spacing w:line="400" w:lineRule="exact"/>
        <w:rPr>
          <w:rFonts w:hint="eastAsia" w:ascii="宋体" w:hAnsi="宋体" w:cs="宋体"/>
        </w:rPr>
      </w:pPr>
      <w:r>
        <w:rPr>
          <w:rFonts w:hint="eastAsia" w:ascii="宋体" w:hAnsi="宋体" w:cs="宋体"/>
        </w:rPr>
        <w:t>七、其他补充事宜</w:t>
      </w:r>
    </w:p>
    <w:p>
      <w:pPr>
        <w:spacing w:line="400" w:lineRule="exact"/>
        <w:rPr>
          <w:rFonts w:hint="eastAsia" w:ascii="宋体" w:hAnsi="宋体" w:cs="宋体"/>
        </w:rPr>
      </w:pPr>
      <w:r>
        <w:rPr>
          <w:rFonts w:hint="eastAsia" w:ascii="宋体" w:hAnsi="宋体" w:cs="宋体"/>
        </w:rPr>
        <w:t>1.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400" w:lineRule="exact"/>
        <w:rPr>
          <w:rFonts w:hint="eastAsia" w:ascii="宋体" w:hAnsi="宋体" w:cs="宋体"/>
        </w:rPr>
      </w:pPr>
      <w:r>
        <w:rPr>
          <w:rFonts w:hint="eastAsia" w:ascii="宋体" w:hAnsi="宋体" w:cs="宋体"/>
        </w:rPr>
        <w:t>2.其他事项：（1）参加投标的投标人应于投标前到“浙江政府采购网（http://zfcg.czt.zj.gov.cn/）”上进行投标人注册申请，并通过财政部门的终审后登记加入到“浙江省政府采购投标人库”。 中标或成交投标人必须注册并登记加入“浙江省政府采购投标人库”。具体要求及注册申请流程详见《浙江省政府采购投标人注册及诚信管理暂行办法》（浙财采监字{2009}28号）和浙江政府采购网“网上办事指南”的“投标人注册申请”。（2）单位负责人为同一人或者存在直接控股、管理关系的不同投标人，不得参加同一子包号的投标。 （3）为本项目提供整体设计、规范编制或者项目管理、监理、检测等服务的投标人，不得再参加本项目的投标。（4）《关于促进残疾人就业政府采购政策的通知》（财库[2017]141号）、《政府采购促进中小企业发展管理办法》（财库〔2020〕46号）、《关于政府采购支持监狱企业发展有关问题的通知》(财库[2014]68号)。（5）本项目实行网上投标，采用电子投标文件。若供应商参与投标，自行承担投标一切费用。（6）为支持和促进中小企业发展，舟山市财政局出台了政府采购信用融资政策，具体内容详见招标文件。（7）银行、保险、石油石化、电力、电信等有行业特殊情况的，取得营业执照的分支机构可以以分公司名义参与投标。招标文件中涉及的“法定代表人”在前述特殊行业中即对应为“分支机构负责人”。</w:t>
      </w:r>
    </w:p>
    <w:p>
      <w:pPr>
        <w:spacing w:line="400" w:lineRule="exact"/>
        <w:rPr>
          <w:rFonts w:hint="eastAsia" w:ascii="宋体" w:hAnsi="宋体" w:cs="宋体"/>
        </w:rPr>
      </w:pPr>
      <w:r>
        <w:rPr>
          <w:rFonts w:hint="eastAsia" w:ascii="宋体" w:hAnsi="宋体" w:cs="宋体"/>
          <w:bCs/>
          <w:szCs w:val="21"/>
        </w:rPr>
        <w:t>标前准备：各供应商应在投标截止时间前确保成为浙江政府采购网正式注册入库供应商，并完成CA数字证书办理。因未注册入库、未办理CA数字证书等原因造成无法投标或投标失败等后果由供应商自行承担。（供应商CA申领操作指南：https://help.zcygov.cn/web/site_2/2018/11-29/2452.html，完成CA数字证书办理预计一周左右，请供应商自行把握时间）</w:t>
      </w:r>
    </w:p>
    <w:p>
      <w:pPr>
        <w:spacing w:line="400" w:lineRule="exact"/>
        <w:rPr>
          <w:rFonts w:hint="eastAsia" w:ascii="宋体" w:hAnsi="宋体" w:cs="宋体"/>
        </w:rPr>
      </w:pPr>
      <w:r>
        <w:rPr>
          <w:rFonts w:hint="eastAsia" w:ascii="宋体" w:hAnsi="宋体" w:cs="宋体"/>
        </w:rPr>
        <w:t>3、投标文件制作：</w:t>
      </w:r>
    </w:p>
    <w:p>
      <w:pPr>
        <w:spacing w:line="400" w:lineRule="exact"/>
        <w:rPr>
          <w:rFonts w:hint="eastAsia" w:ascii="宋体" w:hAnsi="宋体" w:cs="宋体"/>
        </w:rPr>
      </w:pPr>
      <w:r>
        <w:rPr>
          <w:rFonts w:hint="eastAsia" w:ascii="宋体" w:hAnsi="宋体" w:cs="宋体"/>
        </w:rPr>
        <w:t>（1）应按照本项目招标文件和政府采购云平台的要求编制、加密并递交投标文件。供应商在使用系统进行投标的过程中遇到涉及平台使用的任何问题，可致电政府采购云平台技术支持热线咨询，联系方式：4008817190。</w:t>
      </w:r>
    </w:p>
    <w:p>
      <w:pPr>
        <w:spacing w:line="400" w:lineRule="exact"/>
        <w:rPr>
          <w:rFonts w:hint="eastAsia" w:ascii="宋体" w:hAnsi="宋体" w:cs="宋体"/>
        </w:rPr>
      </w:pPr>
      <w:r>
        <w:rPr>
          <w:rFonts w:hint="eastAsia" w:ascii="宋体" w:hAnsi="宋体" w:cs="宋体"/>
        </w:rPr>
        <w:t>（2）供应商通过政府采购云平台电子投标工具制作投标文件。电子投标工具请供应商自行前往浙江政府采购网下载并安装</w:t>
      </w:r>
      <w:r>
        <w:rPr>
          <w:rFonts w:hint="eastAsia" w:ascii="宋体" w:hAnsi="宋体" w:cs="宋体"/>
          <w:i/>
        </w:rPr>
        <w:t>（</w:t>
      </w:r>
      <w:r>
        <w:rPr>
          <w:rFonts w:ascii="宋体" w:hAnsi="宋体" w:cs="宋体"/>
          <w:i/>
        </w:rPr>
        <w:fldChar w:fldCharType="begin"/>
      </w:r>
      <w:r>
        <w:rPr>
          <w:rFonts w:ascii="宋体" w:hAnsi="宋体" w:cs="宋体"/>
          <w:i/>
        </w:rPr>
        <w:instrText xml:space="preserve"> HYPERLINK "</w:instrText>
      </w:r>
      <w:r>
        <w:rPr>
          <w:rFonts w:hint="eastAsia" w:ascii="宋体" w:hAnsi="宋体" w:cs="宋体"/>
          <w:i/>
        </w:rPr>
        <w:instrText xml:space="preserve">http://zfcg.czt.zj.gov.cn/bidClientTemplate/2019-05-27/12946.html</w:instrText>
      </w:r>
      <w:r>
        <w:rPr>
          <w:rFonts w:ascii="宋体" w:hAnsi="宋体" w:cs="宋体"/>
          <w:i/>
        </w:rPr>
        <w:instrText xml:space="preserve">" </w:instrText>
      </w:r>
      <w:r>
        <w:rPr>
          <w:rFonts w:ascii="宋体" w:hAnsi="宋体" w:cs="宋体"/>
          <w:i/>
        </w:rPr>
        <w:fldChar w:fldCharType="separate"/>
      </w:r>
      <w:r>
        <w:rPr>
          <w:rStyle w:val="52"/>
          <w:rFonts w:hint="eastAsia" w:cs="宋体"/>
          <w:i w:val="0"/>
          <w:color w:val="auto"/>
          <w:sz w:val="21"/>
          <w:szCs w:val="20"/>
          <w:u w:val="none"/>
        </w:rPr>
        <w:t>http://zfcg.czt.zj.gov.cn/bidClientTemplate/2019-05-27/12946.html</w:t>
      </w:r>
      <w:r>
        <w:rPr>
          <w:rFonts w:ascii="宋体" w:hAnsi="宋体" w:cs="宋体"/>
          <w:i/>
        </w:rPr>
        <w:fldChar w:fldCharType="end"/>
      </w:r>
      <w:r>
        <w:rPr>
          <w:rFonts w:hint="eastAsia" w:ascii="宋体" w:hAnsi="宋体" w:cs="宋体"/>
          <w:i/>
        </w:rPr>
        <w:t>）。</w:t>
      </w:r>
    </w:p>
    <w:p>
      <w:pPr>
        <w:spacing w:line="400" w:lineRule="exact"/>
        <w:rPr>
          <w:rFonts w:hint="eastAsia" w:ascii="宋体" w:hAnsi="宋体" w:cs="宋体"/>
        </w:rPr>
      </w:pPr>
      <w:r>
        <w:rPr>
          <w:rFonts w:hint="eastAsia" w:ascii="宋体" w:hAnsi="宋体" w:cs="宋体"/>
        </w:rPr>
        <w:t>4、供应商投标文件制作及电子交易操作指南详见：</w:t>
      </w:r>
    </w:p>
    <w:p>
      <w:pPr>
        <w:spacing w:line="400" w:lineRule="exact"/>
        <w:rPr>
          <w:rFonts w:hint="eastAsia" w:ascii="宋体" w:hAnsi="宋体" w:cs="宋体"/>
        </w:rPr>
      </w:pPr>
      <w:r>
        <w:rPr>
          <w:rFonts w:hint="eastAsia" w:ascii="宋体" w:hAnsi="宋体" w:cs="宋体"/>
        </w:rPr>
        <w:t>（1）政府采购项目电子交易管理操作指南（视频）https://service.zcygov.cn/#/knowledges/CW1EtGwBFdiHxlNd6I3m/7GyLXW0BXgMSmLUuYuPM（电脑登录账号观看）；</w:t>
      </w:r>
    </w:p>
    <w:p>
      <w:pPr>
        <w:spacing w:line="400" w:lineRule="exact"/>
        <w:rPr>
          <w:rFonts w:hint="eastAsia" w:ascii="宋体" w:hAnsi="宋体" w:cs="宋体"/>
        </w:rPr>
      </w:pPr>
      <w:r>
        <w:rPr>
          <w:rFonts w:hint="eastAsia" w:ascii="宋体" w:hAnsi="宋体" w:cs="宋体"/>
        </w:rPr>
        <w:t>（2）政府采购项目电子交易管理操作指南（文本）https://service.zcygov.cn/#/knowledges/CW1EtGwBFdiHxlNd6I3m/6IMVAG0BFdiHxlNdQ8Na（电脑登录账号浏览）。</w:t>
      </w:r>
    </w:p>
    <w:p>
      <w:pPr>
        <w:spacing w:line="400" w:lineRule="exact"/>
        <w:rPr>
          <w:rFonts w:hint="eastAsia" w:ascii="宋体" w:hAnsi="宋体" w:cs="宋体"/>
        </w:rPr>
      </w:pPr>
      <w:r>
        <w:rPr>
          <w:rFonts w:hint="eastAsia" w:ascii="宋体" w:hAnsi="宋体" w:cs="宋体"/>
        </w:rPr>
        <w:t>5、</w:t>
      </w:r>
      <w:r>
        <w:rPr>
          <w:rFonts w:hint="eastAsia" w:ascii="宋体" w:hAnsi="宋体" w:cs="宋体"/>
          <w:bCs/>
          <w:szCs w:val="21"/>
        </w:rPr>
        <w:t>以U盘或光盘存储的电子备份投标文件1份，即按“项目采购-电子招投标操作指南”制作的电子备份文件，以用于异常情况处理。</w:t>
      </w:r>
      <w:r>
        <w:rPr>
          <w:rFonts w:hint="eastAsia" w:ascii="宋体" w:cs="宋体"/>
          <w:szCs w:val="21"/>
        </w:rPr>
        <w:t>纸质备份投标文件1份，</w:t>
      </w:r>
      <w:r>
        <w:rPr>
          <w:rFonts w:ascii="宋体" w:hAnsi="宋体" w:cs="宋体"/>
          <w:kern w:val="0"/>
          <w:szCs w:val="21"/>
        </w:rPr>
        <w:t>如因系统或部分电子</w:t>
      </w:r>
      <w:r>
        <w:rPr>
          <w:rFonts w:hint="eastAsia" w:ascii="宋体" w:hAnsi="宋体" w:cs="宋体"/>
          <w:kern w:val="0"/>
          <w:szCs w:val="21"/>
        </w:rPr>
        <w:t>投标</w:t>
      </w:r>
      <w:r>
        <w:rPr>
          <w:rFonts w:ascii="宋体" w:hAnsi="宋体" w:cs="宋体"/>
          <w:kern w:val="0"/>
          <w:szCs w:val="21"/>
        </w:rPr>
        <w:t>文件无法解密，</w:t>
      </w:r>
      <w:r>
        <w:rPr>
          <w:rFonts w:hint="eastAsia" w:ascii="宋体" w:hAnsi="宋体" w:cs="宋体"/>
          <w:kern w:val="0"/>
          <w:szCs w:val="21"/>
        </w:rPr>
        <w:t>则</w:t>
      </w:r>
      <w:r>
        <w:rPr>
          <w:rFonts w:ascii="宋体" w:hAnsi="宋体" w:cs="宋体"/>
          <w:kern w:val="0"/>
          <w:szCs w:val="21"/>
        </w:rPr>
        <w:t>采用线下评审程序</w:t>
      </w:r>
      <w:r>
        <w:rPr>
          <w:rFonts w:hint="eastAsia" w:ascii="宋体" w:hAnsi="宋体" w:cs="宋体"/>
          <w:kern w:val="0"/>
          <w:szCs w:val="21"/>
        </w:rPr>
        <w:t>。</w:t>
      </w:r>
    </w:p>
    <w:p>
      <w:pPr>
        <w:spacing w:line="400" w:lineRule="exact"/>
        <w:rPr>
          <w:rFonts w:hint="eastAsia" w:ascii="宋体" w:hAnsi="宋体" w:cs="宋体"/>
        </w:rPr>
      </w:pPr>
    </w:p>
    <w:p>
      <w:pPr>
        <w:spacing w:line="400" w:lineRule="exact"/>
        <w:rPr>
          <w:rFonts w:hint="eastAsia" w:ascii="宋体" w:hAnsi="宋体" w:cs="宋体"/>
        </w:rPr>
      </w:pPr>
      <w:r>
        <w:rPr>
          <w:rFonts w:hint="eastAsia" w:ascii="宋体" w:hAnsi="宋体" w:cs="宋体"/>
        </w:rPr>
        <w:t>八、对本次采购提出询问、质疑、投诉，请按以下方式联系</w:t>
      </w:r>
    </w:p>
    <w:p>
      <w:pPr>
        <w:spacing w:line="380" w:lineRule="exact"/>
        <w:rPr>
          <w:rFonts w:hint="eastAsia" w:ascii="宋体" w:hAnsi="宋体" w:cs="宋体"/>
          <w:szCs w:val="21"/>
        </w:rPr>
      </w:pPr>
      <w:r>
        <w:rPr>
          <w:rFonts w:hint="eastAsia" w:ascii="宋体" w:hAnsi="宋体" w:cs="宋体"/>
          <w:szCs w:val="21"/>
        </w:rPr>
        <w:t>1.采购人信息</w:t>
      </w:r>
    </w:p>
    <w:p>
      <w:pPr>
        <w:spacing w:line="380" w:lineRule="exact"/>
        <w:rPr>
          <w:rFonts w:hint="eastAsia" w:ascii="宋体" w:hAnsi="宋体" w:cs="宋体"/>
          <w:szCs w:val="21"/>
        </w:rPr>
      </w:pPr>
      <w:r>
        <w:rPr>
          <w:rFonts w:hint="eastAsia" w:ascii="宋体" w:hAnsi="宋体" w:cs="宋体"/>
          <w:szCs w:val="21"/>
        </w:rPr>
        <w:t>名称：舟山市中医院</w:t>
      </w:r>
    </w:p>
    <w:p>
      <w:pPr>
        <w:spacing w:line="380" w:lineRule="exact"/>
        <w:rPr>
          <w:rFonts w:hint="eastAsia" w:ascii="宋体" w:hAnsi="宋体" w:cs="宋体"/>
          <w:szCs w:val="21"/>
        </w:rPr>
      </w:pPr>
      <w:r>
        <w:rPr>
          <w:rFonts w:hint="eastAsia" w:ascii="宋体" w:hAnsi="宋体" w:cs="宋体"/>
          <w:szCs w:val="21"/>
        </w:rPr>
        <w:t>地址：舟山市定海区新桥路355号</w:t>
      </w:r>
    </w:p>
    <w:p>
      <w:pPr>
        <w:spacing w:line="380" w:lineRule="exact"/>
        <w:rPr>
          <w:rFonts w:hint="eastAsia" w:ascii="宋体" w:hAnsi="宋体" w:cs="宋体"/>
          <w:szCs w:val="21"/>
        </w:rPr>
      </w:pPr>
      <w:r>
        <w:rPr>
          <w:rFonts w:hint="eastAsia" w:ascii="宋体" w:hAnsi="宋体" w:cs="宋体"/>
          <w:szCs w:val="21"/>
        </w:rPr>
        <w:t>传真：/</w:t>
      </w:r>
    </w:p>
    <w:p>
      <w:pPr>
        <w:spacing w:line="380" w:lineRule="exact"/>
        <w:rPr>
          <w:rFonts w:hint="eastAsia" w:ascii="宋体" w:hAnsi="宋体" w:eastAsia="宋体" w:cs="宋体"/>
          <w:szCs w:val="21"/>
        </w:rPr>
      </w:pPr>
      <w:r>
        <w:rPr>
          <w:rFonts w:hint="eastAsia" w:ascii="宋体" w:hAnsi="宋体" w:eastAsia="宋体" w:cs="宋体"/>
          <w:szCs w:val="21"/>
        </w:rPr>
        <w:t>项目联系人（询问）：孙军</w:t>
      </w:r>
    </w:p>
    <w:p>
      <w:pPr>
        <w:spacing w:line="380" w:lineRule="exact"/>
        <w:rPr>
          <w:rFonts w:hint="eastAsia" w:ascii="宋体" w:hAnsi="宋体" w:eastAsia="宋体" w:cs="宋体"/>
          <w:szCs w:val="21"/>
        </w:rPr>
      </w:pPr>
      <w:r>
        <w:rPr>
          <w:rFonts w:hint="eastAsia" w:ascii="宋体" w:hAnsi="宋体" w:eastAsia="宋体" w:cs="宋体"/>
          <w:szCs w:val="21"/>
        </w:rPr>
        <w:t>项目联系方式（询问）：0580-2615121</w:t>
      </w:r>
    </w:p>
    <w:p>
      <w:pPr>
        <w:spacing w:line="380" w:lineRule="exact"/>
        <w:rPr>
          <w:rFonts w:hint="eastAsia" w:ascii="宋体" w:hAnsi="宋体" w:cs="宋体"/>
          <w:szCs w:val="21"/>
        </w:rPr>
      </w:pPr>
      <w:r>
        <w:rPr>
          <w:rFonts w:hint="eastAsia" w:ascii="宋体" w:hAnsi="宋体" w:cs="宋体"/>
          <w:szCs w:val="21"/>
        </w:rPr>
        <w:t>质疑联系人：丁科</w:t>
      </w:r>
    </w:p>
    <w:p>
      <w:pPr>
        <w:spacing w:line="380" w:lineRule="exact"/>
        <w:rPr>
          <w:rFonts w:hint="eastAsia" w:ascii="宋体" w:hAnsi="宋体" w:cs="宋体"/>
          <w:szCs w:val="21"/>
        </w:rPr>
      </w:pPr>
      <w:r>
        <w:rPr>
          <w:rFonts w:hint="eastAsia" w:ascii="宋体" w:hAnsi="宋体" w:cs="宋体"/>
          <w:szCs w:val="21"/>
        </w:rPr>
        <w:t>质疑联系方式：0580-2615161</w:t>
      </w:r>
    </w:p>
    <w:p>
      <w:pPr>
        <w:spacing w:line="380" w:lineRule="exact"/>
        <w:rPr>
          <w:rFonts w:hint="eastAsia" w:ascii="宋体" w:hAnsi="宋体" w:cs="宋体"/>
          <w:szCs w:val="21"/>
        </w:rPr>
      </w:pPr>
    </w:p>
    <w:p>
      <w:pPr>
        <w:spacing w:line="380" w:lineRule="exact"/>
        <w:rPr>
          <w:rFonts w:hint="eastAsia" w:ascii="宋体" w:hAnsi="宋体" w:cs="宋体"/>
          <w:szCs w:val="21"/>
        </w:rPr>
      </w:pPr>
      <w:r>
        <w:rPr>
          <w:rFonts w:hint="eastAsia" w:ascii="宋体" w:hAnsi="宋体" w:cs="宋体"/>
          <w:szCs w:val="21"/>
        </w:rPr>
        <w:t>2.采购代理机构信息</w:t>
      </w:r>
    </w:p>
    <w:p>
      <w:pPr>
        <w:spacing w:line="380" w:lineRule="exact"/>
        <w:rPr>
          <w:rFonts w:hint="eastAsia" w:ascii="宋体" w:hAnsi="宋体" w:cs="宋体"/>
          <w:szCs w:val="21"/>
        </w:rPr>
      </w:pPr>
      <w:r>
        <w:rPr>
          <w:rFonts w:hint="eastAsia" w:ascii="宋体" w:hAnsi="宋体" w:cs="宋体"/>
          <w:szCs w:val="21"/>
        </w:rPr>
        <w:t>名称：宁波市国际招标有限公司</w:t>
      </w:r>
    </w:p>
    <w:p>
      <w:pPr>
        <w:spacing w:line="380" w:lineRule="exact"/>
        <w:rPr>
          <w:rFonts w:hint="eastAsia" w:ascii="宋体" w:hAnsi="宋体" w:cs="宋体"/>
          <w:szCs w:val="21"/>
        </w:rPr>
      </w:pPr>
      <w:r>
        <w:rPr>
          <w:rFonts w:hint="eastAsia" w:ascii="宋体" w:hAnsi="宋体" w:cs="宋体"/>
          <w:szCs w:val="21"/>
        </w:rPr>
        <w:t>地址：宁波市江北区环城北路西段207弄19号世茂茂悦商业中心1号楼八楼</w:t>
      </w:r>
    </w:p>
    <w:p>
      <w:pPr>
        <w:spacing w:line="380" w:lineRule="exact"/>
        <w:rPr>
          <w:rFonts w:hint="eastAsia" w:ascii="宋体" w:hAnsi="宋体" w:cs="宋体"/>
          <w:szCs w:val="21"/>
        </w:rPr>
      </w:pPr>
      <w:r>
        <w:rPr>
          <w:rFonts w:hint="eastAsia" w:ascii="宋体" w:hAnsi="宋体" w:cs="宋体"/>
          <w:szCs w:val="21"/>
        </w:rPr>
        <w:t>传真：17963569@qq.com</w:t>
      </w:r>
    </w:p>
    <w:p>
      <w:pPr>
        <w:spacing w:line="380" w:lineRule="exact"/>
        <w:rPr>
          <w:rFonts w:ascii="宋体" w:hAnsi="宋体" w:cs="宋体"/>
          <w:szCs w:val="21"/>
        </w:rPr>
      </w:pPr>
      <w:r>
        <w:rPr>
          <w:rFonts w:hint="eastAsia" w:ascii="宋体" w:hAnsi="宋体" w:cs="宋体"/>
          <w:szCs w:val="21"/>
        </w:rPr>
        <w:t>项目联系人（询问）：吴婧、王孟、王文超</w:t>
      </w:r>
    </w:p>
    <w:p>
      <w:pPr>
        <w:spacing w:line="380" w:lineRule="exact"/>
        <w:rPr>
          <w:rFonts w:hint="eastAsia" w:ascii="宋体" w:hAnsi="宋体" w:cs="宋体"/>
          <w:szCs w:val="21"/>
        </w:rPr>
      </w:pPr>
      <w:r>
        <w:rPr>
          <w:rFonts w:hint="eastAsia" w:ascii="宋体" w:hAnsi="宋体" w:cs="宋体"/>
          <w:szCs w:val="21"/>
        </w:rPr>
        <w:t>项目联系方式（询问）：0574-87388504</w:t>
      </w:r>
    </w:p>
    <w:p>
      <w:pPr>
        <w:spacing w:line="380" w:lineRule="exact"/>
        <w:rPr>
          <w:rFonts w:hint="eastAsia" w:ascii="宋体" w:hAnsi="宋体" w:cs="宋体"/>
          <w:szCs w:val="21"/>
        </w:rPr>
      </w:pPr>
      <w:r>
        <w:rPr>
          <w:rFonts w:hint="eastAsia" w:ascii="宋体" w:hAnsi="宋体" w:cs="宋体"/>
          <w:szCs w:val="21"/>
        </w:rPr>
        <w:t>质疑联系人：张建国</w:t>
      </w:r>
    </w:p>
    <w:p>
      <w:pPr>
        <w:spacing w:line="380" w:lineRule="exact"/>
        <w:rPr>
          <w:rFonts w:ascii="宋体" w:hAnsi="宋体" w:cs="宋体"/>
          <w:szCs w:val="21"/>
        </w:rPr>
      </w:pPr>
      <w:r>
        <w:rPr>
          <w:rFonts w:hint="eastAsia" w:ascii="宋体" w:hAnsi="宋体" w:cs="宋体"/>
          <w:szCs w:val="21"/>
        </w:rPr>
        <w:t>质疑联系方式：0574-87195253</w:t>
      </w:r>
    </w:p>
    <w:p>
      <w:pPr>
        <w:spacing w:line="380" w:lineRule="exact"/>
        <w:rPr>
          <w:rFonts w:hint="eastAsia" w:ascii="宋体" w:hAnsi="宋体" w:cs="宋体"/>
          <w:szCs w:val="21"/>
        </w:rPr>
      </w:pPr>
    </w:p>
    <w:p>
      <w:pPr>
        <w:spacing w:line="380" w:lineRule="exact"/>
        <w:rPr>
          <w:rFonts w:hint="eastAsia" w:ascii="宋体" w:hAnsi="宋体" w:cs="宋体"/>
          <w:szCs w:val="21"/>
        </w:rPr>
      </w:pPr>
      <w:r>
        <w:rPr>
          <w:rFonts w:hint="eastAsia" w:ascii="宋体" w:hAnsi="宋体" w:cs="宋体"/>
          <w:szCs w:val="21"/>
        </w:rPr>
        <w:t xml:space="preserve">3.同级政府采购监督管理部门 </w:t>
      </w:r>
    </w:p>
    <w:p>
      <w:pPr>
        <w:spacing w:line="350" w:lineRule="exact"/>
        <w:outlineLvl w:val="0"/>
        <w:rPr>
          <w:rFonts w:hint="eastAsia" w:ascii="宋体" w:hAnsi="宋体" w:cs="宋体"/>
          <w:szCs w:val="21"/>
        </w:rPr>
      </w:pPr>
      <w:bookmarkStart w:id="2" w:name="_Toc7395"/>
      <w:bookmarkStart w:id="3" w:name="_Toc16646"/>
      <w:bookmarkStart w:id="4" w:name="_Toc18151"/>
      <w:r>
        <w:rPr>
          <w:rFonts w:hint="eastAsia" w:ascii="宋体" w:hAnsi="宋体" w:cs="宋体"/>
          <w:szCs w:val="21"/>
        </w:rPr>
        <w:t>名称：</w:t>
      </w:r>
      <w:r>
        <w:rPr>
          <w:rFonts w:hint="eastAsia" w:ascii="宋体" w:hAnsi="宋体" w:cs="宋体"/>
          <w:color w:val="000000"/>
          <w:kern w:val="0"/>
          <w:szCs w:val="21"/>
        </w:rPr>
        <w:t>舟山市财政局政府采购监管处</w:t>
      </w:r>
      <w:bookmarkEnd w:id="2"/>
      <w:bookmarkEnd w:id="3"/>
      <w:bookmarkEnd w:id="4"/>
    </w:p>
    <w:p>
      <w:pPr>
        <w:spacing w:line="350" w:lineRule="exact"/>
        <w:outlineLvl w:val="0"/>
        <w:rPr>
          <w:rFonts w:hint="eastAsia" w:ascii="宋体" w:hAnsi="宋体" w:cs="宋体"/>
          <w:szCs w:val="21"/>
        </w:rPr>
      </w:pPr>
      <w:bookmarkStart w:id="5" w:name="_Toc29143"/>
      <w:bookmarkStart w:id="6" w:name="_Toc9278"/>
      <w:bookmarkStart w:id="7" w:name="_Toc31753"/>
      <w:r>
        <w:rPr>
          <w:rFonts w:hint="eastAsia" w:ascii="宋体" w:hAnsi="宋体" w:cs="宋体"/>
          <w:szCs w:val="21"/>
        </w:rPr>
        <w:t>地址：</w:t>
      </w:r>
      <w:r>
        <w:rPr>
          <w:rFonts w:hint="eastAsia" w:ascii="宋体" w:hAnsi="宋体" w:cs="宋体"/>
          <w:color w:val="000000"/>
          <w:kern w:val="0"/>
          <w:szCs w:val="21"/>
        </w:rPr>
        <w:t>舟山市定海区新城海天大道681号</w:t>
      </w:r>
      <w:bookmarkEnd w:id="5"/>
      <w:bookmarkEnd w:id="6"/>
      <w:bookmarkEnd w:id="7"/>
    </w:p>
    <w:p>
      <w:pPr>
        <w:spacing w:line="350" w:lineRule="exact"/>
        <w:outlineLvl w:val="0"/>
        <w:rPr>
          <w:rFonts w:hint="eastAsia" w:ascii="宋体" w:hAnsi="宋体" w:cs="宋体"/>
          <w:szCs w:val="21"/>
        </w:rPr>
      </w:pPr>
      <w:bookmarkStart w:id="8" w:name="_Toc29769"/>
      <w:bookmarkStart w:id="9" w:name="_Toc5284"/>
      <w:bookmarkStart w:id="10" w:name="_Toc28601"/>
      <w:r>
        <w:rPr>
          <w:rFonts w:hint="eastAsia" w:ascii="宋体" w:hAnsi="宋体" w:cs="宋体"/>
          <w:szCs w:val="21"/>
        </w:rPr>
        <w:t>传真：</w:t>
      </w:r>
      <w:r>
        <w:rPr>
          <w:rFonts w:hint="eastAsia" w:ascii="宋体" w:hAnsi="宋体" w:cs="宋体"/>
          <w:color w:val="000000"/>
          <w:kern w:val="0"/>
          <w:szCs w:val="21"/>
        </w:rPr>
        <w:t>0580-2282519</w:t>
      </w:r>
      <w:bookmarkEnd w:id="8"/>
      <w:bookmarkEnd w:id="9"/>
      <w:bookmarkEnd w:id="10"/>
    </w:p>
    <w:p>
      <w:pPr>
        <w:spacing w:line="350" w:lineRule="exact"/>
        <w:outlineLvl w:val="0"/>
        <w:rPr>
          <w:rFonts w:hint="eastAsia" w:ascii="宋体" w:hAnsi="宋体" w:cs="宋体"/>
          <w:szCs w:val="21"/>
        </w:rPr>
      </w:pPr>
      <w:bookmarkStart w:id="11" w:name="_Toc19359"/>
      <w:bookmarkStart w:id="12" w:name="_Toc11252"/>
      <w:bookmarkStart w:id="13" w:name="_Toc29305"/>
      <w:r>
        <w:rPr>
          <w:rFonts w:hint="eastAsia" w:ascii="宋体" w:hAnsi="宋体" w:cs="宋体"/>
          <w:szCs w:val="21"/>
        </w:rPr>
        <w:t>联系人：</w:t>
      </w:r>
      <w:r>
        <w:rPr>
          <w:rFonts w:hint="eastAsia" w:ascii="宋体" w:hAnsi="宋体" w:cs="宋体"/>
          <w:color w:val="000000"/>
          <w:kern w:val="0"/>
          <w:szCs w:val="21"/>
        </w:rPr>
        <w:t>孙先生</w:t>
      </w:r>
      <w:bookmarkEnd w:id="11"/>
      <w:bookmarkEnd w:id="12"/>
      <w:bookmarkEnd w:id="13"/>
    </w:p>
    <w:p>
      <w:pPr>
        <w:spacing w:line="400" w:lineRule="exact"/>
        <w:rPr>
          <w:rFonts w:hint="eastAsia" w:ascii="宋体" w:hAnsi="宋体" w:cs="宋体"/>
        </w:rPr>
      </w:pPr>
      <w:bookmarkStart w:id="14" w:name="_Toc31608"/>
      <w:bookmarkStart w:id="15" w:name="_Toc23239"/>
      <w:bookmarkStart w:id="16" w:name="_Toc32680"/>
      <w:r>
        <w:rPr>
          <w:rFonts w:hint="eastAsia" w:ascii="宋体" w:hAnsi="宋体" w:cs="宋体"/>
          <w:szCs w:val="21"/>
        </w:rPr>
        <w:t>监督投诉电话：0</w:t>
      </w:r>
      <w:r>
        <w:rPr>
          <w:rFonts w:hint="eastAsia" w:ascii="宋体" w:hAnsi="宋体" w:cs="宋体"/>
          <w:color w:val="000000"/>
          <w:kern w:val="0"/>
          <w:szCs w:val="21"/>
        </w:rPr>
        <w:t>580-2282519</w:t>
      </w:r>
      <w:bookmarkEnd w:id="14"/>
      <w:bookmarkEnd w:id="15"/>
      <w:bookmarkEnd w:id="16"/>
    </w:p>
    <w:p>
      <w:pPr>
        <w:spacing w:line="400" w:lineRule="exact"/>
        <w:rPr>
          <w:rFonts w:hint="eastAsia" w:ascii="宋体" w:hAnsi="宋体" w:cs="宋体"/>
        </w:rPr>
      </w:pPr>
    </w:p>
    <w:p>
      <w:pPr>
        <w:spacing w:line="400" w:lineRule="exact"/>
        <w:rPr>
          <w:rFonts w:hint="eastAsia" w:ascii="宋体" w:hAnsi="宋体" w:cs="宋体"/>
        </w:rPr>
      </w:pPr>
      <w:r>
        <w:rPr>
          <w:rFonts w:hint="eastAsia" w:ascii="宋体" w:hAnsi="宋体" w:cs="宋体"/>
        </w:rPr>
        <w:t>若对项目采购电子交易系统操作有疑问，可登录政采云（https://www.zcygov.cn/），点击右侧咨询小采，获取采小蜜智能服务管家帮助，或拨打政采云服务热线400-881-7190获取热线服务帮助</w:t>
      </w:r>
    </w:p>
    <w:p>
      <w:pPr>
        <w:spacing w:line="400" w:lineRule="exact"/>
        <w:rPr>
          <w:rFonts w:hint="eastAsia" w:ascii="宋体" w:hAnsi="宋体" w:cs="宋体"/>
          <w:color w:val="000000"/>
          <w:szCs w:val="21"/>
        </w:rPr>
      </w:pPr>
      <w:r>
        <w:rPr>
          <w:rFonts w:hint="eastAsia" w:ascii="宋体" w:hAnsi="宋体" w:cs="宋体"/>
        </w:rPr>
        <w:t>CA问题联系电话（人工）：汇信CA 400-888-4636；天谷CA 400-087-8198。</w:t>
      </w:r>
    </w:p>
    <w:p>
      <w:pPr>
        <w:spacing w:line="400" w:lineRule="exact"/>
        <w:jc w:val="center"/>
        <w:outlineLvl w:val="0"/>
        <w:rPr>
          <w:rFonts w:ascii="宋体" w:hAnsi="宋体"/>
          <w:b/>
          <w:color w:val="000000"/>
          <w:sz w:val="32"/>
        </w:rPr>
      </w:pPr>
      <w:bookmarkStart w:id="17" w:name="_Toc21541006"/>
      <w:r>
        <w:rPr>
          <w:rFonts w:hint="eastAsia" w:ascii="宋体" w:hAnsi="宋体"/>
          <w:b/>
          <w:color w:val="000000"/>
          <w:sz w:val="32"/>
        </w:rPr>
        <w:br w:type="page"/>
      </w:r>
      <w:bookmarkStart w:id="18" w:name="_Toc13269"/>
      <w:r>
        <w:rPr>
          <w:rFonts w:hint="eastAsia" w:ascii="宋体" w:hAnsi="宋体"/>
          <w:b/>
          <w:color w:val="000000"/>
          <w:sz w:val="32"/>
        </w:rPr>
        <w:t>第二章</w:t>
      </w:r>
      <w:r>
        <w:rPr>
          <w:rFonts w:ascii="宋体" w:hAnsi="宋体"/>
          <w:b/>
          <w:color w:val="000000"/>
          <w:sz w:val="32"/>
        </w:rPr>
        <w:t xml:space="preserve">  </w:t>
      </w:r>
      <w:r>
        <w:rPr>
          <w:rFonts w:hint="eastAsia" w:ascii="宋体" w:hAnsi="宋体"/>
          <w:b/>
          <w:color w:val="000000"/>
          <w:sz w:val="32"/>
        </w:rPr>
        <w:t>投标须知</w:t>
      </w:r>
      <w:bookmarkEnd w:id="17"/>
      <w:bookmarkEnd w:id="18"/>
    </w:p>
    <w:p>
      <w:pPr>
        <w:spacing w:line="400" w:lineRule="exact"/>
        <w:ind w:firstLine="422" w:firstLineChars="200"/>
        <w:rPr>
          <w:rFonts w:ascii="宋体" w:hAnsi="宋体"/>
          <w:b/>
          <w:color w:val="000000"/>
          <w:szCs w:val="21"/>
        </w:rPr>
      </w:pPr>
      <w:r>
        <w:rPr>
          <w:rFonts w:hint="eastAsia" w:ascii="宋体" w:hAnsi="宋体"/>
          <w:b/>
          <w:color w:val="000000"/>
          <w:szCs w:val="21"/>
        </w:rPr>
        <w:t>一、适用范围</w:t>
      </w:r>
    </w:p>
    <w:p>
      <w:pPr>
        <w:spacing w:line="400" w:lineRule="exact"/>
        <w:ind w:firstLine="420" w:firstLineChars="200"/>
        <w:jc w:val="left"/>
        <w:rPr>
          <w:rFonts w:ascii="宋体" w:hAnsi="宋体"/>
          <w:color w:val="000000"/>
          <w:szCs w:val="21"/>
        </w:rPr>
      </w:pPr>
      <w:r>
        <w:rPr>
          <w:rFonts w:hint="eastAsia" w:ascii="宋体" w:hAnsi="宋体"/>
          <w:color w:val="000000"/>
          <w:szCs w:val="21"/>
        </w:rPr>
        <w:t>本招标文件仅适用于本采购项目所叙述的货物和服务的招标、评标、定标、验收、合同履约、付款等（法律、法规另有规定的，从其规定）。</w:t>
      </w:r>
    </w:p>
    <w:p>
      <w:pPr>
        <w:spacing w:line="400" w:lineRule="exact"/>
        <w:ind w:firstLine="422" w:firstLineChars="200"/>
        <w:jc w:val="left"/>
        <w:rPr>
          <w:rFonts w:ascii="宋体" w:hAnsi="宋体"/>
          <w:b/>
          <w:color w:val="000000"/>
          <w:szCs w:val="21"/>
        </w:rPr>
      </w:pPr>
      <w:r>
        <w:rPr>
          <w:rFonts w:hint="eastAsia" w:ascii="宋体" w:hAnsi="宋体"/>
          <w:b/>
          <w:color w:val="000000"/>
          <w:szCs w:val="21"/>
        </w:rPr>
        <w:t>二、定义</w:t>
      </w:r>
    </w:p>
    <w:p>
      <w:pPr>
        <w:spacing w:line="400" w:lineRule="exact"/>
        <w:ind w:firstLine="420" w:firstLineChars="200"/>
        <w:jc w:val="left"/>
        <w:rPr>
          <w:rFonts w:ascii="宋体" w:hAnsi="宋体"/>
          <w:color w:val="000000"/>
          <w:szCs w:val="21"/>
        </w:rPr>
      </w:pPr>
      <w:r>
        <w:rPr>
          <w:rFonts w:ascii="宋体" w:hAnsi="宋体"/>
          <w:color w:val="000000"/>
          <w:szCs w:val="21"/>
        </w:rPr>
        <w:t>1</w:t>
      </w:r>
      <w:r>
        <w:rPr>
          <w:rFonts w:hint="eastAsia" w:ascii="宋体" w:hAnsi="宋体"/>
          <w:color w:val="000000"/>
          <w:szCs w:val="21"/>
        </w:rPr>
        <w:t>、“采购人/招标人”系指舟山市中医院。</w:t>
      </w:r>
    </w:p>
    <w:p>
      <w:pPr>
        <w:spacing w:line="400" w:lineRule="exact"/>
        <w:ind w:firstLine="420" w:firstLineChars="200"/>
        <w:jc w:val="left"/>
        <w:rPr>
          <w:rFonts w:ascii="宋体" w:hAnsi="宋体"/>
          <w:color w:val="000000"/>
          <w:szCs w:val="21"/>
        </w:rPr>
      </w:pPr>
      <w:r>
        <w:rPr>
          <w:rFonts w:ascii="宋体" w:hAnsi="宋体"/>
          <w:color w:val="000000"/>
          <w:szCs w:val="21"/>
        </w:rPr>
        <w:t>2</w:t>
      </w:r>
      <w:r>
        <w:rPr>
          <w:rFonts w:hint="eastAsia" w:ascii="宋体" w:hAnsi="宋体"/>
          <w:color w:val="000000"/>
          <w:szCs w:val="21"/>
        </w:rPr>
        <w:t>、“代理机构”系指宁波市国际招标有限公司。</w:t>
      </w:r>
    </w:p>
    <w:p>
      <w:pPr>
        <w:spacing w:line="400" w:lineRule="exact"/>
        <w:ind w:firstLine="420" w:firstLineChars="200"/>
        <w:jc w:val="left"/>
        <w:rPr>
          <w:rFonts w:ascii="宋体" w:hAnsi="宋体"/>
          <w:color w:val="000000"/>
          <w:szCs w:val="21"/>
        </w:rPr>
      </w:pPr>
      <w:r>
        <w:rPr>
          <w:rFonts w:ascii="宋体" w:hAnsi="宋体"/>
          <w:color w:val="000000"/>
          <w:szCs w:val="21"/>
        </w:rPr>
        <w:t>3</w:t>
      </w:r>
      <w:r>
        <w:rPr>
          <w:rFonts w:hint="eastAsia" w:ascii="宋体" w:hAnsi="宋体"/>
          <w:color w:val="000000"/>
          <w:szCs w:val="21"/>
        </w:rPr>
        <w:t>、“供应商/投标人”系指向采购人提交投标文件的供应商。</w:t>
      </w:r>
      <w:r>
        <w:rPr>
          <w:rFonts w:hint="eastAsia" w:ascii="宋体" w:hAnsi="宋体"/>
          <w:szCs w:val="21"/>
        </w:rPr>
        <w:t>银行、保险、石油石化、电力、电信等有行业特殊情况的，取得营业执照的分支机构可以以分公司名义参与投标。</w:t>
      </w:r>
      <w:r>
        <w:rPr>
          <w:rFonts w:hint="eastAsia" w:ascii="宋体" w:hAnsi="宋体" w:cs="宋体"/>
          <w:szCs w:val="21"/>
        </w:rPr>
        <w:t>招标文件中涉及的“法定代表人”在前述特殊行业中即对应为“分支机构负责人”</w:t>
      </w:r>
    </w:p>
    <w:p>
      <w:pPr>
        <w:spacing w:line="400" w:lineRule="exact"/>
        <w:ind w:firstLine="420" w:firstLineChars="200"/>
        <w:jc w:val="left"/>
        <w:rPr>
          <w:rFonts w:hint="eastAsia" w:ascii="宋体" w:hAnsi="宋体" w:cs="宋体"/>
          <w:szCs w:val="21"/>
          <w:u w:val="single"/>
        </w:rPr>
      </w:pPr>
      <w:r>
        <w:rPr>
          <w:rFonts w:ascii="宋体" w:hAnsi="宋体"/>
          <w:color w:val="000000"/>
          <w:szCs w:val="21"/>
        </w:rPr>
        <w:t>4</w:t>
      </w:r>
      <w:r>
        <w:rPr>
          <w:rFonts w:hint="eastAsia" w:ascii="宋体" w:hAnsi="宋体"/>
          <w:color w:val="000000"/>
          <w:szCs w:val="21"/>
        </w:rPr>
        <w:t>、“货物”系指供方按招标文件规定，须向采购人提供的一切设备、保险、税金、备品备件、工具、手册及其它有关技术资料和材料。</w:t>
      </w:r>
    </w:p>
    <w:p>
      <w:pPr>
        <w:spacing w:line="400" w:lineRule="exact"/>
        <w:ind w:firstLine="420" w:firstLineChars="200"/>
        <w:jc w:val="left"/>
        <w:rPr>
          <w:rFonts w:hint="eastAsia" w:ascii="宋体" w:hAnsi="宋体"/>
          <w:color w:val="000000"/>
          <w:szCs w:val="21"/>
        </w:rPr>
      </w:pPr>
      <w:r>
        <w:rPr>
          <w:rFonts w:ascii="宋体" w:hAnsi="宋体"/>
          <w:color w:val="000000"/>
          <w:szCs w:val="21"/>
        </w:rPr>
        <w:t>5</w:t>
      </w:r>
      <w:r>
        <w:rPr>
          <w:rFonts w:hint="eastAsia" w:ascii="宋体" w:hAnsi="宋体"/>
          <w:color w:val="000000"/>
          <w:szCs w:val="21"/>
        </w:rPr>
        <w:t>、“服务”系指</w:t>
      </w:r>
      <w:r>
        <w:rPr>
          <w:rFonts w:ascii="宋体" w:hAnsi="宋体"/>
          <w:color w:val="000000"/>
          <w:szCs w:val="21"/>
        </w:rPr>
        <w:t>招标文件规定供应商须承担的</w:t>
      </w:r>
      <w:r>
        <w:rPr>
          <w:rFonts w:hint="eastAsia" w:ascii="宋体" w:hAnsi="宋体"/>
          <w:color w:val="000000"/>
          <w:szCs w:val="21"/>
        </w:rPr>
        <w:t>与本项目有关的</w:t>
      </w:r>
      <w:r>
        <w:rPr>
          <w:rFonts w:ascii="宋体" w:hAnsi="宋体"/>
          <w:color w:val="000000"/>
          <w:szCs w:val="21"/>
        </w:rPr>
        <w:t>义务。</w:t>
      </w:r>
      <w:r>
        <w:rPr>
          <w:rFonts w:hint="eastAsia" w:ascii="宋体" w:hAnsi="宋体" w:cs="宋体"/>
          <w:szCs w:val="21"/>
        </w:rPr>
        <w:t>合格的供应商来源：国内(本项目非专门面向中小企业)</w:t>
      </w:r>
    </w:p>
    <w:p>
      <w:pPr>
        <w:spacing w:line="400" w:lineRule="exact"/>
        <w:ind w:firstLine="420" w:firstLineChars="200"/>
        <w:jc w:val="left"/>
        <w:rPr>
          <w:rFonts w:ascii="宋体" w:hAnsi="宋体"/>
          <w:color w:val="000000"/>
          <w:szCs w:val="21"/>
        </w:rPr>
      </w:pPr>
      <w:r>
        <w:rPr>
          <w:rFonts w:ascii="宋体" w:hAnsi="宋体"/>
          <w:color w:val="000000"/>
          <w:szCs w:val="21"/>
        </w:rPr>
        <w:t>6</w:t>
      </w:r>
      <w:r>
        <w:rPr>
          <w:rFonts w:hint="eastAsia" w:ascii="宋体" w:hAnsi="宋体"/>
          <w:color w:val="000000"/>
          <w:szCs w:val="21"/>
        </w:rPr>
        <w:t>、“同级政府采购监管部门”系指舟山市财政局政府采购监管处</w:t>
      </w:r>
      <w:r>
        <w:rPr>
          <w:rFonts w:hint="eastAsia" w:ascii="宋体" w:hAnsi="宋体"/>
          <w:color w:val="000000"/>
          <w:szCs w:val="21"/>
          <w:lang w:val="zh-CN"/>
        </w:rPr>
        <w:t>。</w:t>
      </w:r>
    </w:p>
    <w:p>
      <w:pPr>
        <w:spacing w:line="400" w:lineRule="exact"/>
        <w:ind w:firstLine="420" w:firstLineChars="200"/>
        <w:jc w:val="left"/>
        <w:rPr>
          <w:rFonts w:ascii="宋体" w:hAnsi="宋体"/>
          <w:color w:val="000000"/>
          <w:szCs w:val="21"/>
        </w:rPr>
      </w:pPr>
      <w:r>
        <w:rPr>
          <w:rFonts w:ascii="宋体" w:hAnsi="宋体"/>
          <w:color w:val="000000"/>
          <w:szCs w:val="21"/>
        </w:rPr>
        <w:t>7</w:t>
      </w:r>
      <w:r>
        <w:rPr>
          <w:rFonts w:hint="eastAsia" w:ascii="宋体" w:hAnsi="宋体"/>
          <w:color w:val="000000"/>
          <w:szCs w:val="21"/>
        </w:rPr>
        <w:t>、“★”系指实质性响应条款。</w:t>
      </w:r>
    </w:p>
    <w:p>
      <w:pPr>
        <w:spacing w:line="400" w:lineRule="exact"/>
        <w:ind w:firstLine="420" w:firstLineChars="200"/>
        <w:jc w:val="left"/>
        <w:rPr>
          <w:rFonts w:ascii="宋体" w:hAnsi="宋体"/>
          <w:b/>
          <w:color w:val="000000"/>
          <w:szCs w:val="21"/>
        </w:rPr>
      </w:pPr>
      <w:r>
        <w:rPr>
          <w:rFonts w:hint="eastAsia" w:ascii="宋体" w:hAnsi="宋体"/>
          <w:color w:val="000000"/>
          <w:szCs w:val="21"/>
        </w:rPr>
        <w:t>★</w:t>
      </w:r>
      <w:r>
        <w:rPr>
          <w:rFonts w:hint="eastAsia" w:ascii="宋体" w:hAnsi="宋体"/>
          <w:b/>
          <w:color w:val="000000"/>
          <w:szCs w:val="21"/>
        </w:rPr>
        <w:t>三、供应商的资格要求</w:t>
      </w:r>
    </w:p>
    <w:p>
      <w:pPr>
        <w:spacing w:line="400" w:lineRule="exact"/>
        <w:ind w:firstLine="420" w:firstLineChars="200"/>
        <w:jc w:val="left"/>
        <w:rPr>
          <w:rFonts w:ascii="宋体" w:hAnsi="宋体"/>
          <w:color w:val="000000"/>
          <w:szCs w:val="21"/>
        </w:rPr>
      </w:pPr>
      <w:r>
        <w:rPr>
          <w:rFonts w:hint="eastAsia" w:ascii="宋体" w:hAnsi="宋体"/>
          <w:color w:val="000000"/>
          <w:szCs w:val="21"/>
        </w:rPr>
        <w:t>详见采购公告。</w:t>
      </w:r>
    </w:p>
    <w:p>
      <w:pPr>
        <w:spacing w:line="400" w:lineRule="exact"/>
        <w:ind w:firstLine="422" w:firstLineChars="200"/>
        <w:jc w:val="left"/>
        <w:rPr>
          <w:rFonts w:ascii="宋体" w:hAnsi="宋体"/>
          <w:b/>
          <w:color w:val="000000"/>
          <w:szCs w:val="21"/>
        </w:rPr>
      </w:pPr>
      <w:r>
        <w:rPr>
          <w:rFonts w:hint="eastAsia" w:ascii="宋体" w:hAnsi="宋体"/>
          <w:b/>
          <w:color w:val="000000"/>
          <w:szCs w:val="21"/>
        </w:rPr>
        <w:t>四、投标费用</w:t>
      </w:r>
    </w:p>
    <w:p>
      <w:pPr>
        <w:spacing w:line="400" w:lineRule="exact"/>
        <w:ind w:firstLine="420" w:firstLineChars="200"/>
        <w:jc w:val="left"/>
        <w:rPr>
          <w:rFonts w:ascii="宋体" w:hAnsi="宋体"/>
          <w:color w:val="000000"/>
          <w:szCs w:val="21"/>
        </w:rPr>
      </w:pPr>
      <w:r>
        <w:rPr>
          <w:rFonts w:hint="eastAsia" w:ascii="宋体" w:hAnsi="宋体"/>
          <w:color w:val="000000"/>
          <w:szCs w:val="21"/>
        </w:rPr>
        <w:t>无论投标过程和结果如何，供应商自行承担与投标有关的全部费用。</w:t>
      </w:r>
    </w:p>
    <w:p>
      <w:pPr>
        <w:spacing w:line="400" w:lineRule="exact"/>
        <w:ind w:firstLine="422" w:firstLineChars="200"/>
        <w:jc w:val="left"/>
        <w:rPr>
          <w:rFonts w:ascii="宋体" w:hAnsi="宋体"/>
          <w:b/>
          <w:color w:val="000000"/>
          <w:szCs w:val="21"/>
        </w:rPr>
      </w:pPr>
      <w:r>
        <w:rPr>
          <w:rFonts w:hint="eastAsia" w:ascii="宋体" w:hAnsi="宋体"/>
          <w:b/>
          <w:color w:val="000000"/>
          <w:szCs w:val="21"/>
        </w:rPr>
        <w:t>五、投标报价</w:t>
      </w:r>
    </w:p>
    <w:p>
      <w:pPr>
        <w:spacing w:line="400" w:lineRule="exact"/>
        <w:ind w:firstLine="420" w:firstLineChars="200"/>
        <w:jc w:val="left"/>
        <w:rPr>
          <w:rFonts w:ascii="宋体" w:hAnsi="宋体"/>
          <w:color w:val="000000"/>
          <w:szCs w:val="21"/>
        </w:rPr>
      </w:pPr>
      <w:r>
        <w:rPr>
          <w:rFonts w:hint="eastAsia" w:ascii="宋体" w:hAnsi="宋体"/>
          <w:color w:val="000000"/>
          <w:szCs w:val="21"/>
        </w:rPr>
        <w:t>★5.1本项目的投标应以人民币报价，</w:t>
      </w:r>
      <w:r>
        <w:rPr>
          <w:rFonts w:hint="eastAsia" w:ascii="宋体" w:hAnsi="宋体" w:cs="宋体"/>
          <w:bCs/>
          <w:szCs w:val="21"/>
        </w:rPr>
        <w:t>投标人报价应是一年内包括为完成本项目服务可能发生的全部费用及中标人的利润和应交纳的税金等（包括人员工资福利、津贴、各种社会保险、服装费、人员食宿与交通、加班费、零星设备设施维修及更换费、税金、管理费等）一切费用。</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★5.2投标报价为最终报价，除非因特殊原因并经双方协商同意，供应商不得再要求追加任何费用。同时，除非合同条款中另有规定，否则，供应商所报价格在合同实施期间不因市场变化和政策因素而变动。</w:t>
      </w:r>
    </w:p>
    <w:p>
      <w:pPr>
        <w:spacing w:line="400" w:lineRule="exact"/>
        <w:ind w:firstLine="420" w:firstLineChars="200"/>
        <w:jc w:val="left"/>
        <w:rPr>
          <w:rFonts w:hint="eastAsia" w:ascii="宋体" w:hAnsi="宋体"/>
          <w:szCs w:val="21"/>
        </w:rPr>
      </w:pPr>
      <w:r>
        <w:rPr>
          <w:rFonts w:hint="eastAsia" w:ascii="宋体" w:hAnsi="宋体"/>
          <w:color w:val="000000"/>
          <w:szCs w:val="21"/>
        </w:rPr>
        <w:t>★</w:t>
      </w:r>
      <w:r>
        <w:rPr>
          <w:rFonts w:ascii="宋体" w:hAnsi="宋体"/>
          <w:szCs w:val="21"/>
        </w:rPr>
        <w:t>5</w:t>
      </w:r>
      <w:r>
        <w:rPr>
          <w:rFonts w:hint="eastAsia" w:ascii="宋体" w:hAnsi="宋体"/>
          <w:szCs w:val="21"/>
        </w:rPr>
        <w:t>.3每项服务只允许有一个</w:t>
      </w:r>
      <w:r>
        <w:rPr>
          <w:rFonts w:ascii="Arial" w:hAnsi="Arial" w:cs="Arial"/>
          <w:szCs w:val="21"/>
        </w:rPr>
        <w:t>报价，有选择的或有条件的报价将不予接受。</w:t>
      </w:r>
      <w:r>
        <w:rPr>
          <w:rFonts w:hint="eastAsia" w:ascii="宋体" w:hAnsi="宋体"/>
          <w:szCs w:val="21"/>
        </w:rPr>
        <w:t>供应商应详细列明各分项工作相关报价及依据，未列明的相关报价应视为已包含在已列明费用的报价中，采购人将不予单独支付。</w:t>
      </w:r>
    </w:p>
    <w:p>
      <w:pPr>
        <w:spacing w:line="400" w:lineRule="exact"/>
        <w:ind w:firstLine="422" w:firstLineChars="200"/>
        <w:jc w:val="left"/>
        <w:rPr>
          <w:rFonts w:ascii="宋体" w:hAnsi="宋体"/>
          <w:b/>
          <w:color w:val="000000"/>
          <w:szCs w:val="21"/>
        </w:rPr>
      </w:pPr>
      <w:r>
        <w:rPr>
          <w:rFonts w:hint="eastAsia" w:ascii="宋体" w:hAnsi="宋体"/>
          <w:b/>
          <w:color w:val="000000"/>
          <w:szCs w:val="21"/>
        </w:rPr>
        <w:t>六、投标有效期</w:t>
      </w:r>
    </w:p>
    <w:p>
      <w:pPr>
        <w:spacing w:line="400" w:lineRule="exact"/>
        <w:ind w:firstLine="210" w:firstLineChars="100"/>
        <w:jc w:val="left"/>
        <w:rPr>
          <w:rFonts w:ascii="宋体" w:hAnsi="宋体"/>
          <w:b/>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、投标文件从开标之日起，投标有效期为</w:t>
      </w:r>
      <w:r>
        <w:rPr>
          <w:rFonts w:ascii="宋体" w:hAnsi="宋体"/>
          <w:color w:val="000000"/>
          <w:szCs w:val="21"/>
        </w:rPr>
        <w:t>90</w:t>
      </w:r>
      <w:r>
        <w:rPr>
          <w:rFonts w:hint="eastAsia" w:ascii="宋体" w:hAnsi="宋体"/>
          <w:color w:val="000000"/>
          <w:szCs w:val="21"/>
        </w:rPr>
        <w:t>个日历日。投标有效期不能小于招标文件的要求。</w:t>
      </w:r>
    </w:p>
    <w:p>
      <w:pPr>
        <w:spacing w:line="400" w:lineRule="exact"/>
        <w:ind w:firstLine="420" w:firstLineChars="200"/>
        <w:jc w:val="left"/>
        <w:rPr>
          <w:rFonts w:ascii="宋体" w:hAnsi="宋体"/>
          <w:b/>
          <w:color w:val="000000"/>
          <w:szCs w:val="21"/>
        </w:rPr>
      </w:pPr>
      <w:r>
        <w:rPr>
          <w:rFonts w:ascii="宋体" w:hAnsi="宋体"/>
          <w:color w:val="000000"/>
          <w:szCs w:val="21"/>
        </w:rPr>
        <w:t>2</w:t>
      </w:r>
      <w:r>
        <w:rPr>
          <w:rFonts w:hint="eastAsia" w:ascii="宋体" w:hAnsi="宋体"/>
          <w:color w:val="000000"/>
          <w:szCs w:val="21"/>
        </w:rPr>
        <w:t>、特殊情况下，采购人可与供应商协商延缓投标文件的有效期，这种要求和答复均以书面形式进行。</w:t>
      </w:r>
    </w:p>
    <w:p>
      <w:pPr>
        <w:spacing w:line="400" w:lineRule="exact"/>
        <w:ind w:firstLine="420" w:firstLineChars="200"/>
        <w:jc w:val="left"/>
        <w:rPr>
          <w:rFonts w:ascii="宋体" w:hAnsi="宋体"/>
          <w:color w:val="000000"/>
          <w:szCs w:val="21"/>
        </w:rPr>
      </w:pPr>
      <w:r>
        <w:rPr>
          <w:rFonts w:ascii="宋体" w:hAnsi="宋体"/>
          <w:color w:val="000000"/>
          <w:szCs w:val="21"/>
        </w:rPr>
        <w:t>3</w:t>
      </w:r>
      <w:r>
        <w:rPr>
          <w:rFonts w:hint="eastAsia" w:ascii="宋体" w:hAnsi="宋体"/>
          <w:color w:val="000000"/>
          <w:szCs w:val="21"/>
        </w:rPr>
        <w:t>、供应商可拒绝接受延期要求。同意延长有效期的供应商不能修改投标文件。</w:t>
      </w:r>
    </w:p>
    <w:p>
      <w:pPr>
        <w:spacing w:line="400" w:lineRule="exact"/>
        <w:ind w:firstLine="422" w:firstLineChars="200"/>
        <w:jc w:val="left"/>
        <w:rPr>
          <w:rFonts w:ascii="宋体" w:hAnsi="宋体"/>
          <w:b/>
          <w:color w:val="000000"/>
          <w:szCs w:val="21"/>
        </w:rPr>
      </w:pPr>
      <w:r>
        <w:rPr>
          <w:rFonts w:hint="eastAsia" w:ascii="宋体" w:hAnsi="宋体"/>
          <w:b/>
          <w:color w:val="000000"/>
          <w:szCs w:val="21"/>
        </w:rPr>
        <w:t>七、投标文件的形式和效力</w:t>
      </w:r>
    </w:p>
    <w:p>
      <w:pPr>
        <w:spacing w:line="400" w:lineRule="exact"/>
        <w:ind w:firstLine="420" w:firstLineChars="200"/>
        <w:jc w:val="left"/>
        <w:rPr>
          <w:rFonts w:hint="eastAsia" w:ascii="宋体" w:hAnsi="宋体"/>
          <w:color w:val="000000"/>
          <w:szCs w:val="21"/>
        </w:rPr>
      </w:pPr>
      <w:r>
        <w:rPr>
          <w:rFonts w:ascii="宋体" w:hAnsi="宋体"/>
          <w:color w:val="000000"/>
          <w:szCs w:val="21"/>
        </w:rPr>
        <w:t>1</w:t>
      </w:r>
      <w:r>
        <w:rPr>
          <w:rFonts w:hint="eastAsia" w:ascii="宋体" w:hAnsi="宋体"/>
          <w:color w:val="000000"/>
          <w:szCs w:val="21"/>
        </w:rPr>
        <w:t>、投标文件分为电子投标文件以及备份投标文件，备份投标文件分为以</w:t>
      </w:r>
      <w:r>
        <w:rPr>
          <w:rFonts w:hint="eastAsia" w:ascii="宋体" w:hAnsi="宋体" w:cs="宋体"/>
          <w:color w:val="000000"/>
          <w:kern w:val="0"/>
          <w:szCs w:val="21"/>
        </w:rPr>
        <w:t>U盘或光盘存储的电子</w:t>
      </w:r>
      <w:r>
        <w:rPr>
          <w:rFonts w:hint="eastAsia" w:ascii="宋体" w:hAnsi="宋体"/>
          <w:color w:val="000000"/>
          <w:szCs w:val="21"/>
        </w:rPr>
        <w:t>备份投标文件和纸质备份投标文件。</w:t>
      </w:r>
    </w:p>
    <w:p>
      <w:pPr>
        <w:spacing w:line="400" w:lineRule="exact"/>
        <w:ind w:firstLine="420" w:firstLineChars="200"/>
        <w:jc w:val="left"/>
        <w:rPr>
          <w:rFonts w:hint="eastAsia" w:ascii="宋体" w:hAnsi="宋体"/>
          <w:color w:val="000000"/>
          <w:szCs w:val="21"/>
        </w:rPr>
      </w:pPr>
      <w:r>
        <w:rPr>
          <w:rFonts w:ascii="宋体" w:hAnsi="宋体"/>
          <w:color w:val="000000"/>
          <w:szCs w:val="21"/>
        </w:rPr>
        <w:t>2</w:t>
      </w:r>
      <w:r>
        <w:rPr>
          <w:rFonts w:hint="eastAsia" w:ascii="宋体" w:hAnsi="宋体"/>
          <w:color w:val="000000"/>
          <w:szCs w:val="21"/>
        </w:rPr>
        <w:t>、电子投标文件，按“项目采购-电子招投标操作指南”及本招标文件要求制作，并加密。</w:t>
      </w:r>
    </w:p>
    <w:p>
      <w:pPr>
        <w:spacing w:line="400" w:lineRule="exact"/>
        <w:ind w:firstLine="420" w:firstLineChars="200"/>
        <w:jc w:val="left"/>
        <w:rPr>
          <w:rFonts w:hint="eastAsia" w:ascii="宋体" w:hAnsi="宋体"/>
          <w:color w:val="000000"/>
          <w:szCs w:val="21"/>
        </w:rPr>
      </w:pPr>
      <w:r>
        <w:rPr>
          <w:rFonts w:ascii="宋体" w:hAnsi="宋体"/>
          <w:color w:val="000000"/>
          <w:szCs w:val="21"/>
        </w:rPr>
        <w:t>3</w:t>
      </w:r>
      <w:r>
        <w:rPr>
          <w:rFonts w:hint="eastAsia" w:ascii="宋体" w:hAnsi="宋体"/>
          <w:color w:val="000000"/>
          <w:szCs w:val="21"/>
        </w:rPr>
        <w:t>、以</w:t>
      </w:r>
      <w:r>
        <w:rPr>
          <w:rFonts w:hint="eastAsia" w:ascii="宋体" w:hAnsi="宋体" w:cs="宋体"/>
          <w:color w:val="000000"/>
          <w:kern w:val="0"/>
          <w:szCs w:val="21"/>
        </w:rPr>
        <w:t>U盘或光盘存储的电子</w:t>
      </w:r>
      <w:r>
        <w:rPr>
          <w:rFonts w:hint="eastAsia" w:ascii="宋体" w:hAnsi="宋体"/>
          <w:color w:val="000000"/>
          <w:szCs w:val="21"/>
        </w:rPr>
        <w:t>备份投标文件，按“项目采购-电子招投标操作指南”制作的电子备份文件。</w:t>
      </w:r>
    </w:p>
    <w:p>
      <w:pPr>
        <w:spacing w:line="400" w:lineRule="exact"/>
        <w:ind w:firstLine="420" w:firstLineChars="200"/>
        <w:jc w:val="left"/>
        <w:rPr>
          <w:rFonts w:hint="eastAsia" w:ascii="宋体" w:hAnsi="宋体"/>
          <w:color w:val="000000"/>
          <w:szCs w:val="21"/>
        </w:rPr>
      </w:pPr>
      <w:r>
        <w:rPr>
          <w:rFonts w:ascii="宋体" w:hAnsi="宋体"/>
          <w:color w:val="000000"/>
          <w:szCs w:val="21"/>
        </w:rPr>
        <w:t>4</w:t>
      </w:r>
      <w:r>
        <w:rPr>
          <w:rFonts w:hint="eastAsia" w:ascii="宋体" w:hAnsi="宋体"/>
          <w:color w:val="000000"/>
          <w:szCs w:val="21"/>
        </w:rPr>
        <w:t>、纸质备份投标文件按本章第八条投标文件的组成编制。</w:t>
      </w:r>
    </w:p>
    <w:p>
      <w:pPr>
        <w:spacing w:line="400" w:lineRule="exact"/>
        <w:ind w:firstLine="420" w:firstLineChars="200"/>
        <w:jc w:val="left"/>
        <w:rPr>
          <w:rFonts w:ascii="宋体" w:hAnsi="宋体"/>
          <w:color w:val="000000"/>
          <w:szCs w:val="21"/>
        </w:rPr>
      </w:pPr>
      <w:r>
        <w:rPr>
          <w:rFonts w:hint="eastAsia" w:ascii="宋体" w:hAnsi="宋体"/>
          <w:color w:val="000000"/>
          <w:szCs w:val="21"/>
        </w:rPr>
        <w:t>5、投标文件填写字迹必须清楚、工整，对不同文字文本投标文件的解释发生异议的，以中文文本为准。</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6、投标文件的效力</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投标文件的启用，按先后顺位分别为电子投标文件、以</w:t>
      </w:r>
      <w:r>
        <w:rPr>
          <w:rFonts w:hint="eastAsia" w:ascii="宋体" w:hAnsi="宋体" w:cs="宋体"/>
          <w:color w:val="000000"/>
          <w:kern w:val="0"/>
          <w:szCs w:val="21"/>
        </w:rPr>
        <w:t>U盘或光盘存储的电子</w:t>
      </w:r>
      <w:r>
        <w:rPr>
          <w:rFonts w:hint="eastAsia" w:ascii="宋体" w:hAnsi="宋体"/>
          <w:color w:val="000000"/>
          <w:szCs w:val="21"/>
        </w:rPr>
        <w:t>备份投标文件、纸质备份投标文件。在下一顺位的投标文件启用时，前一顺位的投标文件自动失效。</w:t>
      </w:r>
    </w:p>
    <w:p>
      <w:pPr>
        <w:spacing w:line="400" w:lineRule="exact"/>
        <w:ind w:firstLine="420" w:firstLineChars="200"/>
        <w:jc w:val="left"/>
        <w:rPr>
          <w:rFonts w:ascii="宋体" w:hAnsi="宋体"/>
          <w:color w:val="000000"/>
          <w:szCs w:val="21"/>
        </w:rPr>
      </w:pPr>
      <w:r>
        <w:rPr>
          <w:rFonts w:hint="eastAsia" w:ascii="宋体" w:hAnsi="宋体"/>
          <w:color w:val="000000"/>
          <w:szCs w:val="21"/>
        </w:rPr>
        <w:t>电子投标文件未能按时解密，供应商提供了电子备份投标文件、纸质备份投标文件的，以电子备份投标文件、纸质备份投标文件作为依据，否则视为投标文件撤回。电子投标文件已按时解密的，电子备份投标文件、纸质备份投标文件自动失效。</w:t>
      </w:r>
    </w:p>
    <w:p>
      <w:pPr>
        <w:spacing w:line="400" w:lineRule="exact"/>
        <w:ind w:firstLine="422" w:firstLineChars="200"/>
        <w:jc w:val="left"/>
        <w:rPr>
          <w:rFonts w:hint="eastAsia" w:ascii="宋体" w:hAnsi="宋体"/>
          <w:b/>
          <w:bCs/>
          <w:color w:val="000000"/>
          <w:szCs w:val="21"/>
        </w:rPr>
      </w:pPr>
      <w:r>
        <w:rPr>
          <w:rFonts w:hint="eastAsia" w:ascii="宋体" w:hAnsi="宋体"/>
          <w:b/>
          <w:bCs/>
          <w:color w:val="000000"/>
          <w:szCs w:val="21"/>
        </w:rPr>
        <w:t>八、投标文件的组成和份数</w:t>
      </w:r>
    </w:p>
    <w:p>
      <w:pPr>
        <w:snapToGrid w:val="0"/>
        <w:spacing w:line="400" w:lineRule="exact"/>
        <w:ind w:firstLine="411" w:firstLineChars="196"/>
        <w:jc w:val="left"/>
        <w:rPr>
          <w:rFonts w:hint="eastAsia" w:ascii="宋体" w:hAnsi="宋体"/>
          <w:bCs/>
          <w:color w:val="000000"/>
          <w:szCs w:val="21"/>
        </w:rPr>
      </w:pPr>
      <w:r>
        <w:rPr>
          <w:rFonts w:hint="eastAsia" w:ascii="宋体" w:hAnsi="宋体"/>
          <w:bCs/>
          <w:color w:val="000000"/>
          <w:szCs w:val="21"/>
        </w:rPr>
        <w:t>1、投标文件的组成：</w:t>
      </w:r>
    </w:p>
    <w:p>
      <w:pPr>
        <w:snapToGrid w:val="0"/>
        <w:spacing w:line="400" w:lineRule="exact"/>
        <w:ind w:firstLine="413" w:firstLineChars="196"/>
        <w:jc w:val="left"/>
        <w:rPr>
          <w:rFonts w:ascii="宋体" w:hAnsi="宋体"/>
          <w:b/>
          <w:color w:val="000000"/>
          <w:szCs w:val="21"/>
        </w:rPr>
      </w:pPr>
      <w:bookmarkStart w:id="19" w:name="_Hlk23147633"/>
      <w:bookmarkStart w:id="20" w:name="_Hlk23150950"/>
      <w:r>
        <w:rPr>
          <w:rFonts w:ascii="宋体" w:hAnsi="宋体"/>
          <w:b/>
          <w:color w:val="000000"/>
          <w:szCs w:val="21"/>
        </w:rPr>
        <w:t>A</w:t>
      </w:r>
      <w:r>
        <w:rPr>
          <w:rFonts w:hint="eastAsia" w:ascii="宋体" w:hAnsi="宋体"/>
          <w:b/>
          <w:color w:val="000000"/>
          <w:szCs w:val="21"/>
        </w:rPr>
        <w:t>、第一册：资格文件</w:t>
      </w:r>
    </w:p>
    <w:p>
      <w:pPr>
        <w:spacing w:line="400" w:lineRule="exact"/>
        <w:ind w:firstLine="420" w:firstLineChars="200"/>
        <w:jc w:val="left"/>
        <w:rPr>
          <w:rFonts w:hint="eastAsia" w:ascii="宋体" w:hAnsi="宋体" w:cs="宋体"/>
          <w:szCs w:val="21"/>
        </w:rPr>
      </w:pPr>
      <w:bookmarkStart w:id="21" w:name="_Hlk4309479"/>
      <w:r>
        <w:rPr>
          <w:rFonts w:hint="eastAsia" w:ascii="宋体" w:hAnsi="宋体" w:cs="宋体"/>
          <w:szCs w:val="21"/>
        </w:rPr>
        <w:t>A1、关于资格的承诺函；</w:t>
      </w:r>
    </w:p>
    <w:p>
      <w:pPr>
        <w:spacing w:line="400" w:lineRule="exact"/>
        <w:ind w:firstLine="420" w:firstLineChars="200"/>
        <w:jc w:val="left"/>
        <w:rPr>
          <w:rFonts w:hint="eastAsia" w:ascii="宋体" w:hAnsi="宋体" w:cs="宋体"/>
          <w:szCs w:val="21"/>
        </w:rPr>
      </w:pPr>
      <w:r>
        <w:rPr>
          <w:rFonts w:hint="eastAsia" w:ascii="宋体" w:hAnsi="宋体" w:cs="宋体"/>
          <w:szCs w:val="21"/>
        </w:rPr>
        <w:t>A2、营业执照副本（或事业法人登记证副本或其他登记证明材料）复印件加盖供应商公章（供应商如果有名称变更的，应提供由行政主管部门出具的变更证明文件复印件加盖供应商公章）；</w:t>
      </w:r>
    </w:p>
    <w:p>
      <w:pPr>
        <w:spacing w:line="400" w:lineRule="exact"/>
        <w:ind w:firstLine="420" w:firstLineChars="200"/>
        <w:jc w:val="left"/>
        <w:rPr>
          <w:rFonts w:hint="eastAsia" w:ascii="宋体" w:hAnsi="宋体"/>
          <w:color w:val="000000"/>
          <w:szCs w:val="21"/>
        </w:rPr>
      </w:pPr>
      <w:r>
        <w:rPr>
          <w:rFonts w:hint="eastAsia" w:ascii="宋体" w:hAnsi="宋体" w:cs="宋体"/>
          <w:szCs w:val="21"/>
        </w:rPr>
        <w:t>A3、采购文件要求的其他资格证明材料。（</w:t>
      </w:r>
      <w:r>
        <w:rPr>
          <w:rFonts w:hint="eastAsia" w:ascii="宋体" w:hAnsi="宋体" w:cs="宋体"/>
        </w:rPr>
        <w:t>本项目的特定资格要求：</w:t>
      </w:r>
      <w:r>
        <w:rPr>
          <w:rFonts w:hint="eastAsia" w:ascii="宋体" w:hAnsi="宋体" w:cs="宋体"/>
          <w:szCs w:val="21"/>
        </w:rPr>
        <w:t>供应商须具有公安机关核发的保安服务许可证。）</w:t>
      </w:r>
    </w:p>
    <w:p>
      <w:pPr>
        <w:spacing w:line="400" w:lineRule="exact"/>
        <w:ind w:firstLine="422" w:firstLineChars="200"/>
        <w:jc w:val="left"/>
        <w:rPr>
          <w:rFonts w:hint="eastAsia" w:ascii="宋体" w:hAnsi="宋体"/>
          <w:b/>
          <w:color w:val="000000"/>
          <w:szCs w:val="21"/>
        </w:rPr>
      </w:pPr>
      <w:r>
        <w:rPr>
          <w:rFonts w:ascii="宋体" w:hAnsi="宋体"/>
          <w:b/>
          <w:color w:val="000000"/>
          <w:szCs w:val="21"/>
        </w:rPr>
        <w:t>B</w:t>
      </w:r>
      <w:r>
        <w:rPr>
          <w:rFonts w:hint="eastAsia" w:ascii="宋体" w:hAnsi="宋体"/>
          <w:b/>
          <w:color w:val="000000"/>
          <w:szCs w:val="21"/>
        </w:rPr>
        <w:t>、第二册：商务和技术文件</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B1、投标书；</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B2、法定代表人身份证明</w:t>
      </w:r>
      <w:r>
        <w:rPr>
          <w:rFonts w:hint="eastAsia" w:ascii="宋体" w:hAnsi="宋体"/>
          <w:szCs w:val="21"/>
        </w:rPr>
        <w:t>（法人参加须提供）</w:t>
      </w:r>
      <w:r>
        <w:rPr>
          <w:rFonts w:hint="eastAsia" w:ascii="宋体" w:hAnsi="宋体"/>
          <w:color w:val="000000"/>
          <w:szCs w:val="21"/>
        </w:rPr>
        <w:t>；</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B3、法定代表人授权书（投标文件由授权代表签字的须提供）；</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B4、供应商一般情况表；</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B5、商务条款响应表；</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B6、招标内容及技术要求条款响应表；</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B7、第三章“</w:t>
      </w:r>
      <w:r>
        <w:rPr>
          <w:rFonts w:hint="eastAsia" w:ascii="宋体" w:hAnsi="宋体"/>
          <w:bCs/>
          <w:color w:val="000000"/>
          <w:szCs w:val="21"/>
        </w:rPr>
        <w:t>技术和资信商务评分表</w:t>
      </w:r>
      <w:r>
        <w:rPr>
          <w:rFonts w:hint="eastAsia" w:ascii="宋体" w:hAnsi="宋体"/>
          <w:color w:val="000000"/>
          <w:szCs w:val="21"/>
        </w:rPr>
        <w:t>”中要求提供的相关内容和证明材料；</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B8、供应商认为需要的其他资料（如有需提供）。</w:t>
      </w:r>
    </w:p>
    <w:bookmarkEnd w:id="21"/>
    <w:p>
      <w:pPr>
        <w:spacing w:line="400" w:lineRule="exact"/>
        <w:ind w:firstLine="420" w:firstLineChars="200"/>
        <w:jc w:val="left"/>
        <w:rPr>
          <w:rFonts w:ascii="宋体" w:hAnsi="宋体"/>
          <w:color w:val="000000"/>
          <w:szCs w:val="21"/>
        </w:rPr>
      </w:pPr>
      <w:r>
        <w:rPr>
          <w:rFonts w:hint="eastAsia" w:ascii="宋体" w:hAnsi="宋体"/>
          <w:color w:val="000000"/>
          <w:szCs w:val="21"/>
        </w:rPr>
        <w:t>★“商务和技术文件”中不得出现涉及投标价格的内容，否则作无效标处理。</w:t>
      </w:r>
    </w:p>
    <w:bookmarkEnd w:id="19"/>
    <w:p>
      <w:pPr>
        <w:spacing w:line="400" w:lineRule="exact"/>
        <w:ind w:firstLine="422" w:firstLineChars="200"/>
        <w:jc w:val="left"/>
        <w:rPr>
          <w:rFonts w:ascii="宋体" w:hAnsi="宋体"/>
          <w:b/>
          <w:color w:val="000000"/>
          <w:szCs w:val="21"/>
        </w:rPr>
      </w:pPr>
      <w:r>
        <w:rPr>
          <w:rFonts w:ascii="宋体" w:hAnsi="宋体"/>
          <w:b/>
          <w:color w:val="000000"/>
          <w:szCs w:val="21"/>
        </w:rPr>
        <w:t>C</w:t>
      </w:r>
      <w:r>
        <w:rPr>
          <w:rFonts w:hint="eastAsia" w:ascii="宋体" w:hAnsi="宋体"/>
          <w:b/>
          <w:color w:val="000000"/>
          <w:szCs w:val="21"/>
        </w:rPr>
        <w:t>、第三册：报价文件</w:t>
      </w:r>
    </w:p>
    <w:p>
      <w:pPr>
        <w:spacing w:line="400" w:lineRule="exact"/>
        <w:ind w:firstLine="420" w:firstLineChars="200"/>
        <w:jc w:val="left"/>
        <w:rPr>
          <w:rFonts w:hint="eastAsia" w:ascii="宋体" w:hAnsi="宋体"/>
          <w:color w:val="000000"/>
          <w:szCs w:val="21"/>
        </w:rPr>
      </w:pPr>
      <w:r>
        <w:rPr>
          <w:rFonts w:ascii="宋体" w:hAnsi="宋体"/>
          <w:color w:val="000000"/>
          <w:szCs w:val="21"/>
        </w:rPr>
        <w:t>C1</w:t>
      </w:r>
      <w:r>
        <w:rPr>
          <w:rFonts w:hint="eastAsia" w:ascii="宋体" w:hAnsi="宋体"/>
          <w:color w:val="000000"/>
          <w:szCs w:val="21"/>
        </w:rPr>
        <w:t>、开标一览表；</w:t>
      </w:r>
    </w:p>
    <w:p>
      <w:pPr>
        <w:spacing w:line="400" w:lineRule="exact"/>
        <w:ind w:firstLine="420" w:firstLineChars="200"/>
        <w:jc w:val="left"/>
        <w:rPr>
          <w:rFonts w:ascii="宋体" w:hAnsi="宋体"/>
          <w:color w:val="000000"/>
          <w:szCs w:val="21"/>
        </w:rPr>
      </w:pPr>
      <w:r>
        <w:rPr>
          <w:rFonts w:ascii="宋体" w:hAnsi="宋体"/>
          <w:color w:val="000000"/>
          <w:szCs w:val="21"/>
        </w:rPr>
        <w:t>C</w:t>
      </w:r>
      <w:r>
        <w:rPr>
          <w:rFonts w:hint="eastAsia" w:ascii="宋体" w:hAnsi="宋体"/>
          <w:color w:val="000000"/>
          <w:szCs w:val="21"/>
        </w:rPr>
        <w:t>2、分项报价表</w:t>
      </w:r>
    </w:p>
    <w:p>
      <w:pPr>
        <w:spacing w:line="400" w:lineRule="exact"/>
        <w:ind w:firstLine="420" w:firstLineChars="200"/>
        <w:jc w:val="left"/>
        <w:rPr>
          <w:rFonts w:ascii="宋体" w:hAnsi="宋体"/>
          <w:color w:val="000000"/>
          <w:szCs w:val="21"/>
        </w:rPr>
      </w:pPr>
      <w:r>
        <w:rPr>
          <w:rFonts w:ascii="宋体" w:hAnsi="宋体"/>
          <w:color w:val="000000"/>
          <w:szCs w:val="21"/>
        </w:rPr>
        <w:t>C</w:t>
      </w:r>
      <w:r>
        <w:rPr>
          <w:rFonts w:hint="eastAsia" w:ascii="宋体" w:hAnsi="宋体"/>
          <w:color w:val="000000"/>
          <w:szCs w:val="21"/>
        </w:rPr>
        <w:t>3、中小企业声明函；</w:t>
      </w:r>
    </w:p>
    <w:p>
      <w:pPr>
        <w:spacing w:line="400" w:lineRule="exact"/>
        <w:ind w:firstLine="420" w:firstLineChars="200"/>
        <w:jc w:val="left"/>
        <w:rPr>
          <w:rFonts w:ascii="宋体" w:hAnsi="宋体"/>
          <w:color w:val="000000"/>
          <w:szCs w:val="21"/>
        </w:rPr>
      </w:pPr>
      <w:r>
        <w:rPr>
          <w:rFonts w:ascii="宋体" w:hAnsi="宋体"/>
          <w:color w:val="000000"/>
          <w:szCs w:val="21"/>
        </w:rPr>
        <w:t>C</w:t>
      </w:r>
      <w:r>
        <w:rPr>
          <w:rFonts w:hint="eastAsia" w:ascii="宋体" w:hAnsi="宋体"/>
          <w:color w:val="000000"/>
          <w:szCs w:val="21"/>
        </w:rPr>
        <w:t>4、残疾人福利性单位声明函；</w:t>
      </w:r>
    </w:p>
    <w:p>
      <w:pPr>
        <w:spacing w:line="400" w:lineRule="exact"/>
        <w:ind w:firstLine="420" w:firstLineChars="200"/>
        <w:jc w:val="left"/>
        <w:rPr>
          <w:rFonts w:hint="eastAsia" w:ascii="宋体" w:hAnsi="宋体"/>
          <w:color w:val="000000"/>
          <w:szCs w:val="21"/>
        </w:rPr>
      </w:pPr>
      <w:r>
        <w:rPr>
          <w:rFonts w:ascii="宋体" w:hAnsi="宋体"/>
          <w:color w:val="000000"/>
          <w:szCs w:val="21"/>
        </w:rPr>
        <w:t>C</w:t>
      </w:r>
      <w:r>
        <w:rPr>
          <w:rFonts w:hint="eastAsia" w:ascii="宋体" w:hAnsi="宋体"/>
          <w:color w:val="000000"/>
          <w:szCs w:val="21"/>
        </w:rPr>
        <w:t>5、供应商认为需要的其他资料（如有需提供）。</w:t>
      </w:r>
    </w:p>
    <w:bookmarkEnd w:id="20"/>
    <w:p>
      <w:pPr>
        <w:spacing w:line="400" w:lineRule="exact"/>
        <w:ind w:firstLine="420" w:firstLineChars="200"/>
        <w:jc w:val="left"/>
        <w:rPr>
          <w:rFonts w:ascii="宋体" w:hAnsi="宋体"/>
          <w:color w:val="000000"/>
          <w:szCs w:val="21"/>
        </w:rPr>
      </w:pPr>
      <w:r>
        <w:rPr>
          <w:rFonts w:hint="eastAsia" w:ascii="宋体" w:hAnsi="宋体"/>
          <w:color w:val="000000"/>
          <w:szCs w:val="21"/>
        </w:rPr>
        <w:t>2、投标文件的份数：</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本项目实行网上投标，供应商应准备以下投标文件：</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（1）上传到政府采购云平台的电子投标文件</w:t>
      </w:r>
      <w:r>
        <w:rPr>
          <w:rFonts w:hint="eastAsia" w:ascii="宋体" w:hAnsi="宋体"/>
          <w:b/>
          <w:bCs/>
          <w:color w:val="000000"/>
          <w:szCs w:val="21"/>
        </w:rPr>
        <w:t>（.jmbs）</w:t>
      </w:r>
      <w:r>
        <w:rPr>
          <w:rFonts w:hint="eastAsia" w:ascii="宋体" w:hAnsi="宋体"/>
          <w:color w:val="000000"/>
          <w:szCs w:val="21"/>
        </w:rPr>
        <w:t>（含资格文件、商务和技术文件、报价文件）1份。</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（2）以U盘或光盘存储的电子备份投标文件</w:t>
      </w:r>
      <w:r>
        <w:rPr>
          <w:rFonts w:hint="eastAsia" w:ascii="宋体" w:hAnsi="宋体"/>
          <w:b/>
          <w:bCs/>
          <w:color w:val="000000"/>
          <w:szCs w:val="21"/>
        </w:rPr>
        <w:t>（.bfbs）</w:t>
      </w:r>
      <w:r>
        <w:rPr>
          <w:rFonts w:hint="eastAsia" w:ascii="宋体" w:hAnsi="宋体"/>
          <w:color w:val="000000"/>
          <w:szCs w:val="21"/>
        </w:rPr>
        <w:t>（含资格文件、商务和技术文件、报价文件）1份。</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（3）</w:t>
      </w:r>
      <w:r>
        <w:rPr>
          <w:rFonts w:hint="eastAsia" w:ascii="宋体" w:hAnsi="宋体" w:cs="宋体"/>
          <w:color w:val="000000"/>
          <w:kern w:val="0"/>
          <w:szCs w:val="21"/>
        </w:rPr>
        <w:t>纸质备份投标文件</w:t>
      </w:r>
      <w:r>
        <w:rPr>
          <w:rFonts w:hint="eastAsia" w:ascii="宋体" w:hAnsi="宋体"/>
          <w:color w:val="000000"/>
          <w:szCs w:val="21"/>
        </w:rPr>
        <w:t>：</w:t>
      </w:r>
      <w:r>
        <w:rPr>
          <w:rFonts w:hint="eastAsia" w:ascii="宋体" w:hAnsi="宋体"/>
          <w:szCs w:val="21"/>
        </w:rPr>
        <w:t>（含资格文件1正、商务和技术文件1正、报价文件1正）</w:t>
      </w:r>
      <w:r>
        <w:rPr>
          <w:rFonts w:hint="eastAsia" w:ascii="宋体" w:hAnsi="宋体"/>
          <w:color w:val="000000"/>
          <w:szCs w:val="21"/>
        </w:rPr>
        <w:t>。</w:t>
      </w:r>
    </w:p>
    <w:p>
      <w:pPr>
        <w:spacing w:line="400" w:lineRule="exact"/>
        <w:ind w:firstLine="420" w:firstLineChars="200"/>
        <w:jc w:val="left"/>
        <w:rPr>
          <w:rFonts w:ascii="宋体" w:hAnsi="宋体"/>
          <w:b/>
          <w:bCs/>
          <w:color w:val="000000"/>
          <w:szCs w:val="21"/>
        </w:rPr>
      </w:pPr>
      <w:r>
        <w:rPr>
          <w:rFonts w:hint="eastAsia" w:ascii="宋体" w:hAnsi="宋体"/>
          <w:color w:val="000000"/>
          <w:szCs w:val="21"/>
        </w:rPr>
        <w:t>★</w:t>
      </w:r>
      <w:r>
        <w:rPr>
          <w:rFonts w:hint="eastAsia" w:ascii="宋体" w:hAnsi="宋体"/>
          <w:b/>
          <w:bCs/>
          <w:color w:val="000000"/>
          <w:szCs w:val="21"/>
        </w:rPr>
        <w:t>九、投标文件的签署盖章</w:t>
      </w:r>
    </w:p>
    <w:p>
      <w:pPr>
        <w:tabs>
          <w:tab w:val="left" w:pos="900"/>
        </w:tabs>
        <w:spacing w:line="400" w:lineRule="exact"/>
        <w:ind w:firstLine="420" w:firstLineChars="200"/>
        <w:jc w:val="left"/>
        <w:rPr>
          <w:rFonts w:hint="eastAsia" w:ascii="宋体" w:hAnsi="宋体"/>
          <w:color w:val="000000"/>
          <w:szCs w:val="21"/>
        </w:rPr>
      </w:pPr>
      <w:r>
        <w:rPr>
          <w:rFonts w:ascii="宋体" w:hAnsi="宋体"/>
          <w:color w:val="000000"/>
          <w:szCs w:val="21"/>
        </w:rPr>
        <w:t>1</w:t>
      </w:r>
      <w:r>
        <w:rPr>
          <w:rFonts w:hint="eastAsia" w:ascii="宋体" w:hAnsi="宋体"/>
          <w:color w:val="000000"/>
          <w:szCs w:val="21"/>
        </w:rPr>
        <w:t>、</w:t>
      </w:r>
      <w:r>
        <w:rPr>
          <w:rFonts w:hint="eastAsia" w:ascii="宋体" w:hAnsi="宋体" w:cs="宋体"/>
          <w:color w:val="000000"/>
          <w:kern w:val="0"/>
          <w:szCs w:val="21"/>
        </w:rPr>
        <w:t>纸质备份投标文件</w:t>
      </w:r>
      <w:r>
        <w:rPr>
          <w:rFonts w:hint="eastAsia" w:ascii="宋体" w:hAnsi="宋体"/>
          <w:color w:val="000000"/>
          <w:szCs w:val="21"/>
        </w:rPr>
        <w:t>需打印或用不褪色的墨水填写。</w:t>
      </w:r>
      <w:r>
        <w:rPr>
          <w:rFonts w:hint="eastAsia" w:ascii="宋体" w:hAnsi="宋体" w:cs="宋体"/>
          <w:color w:val="000000"/>
          <w:kern w:val="0"/>
          <w:szCs w:val="21"/>
        </w:rPr>
        <w:t>纸质备份投标文件正本</w:t>
      </w:r>
      <w:r>
        <w:rPr>
          <w:rFonts w:hint="eastAsia" w:ascii="宋体" w:hAnsi="宋体"/>
          <w:color w:val="000000"/>
          <w:szCs w:val="21"/>
        </w:rPr>
        <w:t>装订成册。正本的封面上应清楚地标记“正本”的字样。招标文件第七章“附件”中标明加盖公章或签字的，</w:t>
      </w:r>
      <w:r>
        <w:rPr>
          <w:rFonts w:hint="eastAsia" w:ascii="宋体" w:hAnsi="宋体" w:cs="宋体"/>
          <w:color w:val="000000"/>
          <w:kern w:val="0"/>
          <w:szCs w:val="21"/>
        </w:rPr>
        <w:t>纸质备份投标文件</w:t>
      </w:r>
      <w:r>
        <w:rPr>
          <w:rFonts w:hint="eastAsia" w:ascii="宋体" w:hAnsi="宋体"/>
          <w:color w:val="000000"/>
          <w:szCs w:val="21"/>
        </w:rPr>
        <w:t>须加盖供应商公章或其法定代表人（或授权代表）签字。授权代表签字的，</w:t>
      </w:r>
      <w:r>
        <w:rPr>
          <w:rFonts w:hint="eastAsia" w:ascii="宋体" w:hAnsi="宋体" w:cs="宋体"/>
          <w:color w:val="000000"/>
          <w:kern w:val="0"/>
          <w:szCs w:val="21"/>
        </w:rPr>
        <w:t>纸质备份投标文件</w:t>
      </w:r>
      <w:r>
        <w:rPr>
          <w:rFonts w:hint="eastAsia" w:ascii="宋体" w:hAnsi="宋体"/>
          <w:color w:val="000000"/>
          <w:szCs w:val="21"/>
        </w:rPr>
        <w:t>应附法定代表人签署的法定代表人授权书。</w:t>
      </w:r>
      <w:r>
        <w:rPr>
          <w:rFonts w:hint="eastAsia" w:ascii="宋体" w:hAnsi="宋体" w:cs="宋体"/>
          <w:color w:val="000000"/>
          <w:kern w:val="0"/>
          <w:szCs w:val="21"/>
        </w:rPr>
        <w:t>纸质备份投标文件</w:t>
      </w:r>
      <w:r>
        <w:rPr>
          <w:rFonts w:hint="eastAsia" w:ascii="宋体" w:hAnsi="宋体"/>
          <w:color w:val="000000"/>
          <w:szCs w:val="21"/>
        </w:rPr>
        <w:t>应尽量避免涂改、行间插字或删除。如果出现上述情况，改动之处应加盖供应商公章或由其法定代表人（或授权代表）签字确认。</w:t>
      </w:r>
    </w:p>
    <w:p>
      <w:pPr>
        <w:tabs>
          <w:tab w:val="left" w:pos="900"/>
        </w:tabs>
        <w:spacing w:line="400" w:lineRule="exact"/>
        <w:ind w:firstLine="420" w:firstLineChars="200"/>
        <w:jc w:val="left"/>
        <w:rPr>
          <w:rFonts w:hint="eastAsia" w:ascii="宋体" w:hAnsi="宋体" w:cs="宋体"/>
          <w:bCs/>
          <w:color w:val="000000"/>
          <w:szCs w:val="21"/>
        </w:rPr>
      </w:pPr>
      <w:r>
        <w:rPr>
          <w:rFonts w:hint="eastAsia" w:ascii="宋体" w:hAnsi="宋体"/>
          <w:color w:val="000000"/>
          <w:szCs w:val="21"/>
        </w:rPr>
        <w:t>2、招标文件第七章“附件”中标明加盖公章或签字的，</w:t>
      </w:r>
      <w:r>
        <w:rPr>
          <w:rFonts w:hint="eastAsia" w:ascii="宋体" w:hAnsi="宋体" w:cs="宋体"/>
          <w:bCs/>
          <w:color w:val="000000"/>
          <w:szCs w:val="21"/>
        </w:rPr>
        <w:t>电子投标文件中须加盖供应商公章部分均采用CA签章，</w:t>
      </w:r>
      <w:r>
        <w:rPr>
          <w:rFonts w:hint="eastAsia" w:ascii="宋体" w:hAnsi="宋体"/>
          <w:color w:val="000000"/>
          <w:szCs w:val="21"/>
        </w:rPr>
        <w:t>签字部分</w:t>
      </w:r>
      <w:r>
        <w:rPr>
          <w:rFonts w:hint="eastAsia" w:ascii="宋体" w:hAnsi="宋体" w:cs="宋体"/>
          <w:bCs/>
          <w:color w:val="000000"/>
          <w:szCs w:val="21"/>
        </w:rPr>
        <w:t>按照本章第九、1条要求。</w:t>
      </w:r>
    </w:p>
    <w:p>
      <w:pPr>
        <w:spacing w:line="400" w:lineRule="exact"/>
        <w:ind w:firstLine="420" w:firstLineChars="200"/>
        <w:jc w:val="left"/>
        <w:rPr>
          <w:rFonts w:ascii="宋体" w:hAnsi="宋体"/>
          <w:color w:val="000000"/>
          <w:szCs w:val="21"/>
        </w:rPr>
      </w:pPr>
      <w:r>
        <w:rPr>
          <w:rFonts w:hint="eastAsia" w:ascii="宋体" w:hAnsi="宋体" w:cs="宋体"/>
          <w:bCs/>
          <w:color w:val="000000"/>
          <w:szCs w:val="21"/>
        </w:rPr>
        <w:t>3、</w:t>
      </w:r>
      <w:r>
        <w:rPr>
          <w:rFonts w:hint="eastAsia" w:ascii="宋体" w:hAnsi="宋体"/>
          <w:color w:val="000000"/>
          <w:szCs w:val="21"/>
        </w:rPr>
        <w:t>招标文件第七章“附件”中标明加盖公章或签字的，</w:t>
      </w:r>
      <w:r>
        <w:rPr>
          <w:rFonts w:hint="eastAsia" w:ascii="宋体" w:hAnsi="宋体" w:cs="宋体"/>
          <w:color w:val="000000"/>
          <w:kern w:val="0"/>
          <w:szCs w:val="21"/>
        </w:rPr>
        <w:t>以U盘或光盘存储的电子备份投标文件的</w:t>
      </w:r>
      <w:r>
        <w:rPr>
          <w:rFonts w:hint="eastAsia" w:ascii="宋体" w:hAnsi="宋体"/>
          <w:color w:val="000000"/>
          <w:szCs w:val="21"/>
        </w:rPr>
        <w:t>签署盖章按照</w:t>
      </w:r>
      <w:r>
        <w:rPr>
          <w:rFonts w:hint="eastAsia" w:ascii="宋体" w:hAnsi="宋体" w:cs="宋体"/>
          <w:bCs/>
          <w:color w:val="000000"/>
          <w:szCs w:val="21"/>
        </w:rPr>
        <w:t>本章第九、2条要求。</w:t>
      </w:r>
    </w:p>
    <w:p>
      <w:pPr>
        <w:spacing w:line="400" w:lineRule="exact"/>
        <w:ind w:firstLine="422" w:firstLineChars="200"/>
        <w:jc w:val="left"/>
        <w:rPr>
          <w:rFonts w:ascii="宋体" w:hAnsi="宋体"/>
          <w:b/>
          <w:color w:val="000000"/>
          <w:szCs w:val="21"/>
        </w:rPr>
      </w:pPr>
      <w:r>
        <w:rPr>
          <w:rFonts w:hint="eastAsia" w:ascii="宋体" w:hAnsi="宋体"/>
          <w:b/>
          <w:color w:val="000000"/>
          <w:szCs w:val="21"/>
        </w:rPr>
        <w:t>十、投标文件的密封和标记</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1、电子投标文件：供应商应根据“项目采购-电子招投标操作指南”及本招标文件规定的格式和顺序编制电子投标文件并进行关联定位。</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2、</w:t>
      </w:r>
      <w:r>
        <w:rPr>
          <w:rFonts w:hint="eastAsia" w:ascii="宋体" w:hAnsi="宋体" w:cs="宋体"/>
          <w:color w:val="000000"/>
          <w:kern w:val="0"/>
          <w:szCs w:val="21"/>
        </w:rPr>
        <w:t>以U盘或光盘存储的电子备份投标文件</w:t>
      </w:r>
      <w:r>
        <w:rPr>
          <w:rFonts w:hint="eastAsia" w:ascii="宋体" w:hAnsi="宋体"/>
          <w:color w:val="000000"/>
          <w:szCs w:val="21"/>
        </w:rPr>
        <w:t>用封袋密封后递交。</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3、</w:t>
      </w:r>
      <w:r>
        <w:rPr>
          <w:rFonts w:hint="eastAsia" w:ascii="宋体" w:hAnsi="宋体" w:cs="宋体"/>
          <w:color w:val="000000"/>
          <w:kern w:val="0"/>
          <w:szCs w:val="21"/>
        </w:rPr>
        <w:t>纸质备份投标文件：</w:t>
      </w:r>
      <w:r>
        <w:rPr>
          <w:rFonts w:hint="eastAsia" w:ascii="宋体" w:hAnsi="宋体"/>
          <w:szCs w:val="21"/>
        </w:rPr>
        <w:t>（含资格文件1正、商务和技术文件1正、报价文件1正），</w:t>
      </w:r>
      <w:r>
        <w:rPr>
          <w:rFonts w:hint="eastAsia" w:ascii="宋体" w:hAnsi="宋体"/>
          <w:b/>
          <w:color w:val="000000"/>
          <w:szCs w:val="21"/>
        </w:rPr>
        <w:t>分别用封袋密封后递交（可以用多个封袋密封，但“资格文件”、“商务和技术文件”、“报价文件”必须分别密封，不能同时放在一个密封袋中）</w:t>
      </w:r>
      <w:r>
        <w:rPr>
          <w:rFonts w:hint="eastAsia" w:ascii="宋体" w:hAnsi="宋体"/>
          <w:color w:val="000000"/>
          <w:szCs w:val="21"/>
        </w:rPr>
        <w:t>。</w:t>
      </w:r>
    </w:p>
    <w:p>
      <w:pPr>
        <w:tabs>
          <w:tab w:val="left" w:pos="900"/>
        </w:tabs>
        <w:spacing w:line="400" w:lineRule="exact"/>
        <w:ind w:firstLine="420" w:firstLineChars="200"/>
        <w:jc w:val="left"/>
        <w:rPr>
          <w:rFonts w:hint="eastAsia" w:ascii="宋体" w:hAnsi="宋体"/>
          <w:color w:val="000000"/>
          <w:szCs w:val="21"/>
        </w:rPr>
      </w:pPr>
      <w:r>
        <w:rPr>
          <w:rFonts w:hint="eastAsia" w:ascii="宋体" w:hAnsi="宋体"/>
          <w:color w:val="000000"/>
          <w:szCs w:val="21"/>
        </w:rPr>
        <w:t>4、</w:t>
      </w:r>
      <w:r>
        <w:rPr>
          <w:rFonts w:hint="eastAsia" w:ascii="宋体" w:hAnsi="宋体" w:cs="宋体"/>
          <w:color w:val="000000"/>
          <w:kern w:val="0"/>
          <w:szCs w:val="21"/>
        </w:rPr>
        <w:t>电子备份投标文件、纸质备份投标文件须在</w:t>
      </w:r>
      <w:r>
        <w:rPr>
          <w:rFonts w:hint="eastAsia" w:ascii="宋体" w:hAnsi="宋体"/>
          <w:color w:val="000000"/>
          <w:szCs w:val="21"/>
        </w:rPr>
        <w:t>封袋上分别注明：</w:t>
      </w:r>
    </w:p>
    <w:p>
      <w:pPr>
        <w:tabs>
          <w:tab w:val="left" w:pos="900"/>
        </w:tabs>
        <w:spacing w:line="400" w:lineRule="exact"/>
        <w:ind w:firstLine="420" w:firstLineChars="200"/>
        <w:jc w:val="left"/>
        <w:rPr>
          <w:rFonts w:hint="eastAsia" w:ascii="宋体" w:hAnsi="宋体"/>
          <w:color w:val="000000"/>
          <w:szCs w:val="21"/>
          <w:u w:val="single"/>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）注    明：</w:t>
      </w:r>
      <w:r>
        <w:rPr>
          <w:rFonts w:hint="eastAsia" w:ascii="宋体" w:hAnsi="宋体"/>
          <w:color w:val="000000"/>
          <w:szCs w:val="21"/>
          <w:u w:val="single"/>
        </w:rPr>
        <w:t>“电子备份投标文件”</w:t>
      </w:r>
    </w:p>
    <w:p>
      <w:pPr>
        <w:tabs>
          <w:tab w:val="left" w:pos="900"/>
        </w:tabs>
        <w:spacing w:line="400" w:lineRule="exact"/>
        <w:ind w:firstLine="2100" w:firstLineChars="1000"/>
        <w:jc w:val="left"/>
        <w:rPr>
          <w:rFonts w:ascii="宋体" w:hAnsi="宋体"/>
          <w:color w:val="000000"/>
          <w:szCs w:val="21"/>
          <w:u w:val="single"/>
        </w:rPr>
      </w:pPr>
      <w:r>
        <w:rPr>
          <w:rFonts w:ascii="宋体" w:hAnsi="宋体"/>
          <w:color w:val="000000"/>
          <w:szCs w:val="21"/>
          <w:u w:val="single"/>
        </w:rPr>
        <w:t>“</w:t>
      </w:r>
      <w:r>
        <w:rPr>
          <w:rFonts w:hint="eastAsia" w:ascii="宋体" w:hAnsi="宋体"/>
          <w:color w:val="000000"/>
          <w:szCs w:val="21"/>
          <w:u w:val="single"/>
        </w:rPr>
        <w:t>资格文件</w:t>
      </w:r>
      <w:r>
        <w:rPr>
          <w:rFonts w:ascii="宋体" w:hAnsi="宋体"/>
          <w:color w:val="000000"/>
          <w:szCs w:val="21"/>
          <w:u w:val="single"/>
        </w:rPr>
        <w:t>”</w:t>
      </w:r>
      <w:r>
        <w:rPr>
          <w:rFonts w:hint="eastAsia" w:ascii="宋体" w:hAnsi="宋体"/>
          <w:color w:val="000000"/>
          <w:szCs w:val="21"/>
          <w:u w:val="single"/>
        </w:rPr>
        <w:t>、“商务和技术文件”、“报价文件”（</w:t>
      </w:r>
      <w:r>
        <w:rPr>
          <w:rFonts w:hint="eastAsia" w:ascii="宋体" w:hAnsi="宋体" w:cs="宋体"/>
          <w:color w:val="000000"/>
          <w:kern w:val="0"/>
          <w:szCs w:val="21"/>
          <w:u w:val="single"/>
        </w:rPr>
        <w:t>纸质备份投标文件</w:t>
      </w:r>
      <w:r>
        <w:rPr>
          <w:rFonts w:hint="eastAsia" w:ascii="宋体" w:hAnsi="宋体"/>
          <w:color w:val="000000"/>
          <w:szCs w:val="21"/>
          <w:u w:val="single"/>
        </w:rPr>
        <w:t>）；</w:t>
      </w:r>
    </w:p>
    <w:p>
      <w:pPr>
        <w:tabs>
          <w:tab w:val="left" w:pos="900"/>
        </w:tabs>
        <w:spacing w:line="400" w:lineRule="exact"/>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）采购编号：</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NBITC-202250011G</w:t>
      </w:r>
      <w:r>
        <w:rPr>
          <w:rFonts w:ascii="宋体" w:hAnsi="宋体"/>
          <w:color w:val="000000"/>
          <w:szCs w:val="21"/>
          <w:u w:val="single"/>
        </w:rPr>
        <w:t xml:space="preserve">                 </w:t>
      </w:r>
      <w:r>
        <w:rPr>
          <w:rFonts w:hint="eastAsia" w:ascii="宋体" w:hAnsi="宋体"/>
          <w:color w:val="000000"/>
          <w:szCs w:val="21"/>
        </w:rPr>
        <w:t>；</w:t>
      </w:r>
    </w:p>
    <w:p>
      <w:pPr>
        <w:tabs>
          <w:tab w:val="left" w:pos="900"/>
        </w:tabs>
        <w:spacing w:line="400" w:lineRule="exact"/>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）项目名称：</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舟山市中医院保安服务采购项目</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rPr>
        <w:t>；</w:t>
      </w:r>
    </w:p>
    <w:p>
      <w:pPr>
        <w:tabs>
          <w:tab w:val="left" w:pos="900"/>
        </w:tabs>
        <w:spacing w:line="400" w:lineRule="exact"/>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）所投子包（如有多个子包须填写）：</w:t>
      </w:r>
      <w:r>
        <w:rPr>
          <w:rFonts w:ascii="宋体" w:hAnsi="宋体"/>
          <w:color w:val="000000"/>
          <w:szCs w:val="21"/>
          <w:u w:val="single"/>
        </w:rPr>
        <w:t xml:space="preserve">                        </w:t>
      </w:r>
      <w:r>
        <w:rPr>
          <w:rFonts w:hint="eastAsia" w:ascii="宋体" w:hAnsi="宋体"/>
          <w:color w:val="000000"/>
          <w:szCs w:val="21"/>
        </w:rPr>
        <w:t>；</w:t>
      </w:r>
    </w:p>
    <w:p>
      <w:pPr>
        <w:tabs>
          <w:tab w:val="left" w:pos="900"/>
        </w:tabs>
        <w:spacing w:line="400" w:lineRule="exact"/>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5</w:t>
      </w:r>
      <w:r>
        <w:rPr>
          <w:rFonts w:hint="eastAsia" w:ascii="宋体" w:hAnsi="宋体"/>
          <w:color w:val="000000"/>
          <w:szCs w:val="21"/>
        </w:rPr>
        <w:t>）在</w:t>
      </w:r>
      <w:r>
        <w:rPr>
          <w:rFonts w:ascii="宋体" w:hAnsi="宋体"/>
          <w:color w:val="000000"/>
          <w:szCs w:val="21"/>
          <w:u w:val="single"/>
        </w:rPr>
        <w:t xml:space="preserve">       </w:t>
      </w:r>
      <w:r>
        <w:rPr>
          <w:rFonts w:hint="eastAsia" w:ascii="宋体" w:hAnsi="宋体"/>
          <w:color w:val="000000"/>
          <w:szCs w:val="21"/>
        </w:rPr>
        <w:t>年</w:t>
      </w:r>
      <w:r>
        <w:rPr>
          <w:rFonts w:ascii="宋体" w:hAnsi="宋体"/>
          <w:color w:val="000000"/>
          <w:szCs w:val="21"/>
          <w:u w:val="single"/>
        </w:rPr>
        <w:t xml:space="preserve">       </w:t>
      </w:r>
      <w:r>
        <w:rPr>
          <w:rFonts w:hint="eastAsia" w:ascii="宋体" w:hAnsi="宋体"/>
          <w:color w:val="000000"/>
          <w:szCs w:val="21"/>
        </w:rPr>
        <w:t>月</w:t>
      </w:r>
      <w:r>
        <w:rPr>
          <w:rFonts w:ascii="宋体" w:hAnsi="宋体"/>
          <w:color w:val="000000"/>
          <w:szCs w:val="21"/>
          <w:u w:val="single"/>
        </w:rPr>
        <w:t xml:space="preserve">       </w:t>
      </w:r>
      <w:r>
        <w:rPr>
          <w:rFonts w:hint="eastAsia" w:ascii="宋体" w:hAnsi="宋体"/>
          <w:color w:val="000000"/>
          <w:szCs w:val="21"/>
        </w:rPr>
        <w:t>日（规定的开标日期和时间）前不准启封；</w:t>
      </w:r>
    </w:p>
    <w:p>
      <w:pPr>
        <w:tabs>
          <w:tab w:val="left" w:pos="900"/>
        </w:tabs>
        <w:spacing w:line="400" w:lineRule="exact"/>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6</w:t>
      </w:r>
      <w:r>
        <w:rPr>
          <w:rFonts w:hint="eastAsia" w:ascii="宋体" w:hAnsi="宋体"/>
          <w:color w:val="000000"/>
          <w:szCs w:val="21"/>
        </w:rPr>
        <w:t>）供应商的名称：</w:t>
      </w:r>
      <w:r>
        <w:rPr>
          <w:rFonts w:ascii="宋体" w:hAnsi="宋体"/>
          <w:color w:val="000000"/>
          <w:szCs w:val="21"/>
          <w:u w:val="single"/>
        </w:rPr>
        <w:t xml:space="preserve">                                          </w:t>
      </w:r>
      <w:r>
        <w:rPr>
          <w:rFonts w:hint="eastAsia" w:ascii="宋体" w:hAnsi="宋体"/>
          <w:color w:val="000000"/>
          <w:szCs w:val="21"/>
        </w:rPr>
        <w:t>。</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供应商须在包封上加盖供应商公章或由其法定代表人（或授权代表）签字。</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供应商未按上述要求标记的，采购人（代理机构）不承担错放或提前开封的责任。</w:t>
      </w:r>
    </w:p>
    <w:p>
      <w:pPr>
        <w:spacing w:line="400" w:lineRule="exact"/>
        <w:ind w:firstLine="422" w:firstLineChars="200"/>
        <w:jc w:val="left"/>
        <w:rPr>
          <w:rFonts w:ascii="宋体" w:hAnsi="宋体"/>
          <w:b/>
          <w:color w:val="000000"/>
          <w:szCs w:val="21"/>
        </w:rPr>
      </w:pPr>
      <w:r>
        <w:rPr>
          <w:rFonts w:hint="eastAsia" w:ascii="宋体" w:hAnsi="宋体"/>
          <w:b/>
          <w:color w:val="000000"/>
          <w:szCs w:val="21"/>
        </w:rPr>
        <w:t>十一、投标文件的递交</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1、投标文件递交的具体要求详见采购公告。</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2、供应商未按上述要求密封的备份投标文件，代理机构不予受理。</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3、</w:t>
      </w:r>
      <w:r>
        <w:rPr>
          <w:rFonts w:ascii="宋体" w:hAnsi="宋体"/>
          <w:color w:val="000000"/>
          <w:szCs w:val="21"/>
        </w:rPr>
        <w:t>逾期送达的或者未送达指定地点的，</w:t>
      </w:r>
      <w:r>
        <w:rPr>
          <w:rFonts w:hint="eastAsia" w:ascii="宋体" w:hAnsi="宋体"/>
          <w:color w:val="000000"/>
          <w:szCs w:val="21"/>
        </w:rPr>
        <w:t>代理机构</w:t>
      </w:r>
      <w:r>
        <w:rPr>
          <w:rFonts w:ascii="宋体" w:hAnsi="宋体"/>
          <w:color w:val="000000"/>
          <w:szCs w:val="21"/>
        </w:rPr>
        <w:t>不予受理。</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4、投标文件的补充、修改</w:t>
      </w:r>
    </w:p>
    <w:p>
      <w:pPr>
        <w:pStyle w:val="18"/>
        <w:spacing w:line="400" w:lineRule="exact"/>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投标截止时间前，供应商可以对递交的投标文件进行补充、修改，</w:t>
      </w:r>
      <w:r>
        <w:rPr>
          <w:rFonts w:hint="eastAsia" w:ascii="宋体" w:hAnsi="宋体" w:eastAsia="宋体" w:cs="宋体"/>
          <w:color w:val="000000"/>
          <w:sz w:val="21"/>
          <w:szCs w:val="21"/>
          <w:lang w:val="en"/>
        </w:rPr>
        <w:t>补充、修改</w:t>
      </w:r>
      <w:r>
        <w:rPr>
          <w:rFonts w:hint="eastAsia" w:ascii="宋体" w:hAnsi="宋体" w:eastAsia="宋体" w:cs="宋体"/>
          <w:color w:val="000000"/>
          <w:sz w:val="21"/>
          <w:szCs w:val="21"/>
        </w:rPr>
        <w:t>电子投标文件</w:t>
      </w:r>
      <w:r>
        <w:rPr>
          <w:rFonts w:hint="eastAsia" w:ascii="宋体" w:hAnsi="宋体" w:eastAsia="宋体" w:cs="宋体"/>
          <w:color w:val="000000"/>
          <w:sz w:val="21"/>
          <w:szCs w:val="21"/>
          <w:lang w:val="en"/>
        </w:rPr>
        <w:t>的，应当先行撤回原文件，补充、修改后重新上传，备份投标文件也应重新制作。</w:t>
      </w:r>
      <w:r>
        <w:rPr>
          <w:rFonts w:hint="eastAsia" w:ascii="宋体" w:hAnsi="宋体" w:eastAsia="宋体" w:cs="宋体"/>
          <w:color w:val="000000"/>
          <w:sz w:val="21"/>
          <w:szCs w:val="21"/>
        </w:rPr>
        <w:t>在投标截止时间之后，供应商不得对其投标文件进行补充、修改。投标截止时间之后供应商要求撤销投标文件的，应向采购人提交正式文件。</w:t>
      </w:r>
    </w:p>
    <w:p>
      <w:pPr>
        <w:spacing w:line="400" w:lineRule="exact"/>
        <w:ind w:firstLine="422" w:firstLineChars="200"/>
        <w:jc w:val="left"/>
        <w:rPr>
          <w:rFonts w:ascii="宋体" w:hAnsi="宋体"/>
          <w:b/>
          <w:color w:val="000000"/>
          <w:szCs w:val="21"/>
        </w:rPr>
      </w:pPr>
      <w:r>
        <w:rPr>
          <w:rFonts w:hint="eastAsia" w:ascii="宋体" w:hAnsi="宋体"/>
          <w:b/>
          <w:color w:val="000000"/>
          <w:szCs w:val="21"/>
        </w:rPr>
        <w:t>十二、开标</w:t>
      </w:r>
    </w:p>
    <w:p>
      <w:pPr>
        <w:spacing w:line="400" w:lineRule="exact"/>
        <w:ind w:firstLine="420" w:firstLineChars="200"/>
        <w:jc w:val="left"/>
        <w:rPr>
          <w:rFonts w:ascii="宋体" w:hAnsi="宋体"/>
          <w:color w:val="000000"/>
          <w:szCs w:val="21"/>
        </w:rPr>
      </w:pPr>
      <w:r>
        <w:rPr>
          <w:rFonts w:ascii="宋体" w:hAnsi="宋体"/>
          <w:color w:val="000000"/>
          <w:szCs w:val="21"/>
        </w:rPr>
        <w:t>1</w:t>
      </w:r>
      <w:r>
        <w:rPr>
          <w:rFonts w:hint="eastAsia" w:ascii="宋体" w:hAnsi="宋体"/>
          <w:color w:val="000000"/>
          <w:szCs w:val="21"/>
        </w:rPr>
        <w:t>、代理机构将按照招标文件规定的时间通过“政采云”组织开标、开启投标文件，所有供应商均应当准时在线参加。如在开标过程中有电子询标，应在规定的时间内对电子询标函进行澄清、答复。超过规定时间的询标函将不予接受，评标委员会可以作出不利于被询标人的决定。供应商如不参加开标大会的，视同认可开标结果，事后不得对采购相关人员、开标过程和开标结果提出异议，同时供应商因未在线参加开标而导致投标文件无法按时解密等一切后果由供应商自己承担。</w:t>
      </w:r>
    </w:p>
    <w:p>
      <w:pPr>
        <w:spacing w:line="400" w:lineRule="exact"/>
        <w:ind w:firstLine="420" w:firstLineChars="200"/>
        <w:jc w:val="left"/>
        <w:rPr>
          <w:rFonts w:ascii="宋体" w:hAnsi="宋体"/>
          <w:color w:val="000000"/>
          <w:szCs w:val="21"/>
        </w:rPr>
      </w:pPr>
      <w:r>
        <w:rPr>
          <w:rFonts w:ascii="宋体" w:hAnsi="宋体"/>
          <w:color w:val="000000"/>
          <w:szCs w:val="21"/>
        </w:rPr>
        <w:t>2</w:t>
      </w:r>
      <w:r>
        <w:rPr>
          <w:rFonts w:hint="eastAsia" w:ascii="宋体" w:hAnsi="宋体"/>
          <w:color w:val="000000"/>
          <w:szCs w:val="21"/>
        </w:rPr>
        <w:t>、电子投标开标及评审程序：分两阶段开标。</w:t>
      </w:r>
    </w:p>
    <w:p>
      <w:pPr>
        <w:spacing w:line="400" w:lineRule="exact"/>
        <w:ind w:firstLine="420" w:firstLineChars="200"/>
        <w:jc w:val="left"/>
        <w:rPr>
          <w:rFonts w:ascii="宋体" w:hAnsi="宋体"/>
          <w:color w:val="000000"/>
          <w:szCs w:val="21"/>
        </w:rPr>
      </w:pPr>
      <w:r>
        <w:rPr>
          <w:rFonts w:hint="eastAsia" w:ascii="宋体" w:hAnsi="宋体"/>
          <w:color w:val="000000"/>
          <w:szCs w:val="21"/>
        </w:rPr>
        <w:t>第一阶段开标（资格文件及商务和技术文件）：</w:t>
      </w:r>
    </w:p>
    <w:p>
      <w:pPr>
        <w:spacing w:line="400" w:lineRule="exact"/>
        <w:ind w:firstLine="420" w:firstLineChars="200"/>
        <w:jc w:val="left"/>
        <w:rPr>
          <w:rFonts w:ascii="宋体" w:hAnsi="宋体"/>
          <w:color w:val="000000"/>
          <w:szCs w:val="21"/>
        </w:rPr>
      </w:pPr>
      <w:r>
        <w:rPr>
          <w:rFonts w:hint="eastAsia" w:ascii="宋体" w:hAnsi="宋体"/>
          <w:color w:val="000000"/>
          <w:szCs w:val="21"/>
        </w:rPr>
        <w:t>（1）宣布开标；</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（2）投标截止时间后，供应商登录</w:t>
      </w:r>
      <w:r>
        <w:rPr>
          <w:rFonts w:hint="eastAsia" w:ascii="宋体" w:hAnsi="宋体" w:cs="宋体"/>
          <w:color w:val="000000"/>
          <w:kern w:val="0"/>
          <w:szCs w:val="21"/>
        </w:rPr>
        <w:t>政府采购云平台</w:t>
      </w:r>
      <w:r>
        <w:rPr>
          <w:rFonts w:hint="eastAsia" w:ascii="宋体" w:hAnsi="宋体"/>
          <w:color w:val="000000"/>
          <w:szCs w:val="21"/>
        </w:rPr>
        <w:t>，用“项目采购-开标评标”功能对电子投标文件进行在线解密，在线解密电子投标文件时间为开标时间后半</w:t>
      </w:r>
      <w:r>
        <w:rPr>
          <w:rFonts w:ascii="宋体" w:hAnsi="宋体"/>
          <w:color w:val="000000"/>
          <w:szCs w:val="21"/>
        </w:rPr>
        <w:t>小时</w:t>
      </w:r>
      <w:r>
        <w:rPr>
          <w:rFonts w:hint="eastAsia" w:ascii="宋体" w:hAnsi="宋体"/>
          <w:color w:val="000000"/>
          <w:szCs w:val="21"/>
        </w:rPr>
        <w:t>内。</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（3）招标代理公司线上开启投标文件并对资格进行审查，评标委员会对符合性进行审查，并对“商务和技术文件”进行评审打分。</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（4）第一阶段开标结束。</w:t>
      </w:r>
    </w:p>
    <w:p>
      <w:pPr>
        <w:spacing w:line="400" w:lineRule="exact"/>
        <w:ind w:firstLine="420" w:firstLineChars="200"/>
        <w:jc w:val="left"/>
        <w:rPr>
          <w:rFonts w:ascii="宋体" w:hAnsi="宋体"/>
          <w:color w:val="000000"/>
          <w:szCs w:val="21"/>
        </w:rPr>
      </w:pPr>
      <w:r>
        <w:rPr>
          <w:rFonts w:hint="eastAsia" w:ascii="宋体" w:hAnsi="宋体"/>
          <w:color w:val="000000"/>
          <w:szCs w:val="21"/>
        </w:rPr>
        <w:t>第二阶段开标（报价文件）：</w:t>
      </w:r>
    </w:p>
    <w:p>
      <w:pPr>
        <w:spacing w:line="400" w:lineRule="exact"/>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）在</w:t>
      </w:r>
      <w:r>
        <w:rPr>
          <w:rFonts w:hint="eastAsia" w:ascii="宋体" w:hAnsi="宋体" w:cs="宋体"/>
          <w:color w:val="000000"/>
          <w:kern w:val="0"/>
          <w:szCs w:val="21"/>
        </w:rPr>
        <w:t>政府采购云平台</w:t>
      </w:r>
      <w:r>
        <w:rPr>
          <w:rFonts w:hint="eastAsia" w:ascii="宋体" w:hAnsi="宋体"/>
          <w:color w:val="000000"/>
          <w:szCs w:val="21"/>
        </w:rPr>
        <w:t>宣告第一阶段评审无效供应商名单及理由；</w:t>
      </w:r>
    </w:p>
    <w:p>
      <w:pPr>
        <w:spacing w:line="400" w:lineRule="exact"/>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）公布经第一阶段评审符合招标文件要求的供应商的商务和技术得分情况；</w:t>
      </w:r>
    </w:p>
    <w:p>
      <w:pPr>
        <w:spacing w:line="400" w:lineRule="exact"/>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）按第一阶段开标顺序在</w:t>
      </w:r>
      <w:r>
        <w:rPr>
          <w:rFonts w:hint="eastAsia" w:ascii="宋体" w:hAnsi="宋体" w:cs="宋体"/>
          <w:color w:val="000000"/>
          <w:kern w:val="0"/>
          <w:szCs w:val="21"/>
        </w:rPr>
        <w:t>政府采购云平台</w:t>
      </w:r>
      <w:r>
        <w:rPr>
          <w:rFonts w:hint="eastAsia" w:ascii="宋体" w:hAnsi="宋体"/>
          <w:color w:val="000000"/>
          <w:szCs w:val="21"/>
        </w:rPr>
        <w:t>开启除第一阶段无效标外的供应商的“报价文件”，宣读投标文件中“开标一览表”内容，以及采购人认为必要的其他内容与记录，并做开标记录；</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休会，评标委员会对“报价文件”进行评审。</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（4）在</w:t>
      </w:r>
      <w:r>
        <w:rPr>
          <w:rFonts w:hint="eastAsia" w:ascii="宋体" w:hAnsi="宋体" w:cs="宋体"/>
          <w:color w:val="000000"/>
          <w:kern w:val="0"/>
          <w:szCs w:val="21"/>
        </w:rPr>
        <w:t>政府采购云平台</w:t>
      </w:r>
      <w:r>
        <w:rPr>
          <w:rFonts w:hint="eastAsia" w:ascii="宋体" w:hAnsi="宋体"/>
          <w:color w:val="000000"/>
          <w:szCs w:val="21"/>
        </w:rPr>
        <w:t>公布中标候选人名单及采购人最终确定中标供应商名单的时间和公告方式等；</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（5）第二阶段开标结束。</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3、特别说明：</w:t>
      </w:r>
      <w:r>
        <w:rPr>
          <w:rFonts w:hint="eastAsia" w:ascii="宋体" w:hAnsi="宋体" w:cs="宋体"/>
          <w:color w:val="000000"/>
          <w:kern w:val="0"/>
          <w:szCs w:val="21"/>
        </w:rPr>
        <w:t>政府采购云平台</w:t>
      </w:r>
      <w:r>
        <w:rPr>
          <w:rFonts w:hint="eastAsia" w:ascii="宋体" w:hAnsi="宋体"/>
          <w:color w:val="000000"/>
          <w:szCs w:val="21"/>
        </w:rPr>
        <w:t>如对电子化开标及评审程序有调整的，按调整后的程序操作。</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本项目原则上采用政采云电子投标开标及评审程序，但有以下情形之一的，按以下情况处理：</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）若供应商在规定时间内无法解密或解密失败，代理机构将开启上述供应商递交的</w:t>
      </w:r>
      <w:r>
        <w:rPr>
          <w:rFonts w:hint="eastAsia" w:ascii="宋体" w:hAnsi="宋体" w:cs="宋体"/>
          <w:color w:val="000000"/>
          <w:kern w:val="0"/>
          <w:szCs w:val="21"/>
        </w:rPr>
        <w:t>以U盘或光盘存储的电子备份投标文件</w:t>
      </w:r>
      <w:r>
        <w:rPr>
          <w:rFonts w:hint="eastAsia" w:ascii="宋体" w:hAnsi="宋体"/>
          <w:color w:val="000000"/>
          <w:szCs w:val="21"/>
        </w:rPr>
        <w:t>，上传至政采云平台项目采购模块，以完成开标，电子投标文件自动失效。</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（2）采购过程中出现以下情形，导致电子交易平台无法正常运行，或者无法保证电子交易的公平、公正和安全时，采购人（或代理机构）可中止电子交易活动：</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2</w:t>
      </w:r>
      <w:r>
        <w:rPr>
          <w:rFonts w:ascii="宋体" w:hAnsi="宋体"/>
          <w:color w:val="000000"/>
          <w:szCs w:val="21"/>
        </w:rPr>
        <w:t>.1</w:t>
      </w:r>
      <w:r>
        <w:rPr>
          <w:rFonts w:hint="eastAsia" w:ascii="宋体" w:hAnsi="宋体"/>
          <w:color w:val="000000"/>
          <w:szCs w:val="21"/>
        </w:rPr>
        <w:t>电子交易平台发生故障而无法登录访问的；</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2</w:t>
      </w:r>
      <w:r>
        <w:rPr>
          <w:rFonts w:ascii="宋体" w:hAnsi="宋体"/>
          <w:color w:val="000000"/>
          <w:szCs w:val="21"/>
        </w:rPr>
        <w:t>.2</w:t>
      </w:r>
      <w:r>
        <w:rPr>
          <w:rFonts w:hint="eastAsia" w:ascii="宋体" w:hAnsi="宋体"/>
          <w:color w:val="000000"/>
          <w:szCs w:val="21"/>
        </w:rPr>
        <w:t>电子交易平台应用或数据库出现错误，不能进行正常操作的；</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2</w:t>
      </w:r>
      <w:r>
        <w:rPr>
          <w:rFonts w:ascii="宋体" w:hAnsi="宋体"/>
          <w:color w:val="000000"/>
          <w:szCs w:val="21"/>
        </w:rPr>
        <w:t>.3</w:t>
      </w:r>
      <w:r>
        <w:rPr>
          <w:rFonts w:hint="eastAsia" w:ascii="宋体" w:hAnsi="宋体"/>
          <w:color w:val="000000"/>
          <w:szCs w:val="21"/>
        </w:rPr>
        <w:t>电子交易平台发现严重安全漏洞，有潜在泄密危险的；</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2</w:t>
      </w:r>
      <w:r>
        <w:rPr>
          <w:rFonts w:ascii="宋体" w:hAnsi="宋体"/>
          <w:color w:val="000000"/>
          <w:szCs w:val="21"/>
        </w:rPr>
        <w:t>.4</w:t>
      </w:r>
      <w:r>
        <w:rPr>
          <w:rFonts w:hint="eastAsia" w:ascii="宋体" w:hAnsi="宋体"/>
          <w:color w:val="000000"/>
          <w:szCs w:val="21"/>
        </w:rPr>
        <w:t xml:space="preserve">病毒发作导致不能进行正常操作的； </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2</w:t>
      </w:r>
      <w:r>
        <w:rPr>
          <w:rFonts w:ascii="宋体" w:hAnsi="宋体"/>
          <w:color w:val="000000"/>
          <w:szCs w:val="21"/>
        </w:rPr>
        <w:t>.5</w:t>
      </w:r>
      <w:r>
        <w:rPr>
          <w:rFonts w:hint="eastAsia" w:ascii="宋体" w:hAnsi="宋体"/>
          <w:color w:val="000000"/>
          <w:szCs w:val="21"/>
        </w:rPr>
        <w:t>其他无法保证电子交易的公平、公正和安全的情况。</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出现前款规定情形，不影响采购公平、公正性的，采购人（或代理机构）可以待上述情形消除后继续组织电子交易活动，也可以决定某些环节以纸质形式进行。</w:t>
      </w:r>
    </w:p>
    <w:p>
      <w:pPr>
        <w:spacing w:line="400" w:lineRule="exact"/>
        <w:ind w:firstLine="422" w:firstLineChars="200"/>
        <w:jc w:val="left"/>
        <w:rPr>
          <w:rFonts w:ascii="宋体" w:hAnsi="宋体"/>
          <w:b/>
          <w:color w:val="000000"/>
          <w:szCs w:val="21"/>
        </w:rPr>
      </w:pPr>
      <w:r>
        <w:rPr>
          <w:rFonts w:hint="eastAsia" w:ascii="宋体" w:hAnsi="宋体"/>
          <w:b/>
          <w:color w:val="000000"/>
          <w:szCs w:val="21"/>
        </w:rPr>
        <w:t>十三、评标</w:t>
      </w:r>
    </w:p>
    <w:p>
      <w:pPr>
        <w:spacing w:line="400" w:lineRule="exact"/>
        <w:ind w:firstLine="420" w:firstLineChars="200"/>
        <w:jc w:val="left"/>
        <w:rPr>
          <w:rFonts w:ascii="宋体" w:hAnsi="宋体"/>
          <w:color w:val="000000"/>
          <w:szCs w:val="21"/>
        </w:rPr>
      </w:pPr>
      <w:r>
        <w:rPr>
          <w:rFonts w:ascii="宋体" w:hAnsi="宋体"/>
          <w:color w:val="000000"/>
          <w:szCs w:val="21"/>
        </w:rPr>
        <w:t>1</w:t>
      </w:r>
      <w:r>
        <w:rPr>
          <w:rFonts w:hint="eastAsia" w:ascii="宋体" w:hAnsi="宋体"/>
          <w:color w:val="000000"/>
          <w:szCs w:val="21"/>
        </w:rPr>
        <w:t>、</w:t>
      </w:r>
      <w:r>
        <w:rPr>
          <w:rFonts w:hint="eastAsia" w:ascii="宋体" w:hAnsi="宋体" w:cs="宋体"/>
          <w:szCs w:val="21"/>
        </w:rPr>
        <w:t>受采购人的委托，招标代理公司将依法组建评标委员会，评审专家是通过政采云随机抽取，评标委员会负责评标工作。评标委员会人数不少于</w:t>
      </w:r>
      <w:r>
        <w:rPr>
          <w:rFonts w:ascii="宋体" w:hAnsi="宋体" w:cs="宋体"/>
          <w:szCs w:val="21"/>
        </w:rPr>
        <w:t>5</w:t>
      </w:r>
      <w:r>
        <w:rPr>
          <w:rFonts w:hint="eastAsia" w:ascii="宋体" w:hAnsi="宋体" w:cs="宋体"/>
          <w:szCs w:val="21"/>
        </w:rPr>
        <w:t>人，其中评审专家不得少于成员总数的三分之二。评标委员会成员名单在评标结果公示之前依法保密。</w:t>
      </w:r>
    </w:p>
    <w:p>
      <w:pPr>
        <w:spacing w:line="400" w:lineRule="exact"/>
        <w:ind w:firstLine="420" w:firstLineChars="200"/>
        <w:jc w:val="left"/>
        <w:rPr>
          <w:rFonts w:ascii="宋体" w:hAnsi="宋体"/>
          <w:color w:val="000000"/>
          <w:szCs w:val="21"/>
        </w:rPr>
      </w:pPr>
      <w:r>
        <w:rPr>
          <w:rFonts w:ascii="宋体" w:hAnsi="宋体"/>
          <w:color w:val="000000"/>
          <w:szCs w:val="21"/>
        </w:rPr>
        <w:t>2</w:t>
      </w:r>
      <w:r>
        <w:rPr>
          <w:rFonts w:hint="eastAsia" w:ascii="宋体" w:hAnsi="宋体"/>
          <w:color w:val="000000"/>
          <w:szCs w:val="21"/>
        </w:rPr>
        <w:t>、评标活动遵循公平、公正、科学和择优的原则。</w:t>
      </w:r>
    </w:p>
    <w:p>
      <w:pPr>
        <w:spacing w:line="400" w:lineRule="exact"/>
        <w:ind w:firstLine="420" w:firstLineChars="200"/>
        <w:jc w:val="left"/>
        <w:rPr>
          <w:rFonts w:ascii="宋体" w:hAnsi="宋体"/>
          <w:color w:val="000000"/>
          <w:szCs w:val="21"/>
        </w:rPr>
      </w:pPr>
      <w:r>
        <w:rPr>
          <w:rFonts w:ascii="宋体" w:hAnsi="宋体"/>
          <w:color w:val="000000"/>
          <w:szCs w:val="21"/>
        </w:rPr>
        <w:t>3</w:t>
      </w:r>
      <w:r>
        <w:rPr>
          <w:rFonts w:hint="eastAsia" w:ascii="宋体" w:hAnsi="宋体"/>
          <w:color w:val="000000"/>
          <w:szCs w:val="21"/>
        </w:rPr>
        <w:t>、评标委员会按照第三章“评标办法及标准”对投标文件进行评审。第三章“评标办法及标准”没有规定的方法、评审因素和标准，不作为评标依据。</w:t>
      </w:r>
    </w:p>
    <w:p>
      <w:pPr>
        <w:spacing w:line="400" w:lineRule="exact"/>
        <w:ind w:firstLine="422" w:firstLineChars="200"/>
        <w:jc w:val="left"/>
        <w:rPr>
          <w:rFonts w:ascii="宋体" w:hAnsi="宋体"/>
          <w:b/>
          <w:color w:val="000000"/>
          <w:szCs w:val="21"/>
        </w:rPr>
      </w:pPr>
      <w:r>
        <w:rPr>
          <w:rFonts w:hint="eastAsia" w:ascii="宋体" w:hAnsi="宋体"/>
          <w:b/>
          <w:color w:val="000000"/>
          <w:szCs w:val="21"/>
        </w:rPr>
        <w:t>十四、招标文件的澄清和修改</w:t>
      </w:r>
    </w:p>
    <w:p>
      <w:pPr>
        <w:spacing w:line="400" w:lineRule="exact"/>
        <w:ind w:firstLine="420" w:firstLineChars="200"/>
        <w:jc w:val="left"/>
        <w:rPr>
          <w:rFonts w:ascii="宋体"/>
          <w:color w:val="000000"/>
          <w:szCs w:val="21"/>
        </w:rPr>
      </w:pPr>
      <w:r>
        <w:rPr>
          <w:rFonts w:ascii="宋体" w:hAnsi="宋体"/>
          <w:color w:val="000000"/>
          <w:szCs w:val="21"/>
        </w:rPr>
        <w:t>1</w:t>
      </w:r>
      <w:r>
        <w:rPr>
          <w:rFonts w:hint="eastAsia" w:ascii="宋体" w:hAnsi="宋体"/>
          <w:color w:val="000000"/>
          <w:szCs w:val="21"/>
        </w:rPr>
        <w:t>、</w:t>
      </w:r>
      <w:r>
        <w:rPr>
          <w:rFonts w:hint="eastAsia" w:ascii="宋体" w:cs="宋体"/>
          <w:bCs/>
          <w:sz w:val="22"/>
          <w:szCs w:val="22"/>
        </w:rPr>
        <w:t>若供应商对招标文件有疑问，可以向采购人或招标代理公司提出询问，询问可以是书面形式，书面形式注明“疑问函”标题，采购人或招标代理公司应当及时作出答复，答复可以书面形式，但答复的内容不得涉及商业秘密。若采购人和招标代理公司的答复有矛盾，以采购人的解释为准。</w:t>
      </w:r>
    </w:p>
    <w:p>
      <w:pPr>
        <w:spacing w:line="400" w:lineRule="exact"/>
        <w:ind w:firstLine="420" w:firstLineChars="200"/>
        <w:jc w:val="left"/>
        <w:rPr>
          <w:rFonts w:ascii="宋体" w:hAnsi="宋体"/>
          <w:color w:val="000000"/>
          <w:szCs w:val="21"/>
        </w:rPr>
      </w:pPr>
      <w:r>
        <w:rPr>
          <w:rFonts w:hint="eastAsia" w:ascii="宋体" w:hAnsi="宋体"/>
          <w:color w:val="000000"/>
          <w:szCs w:val="21"/>
        </w:rPr>
        <w:t>2、</w:t>
      </w:r>
      <w:r>
        <w:rPr>
          <w:rFonts w:hint="eastAsia" w:ascii="宋体" w:hAnsi="宋体"/>
          <w:b/>
          <w:color w:val="000000"/>
          <w:szCs w:val="21"/>
        </w:rPr>
        <w:t>采购人可以对已发出的招标文件进行必要的澄清或者修改，将以“更正公告”的形式发布在政采云平台，供应商应及时登录政采云平台，进行浏览并下载，未及时浏览下载的责任自负。</w:t>
      </w:r>
      <w:r>
        <w:rPr>
          <w:rFonts w:hint="eastAsia" w:ascii="宋体" w:hAnsi="宋体"/>
          <w:color w:val="000000"/>
          <w:szCs w:val="21"/>
        </w:rPr>
        <w:t>澄清或者修改的内容可能影响投标文件编制的，采购人应当在投标截止时间至少15日前，不足15日的，采购人应当顺延提交投标文件的截止时间；澄清或者修改的内容不影响投标文件编制的，则不受15日的期限限制。澄清或者修改的内容为招标文件的组成部分，对所有供应商具有约束力。</w:t>
      </w:r>
    </w:p>
    <w:p>
      <w:pPr>
        <w:adjustRightInd w:val="0"/>
        <w:spacing w:line="380" w:lineRule="exact"/>
        <w:ind w:firstLine="422" w:firstLineChars="200"/>
        <w:jc w:val="left"/>
        <w:rPr>
          <w:rFonts w:ascii="宋体" w:hAnsi="宋体"/>
          <w:b/>
          <w:szCs w:val="21"/>
        </w:rPr>
      </w:pPr>
      <w:r>
        <w:rPr>
          <w:rFonts w:hint="eastAsia" w:ascii="宋体" w:hAnsi="宋体"/>
          <w:b/>
          <w:szCs w:val="21"/>
        </w:rPr>
        <w:t>十五、中标通知</w:t>
      </w:r>
    </w:p>
    <w:p>
      <w:pPr>
        <w:spacing w:line="380" w:lineRule="exact"/>
        <w:ind w:firstLine="420" w:firstLineChars="200"/>
        <w:rPr>
          <w:rFonts w:ascii="宋体"/>
        </w:rPr>
      </w:pPr>
      <w:r>
        <w:rPr>
          <w:rFonts w:hint="eastAsia" w:ascii="宋体" w:hAnsi="宋体" w:cs="宋体"/>
          <w:szCs w:val="21"/>
        </w:rPr>
        <w:t>1、在公告中标结果的同时，本招标代理公司向中标供应商发出中标通知书，向其他投标人发出招标结果通知书，中标通知书对采购人和中标供应商具有同等法律效力。</w:t>
      </w:r>
      <w:r>
        <w:rPr>
          <w:rFonts w:hint="eastAsia" w:ascii="宋体" w:hAnsi="宋体" w:cs="宋体"/>
        </w:rPr>
        <w:t>中标人需向招标代理机构递交政府采购合同复印件，招标代理机构需要对政府采购合同复印件进行存档保管。</w:t>
      </w:r>
    </w:p>
    <w:p>
      <w:pPr>
        <w:adjustRightInd w:val="0"/>
        <w:spacing w:line="380" w:lineRule="exact"/>
        <w:ind w:firstLine="422" w:firstLineChars="200"/>
        <w:jc w:val="left"/>
        <w:rPr>
          <w:rFonts w:ascii="宋体" w:hAnsi="宋体"/>
          <w:b/>
          <w:szCs w:val="21"/>
        </w:rPr>
      </w:pPr>
      <w:r>
        <w:rPr>
          <w:rFonts w:hint="eastAsia" w:ascii="宋体" w:hAnsi="宋体"/>
          <w:b/>
          <w:szCs w:val="21"/>
        </w:rPr>
        <w:t>十六、签订合同</w:t>
      </w:r>
    </w:p>
    <w:p>
      <w:pPr>
        <w:spacing w:line="380" w:lineRule="exact"/>
        <w:ind w:left="210" w:leftChars="100" w:firstLine="210" w:firstLineChars="100"/>
      </w:pPr>
      <w:r>
        <w:rPr>
          <w:rFonts w:hint="eastAsia" w:ascii="宋体" w:hAnsi="宋体" w:cs="宋体"/>
          <w:szCs w:val="21"/>
        </w:rPr>
        <w:t>1、</w:t>
      </w:r>
      <w:r>
        <w:rPr>
          <w:rFonts w:hint="eastAsia" w:ascii="宋体" w:hAnsi="宋体" w:cs="宋体"/>
        </w:rPr>
        <w:t>中标人在中标通知书发出后</w:t>
      </w:r>
      <w:r>
        <w:rPr>
          <w:rFonts w:ascii="宋体" w:hAnsi="宋体" w:cs="宋体"/>
        </w:rPr>
        <w:t>30</w:t>
      </w:r>
      <w:r>
        <w:rPr>
          <w:rFonts w:hint="eastAsia" w:ascii="宋体" w:hAnsi="宋体" w:cs="宋体"/>
        </w:rPr>
        <w:t>日内</w:t>
      </w:r>
      <w:r>
        <w:rPr>
          <w:rFonts w:hint="eastAsia" w:ascii="宋体" w:hAnsi="宋体" w:cs="宋体"/>
          <w:szCs w:val="21"/>
        </w:rPr>
        <w:t>,应与采购人按照招标文件和中标人的投标文件的约定内容签订书面合同。</w:t>
      </w:r>
    </w:p>
    <w:p>
      <w:pPr>
        <w:spacing w:line="400" w:lineRule="exact"/>
        <w:ind w:firstLine="420" w:firstLineChars="200"/>
        <w:jc w:val="left"/>
        <w:rPr>
          <w:rFonts w:ascii="宋体" w:hAnsi="宋体"/>
          <w:color w:val="000000"/>
          <w:szCs w:val="21"/>
        </w:rPr>
      </w:pPr>
      <w:r>
        <w:rPr>
          <w:rFonts w:hint="eastAsia" w:ascii="宋体" w:hAnsi="宋体" w:cs="宋体"/>
          <w:szCs w:val="21"/>
        </w:rPr>
        <w:t>2、招标文件、中标人的投标文件及评标过程中有关的澄清文件均应作为合同附件。</w:t>
      </w:r>
    </w:p>
    <w:p>
      <w:pPr>
        <w:spacing w:line="380" w:lineRule="exact"/>
        <w:ind w:firstLine="422" w:firstLineChars="200"/>
        <w:jc w:val="left"/>
        <w:rPr>
          <w:rFonts w:ascii="宋体" w:hAnsi="宋体"/>
          <w:b/>
          <w:color w:val="000000"/>
          <w:szCs w:val="21"/>
        </w:rPr>
      </w:pPr>
      <w:r>
        <w:rPr>
          <w:rFonts w:hint="eastAsia" w:ascii="宋体" w:hAnsi="宋体"/>
          <w:b/>
          <w:color w:val="000000"/>
          <w:szCs w:val="21"/>
        </w:rPr>
        <w:t>十七、质疑</w:t>
      </w:r>
    </w:p>
    <w:p>
      <w:pPr>
        <w:spacing w:line="380" w:lineRule="exact"/>
        <w:ind w:firstLine="420" w:firstLineChars="200"/>
        <w:rPr>
          <w:rFonts w:ascii="宋体"/>
          <w:color w:val="000000"/>
          <w:szCs w:val="21"/>
        </w:rPr>
      </w:pPr>
      <w:r>
        <w:rPr>
          <w:rFonts w:ascii="宋体" w:hAnsi="宋体"/>
          <w:color w:val="000000"/>
          <w:szCs w:val="21"/>
        </w:rPr>
        <w:t>1</w:t>
      </w:r>
      <w:r>
        <w:rPr>
          <w:rFonts w:hint="eastAsia" w:ascii="宋体" w:hAnsi="宋体"/>
          <w:color w:val="000000"/>
          <w:szCs w:val="21"/>
        </w:rPr>
        <w:t>、供应商认为采购文件、采购过程、中标或者成交结果使自己的权益受到损害的，可以在知道或者应知其权益受到损害之日起7个工作日内，以书面形式向采购人、代理机构提出质疑。供应商应当在法定质疑期内一次性提出针对采购公告、采购文件、开标评标、采购结果等同一采购程序环节的质疑，第二次提出的质疑视为质疑无效，采购人、代理机构将不予受理（对于采购人、代理机构作出的澄清或者修改的内容提出质疑的除外）。</w:t>
      </w:r>
    </w:p>
    <w:p>
      <w:pPr>
        <w:spacing w:line="380" w:lineRule="exact"/>
        <w:ind w:firstLine="420" w:firstLineChars="200"/>
        <w:rPr>
          <w:rFonts w:ascii="宋体"/>
          <w:color w:val="000000"/>
          <w:szCs w:val="21"/>
        </w:rPr>
      </w:pPr>
      <w:r>
        <w:rPr>
          <w:rFonts w:ascii="宋体" w:hAnsi="宋体"/>
          <w:color w:val="000000"/>
          <w:szCs w:val="21"/>
        </w:rPr>
        <w:t>2</w:t>
      </w:r>
      <w:r>
        <w:rPr>
          <w:rFonts w:hint="eastAsia" w:ascii="宋体" w:hAnsi="宋体"/>
          <w:color w:val="000000"/>
          <w:szCs w:val="21"/>
        </w:rPr>
        <w:t>、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pPr>
        <w:spacing w:line="380" w:lineRule="exact"/>
        <w:ind w:firstLine="420" w:firstLineChars="200"/>
        <w:rPr>
          <w:rFonts w:ascii="宋体"/>
          <w:color w:val="000000"/>
          <w:szCs w:val="21"/>
        </w:rPr>
      </w:pPr>
      <w:r>
        <w:rPr>
          <w:rFonts w:ascii="宋体" w:hAnsi="宋体"/>
          <w:color w:val="000000"/>
          <w:szCs w:val="21"/>
        </w:rPr>
        <w:t>3</w:t>
      </w:r>
      <w:r>
        <w:rPr>
          <w:rFonts w:hint="eastAsia" w:ascii="宋体" w:hAnsi="宋体"/>
          <w:color w:val="000000"/>
          <w:szCs w:val="21"/>
        </w:rPr>
        <w:t>、供应商提出质疑应当提交质疑函和必要的证明材料，质疑函应当以书面形式提出，质疑函格式和内容须符合财政部《质疑函范本》要求，供应商可到中国政府采购网自行下载财政部《质疑函范本》。</w:t>
      </w:r>
    </w:p>
    <w:p>
      <w:pPr>
        <w:spacing w:line="380" w:lineRule="exact"/>
        <w:ind w:firstLine="420" w:firstLineChars="200"/>
        <w:rPr>
          <w:rFonts w:ascii="宋体"/>
          <w:color w:val="000000"/>
          <w:szCs w:val="21"/>
        </w:rPr>
      </w:pPr>
      <w:r>
        <w:rPr>
          <w:rFonts w:ascii="宋体" w:hAnsi="宋体"/>
          <w:color w:val="000000"/>
          <w:szCs w:val="21"/>
        </w:rPr>
        <w:t>4</w:t>
      </w:r>
      <w:r>
        <w:rPr>
          <w:rFonts w:hint="eastAsia" w:ascii="宋体" w:hAnsi="宋体"/>
          <w:color w:val="000000"/>
          <w:szCs w:val="21"/>
        </w:rPr>
        <w:t>、供应商质疑实行实名制，质疑函应当署名，供应商为自然人的，应当由本人签字；供应商为法人或者其他组织的，应当由法定代表人、主要负责人，或者其授权代表（指代理人）签字或者盖章，并加盖供应商公章；代理人提出质疑的，应当提交供应商签署的授权委托书；以联合体形式参加政府采购活动的，其质疑应当由组成联合体的所有供应商共同提出。</w:t>
      </w:r>
    </w:p>
    <w:p>
      <w:pPr>
        <w:spacing w:line="380" w:lineRule="exact"/>
        <w:ind w:firstLine="420" w:firstLineChars="200"/>
        <w:rPr>
          <w:rFonts w:ascii="宋体"/>
          <w:color w:val="000000"/>
          <w:szCs w:val="21"/>
        </w:rPr>
      </w:pPr>
      <w:r>
        <w:rPr>
          <w:rFonts w:ascii="宋体" w:hAnsi="宋体"/>
          <w:color w:val="000000"/>
          <w:szCs w:val="21"/>
        </w:rPr>
        <w:t>5</w:t>
      </w:r>
      <w:r>
        <w:rPr>
          <w:rFonts w:hint="eastAsia" w:ascii="宋体" w:hAnsi="宋体"/>
          <w:color w:val="000000"/>
          <w:szCs w:val="21"/>
        </w:rPr>
        <w:t>、采购人、代理机构接收质疑函的方式：只接收供应商以当面递交、邮寄、传真或电子邮件方式提出的质疑函，以其他方式提出的质疑不予接收。</w:t>
      </w:r>
    </w:p>
    <w:p>
      <w:pPr>
        <w:spacing w:line="380" w:lineRule="exact"/>
        <w:ind w:firstLine="420" w:firstLineChars="200"/>
        <w:rPr>
          <w:rFonts w:ascii="宋体"/>
          <w:color w:val="000000"/>
          <w:szCs w:val="21"/>
        </w:rPr>
      </w:pPr>
      <w:r>
        <w:rPr>
          <w:rFonts w:hint="eastAsia" w:ascii="宋体" w:hAnsi="宋体"/>
          <w:color w:val="000000"/>
          <w:szCs w:val="21"/>
        </w:rPr>
        <w:t>采取邮寄方式的，提出质疑的时间为质疑函原件交邮的时间（以邮戳时间或快递收件时间为准）。</w:t>
      </w:r>
    </w:p>
    <w:p>
      <w:pPr>
        <w:spacing w:line="380" w:lineRule="exact"/>
        <w:ind w:firstLine="420" w:firstLineChars="200"/>
        <w:rPr>
          <w:rFonts w:ascii="宋体"/>
          <w:color w:val="000000"/>
          <w:szCs w:val="21"/>
        </w:rPr>
      </w:pPr>
      <w:r>
        <w:rPr>
          <w:rFonts w:hint="eastAsia" w:ascii="宋体" w:hAnsi="宋体"/>
          <w:color w:val="000000"/>
          <w:szCs w:val="21"/>
        </w:rPr>
        <w:t>采取传真、电子邮件方式的，供应商应当在传真、电子邮件发出后将质疑函原件邮寄给被质疑人，提出质疑的时间为质疑函原件交邮的时间（以邮戳时间或快递收件时间为准）。</w:t>
      </w:r>
    </w:p>
    <w:p>
      <w:pPr>
        <w:spacing w:line="380" w:lineRule="exact"/>
        <w:ind w:firstLine="420" w:firstLineChars="200"/>
        <w:rPr>
          <w:rFonts w:ascii="宋体"/>
          <w:color w:val="000000"/>
          <w:szCs w:val="21"/>
        </w:rPr>
      </w:pPr>
      <w:r>
        <w:rPr>
          <w:rFonts w:ascii="宋体" w:hAnsi="宋体"/>
          <w:color w:val="000000"/>
          <w:szCs w:val="21"/>
        </w:rPr>
        <w:t>6</w:t>
      </w:r>
      <w:r>
        <w:rPr>
          <w:rFonts w:hint="eastAsia" w:ascii="宋体" w:hAnsi="宋体"/>
          <w:color w:val="000000"/>
          <w:szCs w:val="21"/>
        </w:rPr>
        <w:t>、采购人、代理机构以实际收到质疑函原件之日作为收到质疑函的日期，将在收到质疑函后</w:t>
      </w:r>
      <w:r>
        <w:rPr>
          <w:rFonts w:ascii="宋体" w:hAnsi="宋体"/>
          <w:color w:val="000000"/>
          <w:szCs w:val="21"/>
        </w:rPr>
        <w:t>7</w:t>
      </w:r>
      <w:r>
        <w:rPr>
          <w:rFonts w:hint="eastAsia" w:ascii="宋体" w:hAnsi="宋体"/>
          <w:color w:val="000000"/>
          <w:szCs w:val="21"/>
        </w:rPr>
        <w:t>个工作日内作出答复。</w:t>
      </w:r>
    </w:p>
    <w:p>
      <w:pPr>
        <w:spacing w:line="400" w:lineRule="exact"/>
        <w:ind w:firstLine="420" w:firstLineChars="200"/>
        <w:jc w:val="left"/>
        <w:rPr>
          <w:rFonts w:hint="eastAsia" w:ascii="宋体" w:hAnsi="宋体"/>
          <w:color w:val="000000"/>
          <w:szCs w:val="21"/>
        </w:rPr>
      </w:pPr>
      <w:r>
        <w:rPr>
          <w:rFonts w:ascii="宋体" w:hAnsi="宋体"/>
          <w:color w:val="000000"/>
          <w:szCs w:val="21"/>
        </w:rPr>
        <w:t>7</w:t>
      </w:r>
      <w:r>
        <w:rPr>
          <w:rFonts w:hint="eastAsia" w:ascii="宋体" w:hAnsi="宋体"/>
          <w:color w:val="000000"/>
          <w:szCs w:val="21"/>
        </w:rPr>
        <w:t>、采购人、代理机构接收质疑函的联系人、联系电话和通讯地址等信息详见采购公告。</w:t>
      </w:r>
    </w:p>
    <w:p>
      <w:pPr>
        <w:spacing w:line="400" w:lineRule="exact"/>
        <w:ind w:firstLine="422" w:firstLineChars="200"/>
        <w:jc w:val="left"/>
        <w:rPr>
          <w:rFonts w:ascii="宋体" w:hAnsi="宋体"/>
          <w:color w:val="000000"/>
          <w:szCs w:val="21"/>
        </w:rPr>
      </w:pPr>
      <w:r>
        <w:rPr>
          <w:rFonts w:hint="eastAsia" w:ascii="宋体" w:hAnsi="宋体"/>
          <w:b/>
          <w:color w:val="000000"/>
          <w:szCs w:val="21"/>
        </w:rPr>
        <w:t>★十八、预算价</w:t>
      </w:r>
    </w:p>
    <w:p>
      <w:pPr>
        <w:spacing w:line="400" w:lineRule="exact"/>
        <w:ind w:firstLine="422" w:firstLineChars="200"/>
        <w:jc w:val="left"/>
        <w:rPr>
          <w:rFonts w:hint="eastAsia" w:ascii="宋体" w:hAnsi="宋体"/>
          <w:b/>
          <w:color w:val="000000"/>
          <w:szCs w:val="21"/>
        </w:rPr>
      </w:pPr>
      <w:r>
        <w:rPr>
          <w:rFonts w:hint="eastAsia" w:ascii="宋体" w:hAnsi="宋体"/>
          <w:b/>
          <w:color w:val="000000"/>
          <w:szCs w:val="21"/>
        </w:rPr>
        <w:t>1、</w:t>
      </w:r>
      <w:r>
        <w:rPr>
          <w:rFonts w:hint="eastAsia" w:ascii="宋体" w:hAnsi="宋体"/>
          <w:b/>
          <w:color w:val="000000"/>
          <w:szCs w:val="21"/>
        </w:rPr>
        <w:t>本次公开招标设有预算价：540万元（三年），每年180万元，超过每年及三年预算的报价为无效投标。</w:t>
      </w:r>
    </w:p>
    <w:p>
      <w:pPr>
        <w:spacing w:line="400" w:lineRule="exact"/>
        <w:ind w:firstLine="422" w:firstLineChars="200"/>
        <w:jc w:val="left"/>
        <w:rPr>
          <w:rFonts w:ascii="宋体" w:hAnsi="宋体"/>
          <w:b/>
          <w:color w:val="000000"/>
          <w:szCs w:val="21"/>
        </w:rPr>
      </w:pPr>
      <w:r>
        <w:rPr>
          <w:rFonts w:hint="eastAsia" w:ascii="宋体" w:hAnsi="宋体"/>
          <w:b/>
          <w:color w:val="000000"/>
          <w:szCs w:val="21"/>
        </w:rPr>
        <w:t>十九、招标代理服务费</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1、</w:t>
      </w:r>
      <w:r>
        <w:rPr>
          <w:rFonts w:hint="eastAsia" w:ascii="宋体" w:hAnsi="宋体" w:cs="宋体"/>
          <w:szCs w:val="21"/>
        </w:rPr>
        <w:t>本招标公司参照国家发改委发改办价格[2003]857号通知和原国家计委计价格[2002]1980号文件规定的招标费率标准（下浮40%），按照中标通知书确定的中标总金额</w:t>
      </w:r>
      <w:r>
        <w:rPr>
          <w:rFonts w:hint="eastAsia" w:ascii="宋体" w:hAnsi="宋体" w:cs="宋体"/>
          <w:szCs w:val="21"/>
          <w:lang w:eastAsia="zh-CN"/>
        </w:rPr>
        <w:t>（</w:t>
      </w:r>
      <w:r>
        <w:rPr>
          <w:rFonts w:hint="eastAsia" w:ascii="宋体" w:hAnsi="宋体" w:cs="宋体"/>
          <w:szCs w:val="21"/>
          <w:lang w:val="en-US" w:eastAsia="zh-CN"/>
        </w:rPr>
        <w:t>三年</w:t>
      </w:r>
      <w:r>
        <w:rPr>
          <w:rFonts w:hint="eastAsia" w:ascii="宋体" w:hAnsi="宋体" w:cs="宋体"/>
          <w:szCs w:val="21"/>
          <w:lang w:eastAsia="zh-CN"/>
        </w:rPr>
        <w:t>）</w:t>
      </w:r>
      <w:r>
        <w:rPr>
          <w:rFonts w:hint="eastAsia" w:ascii="宋体" w:hAnsi="宋体" w:cs="宋体"/>
          <w:szCs w:val="21"/>
        </w:rPr>
        <w:t>，向中标供应商收取中标服务费。</w:t>
      </w:r>
    </w:p>
    <w:p>
      <w:pPr>
        <w:spacing w:line="400" w:lineRule="exact"/>
        <w:ind w:firstLine="420" w:firstLineChars="200"/>
        <w:jc w:val="left"/>
        <w:rPr>
          <w:rFonts w:hint="eastAsia" w:ascii="宋体" w:cs="宋体"/>
          <w:bCs/>
          <w:szCs w:val="21"/>
        </w:rPr>
      </w:pPr>
      <w:r>
        <w:rPr>
          <w:rFonts w:hint="eastAsia" w:ascii="宋体" w:cs="宋体"/>
          <w:bCs/>
          <w:szCs w:val="21"/>
        </w:rPr>
        <w:t>2、中标供应商应在发出中标公告后，2个工作日内向本招标公司支付中标服务费。</w:t>
      </w:r>
    </w:p>
    <w:p>
      <w:pPr>
        <w:spacing w:line="400" w:lineRule="exact"/>
        <w:ind w:firstLine="420" w:firstLineChars="200"/>
        <w:jc w:val="left"/>
        <w:rPr>
          <w:rFonts w:hint="eastAsia" w:ascii="宋体" w:cs="宋体"/>
          <w:bCs/>
          <w:szCs w:val="21"/>
        </w:rPr>
      </w:pPr>
      <w:r>
        <w:rPr>
          <w:rFonts w:hint="eastAsia" w:ascii="宋体" w:cs="宋体"/>
          <w:bCs/>
          <w:szCs w:val="21"/>
        </w:rPr>
        <w:t>3、招标代理服务费只收现金、银行票汇款、电汇款。</w:t>
      </w:r>
    </w:p>
    <w:p>
      <w:pPr>
        <w:spacing w:line="400" w:lineRule="exact"/>
        <w:ind w:firstLine="840" w:firstLineChars="400"/>
        <w:jc w:val="left"/>
        <w:rPr>
          <w:rFonts w:hint="eastAsia" w:ascii="宋体" w:cs="宋体"/>
          <w:bCs/>
          <w:szCs w:val="21"/>
        </w:rPr>
      </w:pPr>
      <w:r>
        <w:rPr>
          <w:rFonts w:hint="eastAsia" w:ascii="宋体" w:cs="宋体"/>
          <w:bCs/>
          <w:szCs w:val="21"/>
        </w:rPr>
        <w:t>账户名称：宁波市国际招标有限公司（对公账户汇出）</w:t>
      </w:r>
    </w:p>
    <w:p>
      <w:pPr>
        <w:spacing w:line="400" w:lineRule="exact"/>
        <w:ind w:firstLine="840" w:firstLineChars="400"/>
        <w:jc w:val="left"/>
        <w:rPr>
          <w:rFonts w:hint="eastAsia" w:ascii="宋体" w:cs="宋体"/>
          <w:bCs/>
          <w:szCs w:val="21"/>
        </w:rPr>
      </w:pPr>
      <w:r>
        <w:rPr>
          <w:rFonts w:hint="eastAsia" w:ascii="宋体" w:cs="宋体"/>
          <w:bCs/>
          <w:szCs w:val="21"/>
        </w:rPr>
        <w:t>开户银行：上海浦东发展银行宁波分行江北支行</w:t>
      </w:r>
    </w:p>
    <w:p>
      <w:pPr>
        <w:spacing w:line="400" w:lineRule="exact"/>
        <w:ind w:firstLine="840" w:firstLineChars="400"/>
        <w:jc w:val="left"/>
        <w:rPr>
          <w:rFonts w:hint="eastAsia" w:ascii="宋体" w:hAnsi="宋体"/>
          <w:color w:val="000000"/>
          <w:szCs w:val="21"/>
        </w:rPr>
      </w:pPr>
      <w:r>
        <w:rPr>
          <w:rFonts w:hint="eastAsia" w:ascii="宋体" w:hAnsi="宋体"/>
          <w:color w:val="000000"/>
          <w:szCs w:val="21"/>
        </w:rPr>
        <w:t>银行帐号：94090154800000191</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4、中标供应商如未按以上1条和2条规定办理，本招标代理公司有权对中标服务费进行追索。</w:t>
      </w:r>
    </w:p>
    <w:p>
      <w:pPr>
        <w:spacing w:line="400" w:lineRule="exact"/>
        <w:ind w:firstLine="422" w:firstLineChars="200"/>
        <w:jc w:val="left"/>
        <w:rPr>
          <w:rFonts w:ascii="宋体" w:hAnsi="宋体"/>
          <w:b/>
          <w:color w:val="000000"/>
          <w:szCs w:val="21"/>
        </w:rPr>
      </w:pPr>
      <w:r>
        <w:rPr>
          <w:rFonts w:hint="eastAsia" w:ascii="宋体" w:hAnsi="宋体"/>
          <w:b/>
          <w:color w:val="000000"/>
          <w:szCs w:val="21"/>
        </w:rPr>
        <w:t>二十、特别说明</w:t>
      </w:r>
    </w:p>
    <w:p>
      <w:pPr>
        <w:spacing w:line="400" w:lineRule="exact"/>
        <w:ind w:firstLine="420" w:firstLineChars="200"/>
        <w:jc w:val="left"/>
        <w:rPr>
          <w:rFonts w:hint="eastAsia" w:ascii="宋体" w:cs="宋体"/>
          <w:bCs/>
          <w:szCs w:val="21"/>
        </w:rPr>
      </w:pPr>
      <w:r>
        <w:rPr>
          <w:rFonts w:hint="eastAsia" w:ascii="宋体" w:cs="宋体"/>
          <w:bCs/>
          <w:szCs w:val="21"/>
        </w:rPr>
        <w:t>1、执行财政部、</w:t>
      </w:r>
      <w:r>
        <w:rPr>
          <w:rFonts w:hint="eastAsia" w:ascii="宋体" w:cs="宋体"/>
          <w:bCs/>
          <w:szCs w:val="21"/>
          <w:lang w:eastAsia="zh-CN"/>
        </w:rPr>
        <w:t>租赁和商务服务业</w:t>
      </w:r>
      <w:r>
        <w:rPr>
          <w:rFonts w:hint="eastAsia" w:ascii="宋体" w:cs="宋体"/>
          <w:bCs/>
          <w:szCs w:val="21"/>
        </w:rPr>
        <w:t xml:space="preserve">和信息化部《政府采购促进中小企业发展管理办法》（财库〔2020〕46号）。政府采购活动中有关中小企业的相关规定如下： </w:t>
      </w:r>
    </w:p>
    <w:p>
      <w:pPr>
        <w:spacing w:line="400" w:lineRule="exact"/>
        <w:ind w:firstLine="420" w:firstLineChars="200"/>
        <w:jc w:val="left"/>
        <w:rPr>
          <w:rFonts w:hint="eastAsia" w:ascii="宋体" w:cs="宋体"/>
          <w:bCs/>
          <w:szCs w:val="21"/>
        </w:rPr>
      </w:pPr>
      <w:r>
        <w:rPr>
          <w:rFonts w:hint="eastAsia" w:ascii="宋体" w:cs="宋体"/>
          <w:bCs/>
          <w:szCs w:val="21"/>
        </w:rPr>
        <w:t>（1）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spacing w:line="400" w:lineRule="exact"/>
        <w:ind w:firstLine="420" w:firstLineChars="200"/>
        <w:jc w:val="left"/>
        <w:rPr>
          <w:rFonts w:hint="eastAsia" w:ascii="宋体" w:cs="宋体"/>
          <w:bCs/>
          <w:szCs w:val="21"/>
        </w:rPr>
      </w:pPr>
      <w:r>
        <w:rPr>
          <w:rFonts w:hint="eastAsia" w:ascii="宋体" w:cs="宋体"/>
          <w:bCs/>
          <w:szCs w:val="21"/>
        </w:rPr>
        <w:t>（2）在政府采购活动中，供应商提供的货物、工程或者服务符合下列情形的，享受《政府采购促进中小企业发展管理办法》规定的中小企业扶持政策：</w:t>
      </w:r>
    </w:p>
    <w:p>
      <w:pPr>
        <w:spacing w:line="400" w:lineRule="exact"/>
        <w:ind w:firstLine="420" w:firstLineChars="200"/>
        <w:jc w:val="left"/>
        <w:rPr>
          <w:rFonts w:hint="eastAsia" w:ascii="宋体" w:cs="宋体"/>
          <w:bCs/>
          <w:szCs w:val="21"/>
        </w:rPr>
      </w:pPr>
      <w:r>
        <w:rPr>
          <w:rFonts w:hint="eastAsia" w:ascii="宋体" w:cs="宋体"/>
          <w:bCs/>
          <w:szCs w:val="21"/>
        </w:rPr>
        <w:t>①在货物采购项目中，货物由中小企业制造，即货物由中小企业生产且使用该中小企业商号或者注册商标；</w:t>
      </w:r>
    </w:p>
    <w:p>
      <w:pPr>
        <w:spacing w:line="400" w:lineRule="exact"/>
        <w:ind w:firstLine="420" w:firstLineChars="200"/>
        <w:jc w:val="left"/>
        <w:rPr>
          <w:rFonts w:hint="eastAsia" w:ascii="宋体" w:cs="宋体"/>
          <w:bCs/>
          <w:szCs w:val="21"/>
        </w:rPr>
      </w:pPr>
      <w:r>
        <w:rPr>
          <w:rFonts w:hint="eastAsia" w:ascii="宋体" w:cs="宋体"/>
          <w:bCs/>
          <w:szCs w:val="21"/>
        </w:rPr>
        <w:t>②在工程采购项目中，工程由中小企业承建，即工程施工单位为中小企业；</w:t>
      </w:r>
    </w:p>
    <w:p>
      <w:pPr>
        <w:spacing w:line="400" w:lineRule="exact"/>
        <w:ind w:firstLine="420" w:firstLineChars="200"/>
        <w:jc w:val="left"/>
        <w:rPr>
          <w:rFonts w:hint="eastAsia" w:ascii="宋体" w:cs="宋体"/>
          <w:bCs/>
          <w:szCs w:val="21"/>
        </w:rPr>
      </w:pPr>
      <w:r>
        <w:rPr>
          <w:rFonts w:hint="eastAsia" w:ascii="宋体" w:cs="宋体"/>
          <w:bCs/>
          <w:szCs w:val="21"/>
        </w:rPr>
        <w:t>③在服务采购项目中，服务由中小企业承接，即提供服务的人员为中小企业依照《中华人民共和国劳动合同法》订立劳动合同的从业人员。</w:t>
      </w:r>
    </w:p>
    <w:p>
      <w:pPr>
        <w:spacing w:line="400" w:lineRule="exact"/>
        <w:ind w:firstLine="420" w:firstLineChars="200"/>
        <w:jc w:val="left"/>
        <w:rPr>
          <w:rFonts w:hint="eastAsia" w:ascii="宋体" w:cs="宋体"/>
          <w:bCs/>
          <w:szCs w:val="21"/>
        </w:rPr>
      </w:pPr>
      <w:r>
        <w:rPr>
          <w:rFonts w:hint="eastAsia" w:ascii="宋体" w:cs="宋体"/>
          <w:bCs/>
          <w:szCs w:val="21"/>
        </w:rPr>
        <w:t>（4）在货物采购项目中，供应商提供的货物既有中小企业制造货物，也有大型企业制造货物的，不享受《政府采购促进中小企业发展管理办法》规定的中小企业扶持政策。</w:t>
      </w:r>
    </w:p>
    <w:p>
      <w:pPr>
        <w:spacing w:line="400" w:lineRule="exact"/>
        <w:ind w:firstLine="420" w:firstLineChars="200"/>
        <w:jc w:val="left"/>
        <w:rPr>
          <w:rFonts w:hint="eastAsia" w:ascii="宋体" w:cs="宋体"/>
          <w:bCs/>
          <w:szCs w:val="21"/>
        </w:rPr>
      </w:pPr>
      <w:r>
        <w:rPr>
          <w:rFonts w:hint="eastAsia" w:ascii="宋体" w:cs="宋体"/>
          <w:bCs/>
          <w:szCs w:val="21"/>
        </w:rPr>
        <w:t>（5）以联合体形式参加政府采购活动，联合体各方均为中小企业的，联合体视同中小企业。其中，联合体各方均为小微企业的，联合体视同小微企业。</w:t>
      </w:r>
    </w:p>
    <w:p>
      <w:pPr>
        <w:spacing w:line="400" w:lineRule="exact"/>
        <w:ind w:firstLine="420" w:firstLineChars="200"/>
        <w:jc w:val="left"/>
        <w:rPr>
          <w:rFonts w:hint="eastAsia" w:ascii="宋体" w:cs="宋体"/>
          <w:bCs/>
          <w:szCs w:val="21"/>
        </w:rPr>
      </w:pPr>
      <w:r>
        <w:rPr>
          <w:rFonts w:hint="eastAsia" w:ascii="宋体" w:cs="宋体"/>
          <w:bCs/>
          <w:szCs w:val="21"/>
        </w:rPr>
        <w:t>（6）中小企业参加政府采购活动，应当出具《政府采购促进中小企业发展管理办法》规定的《中小企业声明函》（格式见本采购文件附件），否则不得享受相关中小企业扶持政策。</w:t>
      </w:r>
    </w:p>
    <w:p>
      <w:pPr>
        <w:spacing w:line="400" w:lineRule="exact"/>
        <w:ind w:firstLine="420" w:firstLineChars="200"/>
        <w:jc w:val="left"/>
        <w:rPr>
          <w:rFonts w:hint="eastAsia" w:ascii="宋体" w:cs="宋体"/>
          <w:bCs/>
          <w:szCs w:val="21"/>
        </w:rPr>
      </w:pPr>
      <w:r>
        <w:rPr>
          <w:rFonts w:hint="eastAsia" w:ascii="宋体" w:cs="宋体"/>
          <w:bCs/>
          <w:szCs w:val="21"/>
        </w:rPr>
        <w:t>（7）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 供应商提供声明函内容不实的，属于提供虚假材料谋取中标、成交，依照《中华人民共和国政府采购法》等国家有关规定追究相应责任。</w:t>
      </w:r>
    </w:p>
    <w:p>
      <w:pPr>
        <w:spacing w:line="400" w:lineRule="exact"/>
        <w:ind w:firstLine="420" w:firstLineChars="200"/>
        <w:jc w:val="left"/>
        <w:rPr>
          <w:rFonts w:hint="eastAsia" w:ascii="宋体" w:cs="宋体"/>
          <w:bCs/>
          <w:szCs w:val="21"/>
        </w:rPr>
      </w:pPr>
      <w:r>
        <w:rPr>
          <w:rFonts w:hint="eastAsia" w:ascii="宋体" w:cs="宋体"/>
          <w:bCs/>
          <w:szCs w:val="21"/>
        </w:rPr>
        <w:t>（8）适用招标投标法的政府采购工程建设项目，投标人提供声明函内容不实的，属于弄虚作假骗取中标，依照《中华人民共和国招标投标法》等国家有关规定追究相应责任。</w:t>
      </w:r>
    </w:p>
    <w:p>
      <w:pPr>
        <w:spacing w:line="400" w:lineRule="exact"/>
        <w:ind w:firstLine="420" w:firstLineChars="200"/>
        <w:jc w:val="left"/>
        <w:rPr>
          <w:rFonts w:hint="eastAsia" w:ascii="宋体" w:cs="宋体"/>
          <w:bCs/>
          <w:szCs w:val="21"/>
        </w:rPr>
      </w:pPr>
      <w:r>
        <w:rPr>
          <w:rFonts w:hint="eastAsia" w:ascii="宋体" w:cs="宋体"/>
          <w:bCs/>
          <w:szCs w:val="21"/>
        </w:rPr>
        <w:t>（9）《中小企业声明函》由参加投标的供应商提交，如供应商为代理商，须自行采集制造商的中小企业划分类型信息填入相应栏目并对其真实性负责。</w:t>
      </w:r>
    </w:p>
    <w:p>
      <w:pPr>
        <w:spacing w:line="400" w:lineRule="exact"/>
        <w:ind w:firstLine="420" w:firstLineChars="200"/>
        <w:jc w:val="left"/>
        <w:rPr>
          <w:rFonts w:hint="eastAsia" w:ascii="宋体" w:cs="宋体"/>
          <w:bCs/>
          <w:szCs w:val="21"/>
        </w:rPr>
      </w:pPr>
      <w:bookmarkStart w:id="22" w:name="_Toc21541015"/>
      <w:bookmarkStart w:id="23" w:name="_Toc495244277"/>
      <w:r>
        <w:rPr>
          <w:rFonts w:hint="eastAsia" w:ascii="宋体" w:cs="宋体"/>
          <w:bCs/>
          <w:szCs w:val="21"/>
        </w:rPr>
        <w:t>2、执行财政部、司法部《关于政府采购支持监狱企业发展有关问题的通知》。监狱企业（监狱和戒毒企业）提供自己企业的产品（服务）参加投标视同小型、微型企业，享受评审中价格扣除等政府采购促进中小企业发展的政府采购政策，监狱企业参加政府采购活动时，必须提供由省级以上监狱管理局、戒毒管理局（含新疆生产建设兵团）出具的属于监狱企业的证明文件，未能提供上述证明文件的不予认可。</w:t>
      </w:r>
      <w:bookmarkEnd w:id="22"/>
      <w:bookmarkEnd w:id="23"/>
    </w:p>
    <w:p>
      <w:pPr>
        <w:spacing w:line="400" w:lineRule="exact"/>
        <w:ind w:firstLine="420" w:firstLineChars="200"/>
        <w:jc w:val="left"/>
        <w:rPr>
          <w:rFonts w:hint="eastAsia" w:ascii="宋体" w:cs="宋体"/>
          <w:bCs/>
          <w:szCs w:val="21"/>
        </w:rPr>
      </w:pPr>
      <w:r>
        <w:rPr>
          <w:rFonts w:hint="eastAsia" w:ascii="宋体" w:cs="宋体"/>
          <w:bCs/>
          <w:szCs w:val="21"/>
        </w:rPr>
        <w:t>3、执行财政部、民政部、中国残疾人联合会《关于促进残疾人就业政府采购政策的通知》。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符合条件的残疾人福利性单位在参加政府采购活动时，应当提供本通知规定的《残疾人福利性单位声明函》，并对声明的真实性负责。任何单位或者个人在政府采购活动中均不得要求残疾人福利性单位提供其他证明声明函内容的材料。</w:t>
      </w:r>
    </w:p>
    <w:p>
      <w:pPr>
        <w:spacing w:line="360" w:lineRule="exact"/>
        <w:ind w:firstLine="420" w:firstLineChars="200"/>
        <w:jc w:val="left"/>
        <w:rPr>
          <w:rFonts w:hint="eastAsia" w:ascii="宋体" w:cs="宋体"/>
          <w:bCs/>
          <w:szCs w:val="21"/>
        </w:rPr>
      </w:pPr>
      <w:bookmarkStart w:id="24" w:name="_Toc21541017"/>
      <w:bookmarkStart w:id="25" w:name="_Toc419729158"/>
      <w:r>
        <w:rPr>
          <w:rFonts w:hint="eastAsia" w:ascii="宋体" w:cs="宋体"/>
          <w:bCs/>
          <w:szCs w:val="21"/>
        </w:rPr>
        <w:t>4、本项目不组织潜在供应商现场考察或者召开开标前答疑。</w:t>
      </w:r>
      <w:bookmarkEnd w:id="24"/>
    </w:p>
    <w:p>
      <w:pPr>
        <w:spacing w:line="360" w:lineRule="exact"/>
        <w:ind w:firstLine="420" w:firstLineChars="200"/>
        <w:jc w:val="left"/>
        <w:rPr>
          <w:rFonts w:hint="eastAsia" w:ascii="宋体" w:cs="宋体"/>
          <w:bCs/>
          <w:szCs w:val="21"/>
        </w:rPr>
      </w:pPr>
      <w:bookmarkStart w:id="26" w:name="_Toc21541018"/>
      <w:r>
        <w:rPr>
          <w:rFonts w:hint="eastAsia" w:ascii="宋体" w:cs="宋体"/>
          <w:bCs/>
          <w:szCs w:val="21"/>
        </w:rPr>
        <w:t>5、本文件未及事项，在签订合同时供需及使用方友好商定。</w:t>
      </w:r>
      <w:bookmarkEnd w:id="25"/>
      <w:bookmarkEnd w:id="26"/>
    </w:p>
    <w:p>
      <w:pPr>
        <w:spacing w:line="360" w:lineRule="exact"/>
        <w:ind w:firstLine="420" w:firstLineChars="200"/>
        <w:jc w:val="left"/>
        <w:rPr>
          <w:rFonts w:hint="eastAsia" w:ascii="宋体" w:hAnsi="宋体"/>
          <w:color w:val="000000"/>
          <w:szCs w:val="21"/>
        </w:rPr>
      </w:pPr>
      <w:bookmarkStart w:id="27" w:name="_Toc419729159"/>
      <w:r>
        <w:rPr>
          <w:rFonts w:hint="eastAsia" w:ascii="宋体" w:cs="宋体"/>
          <w:bCs/>
          <w:szCs w:val="21"/>
        </w:rPr>
        <w:t>6、本招标文件解释权归采购人。</w:t>
      </w:r>
      <w:bookmarkEnd w:id="27"/>
    </w:p>
    <w:p>
      <w:pPr>
        <w:spacing w:line="400" w:lineRule="exact"/>
        <w:jc w:val="center"/>
        <w:outlineLvl w:val="0"/>
        <w:rPr>
          <w:rFonts w:ascii="宋体" w:hAnsi="宋体"/>
          <w:b/>
          <w:color w:val="000000"/>
          <w:sz w:val="32"/>
        </w:rPr>
      </w:pPr>
      <w:bookmarkStart w:id="28" w:name="_Toc21541019"/>
      <w:r>
        <w:rPr>
          <w:rFonts w:hint="eastAsia" w:ascii="宋体" w:hAnsi="宋体"/>
          <w:b/>
          <w:color w:val="000000"/>
          <w:sz w:val="32"/>
        </w:rPr>
        <w:br w:type="page"/>
      </w:r>
      <w:bookmarkStart w:id="29" w:name="_Toc31027"/>
      <w:r>
        <w:rPr>
          <w:rFonts w:hint="eastAsia" w:ascii="宋体" w:hAnsi="宋体"/>
          <w:b/>
          <w:color w:val="000000"/>
          <w:sz w:val="32"/>
        </w:rPr>
        <w:t>第三章</w:t>
      </w:r>
      <w:r>
        <w:rPr>
          <w:rFonts w:ascii="宋体" w:hAnsi="宋体"/>
          <w:b/>
          <w:color w:val="000000"/>
          <w:sz w:val="32"/>
        </w:rPr>
        <w:t xml:space="preserve">  </w:t>
      </w:r>
      <w:r>
        <w:rPr>
          <w:rFonts w:hint="eastAsia" w:ascii="宋体" w:hAnsi="宋体"/>
          <w:b/>
          <w:color w:val="000000"/>
          <w:sz w:val="32"/>
        </w:rPr>
        <w:t>评标办法及标准</w:t>
      </w:r>
      <w:bookmarkEnd w:id="28"/>
      <w:bookmarkEnd w:id="29"/>
    </w:p>
    <w:p>
      <w:pPr>
        <w:spacing w:line="390" w:lineRule="exact"/>
        <w:jc w:val="left"/>
        <w:rPr>
          <w:rFonts w:ascii="宋体" w:hAnsi="宋体"/>
          <w:b/>
          <w:color w:val="000000"/>
          <w:szCs w:val="21"/>
        </w:rPr>
      </w:pPr>
      <w:r>
        <w:rPr>
          <w:rFonts w:hint="eastAsia" w:ascii="宋体" w:hAnsi="宋体"/>
          <w:b/>
          <w:color w:val="000000"/>
          <w:szCs w:val="21"/>
        </w:rPr>
        <w:t>一、评标办法</w:t>
      </w:r>
    </w:p>
    <w:p>
      <w:pPr>
        <w:spacing w:line="390" w:lineRule="exact"/>
        <w:jc w:val="left"/>
        <w:rPr>
          <w:rFonts w:ascii="宋体" w:hAnsi="宋体"/>
          <w:color w:val="000000"/>
          <w:szCs w:val="21"/>
        </w:rPr>
      </w:pPr>
      <w:r>
        <w:rPr>
          <w:rFonts w:ascii="宋体" w:hAnsi="宋体"/>
          <w:color w:val="000000"/>
          <w:szCs w:val="21"/>
        </w:rPr>
        <w:t>1.1</w:t>
      </w:r>
      <w:r>
        <w:rPr>
          <w:rFonts w:hint="eastAsia" w:ascii="宋体" w:hAnsi="宋体"/>
          <w:color w:val="000000"/>
          <w:szCs w:val="21"/>
        </w:rPr>
        <w:t>本项目评标采用综合评分法。</w:t>
      </w:r>
    </w:p>
    <w:p>
      <w:pPr>
        <w:spacing w:line="390" w:lineRule="exact"/>
        <w:jc w:val="left"/>
        <w:rPr>
          <w:rFonts w:ascii="宋体" w:hAnsi="宋体"/>
          <w:color w:val="000000"/>
          <w:szCs w:val="21"/>
        </w:rPr>
      </w:pPr>
      <w:r>
        <w:rPr>
          <w:rFonts w:ascii="宋体" w:hAnsi="宋体"/>
          <w:color w:val="000000"/>
          <w:szCs w:val="21"/>
        </w:rPr>
        <w:t>1.2</w:t>
      </w:r>
      <w:r>
        <w:rPr>
          <w:rFonts w:hint="eastAsia" w:ascii="宋体" w:hAnsi="宋体"/>
          <w:color w:val="000000"/>
          <w:szCs w:val="21"/>
        </w:rPr>
        <w:t>综合评分法：采用百分制，总分</w:t>
      </w:r>
      <w:r>
        <w:rPr>
          <w:rFonts w:ascii="宋体" w:hAnsi="宋体"/>
          <w:color w:val="000000"/>
          <w:szCs w:val="21"/>
        </w:rPr>
        <w:t>100</w:t>
      </w:r>
      <w:r>
        <w:rPr>
          <w:rFonts w:hint="eastAsia" w:ascii="宋体" w:hAnsi="宋体"/>
          <w:color w:val="000000"/>
          <w:szCs w:val="21"/>
        </w:rPr>
        <w:t>分。供应商的综合得分为技术和资信商务得分与报价得分之和。按综合得分由高到低的排序，推荐中标候选人。若供应商的综合得分相等，则投标报价低者列前；若投标报价也相同时，采取随机抽签的方式确定排序。</w:t>
      </w:r>
    </w:p>
    <w:p>
      <w:pPr>
        <w:spacing w:line="390" w:lineRule="exact"/>
        <w:jc w:val="left"/>
        <w:rPr>
          <w:rFonts w:ascii="宋体" w:hAnsi="宋体"/>
          <w:color w:val="000000"/>
          <w:szCs w:val="21"/>
        </w:rPr>
      </w:pPr>
      <w:r>
        <w:rPr>
          <w:rFonts w:ascii="宋体" w:hAnsi="宋体"/>
          <w:color w:val="000000"/>
          <w:szCs w:val="21"/>
        </w:rPr>
        <w:t>1.3</w:t>
      </w:r>
      <w:r>
        <w:rPr>
          <w:rFonts w:hint="eastAsia" w:ascii="宋体" w:cs="宋体"/>
          <w:sz w:val="22"/>
          <w:szCs w:val="22"/>
        </w:rPr>
        <w:t>本项目需要落实的政府采购政策：</w:t>
      </w:r>
      <w:r>
        <w:rPr>
          <w:rFonts w:hint="eastAsia" w:ascii="宋体" w:hAnsi="宋体" w:cs="宋体"/>
          <w:szCs w:val="21"/>
        </w:rPr>
        <w:t>《关于促进残疾人就业政府采购政策的通知》（财库[2017]141号）、《政府采购促进中小企业发展管理办法》（财库〔2020〕46号）、《关于政府采购支持监狱企业发展有关问题的通知》(财库[2014]68号)</w:t>
      </w:r>
      <w:r>
        <w:rPr>
          <w:rFonts w:hint="eastAsia" w:ascii="宋体" w:cs="宋体"/>
          <w:sz w:val="22"/>
          <w:szCs w:val="22"/>
        </w:rPr>
        <w:t>。</w:t>
      </w:r>
    </w:p>
    <w:p>
      <w:pPr>
        <w:spacing w:line="390" w:lineRule="exact"/>
        <w:jc w:val="left"/>
        <w:rPr>
          <w:rFonts w:ascii="宋体" w:hAnsi="宋体"/>
          <w:color w:val="000000"/>
          <w:szCs w:val="21"/>
        </w:rPr>
      </w:pPr>
      <w:r>
        <w:rPr>
          <w:rFonts w:ascii="宋体" w:hAnsi="宋体"/>
          <w:color w:val="000000"/>
          <w:szCs w:val="21"/>
        </w:rPr>
        <w:t>1.4</w:t>
      </w:r>
      <w:r>
        <w:rPr>
          <w:rFonts w:hint="eastAsia" w:ascii="宋体" w:cs="宋体"/>
          <w:b/>
          <w:bCs/>
          <w:sz w:val="22"/>
          <w:szCs w:val="22"/>
        </w:rPr>
        <w:t>本次采购为非专门面向中小企业，采购标的对应的中小企业划分标准所属行业：标项1为：</w:t>
      </w:r>
      <w:r>
        <w:rPr>
          <w:rFonts w:hint="eastAsia" w:ascii="宋体" w:cs="宋体"/>
          <w:b/>
          <w:bCs/>
          <w:sz w:val="22"/>
          <w:szCs w:val="22"/>
          <w:lang w:eastAsia="zh-CN"/>
        </w:rPr>
        <w:t>租赁和商务服务业</w:t>
      </w:r>
      <w:r>
        <w:rPr>
          <w:rFonts w:hint="eastAsia" w:ascii="宋体" w:cs="宋体"/>
          <w:b/>
          <w:bCs/>
          <w:sz w:val="22"/>
          <w:szCs w:val="22"/>
        </w:rPr>
        <w:t>。</w:t>
      </w:r>
      <w:r>
        <w:rPr>
          <w:rFonts w:hint="eastAsia" w:ascii="宋体" w:hAnsi="宋体" w:cs="宋体"/>
          <w:szCs w:val="21"/>
        </w:rPr>
        <w:t>本次评标将对中小企业声明函满足招标文件要求的</w:t>
      </w:r>
      <w:r>
        <w:rPr>
          <w:rFonts w:hint="eastAsia" w:ascii="宋体" w:hAnsi="宋体" w:cs="宋体"/>
          <w:color w:val="000000"/>
          <w:szCs w:val="21"/>
        </w:rPr>
        <w:t>服务企业</w:t>
      </w:r>
      <w:r>
        <w:rPr>
          <w:rFonts w:hint="eastAsia" w:ascii="宋体" w:hAnsi="宋体" w:cs="宋体"/>
          <w:szCs w:val="21"/>
        </w:rPr>
        <w:t>为小微企业的价格给予</w:t>
      </w:r>
      <w:r>
        <w:rPr>
          <w:rFonts w:hint="eastAsia" w:ascii="宋体" w:hAnsi="宋体" w:cs="宋体"/>
          <w:szCs w:val="21"/>
          <w:u w:val="single"/>
        </w:rPr>
        <w:t xml:space="preserve"> 10 </w:t>
      </w:r>
      <w:r>
        <w:rPr>
          <w:rFonts w:hint="eastAsia" w:ascii="宋体" w:hAnsi="宋体" w:cs="宋体"/>
          <w:szCs w:val="21"/>
        </w:rPr>
        <w:t>%的扣除，</w:t>
      </w:r>
      <w:r>
        <w:rPr>
          <w:rFonts w:hint="eastAsia" w:ascii="宋体" w:cs="宋体"/>
          <w:sz w:val="22"/>
          <w:szCs w:val="22"/>
        </w:rPr>
        <w:t>用扣除后的价格参与评审。价格扣除只用于评审过程，如中标，中标价格仍按照其投标价格进行公示。</w:t>
      </w:r>
    </w:p>
    <w:p>
      <w:pPr>
        <w:spacing w:line="390" w:lineRule="exact"/>
        <w:jc w:val="left"/>
        <w:rPr>
          <w:rFonts w:ascii="宋体" w:hAnsi="宋体"/>
          <w:color w:val="000000"/>
          <w:szCs w:val="21"/>
        </w:rPr>
      </w:pPr>
      <w:r>
        <w:rPr>
          <w:rFonts w:ascii="宋体" w:hAnsi="宋体"/>
          <w:color w:val="000000"/>
          <w:szCs w:val="21"/>
        </w:rPr>
        <w:t>1.5</w:t>
      </w:r>
      <w:r>
        <w:rPr>
          <w:rFonts w:hint="eastAsia" w:ascii="宋体" w:hAnsi="宋体"/>
          <w:color w:val="000000"/>
          <w:szCs w:val="21"/>
        </w:rPr>
        <w:t>评标委员会成员对需要共同认定的事项存在争议的，应当按照少数服从多数的原则作出结论。</w:t>
      </w:r>
    </w:p>
    <w:p>
      <w:pPr>
        <w:spacing w:line="390" w:lineRule="exact"/>
        <w:jc w:val="left"/>
        <w:rPr>
          <w:rFonts w:ascii="宋体" w:hAnsi="宋体"/>
          <w:b/>
          <w:bCs/>
          <w:color w:val="000000"/>
          <w:szCs w:val="21"/>
        </w:rPr>
      </w:pPr>
      <w:r>
        <w:rPr>
          <w:rFonts w:hint="eastAsia" w:ascii="宋体" w:hAnsi="宋体"/>
          <w:color w:val="000000"/>
          <w:szCs w:val="21"/>
        </w:rPr>
        <w:t>二、</w:t>
      </w:r>
      <w:r>
        <w:rPr>
          <w:rFonts w:hint="eastAsia" w:ascii="宋体" w:hAnsi="宋体"/>
          <w:b/>
          <w:bCs/>
          <w:color w:val="000000"/>
          <w:szCs w:val="21"/>
        </w:rPr>
        <w:t>评标程序</w:t>
      </w:r>
    </w:p>
    <w:p>
      <w:pPr>
        <w:spacing w:line="390" w:lineRule="exact"/>
        <w:rPr>
          <w:rFonts w:ascii="宋体" w:hAnsi="宋体"/>
          <w:szCs w:val="21"/>
        </w:rPr>
      </w:pPr>
      <w:r>
        <w:rPr>
          <w:rFonts w:hint="eastAsia" w:ascii="宋体" w:hAnsi="宋体"/>
          <w:szCs w:val="21"/>
        </w:rPr>
        <w:t>评标程序包括初步审查、</w:t>
      </w:r>
      <w:r>
        <w:rPr>
          <w:rFonts w:hint="eastAsia" w:ascii="宋体" w:hAnsi="宋体" w:cs="宋体"/>
          <w:szCs w:val="21"/>
        </w:rPr>
        <w:t>澄清有关问题、</w:t>
      </w:r>
      <w:r>
        <w:rPr>
          <w:rFonts w:hint="eastAsia" w:ascii="宋体" w:hAnsi="宋体"/>
          <w:szCs w:val="21"/>
        </w:rPr>
        <w:t>比较与评价、确定中标供应商等程序。</w:t>
      </w:r>
    </w:p>
    <w:p>
      <w:pPr>
        <w:spacing w:line="400" w:lineRule="exact"/>
        <w:ind w:firstLine="422" w:firstLineChars="200"/>
        <w:rPr>
          <w:rFonts w:ascii="宋体" w:hAnsi="宋体"/>
          <w:b/>
          <w:color w:val="000000"/>
          <w:szCs w:val="21"/>
        </w:rPr>
      </w:pPr>
      <w:r>
        <w:rPr>
          <w:rFonts w:ascii="宋体" w:hAnsi="宋体"/>
          <w:b/>
          <w:bCs/>
          <w:color w:val="000000"/>
          <w:szCs w:val="21"/>
        </w:rPr>
        <w:t>2.1</w:t>
      </w:r>
      <w:r>
        <w:rPr>
          <w:rFonts w:hint="eastAsia" w:ascii="宋体" w:hAnsi="宋体"/>
          <w:b/>
          <w:bCs/>
          <w:color w:val="000000"/>
          <w:szCs w:val="21"/>
        </w:rPr>
        <w:t>初步审查：</w:t>
      </w:r>
      <w:r>
        <w:rPr>
          <w:rFonts w:hint="eastAsia" w:ascii="宋体" w:hAnsi="宋体"/>
          <w:color w:val="000000"/>
          <w:szCs w:val="21"/>
        </w:rPr>
        <w:t>包含资格性审查和符合性审查。资格性审查是指采购人或代理机构根据“附表</w:t>
      </w:r>
      <w:r>
        <w:rPr>
          <w:rFonts w:ascii="宋体" w:hAnsi="宋体"/>
          <w:color w:val="000000"/>
          <w:szCs w:val="21"/>
        </w:rPr>
        <w:t>1</w:t>
      </w:r>
      <w:r>
        <w:rPr>
          <w:rFonts w:hint="eastAsia" w:ascii="宋体" w:hAnsi="宋体"/>
          <w:color w:val="000000"/>
          <w:szCs w:val="21"/>
        </w:rPr>
        <w:t>资格性审查表”的要求对投标文件逐一进行评审。符合性审查是指评标委员会根据“附表</w:t>
      </w:r>
      <w:r>
        <w:rPr>
          <w:rFonts w:ascii="宋体" w:hAnsi="宋体"/>
          <w:color w:val="000000"/>
          <w:szCs w:val="21"/>
        </w:rPr>
        <w:t>2</w:t>
      </w:r>
      <w:r>
        <w:rPr>
          <w:rFonts w:hint="eastAsia" w:ascii="宋体" w:hAnsi="宋体"/>
          <w:color w:val="000000"/>
          <w:szCs w:val="21"/>
        </w:rPr>
        <w:t>符合性审查表”的要求对投标文件逐一进行评审。</w:t>
      </w:r>
      <w:r>
        <w:rPr>
          <w:rFonts w:hint="eastAsia" w:ascii="宋体" w:hAnsi="宋体"/>
          <w:b/>
          <w:color w:val="000000"/>
          <w:szCs w:val="21"/>
        </w:rPr>
        <w:t>资格性审查和符合性审查中，有任意一项审查结论不合格的，作无效标处理。</w:t>
      </w:r>
    </w:p>
    <w:p>
      <w:pPr>
        <w:spacing w:line="400" w:lineRule="exact"/>
        <w:ind w:firstLine="422" w:firstLineChars="200"/>
        <w:jc w:val="left"/>
        <w:rPr>
          <w:rFonts w:hint="eastAsia" w:ascii="宋体" w:hAnsi="宋体"/>
          <w:b/>
          <w:bCs/>
          <w:color w:val="000000"/>
          <w:szCs w:val="21"/>
        </w:rPr>
      </w:pPr>
      <w:r>
        <w:rPr>
          <w:rFonts w:hint="eastAsia" w:ascii="宋体" w:hAnsi="宋体"/>
          <w:b/>
          <w:bCs/>
          <w:color w:val="000000"/>
          <w:szCs w:val="21"/>
        </w:rPr>
        <w:t>2.2投标的澄清</w:t>
      </w:r>
    </w:p>
    <w:p>
      <w:pPr>
        <w:spacing w:line="400" w:lineRule="exact"/>
        <w:ind w:firstLine="420" w:firstLineChars="200"/>
        <w:rPr>
          <w:rFonts w:hint="eastAsia" w:ascii="宋体" w:hAnsi="宋体" w:cs="宋体"/>
          <w:color w:val="000000"/>
        </w:rPr>
      </w:pPr>
      <w:r>
        <w:rPr>
          <w:rFonts w:hint="eastAsia" w:ascii="宋体" w:hAnsi="宋体" w:cs="宋体"/>
          <w:color w:val="000000"/>
        </w:rPr>
        <w:t>2.2.</w:t>
      </w:r>
      <w:r>
        <w:rPr>
          <w:rFonts w:ascii="宋体" w:hAnsi="宋体" w:cs="宋体"/>
          <w:color w:val="000000"/>
        </w:rPr>
        <w:t>1</w:t>
      </w:r>
      <w:r>
        <w:rPr>
          <w:rFonts w:hint="eastAsia" w:ascii="宋体" w:hAnsi="宋体" w:cs="宋体"/>
          <w:color w:val="000000"/>
        </w:rPr>
        <w:t>评标委员会在对投标文件的有效性、完整性和响应程度进行审查时，可以要求供应商对投标文件中含义不明确、同类问题表述不一致或者有明显文字和计算错误的内容等做出必要的澄清。供应商的澄清不得超出投标文件的范围或者改变投标文件的实质性内容。</w:t>
      </w:r>
    </w:p>
    <w:p>
      <w:pPr>
        <w:spacing w:line="400" w:lineRule="exact"/>
        <w:ind w:firstLine="420" w:firstLineChars="200"/>
        <w:rPr>
          <w:rFonts w:hint="eastAsia" w:ascii="宋体" w:hAnsi="宋体" w:cs="宋体"/>
          <w:color w:val="000000"/>
        </w:rPr>
      </w:pPr>
      <w:r>
        <w:rPr>
          <w:rFonts w:hint="eastAsia" w:ascii="宋体" w:hAnsi="宋体" w:cs="宋体"/>
          <w:color w:val="000000"/>
        </w:rPr>
        <w:t>2.2.</w:t>
      </w:r>
      <w:r>
        <w:rPr>
          <w:rFonts w:ascii="宋体" w:hAnsi="宋体" w:cs="宋体"/>
          <w:color w:val="000000"/>
        </w:rPr>
        <w:t>2</w:t>
      </w:r>
      <w:r>
        <w:rPr>
          <w:rFonts w:hint="eastAsia" w:ascii="宋体" w:hAnsi="宋体" w:cs="宋体"/>
          <w:color w:val="000000"/>
        </w:rPr>
        <w:t>政采云具体操作如下：</w:t>
      </w:r>
    </w:p>
    <w:p>
      <w:pPr>
        <w:spacing w:line="400" w:lineRule="exact"/>
        <w:ind w:firstLine="420" w:firstLineChars="200"/>
        <w:rPr>
          <w:rFonts w:hint="eastAsia" w:ascii="宋体" w:hAnsi="宋体" w:cs="宋体"/>
          <w:color w:val="000000"/>
        </w:rPr>
      </w:pPr>
      <w:r>
        <w:rPr>
          <w:rFonts w:hint="eastAsia" w:ascii="宋体" w:hAnsi="宋体" w:cs="宋体"/>
          <w:color w:val="000000"/>
        </w:rPr>
        <w:t>在评审过程中，如评标委员会对投标文件有疑问，由评标委员会组长将问题汇总后发函，或由采购代理机构代替发起。供应商在截止时间前，予以回复。此回复将作为投标文件内容的一部分，具有相应的法律效力。</w:t>
      </w:r>
    </w:p>
    <w:p>
      <w:pPr>
        <w:spacing w:line="400" w:lineRule="exact"/>
        <w:ind w:firstLine="420" w:firstLineChars="200"/>
        <w:rPr>
          <w:rFonts w:hint="eastAsia" w:ascii="宋体" w:hAnsi="宋体" w:cs="宋体"/>
          <w:color w:val="000000"/>
        </w:rPr>
      </w:pPr>
      <w:r>
        <w:rPr>
          <w:rFonts w:hint="eastAsia" w:ascii="宋体" w:hAnsi="宋体" w:cs="宋体"/>
          <w:color w:val="000000"/>
        </w:rPr>
        <w:t>路径：用户中心—项目采购—询标澄清</w:t>
      </w:r>
    </w:p>
    <w:p>
      <w:pPr>
        <w:spacing w:line="400" w:lineRule="exact"/>
        <w:ind w:firstLine="420" w:firstLineChars="200"/>
        <w:rPr>
          <w:rFonts w:hint="eastAsia" w:ascii="宋体" w:hAnsi="宋体" w:cs="宋体"/>
          <w:color w:val="000000"/>
        </w:rPr>
      </w:pPr>
      <w:r>
        <w:rPr>
          <w:rFonts w:hint="eastAsia" w:ascii="宋体" w:hAnsi="宋体" w:cs="宋体"/>
          <w:color w:val="000000"/>
        </w:rPr>
        <w:t>（1）政采云平台通过待办事项、短信、电话提醒供应商在截止时间前完成澄清。</w:t>
      </w:r>
    </w:p>
    <w:p>
      <w:pPr>
        <w:spacing w:line="400" w:lineRule="exact"/>
        <w:ind w:firstLine="420" w:firstLineChars="200"/>
        <w:rPr>
          <w:rFonts w:hint="eastAsia" w:ascii="宋体" w:hAnsi="宋体" w:cs="宋体"/>
          <w:color w:val="000000"/>
        </w:rPr>
      </w:pPr>
      <w:r>
        <w:rPr>
          <w:rFonts w:hint="eastAsia" w:ascii="宋体" w:hAnsi="宋体" w:cs="宋体"/>
          <w:color w:val="000000"/>
        </w:rPr>
        <w:t>（2）供应商在“询标澄清-待办理”标签页下选择状态为“待澄清”的项目，点击操作栏【澄清】。</w:t>
      </w:r>
    </w:p>
    <w:p>
      <w:pPr>
        <w:spacing w:line="400" w:lineRule="exact"/>
        <w:ind w:firstLine="420" w:firstLineChars="200"/>
        <w:rPr>
          <w:rFonts w:hint="eastAsia" w:ascii="宋体" w:hAnsi="宋体" w:cs="宋体"/>
          <w:color w:val="000000"/>
        </w:rPr>
      </w:pPr>
      <w:r>
        <w:rPr>
          <w:rFonts w:hint="eastAsia" w:ascii="宋体" w:hAnsi="宋体" w:cs="宋体"/>
          <w:color w:val="000000"/>
        </w:rPr>
        <w:t>（3）查看函内容，在澄清截止时间前上传澄清文件并对澄清文件进行签章。（注：澄清文件必须以PDF格式上传，文件大小：50M）</w:t>
      </w:r>
    </w:p>
    <w:p>
      <w:pPr>
        <w:spacing w:line="400" w:lineRule="exact"/>
        <w:ind w:firstLine="420" w:firstLineChars="200"/>
        <w:rPr>
          <w:rFonts w:hint="eastAsia" w:ascii="宋体" w:hAnsi="宋体" w:cs="宋体"/>
          <w:color w:val="000000"/>
        </w:rPr>
      </w:pPr>
      <w:r>
        <w:rPr>
          <w:rFonts w:hint="eastAsia" w:ascii="宋体" w:hAnsi="宋体" w:cs="宋体"/>
          <w:color w:val="000000"/>
        </w:rPr>
        <w:t>（4）签章完成，文件名称处显示“已签章”，供应商可“撤回签章”修改澄清函和“查看文件”。</w:t>
      </w:r>
    </w:p>
    <w:p>
      <w:pPr>
        <w:spacing w:line="400" w:lineRule="exact"/>
        <w:ind w:firstLine="420" w:firstLineChars="200"/>
        <w:rPr>
          <w:rFonts w:hint="eastAsia" w:ascii="宋体" w:hAnsi="宋体" w:cs="宋体"/>
          <w:color w:val="000000"/>
        </w:rPr>
      </w:pPr>
      <w:r>
        <w:rPr>
          <w:rFonts w:hint="eastAsia" w:ascii="宋体" w:hAnsi="宋体" w:cs="宋体"/>
          <w:color w:val="000000"/>
        </w:rPr>
        <w:t>（5）确认澄清文件内容后，点击右上角【提交】；（注：供应商未对澄清文件签章，提交时，弹框提醒“澄清文件未签章，请进行签章操作”，如遇CA突发情况无法签章，供应商可点击【放弃签章并提交】提交澄清文件；反之则签章后再提交。）</w:t>
      </w:r>
    </w:p>
    <w:p>
      <w:pPr>
        <w:spacing w:line="400" w:lineRule="exact"/>
        <w:ind w:firstLine="420" w:firstLineChars="200"/>
        <w:rPr>
          <w:rFonts w:hint="eastAsia" w:ascii="宋体" w:hAnsi="宋体" w:cs="宋体"/>
          <w:color w:val="000000"/>
        </w:rPr>
      </w:pPr>
      <w:r>
        <w:rPr>
          <w:rFonts w:hint="eastAsia" w:ascii="宋体" w:hAnsi="宋体" w:cs="宋体"/>
          <w:color w:val="000000"/>
        </w:rPr>
        <w:t>（6）完成状态：供应商澄清文件提交成功后，在“询标澄清-全部”标签页下显示状态为“已澄清”。</w:t>
      </w:r>
    </w:p>
    <w:p>
      <w:pPr>
        <w:spacing w:line="400" w:lineRule="exact"/>
        <w:ind w:firstLine="420" w:firstLineChars="200"/>
        <w:rPr>
          <w:rFonts w:ascii="宋体" w:hAnsi="宋体" w:cs="宋体"/>
          <w:color w:val="000000"/>
        </w:rPr>
      </w:pPr>
      <w:r>
        <w:rPr>
          <w:rFonts w:hint="eastAsia" w:ascii="宋体" w:hAnsi="宋体" w:cs="宋体"/>
          <w:color w:val="000000"/>
        </w:rPr>
        <w:t>2.2.</w:t>
      </w:r>
      <w:r>
        <w:rPr>
          <w:rFonts w:ascii="宋体" w:hAnsi="宋体" w:cs="宋体"/>
          <w:color w:val="000000"/>
        </w:rPr>
        <w:t>3</w:t>
      </w:r>
      <w:r>
        <w:rPr>
          <w:rFonts w:hint="eastAsia" w:ascii="宋体" w:hAnsi="宋体" w:cs="宋体"/>
          <w:color w:val="000000"/>
        </w:rPr>
        <w:t>开标现场，供应商安排</w:t>
      </w:r>
      <w:r>
        <w:rPr>
          <w:rFonts w:hint="eastAsia" w:ascii="宋体" w:hAnsi="宋体"/>
          <w:color w:val="000000"/>
          <w:szCs w:val="21"/>
        </w:rPr>
        <w:t>法定代表人或授权代表到场的，则由</w:t>
      </w:r>
      <w:r>
        <w:rPr>
          <w:rFonts w:hint="eastAsia" w:ascii="宋体" w:hAnsi="宋体" w:cs="宋体"/>
          <w:color w:val="000000"/>
        </w:rPr>
        <w:t>评标委员会组长将问题汇总后向供应商发出书面“采购响应文件问题澄清通知”，供应商应对需要澄清的问题作书面回答，该书面澄清应当由</w:t>
      </w:r>
      <w:r>
        <w:rPr>
          <w:rFonts w:hint="eastAsia" w:ascii="宋体" w:hAnsi="宋体"/>
          <w:color w:val="000000"/>
          <w:szCs w:val="21"/>
        </w:rPr>
        <w:t>供应商的法定代表人或授权代表签字</w:t>
      </w:r>
      <w:r>
        <w:rPr>
          <w:rFonts w:hint="eastAsia" w:ascii="宋体" w:hAnsi="宋体" w:cs="宋体"/>
          <w:color w:val="000000"/>
        </w:rPr>
        <w:t>或者加盖供应商公章。书面澄清将作为投标文件内容的一部分，具有相应的法律效力。</w:t>
      </w:r>
    </w:p>
    <w:p>
      <w:pPr>
        <w:spacing w:line="400" w:lineRule="exact"/>
        <w:ind w:firstLine="420" w:firstLineChars="200"/>
        <w:jc w:val="left"/>
        <w:rPr>
          <w:rFonts w:ascii="宋体" w:hAnsi="宋体"/>
          <w:color w:val="000000"/>
          <w:szCs w:val="21"/>
        </w:rPr>
      </w:pPr>
      <w:r>
        <w:rPr>
          <w:rFonts w:hint="eastAsia" w:ascii="宋体" w:hAnsi="宋体" w:cs="宋体"/>
          <w:color w:val="000000"/>
        </w:rPr>
        <w:t>2.2.</w:t>
      </w:r>
      <w:r>
        <w:rPr>
          <w:rFonts w:ascii="宋体" w:hAnsi="宋体" w:cs="宋体"/>
          <w:color w:val="000000"/>
        </w:rPr>
        <w:t>4</w:t>
      </w:r>
      <w:r>
        <w:rPr>
          <w:rFonts w:hint="eastAsia" w:ascii="宋体" w:hAnsi="宋体" w:cs="宋体"/>
          <w:color w:val="000000"/>
        </w:rPr>
        <w:t>供应商未在截止时间前完成澄清，将被视作自动放弃。</w:t>
      </w:r>
    </w:p>
    <w:p>
      <w:pPr>
        <w:spacing w:line="400" w:lineRule="exact"/>
        <w:ind w:firstLine="422" w:firstLineChars="200"/>
        <w:jc w:val="left"/>
        <w:rPr>
          <w:rFonts w:ascii="宋体" w:hAnsi="宋体"/>
          <w:color w:val="000000"/>
          <w:szCs w:val="21"/>
        </w:rPr>
      </w:pPr>
      <w:r>
        <w:rPr>
          <w:rFonts w:hint="eastAsia" w:ascii="宋体" w:hAnsi="宋体"/>
          <w:b/>
          <w:bCs/>
          <w:color w:val="000000"/>
          <w:szCs w:val="21"/>
        </w:rPr>
        <w:t>2.3</w:t>
      </w:r>
      <w:r>
        <w:rPr>
          <w:rFonts w:hint="eastAsia" w:ascii="宋体" w:hAnsi="宋体"/>
          <w:b/>
          <w:bCs/>
          <w:color w:val="000000"/>
          <w:szCs w:val="21"/>
          <w:lang w:val="zh-CN"/>
        </w:rPr>
        <w:t>比较与评价：</w:t>
      </w:r>
      <w:r>
        <w:rPr>
          <w:rFonts w:hint="eastAsia" w:ascii="宋体" w:hAnsi="宋体"/>
          <w:color w:val="000000"/>
          <w:szCs w:val="21"/>
        </w:rPr>
        <w:t>评标委员会</w:t>
      </w:r>
      <w:r>
        <w:rPr>
          <w:rFonts w:hint="eastAsia" w:ascii="宋体" w:hAnsi="宋体"/>
          <w:szCs w:val="21"/>
        </w:rPr>
        <w:t>根据“附表</w:t>
      </w:r>
      <w:r>
        <w:rPr>
          <w:rFonts w:ascii="宋体" w:hAnsi="宋体"/>
          <w:szCs w:val="21"/>
        </w:rPr>
        <w:t>3</w:t>
      </w:r>
      <w:r>
        <w:rPr>
          <w:rFonts w:hint="eastAsia" w:ascii="宋体" w:hAnsi="宋体"/>
          <w:bCs/>
          <w:szCs w:val="21"/>
        </w:rPr>
        <w:t>技术和资信商务评分表</w:t>
      </w:r>
      <w:r>
        <w:rPr>
          <w:rFonts w:hint="eastAsia" w:ascii="宋体" w:hAnsi="宋体"/>
          <w:szCs w:val="21"/>
        </w:rPr>
        <w:t>”、“附表4价格评分表”的要求，</w:t>
      </w:r>
      <w:r>
        <w:rPr>
          <w:rFonts w:hint="eastAsia" w:ascii="宋体" w:hAnsi="宋体"/>
          <w:color w:val="000000"/>
          <w:szCs w:val="21"/>
          <w:lang w:val="zh-CN"/>
        </w:rPr>
        <w:t>对照投标文件的应答进行比较，判定其偏差性质和程度，</w:t>
      </w:r>
      <w:r>
        <w:rPr>
          <w:rFonts w:hint="eastAsia" w:ascii="宋体" w:hAnsi="宋体"/>
          <w:color w:val="000000"/>
          <w:szCs w:val="21"/>
        </w:rPr>
        <w:t>由评标委员会成员在分值范围内自行评分。供应商技术和资信商务得分为各评标委员会成员有效评分的算术平均值（小数点后保留二位数）。</w:t>
      </w:r>
    </w:p>
    <w:p>
      <w:pPr>
        <w:spacing w:line="400" w:lineRule="exact"/>
        <w:ind w:firstLine="420" w:firstLineChars="200"/>
        <w:jc w:val="left"/>
        <w:rPr>
          <w:rFonts w:ascii="宋体" w:hAnsi="宋体"/>
          <w:color w:val="000000"/>
          <w:szCs w:val="21"/>
        </w:rPr>
      </w:pPr>
      <w:r>
        <w:rPr>
          <w:rFonts w:hint="eastAsia" w:ascii="宋体" w:hAnsi="宋体"/>
          <w:color w:val="000000"/>
          <w:szCs w:val="21"/>
        </w:rPr>
        <w:t>2.3.1在评标过程中，发现的价格计算错误按下述原则修正：</w:t>
      </w:r>
    </w:p>
    <w:p>
      <w:pPr>
        <w:spacing w:line="400" w:lineRule="exact"/>
        <w:ind w:firstLine="420" w:firstLineChars="200"/>
        <w:jc w:val="left"/>
        <w:rPr>
          <w:rFonts w:ascii="宋体" w:hAnsi="宋体"/>
        </w:rPr>
      </w:pPr>
      <w:r>
        <w:rPr>
          <w:rFonts w:hint="eastAsia" w:ascii="宋体" w:hAnsi="宋体"/>
        </w:rPr>
        <w:t>（1）供应商应按招标文件要求认真填写《开标一览表》和《投标分项报价表》。</w:t>
      </w:r>
    </w:p>
    <w:p>
      <w:pPr>
        <w:spacing w:line="400" w:lineRule="exact"/>
        <w:ind w:firstLine="420" w:firstLineChars="200"/>
        <w:jc w:val="left"/>
        <w:rPr>
          <w:rFonts w:ascii="宋体" w:hAnsi="宋体"/>
        </w:rPr>
      </w:pPr>
      <w:r>
        <w:rPr>
          <w:rFonts w:hint="eastAsia" w:ascii="宋体" w:hAnsi="宋体"/>
        </w:rPr>
        <w:t>（2）投标文件中开标一览表内容与政采云系统“开标一览表”中录入的报价内容不一致的，以上传的签字盖章的投标文件中开标一览表为准；</w:t>
      </w:r>
    </w:p>
    <w:p>
      <w:pPr>
        <w:spacing w:line="400" w:lineRule="exact"/>
        <w:ind w:firstLine="420" w:firstLineChars="200"/>
        <w:jc w:val="left"/>
        <w:rPr>
          <w:rFonts w:ascii="宋体" w:hAnsi="宋体"/>
        </w:rPr>
      </w:pPr>
      <w:r>
        <w:rPr>
          <w:rFonts w:hint="eastAsia" w:ascii="宋体" w:hAnsi="宋体"/>
        </w:rPr>
        <w:t>（3）投标文件中开标一览表内容与投标文件中投标分项报价表内容不一致的，以开标一览表为准；</w:t>
      </w:r>
    </w:p>
    <w:p>
      <w:pPr>
        <w:spacing w:line="400" w:lineRule="exact"/>
        <w:ind w:firstLine="420" w:firstLineChars="200"/>
        <w:jc w:val="left"/>
        <w:rPr>
          <w:rFonts w:ascii="宋体" w:hAnsi="宋体"/>
        </w:rPr>
      </w:pPr>
      <w:r>
        <w:rPr>
          <w:rFonts w:hint="eastAsia" w:ascii="宋体" w:hAnsi="宋体"/>
        </w:rPr>
        <w:t>（4）投标文件的大写金额和小写金额不一致的，以大写金额为准；</w:t>
      </w:r>
    </w:p>
    <w:p>
      <w:pPr>
        <w:spacing w:line="400" w:lineRule="exact"/>
        <w:ind w:firstLine="420" w:firstLineChars="200"/>
        <w:jc w:val="left"/>
        <w:rPr>
          <w:rFonts w:ascii="宋体" w:hAnsi="宋体"/>
        </w:rPr>
      </w:pPr>
      <w:r>
        <w:rPr>
          <w:rFonts w:hint="eastAsia" w:ascii="宋体" w:hAnsi="宋体"/>
        </w:rPr>
        <w:t>（5）单价金额小数点有明显错位的，应以开标一览表的总价为准，并修改单价；</w:t>
      </w:r>
    </w:p>
    <w:p>
      <w:pPr>
        <w:spacing w:line="400" w:lineRule="exact"/>
        <w:ind w:firstLine="420" w:firstLineChars="200"/>
        <w:jc w:val="left"/>
        <w:rPr>
          <w:rFonts w:ascii="宋体" w:hAnsi="宋体"/>
        </w:rPr>
      </w:pPr>
      <w:r>
        <w:rPr>
          <w:rFonts w:hint="eastAsia" w:ascii="宋体" w:hAnsi="宋体"/>
        </w:rPr>
        <w:t>（6）总价金额与按单价汇总金额不一致的，以单价金额计算结果为准。</w:t>
      </w:r>
    </w:p>
    <w:p>
      <w:pPr>
        <w:spacing w:line="400" w:lineRule="exact"/>
        <w:ind w:firstLine="420" w:firstLineChars="200"/>
        <w:jc w:val="left"/>
        <w:rPr>
          <w:rFonts w:hint="eastAsia" w:ascii="宋体" w:hAnsi="宋体"/>
          <w:color w:val="000000"/>
        </w:rPr>
      </w:pPr>
      <w:r>
        <w:rPr>
          <w:rFonts w:ascii="宋体" w:hAnsi="宋体"/>
          <w:color w:val="000000"/>
        </w:rPr>
        <w:t>同时出现两种以上不一致的，按照上述顺序修正。评标价和中标价以修正后的价格为准。如供应商不接受按以上规则确定的评标价和中标价，则其投标将被拒绝。</w:t>
      </w:r>
      <w:r>
        <w:rPr>
          <w:rFonts w:hint="eastAsia" w:ascii="宋体" w:hAnsi="宋体"/>
          <w:color w:val="000000"/>
        </w:rPr>
        <w:t xml:space="preserve"> </w:t>
      </w:r>
    </w:p>
    <w:p>
      <w:pPr>
        <w:spacing w:line="400" w:lineRule="exact"/>
        <w:ind w:firstLine="420" w:firstLineChars="200"/>
        <w:jc w:val="left"/>
        <w:rPr>
          <w:rFonts w:ascii="宋体" w:hAnsi="宋体"/>
          <w:color w:val="000000"/>
        </w:rPr>
      </w:pPr>
      <w:r>
        <w:rPr>
          <w:rFonts w:hint="eastAsia" w:ascii="宋体" w:hAnsi="宋体"/>
          <w:color w:val="000000"/>
          <w:szCs w:val="21"/>
        </w:rPr>
        <w:t>2.3.2</w:t>
      </w:r>
      <w:r>
        <w:rPr>
          <w:rFonts w:hint="eastAsia" w:ascii="宋体" w:hAnsi="宋体"/>
          <w:color w:val="000000"/>
        </w:rPr>
        <w:t>提供相同品牌产品且通过资格性审查、符合性审查的不同供应商参加同一标项投标的，按一家供应商计算，评审后综合得分最高的同品牌供应商获得中标</w:t>
      </w:r>
      <w:r>
        <w:rPr>
          <w:rFonts w:hint="eastAsia" w:ascii="宋体" w:hAnsi="宋体"/>
          <w:color w:val="000000"/>
          <w:szCs w:val="21"/>
        </w:rPr>
        <w:t>候选</w:t>
      </w:r>
      <w:r>
        <w:rPr>
          <w:rFonts w:hint="eastAsia" w:ascii="宋体" w:hAnsi="宋体"/>
          <w:color w:val="000000"/>
        </w:rPr>
        <w:t>人推荐资格；综合得分相同的，由评标委员会采取随机抽取方式确定，其他同品牌供应商不作为中标候选人。</w:t>
      </w:r>
    </w:p>
    <w:p>
      <w:pPr>
        <w:spacing w:line="400" w:lineRule="exact"/>
        <w:ind w:firstLine="420" w:firstLineChars="200"/>
        <w:jc w:val="left"/>
        <w:rPr>
          <w:rFonts w:ascii="宋体" w:hAnsi="宋体"/>
          <w:color w:val="000000"/>
          <w:szCs w:val="21"/>
        </w:rPr>
      </w:pPr>
      <w:r>
        <w:rPr>
          <w:rFonts w:hint="eastAsia" w:ascii="宋体" w:hAnsi="宋体"/>
          <w:color w:val="000000"/>
        </w:rPr>
        <w:t>非单一产品采购项目，多家供应商提供的核心产品品牌相同的，按上述规定处理。</w:t>
      </w:r>
    </w:p>
    <w:p>
      <w:pPr>
        <w:spacing w:line="400" w:lineRule="exact"/>
        <w:ind w:firstLine="420" w:firstLineChars="200"/>
        <w:jc w:val="left"/>
        <w:rPr>
          <w:rFonts w:ascii="宋体" w:hAnsi="宋体"/>
          <w:color w:val="000000"/>
          <w:szCs w:val="21"/>
        </w:rPr>
      </w:pPr>
      <w:r>
        <w:rPr>
          <w:rFonts w:ascii="宋体" w:hAnsi="宋体"/>
          <w:color w:val="000000"/>
          <w:szCs w:val="21"/>
        </w:rPr>
        <w:t>2.</w:t>
      </w:r>
      <w:r>
        <w:rPr>
          <w:rFonts w:hint="eastAsia" w:ascii="宋体" w:hAnsi="宋体"/>
          <w:color w:val="000000"/>
          <w:szCs w:val="21"/>
        </w:rPr>
        <w:t>3</w:t>
      </w:r>
      <w:r>
        <w:rPr>
          <w:rFonts w:ascii="宋体" w:hAnsi="宋体"/>
          <w:color w:val="000000"/>
          <w:szCs w:val="21"/>
        </w:rPr>
        <w:t>.</w:t>
      </w:r>
      <w:r>
        <w:rPr>
          <w:rFonts w:hint="eastAsia" w:ascii="宋体" w:hAnsi="宋体"/>
          <w:color w:val="000000"/>
          <w:szCs w:val="21"/>
        </w:rPr>
        <w:t>3评标委员会根据“</w:t>
      </w:r>
      <w:r>
        <w:rPr>
          <w:rFonts w:hint="eastAsia" w:ascii="宋体" w:hAnsi="宋体"/>
          <w:szCs w:val="21"/>
        </w:rPr>
        <w:t>附表4价格</w:t>
      </w:r>
      <w:r>
        <w:rPr>
          <w:rFonts w:hint="eastAsia" w:ascii="宋体" w:hAnsi="宋体"/>
          <w:color w:val="000000"/>
          <w:szCs w:val="21"/>
        </w:rPr>
        <w:t>评分表”的规定，计算供应商报价得分（小数点后保留二位数）。</w:t>
      </w:r>
    </w:p>
    <w:p>
      <w:pPr>
        <w:spacing w:line="400" w:lineRule="exact"/>
        <w:ind w:firstLine="420" w:firstLineChars="200"/>
        <w:jc w:val="left"/>
        <w:rPr>
          <w:rFonts w:ascii="宋体" w:hAnsi="宋体"/>
          <w:color w:val="000000"/>
          <w:szCs w:val="21"/>
        </w:rPr>
      </w:pPr>
      <w:r>
        <w:rPr>
          <w:rFonts w:ascii="宋体" w:hAnsi="宋体"/>
          <w:color w:val="000000"/>
          <w:szCs w:val="21"/>
        </w:rPr>
        <w:t>2.</w:t>
      </w:r>
      <w:r>
        <w:rPr>
          <w:rFonts w:hint="eastAsia" w:ascii="宋体" w:hAnsi="宋体"/>
          <w:color w:val="000000"/>
          <w:szCs w:val="21"/>
        </w:rPr>
        <w:t>3</w:t>
      </w:r>
      <w:r>
        <w:rPr>
          <w:rFonts w:ascii="宋体" w:hAnsi="宋体"/>
          <w:color w:val="000000"/>
          <w:szCs w:val="21"/>
        </w:rPr>
        <w:t>.</w:t>
      </w:r>
      <w:r>
        <w:rPr>
          <w:rFonts w:hint="eastAsia" w:ascii="宋体" w:hAnsi="宋体"/>
          <w:color w:val="000000"/>
          <w:szCs w:val="21"/>
        </w:rPr>
        <w:t>4综合评估：供应商的综合得分为技术和资信商务得分与报价得分之和。</w:t>
      </w:r>
    </w:p>
    <w:p>
      <w:pPr>
        <w:spacing w:line="400" w:lineRule="exact"/>
        <w:ind w:firstLine="420" w:firstLineChars="200"/>
        <w:jc w:val="left"/>
        <w:rPr>
          <w:rFonts w:hint="eastAsia" w:ascii="宋体" w:hAnsi="宋体"/>
          <w:color w:val="000000"/>
          <w:szCs w:val="21"/>
        </w:rPr>
      </w:pPr>
      <w:r>
        <w:rPr>
          <w:rFonts w:ascii="宋体" w:hAnsi="宋体"/>
          <w:color w:val="000000"/>
          <w:szCs w:val="21"/>
        </w:rPr>
        <w:t>2.</w:t>
      </w:r>
      <w:r>
        <w:rPr>
          <w:rFonts w:hint="eastAsia" w:ascii="宋体" w:hAnsi="宋体"/>
          <w:color w:val="000000"/>
          <w:szCs w:val="21"/>
        </w:rPr>
        <w:t>3</w:t>
      </w:r>
      <w:r>
        <w:rPr>
          <w:rFonts w:ascii="宋体" w:hAnsi="宋体"/>
          <w:color w:val="000000"/>
          <w:szCs w:val="21"/>
        </w:rPr>
        <w:t>.</w:t>
      </w:r>
      <w:r>
        <w:rPr>
          <w:rFonts w:hint="eastAsia" w:ascii="宋体" w:hAnsi="宋体"/>
          <w:color w:val="000000"/>
          <w:szCs w:val="21"/>
        </w:rPr>
        <w:t>5推荐中标候选人：评标委员会按综合得分由高到低的排序，</w:t>
      </w:r>
      <w:r>
        <w:rPr>
          <w:rFonts w:hint="eastAsia" w:ascii="宋体" w:hAnsi="宋体" w:cs="宋体"/>
          <w:szCs w:val="21"/>
        </w:rPr>
        <w:t>推荐排序前2名的投标人依次为第一、第二中标候选人</w:t>
      </w:r>
      <w:r>
        <w:rPr>
          <w:rFonts w:hint="eastAsia" w:ascii="宋体" w:hAnsi="宋体"/>
          <w:color w:val="000000"/>
          <w:szCs w:val="21"/>
        </w:rPr>
        <w:t>。若供应商的综合得分相等，则投标报价低者列前；若投标报价也相同时，采取随机抽签的方式确定排序。</w:t>
      </w:r>
    </w:p>
    <w:p>
      <w:pPr>
        <w:spacing w:line="400" w:lineRule="exact"/>
        <w:ind w:firstLine="422" w:firstLineChars="200"/>
        <w:jc w:val="left"/>
        <w:rPr>
          <w:rFonts w:ascii="宋体" w:hAnsi="宋体"/>
          <w:b/>
          <w:color w:val="000000"/>
          <w:szCs w:val="21"/>
        </w:rPr>
      </w:pPr>
      <w:r>
        <w:rPr>
          <w:rFonts w:ascii="宋体" w:hAnsi="宋体"/>
          <w:b/>
          <w:color w:val="000000"/>
          <w:szCs w:val="21"/>
        </w:rPr>
        <w:t>2.</w:t>
      </w:r>
      <w:r>
        <w:rPr>
          <w:rFonts w:hint="eastAsia" w:ascii="宋体" w:hAnsi="宋体"/>
          <w:b/>
          <w:color w:val="000000"/>
          <w:szCs w:val="21"/>
        </w:rPr>
        <w:t>4确定中标供应商</w:t>
      </w:r>
    </w:p>
    <w:p>
      <w:pPr>
        <w:spacing w:line="400" w:lineRule="exact"/>
        <w:ind w:firstLine="420" w:firstLineChars="200"/>
        <w:jc w:val="left"/>
        <w:rPr>
          <w:rFonts w:ascii="宋体" w:hAnsi="宋体"/>
          <w:color w:val="000000"/>
          <w:szCs w:val="21"/>
        </w:rPr>
      </w:pPr>
      <w:r>
        <w:rPr>
          <w:rFonts w:hint="eastAsia" w:ascii="宋体" w:hAnsi="宋体"/>
          <w:color w:val="000000"/>
          <w:szCs w:val="21"/>
        </w:rPr>
        <w:t>代理机构应当自评审结束之日起</w:t>
      </w:r>
      <w:r>
        <w:rPr>
          <w:rFonts w:ascii="宋体" w:hAnsi="宋体"/>
          <w:color w:val="000000"/>
          <w:szCs w:val="21"/>
        </w:rPr>
        <w:t>2</w:t>
      </w:r>
      <w:r>
        <w:rPr>
          <w:rFonts w:hint="eastAsia" w:ascii="宋体" w:hAnsi="宋体"/>
          <w:color w:val="000000"/>
          <w:szCs w:val="21"/>
        </w:rPr>
        <w:t>个工作日内将评审报告送交采购人。采购人应当自收到评审报告之日起</w:t>
      </w:r>
      <w:r>
        <w:rPr>
          <w:rFonts w:ascii="宋体" w:hAnsi="宋体"/>
          <w:color w:val="000000"/>
          <w:szCs w:val="21"/>
        </w:rPr>
        <w:t>5</w:t>
      </w:r>
      <w:r>
        <w:rPr>
          <w:rFonts w:hint="eastAsia" w:ascii="宋体" w:hAnsi="宋体"/>
          <w:color w:val="000000"/>
          <w:szCs w:val="21"/>
        </w:rPr>
        <w:t>个工作日内在评审报告推荐的中标</w:t>
      </w:r>
      <w:r>
        <w:rPr>
          <w:rFonts w:hint="eastAsia" w:ascii="宋体" w:hAnsi="宋体"/>
          <w:szCs w:val="21"/>
        </w:rPr>
        <w:t>候选人中按顺</w:t>
      </w:r>
      <w:r>
        <w:rPr>
          <w:rFonts w:hint="eastAsia" w:ascii="宋体" w:hAnsi="宋体"/>
          <w:color w:val="000000"/>
          <w:szCs w:val="21"/>
        </w:rPr>
        <w:t>序确定1名中标供应商。中标供应商因不可抗力或者自身原因不能履行政府采购合同的，采购人可以按照评审报告推荐的下一中标候选人为中标供应商或重新招标。</w:t>
      </w:r>
    </w:p>
    <w:p>
      <w:pPr>
        <w:spacing w:line="400" w:lineRule="exact"/>
        <w:ind w:firstLine="211" w:firstLineChars="100"/>
        <w:jc w:val="left"/>
        <w:rPr>
          <w:rFonts w:ascii="宋体" w:hAnsi="宋体"/>
          <w:color w:val="000000"/>
          <w:szCs w:val="21"/>
        </w:rPr>
      </w:pPr>
      <w:r>
        <w:rPr>
          <w:rFonts w:hint="eastAsia" w:ascii="宋体" w:hAnsi="宋体"/>
          <w:b/>
          <w:color w:val="000000"/>
          <w:szCs w:val="21"/>
        </w:rPr>
        <w:t>三、特别声明：价格是评标的重要因素之一，但最低价不是中标的唯一依据。</w:t>
      </w:r>
    </w:p>
    <w:p>
      <w:pPr>
        <w:spacing w:line="400" w:lineRule="exact"/>
        <w:ind w:firstLine="211" w:firstLineChars="100"/>
        <w:jc w:val="left"/>
        <w:rPr>
          <w:rFonts w:ascii="宋体" w:hAnsi="宋体"/>
          <w:b/>
          <w:color w:val="000000"/>
          <w:szCs w:val="21"/>
        </w:rPr>
      </w:pPr>
      <w:r>
        <w:rPr>
          <w:rFonts w:hint="eastAsia" w:ascii="宋体" w:hAnsi="宋体"/>
          <w:b/>
          <w:color w:val="000000"/>
          <w:szCs w:val="21"/>
        </w:rPr>
        <w:t>四、重新招标</w:t>
      </w:r>
    </w:p>
    <w:p>
      <w:pPr>
        <w:spacing w:line="400" w:lineRule="exact"/>
        <w:ind w:firstLine="210" w:firstLineChars="100"/>
        <w:rPr>
          <w:rFonts w:ascii="宋体" w:hAnsi="宋体"/>
          <w:color w:val="000000"/>
          <w:szCs w:val="21"/>
        </w:rPr>
      </w:pPr>
      <w:r>
        <w:rPr>
          <w:rFonts w:hint="eastAsia" w:ascii="宋体" w:hAnsi="宋体"/>
          <w:color w:val="000000"/>
          <w:szCs w:val="21"/>
        </w:rPr>
        <w:t>有下列情形之一的，采购人将重新招标：</w:t>
      </w:r>
    </w:p>
    <w:p>
      <w:pPr>
        <w:spacing w:line="400" w:lineRule="exact"/>
        <w:ind w:firstLine="420" w:firstLineChars="200"/>
        <w:rPr>
          <w:rFonts w:ascii="宋体" w:hAnsi="宋体"/>
          <w:color w:val="000000"/>
          <w:szCs w:val="21"/>
        </w:rPr>
      </w:pPr>
      <w:r>
        <w:rPr>
          <w:rFonts w:hint="eastAsia" w:ascii="宋体" w:hAnsi="宋体"/>
          <w:color w:val="000000"/>
          <w:szCs w:val="21"/>
        </w:rPr>
        <w:t>4</w:t>
      </w:r>
      <w:r>
        <w:rPr>
          <w:rFonts w:ascii="宋体" w:hAnsi="宋体"/>
          <w:color w:val="000000"/>
          <w:szCs w:val="21"/>
        </w:rPr>
        <w:t>.1</w:t>
      </w:r>
      <w:r>
        <w:rPr>
          <w:rFonts w:hint="eastAsia" w:ascii="宋体" w:hAnsi="宋体"/>
          <w:color w:val="000000"/>
          <w:szCs w:val="21"/>
        </w:rPr>
        <w:t>投标截止时间止，供应商少于</w:t>
      </w:r>
      <w:r>
        <w:rPr>
          <w:rFonts w:ascii="宋体" w:hAnsi="宋体"/>
          <w:color w:val="000000"/>
          <w:szCs w:val="21"/>
        </w:rPr>
        <w:t>3</w:t>
      </w:r>
      <w:r>
        <w:rPr>
          <w:rFonts w:hint="eastAsia" w:ascii="宋体" w:hAnsi="宋体"/>
          <w:color w:val="000000"/>
          <w:szCs w:val="21"/>
        </w:rPr>
        <w:t>个的；</w:t>
      </w:r>
    </w:p>
    <w:p>
      <w:pPr>
        <w:spacing w:line="400" w:lineRule="exact"/>
        <w:ind w:firstLine="420" w:firstLineChars="200"/>
        <w:rPr>
          <w:rFonts w:ascii="宋体" w:hAnsi="宋体"/>
          <w:color w:val="000000"/>
          <w:szCs w:val="21"/>
        </w:rPr>
      </w:pPr>
      <w:r>
        <w:rPr>
          <w:rFonts w:hint="eastAsia" w:ascii="宋体" w:hAnsi="宋体"/>
          <w:color w:val="000000"/>
          <w:szCs w:val="21"/>
        </w:rPr>
        <w:t>4</w:t>
      </w:r>
      <w:r>
        <w:rPr>
          <w:rFonts w:ascii="宋体" w:hAnsi="宋体"/>
          <w:color w:val="000000"/>
          <w:szCs w:val="21"/>
        </w:rPr>
        <w:t>.2</w:t>
      </w:r>
      <w:r>
        <w:rPr>
          <w:rFonts w:hint="eastAsia" w:ascii="宋体" w:hAnsi="宋体"/>
          <w:color w:val="000000"/>
          <w:szCs w:val="21"/>
        </w:rPr>
        <w:t>评标委员会评标过程中，有效供应商少于</w:t>
      </w:r>
      <w:r>
        <w:rPr>
          <w:rFonts w:ascii="宋体" w:hAnsi="宋体"/>
          <w:color w:val="000000"/>
          <w:szCs w:val="21"/>
        </w:rPr>
        <w:t>3</w:t>
      </w:r>
      <w:r>
        <w:rPr>
          <w:rFonts w:hint="eastAsia" w:ascii="宋体" w:hAnsi="宋体"/>
          <w:color w:val="000000"/>
          <w:szCs w:val="21"/>
        </w:rPr>
        <w:t>个的；</w:t>
      </w:r>
    </w:p>
    <w:p>
      <w:pPr>
        <w:widowControl/>
        <w:spacing w:line="390" w:lineRule="exact"/>
        <w:ind w:firstLine="420" w:firstLineChars="200"/>
        <w:jc w:val="left"/>
        <w:rPr>
          <w:rFonts w:hint="eastAsia" w:ascii="宋体" w:hAnsi="宋体"/>
          <w:color w:val="000000"/>
          <w:szCs w:val="21"/>
        </w:rPr>
      </w:pPr>
      <w:r>
        <w:rPr>
          <w:rFonts w:hint="eastAsia" w:ascii="宋体" w:hAnsi="宋体"/>
          <w:color w:val="000000"/>
          <w:szCs w:val="21"/>
        </w:rPr>
        <w:t>4</w:t>
      </w:r>
      <w:r>
        <w:rPr>
          <w:rFonts w:ascii="宋体" w:hAnsi="宋体"/>
          <w:color w:val="000000"/>
          <w:szCs w:val="21"/>
        </w:rPr>
        <w:t>.3</w:t>
      </w:r>
      <w:r>
        <w:rPr>
          <w:rFonts w:hint="eastAsia" w:ascii="宋体" w:hAnsi="宋体"/>
          <w:color w:val="000000"/>
          <w:szCs w:val="21"/>
        </w:rPr>
        <w:t>评标委员会发现招标文件存在歧义、重大缺陷导致评标工作无法进行，或者招标文件内容违反国家有关强制性规定的，应当停止评标工作，与采购人或者代理机构沟通并作书面记录。采购人或者代理机构确认后，应当修改招标文件，重新组织招标活动。</w:t>
      </w:r>
    </w:p>
    <w:p>
      <w:pPr>
        <w:widowControl/>
        <w:spacing w:line="390" w:lineRule="exact"/>
        <w:ind w:firstLine="211" w:firstLineChars="100"/>
        <w:jc w:val="left"/>
        <w:rPr>
          <w:rFonts w:hint="eastAsia" w:ascii="宋体" w:hAnsi="宋体"/>
          <w:b/>
          <w:color w:val="000000"/>
          <w:szCs w:val="21"/>
        </w:rPr>
      </w:pPr>
      <w:r>
        <w:rPr>
          <w:rFonts w:hint="eastAsia" w:ascii="宋体" w:hAnsi="宋体"/>
          <w:b/>
          <w:color w:val="000000"/>
          <w:szCs w:val="21"/>
        </w:rPr>
        <w:t>五、无效标的情形</w:t>
      </w:r>
    </w:p>
    <w:p>
      <w:pPr>
        <w:spacing w:line="390" w:lineRule="exact"/>
        <w:ind w:firstLine="210" w:firstLineChars="100"/>
        <w:rPr>
          <w:rFonts w:hint="eastAsia" w:ascii="宋体" w:hAnsi="宋体"/>
          <w:szCs w:val="21"/>
        </w:rPr>
      </w:pPr>
      <w:r>
        <w:rPr>
          <w:rFonts w:hint="eastAsia" w:ascii="宋体" w:hAnsi="宋体"/>
          <w:szCs w:val="21"/>
        </w:rPr>
        <w:t>投标文件存在下列情形之一的，其投标无效：</w:t>
      </w:r>
    </w:p>
    <w:p>
      <w:pPr>
        <w:spacing w:line="390" w:lineRule="exact"/>
        <w:ind w:firstLine="210" w:firstLineChars="100"/>
        <w:rPr>
          <w:rFonts w:hint="eastAsia" w:ascii="宋体" w:hAnsi="宋体"/>
          <w:szCs w:val="21"/>
        </w:rPr>
      </w:pPr>
      <w:r>
        <w:rPr>
          <w:rFonts w:hint="eastAsia" w:ascii="宋体" w:hAnsi="宋体"/>
          <w:szCs w:val="21"/>
        </w:rPr>
        <w:t>5.1投标文件未按采购文件要求签署、盖章的；</w:t>
      </w:r>
    </w:p>
    <w:p>
      <w:pPr>
        <w:spacing w:line="390" w:lineRule="exact"/>
        <w:ind w:firstLine="210" w:firstLineChars="100"/>
        <w:rPr>
          <w:rFonts w:hint="eastAsia" w:ascii="宋体" w:hAnsi="宋体"/>
          <w:szCs w:val="21"/>
        </w:rPr>
      </w:pPr>
      <w:r>
        <w:rPr>
          <w:rFonts w:hint="eastAsia" w:ascii="宋体" w:hAnsi="宋体"/>
          <w:szCs w:val="21"/>
        </w:rPr>
        <w:t>5.2不具备采购文件中规定的资格要求的；资格证明文件未按照采购文件要求提供或不全或虽提供但格式、签署与盖章等不符合采购文件要求的；</w:t>
      </w:r>
    </w:p>
    <w:p>
      <w:pPr>
        <w:spacing w:line="390" w:lineRule="exact"/>
        <w:ind w:firstLine="210" w:firstLineChars="100"/>
        <w:rPr>
          <w:rFonts w:hint="eastAsia" w:ascii="宋体" w:hAnsi="宋体"/>
          <w:szCs w:val="21"/>
        </w:rPr>
      </w:pPr>
      <w:r>
        <w:rPr>
          <w:rFonts w:hint="eastAsia" w:ascii="宋体" w:hAnsi="宋体"/>
          <w:szCs w:val="21"/>
        </w:rPr>
        <w:t>5.3投标报价超过采购文件中规定的预算金额或者最高限价的；</w:t>
      </w:r>
    </w:p>
    <w:p>
      <w:pPr>
        <w:spacing w:line="390" w:lineRule="exact"/>
        <w:ind w:firstLine="210" w:firstLineChars="100"/>
        <w:rPr>
          <w:rFonts w:hint="eastAsia" w:ascii="宋体" w:hAnsi="宋体"/>
          <w:szCs w:val="21"/>
        </w:rPr>
      </w:pPr>
      <w:r>
        <w:rPr>
          <w:rFonts w:hint="eastAsia" w:ascii="宋体" w:hAnsi="宋体"/>
          <w:szCs w:val="21"/>
        </w:rPr>
        <w:t>5.4投标文件含有采购人不能接受的附加条件的；</w:t>
      </w:r>
    </w:p>
    <w:p>
      <w:pPr>
        <w:spacing w:line="390" w:lineRule="exact"/>
        <w:ind w:firstLine="210" w:firstLineChars="100"/>
        <w:rPr>
          <w:rFonts w:hint="eastAsia" w:ascii="宋体" w:hAnsi="宋体"/>
          <w:szCs w:val="21"/>
        </w:rPr>
      </w:pPr>
      <w:r>
        <w:rPr>
          <w:rFonts w:hint="eastAsia" w:ascii="宋体" w:hAnsi="宋体"/>
          <w:szCs w:val="21"/>
        </w:rPr>
        <w:t>5.5投标有效期不符合采购文件要求的；</w:t>
      </w:r>
    </w:p>
    <w:p>
      <w:pPr>
        <w:spacing w:line="390" w:lineRule="exact"/>
        <w:ind w:firstLine="210" w:firstLineChars="100"/>
        <w:rPr>
          <w:rFonts w:hint="eastAsia" w:ascii="宋体" w:hAnsi="宋体"/>
          <w:szCs w:val="21"/>
        </w:rPr>
      </w:pPr>
      <w:r>
        <w:rPr>
          <w:rFonts w:hint="eastAsia" w:ascii="宋体" w:hAnsi="宋体"/>
          <w:szCs w:val="21"/>
        </w:rPr>
        <w:t>5.6投标文件数量不符合采购文件要求的；</w:t>
      </w:r>
    </w:p>
    <w:p>
      <w:pPr>
        <w:spacing w:line="390" w:lineRule="exact"/>
        <w:ind w:firstLine="210" w:firstLineChars="100"/>
        <w:rPr>
          <w:rFonts w:hint="eastAsia" w:ascii="宋体" w:hAnsi="宋体"/>
          <w:szCs w:val="21"/>
        </w:rPr>
      </w:pPr>
      <w:r>
        <w:rPr>
          <w:rFonts w:hint="eastAsia" w:ascii="宋体" w:hAnsi="宋体"/>
          <w:szCs w:val="21"/>
        </w:rPr>
        <w:t>5.7采购文件中标注有“★”号的条款为“实质性要求”条款，投标文件对这些条款有负偏离的；或未标注有“★”号的条款负偏离达到或超过采购文件规定数量的；</w:t>
      </w:r>
    </w:p>
    <w:p>
      <w:pPr>
        <w:spacing w:line="390" w:lineRule="exact"/>
        <w:ind w:firstLine="210" w:firstLineChars="100"/>
        <w:rPr>
          <w:rFonts w:hint="eastAsia" w:ascii="宋体" w:hAnsi="宋体"/>
          <w:szCs w:val="21"/>
        </w:rPr>
      </w:pPr>
      <w:r>
        <w:rPr>
          <w:rFonts w:hint="eastAsia" w:ascii="宋体" w:hAnsi="宋体"/>
          <w:szCs w:val="21"/>
        </w:rPr>
        <w:t>5.8商务条款响应表或技术条款响应表有缺项、漏项且评标委员会认定该缺项、漏项使得投标文件没有对采购文件的要求作出实质性响应的；</w:t>
      </w:r>
    </w:p>
    <w:p>
      <w:pPr>
        <w:spacing w:line="390" w:lineRule="exact"/>
        <w:ind w:firstLine="210" w:firstLineChars="100"/>
        <w:rPr>
          <w:rFonts w:hint="eastAsia" w:ascii="宋体" w:hAnsi="宋体"/>
          <w:szCs w:val="21"/>
        </w:rPr>
      </w:pPr>
      <w:r>
        <w:rPr>
          <w:rFonts w:hint="eastAsia" w:ascii="宋体" w:hAnsi="宋体"/>
          <w:szCs w:val="21"/>
        </w:rPr>
        <w:t>5.9符合采购文件“评标标准”规定的无效投标条件的；</w:t>
      </w:r>
    </w:p>
    <w:p>
      <w:pPr>
        <w:spacing w:line="390" w:lineRule="exact"/>
        <w:ind w:firstLine="210" w:firstLineChars="100"/>
        <w:rPr>
          <w:rFonts w:hint="eastAsia" w:ascii="宋体" w:hAnsi="宋体"/>
          <w:szCs w:val="21"/>
        </w:rPr>
      </w:pPr>
      <w:r>
        <w:rPr>
          <w:rFonts w:hint="eastAsia" w:ascii="宋体" w:hAnsi="宋体"/>
          <w:szCs w:val="21"/>
        </w:rPr>
        <w:t>5.10评标委员会认为投标人的报价明显低于其他通过符合性审查投标人的报价，有可能影响产品质量或者不能诚信履约的，投标人不能证明其报价合理性的；</w:t>
      </w:r>
    </w:p>
    <w:p>
      <w:pPr>
        <w:spacing w:line="390" w:lineRule="exact"/>
        <w:ind w:firstLine="210" w:firstLineChars="100"/>
        <w:rPr>
          <w:rFonts w:hint="eastAsia" w:ascii="宋体" w:hAnsi="宋体"/>
          <w:szCs w:val="21"/>
        </w:rPr>
      </w:pPr>
      <w:r>
        <w:rPr>
          <w:rFonts w:hint="eastAsia" w:ascii="宋体" w:hAnsi="宋体"/>
          <w:szCs w:val="21"/>
        </w:rPr>
        <w:t>5.11评标委员会对投标人投标文件报价有修正的，投标人不予确认的；</w:t>
      </w:r>
    </w:p>
    <w:p>
      <w:pPr>
        <w:spacing w:line="390" w:lineRule="exact"/>
        <w:ind w:firstLine="210" w:firstLineChars="100"/>
        <w:rPr>
          <w:rFonts w:hint="eastAsia" w:ascii="宋体" w:hAnsi="宋体"/>
          <w:szCs w:val="21"/>
        </w:rPr>
      </w:pPr>
      <w:r>
        <w:rPr>
          <w:rFonts w:hint="eastAsia" w:ascii="宋体" w:hAnsi="宋体"/>
          <w:szCs w:val="21"/>
        </w:rPr>
        <w:t xml:space="preserve">5.12 </w:t>
      </w:r>
      <w:r>
        <w:rPr>
          <w:rFonts w:ascii="宋体" w:hAnsi="宋体"/>
          <w:szCs w:val="21"/>
        </w:rPr>
        <w:t>有两家或两家以上供应商的单位负责人为同一人或者存在直接控股、管理关系的</w:t>
      </w:r>
      <w:r>
        <w:rPr>
          <w:rFonts w:hint="eastAsia" w:ascii="宋体" w:hAnsi="宋体"/>
          <w:szCs w:val="21"/>
        </w:rPr>
        <w:t>投标人参与同一子包投标的；</w:t>
      </w:r>
    </w:p>
    <w:p>
      <w:pPr>
        <w:spacing w:line="390" w:lineRule="exact"/>
        <w:ind w:firstLine="210" w:firstLineChars="100"/>
        <w:rPr>
          <w:rFonts w:hint="eastAsia" w:ascii="宋体" w:hAnsi="宋体"/>
          <w:szCs w:val="21"/>
        </w:rPr>
      </w:pPr>
      <w:r>
        <w:rPr>
          <w:rFonts w:hint="eastAsia" w:ascii="宋体" w:hAnsi="宋体"/>
          <w:szCs w:val="21"/>
        </w:rPr>
        <w:t>5.13为本项目提供整体设计、规范编制或者项目管理、监理、检测等服务的供应商的投标；</w:t>
      </w:r>
    </w:p>
    <w:p>
      <w:pPr>
        <w:spacing w:line="390" w:lineRule="exact"/>
        <w:ind w:firstLine="210" w:firstLineChars="100"/>
        <w:rPr>
          <w:rFonts w:ascii="宋体" w:hAnsi="宋体"/>
          <w:szCs w:val="21"/>
        </w:rPr>
      </w:pPr>
      <w:r>
        <w:rPr>
          <w:rFonts w:hint="eastAsia" w:ascii="宋体" w:hAnsi="宋体"/>
          <w:szCs w:val="21"/>
        </w:rPr>
        <w:t>5.14评标委员会经过审查，认定投标人虚假应标、串通投标的；</w:t>
      </w:r>
    </w:p>
    <w:p>
      <w:pPr>
        <w:widowControl/>
        <w:spacing w:line="390" w:lineRule="exact"/>
        <w:ind w:firstLine="210" w:firstLineChars="100"/>
        <w:jc w:val="left"/>
        <w:rPr>
          <w:rFonts w:hint="eastAsia" w:ascii="宋体" w:hAnsi="宋体"/>
          <w:color w:val="000000"/>
          <w:szCs w:val="21"/>
        </w:rPr>
      </w:pPr>
      <w:r>
        <w:rPr>
          <w:rFonts w:hint="eastAsia" w:ascii="宋体" w:hAnsi="宋体"/>
          <w:szCs w:val="21"/>
        </w:rPr>
        <w:t>5.15法律、法规和本项目采购文件规定的其他无效情形。</w:t>
      </w:r>
    </w:p>
    <w:p>
      <w:pPr>
        <w:spacing w:line="400" w:lineRule="exact"/>
        <w:rPr>
          <w:rFonts w:hint="eastAsia" w:ascii="宋体" w:hAnsi="宋体"/>
          <w:color w:val="000000"/>
          <w:szCs w:val="21"/>
        </w:rPr>
      </w:pPr>
      <w:r>
        <w:rPr>
          <w:rFonts w:ascii="宋体" w:hAnsi="宋体"/>
          <w:color w:val="000000"/>
          <w:sz w:val="24"/>
          <w:szCs w:val="24"/>
        </w:rPr>
        <w:br w:type="page"/>
      </w:r>
      <w:r>
        <w:rPr>
          <w:rFonts w:hint="eastAsia" w:ascii="宋体" w:hAnsi="宋体"/>
          <w:color w:val="000000"/>
          <w:szCs w:val="21"/>
        </w:rPr>
        <w:t>附表</w:t>
      </w:r>
      <w:r>
        <w:rPr>
          <w:rFonts w:ascii="宋体" w:hAnsi="宋体"/>
          <w:color w:val="000000"/>
          <w:szCs w:val="21"/>
        </w:rPr>
        <w:t>1</w:t>
      </w:r>
      <w:r>
        <w:rPr>
          <w:rFonts w:hint="eastAsia" w:ascii="宋体" w:hAnsi="宋体"/>
          <w:color w:val="000000"/>
          <w:szCs w:val="21"/>
        </w:rPr>
        <w:t xml:space="preserve">：                           </w:t>
      </w:r>
    </w:p>
    <w:p>
      <w:pPr>
        <w:spacing w:line="400" w:lineRule="exact"/>
        <w:jc w:val="center"/>
        <w:rPr>
          <w:rFonts w:ascii="宋体" w:hAnsi="宋体"/>
          <w:b/>
          <w:color w:val="000000"/>
          <w:szCs w:val="21"/>
        </w:rPr>
      </w:pPr>
      <w:r>
        <w:rPr>
          <w:rFonts w:hint="eastAsia" w:ascii="宋体" w:hAnsi="宋体"/>
          <w:b/>
          <w:color w:val="000000"/>
          <w:szCs w:val="21"/>
        </w:rPr>
        <w:t>资格性审查表</w:t>
      </w:r>
    </w:p>
    <w:tbl>
      <w:tblPr>
        <w:tblStyle w:val="44"/>
        <w:tblW w:w="100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220"/>
        <w:gridCol w:w="6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pacing w:line="400" w:lineRule="exact"/>
              <w:jc w:val="center"/>
              <w:rPr>
                <w:rFonts w:ascii="宋体" w:hAnsi="宋体"/>
                <w:b/>
                <w:color w:val="000000"/>
                <w:szCs w:val="21"/>
              </w:rPr>
            </w:pPr>
            <w:r>
              <w:rPr>
                <w:rFonts w:ascii="宋体" w:hAnsi="宋体"/>
                <w:b/>
                <w:color w:val="000000"/>
                <w:szCs w:val="21"/>
              </w:rPr>
              <w:t>序号</w:t>
            </w:r>
          </w:p>
        </w:tc>
        <w:tc>
          <w:tcPr>
            <w:tcW w:w="3220" w:type="dxa"/>
            <w:noWrap w:val="0"/>
            <w:vAlign w:val="center"/>
          </w:tcPr>
          <w:p>
            <w:pPr>
              <w:spacing w:line="400" w:lineRule="exact"/>
              <w:jc w:val="center"/>
              <w:rPr>
                <w:rFonts w:ascii="宋体" w:hAnsi="宋体"/>
                <w:b/>
                <w:color w:val="000000"/>
                <w:szCs w:val="21"/>
              </w:rPr>
            </w:pPr>
            <w:r>
              <w:rPr>
                <w:rFonts w:ascii="宋体" w:hAnsi="宋体"/>
                <w:b/>
                <w:color w:val="000000"/>
                <w:szCs w:val="21"/>
              </w:rPr>
              <w:t>要求说明</w:t>
            </w:r>
          </w:p>
        </w:tc>
        <w:tc>
          <w:tcPr>
            <w:tcW w:w="6148" w:type="dxa"/>
            <w:noWrap w:val="0"/>
            <w:vAlign w:val="center"/>
          </w:tcPr>
          <w:p>
            <w:pPr>
              <w:spacing w:line="400" w:lineRule="exact"/>
              <w:jc w:val="center"/>
              <w:rPr>
                <w:rFonts w:ascii="宋体" w:hAnsi="宋体"/>
                <w:b/>
                <w:color w:val="000000"/>
                <w:szCs w:val="21"/>
              </w:rPr>
            </w:pPr>
            <w:r>
              <w:rPr>
                <w:rFonts w:ascii="宋体" w:hAnsi="宋体"/>
                <w:b/>
                <w:color w:val="000000"/>
                <w:szCs w:val="21"/>
              </w:rPr>
              <w:t>审查要求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pacing w:line="400" w:lineRule="exact"/>
              <w:jc w:val="center"/>
              <w:rPr>
                <w:rFonts w:ascii="宋体" w:hAnsi="宋体"/>
                <w:color w:val="000000"/>
                <w:szCs w:val="21"/>
              </w:rPr>
            </w:pPr>
            <w:r>
              <w:rPr>
                <w:rFonts w:ascii="宋体" w:hAnsi="宋体"/>
                <w:color w:val="000000"/>
                <w:szCs w:val="21"/>
              </w:rPr>
              <w:t>1</w:t>
            </w:r>
          </w:p>
        </w:tc>
        <w:tc>
          <w:tcPr>
            <w:tcW w:w="3220" w:type="dxa"/>
            <w:noWrap w:val="0"/>
            <w:vAlign w:val="center"/>
          </w:tcPr>
          <w:p>
            <w:pPr>
              <w:spacing w:line="400" w:lineRule="exact"/>
              <w:jc w:val="left"/>
              <w:rPr>
                <w:rFonts w:hint="eastAsia" w:ascii="宋体" w:hAnsi="宋体" w:cs="宋体"/>
                <w:szCs w:val="21"/>
              </w:rPr>
            </w:pPr>
            <w:r>
              <w:rPr>
                <w:rFonts w:hint="eastAsia" w:ascii="宋体" w:hAnsi="宋体" w:cs="宋体"/>
                <w:szCs w:val="21"/>
              </w:rPr>
              <w:t>满足《中华人民共和国政府采购法》第二十二条规定；未被“信用中国”（www.creditchina.gov.cn)、中国政府采购网（www.ccgp.gov.cn）列入失信被执行人、重大税收违法案件当事人名单、政府采购严重违法失信行为记录名单。</w:t>
            </w:r>
          </w:p>
        </w:tc>
        <w:tc>
          <w:tcPr>
            <w:tcW w:w="6148" w:type="dxa"/>
            <w:noWrap w:val="0"/>
            <w:vAlign w:val="center"/>
          </w:tcPr>
          <w:p>
            <w:pPr>
              <w:spacing w:line="400" w:lineRule="exact"/>
              <w:jc w:val="left"/>
              <w:rPr>
                <w:rFonts w:hint="eastAsia" w:ascii="宋体" w:hAnsi="宋体" w:cs="宋体"/>
              </w:rPr>
            </w:pPr>
            <w:r>
              <w:rPr>
                <w:rFonts w:hint="eastAsia" w:ascii="宋体" w:hAnsi="宋体" w:cs="宋体"/>
              </w:rPr>
              <w:t>A1、关于资格的承诺函；</w:t>
            </w:r>
          </w:p>
          <w:p>
            <w:pPr>
              <w:spacing w:line="400" w:lineRule="exact"/>
              <w:jc w:val="left"/>
              <w:rPr>
                <w:rFonts w:hint="eastAsia" w:ascii="宋体" w:hAnsi="宋体" w:cs="宋体"/>
              </w:rPr>
            </w:pPr>
            <w:r>
              <w:rPr>
                <w:rFonts w:hint="eastAsia" w:ascii="宋体" w:hAnsi="宋体" w:cs="宋体"/>
              </w:rPr>
              <w:t>A2、营业执照副本（或事业法人登记证副本或其他登记证明材料）复印件加盖供应商公章（供应商如果有名称变更的，应提供由行政主管部门出具的变更证明文件复印件加盖供应商公章）；</w:t>
            </w:r>
          </w:p>
          <w:p>
            <w:pPr>
              <w:spacing w:line="400" w:lineRule="exact"/>
              <w:jc w:val="left"/>
            </w:pPr>
            <w:r>
              <w:rPr>
                <w:rFonts w:hint="eastAsia" w:ascii="宋体" w:hAnsi="宋体" w:cs="宋体"/>
              </w:rPr>
              <w:t>A3、非失信被执行人。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2</w:t>
            </w:r>
          </w:p>
        </w:tc>
        <w:tc>
          <w:tcPr>
            <w:tcW w:w="3220" w:type="dxa"/>
            <w:noWrap w:val="0"/>
            <w:vAlign w:val="center"/>
          </w:tcPr>
          <w:p>
            <w:pPr>
              <w:spacing w:line="400" w:lineRule="exact"/>
              <w:jc w:val="left"/>
              <w:rPr>
                <w:rFonts w:hint="eastAsia" w:ascii="宋体" w:hAnsi="宋体" w:cs="宋体"/>
                <w:szCs w:val="21"/>
              </w:rPr>
            </w:pPr>
            <w:r>
              <w:rPr>
                <w:rFonts w:hint="eastAsia" w:ascii="宋体" w:hAnsi="宋体" w:cs="宋体"/>
              </w:rPr>
              <w:t>本项目的特定资格要求：</w:t>
            </w:r>
            <w:r>
              <w:rPr>
                <w:rFonts w:hint="eastAsia" w:ascii="宋体" w:hAnsi="宋体" w:cs="宋体"/>
                <w:szCs w:val="21"/>
              </w:rPr>
              <w:t>供应商须具有公安机关核发的保安服务许可证。</w:t>
            </w:r>
          </w:p>
        </w:tc>
        <w:tc>
          <w:tcPr>
            <w:tcW w:w="6148" w:type="dxa"/>
            <w:noWrap w:val="0"/>
            <w:vAlign w:val="center"/>
          </w:tcPr>
          <w:p>
            <w:pPr>
              <w:spacing w:line="400" w:lineRule="exact"/>
              <w:jc w:val="left"/>
              <w:rPr>
                <w:rFonts w:hint="eastAsia" w:ascii="宋体" w:hAnsi="宋体" w:cs="宋体"/>
              </w:rPr>
            </w:pPr>
            <w:r>
              <w:rPr>
                <w:rFonts w:hint="eastAsia" w:ascii="宋体" w:hAnsi="宋体" w:cs="宋体"/>
              </w:rPr>
              <w:t>提供</w:t>
            </w:r>
            <w:r>
              <w:rPr>
                <w:rFonts w:hint="eastAsia" w:ascii="宋体" w:hAnsi="宋体" w:cs="宋体"/>
                <w:szCs w:val="21"/>
              </w:rPr>
              <w:t>保安服务许可证复印件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40" w:type="dxa"/>
            <w:gridSpan w:val="2"/>
            <w:noWrap w:val="0"/>
            <w:vAlign w:val="center"/>
          </w:tcPr>
          <w:p>
            <w:pPr>
              <w:spacing w:line="400" w:lineRule="exact"/>
              <w:jc w:val="center"/>
              <w:rPr>
                <w:rFonts w:ascii="宋体" w:hAnsi="宋体"/>
                <w:color w:val="000000"/>
              </w:rPr>
            </w:pPr>
            <w:r>
              <w:rPr>
                <w:rFonts w:ascii="宋体" w:hAnsi="宋体"/>
                <w:b/>
                <w:color w:val="000000"/>
                <w:szCs w:val="21"/>
              </w:rPr>
              <w:t>资格性审查结论</w:t>
            </w:r>
          </w:p>
        </w:tc>
        <w:tc>
          <w:tcPr>
            <w:tcW w:w="6148" w:type="dxa"/>
            <w:noWrap w:val="0"/>
            <w:vAlign w:val="center"/>
          </w:tcPr>
          <w:p>
            <w:pPr>
              <w:spacing w:line="400" w:lineRule="exact"/>
              <w:jc w:val="center"/>
              <w:rPr>
                <w:rFonts w:ascii="宋体" w:hAnsi="宋体"/>
                <w:color w:val="000000"/>
                <w:szCs w:val="21"/>
              </w:rPr>
            </w:pPr>
          </w:p>
        </w:tc>
      </w:tr>
    </w:tbl>
    <w:p>
      <w:pPr>
        <w:spacing w:line="340" w:lineRule="exact"/>
        <w:rPr>
          <w:rFonts w:ascii="宋体" w:hAnsi="宋体"/>
          <w:b/>
          <w:color w:val="000000"/>
        </w:rPr>
      </w:pPr>
      <w:r>
        <w:rPr>
          <w:rFonts w:hint="eastAsia" w:ascii="宋体" w:hAnsi="宋体"/>
          <w:b/>
          <w:color w:val="000000"/>
        </w:rPr>
        <w:t>注：</w:t>
      </w:r>
      <w:r>
        <w:rPr>
          <w:rFonts w:ascii="宋体" w:hAnsi="宋体"/>
          <w:b/>
          <w:color w:val="000000"/>
        </w:rPr>
        <w:t>1</w:t>
      </w:r>
      <w:r>
        <w:rPr>
          <w:rFonts w:hint="eastAsia" w:ascii="宋体" w:hAnsi="宋体"/>
          <w:b/>
          <w:color w:val="000000"/>
        </w:rPr>
        <w:t>、上述资格证明文件未按招标文件要求附入投标文件中的，资格性审查不合格。</w:t>
      </w:r>
    </w:p>
    <w:p>
      <w:pPr>
        <w:spacing w:line="340" w:lineRule="exact"/>
        <w:ind w:firstLine="422" w:firstLineChars="200"/>
        <w:rPr>
          <w:rFonts w:hint="eastAsia" w:ascii="宋体" w:hAnsi="宋体"/>
          <w:b/>
          <w:color w:val="000000"/>
        </w:rPr>
      </w:pPr>
      <w:r>
        <w:rPr>
          <w:rFonts w:ascii="宋体" w:hAnsi="宋体"/>
          <w:b/>
          <w:color w:val="000000"/>
        </w:rPr>
        <w:t>2</w:t>
      </w:r>
      <w:r>
        <w:rPr>
          <w:rFonts w:hint="eastAsia" w:ascii="宋体" w:hAnsi="宋体"/>
          <w:b/>
          <w:color w:val="000000"/>
        </w:rPr>
        <w:t>、上述审查项目中，任意一项不符合的，资格性审查不合格。</w:t>
      </w:r>
    </w:p>
    <w:p>
      <w:pPr>
        <w:spacing w:line="340" w:lineRule="exact"/>
        <w:ind w:firstLine="422" w:firstLineChars="200"/>
        <w:rPr>
          <w:rFonts w:hint="eastAsia" w:ascii="宋体" w:hAnsi="宋体"/>
          <w:b/>
          <w:color w:val="000000"/>
        </w:rPr>
      </w:pPr>
      <w:r>
        <w:rPr>
          <w:rFonts w:hint="eastAsia" w:ascii="宋体" w:hAnsi="宋体"/>
          <w:b/>
          <w:color w:val="000000"/>
        </w:rPr>
        <w:t>3、采购人、代理机构将于开标当天通过“信用中国”网站查询供应商失信被执行人、重大税收违法案件当事人信用记录，通过中国政府采购网查询供应商政府采购严重违法失信行为信用记录。若供应商被列入失信被执行人、重大税收违法案件当事人名单、政府采购严重违法失信行为记录名单，其资格审查为不合格，其投标将被认定为无效投标。</w:t>
      </w:r>
    </w:p>
    <w:p>
      <w:pPr>
        <w:spacing w:line="340" w:lineRule="exact"/>
        <w:ind w:firstLine="422" w:firstLineChars="200"/>
        <w:rPr>
          <w:rFonts w:ascii="宋体" w:hAnsi="宋体"/>
          <w:b/>
          <w:color w:val="000000"/>
        </w:rPr>
      </w:pPr>
      <w:r>
        <w:rPr>
          <w:rFonts w:hint="eastAsia" w:ascii="宋体" w:hAnsi="宋体"/>
          <w:b/>
          <w:color w:val="000000"/>
        </w:rPr>
        <w:t>若在开标当天因不可抗力事件导致无法查询且一时无法恢复查询的，可在中标公示期间对中标候选人进行事后查询。中标候选人被列入失信被执行人、重大税收违法案件当事人名单、政府采购严重违法失信行为记录名单的，采购人将依法取消其中标资格。</w:t>
      </w:r>
    </w:p>
    <w:p>
      <w:pPr>
        <w:spacing w:line="400" w:lineRule="exact"/>
        <w:rPr>
          <w:rFonts w:ascii="宋体" w:hAnsi="宋体"/>
          <w:color w:val="000000"/>
          <w:szCs w:val="21"/>
        </w:rPr>
      </w:pPr>
      <w:r>
        <w:rPr>
          <w:rFonts w:ascii="宋体" w:hAnsi="宋体"/>
          <w:color w:val="000000"/>
          <w:szCs w:val="21"/>
        </w:rPr>
        <w:br w:type="page"/>
      </w:r>
      <w:r>
        <w:rPr>
          <w:rFonts w:hint="eastAsia" w:ascii="宋体" w:hAnsi="宋体"/>
          <w:color w:val="000000"/>
          <w:szCs w:val="21"/>
        </w:rPr>
        <w:t>附表</w:t>
      </w:r>
      <w:r>
        <w:rPr>
          <w:rFonts w:ascii="宋体" w:hAnsi="宋体"/>
          <w:color w:val="000000"/>
          <w:szCs w:val="21"/>
        </w:rPr>
        <w:t>2</w:t>
      </w:r>
      <w:r>
        <w:rPr>
          <w:rFonts w:hint="eastAsia" w:ascii="宋体" w:hAnsi="宋体"/>
          <w:color w:val="000000"/>
          <w:szCs w:val="21"/>
        </w:rPr>
        <w:t>：</w:t>
      </w:r>
    </w:p>
    <w:p>
      <w:pPr>
        <w:widowControl/>
        <w:snapToGrid w:val="0"/>
        <w:spacing w:line="560" w:lineRule="exact"/>
        <w:jc w:val="center"/>
        <w:rPr>
          <w:rFonts w:ascii="宋体" w:hAnsi="宋体"/>
          <w:b/>
          <w:color w:val="000000"/>
          <w:szCs w:val="21"/>
        </w:rPr>
      </w:pPr>
      <w:r>
        <w:rPr>
          <w:rFonts w:hint="eastAsia" w:ascii="宋体" w:hAnsi="宋体"/>
          <w:b/>
          <w:color w:val="000000"/>
          <w:szCs w:val="21"/>
        </w:rPr>
        <w:t>符合性审查表</w:t>
      </w:r>
    </w:p>
    <w:tbl>
      <w:tblPr>
        <w:tblStyle w:val="44"/>
        <w:tblW w:w="94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822"/>
        <w:gridCol w:w="4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top"/>
          </w:tcPr>
          <w:p>
            <w:pPr>
              <w:spacing w:line="400" w:lineRule="exact"/>
              <w:jc w:val="center"/>
              <w:rPr>
                <w:rFonts w:ascii="宋体" w:hAnsi="宋体"/>
                <w:b/>
                <w:color w:val="000000"/>
                <w:szCs w:val="21"/>
              </w:rPr>
            </w:pPr>
            <w:r>
              <w:rPr>
                <w:rFonts w:hint="eastAsia" w:ascii="宋体" w:hAnsi="宋体"/>
                <w:b/>
                <w:color w:val="000000"/>
                <w:szCs w:val="21"/>
              </w:rPr>
              <w:t>序号</w:t>
            </w:r>
          </w:p>
        </w:tc>
        <w:tc>
          <w:tcPr>
            <w:tcW w:w="3822" w:type="dxa"/>
            <w:noWrap w:val="0"/>
            <w:vAlign w:val="center"/>
          </w:tcPr>
          <w:p>
            <w:pPr>
              <w:spacing w:line="360" w:lineRule="exact"/>
              <w:jc w:val="center"/>
              <w:rPr>
                <w:rFonts w:ascii="宋体" w:hAnsi="宋体"/>
                <w:b/>
                <w:color w:val="000000"/>
                <w:szCs w:val="21"/>
              </w:rPr>
            </w:pPr>
            <w:r>
              <w:rPr>
                <w:rFonts w:hint="eastAsia" w:ascii="宋体" w:hAnsi="宋体"/>
                <w:b/>
                <w:color w:val="000000"/>
                <w:szCs w:val="21"/>
              </w:rPr>
              <w:t>要求说明</w:t>
            </w:r>
          </w:p>
        </w:tc>
        <w:tc>
          <w:tcPr>
            <w:tcW w:w="4873" w:type="dxa"/>
            <w:noWrap w:val="0"/>
            <w:vAlign w:val="center"/>
          </w:tcPr>
          <w:p>
            <w:pPr>
              <w:spacing w:line="360" w:lineRule="exact"/>
              <w:jc w:val="center"/>
              <w:rPr>
                <w:rFonts w:ascii="宋体" w:hAnsi="宋体"/>
                <w:b/>
                <w:color w:val="000000"/>
                <w:szCs w:val="21"/>
              </w:rPr>
            </w:pPr>
            <w:r>
              <w:rPr>
                <w:rFonts w:hint="eastAsia" w:ascii="宋体" w:hAnsi="宋体"/>
                <w:b/>
                <w:color w:val="000000"/>
                <w:szCs w:val="21"/>
              </w:rPr>
              <w:t>审查要求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720" w:type="dxa"/>
            <w:noWrap w:val="0"/>
            <w:vAlign w:val="center"/>
          </w:tcPr>
          <w:p>
            <w:pPr>
              <w:snapToGrid w:val="0"/>
              <w:spacing w:line="400" w:lineRule="exact"/>
              <w:jc w:val="center"/>
              <w:rPr>
                <w:rFonts w:hint="eastAsia" w:ascii="宋体" w:hAnsi="宋体"/>
                <w:color w:val="000000"/>
                <w:szCs w:val="21"/>
              </w:rPr>
            </w:pPr>
            <w:r>
              <w:rPr>
                <w:rFonts w:ascii="宋体" w:hAnsi="宋体"/>
                <w:color w:val="000000"/>
                <w:szCs w:val="21"/>
              </w:rPr>
              <w:t>1</w:t>
            </w:r>
          </w:p>
        </w:tc>
        <w:tc>
          <w:tcPr>
            <w:tcW w:w="3822" w:type="dxa"/>
            <w:noWrap w:val="0"/>
            <w:vAlign w:val="center"/>
          </w:tcPr>
          <w:p>
            <w:pPr>
              <w:snapToGrid w:val="0"/>
              <w:spacing w:line="400" w:lineRule="exact"/>
              <w:rPr>
                <w:rFonts w:hint="eastAsia" w:ascii="宋体" w:hAnsi="宋体"/>
                <w:color w:val="000000"/>
                <w:szCs w:val="21"/>
              </w:rPr>
            </w:pPr>
            <w:r>
              <w:rPr>
                <w:rFonts w:hint="eastAsia" w:ascii="宋体" w:hAnsi="宋体"/>
                <w:color w:val="000000"/>
                <w:szCs w:val="21"/>
              </w:rPr>
              <w:t>投标有效期：符合第二章“投标须知”第六、</w:t>
            </w:r>
            <w:r>
              <w:rPr>
                <w:rFonts w:ascii="宋体" w:hAnsi="宋体"/>
                <w:color w:val="000000"/>
                <w:szCs w:val="21"/>
              </w:rPr>
              <w:t>1</w:t>
            </w:r>
            <w:r>
              <w:rPr>
                <w:rFonts w:hint="eastAsia" w:ascii="宋体" w:hAnsi="宋体"/>
                <w:color w:val="000000"/>
                <w:szCs w:val="21"/>
              </w:rPr>
              <w:t>条的要求。</w:t>
            </w:r>
          </w:p>
        </w:tc>
        <w:tc>
          <w:tcPr>
            <w:tcW w:w="4873" w:type="dxa"/>
            <w:noWrap w:val="0"/>
            <w:vAlign w:val="center"/>
          </w:tcPr>
          <w:p>
            <w:pPr>
              <w:snapToGrid w:val="0"/>
              <w:spacing w:line="400" w:lineRule="exact"/>
              <w:rPr>
                <w:rFonts w:hint="eastAsia" w:ascii="宋体" w:hAnsi="宋体"/>
                <w:color w:val="000000"/>
                <w:szCs w:val="21"/>
              </w:rPr>
            </w:pPr>
            <w:r>
              <w:rPr>
                <w:rFonts w:hint="eastAsia" w:ascii="宋体" w:hAnsi="宋体"/>
                <w:color w:val="000000"/>
                <w:szCs w:val="21"/>
              </w:rPr>
              <w:t>提供“投标书”</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napToGrid w:val="0"/>
              <w:spacing w:line="400" w:lineRule="exact"/>
              <w:jc w:val="center"/>
              <w:rPr>
                <w:rFonts w:ascii="宋体" w:hAnsi="宋体"/>
                <w:color w:val="000000"/>
                <w:szCs w:val="21"/>
              </w:rPr>
            </w:pPr>
            <w:r>
              <w:rPr>
                <w:rFonts w:ascii="宋体" w:hAnsi="宋体"/>
                <w:color w:val="000000"/>
                <w:szCs w:val="21"/>
              </w:rPr>
              <w:t>2</w:t>
            </w:r>
          </w:p>
        </w:tc>
        <w:tc>
          <w:tcPr>
            <w:tcW w:w="3822" w:type="dxa"/>
            <w:noWrap w:val="0"/>
            <w:vAlign w:val="center"/>
          </w:tcPr>
          <w:p>
            <w:pPr>
              <w:snapToGrid w:val="0"/>
              <w:spacing w:line="400" w:lineRule="exact"/>
              <w:rPr>
                <w:rFonts w:ascii="宋体" w:hAnsi="宋体"/>
                <w:color w:val="000000"/>
                <w:szCs w:val="21"/>
              </w:rPr>
            </w:pPr>
            <w:r>
              <w:rPr>
                <w:rFonts w:hint="eastAsia" w:ascii="宋体" w:hAnsi="宋体"/>
                <w:color w:val="000000"/>
                <w:szCs w:val="21"/>
              </w:rPr>
              <w:t>法定代表人身份证明、法定代表人授权书。</w:t>
            </w:r>
          </w:p>
        </w:tc>
        <w:tc>
          <w:tcPr>
            <w:tcW w:w="4873" w:type="dxa"/>
            <w:noWrap w:val="0"/>
            <w:vAlign w:val="center"/>
          </w:tcPr>
          <w:p>
            <w:pPr>
              <w:snapToGrid w:val="0"/>
              <w:spacing w:line="400" w:lineRule="exact"/>
              <w:rPr>
                <w:rFonts w:ascii="宋体" w:hAnsi="宋体"/>
                <w:color w:val="000000"/>
                <w:szCs w:val="21"/>
              </w:rPr>
            </w:pPr>
            <w:r>
              <w:rPr>
                <w:rFonts w:hint="eastAsia" w:ascii="宋体" w:hAnsi="宋体"/>
                <w:color w:val="000000"/>
                <w:szCs w:val="21"/>
              </w:rPr>
              <w:t>（1）投标文件按标书要求由法定代表人签字的，提供“法定代表人身份证明”</w:t>
            </w:r>
            <w:r>
              <w:rPr>
                <w:rFonts w:hint="eastAsia" w:ascii="宋体" w:hAnsi="宋体" w:cs="宋体"/>
                <w:color w:val="000000"/>
                <w:szCs w:val="21"/>
              </w:rPr>
              <w:t>。</w:t>
            </w:r>
          </w:p>
          <w:p>
            <w:pPr>
              <w:snapToGrid w:val="0"/>
              <w:spacing w:line="400" w:lineRule="exact"/>
              <w:rPr>
                <w:rFonts w:ascii="宋体" w:hAnsi="宋体"/>
                <w:color w:val="000000"/>
                <w:szCs w:val="21"/>
              </w:rPr>
            </w:pPr>
            <w:r>
              <w:rPr>
                <w:rFonts w:hint="eastAsia" w:ascii="宋体" w:hAnsi="宋体"/>
                <w:color w:val="000000"/>
                <w:szCs w:val="21"/>
              </w:rPr>
              <w:t>（2）投标文件按标书要求由授权代表签字的，提供“法定代表人授权书”</w:t>
            </w:r>
            <w:r>
              <w:rPr>
                <w:rFonts w:hint="eastAsia" w:asci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napToGrid w:val="0"/>
              <w:spacing w:line="400" w:lineRule="exact"/>
              <w:jc w:val="center"/>
              <w:rPr>
                <w:rFonts w:hint="eastAsia" w:ascii="宋体" w:hAnsi="宋体"/>
                <w:color w:val="000000"/>
                <w:szCs w:val="21"/>
              </w:rPr>
            </w:pPr>
            <w:r>
              <w:rPr>
                <w:rFonts w:hint="eastAsia" w:ascii="宋体" w:hAnsi="宋体"/>
                <w:color w:val="000000"/>
                <w:szCs w:val="21"/>
              </w:rPr>
              <w:t>3</w:t>
            </w:r>
          </w:p>
        </w:tc>
        <w:tc>
          <w:tcPr>
            <w:tcW w:w="3822" w:type="dxa"/>
            <w:noWrap w:val="0"/>
            <w:vAlign w:val="center"/>
          </w:tcPr>
          <w:p>
            <w:pPr>
              <w:snapToGrid w:val="0"/>
              <w:spacing w:line="400" w:lineRule="exact"/>
              <w:rPr>
                <w:rFonts w:hint="eastAsia" w:ascii="宋体" w:hAnsi="宋体"/>
                <w:color w:val="000000"/>
                <w:szCs w:val="21"/>
              </w:rPr>
            </w:pPr>
            <w:r>
              <w:rPr>
                <w:rFonts w:hint="eastAsia" w:ascii="宋体" w:hAnsi="宋体"/>
                <w:color w:val="000000"/>
                <w:szCs w:val="21"/>
              </w:rPr>
              <w:t>符合第二章“投标须知”第九、</w:t>
            </w:r>
            <w:r>
              <w:rPr>
                <w:rFonts w:ascii="宋体" w:hAnsi="宋体"/>
                <w:color w:val="000000"/>
                <w:szCs w:val="21"/>
              </w:rPr>
              <w:t>1</w:t>
            </w:r>
            <w:r>
              <w:rPr>
                <w:rFonts w:hint="eastAsia" w:ascii="宋体" w:hAnsi="宋体"/>
                <w:color w:val="000000"/>
                <w:szCs w:val="21"/>
              </w:rPr>
              <w:t>条的要求。</w:t>
            </w:r>
          </w:p>
        </w:tc>
        <w:tc>
          <w:tcPr>
            <w:tcW w:w="4873" w:type="dxa"/>
            <w:noWrap w:val="0"/>
            <w:vAlign w:val="center"/>
          </w:tcPr>
          <w:p>
            <w:pPr>
              <w:snapToGrid w:val="0"/>
              <w:spacing w:line="400" w:lineRule="exact"/>
              <w:rPr>
                <w:rFonts w:hint="eastAsia" w:ascii="宋体" w:hAnsi="宋体"/>
                <w:color w:val="000000"/>
                <w:szCs w:val="21"/>
              </w:rPr>
            </w:pPr>
            <w:r>
              <w:rPr>
                <w:rFonts w:hint="eastAsia" w:ascii="宋体" w:hAnsi="宋体"/>
                <w:color w:val="000000"/>
                <w:szCs w:val="21"/>
              </w:rPr>
              <w:t>投标文件的签署盖章。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napToGrid w:val="0"/>
              <w:spacing w:line="400" w:lineRule="exact"/>
              <w:jc w:val="center"/>
              <w:rPr>
                <w:rFonts w:hint="eastAsia" w:ascii="宋体" w:hAnsi="宋体"/>
                <w:color w:val="000000"/>
                <w:szCs w:val="21"/>
              </w:rPr>
            </w:pPr>
            <w:r>
              <w:rPr>
                <w:rFonts w:hint="eastAsia" w:ascii="宋体" w:hAnsi="宋体"/>
                <w:color w:val="000000"/>
                <w:szCs w:val="21"/>
              </w:rPr>
              <w:t>4</w:t>
            </w:r>
          </w:p>
        </w:tc>
        <w:tc>
          <w:tcPr>
            <w:tcW w:w="3822" w:type="dxa"/>
            <w:noWrap w:val="0"/>
            <w:vAlign w:val="center"/>
          </w:tcPr>
          <w:p>
            <w:pPr>
              <w:snapToGrid w:val="0"/>
              <w:spacing w:line="400" w:lineRule="exact"/>
              <w:rPr>
                <w:rFonts w:hint="eastAsia" w:ascii="宋体" w:hAnsi="宋体"/>
                <w:color w:val="000000"/>
                <w:szCs w:val="21"/>
              </w:rPr>
            </w:pPr>
            <w:r>
              <w:rPr>
                <w:rFonts w:hint="eastAsia" w:ascii="宋体" w:hAnsi="宋体"/>
                <w:color w:val="000000"/>
                <w:szCs w:val="21"/>
              </w:rPr>
              <w:t>对同个子包不允许提供两个投标方案。</w:t>
            </w:r>
          </w:p>
        </w:tc>
        <w:tc>
          <w:tcPr>
            <w:tcW w:w="4873" w:type="dxa"/>
            <w:noWrap w:val="0"/>
            <w:vAlign w:val="center"/>
          </w:tcPr>
          <w:p>
            <w:pPr>
              <w:snapToGrid w:val="0"/>
              <w:spacing w:line="400" w:lineRule="exact"/>
              <w:rPr>
                <w:rFonts w:hint="eastAsia" w:ascii="宋体" w:hAnsi="宋体"/>
                <w:color w:val="000000"/>
                <w:szCs w:val="21"/>
              </w:rPr>
            </w:pPr>
            <w:r>
              <w:rPr>
                <w:rFonts w:hint="eastAsia" w:ascii="宋体" w:hAnsi="宋体"/>
                <w:color w:val="000000"/>
                <w:szCs w:val="21"/>
              </w:rPr>
              <w:t>是否有两个投标方案。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napToGrid w:val="0"/>
              <w:spacing w:line="400" w:lineRule="exact"/>
              <w:jc w:val="center"/>
              <w:rPr>
                <w:rFonts w:ascii="宋体" w:hAnsi="宋体"/>
                <w:color w:val="000000"/>
                <w:szCs w:val="21"/>
              </w:rPr>
            </w:pPr>
            <w:r>
              <w:rPr>
                <w:rFonts w:hint="eastAsia" w:ascii="宋体" w:hAnsi="宋体"/>
                <w:color w:val="000000"/>
                <w:szCs w:val="21"/>
              </w:rPr>
              <w:t>5</w:t>
            </w:r>
          </w:p>
        </w:tc>
        <w:tc>
          <w:tcPr>
            <w:tcW w:w="3822" w:type="dxa"/>
            <w:noWrap w:val="0"/>
            <w:vAlign w:val="center"/>
          </w:tcPr>
          <w:p>
            <w:pPr>
              <w:snapToGrid w:val="0"/>
              <w:spacing w:line="400" w:lineRule="exact"/>
              <w:rPr>
                <w:rFonts w:hint="eastAsia" w:ascii="宋体" w:hAnsi="宋体"/>
                <w:color w:val="000000"/>
                <w:szCs w:val="21"/>
              </w:rPr>
            </w:pPr>
            <w:r>
              <w:rPr>
                <w:rFonts w:hint="eastAsia" w:ascii="宋体" w:hAnsi="宋体"/>
                <w:color w:val="000000"/>
                <w:szCs w:val="21"/>
              </w:rPr>
              <w:t>供应商不得在投标活动中提供任何虚假材料或从事其他违法活动的。</w:t>
            </w:r>
          </w:p>
        </w:tc>
        <w:tc>
          <w:tcPr>
            <w:tcW w:w="4873" w:type="dxa"/>
            <w:noWrap w:val="0"/>
            <w:vAlign w:val="center"/>
          </w:tcPr>
          <w:p>
            <w:pPr>
              <w:snapToGrid w:val="0"/>
              <w:spacing w:line="400" w:lineRule="exact"/>
              <w:rPr>
                <w:rFonts w:hint="eastAsia" w:ascii="宋体" w:hAnsi="宋体"/>
                <w:color w:val="000000"/>
                <w:szCs w:val="21"/>
              </w:rPr>
            </w:pPr>
            <w:r>
              <w:rPr>
                <w:rFonts w:hint="eastAsia" w:ascii="宋体" w:hAnsi="宋体"/>
                <w:color w:val="000000"/>
                <w:szCs w:val="21"/>
              </w:rPr>
              <w:t>不得提供任何虚假材料或从事其他违法活动。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napToGrid w:val="0"/>
              <w:spacing w:line="400" w:lineRule="exact"/>
              <w:jc w:val="center"/>
              <w:rPr>
                <w:rFonts w:hint="eastAsia" w:ascii="宋体" w:hAnsi="宋体"/>
                <w:color w:val="000000"/>
                <w:szCs w:val="21"/>
              </w:rPr>
            </w:pPr>
            <w:r>
              <w:rPr>
                <w:rFonts w:hint="eastAsia" w:ascii="宋体" w:hAnsi="宋体"/>
                <w:color w:val="000000"/>
                <w:szCs w:val="21"/>
              </w:rPr>
              <w:t>6</w:t>
            </w:r>
          </w:p>
        </w:tc>
        <w:tc>
          <w:tcPr>
            <w:tcW w:w="3822" w:type="dxa"/>
            <w:noWrap w:val="0"/>
            <w:vAlign w:val="center"/>
          </w:tcPr>
          <w:p>
            <w:pPr>
              <w:snapToGrid w:val="0"/>
              <w:spacing w:line="400" w:lineRule="exact"/>
              <w:rPr>
                <w:rFonts w:ascii="宋体" w:hAnsi="宋体"/>
                <w:color w:val="000000"/>
                <w:szCs w:val="21"/>
              </w:rPr>
            </w:pPr>
            <w:r>
              <w:rPr>
                <w:rFonts w:hint="eastAsia" w:ascii="宋体" w:hAnsi="宋体"/>
                <w:color w:val="000000"/>
                <w:szCs w:val="21"/>
              </w:rPr>
              <w:t>评标委员会经过审查，认定供应商虚假应标、串通投标的，有下列情形之一的，视为供应商串通投标：</w:t>
            </w:r>
          </w:p>
          <w:p>
            <w:pPr>
              <w:widowControl/>
              <w:snapToGrid w:val="0"/>
              <w:spacing w:line="400" w:lineRule="exact"/>
              <w:jc w:val="left"/>
              <w:rPr>
                <w:rFonts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）不同供应商的投标文件由同一单位或者个人编制；</w:t>
            </w:r>
          </w:p>
          <w:p>
            <w:pPr>
              <w:widowControl/>
              <w:snapToGrid w:val="0"/>
              <w:spacing w:line="400" w:lineRule="exact"/>
              <w:jc w:val="left"/>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）不同供应商委托同一单位或者个人办理投标事宜；</w:t>
            </w:r>
          </w:p>
          <w:p>
            <w:pPr>
              <w:widowControl/>
              <w:snapToGrid w:val="0"/>
              <w:spacing w:line="400" w:lineRule="exact"/>
              <w:jc w:val="left"/>
              <w:rPr>
                <w:rFonts w:ascii="宋体" w:hAns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）不同供应商的投标文件载明的项目管理成员或者联系人员为同一人；</w:t>
            </w:r>
          </w:p>
          <w:p>
            <w:pPr>
              <w:widowControl/>
              <w:snapToGrid w:val="0"/>
              <w:spacing w:line="400" w:lineRule="exact"/>
              <w:jc w:val="left"/>
              <w:rPr>
                <w:rFonts w:ascii="宋体" w:hAnsi="宋体"/>
                <w:color w:val="000000"/>
                <w:szCs w:val="21"/>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）不同供应商的投标文件异常一致或者投标报价呈规律性差异；</w:t>
            </w:r>
          </w:p>
          <w:p>
            <w:pPr>
              <w:widowControl/>
              <w:snapToGrid w:val="0"/>
              <w:spacing w:line="400" w:lineRule="exact"/>
              <w:jc w:val="left"/>
              <w:rPr>
                <w:rFonts w:hint="eastAsia" w:ascii="宋体" w:hAnsi="宋体"/>
                <w:color w:val="000000"/>
                <w:szCs w:val="21"/>
              </w:rPr>
            </w:pPr>
            <w:r>
              <w:rPr>
                <w:rFonts w:hint="eastAsia" w:ascii="宋体" w:hAnsi="宋体"/>
                <w:color w:val="000000"/>
                <w:szCs w:val="21"/>
              </w:rPr>
              <w:t>（</w:t>
            </w:r>
            <w:r>
              <w:rPr>
                <w:rFonts w:ascii="宋体" w:hAnsi="宋体"/>
                <w:color w:val="000000"/>
                <w:szCs w:val="21"/>
              </w:rPr>
              <w:t>5</w:t>
            </w:r>
            <w:r>
              <w:rPr>
                <w:rFonts w:hint="eastAsia" w:ascii="宋体" w:hAnsi="宋体"/>
                <w:color w:val="000000"/>
                <w:szCs w:val="21"/>
              </w:rPr>
              <w:t>）不同供应商的投标文件相互混装。</w:t>
            </w:r>
          </w:p>
        </w:tc>
        <w:tc>
          <w:tcPr>
            <w:tcW w:w="4873" w:type="dxa"/>
            <w:noWrap w:val="0"/>
            <w:vAlign w:val="center"/>
          </w:tcPr>
          <w:p>
            <w:pPr>
              <w:snapToGrid w:val="0"/>
              <w:spacing w:line="400" w:lineRule="exact"/>
              <w:rPr>
                <w:rFonts w:hint="eastAsia" w:ascii="宋体" w:hAnsi="宋体"/>
                <w:color w:val="000000"/>
                <w:szCs w:val="21"/>
              </w:rPr>
            </w:pPr>
            <w:r>
              <w:rPr>
                <w:rFonts w:hint="eastAsia" w:ascii="宋体" w:hAnsi="宋体"/>
                <w:color w:val="000000"/>
                <w:szCs w:val="21"/>
              </w:rPr>
              <w:t>不得有所述情形。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napToGrid w:val="0"/>
              <w:spacing w:line="400" w:lineRule="exact"/>
              <w:jc w:val="center"/>
              <w:rPr>
                <w:rFonts w:hint="eastAsia" w:ascii="宋体" w:hAnsi="宋体"/>
                <w:color w:val="000000"/>
                <w:szCs w:val="21"/>
              </w:rPr>
            </w:pPr>
            <w:r>
              <w:rPr>
                <w:rFonts w:hint="eastAsia" w:ascii="宋体" w:hAnsi="宋体"/>
                <w:color w:val="000000"/>
                <w:szCs w:val="21"/>
              </w:rPr>
              <w:t>7</w:t>
            </w:r>
          </w:p>
        </w:tc>
        <w:tc>
          <w:tcPr>
            <w:tcW w:w="3822" w:type="dxa"/>
            <w:noWrap w:val="0"/>
            <w:vAlign w:val="center"/>
          </w:tcPr>
          <w:p>
            <w:pPr>
              <w:snapToGrid w:val="0"/>
              <w:spacing w:line="400" w:lineRule="exact"/>
              <w:rPr>
                <w:rFonts w:hint="eastAsia" w:ascii="宋体" w:hAnsi="宋体"/>
                <w:color w:val="000000"/>
                <w:szCs w:val="21"/>
              </w:rPr>
            </w:pPr>
            <w:r>
              <w:rPr>
                <w:rFonts w:hint="eastAsia" w:ascii="宋体" w:hAnsi="宋体"/>
                <w:color w:val="000000"/>
                <w:szCs w:val="21"/>
              </w:rPr>
              <w:t>符合法律、法规和招标文件中规定的其他实质性要求（实质性要求招标文件中“</w:t>
            </w:r>
            <w:r>
              <w:rPr>
                <w:rFonts w:hint="eastAsia" w:ascii="宋体" w:hAnsi="宋体" w:cs="宋体"/>
                <w:szCs w:val="21"/>
              </w:rPr>
              <w:t>★</w:t>
            </w:r>
            <w:r>
              <w:rPr>
                <w:rFonts w:hint="eastAsia" w:ascii="宋体" w:hAnsi="宋体"/>
                <w:color w:val="000000"/>
                <w:szCs w:val="21"/>
              </w:rPr>
              <w:t>”标记）</w:t>
            </w:r>
          </w:p>
        </w:tc>
        <w:tc>
          <w:tcPr>
            <w:tcW w:w="4873" w:type="dxa"/>
            <w:noWrap w:val="0"/>
            <w:vAlign w:val="center"/>
          </w:tcPr>
          <w:p>
            <w:pPr>
              <w:snapToGrid w:val="0"/>
              <w:spacing w:line="400" w:lineRule="exact"/>
              <w:rPr>
                <w:rFonts w:hint="eastAsia" w:ascii="宋体" w:hAnsi="宋体"/>
                <w:color w:val="000000"/>
                <w:szCs w:val="21"/>
              </w:rPr>
            </w:pPr>
            <w:r>
              <w:rPr>
                <w:rFonts w:hint="eastAsia" w:ascii="宋体" w:hAnsi="宋体"/>
                <w:color w:val="000000"/>
                <w:szCs w:val="21"/>
              </w:rPr>
              <w:t>符合所述要求。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napToGrid w:val="0"/>
              <w:spacing w:line="400" w:lineRule="exact"/>
              <w:jc w:val="center"/>
              <w:rPr>
                <w:rFonts w:hint="eastAsia" w:ascii="宋体" w:hAnsi="宋体"/>
                <w:color w:val="000000"/>
                <w:szCs w:val="21"/>
              </w:rPr>
            </w:pPr>
            <w:r>
              <w:rPr>
                <w:rFonts w:hint="eastAsia" w:ascii="宋体" w:hAnsi="宋体"/>
                <w:color w:val="000000"/>
                <w:szCs w:val="21"/>
              </w:rPr>
              <w:t>8</w:t>
            </w:r>
          </w:p>
        </w:tc>
        <w:tc>
          <w:tcPr>
            <w:tcW w:w="3822" w:type="dxa"/>
            <w:noWrap w:val="0"/>
            <w:vAlign w:val="center"/>
          </w:tcPr>
          <w:p>
            <w:pPr>
              <w:snapToGrid w:val="0"/>
              <w:spacing w:line="400" w:lineRule="exact"/>
              <w:rPr>
                <w:rFonts w:hint="eastAsia" w:ascii="宋体" w:hAnsi="宋体"/>
                <w:color w:val="000000"/>
                <w:szCs w:val="21"/>
              </w:rPr>
            </w:pPr>
            <w:r>
              <w:rPr>
                <w:rFonts w:hint="eastAsia" w:ascii="宋体" w:hAnsi="宋体"/>
                <w:color w:val="000000"/>
                <w:szCs w:val="21"/>
              </w:rPr>
              <w:t>本项目不接受联合体投标。</w:t>
            </w:r>
          </w:p>
        </w:tc>
        <w:tc>
          <w:tcPr>
            <w:tcW w:w="4873" w:type="dxa"/>
            <w:noWrap w:val="0"/>
            <w:vAlign w:val="center"/>
          </w:tcPr>
          <w:p>
            <w:pPr>
              <w:snapToGrid w:val="0"/>
              <w:spacing w:line="400" w:lineRule="exact"/>
              <w:rPr>
                <w:rFonts w:hint="eastAsia" w:ascii="宋体" w:hAnsi="宋体"/>
                <w:color w:val="000000"/>
                <w:szCs w:val="21"/>
              </w:rPr>
            </w:pPr>
            <w:r>
              <w:rPr>
                <w:rFonts w:hint="eastAsia" w:ascii="宋体" w:hAnsi="宋体"/>
                <w:color w:val="000000"/>
                <w:szCs w:val="21"/>
              </w:rPr>
              <w:t>供应商非联合体。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napToGrid w:val="0"/>
              <w:spacing w:line="400" w:lineRule="exact"/>
              <w:jc w:val="center"/>
              <w:rPr>
                <w:rFonts w:hint="eastAsia" w:ascii="宋体" w:hAnsi="宋体"/>
                <w:color w:val="000000"/>
                <w:szCs w:val="21"/>
              </w:rPr>
            </w:pPr>
            <w:r>
              <w:rPr>
                <w:rFonts w:hint="eastAsia" w:ascii="宋体" w:hAnsi="宋体"/>
                <w:color w:val="000000"/>
                <w:szCs w:val="21"/>
              </w:rPr>
              <w:t>9</w:t>
            </w:r>
          </w:p>
        </w:tc>
        <w:tc>
          <w:tcPr>
            <w:tcW w:w="3822" w:type="dxa"/>
            <w:noWrap w:val="0"/>
            <w:vAlign w:val="center"/>
          </w:tcPr>
          <w:p>
            <w:pPr>
              <w:spacing w:line="400" w:lineRule="exact"/>
              <w:jc w:val="left"/>
              <w:rPr>
                <w:rFonts w:hint="eastAsia" w:ascii="宋体" w:hAnsi="宋体"/>
                <w:color w:val="000000"/>
                <w:szCs w:val="21"/>
              </w:rPr>
            </w:pPr>
            <w:r>
              <w:rPr>
                <w:rFonts w:hint="eastAsia" w:ascii="宋体" w:hAnsi="宋体"/>
                <w:b/>
                <w:color w:val="000000"/>
                <w:szCs w:val="21"/>
              </w:rPr>
              <w:t>本次公开招标设有预算价：540万元（三年），每年180万元，超过每年及三年预算的报价为无效投标。</w:t>
            </w:r>
          </w:p>
        </w:tc>
        <w:tc>
          <w:tcPr>
            <w:tcW w:w="4873" w:type="dxa"/>
            <w:noWrap w:val="0"/>
            <w:vAlign w:val="center"/>
          </w:tcPr>
          <w:p>
            <w:pPr>
              <w:spacing w:line="400" w:lineRule="exact"/>
              <w:rPr>
                <w:rFonts w:hint="eastAsia" w:ascii="宋体" w:hAnsi="宋体"/>
                <w:color w:val="000000"/>
                <w:szCs w:val="21"/>
              </w:rPr>
            </w:pPr>
            <w:r>
              <w:rPr>
                <w:rFonts w:hint="eastAsia" w:ascii="宋体" w:hAnsi="宋体"/>
                <w:color w:val="000000"/>
                <w:szCs w:val="21"/>
              </w:rPr>
              <w:t>提供“开标一览表”</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napToGrid w:val="0"/>
              <w:spacing w:line="400" w:lineRule="exact"/>
              <w:jc w:val="center"/>
              <w:rPr>
                <w:rFonts w:hint="eastAsia" w:ascii="宋体" w:hAnsi="宋体"/>
                <w:color w:val="000000"/>
                <w:szCs w:val="21"/>
              </w:rPr>
            </w:pPr>
            <w:r>
              <w:rPr>
                <w:rFonts w:hint="eastAsia" w:ascii="宋体" w:hAnsi="宋体"/>
                <w:color w:val="000000"/>
                <w:szCs w:val="21"/>
              </w:rPr>
              <w:t>10</w:t>
            </w:r>
          </w:p>
        </w:tc>
        <w:tc>
          <w:tcPr>
            <w:tcW w:w="3822" w:type="dxa"/>
            <w:noWrap w:val="0"/>
            <w:vAlign w:val="center"/>
          </w:tcPr>
          <w:p>
            <w:pPr>
              <w:spacing w:line="400" w:lineRule="exact"/>
              <w:rPr>
                <w:rFonts w:hint="eastAsia" w:ascii="宋体" w:hAnsi="宋体"/>
                <w:color w:val="000000"/>
                <w:szCs w:val="21"/>
              </w:rPr>
            </w:pPr>
            <w:r>
              <w:rPr>
                <w:rFonts w:hint="eastAsia" w:ascii="宋体" w:hAnsi="宋体"/>
                <w:color w:val="000000"/>
                <w:szCs w:val="21"/>
              </w:rPr>
              <w:t>评标委员会认为供应商的报价明显低于其他通过第一阶段评审供应商的报价，有可能影响产品质量或者不能诚信履约的，应当要求其在评标现场合理的时间内提供书面说明，必要时提交相关证明材料；供应商不能证明其报价合理性的，评标委员会应当将其作为无效投标处理。</w:t>
            </w:r>
          </w:p>
        </w:tc>
        <w:tc>
          <w:tcPr>
            <w:tcW w:w="4873" w:type="dxa"/>
            <w:noWrap w:val="0"/>
            <w:vAlign w:val="center"/>
          </w:tcPr>
          <w:p>
            <w:pPr>
              <w:spacing w:line="400" w:lineRule="exact"/>
              <w:rPr>
                <w:rFonts w:hint="eastAsia" w:ascii="宋体" w:hAnsi="宋体"/>
                <w:color w:val="000000"/>
                <w:szCs w:val="21"/>
              </w:rPr>
            </w:pPr>
            <w:r>
              <w:rPr>
                <w:rFonts w:hint="eastAsia" w:ascii="宋体" w:hAnsi="宋体"/>
                <w:color w:val="000000"/>
                <w:szCs w:val="21"/>
              </w:rPr>
              <w:t>符合所述要求。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42" w:type="dxa"/>
            <w:gridSpan w:val="2"/>
            <w:noWrap w:val="0"/>
            <w:vAlign w:val="center"/>
          </w:tcPr>
          <w:p>
            <w:pPr>
              <w:spacing w:line="400" w:lineRule="exact"/>
              <w:jc w:val="center"/>
              <w:rPr>
                <w:rFonts w:ascii="宋体" w:hAnsi="宋体"/>
                <w:color w:val="000000"/>
                <w:szCs w:val="21"/>
              </w:rPr>
            </w:pPr>
            <w:r>
              <w:rPr>
                <w:rFonts w:hint="eastAsia" w:ascii="宋体" w:hAnsi="宋体"/>
                <w:b/>
                <w:color w:val="000000"/>
                <w:szCs w:val="21"/>
              </w:rPr>
              <w:t>符合性审查结论</w:t>
            </w:r>
          </w:p>
        </w:tc>
        <w:tc>
          <w:tcPr>
            <w:tcW w:w="4873" w:type="dxa"/>
            <w:noWrap w:val="0"/>
            <w:vAlign w:val="center"/>
          </w:tcPr>
          <w:p>
            <w:pPr>
              <w:spacing w:line="400" w:lineRule="exact"/>
              <w:rPr>
                <w:rFonts w:ascii="宋体" w:hAnsi="宋体"/>
                <w:color w:val="000000"/>
                <w:szCs w:val="21"/>
              </w:rPr>
            </w:pPr>
          </w:p>
        </w:tc>
      </w:tr>
    </w:tbl>
    <w:p>
      <w:pPr>
        <w:spacing w:line="400" w:lineRule="exact"/>
        <w:rPr>
          <w:rFonts w:hint="eastAsia" w:ascii="宋体" w:cs="宋体"/>
          <w:bCs/>
          <w:sz w:val="22"/>
          <w:szCs w:val="22"/>
        </w:rPr>
      </w:pPr>
      <w:r>
        <w:rPr>
          <w:rFonts w:hint="eastAsia" w:ascii="宋体" w:cs="宋体"/>
          <w:bCs/>
          <w:sz w:val="22"/>
          <w:szCs w:val="22"/>
        </w:rPr>
        <w:t>注：1、上述审查项目中，任意一项不符合的，符合性审查不合格。</w:t>
      </w:r>
    </w:p>
    <w:p>
      <w:pPr>
        <w:spacing w:line="400" w:lineRule="exact"/>
        <w:ind w:firstLine="440" w:firstLineChars="200"/>
        <w:rPr>
          <w:rFonts w:hint="eastAsia" w:ascii="宋体" w:cs="宋体"/>
          <w:bCs/>
          <w:sz w:val="22"/>
          <w:szCs w:val="22"/>
        </w:rPr>
      </w:pPr>
      <w:r>
        <w:rPr>
          <w:rFonts w:hint="eastAsia" w:ascii="宋体" w:cs="宋体"/>
          <w:bCs/>
          <w:sz w:val="22"/>
          <w:szCs w:val="22"/>
        </w:rPr>
        <w:t>2、序号3-序号8、序号10在政采云上无须添加关联点。</w:t>
      </w:r>
    </w:p>
    <w:p>
      <w:pPr>
        <w:spacing w:line="400" w:lineRule="exact"/>
        <w:rPr>
          <w:rFonts w:ascii="宋体" w:hAnsi="宋体"/>
          <w:color w:val="000000"/>
          <w:szCs w:val="21"/>
        </w:rPr>
      </w:pPr>
    </w:p>
    <w:p>
      <w:pPr>
        <w:numPr>
          <w:ilvl w:val="0"/>
          <w:numId w:val="3"/>
        </w:numPr>
        <w:spacing w:line="400" w:lineRule="exact"/>
        <w:rPr>
          <w:rFonts w:ascii="宋体" w:hAnsi="宋体"/>
          <w:color w:val="000000"/>
          <w:szCs w:val="21"/>
        </w:rPr>
      </w:pPr>
      <w:r>
        <w:rPr>
          <w:rFonts w:ascii="宋体" w:hAnsi="宋体"/>
          <w:color w:val="000000"/>
          <w:szCs w:val="21"/>
        </w:rPr>
        <w:br w:type="page"/>
      </w:r>
      <w:r>
        <w:rPr>
          <w:rFonts w:hint="eastAsia" w:ascii="宋体" w:hAnsi="宋体"/>
          <w:color w:val="000000"/>
          <w:szCs w:val="21"/>
        </w:rPr>
        <w:t>附表</w:t>
      </w:r>
      <w:r>
        <w:rPr>
          <w:rFonts w:ascii="宋体" w:hAnsi="宋体"/>
          <w:color w:val="000000"/>
          <w:szCs w:val="21"/>
        </w:rPr>
        <w:t>3</w:t>
      </w:r>
      <w:r>
        <w:rPr>
          <w:rFonts w:hint="eastAsia" w:ascii="宋体" w:hAnsi="宋体"/>
          <w:color w:val="000000"/>
          <w:szCs w:val="21"/>
        </w:rPr>
        <w:t>：</w:t>
      </w:r>
    </w:p>
    <w:p>
      <w:pPr>
        <w:spacing w:line="400" w:lineRule="exact"/>
        <w:jc w:val="center"/>
        <w:rPr>
          <w:rFonts w:hint="eastAsia" w:ascii="宋体" w:hAnsi="宋体"/>
          <w:color w:val="000000"/>
          <w:szCs w:val="21"/>
        </w:rPr>
      </w:pPr>
      <w:r>
        <w:rPr>
          <w:rFonts w:hint="eastAsia" w:ascii="宋体" w:hAnsi="宋体"/>
          <w:b/>
          <w:color w:val="000000"/>
          <w:szCs w:val="21"/>
        </w:rPr>
        <w:t>技术和资信商务评分表</w:t>
      </w:r>
    </w:p>
    <w:p>
      <w:pPr>
        <w:widowControl/>
        <w:spacing w:line="400" w:lineRule="exact"/>
        <w:jc w:val="left"/>
        <w:rPr>
          <w:rFonts w:ascii="宋体" w:hAnsi="宋体"/>
          <w:b/>
          <w:color w:val="000000"/>
          <w:szCs w:val="21"/>
        </w:rPr>
      </w:pPr>
      <w:r>
        <w:rPr>
          <w:rFonts w:hint="eastAsia" w:ascii="宋体" w:hAnsi="宋体"/>
          <w:b/>
          <w:color w:val="000000"/>
          <w:szCs w:val="21"/>
        </w:rPr>
        <w:t xml:space="preserve">采购编号：NBITC-202250011G                                       </w:t>
      </w:r>
    </w:p>
    <w:tbl>
      <w:tblPr>
        <w:tblStyle w:val="44"/>
        <w:tblW w:w="101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149"/>
        <w:gridCol w:w="688"/>
        <w:gridCol w:w="7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3" w:hRule="atLeast"/>
        </w:trPr>
        <w:tc>
          <w:tcPr>
            <w:tcW w:w="6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3"/>
              <w:jc w:val="center"/>
              <w:rPr>
                <w:rFonts w:hint="eastAsia" w:ascii="宋体" w:hAnsi="宋体" w:cs="宋体"/>
                <w:b/>
                <w:color w:val="000000"/>
                <w:szCs w:val="21"/>
              </w:rPr>
            </w:pPr>
            <w:r>
              <w:rPr>
                <w:rFonts w:hint="eastAsia" w:ascii="宋体" w:hAnsi="宋体" w:cs="宋体"/>
                <w:b/>
                <w:color w:val="000000"/>
                <w:szCs w:val="21"/>
              </w:rPr>
              <w:t>类别</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3"/>
              <w:jc w:val="center"/>
              <w:rPr>
                <w:rFonts w:hint="eastAsia" w:ascii="宋体" w:hAnsi="宋体" w:cs="宋体"/>
                <w:b/>
                <w:color w:val="000000"/>
                <w:szCs w:val="21"/>
              </w:rPr>
            </w:pPr>
            <w:r>
              <w:rPr>
                <w:rFonts w:hint="eastAsia" w:ascii="宋体" w:hAnsi="宋体" w:cs="宋体"/>
                <w:b/>
                <w:color w:val="000000"/>
                <w:szCs w:val="21"/>
              </w:rPr>
              <w:t>评审</w:t>
            </w:r>
          </w:p>
          <w:p>
            <w:pPr>
              <w:spacing w:line="320" w:lineRule="exact"/>
              <w:ind w:right="3"/>
              <w:jc w:val="center"/>
              <w:rPr>
                <w:rFonts w:hint="eastAsia" w:ascii="宋体" w:hAnsi="宋体" w:cs="宋体"/>
                <w:b/>
                <w:color w:val="000000"/>
                <w:szCs w:val="21"/>
              </w:rPr>
            </w:pPr>
            <w:r>
              <w:rPr>
                <w:rFonts w:hint="eastAsia" w:ascii="宋体" w:hAnsi="宋体" w:cs="宋体"/>
                <w:b/>
                <w:color w:val="000000"/>
                <w:szCs w:val="21"/>
              </w:rPr>
              <w:t>项目</w:t>
            </w:r>
          </w:p>
        </w:tc>
        <w:tc>
          <w:tcPr>
            <w:tcW w:w="68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3"/>
              <w:jc w:val="center"/>
              <w:rPr>
                <w:rFonts w:hint="eastAsia" w:ascii="宋体" w:hAnsi="宋体" w:cs="宋体"/>
                <w:b/>
                <w:color w:val="000000"/>
                <w:szCs w:val="21"/>
              </w:rPr>
            </w:pPr>
            <w:r>
              <w:rPr>
                <w:rFonts w:hint="eastAsia" w:ascii="宋体" w:hAnsi="宋体" w:cs="宋体"/>
                <w:b/>
                <w:color w:val="000000"/>
                <w:szCs w:val="21"/>
              </w:rPr>
              <w:t>分值</w:t>
            </w:r>
          </w:p>
        </w:tc>
        <w:tc>
          <w:tcPr>
            <w:tcW w:w="766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color w:val="000000"/>
                <w:szCs w:val="21"/>
              </w:rPr>
            </w:pPr>
            <w:r>
              <w:rPr>
                <w:rFonts w:hint="eastAsia" w:ascii="宋体" w:hAnsi="宋体" w:cs="宋体"/>
                <w:b/>
                <w:color w:val="00000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3" w:hRule="atLeast"/>
        </w:trPr>
        <w:tc>
          <w:tcPr>
            <w:tcW w:w="636"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hint="eastAsia" w:ascii="宋体" w:hAnsi="宋体" w:cs="宋体"/>
                <w:color w:val="000000"/>
                <w:szCs w:val="21"/>
              </w:rPr>
            </w:pPr>
            <w:r>
              <w:rPr>
                <w:rFonts w:hint="eastAsia" w:ascii="宋体" w:hAnsi="宋体" w:cs="宋体"/>
                <w:color w:val="000000"/>
                <w:szCs w:val="21"/>
              </w:rPr>
              <w:t>商</w:t>
            </w:r>
          </w:p>
          <w:p>
            <w:pPr>
              <w:spacing w:line="320" w:lineRule="exact"/>
              <w:jc w:val="center"/>
              <w:rPr>
                <w:rFonts w:hint="eastAsia" w:ascii="宋体" w:hAnsi="宋体" w:cs="宋体"/>
                <w:color w:val="000000"/>
                <w:szCs w:val="21"/>
              </w:rPr>
            </w:pPr>
            <w:r>
              <w:rPr>
                <w:rFonts w:hint="eastAsia" w:ascii="宋体" w:hAnsi="宋体" w:cs="宋体"/>
                <w:color w:val="000000"/>
                <w:szCs w:val="21"/>
              </w:rPr>
              <w:t>务</w:t>
            </w:r>
          </w:p>
          <w:p>
            <w:pPr>
              <w:spacing w:line="320" w:lineRule="exact"/>
              <w:jc w:val="center"/>
              <w:rPr>
                <w:rFonts w:hint="eastAsia" w:ascii="宋体" w:hAnsi="宋体" w:cs="宋体"/>
                <w:color w:val="000000"/>
                <w:szCs w:val="21"/>
              </w:rPr>
            </w:pPr>
            <w:r>
              <w:rPr>
                <w:rFonts w:hint="eastAsia" w:ascii="宋体" w:hAnsi="宋体" w:cs="宋体"/>
                <w:color w:val="000000"/>
                <w:szCs w:val="21"/>
              </w:rPr>
              <w:t>部</w:t>
            </w:r>
          </w:p>
          <w:p>
            <w:pPr>
              <w:spacing w:line="320" w:lineRule="exact"/>
              <w:jc w:val="center"/>
              <w:rPr>
                <w:rFonts w:hint="eastAsia" w:ascii="宋体" w:hAnsi="宋体" w:cs="宋体"/>
                <w:color w:val="000000"/>
                <w:szCs w:val="21"/>
              </w:rPr>
            </w:pPr>
            <w:r>
              <w:rPr>
                <w:rFonts w:hint="eastAsia" w:ascii="宋体" w:hAnsi="宋体" w:cs="宋体"/>
                <w:color w:val="000000"/>
                <w:szCs w:val="21"/>
              </w:rPr>
              <w:t>分25分</w:t>
            </w:r>
          </w:p>
        </w:tc>
        <w:tc>
          <w:tcPr>
            <w:tcW w:w="1149" w:type="dxa"/>
            <w:vMerge w:val="restart"/>
            <w:tcBorders>
              <w:top w:val="single" w:color="auto" w:sz="4" w:space="0"/>
              <w:left w:val="single" w:color="auto" w:sz="4" w:space="0"/>
              <w:right w:val="single" w:color="auto" w:sz="4" w:space="0"/>
            </w:tcBorders>
            <w:noWrap w:val="0"/>
            <w:vAlign w:val="center"/>
          </w:tcPr>
          <w:p>
            <w:pPr>
              <w:spacing w:line="320" w:lineRule="exact"/>
              <w:ind w:right="3"/>
              <w:jc w:val="center"/>
              <w:rPr>
                <w:rFonts w:hint="eastAsia" w:ascii="宋体" w:hAnsi="宋体" w:cs="宋体"/>
                <w:color w:val="000000"/>
                <w:szCs w:val="21"/>
              </w:rPr>
            </w:pPr>
            <w:r>
              <w:rPr>
                <w:rFonts w:hint="eastAsia" w:ascii="宋体" w:hAnsi="宋体" w:cs="宋体"/>
                <w:color w:val="000000"/>
                <w:szCs w:val="21"/>
              </w:rPr>
              <w:t>投标人</w:t>
            </w:r>
          </w:p>
          <w:p>
            <w:pPr>
              <w:spacing w:line="320" w:lineRule="exact"/>
              <w:ind w:right="3"/>
              <w:jc w:val="center"/>
              <w:rPr>
                <w:rFonts w:hint="eastAsia" w:ascii="宋体" w:hAnsi="宋体" w:cs="宋体"/>
                <w:b/>
                <w:color w:val="000000"/>
                <w:szCs w:val="21"/>
              </w:rPr>
            </w:pPr>
            <w:r>
              <w:rPr>
                <w:rFonts w:hint="eastAsia" w:ascii="宋体" w:hAnsi="宋体" w:cs="宋体"/>
                <w:color w:val="000000"/>
                <w:szCs w:val="21"/>
              </w:rPr>
              <w:t>综合实力</w:t>
            </w:r>
          </w:p>
        </w:tc>
        <w:tc>
          <w:tcPr>
            <w:tcW w:w="6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cs="宋体"/>
                <w:color w:val="000000"/>
                <w:szCs w:val="21"/>
              </w:rPr>
            </w:pPr>
            <w:r>
              <w:rPr>
                <w:rFonts w:hint="eastAsia" w:ascii="宋体" w:hAnsi="宋体" w:cs="宋体"/>
                <w:color w:val="000000"/>
                <w:szCs w:val="21"/>
              </w:rPr>
              <w:t>5</w:t>
            </w:r>
          </w:p>
        </w:tc>
        <w:tc>
          <w:tcPr>
            <w:tcW w:w="766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ascii="宋体" w:hAnsi="宋体" w:cs="宋体"/>
                <w:bCs/>
                <w:szCs w:val="21"/>
              </w:rPr>
            </w:pPr>
            <w:r>
              <w:rPr>
                <w:rFonts w:hint="eastAsia" w:ascii="宋体" w:hAnsi="宋体" w:cs="宋体"/>
                <w:bCs/>
                <w:szCs w:val="21"/>
              </w:rPr>
              <w:t>投标人具有有效的质量管理体系认证证书、环境管理体系认证证书、职业健康安全管理体系认证证书、企业诚信管理体系认证证书、社会责任管理体系认证证书的，每一项得1分，最高得5分。</w:t>
            </w:r>
          </w:p>
          <w:p>
            <w:pPr>
              <w:spacing w:line="320" w:lineRule="exact"/>
              <w:jc w:val="left"/>
              <w:rPr>
                <w:rFonts w:hint="eastAsia" w:ascii="宋体" w:hAnsi="宋体" w:cs="宋体"/>
                <w:b/>
                <w:color w:val="000000"/>
                <w:szCs w:val="21"/>
              </w:rPr>
            </w:pPr>
            <w:r>
              <w:rPr>
                <w:rFonts w:hint="eastAsia" w:ascii="宋体" w:hAnsi="宋体" w:cs="宋体"/>
                <w:bCs/>
                <w:szCs w:val="21"/>
              </w:rPr>
              <w:t>提供证书复印件，否则不得分。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3" w:hRule="atLeast"/>
        </w:trPr>
        <w:tc>
          <w:tcPr>
            <w:tcW w:w="636" w:type="dxa"/>
            <w:vMerge w:val="continue"/>
            <w:tcBorders>
              <w:left w:val="single" w:color="auto" w:sz="4" w:space="0"/>
              <w:right w:val="single" w:color="auto" w:sz="4" w:space="0"/>
            </w:tcBorders>
            <w:noWrap w:val="0"/>
            <w:vAlign w:val="center"/>
          </w:tcPr>
          <w:p>
            <w:pPr>
              <w:spacing w:line="320" w:lineRule="exact"/>
              <w:ind w:right="3"/>
              <w:jc w:val="center"/>
              <w:rPr>
                <w:rFonts w:hint="eastAsia" w:ascii="宋体" w:hAnsi="宋体" w:cs="宋体"/>
                <w:b/>
                <w:color w:val="000000"/>
                <w:szCs w:val="21"/>
              </w:rPr>
            </w:pPr>
          </w:p>
        </w:tc>
        <w:tc>
          <w:tcPr>
            <w:tcW w:w="1149" w:type="dxa"/>
            <w:vMerge w:val="continue"/>
            <w:tcBorders>
              <w:left w:val="single" w:color="auto" w:sz="4" w:space="0"/>
              <w:bottom w:val="single" w:color="auto" w:sz="4" w:space="0"/>
              <w:right w:val="single" w:color="auto" w:sz="4" w:space="0"/>
            </w:tcBorders>
            <w:noWrap w:val="0"/>
            <w:vAlign w:val="center"/>
          </w:tcPr>
          <w:p>
            <w:pPr>
              <w:spacing w:line="320" w:lineRule="exact"/>
              <w:ind w:right="3"/>
              <w:jc w:val="center"/>
              <w:rPr>
                <w:rFonts w:hint="eastAsia" w:ascii="宋体" w:hAnsi="宋体" w:cs="宋体"/>
                <w:color w:val="000000"/>
                <w:szCs w:val="21"/>
              </w:rPr>
            </w:pPr>
          </w:p>
        </w:tc>
        <w:tc>
          <w:tcPr>
            <w:tcW w:w="68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cs="宋体"/>
                <w:szCs w:val="21"/>
              </w:rPr>
            </w:pPr>
            <w:r>
              <w:rPr>
                <w:rFonts w:hint="eastAsia" w:ascii="宋体" w:hAnsi="宋体" w:cs="宋体"/>
                <w:szCs w:val="21"/>
              </w:rPr>
              <w:t>1</w:t>
            </w:r>
          </w:p>
        </w:tc>
        <w:tc>
          <w:tcPr>
            <w:tcW w:w="766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cs="宋体"/>
                <w:color w:val="000000"/>
              </w:rPr>
            </w:pPr>
            <w:r>
              <w:rPr>
                <w:rFonts w:hint="eastAsia" w:ascii="宋体" w:hAnsi="宋体" w:cs="宋体"/>
                <w:color w:val="000000"/>
              </w:rPr>
              <w:t>投标人类似成功案例情况：</w:t>
            </w:r>
          </w:p>
          <w:p>
            <w:pPr>
              <w:spacing w:line="320" w:lineRule="exact"/>
              <w:jc w:val="left"/>
              <w:rPr>
                <w:rFonts w:hint="eastAsia" w:ascii="宋体" w:hAnsi="宋体" w:cs="宋体"/>
                <w:color w:val="000000"/>
              </w:rPr>
            </w:pPr>
            <w:r>
              <w:rPr>
                <w:rFonts w:hint="eastAsia" w:ascii="宋体" w:hAnsi="宋体" w:cs="宋体"/>
                <w:color w:val="000000"/>
              </w:rPr>
              <w:t>2019年1月1日以来（以签订合同日期为准），每提供一份类似保安管理合同得0.5分（以一年为单位），最多得1分。投标文件须提供已实施的合同复印件，没有提供不得分。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9" w:hRule="atLeast"/>
        </w:trPr>
        <w:tc>
          <w:tcPr>
            <w:tcW w:w="636" w:type="dxa"/>
            <w:vMerge w:val="continue"/>
            <w:tcBorders>
              <w:left w:val="single" w:color="auto" w:sz="4" w:space="0"/>
              <w:right w:val="single" w:color="auto" w:sz="4" w:space="0"/>
            </w:tcBorders>
            <w:noWrap w:val="0"/>
            <w:vAlign w:val="center"/>
          </w:tcPr>
          <w:p>
            <w:pPr>
              <w:spacing w:line="320" w:lineRule="exact"/>
              <w:jc w:val="center"/>
              <w:rPr>
                <w:rFonts w:hint="eastAsia" w:ascii="宋体" w:hAnsi="宋体" w:cs="宋体"/>
                <w:color w:val="000000"/>
                <w:szCs w:val="21"/>
              </w:rPr>
            </w:pPr>
          </w:p>
        </w:tc>
        <w:tc>
          <w:tcPr>
            <w:tcW w:w="1149" w:type="dxa"/>
            <w:vMerge w:val="restart"/>
            <w:tcBorders>
              <w:left w:val="single" w:color="auto" w:sz="4" w:space="0"/>
              <w:right w:val="single" w:color="auto" w:sz="4" w:space="0"/>
            </w:tcBorders>
            <w:noWrap w:val="0"/>
            <w:vAlign w:val="center"/>
          </w:tcPr>
          <w:p>
            <w:pPr>
              <w:spacing w:line="320" w:lineRule="exact"/>
              <w:jc w:val="center"/>
              <w:rPr>
                <w:rFonts w:hint="eastAsia" w:ascii="宋体" w:hAnsi="宋体" w:cs="宋体"/>
                <w:color w:val="000000"/>
              </w:rPr>
            </w:pPr>
            <w:r>
              <w:rPr>
                <w:rFonts w:hint="eastAsia" w:ascii="宋体" w:hAnsi="宋体" w:cs="宋体"/>
                <w:szCs w:val="21"/>
              </w:rPr>
              <w:t>团队人员情况</w:t>
            </w:r>
          </w:p>
        </w:tc>
        <w:tc>
          <w:tcPr>
            <w:tcW w:w="688" w:type="dxa"/>
            <w:tcBorders>
              <w:left w:val="single" w:color="auto" w:sz="4" w:space="0"/>
              <w:right w:val="single" w:color="auto" w:sz="4" w:space="0"/>
            </w:tcBorders>
            <w:noWrap w:val="0"/>
            <w:vAlign w:val="center"/>
          </w:tcPr>
          <w:p>
            <w:pPr>
              <w:widowControl/>
              <w:spacing w:line="320" w:lineRule="exact"/>
              <w:jc w:val="center"/>
              <w:rPr>
                <w:rFonts w:hint="eastAsia" w:ascii="宋体" w:hAnsi="宋体" w:cs="宋体"/>
                <w:color w:val="000000"/>
                <w:szCs w:val="21"/>
              </w:rPr>
            </w:pPr>
            <w:r>
              <w:rPr>
                <w:rFonts w:hint="eastAsia" w:ascii="宋体" w:hAnsi="宋体" w:cs="宋体"/>
                <w:color w:val="000000"/>
                <w:szCs w:val="21"/>
              </w:rPr>
              <w:t>2</w:t>
            </w:r>
          </w:p>
        </w:tc>
        <w:tc>
          <w:tcPr>
            <w:tcW w:w="766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cs="宋体"/>
                <w:color w:val="000000"/>
              </w:rPr>
            </w:pPr>
            <w:r>
              <w:rPr>
                <w:rFonts w:hint="eastAsia" w:ascii="宋体" w:hAnsi="宋体" w:cs="宋体"/>
                <w:color w:val="000000"/>
              </w:rPr>
              <w:t>项目实施总负责人具有二级保安师资格证书的，得2分。</w:t>
            </w:r>
          </w:p>
          <w:p>
            <w:pPr>
              <w:spacing w:line="320" w:lineRule="exact"/>
              <w:rPr>
                <w:rFonts w:hint="eastAsia" w:ascii="宋体" w:hAnsi="宋体" w:cs="宋体"/>
                <w:color w:val="000000"/>
              </w:rPr>
            </w:pPr>
            <w:r>
              <w:rPr>
                <w:rFonts w:hint="eastAsia" w:ascii="宋体" w:hAnsi="宋体" w:cs="宋体"/>
                <w:color w:val="000000"/>
              </w:rPr>
              <w:t>（须提供证书复印件以及项目实施总负责人最近三个月的社保缴纳清单复印件或签订劳动合同复印件，没有提供不得分）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9" w:hRule="atLeast"/>
        </w:trPr>
        <w:tc>
          <w:tcPr>
            <w:tcW w:w="636" w:type="dxa"/>
            <w:vMerge w:val="continue"/>
            <w:tcBorders>
              <w:left w:val="single" w:color="auto" w:sz="4" w:space="0"/>
              <w:right w:val="single" w:color="auto" w:sz="4" w:space="0"/>
            </w:tcBorders>
            <w:noWrap w:val="0"/>
            <w:vAlign w:val="center"/>
          </w:tcPr>
          <w:p>
            <w:pPr>
              <w:spacing w:line="320" w:lineRule="exact"/>
              <w:jc w:val="center"/>
              <w:rPr>
                <w:rFonts w:hint="eastAsia" w:ascii="宋体" w:hAnsi="宋体" w:cs="宋体"/>
                <w:color w:val="000000"/>
                <w:szCs w:val="21"/>
              </w:rPr>
            </w:pPr>
          </w:p>
        </w:tc>
        <w:tc>
          <w:tcPr>
            <w:tcW w:w="1149" w:type="dxa"/>
            <w:vMerge w:val="continue"/>
            <w:tcBorders>
              <w:left w:val="single" w:color="auto" w:sz="4" w:space="0"/>
              <w:right w:val="single" w:color="auto" w:sz="4" w:space="0"/>
            </w:tcBorders>
            <w:noWrap w:val="0"/>
            <w:vAlign w:val="center"/>
          </w:tcPr>
          <w:p>
            <w:pPr>
              <w:spacing w:line="320" w:lineRule="exact"/>
              <w:jc w:val="center"/>
              <w:rPr>
                <w:rFonts w:hint="eastAsia" w:ascii="宋体" w:hAnsi="宋体" w:cs="宋体"/>
                <w:color w:val="000000"/>
              </w:rPr>
            </w:pPr>
          </w:p>
        </w:tc>
        <w:tc>
          <w:tcPr>
            <w:tcW w:w="688" w:type="dxa"/>
            <w:tcBorders>
              <w:left w:val="single" w:color="auto" w:sz="4" w:space="0"/>
              <w:right w:val="single" w:color="auto" w:sz="4" w:space="0"/>
            </w:tcBorders>
            <w:noWrap w:val="0"/>
            <w:vAlign w:val="center"/>
          </w:tcPr>
          <w:p>
            <w:pPr>
              <w:widowControl/>
              <w:spacing w:line="320" w:lineRule="exact"/>
              <w:jc w:val="center"/>
              <w:rPr>
                <w:rFonts w:hint="eastAsia" w:ascii="宋体" w:hAnsi="宋体" w:cs="宋体"/>
                <w:color w:val="000000"/>
                <w:szCs w:val="21"/>
              </w:rPr>
            </w:pPr>
            <w:r>
              <w:rPr>
                <w:rFonts w:hint="eastAsia" w:ascii="宋体" w:hAnsi="宋体" w:cs="宋体"/>
                <w:color w:val="000000"/>
                <w:szCs w:val="21"/>
              </w:rPr>
              <w:t>2</w:t>
            </w:r>
          </w:p>
        </w:tc>
        <w:tc>
          <w:tcPr>
            <w:tcW w:w="766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cs="宋体"/>
                <w:color w:val="000000"/>
              </w:rPr>
            </w:pPr>
            <w:r>
              <w:rPr>
                <w:rFonts w:hint="eastAsia" w:ascii="宋体" w:hAnsi="宋体" w:cs="宋体"/>
                <w:color w:val="000000"/>
              </w:rPr>
              <w:t>2019年1月1日以来（以签订合同日期为准），项目总负责人具有类似保安服务管理经验的一个得1分，最高得2分。（须提供相关合同证明，若合同中未体现项目经理名字的需另附业主盖章证明材料，否则不得分）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2" w:hRule="atLeast"/>
        </w:trPr>
        <w:tc>
          <w:tcPr>
            <w:tcW w:w="636" w:type="dxa"/>
            <w:vMerge w:val="continue"/>
            <w:tcBorders>
              <w:left w:val="single" w:color="auto" w:sz="4" w:space="0"/>
              <w:right w:val="single" w:color="auto" w:sz="4" w:space="0"/>
            </w:tcBorders>
            <w:noWrap w:val="0"/>
            <w:vAlign w:val="center"/>
          </w:tcPr>
          <w:p>
            <w:pPr>
              <w:spacing w:line="320" w:lineRule="exact"/>
              <w:jc w:val="left"/>
              <w:rPr>
                <w:rFonts w:hint="eastAsia" w:ascii="宋体" w:hAnsi="宋体" w:cs="宋体"/>
                <w:color w:val="000000"/>
                <w:szCs w:val="21"/>
              </w:rPr>
            </w:pPr>
          </w:p>
        </w:tc>
        <w:tc>
          <w:tcPr>
            <w:tcW w:w="1149" w:type="dxa"/>
            <w:vMerge w:val="continue"/>
            <w:tcBorders>
              <w:left w:val="single" w:color="auto" w:sz="4" w:space="0"/>
              <w:right w:val="single" w:color="auto" w:sz="4" w:space="0"/>
            </w:tcBorders>
            <w:noWrap w:val="0"/>
            <w:vAlign w:val="center"/>
          </w:tcPr>
          <w:p>
            <w:pPr>
              <w:spacing w:line="320" w:lineRule="exact"/>
              <w:jc w:val="center"/>
              <w:rPr>
                <w:rFonts w:hint="eastAsia" w:ascii="宋体" w:hAnsi="宋体" w:cs="宋体"/>
                <w:color w:val="000000"/>
                <w:szCs w:val="21"/>
              </w:rPr>
            </w:pPr>
          </w:p>
        </w:tc>
        <w:tc>
          <w:tcPr>
            <w:tcW w:w="688" w:type="dxa"/>
            <w:tcBorders>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cs="宋体"/>
                <w:color w:val="000000"/>
                <w:szCs w:val="21"/>
              </w:rPr>
            </w:pPr>
            <w:r>
              <w:rPr>
                <w:rFonts w:hint="eastAsia" w:ascii="宋体" w:hAnsi="宋体" w:cs="宋体"/>
                <w:color w:val="000000"/>
                <w:szCs w:val="21"/>
              </w:rPr>
              <w:t>2</w:t>
            </w:r>
          </w:p>
        </w:tc>
        <w:tc>
          <w:tcPr>
            <w:tcW w:w="766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cs="宋体"/>
                <w:color w:val="000000"/>
              </w:rPr>
            </w:pPr>
            <w:r>
              <w:rPr>
                <w:rFonts w:hint="eastAsia" w:ascii="宋体" w:hAnsi="宋体" w:cs="宋体"/>
                <w:color w:val="000000"/>
              </w:rPr>
              <w:t>总负责人综合素质、行业经历等进行综合评议，0-2分。</w:t>
            </w:r>
          </w:p>
          <w:p>
            <w:pPr>
              <w:spacing w:line="320" w:lineRule="exact"/>
              <w:rPr>
                <w:rFonts w:hint="eastAsia" w:ascii="宋体" w:hAnsi="宋体" w:cs="宋体"/>
                <w:color w:val="000000"/>
              </w:rPr>
            </w:pPr>
            <w:r>
              <w:rPr>
                <w:rFonts w:hint="eastAsia" w:ascii="宋体" w:hAnsi="宋体" w:cs="宋体"/>
                <w:color w:val="000000"/>
              </w:rPr>
              <w:t>（须提供项目实施总负责人项目经历情况汇总表，项目实施总负责人相关证书及学历证明复印件）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66" w:hRule="atLeast"/>
        </w:trPr>
        <w:tc>
          <w:tcPr>
            <w:tcW w:w="636" w:type="dxa"/>
            <w:vMerge w:val="continue"/>
            <w:tcBorders>
              <w:left w:val="single" w:color="auto" w:sz="4" w:space="0"/>
              <w:right w:val="single" w:color="auto" w:sz="4" w:space="0"/>
            </w:tcBorders>
            <w:noWrap w:val="0"/>
            <w:vAlign w:val="center"/>
          </w:tcPr>
          <w:p>
            <w:pPr>
              <w:spacing w:line="320" w:lineRule="exact"/>
              <w:jc w:val="left"/>
              <w:rPr>
                <w:rFonts w:hint="eastAsia" w:ascii="宋体" w:hAnsi="宋体" w:cs="宋体"/>
                <w:color w:val="000000"/>
                <w:szCs w:val="21"/>
              </w:rPr>
            </w:pPr>
          </w:p>
        </w:tc>
        <w:tc>
          <w:tcPr>
            <w:tcW w:w="1149" w:type="dxa"/>
            <w:vMerge w:val="continue"/>
            <w:tcBorders>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color w:val="000000"/>
                <w:szCs w:val="21"/>
              </w:rPr>
            </w:pPr>
          </w:p>
        </w:tc>
        <w:tc>
          <w:tcPr>
            <w:tcW w:w="688" w:type="dxa"/>
            <w:tcBorders>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cs="宋体"/>
                <w:color w:val="000000"/>
                <w:szCs w:val="21"/>
              </w:rPr>
            </w:pPr>
            <w:r>
              <w:rPr>
                <w:rFonts w:hint="eastAsia" w:ascii="宋体" w:hAnsi="宋体" w:cs="宋体"/>
                <w:color w:val="000000"/>
                <w:szCs w:val="21"/>
              </w:rPr>
              <w:t>5</w:t>
            </w:r>
          </w:p>
        </w:tc>
        <w:tc>
          <w:tcPr>
            <w:tcW w:w="76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szCs w:val="21"/>
              </w:rPr>
              <w:t>本项目拟派的全部人员年龄结构符合招标文件要求且同时具有保安员证及《保安员国家职业技能等级证书》</w:t>
            </w:r>
            <w:r>
              <w:rPr>
                <w:rFonts w:hint="eastAsia" w:ascii="宋体" w:hAnsi="宋体" w:cs="宋体"/>
                <w:color w:val="000000"/>
                <w:szCs w:val="21"/>
              </w:rPr>
              <w:t>技术等级证书：初级保安员每人每证得0.1分，最高1分；中级保安员每人每证得0.2分，最高2分；高级保安员每人每证得0.5分，最高2分；保安师每人每证得0.5分，最高1分。本项累计最高5分。</w:t>
            </w:r>
            <w:r>
              <w:rPr>
                <w:rFonts w:hint="eastAsia" w:ascii="宋体" w:hAnsi="宋体" w:cs="宋体"/>
                <w:color w:val="000000"/>
              </w:rPr>
              <w:t>（须提供相关证书复印件，没有提供不得分）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0" w:hRule="atLeast"/>
        </w:trPr>
        <w:tc>
          <w:tcPr>
            <w:tcW w:w="636" w:type="dxa"/>
            <w:vMerge w:val="continue"/>
            <w:tcBorders>
              <w:left w:val="single" w:color="auto" w:sz="4" w:space="0"/>
              <w:right w:val="single" w:color="auto" w:sz="4" w:space="0"/>
            </w:tcBorders>
            <w:noWrap w:val="0"/>
            <w:vAlign w:val="center"/>
          </w:tcPr>
          <w:p>
            <w:pPr>
              <w:spacing w:line="320" w:lineRule="exact"/>
              <w:jc w:val="left"/>
              <w:rPr>
                <w:rFonts w:hint="eastAsia" w:ascii="宋体" w:hAnsi="宋体" w:cs="宋体"/>
                <w:color w:val="000000"/>
                <w:szCs w:val="21"/>
              </w:rPr>
            </w:pPr>
          </w:p>
        </w:tc>
        <w:tc>
          <w:tcPr>
            <w:tcW w:w="1149" w:type="dxa"/>
            <w:vMerge w:val="continue"/>
            <w:tcBorders>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color w:val="000000"/>
                <w:szCs w:val="21"/>
              </w:rPr>
            </w:pPr>
          </w:p>
        </w:tc>
        <w:tc>
          <w:tcPr>
            <w:tcW w:w="688" w:type="dxa"/>
            <w:tcBorders>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cs="宋体"/>
                <w:color w:val="000000"/>
                <w:szCs w:val="21"/>
              </w:rPr>
            </w:pPr>
            <w:r>
              <w:rPr>
                <w:rFonts w:hint="eastAsia" w:ascii="宋体" w:hAnsi="宋体" w:cs="宋体"/>
                <w:color w:val="000000"/>
                <w:szCs w:val="21"/>
              </w:rPr>
              <w:t>3</w:t>
            </w:r>
          </w:p>
        </w:tc>
        <w:tc>
          <w:tcPr>
            <w:tcW w:w="76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szCs w:val="21"/>
              </w:rPr>
              <w:t>退伍军人占全体人员比例，比例占50%及以上得3分，比例占50%-20%得2分，比例占20%及以下得1分，没有不得分。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2" w:hRule="atLeast"/>
        </w:trPr>
        <w:tc>
          <w:tcPr>
            <w:tcW w:w="636" w:type="dxa"/>
            <w:vMerge w:val="continue"/>
            <w:tcBorders>
              <w:left w:val="single" w:color="auto" w:sz="4" w:space="0"/>
              <w:right w:val="single" w:color="auto" w:sz="4" w:space="0"/>
            </w:tcBorders>
            <w:noWrap w:val="0"/>
            <w:vAlign w:val="center"/>
          </w:tcPr>
          <w:p>
            <w:pPr>
              <w:spacing w:line="320" w:lineRule="exact"/>
              <w:jc w:val="left"/>
              <w:rPr>
                <w:rFonts w:hint="eastAsia" w:ascii="宋体" w:hAnsi="宋体" w:cs="宋体"/>
                <w:color w:val="000000"/>
                <w:szCs w:val="21"/>
              </w:rPr>
            </w:pPr>
          </w:p>
        </w:tc>
        <w:tc>
          <w:tcPr>
            <w:tcW w:w="1149" w:type="dxa"/>
            <w:tcBorders>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color w:val="000000"/>
                <w:szCs w:val="21"/>
              </w:rPr>
            </w:pPr>
            <w:r>
              <w:rPr>
                <w:rFonts w:hint="eastAsia" w:ascii="宋体" w:hAnsi="宋体" w:cs="宋体"/>
                <w:color w:val="000000"/>
                <w:szCs w:val="21"/>
              </w:rPr>
              <w:t>现场讲标</w:t>
            </w:r>
          </w:p>
        </w:tc>
        <w:tc>
          <w:tcPr>
            <w:tcW w:w="688" w:type="dxa"/>
            <w:tcBorders>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cs="宋体"/>
                <w:color w:val="000000"/>
                <w:szCs w:val="21"/>
              </w:rPr>
            </w:pPr>
            <w:r>
              <w:rPr>
                <w:rFonts w:hint="eastAsia" w:ascii="宋体" w:hAnsi="宋体" w:cs="宋体"/>
                <w:color w:val="000000"/>
                <w:szCs w:val="21"/>
              </w:rPr>
              <w:t>5</w:t>
            </w:r>
          </w:p>
        </w:tc>
        <w:tc>
          <w:tcPr>
            <w:tcW w:w="766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cs="宋体"/>
                <w:color w:val="000000"/>
              </w:rPr>
            </w:pPr>
            <w:r>
              <w:rPr>
                <w:rFonts w:hint="eastAsia" w:ascii="宋体" w:hAnsi="宋体" w:cs="宋体"/>
                <w:color w:val="000000"/>
              </w:rPr>
              <w:t>根据本项目实施总负责人现场陈述对本项目的理解及针对医疗单位的管理思路情况得分，符合本项目实际情况，针对性强得5-4分；针对性较强得3.9-2分；针对性一般得1.9-0分。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1" w:hRule="atLeast"/>
        </w:trPr>
        <w:tc>
          <w:tcPr>
            <w:tcW w:w="636" w:type="dxa"/>
            <w:vMerge w:val="restart"/>
            <w:tcBorders>
              <w:left w:val="single" w:color="auto" w:sz="4" w:space="0"/>
              <w:right w:val="single" w:color="auto" w:sz="4" w:space="0"/>
            </w:tcBorders>
            <w:noWrap w:val="0"/>
            <w:vAlign w:val="center"/>
          </w:tcPr>
          <w:p>
            <w:pPr>
              <w:spacing w:line="320" w:lineRule="exact"/>
              <w:ind w:firstLine="105" w:firstLineChars="50"/>
              <w:rPr>
                <w:rFonts w:hint="eastAsia" w:ascii="宋体" w:hAnsi="宋体" w:cs="宋体"/>
                <w:color w:val="000000"/>
                <w:szCs w:val="21"/>
              </w:rPr>
            </w:pPr>
            <w:r>
              <w:rPr>
                <w:rFonts w:hint="eastAsia" w:ascii="宋体" w:hAnsi="宋体" w:cs="宋体"/>
                <w:color w:val="000000"/>
                <w:szCs w:val="21"/>
              </w:rPr>
              <w:t>技</w:t>
            </w:r>
          </w:p>
          <w:p>
            <w:pPr>
              <w:spacing w:line="320" w:lineRule="exact"/>
              <w:jc w:val="center"/>
              <w:rPr>
                <w:rFonts w:hint="eastAsia" w:ascii="宋体" w:hAnsi="宋体" w:cs="宋体"/>
                <w:color w:val="000000"/>
                <w:szCs w:val="21"/>
              </w:rPr>
            </w:pPr>
            <w:r>
              <w:rPr>
                <w:rFonts w:hint="eastAsia" w:ascii="宋体" w:hAnsi="宋体" w:cs="宋体"/>
                <w:color w:val="000000"/>
                <w:szCs w:val="21"/>
              </w:rPr>
              <w:t>术</w:t>
            </w:r>
          </w:p>
          <w:p>
            <w:pPr>
              <w:spacing w:line="320" w:lineRule="exact"/>
              <w:jc w:val="center"/>
              <w:rPr>
                <w:rFonts w:hint="eastAsia" w:ascii="宋体" w:hAnsi="宋体" w:cs="宋体"/>
                <w:color w:val="000000"/>
                <w:szCs w:val="21"/>
              </w:rPr>
            </w:pPr>
            <w:r>
              <w:rPr>
                <w:rFonts w:hint="eastAsia" w:ascii="宋体" w:hAnsi="宋体" w:cs="宋体"/>
                <w:color w:val="000000"/>
                <w:szCs w:val="21"/>
              </w:rPr>
              <w:t>部</w:t>
            </w:r>
          </w:p>
          <w:p>
            <w:pPr>
              <w:spacing w:line="320" w:lineRule="exact"/>
              <w:jc w:val="center"/>
              <w:rPr>
                <w:rFonts w:hint="eastAsia" w:ascii="宋体" w:hAnsi="宋体" w:cs="宋体"/>
                <w:color w:val="000000"/>
                <w:szCs w:val="21"/>
              </w:rPr>
            </w:pPr>
            <w:r>
              <w:rPr>
                <w:rFonts w:hint="eastAsia" w:ascii="宋体" w:hAnsi="宋体" w:cs="宋体"/>
                <w:color w:val="000000"/>
                <w:szCs w:val="21"/>
              </w:rPr>
              <w:t>分</w:t>
            </w:r>
          </w:p>
          <w:p>
            <w:pPr>
              <w:tabs>
                <w:tab w:val="left" w:pos="207"/>
                <w:tab w:val="center" w:pos="380"/>
              </w:tabs>
              <w:spacing w:line="320" w:lineRule="exact"/>
              <w:jc w:val="center"/>
              <w:rPr>
                <w:rFonts w:hint="eastAsia" w:ascii="宋体" w:hAnsi="宋体" w:cs="宋体"/>
                <w:color w:val="000000"/>
                <w:szCs w:val="21"/>
              </w:rPr>
            </w:pPr>
            <w:r>
              <w:rPr>
                <w:rFonts w:hint="eastAsia" w:ascii="宋体" w:hAnsi="宋体" w:cs="宋体"/>
                <w:color w:val="000000"/>
              </w:rPr>
              <w:t>65</w:t>
            </w:r>
            <w:r>
              <w:rPr>
                <w:rFonts w:hint="eastAsia" w:ascii="宋体" w:hAnsi="宋体" w:cs="宋体"/>
                <w:color w:val="000000"/>
                <w:szCs w:val="21"/>
              </w:rPr>
              <w:t>分</w:t>
            </w:r>
          </w:p>
        </w:tc>
        <w:tc>
          <w:tcPr>
            <w:tcW w:w="1149" w:type="dxa"/>
            <w:tcBorders>
              <w:top w:val="single" w:color="auto" w:sz="4" w:space="0"/>
              <w:left w:val="single" w:color="auto" w:sz="4" w:space="0"/>
              <w:right w:val="single" w:color="auto" w:sz="4" w:space="0"/>
            </w:tcBorders>
            <w:noWrap w:val="0"/>
            <w:vAlign w:val="center"/>
          </w:tcPr>
          <w:p>
            <w:pPr>
              <w:spacing w:line="320" w:lineRule="exact"/>
              <w:jc w:val="center"/>
              <w:rPr>
                <w:rFonts w:hint="eastAsia" w:ascii="宋体" w:hAnsi="宋体" w:cs="宋体"/>
                <w:color w:val="000000"/>
                <w:szCs w:val="21"/>
              </w:rPr>
            </w:pPr>
            <w:r>
              <w:rPr>
                <w:rFonts w:hint="eastAsia" w:ascii="宋体" w:hAnsi="宋体" w:cs="宋体"/>
                <w:color w:val="000000"/>
                <w:szCs w:val="21"/>
              </w:rPr>
              <w:t>保安管理实施方案</w:t>
            </w:r>
          </w:p>
        </w:tc>
        <w:tc>
          <w:tcPr>
            <w:tcW w:w="688" w:type="dxa"/>
            <w:tcBorders>
              <w:top w:val="single" w:color="auto" w:sz="4" w:space="0"/>
              <w:left w:val="single" w:color="auto" w:sz="4" w:space="0"/>
              <w:right w:val="single" w:color="auto" w:sz="4" w:space="0"/>
            </w:tcBorders>
            <w:noWrap w:val="0"/>
            <w:vAlign w:val="center"/>
          </w:tcPr>
          <w:p>
            <w:pPr>
              <w:widowControl/>
              <w:spacing w:line="320" w:lineRule="exact"/>
              <w:jc w:val="center"/>
              <w:rPr>
                <w:rFonts w:ascii="宋体" w:hAnsi="宋体" w:cs="宋体"/>
                <w:color w:val="000000"/>
                <w:szCs w:val="21"/>
              </w:rPr>
            </w:pPr>
            <w:r>
              <w:rPr>
                <w:rFonts w:hint="eastAsia" w:ascii="宋体" w:hAnsi="宋体" w:cs="宋体"/>
                <w:color w:val="000000"/>
                <w:szCs w:val="21"/>
              </w:rPr>
              <w:t>10</w:t>
            </w:r>
          </w:p>
        </w:tc>
        <w:tc>
          <w:tcPr>
            <w:tcW w:w="7668" w:type="dxa"/>
            <w:tcBorders>
              <w:top w:val="single" w:color="auto" w:sz="4" w:space="0"/>
              <w:left w:val="single" w:color="auto" w:sz="4" w:space="0"/>
              <w:right w:val="single" w:color="auto" w:sz="4" w:space="0"/>
            </w:tcBorders>
            <w:noWrap w:val="0"/>
            <w:vAlign w:val="center"/>
          </w:tcPr>
          <w:p>
            <w:pPr>
              <w:autoSpaceDE w:val="0"/>
              <w:autoSpaceDN w:val="0"/>
              <w:adjustRightInd w:val="0"/>
              <w:spacing w:line="360" w:lineRule="exact"/>
              <w:rPr>
                <w:rFonts w:hint="eastAsia" w:ascii="宋体" w:hAnsi="宋体" w:cs="宋体"/>
                <w:color w:val="000000"/>
                <w:szCs w:val="21"/>
              </w:rPr>
            </w:pPr>
            <w:r>
              <w:rPr>
                <w:rFonts w:hint="eastAsia" w:ascii="宋体" w:hAnsi="宋体" w:cs="宋体"/>
                <w:color w:val="000000"/>
                <w:spacing w:val="-6"/>
              </w:rPr>
              <w:t>评委根据投标人针对本项目安保服务的实施方案</w:t>
            </w:r>
            <w:r>
              <w:rPr>
                <w:rFonts w:hint="eastAsia" w:ascii="宋体" w:hAnsi="宋体" w:cs="宋体"/>
                <w:color w:val="000000"/>
              </w:rPr>
              <w:t>、实施地点现场考察、调研后提出的安保服务实施的重点、难点和解决措施的方案</w:t>
            </w:r>
            <w:r>
              <w:rPr>
                <w:rFonts w:hint="eastAsia" w:ascii="宋体" w:hAnsi="宋体" w:cs="宋体"/>
                <w:color w:val="000000"/>
                <w:spacing w:val="-6"/>
              </w:rPr>
              <w:t>，以及方案的合理情况、全面、</w:t>
            </w:r>
            <w:r>
              <w:rPr>
                <w:rFonts w:hint="eastAsia" w:ascii="宋体" w:hAnsi="宋体" w:cs="宋体"/>
                <w:color w:val="000000"/>
              </w:rPr>
              <w:t>重点、难点解决措施是否有符合实际情况的针对性、有效性、合理情况进行综合评分。方案内容合理、针对性强得10-8分；方案内容较合理、针对性较强得7.9-5分；方案内容基本响应，但针对性一般得4.9-1分。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9" w:hRule="atLeast"/>
        </w:trPr>
        <w:tc>
          <w:tcPr>
            <w:tcW w:w="636" w:type="dxa"/>
            <w:vMerge w:val="continue"/>
            <w:tcBorders>
              <w:left w:val="single" w:color="auto" w:sz="4" w:space="0"/>
              <w:right w:val="single" w:color="auto" w:sz="4" w:space="0"/>
            </w:tcBorders>
            <w:noWrap w:val="0"/>
            <w:vAlign w:val="center"/>
          </w:tcPr>
          <w:p>
            <w:pPr>
              <w:spacing w:line="320" w:lineRule="exact"/>
              <w:ind w:firstLine="105" w:firstLineChars="50"/>
              <w:rPr>
                <w:rFonts w:hint="eastAsia" w:ascii="宋体" w:hAnsi="宋体" w:cs="宋体"/>
                <w:color w:val="000000"/>
                <w:szCs w:val="21"/>
              </w:rPr>
            </w:pPr>
          </w:p>
        </w:tc>
        <w:tc>
          <w:tcPr>
            <w:tcW w:w="1149" w:type="dxa"/>
            <w:tcBorders>
              <w:top w:val="single" w:color="auto" w:sz="4" w:space="0"/>
              <w:left w:val="single" w:color="auto" w:sz="4" w:space="0"/>
              <w:right w:val="single" w:color="auto" w:sz="4" w:space="0"/>
            </w:tcBorders>
            <w:noWrap w:val="0"/>
            <w:vAlign w:val="center"/>
          </w:tcPr>
          <w:p>
            <w:pPr>
              <w:spacing w:line="320" w:lineRule="exact"/>
              <w:jc w:val="center"/>
              <w:rPr>
                <w:rFonts w:hint="eastAsia" w:ascii="宋体" w:hAnsi="宋体" w:cs="宋体"/>
                <w:color w:val="000000"/>
                <w:szCs w:val="21"/>
              </w:rPr>
            </w:pPr>
            <w:r>
              <w:rPr>
                <w:rFonts w:hint="eastAsia" w:ascii="宋体" w:hAnsi="宋体" w:cs="宋体"/>
                <w:color w:val="000000"/>
              </w:rPr>
              <w:t>保安人员素质情况</w:t>
            </w:r>
          </w:p>
        </w:tc>
        <w:tc>
          <w:tcPr>
            <w:tcW w:w="688" w:type="dxa"/>
            <w:tcBorders>
              <w:top w:val="single" w:color="auto" w:sz="4" w:space="0"/>
              <w:left w:val="single" w:color="auto" w:sz="4" w:space="0"/>
              <w:right w:val="single" w:color="auto" w:sz="4" w:space="0"/>
            </w:tcBorders>
            <w:noWrap w:val="0"/>
            <w:vAlign w:val="center"/>
          </w:tcPr>
          <w:p>
            <w:pPr>
              <w:widowControl/>
              <w:spacing w:line="320" w:lineRule="exact"/>
              <w:jc w:val="center"/>
              <w:rPr>
                <w:rFonts w:hint="eastAsia" w:ascii="宋体" w:hAnsi="宋体" w:cs="宋体"/>
                <w:color w:val="000000"/>
                <w:szCs w:val="21"/>
              </w:rPr>
            </w:pPr>
            <w:r>
              <w:rPr>
                <w:rFonts w:hint="eastAsia" w:ascii="宋体" w:hAnsi="宋体" w:cs="宋体"/>
                <w:color w:val="000000"/>
                <w:szCs w:val="21"/>
              </w:rPr>
              <w:t>10</w:t>
            </w:r>
          </w:p>
        </w:tc>
        <w:tc>
          <w:tcPr>
            <w:tcW w:w="7668" w:type="dxa"/>
            <w:tcBorders>
              <w:top w:val="single" w:color="auto" w:sz="4" w:space="0"/>
              <w:left w:val="single" w:color="auto" w:sz="4" w:space="0"/>
              <w:right w:val="single" w:color="auto" w:sz="4" w:space="0"/>
            </w:tcBorders>
            <w:noWrap w:val="0"/>
            <w:vAlign w:val="center"/>
          </w:tcPr>
          <w:p>
            <w:pPr>
              <w:autoSpaceDE w:val="0"/>
              <w:autoSpaceDN w:val="0"/>
              <w:adjustRightInd w:val="0"/>
              <w:spacing w:line="360" w:lineRule="exact"/>
              <w:rPr>
                <w:rFonts w:hint="eastAsia" w:ascii="宋体" w:hAnsi="宋体" w:cs="宋体"/>
              </w:rPr>
            </w:pPr>
            <w:r>
              <w:rPr>
                <w:rFonts w:hint="eastAsia" w:ascii="宋体" w:hAnsi="宋体" w:cs="宋体"/>
              </w:rPr>
              <w:t>根据投标人针对本项目拟投入的保安人员综合素质（是否具有医院心肺复苏、消防安全等相关培训证明材料的）、年龄结构、设备配备等情况进行综合评议，综合素质强和设备配备齐全得</w:t>
            </w:r>
            <w:r>
              <w:rPr>
                <w:rFonts w:hint="eastAsia" w:ascii="宋体" w:hAnsi="宋体" w:cs="宋体"/>
                <w:color w:val="000000"/>
              </w:rPr>
              <w:t>10-8分</w:t>
            </w:r>
            <w:r>
              <w:rPr>
                <w:rFonts w:hint="eastAsia" w:ascii="宋体" w:hAnsi="宋体" w:cs="宋体"/>
              </w:rPr>
              <w:t>；综合素质较强和设备配备较齐全得</w:t>
            </w:r>
            <w:r>
              <w:rPr>
                <w:rFonts w:hint="eastAsia" w:ascii="宋体" w:hAnsi="宋体" w:cs="宋体"/>
                <w:color w:val="000000"/>
              </w:rPr>
              <w:t>7.9-5分</w:t>
            </w:r>
            <w:r>
              <w:rPr>
                <w:rFonts w:hint="eastAsia" w:ascii="宋体" w:hAnsi="宋体" w:cs="宋体"/>
              </w:rPr>
              <w:t>；综合素质和设备配备一般得</w:t>
            </w:r>
            <w:r>
              <w:rPr>
                <w:rFonts w:hint="eastAsia" w:ascii="宋体" w:hAnsi="宋体" w:cs="宋体"/>
                <w:color w:val="000000"/>
              </w:rPr>
              <w:t>4.9-1</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9" w:hRule="atLeast"/>
        </w:trPr>
        <w:tc>
          <w:tcPr>
            <w:tcW w:w="636" w:type="dxa"/>
            <w:vMerge w:val="continue"/>
            <w:tcBorders>
              <w:left w:val="single" w:color="auto" w:sz="4" w:space="0"/>
              <w:right w:val="single" w:color="auto" w:sz="4" w:space="0"/>
            </w:tcBorders>
            <w:noWrap w:val="0"/>
            <w:vAlign w:val="center"/>
          </w:tcPr>
          <w:p>
            <w:pPr>
              <w:spacing w:line="320" w:lineRule="exact"/>
              <w:ind w:firstLine="105" w:firstLineChars="50"/>
              <w:rPr>
                <w:rFonts w:hint="eastAsia" w:ascii="宋体" w:hAnsi="宋体" w:cs="宋体"/>
                <w:color w:val="000000"/>
                <w:szCs w:val="21"/>
              </w:rPr>
            </w:pPr>
          </w:p>
        </w:tc>
        <w:tc>
          <w:tcPr>
            <w:tcW w:w="1149" w:type="dxa"/>
            <w:tcBorders>
              <w:top w:val="single" w:color="auto" w:sz="4" w:space="0"/>
              <w:left w:val="single" w:color="auto" w:sz="4" w:space="0"/>
              <w:right w:val="single" w:color="auto" w:sz="4" w:space="0"/>
            </w:tcBorders>
            <w:noWrap w:val="0"/>
            <w:vAlign w:val="center"/>
          </w:tcPr>
          <w:p>
            <w:pPr>
              <w:spacing w:line="360" w:lineRule="exact"/>
              <w:jc w:val="center"/>
              <w:rPr>
                <w:rFonts w:hint="eastAsia" w:ascii="宋体" w:hAnsi="宋体" w:cs="宋体"/>
                <w:color w:val="000000"/>
              </w:rPr>
            </w:pPr>
            <w:r>
              <w:rPr>
                <w:rFonts w:hint="eastAsia" w:ascii="宋体" w:hAnsi="宋体" w:cs="宋体"/>
                <w:color w:val="000000"/>
                <w:kern w:val="1"/>
                <w:szCs w:val="21"/>
              </w:rPr>
              <w:t>项目培训</w:t>
            </w:r>
          </w:p>
        </w:tc>
        <w:tc>
          <w:tcPr>
            <w:tcW w:w="688" w:type="dxa"/>
            <w:tcBorders>
              <w:top w:val="single" w:color="auto" w:sz="4" w:space="0"/>
              <w:left w:val="single" w:color="auto" w:sz="4" w:space="0"/>
              <w:right w:val="single" w:color="auto" w:sz="4" w:space="0"/>
            </w:tcBorders>
            <w:noWrap w:val="0"/>
            <w:vAlign w:val="center"/>
          </w:tcPr>
          <w:p>
            <w:pPr>
              <w:widowControl/>
              <w:spacing w:line="360" w:lineRule="exact"/>
              <w:jc w:val="center"/>
              <w:rPr>
                <w:rFonts w:hint="eastAsia" w:ascii="宋体" w:hAnsi="宋体" w:cs="宋体"/>
                <w:color w:val="000000"/>
                <w:szCs w:val="21"/>
              </w:rPr>
            </w:pPr>
            <w:r>
              <w:rPr>
                <w:rFonts w:hint="eastAsia" w:ascii="宋体" w:hAnsi="宋体" w:cs="宋体"/>
                <w:color w:val="000000"/>
                <w:kern w:val="1"/>
              </w:rPr>
              <w:t>6</w:t>
            </w:r>
          </w:p>
        </w:tc>
        <w:tc>
          <w:tcPr>
            <w:tcW w:w="7668" w:type="dxa"/>
            <w:tcBorders>
              <w:top w:val="single" w:color="auto" w:sz="4" w:space="0"/>
              <w:left w:val="single" w:color="auto" w:sz="4" w:space="0"/>
              <w:right w:val="single" w:color="auto" w:sz="4" w:space="0"/>
            </w:tcBorders>
            <w:noWrap w:val="0"/>
            <w:vAlign w:val="center"/>
          </w:tcPr>
          <w:p>
            <w:pPr>
              <w:adjustRightInd w:val="0"/>
              <w:spacing w:line="360" w:lineRule="exact"/>
              <w:rPr>
                <w:rFonts w:hint="eastAsia" w:ascii="宋体" w:hAnsi="宋体" w:cs="宋体"/>
                <w:color w:val="000000"/>
                <w:spacing w:val="-6"/>
              </w:rPr>
            </w:pPr>
            <w:r>
              <w:rPr>
                <w:rFonts w:hint="eastAsia" w:ascii="宋体" w:hAnsi="宋体" w:cs="宋体"/>
                <w:color w:val="000000"/>
                <w:spacing w:val="-6"/>
                <w:szCs w:val="24"/>
              </w:rPr>
              <w:t>提供完善且有针对性的上岗培训和在岗培训方案，有详细的培训计划，由评委综合评定打分。培训方案和计划缜密的，得6-4分；有一定培训方案和计划的，得3.9-2分；无培训计划或计划不可行的，得1.9-0分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9" w:hRule="atLeast"/>
        </w:trPr>
        <w:tc>
          <w:tcPr>
            <w:tcW w:w="636" w:type="dxa"/>
            <w:vMerge w:val="continue"/>
            <w:tcBorders>
              <w:left w:val="single" w:color="auto" w:sz="4" w:space="0"/>
              <w:right w:val="single" w:color="auto" w:sz="4" w:space="0"/>
            </w:tcBorders>
            <w:noWrap w:val="0"/>
            <w:vAlign w:val="center"/>
          </w:tcPr>
          <w:p>
            <w:pPr>
              <w:spacing w:line="320" w:lineRule="exact"/>
              <w:ind w:firstLine="105" w:firstLineChars="50"/>
              <w:rPr>
                <w:rFonts w:hint="eastAsia" w:ascii="宋体" w:hAnsi="宋体" w:cs="宋体"/>
                <w:color w:val="000000"/>
                <w:szCs w:val="21"/>
              </w:rPr>
            </w:pPr>
          </w:p>
        </w:tc>
        <w:tc>
          <w:tcPr>
            <w:tcW w:w="1149"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装备、设施</w:t>
            </w:r>
          </w:p>
        </w:tc>
        <w:tc>
          <w:tcPr>
            <w:tcW w:w="688" w:type="dxa"/>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color w:val="000000"/>
                <w:kern w:val="1"/>
              </w:rPr>
            </w:pPr>
            <w:r>
              <w:rPr>
                <w:rFonts w:hint="eastAsia" w:ascii="宋体" w:hAnsi="宋体" w:cs="宋体"/>
                <w:color w:val="000000"/>
                <w:kern w:val="1"/>
              </w:rPr>
              <w:t>6</w:t>
            </w:r>
          </w:p>
        </w:tc>
        <w:tc>
          <w:tcPr>
            <w:tcW w:w="7668" w:type="dxa"/>
            <w:tcBorders>
              <w:top w:val="single" w:color="auto" w:sz="4" w:space="0"/>
              <w:left w:val="single" w:color="auto" w:sz="4" w:space="0"/>
              <w:right w:val="single" w:color="auto" w:sz="4" w:space="0"/>
            </w:tcBorders>
            <w:noWrap w:val="0"/>
            <w:vAlign w:val="center"/>
          </w:tcPr>
          <w:p>
            <w:pPr>
              <w:autoSpaceDE w:val="0"/>
              <w:autoSpaceDN w:val="0"/>
              <w:adjustRightInd w:val="0"/>
              <w:spacing w:line="360" w:lineRule="exact"/>
              <w:rPr>
                <w:rFonts w:hint="eastAsia" w:ascii="宋体" w:hAnsi="宋体" w:cs="宋体"/>
                <w:color w:val="000000"/>
                <w:spacing w:val="-6"/>
              </w:rPr>
            </w:pPr>
            <w:r>
              <w:rPr>
                <w:rFonts w:hint="eastAsia" w:ascii="宋体" w:hAnsi="宋体" w:cs="宋体"/>
                <w:color w:val="000000"/>
                <w:spacing w:val="-6"/>
              </w:rPr>
              <w:t>根据投标人配置的装备、器材、设施的系统性、完整性、选用档次进行综合评议，</w:t>
            </w:r>
            <w:r>
              <w:rPr>
                <w:rFonts w:hint="eastAsia" w:ascii="宋体" w:hAnsi="宋体" w:cs="宋体"/>
                <w:color w:val="000000"/>
              </w:rPr>
              <w:t>满足本项目需求的，得6-4分；基本满足本项目需求的，得3.9-2分；满足本项目需求程度一般的，得1.9-0分。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9" w:hRule="atLeast"/>
        </w:trPr>
        <w:tc>
          <w:tcPr>
            <w:tcW w:w="636" w:type="dxa"/>
            <w:vMerge w:val="continue"/>
            <w:tcBorders>
              <w:left w:val="single" w:color="auto" w:sz="4" w:space="0"/>
              <w:right w:val="single" w:color="auto" w:sz="4" w:space="0"/>
            </w:tcBorders>
            <w:noWrap w:val="0"/>
            <w:vAlign w:val="center"/>
          </w:tcPr>
          <w:p>
            <w:pPr>
              <w:spacing w:line="320" w:lineRule="exact"/>
              <w:ind w:firstLine="105" w:firstLineChars="50"/>
              <w:rPr>
                <w:rFonts w:hint="eastAsia" w:ascii="宋体" w:hAnsi="宋体" w:cs="宋体"/>
                <w:color w:val="000000"/>
                <w:szCs w:val="21"/>
              </w:rPr>
            </w:pPr>
          </w:p>
        </w:tc>
        <w:tc>
          <w:tcPr>
            <w:tcW w:w="1149"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color w:val="000000"/>
                <w:szCs w:val="22"/>
              </w:rPr>
            </w:pPr>
            <w:r>
              <w:rPr>
                <w:rFonts w:hint="eastAsia" w:ascii="宋体" w:hAnsi="宋体" w:cs="宋体"/>
                <w:color w:val="000000"/>
                <w:kern w:val="1"/>
                <w:szCs w:val="21"/>
              </w:rPr>
              <w:t>保安档案的管理</w:t>
            </w:r>
          </w:p>
        </w:tc>
        <w:tc>
          <w:tcPr>
            <w:tcW w:w="688" w:type="dxa"/>
            <w:tcBorders>
              <w:top w:val="single" w:color="auto" w:sz="4" w:space="0"/>
              <w:left w:val="single" w:color="auto" w:sz="4" w:space="0"/>
              <w:right w:val="single" w:color="auto" w:sz="4" w:space="0"/>
            </w:tcBorders>
            <w:noWrap w:val="0"/>
            <w:vAlign w:val="center"/>
          </w:tcPr>
          <w:p>
            <w:pPr>
              <w:widowControl/>
              <w:jc w:val="center"/>
              <w:rPr>
                <w:rFonts w:ascii="宋体" w:hAnsi="宋体" w:cs="宋体"/>
                <w:color w:val="000000"/>
                <w:spacing w:val="4"/>
                <w:szCs w:val="21"/>
              </w:rPr>
            </w:pPr>
            <w:r>
              <w:rPr>
                <w:rFonts w:hint="eastAsia" w:ascii="宋体" w:hAnsi="宋体" w:cs="宋体"/>
                <w:color w:val="000000"/>
                <w:spacing w:val="4"/>
                <w:szCs w:val="21"/>
              </w:rPr>
              <w:t>6</w:t>
            </w:r>
          </w:p>
        </w:tc>
        <w:tc>
          <w:tcPr>
            <w:tcW w:w="7668" w:type="dxa"/>
            <w:tcBorders>
              <w:top w:val="single" w:color="auto" w:sz="4" w:space="0"/>
              <w:left w:val="single" w:color="auto" w:sz="4" w:space="0"/>
              <w:right w:val="single" w:color="auto" w:sz="4" w:space="0"/>
            </w:tcBorders>
            <w:noWrap w:val="0"/>
            <w:vAlign w:val="center"/>
          </w:tcPr>
          <w:p>
            <w:pPr>
              <w:autoSpaceDE w:val="0"/>
              <w:autoSpaceDN w:val="0"/>
              <w:adjustRightInd w:val="0"/>
              <w:spacing w:line="360" w:lineRule="exact"/>
              <w:rPr>
                <w:rFonts w:hint="eastAsia" w:ascii="宋体" w:hAnsi="宋体" w:cs="宋体"/>
                <w:color w:val="000000"/>
                <w:spacing w:val="-6"/>
              </w:rPr>
            </w:pPr>
            <w:r>
              <w:rPr>
                <w:rFonts w:hint="eastAsia" w:ascii="宋体" w:hAnsi="宋体" w:cs="宋体"/>
                <w:color w:val="000000"/>
                <w:spacing w:val="-6"/>
              </w:rPr>
              <w:t>根据提供的保安档案建立与保存措施以及交接过渡工作方案是否具体、细致、完善、可行性等情况进行综合评议，</w:t>
            </w:r>
            <w:r>
              <w:rPr>
                <w:rFonts w:hint="eastAsia" w:ascii="宋体" w:hAnsi="宋体" w:cs="宋体"/>
                <w:color w:val="000000"/>
              </w:rPr>
              <w:t>完善、</w:t>
            </w:r>
            <w:r>
              <w:rPr>
                <w:rFonts w:hint="eastAsia" w:ascii="宋体" w:hAnsi="宋体" w:cs="宋体"/>
                <w:color w:val="000000"/>
                <w:spacing w:val="-6"/>
              </w:rPr>
              <w:t>可行性好</w:t>
            </w:r>
            <w:r>
              <w:rPr>
                <w:rFonts w:hint="eastAsia" w:ascii="宋体" w:hAnsi="宋体" w:cs="宋体"/>
                <w:color w:val="000000"/>
              </w:rPr>
              <w:t>，得6-4分；基本完善、</w:t>
            </w:r>
            <w:r>
              <w:rPr>
                <w:rFonts w:hint="eastAsia" w:ascii="宋体" w:hAnsi="宋体" w:cs="宋体"/>
                <w:color w:val="000000"/>
                <w:spacing w:val="-6"/>
              </w:rPr>
              <w:t>可行</w:t>
            </w:r>
            <w:r>
              <w:rPr>
                <w:rFonts w:hint="eastAsia" w:ascii="宋体" w:hAnsi="宋体" w:cs="宋体"/>
                <w:color w:val="000000"/>
              </w:rPr>
              <w:t>的，得3.9-2分；不够完善、</w:t>
            </w:r>
            <w:r>
              <w:rPr>
                <w:rFonts w:hint="eastAsia" w:ascii="宋体" w:hAnsi="宋体" w:cs="宋体"/>
                <w:color w:val="000000"/>
                <w:spacing w:val="-6"/>
              </w:rPr>
              <w:t>可行性</w:t>
            </w:r>
            <w:r>
              <w:rPr>
                <w:rFonts w:hint="eastAsia" w:ascii="宋体" w:hAnsi="宋体" w:cs="宋体"/>
                <w:color w:val="000000"/>
              </w:rPr>
              <w:t>一般的，得1.9-0分。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24" w:hRule="atLeast"/>
        </w:trPr>
        <w:tc>
          <w:tcPr>
            <w:tcW w:w="636" w:type="dxa"/>
            <w:vMerge w:val="continue"/>
            <w:tcBorders>
              <w:left w:val="single" w:color="auto" w:sz="4" w:space="0"/>
              <w:right w:val="single" w:color="auto" w:sz="4" w:space="0"/>
            </w:tcBorders>
            <w:noWrap w:val="0"/>
            <w:vAlign w:val="center"/>
          </w:tcPr>
          <w:p>
            <w:pPr>
              <w:spacing w:line="320" w:lineRule="exact"/>
              <w:ind w:firstLine="105" w:firstLineChars="50"/>
              <w:rPr>
                <w:rFonts w:hint="eastAsia" w:ascii="宋体" w:hAnsi="宋体" w:cs="宋体"/>
                <w:color w:val="FF0000"/>
                <w:szCs w:val="21"/>
              </w:rPr>
            </w:pPr>
          </w:p>
        </w:tc>
        <w:tc>
          <w:tcPr>
            <w:tcW w:w="1149" w:type="dxa"/>
            <w:vMerge w:val="restart"/>
            <w:tcBorders>
              <w:left w:val="single" w:color="auto" w:sz="4" w:space="0"/>
              <w:right w:val="single" w:color="auto" w:sz="4" w:space="0"/>
            </w:tcBorders>
            <w:noWrap w:val="0"/>
            <w:vAlign w:val="center"/>
          </w:tcPr>
          <w:p>
            <w:pPr>
              <w:jc w:val="center"/>
              <w:rPr>
                <w:rFonts w:hint="eastAsia" w:ascii="宋体" w:hAnsi="宋体" w:cs="宋体"/>
                <w:color w:val="000000"/>
              </w:rPr>
            </w:pPr>
            <w:r>
              <w:rPr>
                <w:rFonts w:hint="eastAsia" w:ascii="宋体" w:hAnsi="宋体" w:cs="宋体"/>
                <w:color w:val="000000"/>
                <w:kern w:val="1"/>
                <w:szCs w:val="21"/>
              </w:rPr>
              <w:t>保安管理目标、制度</w:t>
            </w:r>
          </w:p>
        </w:tc>
        <w:tc>
          <w:tcPr>
            <w:tcW w:w="688" w:type="dxa"/>
            <w:vMerge w:val="restart"/>
            <w:tcBorders>
              <w:left w:val="single" w:color="auto" w:sz="4" w:space="0"/>
              <w:right w:val="single" w:color="auto" w:sz="4" w:space="0"/>
            </w:tcBorders>
            <w:noWrap w:val="0"/>
            <w:vAlign w:val="center"/>
          </w:tcPr>
          <w:p>
            <w:pPr>
              <w:widowControl/>
              <w:spacing w:line="320" w:lineRule="exact"/>
              <w:jc w:val="center"/>
              <w:rPr>
                <w:rFonts w:hint="eastAsia" w:ascii="宋体" w:hAnsi="宋体" w:cs="宋体"/>
                <w:color w:val="000000"/>
                <w:szCs w:val="21"/>
              </w:rPr>
            </w:pPr>
            <w:r>
              <w:rPr>
                <w:rFonts w:hint="eastAsia" w:ascii="宋体" w:hAnsi="宋体" w:cs="宋体"/>
                <w:color w:val="000000"/>
                <w:szCs w:val="21"/>
              </w:rPr>
              <w:t>6</w:t>
            </w:r>
          </w:p>
        </w:tc>
        <w:tc>
          <w:tcPr>
            <w:tcW w:w="76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rPr>
                <w:rFonts w:hint="eastAsia" w:ascii="宋体" w:hAnsi="宋体" w:cs="宋体"/>
                <w:color w:val="000000"/>
                <w:spacing w:val="-6"/>
              </w:rPr>
            </w:pPr>
            <w:r>
              <w:rPr>
                <w:rFonts w:hint="eastAsia" w:ascii="宋体" w:hAnsi="宋体" w:cs="宋体"/>
                <w:color w:val="000000"/>
                <w:spacing w:val="-6"/>
              </w:rPr>
              <w:t>根据投标人针对本项目的管理制度，包括机构的设置、人事管理制度、工器具管理制度、安全管理制度等，其中包含涉及到保安人员的工资、福利等各种费用的支出，劳动、人身伤害等各种纠纷，进行综合评议。方案内容合理、可操作性强的</w:t>
            </w:r>
            <w:r>
              <w:rPr>
                <w:rFonts w:hint="eastAsia" w:ascii="宋体" w:hAnsi="宋体" w:cs="宋体"/>
                <w:color w:val="000000"/>
              </w:rPr>
              <w:t>，得</w:t>
            </w:r>
            <w:r>
              <w:rPr>
                <w:rFonts w:hint="eastAsia" w:ascii="宋体" w:hAnsi="宋体" w:cs="宋体"/>
                <w:color w:val="000000"/>
                <w:spacing w:val="-6"/>
              </w:rPr>
              <w:t>6-4分；方案内容较合理、可操作性较强的</w:t>
            </w:r>
            <w:r>
              <w:rPr>
                <w:rFonts w:hint="eastAsia" w:ascii="宋体" w:hAnsi="宋体" w:cs="宋体"/>
                <w:color w:val="000000"/>
              </w:rPr>
              <w:t>，得</w:t>
            </w:r>
            <w:r>
              <w:rPr>
                <w:rFonts w:hint="eastAsia" w:ascii="宋体" w:hAnsi="宋体" w:cs="宋体"/>
                <w:color w:val="000000"/>
                <w:spacing w:val="-6"/>
              </w:rPr>
              <w:t>3.9-2分；方案内容基本响应，但可操作性较差的</w:t>
            </w:r>
            <w:r>
              <w:rPr>
                <w:rFonts w:hint="eastAsia" w:ascii="宋体" w:hAnsi="宋体" w:cs="宋体"/>
                <w:color w:val="000000"/>
              </w:rPr>
              <w:t>，得</w:t>
            </w:r>
            <w:r>
              <w:rPr>
                <w:rFonts w:hint="eastAsia" w:ascii="宋体" w:hAnsi="宋体" w:cs="宋体"/>
                <w:color w:val="000000"/>
                <w:spacing w:val="-6"/>
              </w:rPr>
              <w:t>1.9-0分。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4" w:hRule="atLeast"/>
        </w:trPr>
        <w:tc>
          <w:tcPr>
            <w:tcW w:w="636" w:type="dxa"/>
            <w:vMerge w:val="continue"/>
            <w:tcBorders>
              <w:left w:val="single" w:color="auto" w:sz="4" w:space="0"/>
              <w:right w:val="single" w:color="auto" w:sz="4" w:space="0"/>
            </w:tcBorders>
            <w:noWrap w:val="0"/>
            <w:vAlign w:val="center"/>
          </w:tcPr>
          <w:p>
            <w:pPr>
              <w:spacing w:line="320" w:lineRule="exact"/>
              <w:ind w:firstLine="105" w:firstLineChars="50"/>
              <w:rPr>
                <w:rFonts w:hint="eastAsia" w:ascii="宋体" w:hAnsi="宋体" w:cs="宋体"/>
                <w:color w:val="FF0000"/>
                <w:szCs w:val="21"/>
              </w:rPr>
            </w:pPr>
          </w:p>
        </w:tc>
        <w:tc>
          <w:tcPr>
            <w:tcW w:w="1149" w:type="dxa"/>
            <w:vMerge w:val="continue"/>
            <w:tcBorders>
              <w:left w:val="single" w:color="auto" w:sz="4" w:space="0"/>
              <w:right w:val="single" w:color="auto" w:sz="4" w:space="0"/>
            </w:tcBorders>
            <w:noWrap w:val="0"/>
            <w:vAlign w:val="center"/>
          </w:tcPr>
          <w:p>
            <w:pPr>
              <w:jc w:val="center"/>
              <w:rPr>
                <w:rFonts w:hint="eastAsia" w:ascii="宋体" w:hAnsi="宋体" w:cs="宋体"/>
                <w:color w:val="000000"/>
                <w:kern w:val="1"/>
                <w:szCs w:val="21"/>
              </w:rPr>
            </w:pPr>
          </w:p>
        </w:tc>
        <w:tc>
          <w:tcPr>
            <w:tcW w:w="688" w:type="dxa"/>
            <w:tcBorders>
              <w:left w:val="single" w:color="auto" w:sz="4" w:space="0"/>
              <w:right w:val="single" w:color="auto" w:sz="4" w:space="0"/>
            </w:tcBorders>
            <w:noWrap w:val="0"/>
            <w:vAlign w:val="center"/>
          </w:tcPr>
          <w:p>
            <w:pPr>
              <w:widowControl/>
              <w:spacing w:line="320" w:lineRule="exact"/>
              <w:jc w:val="center"/>
              <w:rPr>
                <w:rFonts w:hint="eastAsia" w:ascii="宋体" w:hAnsi="宋体" w:cs="宋体"/>
                <w:color w:val="000000"/>
                <w:szCs w:val="21"/>
              </w:rPr>
            </w:pPr>
            <w:r>
              <w:rPr>
                <w:rFonts w:hint="eastAsia" w:ascii="宋体" w:hAnsi="宋体" w:cs="宋体"/>
                <w:color w:val="000000"/>
                <w:szCs w:val="21"/>
              </w:rPr>
              <w:t>5</w:t>
            </w:r>
          </w:p>
        </w:tc>
        <w:tc>
          <w:tcPr>
            <w:tcW w:w="76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rPr>
                <w:rFonts w:hint="eastAsia" w:ascii="宋体" w:hAnsi="宋体" w:cs="宋体"/>
                <w:color w:val="000000"/>
                <w:spacing w:val="-6"/>
              </w:rPr>
            </w:pPr>
            <w:r>
              <w:rPr>
                <w:rFonts w:hint="eastAsia" w:ascii="宋体" w:hAnsi="宋体" w:cs="宋体"/>
                <w:color w:val="000000"/>
                <w:spacing w:val="-6"/>
              </w:rPr>
              <w:t>对投标人保安服务管理质量标准及内部考核方法进行综合评议，0-5分。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2" w:hRule="atLeast"/>
        </w:trPr>
        <w:tc>
          <w:tcPr>
            <w:tcW w:w="636" w:type="dxa"/>
            <w:vMerge w:val="continue"/>
            <w:tcBorders>
              <w:left w:val="single" w:color="auto" w:sz="4" w:space="0"/>
              <w:right w:val="single" w:color="auto" w:sz="4" w:space="0"/>
            </w:tcBorders>
            <w:noWrap w:val="0"/>
            <w:vAlign w:val="center"/>
          </w:tcPr>
          <w:p>
            <w:pPr>
              <w:spacing w:line="320" w:lineRule="exact"/>
              <w:ind w:firstLine="105" w:firstLineChars="50"/>
              <w:rPr>
                <w:rFonts w:hint="eastAsia" w:ascii="宋体" w:hAnsi="宋体" w:cs="宋体"/>
                <w:color w:val="FF0000"/>
                <w:szCs w:val="21"/>
              </w:rPr>
            </w:pPr>
          </w:p>
        </w:tc>
        <w:tc>
          <w:tcPr>
            <w:tcW w:w="1149" w:type="dxa"/>
            <w:vMerge w:val="continue"/>
            <w:tcBorders>
              <w:left w:val="single" w:color="auto" w:sz="4" w:space="0"/>
              <w:right w:val="single" w:color="auto" w:sz="4" w:space="0"/>
            </w:tcBorders>
            <w:noWrap w:val="0"/>
            <w:vAlign w:val="center"/>
          </w:tcPr>
          <w:p>
            <w:pPr>
              <w:widowControl/>
              <w:spacing w:line="320" w:lineRule="exact"/>
              <w:jc w:val="center"/>
              <w:rPr>
                <w:rFonts w:hint="eastAsia" w:ascii="宋体" w:hAnsi="宋体" w:cs="宋体"/>
                <w:color w:val="000000"/>
              </w:rPr>
            </w:pPr>
          </w:p>
        </w:tc>
        <w:tc>
          <w:tcPr>
            <w:tcW w:w="688" w:type="dxa"/>
            <w:tcBorders>
              <w:left w:val="single" w:color="auto" w:sz="4" w:space="0"/>
              <w:right w:val="single" w:color="auto" w:sz="4" w:space="0"/>
            </w:tcBorders>
            <w:noWrap w:val="0"/>
            <w:vAlign w:val="center"/>
          </w:tcPr>
          <w:p>
            <w:pPr>
              <w:widowControl/>
              <w:spacing w:line="320" w:lineRule="exact"/>
              <w:jc w:val="center"/>
              <w:rPr>
                <w:rFonts w:hint="eastAsia" w:ascii="宋体" w:hAnsi="宋体" w:cs="宋体"/>
                <w:color w:val="000000"/>
                <w:szCs w:val="21"/>
              </w:rPr>
            </w:pPr>
            <w:r>
              <w:rPr>
                <w:rFonts w:hint="eastAsia" w:ascii="宋体" w:hAnsi="宋体" w:cs="宋体"/>
                <w:color w:val="000000"/>
                <w:szCs w:val="21"/>
              </w:rPr>
              <w:t>5</w:t>
            </w:r>
          </w:p>
        </w:tc>
        <w:tc>
          <w:tcPr>
            <w:tcW w:w="76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rPr>
                <w:rFonts w:hint="eastAsia" w:ascii="宋体" w:hAnsi="宋体" w:cs="宋体"/>
                <w:color w:val="000000"/>
                <w:spacing w:val="-6"/>
              </w:rPr>
            </w:pPr>
            <w:r>
              <w:rPr>
                <w:rFonts w:hint="eastAsia" w:ascii="宋体" w:hAnsi="宋体" w:cs="宋体"/>
                <w:color w:val="000000"/>
                <w:spacing w:val="-6"/>
              </w:rPr>
              <w:t>对投标人保安管理服务程序、规程和项目管理方案说明进行综合评议，0-5分。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7" w:hRule="atLeast"/>
        </w:trPr>
        <w:tc>
          <w:tcPr>
            <w:tcW w:w="636" w:type="dxa"/>
            <w:vMerge w:val="continue"/>
            <w:tcBorders>
              <w:left w:val="single" w:color="auto" w:sz="4" w:space="0"/>
              <w:right w:val="single" w:color="auto" w:sz="4" w:space="0"/>
            </w:tcBorders>
            <w:noWrap w:val="0"/>
            <w:vAlign w:val="center"/>
          </w:tcPr>
          <w:p>
            <w:pPr>
              <w:spacing w:line="320" w:lineRule="exact"/>
              <w:ind w:firstLine="105" w:firstLineChars="50"/>
              <w:rPr>
                <w:rFonts w:hint="eastAsia" w:ascii="宋体" w:hAnsi="宋体" w:cs="宋体"/>
                <w:color w:val="FF0000"/>
                <w:szCs w:val="21"/>
              </w:rPr>
            </w:pPr>
          </w:p>
        </w:tc>
        <w:tc>
          <w:tcPr>
            <w:tcW w:w="1149" w:type="dxa"/>
            <w:vMerge w:val="restart"/>
            <w:tcBorders>
              <w:left w:val="single" w:color="auto" w:sz="4" w:space="0"/>
              <w:right w:val="single" w:color="auto" w:sz="4" w:space="0"/>
            </w:tcBorders>
            <w:noWrap w:val="0"/>
            <w:vAlign w:val="center"/>
          </w:tcPr>
          <w:p>
            <w:pPr>
              <w:widowControl/>
              <w:spacing w:line="320" w:lineRule="exact"/>
              <w:jc w:val="center"/>
              <w:rPr>
                <w:rFonts w:hint="eastAsia" w:ascii="宋体" w:hAnsi="宋体" w:cs="宋体"/>
                <w:color w:val="000000"/>
                <w:szCs w:val="21"/>
              </w:rPr>
            </w:pPr>
            <w:r>
              <w:rPr>
                <w:rFonts w:hint="eastAsia" w:ascii="宋体" w:hAnsi="宋体" w:cs="宋体"/>
                <w:color w:val="000000"/>
              </w:rPr>
              <w:t>保安</w:t>
            </w:r>
            <w:r>
              <w:rPr>
                <w:rFonts w:hint="eastAsia" w:ascii="宋体" w:hAnsi="宋体" w:cs="宋体"/>
                <w:color w:val="000000"/>
                <w:szCs w:val="21"/>
              </w:rPr>
              <w:t>管理其他措施</w:t>
            </w:r>
          </w:p>
        </w:tc>
        <w:tc>
          <w:tcPr>
            <w:tcW w:w="688" w:type="dxa"/>
            <w:vMerge w:val="restart"/>
            <w:tcBorders>
              <w:left w:val="single" w:color="auto" w:sz="4" w:space="0"/>
              <w:right w:val="single" w:color="auto" w:sz="4" w:space="0"/>
            </w:tcBorders>
            <w:noWrap w:val="0"/>
            <w:vAlign w:val="center"/>
          </w:tcPr>
          <w:p>
            <w:pPr>
              <w:widowControl/>
              <w:spacing w:line="320" w:lineRule="exact"/>
              <w:jc w:val="center"/>
              <w:rPr>
                <w:rFonts w:hint="eastAsia" w:ascii="宋体" w:hAnsi="宋体" w:cs="宋体"/>
                <w:color w:val="000000"/>
                <w:szCs w:val="21"/>
              </w:rPr>
            </w:pPr>
            <w:r>
              <w:rPr>
                <w:rFonts w:hint="eastAsia" w:ascii="宋体" w:hAnsi="宋体" w:cs="宋体"/>
                <w:color w:val="000000"/>
                <w:szCs w:val="21"/>
              </w:rPr>
              <w:t>6</w:t>
            </w:r>
          </w:p>
        </w:tc>
        <w:tc>
          <w:tcPr>
            <w:tcW w:w="76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rPr>
                <w:rFonts w:hint="eastAsia" w:ascii="宋体" w:hAnsi="宋体" w:cs="宋体"/>
                <w:color w:val="000000"/>
                <w:spacing w:val="-6"/>
              </w:rPr>
            </w:pPr>
            <w:r>
              <w:rPr>
                <w:rFonts w:hint="eastAsia" w:ascii="宋体" w:hAnsi="宋体" w:cs="宋体"/>
                <w:color w:val="000000"/>
                <w:spacing w:val="-6"/>
              </w:rPr>
              <w:t>根据投标人的保安管理服务应急方案是否明确且具有可操作性进行综合评议，0-3分。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636" w:type="dxa"/>
            <w:vMerge w:val="continue"/>
            <w:tcBorders>
              <w:left w:val="single" w:color="auto" w:sz="4" w:space="0"/>
              <w:right w:val="single" w:color="auto" w:sz="4" w:space="0"/>
            </w:tcBorders>
            <w:noWrap w:val="0"/>
            <w:vAlign w:val="center"/>
          </w:tcPr>
          <w:p>
            <w:pPr>
              <w:spacing w:line="320" w:lineRule="exact"/>
              <w:ind w:firstLine="105" w:firstLineChars="50"/>
              <w:rPr>
                <w:rFonts w:hint="eastAsia" w:ascii="宋体" w:hAnsi="宋体" w:cs="宋体"/>
                <w:color w:val="FF0000"/>
                <w:szCs w:val="21"/>
              </w:rPr>
            </w:pPr>
          </w:p>
        </w:tc>
        <w:tc>
          <w:tcPr>
            <w:tcW w:w="1149" w:type="dxa"/>
            <w:vMerge w:val="continue"/>
            <w:tcBorders>
              <w:left w:val="single" w:color="auto" w:sz="4" w:space="0"/>
              <w:right w:val="single" w:color="auto" w:sz="4" w:space="0"/>
            </w:tcBorders>
            <w:noWrap w:val="0"/>
            <w:vAlign w:val="center"/>
          </w:tcPr>
          <w:p>
            <w:pPr>
              <w:widowControl/>
              <w:spacing w:line="320" w:lineRule="exact"/>
              <w:jc w:val="left"/>
              <w:rPr>
                <w:rFonts w:hint="eastAsia" w:ascii="宋体" w:hAnsi="宋体" w:cs="宋体"/>
                <w:color w:val="000000"/>
                <w:szCs w:val="21"/>
              </w:rPr>
            </w:pPr>
          </w:p>
        </w:tc>
        <w:tc>
          <w:tcPr>
            <w:tcW w:w="688" w:type="dxa"/>
            <w:vMerge w:val="continue"/>
            <w:tcBorders>
              <w:left w:val="single" w:color="auto" w:sz="4" w:space="0"/>
              <w:right w:val="single" w:color="auto" w:sz="4" w:space="0"/>
            </w:tcBorders>
            <w:noWrap w:val="0"/>
            <w:vAlign w:val="center"/>
          </w:tcPr>
          <w:p>
            <w:pPr>
              <w:widowControl/>
              <w:spacing w:line="320" w:lineRule="exact"/>
              <w:jc w:val="center"/>
              <w:rPr>
                <w:rFonts w:hint="eastAsia" w:ascii="宋体" w:hAnsi="宋体" w:cs="宋体"/>
                <w:color w:val="000000"/>
                <w:szCs w:val="21"/>
              </w:rPr>
            </w:pPr>
          </w:p>
        </w:tc>
        <w:tc>
          <w:tcPr>
            <w:tcW w:w="76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rPr>
                <w:rFonts w:hint="eastAsia" w:ascii="宋体" w:hAnsi="宋体" w:cs="宋体"/>
                <w:color w:val="000000"/>
                <w:spacing w:val="-6"/>
              </w:rPr>
            </w:pPr>
            <w:r>
              <w:rPr>
                <w:rFonts w:hint="eastAsia" w:ascii="宋体" w:hAnsi="宋体" w:cs="宋体"/>
                <w:color w:val="000000"/>
                <w:spacing w:val="-6"/>
              </w:rPr>
              <w:t xml:space="preserve">根据投标人应对突发事件的具体措施进行综合评议，0-3分。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636" w:type="dxa"/>
            <w:vMerge w:val="continue"/>
            <w:tcBorders>
              <w:left w:val="single" w:color="auto" w:sz="4" w:space="0"/>
              <w:right w:val="single" w:color="auto" w:sz="4" w:space="0"/>
            </w:tcBorders>
            <w:noWrap w:val="0"/>
            <w:vAlign w:val="center"/>
          </w:tcPr>
          <w:p>
            <w:pPr>
              <w:spacing w:line="320" w:lineRule="exact"/>
              <w:ind w:firstLine="105" w:firstLineChars="50"/>
              <w:rPr>
                <w:rFonts w:hint="eastAsia" w:ascii="宋体" w:hAnsi="宋体" w:cs="宋体"/>
                <w:color w:val="FF0000"/>
                <w:szCs w:val="21"/>
              </w:rPr>
            </w:pPr>
          </w:p>
        </w:tc>
        <w:tc>
          <w:tcPr>
            <w:tcW w:w="1149" w:type="dxa"/>
            <w:tcBorders>
              <w:left w:val="single" w:color="auto" w:sz="4" w:space="0"/>
              <w:right w:val="single" w:color="auto" w:sz="4" w:space="0"/>
            </w:tcBorders>
            <w:noWrap w:val="0"/>
            <w:vAlign w:val="center"/>
          </w:tcPr>
          <w:p>
            <w:pPr>
              <w:widowControl/>
              <w:spacing w:line="320" w:lineRule="exact"/>
              <w:jc w:val="center"/>
              <w:rPr>
                <w:rFonts w:hint="eastAsia" w:ascii="宋体" w:hAnsi="宋体" w:cs="宋体"/>
                <w:color w:val="000000"/>
                <w:szCs w:val="21"/>
              </w:rPr>
            </w:pPr>
            <w:r>
              <w:rPr>
                <w:rFonts w:hint="eastAsia" w:ascii="宋体" w:hAnsi="宋体" w:cs="宋体"/>
                <w:color w:val="000000"/>
                <w:szCs w:val="21"/>
              </w:rPr>
              <w:t>合理化</w:t>
            </w:r>
          </w:p>
          <w:p>
            <w:pPr>
              <w:widowControl/>
              <w:spacing w:line="320" w:lineRule="exact"/>
              <w:jc w:val="center"/>
              <w:rPr>
                <w:rFonts w:hint="eastAsia" w:ascii="宋体" w:hAnsi="宋体" w:cs="宋体"/>
                <w:color w:val="FF0000"/>
                <w:szCs w:val="21"/>
              </w:rPr>
            </w:pPr>
            <w:r>
              <w:rPr>
                <w:rFonts w:hint="eastAsia" w:ascii="宋体" w:hAnsi="宋体" w:cs="宋体"/>
                <w:color w:val="000000"/>
                <w:szCs w:val="21"/>
              </w:rPr>
              <w:t>建议</w:t>
            </w:r>
          </w:p>
        </w:tc>
        <w:tc>
          <w:tcPr>
            <w:tcW w:w="688" w:type="dxa"/>
            <w:tcBorders>
              <w:left w:val="single" w:color="auto" w:sz="4" w:space="0"/>
              <w:right w:val="single" w:color="auto" w:sz="4" w:space="0"/>
            </w:tcBorders>
            <w:noWrap w:val="0"/>
            <w:vAlign w:val="center"/>
          </w:tcPr>
          <w:p>
            <w:pPr>
              <w:widowControl/>
              <w:spacing w:line="320" w:lineRule="exact"/>
              <w:jc w:val="center"/>
              <w:rPr>
                <w:rFonts w:hint="eastAsia" w:ascii="宋体" w:hAnsi="宋体" w:cs="宋体"/>
                <w:color w:val="FF0000"/>
                <w:szCs w:val="21"/>
              </w:rPr>
            </w:pPr>
            <w:r>
              <w:rPr>
                <w:rFonts w:hint="eastAsia" w:ascii="宋体" w:hAnsi="宋体" w:cs="宋体"/>
                <w:color w:val="000000"/>
                <w:szCs w:val="21"/>
              </w:rPr>
              <w:t>5</w:t>
            </w:r>
          </w:p>
        </w:tc>
        <w:tc>
          <w:tcPr>
            <w:tcW w:w="76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rPr>
                <w:rFonts w:hint="eastAsia" w:ascii="宋体" w:hAnsi="宋体" w:cs="宋体"/>
                <w:spacing w:val="-6"/>
              </w:rPr>
            </w:pPr>
            <w:r>
              <w:rPr>
                <w:rFonts w:hint="eastAsia" w:ascii="宋体" w:hAnsi="宋体" w:cs="宋体"/>
                <w:spacing w:val="-6"/>
              </w:rPr>
              <w:t>对投标人提供的针对本项目的合理建议</w:t>
            </w:r>
            <w:r>
              <w:rPr>
                <w:rFonts w:hint="eastAsia" w:ascii="宋体" w:hAnsi="宋体" w:cs="宋体"/>
                <w:color w:val="000000"/>
                <w:spacing w:val="-6"/>
              </w:rPr>
              <w:t>进行综合评议</w:t>
            </w:r>
            <w:r>
              <w:rPr>
                <w:rFonts w:hint="eastAsia" w:ascii="宋体" w:hAnsi="宋体" w:cs="宋体"/>
                <w:spacing w:val="-6"/>
              </w:rPr>
              <w:t>。建议针对性、可行性强</w:t>
            </w:r>
            <w:r>
              <w:rPr>
                <w:rFonts w:hint="eastAsia" w:ascii="宋体" w:hAnsi="宋体" w:cs="宋体"/>
                <w:color w:val="000000"/>
              </w:rPr>
              <w:t>，得</w:t>
            </w:r>
            <w:r>
              <w:rPr>
                <w:rFonts w:hint="eastAsia" w:ascii="宋体" w:hAnsi="宋体" w:cs="宋体"/>
                <w:spacing w:val="-6"/>
              </w:rPr>
              <w:t>5-4分；建议有一定的针对性和可行性</w:t>
            </w:r>
            <w:r>
              <w:rPr>
                <w:rFonts w:hint="eastAsia" w:ascii="宋体" w:hAnsi="宋体" w:cs="宋体"/>
                <w:color w:val="000000"/>
              </w:rPr>
              <w:t>，得</w:t>
            </w:r>
            <w:r>
              <w:rPr>
                <w:rFonts w:hint="eastAsia" w:ascii="宋体" w:hAnsi="宋体" w:cs="宋体"/>
                <w:spacing w:val="-6"/>
              </w:rPr>
              <w:t>3.9-2分；建议的针对性和可行性有欠缺</w:t>
            </w:r>
            <w:r>
              <w:rPr>
                <w:rFonts w:hint="eastAsia" w:ascii="宋体" w:hAnsi="宋体" w:cs="宋体"/>
                <w:color w:val="000000"/>
              </w:rPr>
              <w:t>，得</w:t>
            </w:r>
            <w:r>
              <w:rPr>
                <w:rFonts w:hint="eastAsia" w:ascii="宋体" w:hAnsi="宋体" w:cs="宋体"/>
                <w:spacing w:val="-6"/>
              </w:rPr>
              <w:t>1.9-0分。</w:t>
            </w:r>
            <w:r>
              <w:rPr>
                <w:rFonts w:hint="eastAsia" w:ascii="宋体" w:hAnsi="宋体" w:cs="宋体"/>
                <w:color w:val="FF0000"/>
                <w:spacing w:val="-6"/>
              </w:rPr>
              <w:t xml:space="preserve"> </w:t>
            </w:r>
          </w:p>
        </w:tc>
      </w:tr>
    </w:tbl>
    <w:p>
      <w:pPr>
        <w:spacing w:line="320" w:lineRule="exact"/>
        <w:rPr>
          <w:rFonts w:hint="eastAsia" w:ascii="宋体" w:hAnsi="宋体"/>
          <w:color w:val="000000"/>
          <w:szCs w:val="21"/>
        </w:rPr>
      </w:pPr>
    </w:p>
    <w:p>
      <w:pPr>
        <w:spacing w:line="320" w:lineRule="exact"/>
        <w:rPr>
          <w:rFonts w:ascii="宋体" w:hAnsi="宋体"/>
          <w:color w:val="000000"/>
          <w:szCs w:val="21"/>
        </w:rPr>
      </w:pPr>
      <w:r>
        <w:rPr>
          <w:rFonts w:hint="eastAsia" w:ascii="宋体" w:hAnsi="宋体"/>
          <w:color w:val="000000"/>
          <w:szCs w:val="21"/>
        </w:rPr>
        <w:t>注：</w:t>
      </w:r>
      <w:r>
        <w:rPr>
          <w:rFonts w:ascii="宋体" w:hAnsi="宋体"/>
          <w:color w:val="000000"/>
          <w:szCs w:val="21"/>
        </w:rPr>
        <w:t>1</w:t>
      </w:r>
      <w:r>
        <w:rPr>
          <w:rFonts w:hint="eastAsia" w:ascii="宋体" w:hAnsi="宋体"/>
          <w:color w:val="000000"/>
          <w:szCs w:val="21"/>
        </w:rPr>
        <w:t>、各评委成员自行按以上参考分值评分，评分小数点后保留一位数。</w:t>
      </w:r>
    </w:p>
    <w:p>
      <w:pPr>
        <w:spacing w:line="320" w:lineRule="exact"/>
        <w:ind w:firstLine="420" w:firstLineChars="200"/>
        <w:rPr>
          <w:rFonts w:ascii="宋体" w:hAnsi="宋体"/>
          <w:color w:val="000000"/>
          <w:szCs w:val="21"/>
        </w:rPr>
      </w:pPr>
      <w:r>
        <w:rPr>
          <w:rFonts w:hint="eastAsia" w:ascii="宋体" w:hAnsi="宋体"/>
          <w:color w:val="000000"/>
          <w:szCs w:val="21"/>
        </w:rPr>
        <w:t>2、表内要求提供的资料，未按要求提供的均不得分。</w:t>
      </w:r>
    </w:p>
    <w:p>
      <w:pPr>
        <w:widowControl/>
        <w:spacing w:line="320" w:lineRule="exact"/>
        <w:ind w:firstLine="420" w:firstLineChars="200"/>
        <w:jc w:val="left"/>
        <w:rPr>
          <w:rFonts w:hint="eastAsia" w:ascii="宋体" w:hAnsi="宋体"/>
          <w:color w:val="000000"/>
          <w:szCs w:val="21"/>
        </w:rPr>
      </w:pPr>
    </w:p>
    <w:p>
      <w:pPr>
        <w:widowControl/>
        <w:spacing w:line="320" w:lineRule="exact"/>
        <w:ind w:firstLine="420" w:firstLineChars="200"/>
        <w:jc w:val="left"/>
        <w:rPr>
          <w:rFonts w:ascii="宋体" w:hAnsi="宋体"/>
          <w:color w:val="000000"/>
          <w:szCs w:val="21"/>
        </w:rPr>
      </w:pPr>
      <w:r>
        <w:rPr>
          <w:rFonts w:hint="eastAsia" w:ascii="宋体" w:hAnsi="宋体"/>
          <w:color w:val="000000"/>
          <w:szCs w:val="21"/>
        </w:rPr>
        <w:t>评委签名：</w:t>
      </w:r>
      <w:r>
        <w:rPr>
          <w:rFonts w:ascii="宋体" w:hAnsi="宋体"/>
          <w:color w:val="000000"/>
          <w:szCs w:val="21"/>
        </w:rPr>
        <w:t xml:space="preserve">                                                    </w:t>
      </w:r>
      <w:r>
        <w:rPr>
          <w:rFonts w:hint="eastAsia" w:ascii="宋体" w:hAnsi="宋体"/>
          <w:color w:val="000000"/>
          <w:szCs w:val="21"/>
        </w:rPr>
        <w:t>年</w:t>
      </w:r>
      <w:r>
        <w:rPr>
          <w:rFonts w:ascii="宋体" w:hAnsi="宋体"/>
          <w:color w:val="000000"/>
          <w:szCs w:val="21"/>
        </w:rPr>
        <w:t xml:space="preserve">  </w:t>
      </w:r>
      <w:r>
        <w:rPr>
          <w:rFonts w:hint="eastAsia" w:ascii="宋体" w:hAnsi="宋体"/>
          <w:color w:val="000000"/>
          <w:szCs w:val="21"/>
        </w:rPr>
        <w:t>月</w:t>
      </w:r>
      <w:r>
        <w:rPr>
          <w:rFonts w:ascii="宋体" w:hAnsi="宋体"/>
          <w:color w:val="000000"/>
          <w:szCs w:val="21"/>
        </w:rPr>
        <w:t xml:space="preserve">  </w:t>
      </w:r>
      <w:r>
        <w:rPr>
          <w:rFonts w:hint="eastAsia" w:ascii="宋体" w:hAnsi="宋体"/>
          <w:color w:val="000000"/>
          <w:szCs w:val="21"/>
        </w:rPr>
        <w:t>日</w:t>
      </w:r>
    </w:p>
    <w:p>
      <w:pPr>
        <w:widowControl/>
        <w:spacing w:line="400" w:lineRule="exact"/>
        <w:rPr>
          <w:rFonts w:hint="eastAsia" w:ascii="宋体" w:hAnsi="宋体"/>
          <w:color w:val="000000"/>
          <w:szCs w:val="21"/>
        </w:rPr>
      </w:pPr>
      <w:r>
        <w:rPr>
          <w:rFonts w:hint="eastAsia" w:ascii="宋体" w:hAnsi="宋体"/>
          <w:color w:val="000000"/>
          <w:szCs w:val="21"/>
        </w:rPr>
        <w:t xml:space="preserve"> </w:t>
      </w:r>
    </w:p>
    <w:p>
      <w:pPr>
        <w:widowControl/>
        <w:spacing w:line="400" w:lineRule="exact"/>
        <w:rPr>
          <w:rFonts w:hint="eastAsia" w:ascii="宋体" w:hAnsi="宋体"/>
          <w:color w:val="000000"/>
          <w:szCs w:val="21"/>
        </w:rPr>
      </w:pPr>
    </w:p>
    <w:p>
      <w:pPr>
        <w:widowControl/>
        <w:spacing w:line="400" w:lineRule="exact"/>
        <w:rPr>
          <w:rFonts w:ascii="宋体" w:hAnsi="宋体"/>
          <w:color w:val="000000"/>
          <w:szCs w:val="21"/>
        </w:rPr>
      </w:pPr>
      <w:r>
        <w:rPr>
          <w:rFonts w:hint="eastAsia" w:ascii="宋体" w:hAnsi="宋体"/>
          <w:color w:val="000000"/>
          <w:szCs w:val="21"/>
        </w:rPr>
        <w:br w:type="page"/>
      </w:r>
      <w:r>
        <w:rPr>
          <w:rFonts w:hint="eastAsia" w:ascii="宋体" w:hAnsi="宋体"/>
          <w:color w:val="000000"/>
          <w:szCs w:val="21"/>
        </w:rPr>
        <w:t>附表4</w:t>
      </w:r>
    </w:p>
    <w:p>
      <w:pPr>
        <w:widowControl/>
        <w:snapToGrid w:val="0"/>
        <w:spacing w:line="560" w:lineRule="exact"/>
        <w:jc w:val="center"/>
        <w:rPr>
          <w:rFonts w:ascii="宋体" w:hAnsi="宋体"/>
          <w:b/>
          <w:color w:val="000000"/>
          <w:szCs w:val="21"/>
        </w:rPr>
      </w:pPr>
      <w:r>
        <w:rPr>
          <w:rFonts w:hint="eastAsia" w:ascii="宋体" w:hAnsi="宋体"/>
          <w:b/>
          <w:color w:val="000000"/>
          <w:szCs w:val="21"/>
        </w:rPr>
        <w:t>价格评分表</w:t>
      </w:r>
    </w:p>
    <w:p>
      <w:pPr>
        <w:spacing w:line="320" w:lineRule="exact"/>
        <w:rPr>
          <w:rFonts w:hint="eastAsia" w:ascii="宋体" w:hAnsi="宋体"/>
          <w:b/>
          <w:color w:val="000000"/>
          <w:szCs w:val="21"/>
        </w:rPr>
      </w:pPr>
      <w:r>
        <w:rPr>
          <w:rFonts w:hint="eastAsia" w:ascii="宋体" w:hAnsi="宋体"/>
          <w:b/>
          <w:color w:val="000000"/>
          <w:szCs w:val="21"/>
        </w:rPr>
        <w:t>采购编号：NBITC-202250011G</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4"/>
        <w:gridCol w:w="8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0" w:type="auto"/>
            <w:gridSpan w:val="2"/>
            <w:tcBorders>
              <w:top w:val="double" w:color="auto" w:sz="4" w:space="0"/>
              <w:left w:val="double" w:color="auto" w:sz="4" w:space="0"/>
              <w:tl2br w:val="single" w:color="auto" w:sz="4" w:space="0"/>
            </w:tcBorders>
            <w:noWrap w:val="0"/>
            <w:vAlign w:val="top"/>
          </w:tcPr>
          <w:p>
            <w:pPr>
              <w:spacing w:line="320" w:lineRule="exact"/>
              <w:ind w:right="420" w:firstLine="4410" w:firstLineChars="2100"/>
              <w:rPr>
                <w:rFonts w:hint="eastAsia" w:ascii="宋体" w:hAnsi="宋体"/>
                <w:color w:val="000000"/>
                <w:szCs w:val="21"/>
              </w:rPr>
            </w:pPr>
            <w:r>
              <w:rPr>
                <w:rFonts w:ascii="宋体" w:hAnsi="宋体"/>
                <w:color w:val="000000"/>
                <w:szCs w:val="21"/>
              </w:rPr>
              <w:t xml:space="preserve">                        </w:t>
            </w:r>
            <w:r>
              <w:rPr>
                <w:rFonts w:hint="eastAsia" w:ascii="宋体" w:hAnsi="宋体"/>
                <w:color w:val="000000"/>
                <w:szCs w:val="21"/>
              </w:rPr>
              <w:t>投标人</w:t>
            </w:r>
          </w:p>
          <w:p>
            <w:pPr>
              <w:spacing w:line="320" w:lineRule="exact"/>
              <w:ind w:firstLine="945" w:firstLineChars="450"/>
              <w:rPr>
                <w:rFonts w:ascii="宋体" w:hAnsi="宋体"/>
                <w:color w:val="000000"/>
                <w:szCs w:val="21"/>
                <w:lang w:val="ru-RU"/>
              </w:rPr>
            </w:pPr>
            <w:r>
              <w:rPr>
                <w:rFonts w:hint="eastAsia" w:ascii="宋体" w:hAnsi="宋体"/>
                <w:color w:val="00000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1" w:hRule="atLeast"/>
          <w:jc w:val="center"/>
        </w:trPr>
        <w:tc>
          <w:tcPr>
            <w:tcW w:w="564" w:type="dxa"/>
            <w:tcBorders>
              <w:left w:val="double" w:color="auto" w:sz="4" w:space="0"/>
            </w:tcBorders>
            <w:noWrap w:val="0"/>
            <w:vAlign w:val="center"/>
          </w:tcPr>
          <w:p>
            <w:pPr>
              <w:spacing w:line="340" w:lineRule="exact"/>
              <w:jc w:val="center"/>
              <w:rPr>
                <w:rFonts w:hint="eastAsia" w:ascii="宋体" w:hAnsi="宋体"/>
                <w:color w:val="000000"/>
                <w:szCs w:val="21"/>
              </w:rPr>
            </w:pPr>
            <w:r>
              <w:rPr>
                <w:rFonts w:hint="eastAsia" w:ascii="宋体" w:hAnsi="宋体"/>
                <w:color w:val="000000"/>
                <w:szCs w:val="21"/>
              </w:rPr>
              <w:t>价</w:t>
            </w:r>
          </w:p>
          <w:p>
            <w:pPr>
              <w:spacing w:line="340" w:lineRule="exact"/>
              <w:jc w:val="center"/>
              <w:rPr>
                <w:rFonts w:hint="eastAsia" w:ascii="宋体" w:hAnsi="宋体"/>
                <w:color w:val="000000"/>
                <w:szCs w:val="21"/>
              </w:rPr>
            </w:pPr>
            <w:r>
              <w:rPr>
                <w:rFonts w:hint="eastAsia" w:ascii="宋体" w:hAnsi="宋体"/>
                <w:color w:val="000000"/>
                <w:szCs w:val="21"/>
              </w:rPr>
              <w:t>格</w:t>
            </w:r>
          </w:p>
          <w:p>
            <w:pPr>
              <w:spacing w:line="340" w:lineRule="exact"/>
              <w:jc w:val="center"/>
              <w:rPr>
                <w:rFonts w:hint="eastAsia" w:ascii="宋体" w:hAnsi="宋体"/>
                <w:color w:val="000000"/>
                <w:szCs w:val="21"/>
              </w:rPr>
            </w:pPr>
            <w:r>
              <w:rPr>
                <w:rFonts w:hint="eastAsia" w:ascii="宋体" w:hAnsi="宋体"/>
                <w:color w:val="000000"/>
                <w:szCs w:val="21"/>
              </w:rPr>
              <w:t>分</w:t>
            </w:r>
          </w:p>
          <w:p>
            <w:pPr>
              <w:spacing w:line="340" w:lineRule="exact"/>
              <w:jc w:val="center"/>
              <w:rPr>
                <w:rFonts w:ascii="宋体" w:hAnsi="宋体"/>
                <w:color w:val="000000"/>
                <w:szCs w:val="21"/>
              </w:rPr>
            </w:pPr>
            <w:r>
              <w:rPr>
                <w:rFonts w:hint="eastAsia" w:ascii="宋体" w:hAnsi="宋体"/>
                <w:color w:val="000000"/>
                <w:szCs w:val="21"/>
              </w:rPr>
              <w:t>10分</w:t>
            </w:r>
          </w:p>
        </w:tc>
        <w:tc>
          <w:tcPr>
            <w:tcW w:w="8426" w:type="dxa"/>
            <w:noWrap w:val="0"/>
            <w:vAlign w:val="center"/>
          </w:tcPr>
          <w:p>
            <w:pPr>
              <w:spacing w:before="48" w:beforeLines="20" w:line="320" w:lineRule="exact"/>
              <w:ind w:left="105" w:hanging="105" w:hangingChars="50"/>
              <w:rPr>
                <w:rFonts w:hint="eastAsia" w:ascii="宋体" w:hAnsi="宋体" w:cs="宋体"/>
                <w:szCs w:val="21"/>
              </w:rPr>
            </w:pPr>
            <w:r>
              <w:rPr>
                <w:rFonts w:hint="eastAsia" w:ascii="宋体" w:hAnsi="宋体" w:cs="宋体"/>
                <w:szCs w:val="21"/>
              </w:rPr>
              <w:t>评标基准价=满足招标文件要求且最低的参与评审的价格</w:t>
            </w:r>
          </w:p>
          <w:p>
            <w:pPr>
              <w:spacing w:before="48" w:beforeLines="20" w:line="320" w:lineRule="exact"/>
              <w:rPr>
                <w:rFonts w:hint="eastAsia" w:ascii="宋体" w:hAnsi="宋体" w:cs="宋体"/>
                <w:szCs w:val="21"/>
              </w:rPr>
            </w:pPr>
            <w:r>
              <w:rPr>
                <w:rFonts w:hint="eastAsia" w:ascii="宋体" w:hAnsi="宋体" w:cs="宋体"/>
                <w:szCs w:val="21"/>
              </w:rPr>
              <w:t>参与评审的价格=投标报价-投标报价×小微企业价格扣除优惠值（10%）（残疾人福利性单位、监狱企业（监狱和戒毒企业）视同小微企业）。</w:t>
            </w:r>
          </w:p>
          <w:p>
            <w:pPr>
              <w:widowControl/>
              <w:spacing w:before="48" w:beforeLines="20" w:line="320" w:lineRule="exact"/>
              <w:jc w:val="left"/>
              <w:rPr>
                <w:rFonts w:ascii="宋体" w:hAnsi="宋体" w:cs="宋体"/>
                <w:kern w:val="0"/>
                <w:szCs w:val="21"/>
              </w:rPr>
            </w:pPr>
            <w:r>
              <w:rPr>
                <w:rFonts w:hint="eastAsia" w:ascii="宋体" w:hAnsi="宋体" w:cs="宋体"/>
                <w:kern w:val="0"/>
                <w:szCs w:val="21"/>
              </w:rPr>
              <w:t>投标报价得分=(评标基准价/</w:t>
            </w:r>
            <w:r>
              <w:rPr>
                <w:rFonts w:hint="eastAsia" w:ascii="宋体" w:hAnsi="宋体" w:cs="宋体"/>
                <w:szCs w:val="21"/>
              </w:rPr>
              <w:t>参与评审的价格</w:t>
            </w:r>
            <w:r>
              <w:rPr>
                <w:rFonts w:hint="eastAsia" w:ascii="宋体" w:hAnsi="宋体" w:cs="宋体"/>
                <w:kern w:val="0"/>
                <w:szCs w:val="21"/>
              </w:rPr>
              <w:t>)×10</w:t>
            </w:r>
          </w:p>
          <w:p>
            <w:pPr>
              <w:spacing w:line="360" w:lineRule="exact"/>
              <w:rPr>
                <w:rFonts w:hint="eastAsia"/>
                <w:color w:val="000000"/>
                <w:szCs w:val="21"/>
              </w:rPr>
            </w:pPr>
            <w:r>
              <w:rPr>
                <w:rFonts w:hint="eastAsia" w:ascii="宋体" w:hAnsi="宋体" w:cs="宋体"/>
                <w:kern w:val="0"/>
                <w:szCs w:val="21"/>
              </w:rPr>
              <w:t>投标报价得分以四舍五入保留小数点后二位。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0" w:type="auto"/>
            <w:gridSpan w:val="2"/>
            <w:tcBorders>
              <w:left w:val="double" w:color="auto" w:sz="4" w:space="0"/>
              <w:bottom w:val="double" w:color="auto" w:sz="4" w:space="0"/>
            </w:tcBorders>
            <w:noWrap w:val="0"/>
            <w:vAlign w:val="center"/>
          </w:tcPr>
          <w:p>
            <w:pPr>
              <w:spacing w:line="320" w:lineRule="exact"/>
              <w:jc w:val="center"/>
              <w:rPr>
                <w:rFonts w:ascii="宋体" w:hAnsi="宋体"/>
                <w:color w:val="000000"/>
                <w:szCs w:val="21"/>
              </w:rPr>
            </w:pPr>
            <w:r>
              <w:rPr>
                <w:rFonts w:hint="eastAsia" w:ascii="宋体" w:hAnsi="宋体"/>
                <w:b/>
                <w:color w:val="000000"/>
                <w:szCs w:val="21"/>
              </w:rPr>
              <w:t>报价得分（10分）</w:t>
            </w:r>
          </w:p>
        </w:tc>
      </w:tr>
    </w:tbl>
    <w:p>
      <w:pPr>
        <w:ind w:right="-1226" w:rightChars="-584"/>
        <w:rPr>
          <w:rFonts w:hint="eastAsia" w:ascii="宋体" w:hAnsi="宋体"/>
          <w:color w:val="000000"/>
          <w:szCs w:val="21"/>
        </w:rPr>
      </w:pPr>
    </w:p>
    <w:p>
      <w:pPr>
        <w:ind w:right="-1226" w:rightChars="-584"/>
        <w:rPr>
          <w:rFonts w:hint="eastAsia" w:ascii="宋体" w:hAnsi="宋体"/>
          <w:color w:val="000000"/>
          <w:szCs w:val="21"/>
        </w:rPr>
      </w:pPr>
      <w:r>
        <w:rPr>
          <w:rFonts w:hint="eastAsia" w:ascii="宋体" w:hAnsi="宋体"/>
          <w:color w:val="000000"/>
          <w:szCs w:val="21"/>
        </w:rPr>
        <w:t>评委签名：</w:t>
      </w:r>
      <w:r>
        <w:rPr>
          <w:rFonts w:ascii="宋体" w:hAnsi="宋体"/>
          <w:color w:val="000000"/>
          <w:szCs w:val="21"/>
        </w:rPr>
        <w:t xml:space="preserve">                                                    </w:t>
      </w:r>
      <w:r>
        <w:rPr>
          <w:rFonts w:hint="eastAsia" w:ascii="宋体" w:hAnsi="宋体"/>
          <w:color w:val="000000"/>
          <w:szCs w:val="21"/>
        </w:rPr>
        <w:t>年</w:t>
      </w:r>
      <w:r>
        <w:rPr>
          <w:rFonts w:ascii="宋体" w:hAnsi="宋体"/>
          <w:color w:val="000000"/>
          <w:szCs w:val="21"/>
        </w:rPr>
        <w:t xml:space="preserve">  </w:t>
      </w:r>
      <w:r>
        <w:rPr>
          <w:rFonts w:hint="eastAsia" w:ascii="宋体" w:hAnsi="宋体"/>
          <w:color w:val="000000"/>
          <w:szCs w:val="21"/>
        </w:rPr>
        <w:t>月</w:t>
      </w:r>
      <w:r>
        <w:rPr>
          <w:rFonts w:ascii="宋体" w:hAnsi="宋体"/>
          <w:color w:val="000000"/>
          <w:szCs w:val="21"/>
        </w:rPr>
        <w:t xml:space="preserve">  </w:t>
      </w:r>
      <w:r>
        <w:rPr>
          <w:rFonts w:hint="eastAsia" w:ascii="宋体" w:hAnsi="宋体"/>
          <w:color w:val="000000"/>
          <w:szCs w:val="21"/>
        </w:rPr>
        <w:t>日</w:t>
      </w:r>
    </w:p>
    <w:p>
      <w:pPr>
        <w:ind w:right="-1226" w:rightChars="-584"/>
        <w:rPr>
          <w:rFonts w:hint="eastAsia" w:ascii="宋体" w:hAnsi="宋体"/>
          <w:color w:val="000000"/>
          <w:szCs w:val="21"/>
        </w:rPr>
      </w:pPr>
      <w:r>
        <w:rPr>
          <w:rFonts w:ascii="宋体" w:hAnsi="宋体"/>
          <w:color w:val="000000"/>
          <w:szCs w:val="21"/>
        </w:rPr>
        <w:br w:type="page"/>
      </w:r>
      <w:bookmarkStart w:id="30" w:name="_Toc21541020"/>
      <w:r>
        <w:rPr>
          <w:rFonts w:hint="eastAsia" w:ascii="宋体" w:hAnsi="宋体"/>
          <w:color w:val="000000"/>
          <w:szCs w:val="21"/>
        </w:rPr>
        <w:t xml:space="preserve">                         </w:t>
      </w:r>
    </w:p>
    <w:p>
      <w:pPr>
        <w:spacing w:line="400" w:lineRule="exact"/>
        <w:jc w:val="center"/>
        <w:outlineLvl w:val="0"/>
        <w:rPr>
          <w:rFonts w:ascii="宋体" w:hAnsi="宋体"/>
          <w:b/>
          <w:color w:val="000000"/>
          <w:sz w:val="32"/>
        </w:rPr>
      </w:pPr>
      <w:bookmarkStart w:id="31" w:name="_Toc17636"/>
      <w:r>
        <w:rPr>
          <w:rFonts w:hint="eastAsia" w:ascii="宋体" w:hAnsi="宋体"/>
          <w:b/>
          <w:color w:val="000000"/>
          <w:sz w:val="32"/>
        </w:rPr>
        <w:t>第四章</w:t>
      </w:r>
      <w:r>
        <w:rPr>
          <w:rFonts w:ascii="宋体" w:hAnsi="宋体"/>
          <w:b/>
          <w:color w:val="000000"/>
          <w:sz w:val="32"/>
        </w:rPr>
        <w:t xml:space="preserve">  </w:t>
      </w:r>
      <w:r>
        <w:rPr>
          <w:rFonts w:hint="eastAsia" w:ascii="宋体" w:hAnsi="宋体"/>
          <w:b/>
          <w:color w:val="000000"/>
          <w:sz w:val="32"/>
        </w:rPr>
        <w:t>采购合同样本</w:t>
      </w:r>
      <w:bookmarkEnd w:id="30"/>
      <w:bookmarkEnd w:id="31"/>
    </w:p>
    <w:p>
      <w:pPr>
        <w:spacing w:line="400" w:lineRule="exact"/>
        <w:rPr>
          <w:rFonts w:ascii="宋体" w:hAnsi="宋体"/>
          <w:color w:val="000000"/>
          <w:szCs w:val="21"/>
        </w:rPr>
      </w:pPr>
      <w:r>
        <w:rPr>
          <w:rFonts w:hint="eastAsia" w:ascii="宋体" w:hAnsi="宋体"/>
          <w:color w:val="000000"/>
          <w:szCs w:val="21"/>
        </w:rPr>
        <w:t xml:space="preserve">                       </w:t>
      </w:r>
      <w:r>
        <w:rPr>
          <w:rFonts w:hint="eastAsia" w:ascii="宋体" w:hAnsi="宋体"/>
          <w:szCs w:val="21"/>
        </w:rPr>
        <w:t>（合同模板仅供参考，实际以签订为准）</w:t>
      </w:r>
    </w:p>
    <w:p>
      <w:pPr>
        <w:spacing w:line="440" w:lineRule="exact"/>
        <w:rPr>
          <w:rFonts w:hint="eastAsia" w:ascii="宋体" w:hAnsi="宋体"/>
          <w:color w:val="000000"/>
        </w:rPr>
      </w:pPr>
      <w:r>
        <w:rPr>
          <w:rFonts w:hint="eastAsia" w:ascii="宋体" w:hAnsi="宋体"/>
          <w:color w:val="000000"/>
        </w:rPr>
        <w:t xml:space="preserve">项目名称：                                       </w:t>
      </w:r>
    </w:p>
    <w:p>
      <w:pPr>
        <w:spacing w:line="440" w:lineRule="exact"/>
        <w:rPr>
          <w:rFonts w:hint="eastAsia" w:ascii="宋体" w:hAnsi="宋体"/>
          <w:color w:val="000000"/>
        </w:rPr>
      </w:pPr>
      <w:r>
        <w:rPr>
          <w:rFonts w:hint="eastAsia" w:ascii="宋体" w:hAnsi="宋体"/>
          <w:color w:val="000000"/>
        </w:rPr>
        <w:t xml:space="preserve">采购编号：                        </w:t>
      </w:r>
    </w:p>
    <w:p>
      <w:pPr>
        <w:spacing w:line="440" w:lineRule="exact"/>
        <w:rPr>
          <w:rFonts w:hint="eastAsia" w:ascii="宋体" w:hAnsi="宋体"/>
          <w:color w:val="000000"/>
        </w:rPr>
      </w:pPr>
      <w:r>
        <w:rPr>
          <w:rFonts w:hint="eastAsia" w:ascii="宋体" w:hAnsi="宋体"/>
          <w:color w:val="000000"/>
        </w:rPr>
        <w:t xml:space="preserve">甲方：                                                                      </w:t>
      </w:r>
    </w:p>
    <w:p>
      <w:pPr>
        <w:spacing w:line="440" w:lineRule="exact"/>
        <w:rPr>
          <w:rFonts w:hint="eastAsia" w:ascii="宋体" w:hAnsi="宋体"/>
          <w:color w:val="000000"/>
        </w:rPr>
      </w:pPr>
      <w:r>
        <w:rPr>
          <w:rFonts w:hint="eastAsia" w:ascii="宋体" w:hAnsi="宋体"/>
          <w:color w:val="000000"/>
        </w:rPr>
        <w:t xml:space="preserve">乙方：                                                                      </w:t>
      </w:r>
    </w:p>
    <w:p>
      <w:pPr>
        <w:spacing w:line="440" w:lineRule="exact"/>
        <w:ind w:firstLine="420" w:firstLineChars="200"/>
        <w:rPr>
          <w:rFonts w:hint="eastAsia" w:ascii="宋体" w:hAnsi="宋体"/>
          <w:color w:val="000000"/>
        </w:rPr>
      </w:pPr>
      <w:r>
        <w:rPr>
          <w:rFonts w:hint="eastAsia" w:ascii="宋体" w:hAnsi="宋体"/>
          <w:color w:val="000000"/>
        </w:rPr>
        <w:t>一、甲、乙双方根据关于</w:t>
      </w:r>
      <w:r>
        <w:rPr>
          <w:rFonts w:hint="eastAsia" w:ascii="宋体" w:hAnsi="宋体"/>
          <w:color w:val="000000"/>
          <w:u w:val="single"/>
        </w:rPr>
        <w:t xml:space="preserve">           （项目名称）        </w:t>
      </w:r>
      <w:r>
        <w:rPr>
          <w:rFonts w:hint="eastAsia" w:ascii="宋体" w:hAnsi="宋体"/>
          <w:color w:val="000000"/>
        </w:rPr>
        <w:t xml:space="preserve">的结果，双方经协商签署本合同。                                                            </w:t>
      </w:r>
    </w:p>
    <w:p>
      <w:pPr>
        <w:spacing w:line="440" w:lineRule="exact"/>
        <w:ind w:firstLine="420" w:firstLineChars="200"/>
        <w:rPr>
          <w:rFonts w:hint="eastAsia" w:ascii="宋体" w:hAnsi="宋体"/>
          <w:color w:val="000000"/>
        </w:rPr>
      </w:pPr>
      <w:r>
        <w:rPr>
          <w:rFonts w:hint="eastAsia" w:ascii="宋体" w:hAnsi="宋体"/>
          <w:color w:val="000000"/>
        </w:rPr>
        <w:t>二、合同金额</w:t>
      </w:r>
    </w:p>
    <w:p>
      <w:pPr>
        <w:spacing w:line="440" w:lineRule="exact"/>
        <w:ind w:firstLine="420" w:firstLineChars="200"/>
        <w:rPr>
          <w:rFonts w:hint="eastAsia" w:ascii="宋体" w:hAnsi="宋体"/>
          <w:color w:val="000000"/>
        </w:rPr>
      </w:pPr>
      <w:r>
        <w:rPr>
          <w:rFonts w:hint="eastAsia" w:ascii="宋体" w:hAnsi="宋体"/>
          <w:color w:val="000000"/>
        </w:rPr>
        <w:t>本合同金额为（大写）：_______________    元（￥_______________ 元）人民币。</w:t>
      </w:r>
    </w:p>
    <w:p>
      <w:pPr>
        <w:spacing w:line="440" w:lineRule="exact"/>
        <w:ind w:firstLine="413" w:firstLineChars="196"/>
        <w:rPr>
          <w:rFonts w:hint="eastAsia" w:ascii="宋体" w:hAnsi="宋体"/>
          <w:b/>
          <w:color w:val="000000"/>
        </w:rPr>
      </w:pPr>
      <w:r>
        <w:rPr>
          <w:rFonts w:hint="eastAsia" w:ascii="宋体" w:hAnsi="宋体"/>
          <w:b/>
          <w:color w:val="000000"/>
        </w:rPr>
        <w:t>三、双方责任、要求</w:t>
      </w:r>
    </w:p>
    <w:p>
      <w:pPr>
        <w:spacing w:line="440" w:lineRule="exact"/>
        <w:ind w:firstLine="413" w:firstLineChars="196"/>
        <w:rPr>
          <w:rFonts w:hint="eastAsia" w:ascii="宋体" w:hAnsi="宋体"/>
          <w:b/>
          <w:color w:val="000000"/>
        </w:rPr>
      </w:pPr>
      <w:r>
        <w:rPr>
          <w:rFonts w:hint="eastAsia" w:ascii="宋体" w:hAnsi="宋体"/>
          <w:b/>
          <w:color w:val="000000"/>
        </w:rPr>
        <w:t>1、甲方</w:t>
      </w:r>
    </w:p>
    <w:p>
      <w:pPr>
        <w:spacing w:line="440" w:lineRule="exact"/>
        <w:ind w:firstLine="420" w:firstLineChars="200"/>
        <w:rPr>
          <w:rFonts w:hint="eastAsia" w:ascii="宋体" w:hAnsi="宋体"/>
          <w:color w:val="000000"/>
        </w:rPr>
      </w:pPr>
      <w:r>
        <w:rPr>
          <w:rFonts w:hint="eastAsia" w:ascii="宋体" w:hAnsi="宋体"/>
          <w:color w:val="000000"/>
        </w:rPr>
        <w:t>1.1甲方负责为乙方有效开展工作提供必要的办公条件，包括办公用房、维修工作场所等。</w:t>
      </w:r>
    </w:p>
    <w:p>
      <w:pPr>
        <w:spacing w:line="440" w:lineRule="exact"/>
        <w:ind w:firstLine="420" w:firstLineChars="200"/>
        <w:rPr>
          <w:rFonts w:hint="eastAsia" w:ascii="宋体" w:hAnsi="宋体"/>
          <w:color w:val="000000"/>
        </w:rPr>
      </w:pPr>
      <w:r>
        <w:rPr>
          <w:rFonts w:hint="eastAsia" w:ascii="宋体" w:hAnsi="宋体"/>
          <w:color w:val="000000"/>
        </w:rPr>
        <w:t>1.2甲方负责向乙方提供大楼的工程设备系统竣工图、备品备件、设备管理所需的资料和附件等。</w:t>
      </w:r>
    </w:p>
    <w:p>
      <w:pPr>
        <w:spacing w:line="440" w:lineRule="exact"/>
        <w:ind w:firstLine="420" w:firstLineChars="200"/>
        <w:rPr>
          <w:rFonts w:hint="eastAsia" w:ascii="宋体" w:hAnsi="宋体"/>
          <w:color w:val="000000"/>
        </w:rPr>
      </w:pPr>
      <w:r>
        <w:rPr>
          <w:rFonts w:hint="eastAsia" w:ascii="宋体" w:hAnsi="宋体"/>
          <w:color w:val="000000"/>
        </w:rPr>
        <w:t>1.3甲方应协调完成在乙方入驻前的交接工作，使乙方能正常履行合同。</w:t>
      </w:r>
    </w:p>
    <w:p>
      <w:pPr>
        <w:spacing w:line="440" w:lineRule="exact"/>
        <w:ind w:firstLine="420" w:firstLineChars="200"/>
        <w:rPr>
          <w:rFonts w:hint="eastAsia" w:ascii="宋体" w:hAnsi="宋体"/>
          <w:color w:val="000000"/>
        </w:rPr>
      </w:pPr>
      <w:r>
        <w:rPr>
          <w:rFonts w:hint="eastAsia" w:ascii="宋体" w:hAnsi="宋体"/>
          <w:color w:val="000000"/>
        </w:rPr>
        <w:t>1.4保洁、秩序维护监控及设备保安管理管理工作一般由相关业务部门代表甲方进行监管、考核；</w:t>
      </w:r>
    </w:p>
    <w:p>
      <w:pPr>
        <w:spacing w:line="440" w:lineRule="exact"/>
        <w:ind w:firstLine="420" w:firstLineChars="200"/>
        <w:rPr>
          <w:rFonts w:hint="eastAsia" w:ascii="宋体" w:hAnsi="宋体"/>
          <w:color w:val="000000"/>
        </w:rPr>
      </w:pPr>
      <w:r>
        <w:rPr>
          <w:rFonts w:hint="eastAsia" w:ascii="宋体" w:hAnsi="宋体"/>
          <w:color w:val="000000"/>
        </w:rPr>
        <w:t>1.5每月20-25日由甲方组织人员对保洁、秩序维护监控、设备管理等工作内容，按照考核标准进行考核，甲方每月不定期抽查一次，查出的问题按考核标准执行。</w:t>
      </w:r>
    </w:p>
    <w:p>
      <w:pPr>
        <w:spacing w:line="440" w:lineRule="exact"/>
        <w:ind w:firstLine="420" w:firstLineChars="200"/>
        <w:rPr>
          <w:rFonts w:hint="eastAsia" w:ascii="宋体" w:hAnsi="宋体"/>
          <w:color w:val="000000"/>
        </w:rPr>
      </w:pPr>
      <w:r>
        <w:rPr>
          <w:rFonts w:hint="eastAsia" w:ascii="宋体" w:hAnsi="宋体"/>
          <w:color w:val="000000"/>
        </w:rPr>
        <w:t>1.6甲方每半年对保安管理公司的管理质量发放满意度调查表调查，综合满意度应达95%以上，低于90%每下降一个百分点按相应规定处理（具体办法另行商定）。</w:t>
      </w:r>
    </w:p>
    <w:p>
      <w:pPr>
        <w:spacing w:line="440" w:lineRule="exact"/>
        <w:ind w:firstLine="413" w:firstLineChars="196"/>
        <w:rPr>
          <w:rFonts w:hint="eastAsia" w:ascii="宋体" w:hAnsi="宋体"/>
          <w:b/>
          <w:color w:val="000000"/>
        </w:rPr>
      </w:pPr>
      <w:r>
        <w:rPr>
          <w:rFonts w:hint="eastAsia" w:ascii="宋体" w:hAnsi="宋体"/>
          <w:b/>
          <w:color w:val="000000"/>
        </w:rPr>
        <w:t>2、乙方</w:t>
      </w:r>
    </w:p>
    <w:p>
      <w:pPr>
        <w:spacing w:line="440" w:lineRule="exact"/>
        <w:ind w:firstLine="411" w:firstLineChars="196"/>
        <w:rPr>
          <w:rFonts w:hint="eastAsia" w:ascii="宋体" w:hAnsi="宋体"/>
          <w:color w:val="000000"/>
        </w:rPr>
      </w:pPr>
      <w:r>
        <w:rPr>
          <w:rFonts w:hint="eastAsia" w:ascii="宋体" w:hAnsi="宋体"/>
          <w:color w:val="000000"/>
        </w:rPr>
        <w:t>2.1乙方在提供保安管理服务过程中，如果发生任何人身事故及财产损失均由乙方自行负责处理。</w:t>
      </w:r>
    </w:p>
    <w:p>
      <w:pPr>
        <w:spacing w:line="440" w:lineRule="exact"/>
        <w:ind w:firstLine="411" w:firstLineChars="196"/>
        <w:rPr>
          <w:rFonts w:hint="eastAsia" w:ascii="宋体" w:hAnsi="宋体"/>
          <w:color w:val="000000"/>
        </w:rPr>
      </w:pPr>
      <w:r>
        <w:rPr>
          <w:rFonts w:hint="eastAsia" w:ascii="宋体" w:hAnsi="宋体"/>
          <w:color w:val="000000"/>
        </w:rPr>
        <w:t>2.2乙方与员工引起的劳动纠纷均由乙方自行负责处理。</w:t>
      </w:r>
    </w:p>
    <w:p>
      <w:pPr>
        <w:spacing w:line="440" w:lineRule="exact"/>
        <w:ind w:firstLine="420" w:firstLineChars="200"/>
        <w:rPr>
          <w:rFonts w:hint="eastAsia" w:ascii="宋体" w:hAnsi="宋体"/>
          <w:color w:val="000000"/>
        </w:rPr>
      </w:pPr>
      <w:r>
        <w:rPr>
          <w:rFonts w:hint="eastAsia" w:ascii="宋体" w:hAnsi="宋体"/>
          <w:color w:val="000000"/>
        </w:rPr>
        <w:t>2.3乙方用工方面必须按劳动法规范实施。</w:t>
      </w:r>
    </w:p>
    <w:p>
      <w:pPr>
        <w:spacing w:line="440" w:lineRule="exact"/>
        <w:ind w:firstLine="422" w:firstLineChars="200"/>
        <w:rPr>
          <w:rFonts w:hint="eastAsia" w:ascii="宋体" w:hAnsi="宋体"/>
          <w:b/>
          <w:color w:val="000000"/>
        </w:rPr>
      </w:pPr>
      <w:r>
        <w:rPr>
          <w:rFonts w:hint="eastAsia" w:ascii="宋体" w:hAnsi="宋体"/>
          <w:b/>
          <w:color w:val="000000"/>
        </w:rPr>
        <w:t>3、保安管理费的结算</w:t>
      </w:r>
    </w:p>
    <w:p>
      <w:pPr>
        <w:spacing w:line="440" w:lineRule="exact"/>
        <w:ind w:firstLine="420" w:firstLineChars="200"/>
        <w:rPr>
          <w:rFonts w:hint="eastAsia" w:ascii="宋体" w:hAnsi="宋体"/>
        </w:rPr>
      </w:pPr>
      <w:r>
        <w:rPr>
          <w:rFonts w:hint="eastAsia" w:ascii="宋体" w:hAnsi="宋体"/>
        </w:rPr>
        <w:t>3.1本合同的一年保安管理费为</w:t>
      </w:r>
      <w:r>
        <w:rPr>
          <w:rFonts w:hint="eastAsia" w:ascii="宋体" w:hAnsi="宋体"/>
          <w:u w:val="single"/>
        </w:rPr>
        <w:t xml:space="preserve">          </w:t>
      </w:r>
      <w:r>
        <w:rPr>
          <w:rFonts w:hint="eastAsia" w:ascii="宋体" w:hAnsi="宋体"/>
        </w:rPr>
        <w:t>（</w:t>
      </w:r>
      <w:r>
        <w:rPr>
          <w:rFonts w:hint="eastAsia" w:hAnsi="宋体"/>
          <w:color w:val="000000"/>
          <w:szCs w:val="21"/>
          <w:u w:val="single"/>
        </w:rPr>
        <w:t>包括人员工资福利、津贴、各种社会保险、服装费、人员食宿与交通、加班费、绿化养护费、垃圾清理费、零星设备设施维修及更换费、税金、管理费等）</w:t>
      </w:r>
      <w:r>
        <w:rPr>
          <w:rFonts w:hint="eastAsia" w:ascii="宋体" w:hAnsi="宋体"/>
          <w:u w:val="single"/>
        </w:rPr>
        <w:t>。</w:t>
      </w:r>
      <w:r>
        <w:rPr>
          <w:rFonts w:hint="eastAsia" w:ascii="宋体" w:hAnsi="宋体"/>
        </w:rPr>
        <w:t>支付办法：</w:t>
      </w:r>
      <w:r>
        <w:rPr>
          <w:rFonts w:hint="eastAsia" w:ascii="宋体" w:hAnsi="宋体"/>
          <w:color w:val="000000"/>
        </w:rPr>
        <w:t>投标人按承诺的目标要求进行自查，在次月10日前将自查结果以书面形式报采购人，由采购人进行审核，在5个工作日内以书面形式反馈审核结果。如合格，</w:t>
      </w:r>
      <w:r>
        <w:rPr>
          <w:rFonts w:hint="eastAsia" w:ascii="宋体" w:hAnsi="宋体"/>
          <w:color w:val="000000"/>
          <w:szCs w:val="21"/>
        </w:rPr>
        <w:t>采购人</w:t>
      </w:r>
      <w:r>
        <w:rPr>
          <w:rFonts w:hint="eastAsia" w:ascii="宋体" w:hAnsi="宋体"/>
          <w:color w:val="000000"/>
        </w:rPr>
        <w:t>即向投标人按月支付管理服务费。</w:t>
      </w:r>
      <w:r>
        <w:rPr>
          <w:rFonts w:hint="eastAsia" w:ascii="宋体" w:hAnsi="宋体"/>
          <w:szCs w:val="21"/>
        </w:rPr>
        <w:t>如达不到要求的按物业考核管理中心规定作相应扣减。</w:t>
      </w:r>
    </w:p>
    <w:p>
      <w:pPr>
        <w:spacing w:line="440" w:lineRule="exact"/>
        <w:ind w:firstLine="315" w:firstLineChars="150"/>
        <w:rPr>
          <w:rFonts w:hint="eastAsia" w:ascii="宋体" w:hAnsi="宋体"/>
          <w:color w:val="000000"/>
        </w:rPr>
      </w:pPr>
      <w:r>
        <w:rPr>
          <w:rFonts w:hint="eastAsia" w:ascii="宋体" w:hAnsi="宋体"/>
          <w:color w:val="000000"/>
        </w:rPr>
        <w:t xml:space="preserve"> 3.2工具设备基本配置不到位的，扣除当月相应工具固定资产价值的10%。</w:t>
      </w:r>
    </w:p>
    <w:p>
      <w:pPr>
        <w:spacing w:line="400" w:lineRule="exact"/>
        <w:ind w:firstLine="420" w:firstLineChars="200"/>
        <w:rPr>
          <w:rFonts w:hint="eastAsia" w:ascii="宋体" w:hAnsi="宋体" w:cs="宋体"/>
        </w:rPr>
      </w:pPr>
      <w:r>
        <w:rPr>
          <w:rFonts w:hint="eastAsia" w:ascii="宋体" w:hAnsi="宋体"/>
          <w:color w:val="000000"/>
        </w:rPr>
        <w:t>3.3本合同期限为</w:t>
      </w:r>
      <w:r>
        <w:rPr>
          <w:rFonts w:hint="eastAsia" w:ascii="宋体" w:hAnsi="宋体"/>
          <w:color w:val="000000"/>
          <w:u w:val="single"/>
        </w:rPr>
        <w:t xml:space="preserve">   </w:t>
      </w:r>
      <w:r>
        <w:rPr>
          <w:rFonts w:hint="eastAsia" w:ascii="宋体" w:hAnsi="宋体"/>
          <w:color w:val="000000"/>
        </w:rPr>
        <w:t>年，自</w:t>
      </w:r>
      <w:r>
        <w:rPr>
          <w:rFonts w:hint="eastAsia" w:ascii="宋体" w:hAnsi="宋体"/>
          <w:color w:val="000000"/>
          <w:u w:val="single"/>
        </w:rPr>
        <w:t xml:space="preserve">    </w:t>
      </w:r>
      <w:r>
        <w:rPr>
          <w:rFonts w:hint="eastAsia" w:ascii="宋体" w:hAnsi="宋体"/>
          <w:color w:val="000000"/>
        </w:rPr>
        <w:t>年</w:t>
      </w:r>
      <w:r>
        <w:rPr>
          <w:rFonts w:hint="eastAsia" w:ascii="宋体" w:hAnsi="宋体"/>
          <w:color w:val="000000"/>
          <w:u w:val="single"/>
        </w:rPr>
        <w:t xml:space="preserve">   </w:t>
      </w:r>
      <w:r>
        <w:rPr>
          <w:rFonts w:hint="eastAsia" w:ascii="宋体" w:hAnsi="宋体"/>
          <w:color w:val="000000"/>
        </w:rPr>
        <w:t>月</w:t>
      </w:r>
      <w:r>
        <w:rPr>
          <w:rFonts w:hint="eastAsia" w:ascii="宋体" w:hAnsi="宋体"/>
          <w:color w:val="000000"/>
          <w:u w:val="single"/>
        </w:rPr>
        <w:t xml:space="preserve">   </w:t>
      </w:r>
      <w:r>
        <w:rPr>
          <w:rFonts w:hint="eastAsia" w:ascii="宋体" w:hAnsi="宋体"/>
          <w:color w:val="000000"/>
        </w:rPr>
        <w:t>日至</w:t>
      </w:r>
      <w:r>
        <w:rPr>
          <w:rFonts w:hint="eastAsia" w:ascii="宋体" w:hAnsi="宋体"/>
          <w:color w:val="000000"/>
          <w:u w:val="single"/>
        </w:rPr>
        <w:t xml:space="preserve">     </w:t>
      </w:r>
      <w:r>
        <w:rPr>
          <w:rFonts w:hint="eastAsia" w:ascii="宋体" w:hAnsi="宋体"/>
          <w:color w:val="000000"/>
        </w:rPr>
        <w:t>年</w:t>
      </w:r>
      <w:r>
        <w:rPr>
          <w:rFonts w:hint="eastAsia" w:ascii="宋体" w:hAnsi="宋体"/>
          <w:color w:val="000000"/>
          <w:u w:val="single"/>
        </w:rPr>
        <w:t xml:space="preserve">   </w:t>
      </w:r>
      <w:r>
        <w:rPr>
          <w:rFonts w:hint="eastAsia" w:ascii="宋体" w:hAnsi="宋体"/>
          <w:color w:val="000000"/>
        </w:rPr>
        <w:t>月</w:t>
      </w:r>
      <w:r>
        <w:rPr>
          <w:rFonts w:hint="eastAsia" w:ascii="宋体" w:hAnsi="宋体"/>
          <w:color w:val="000000"/>
          <w:u w:val="single"/>
        </w:rPr>
        <w:t xml:space="preserve">   </w:t>
      </w:r>
      <w:r>
        <w:rPr>
          <w:rFonts w:hint="eastAsia" w:ascii="宋体" w:hAnsi="宋体"/>
          <w:color w:val="000000"/>
        </w:rPr>
        <w:t>日</w:t>
      </w:r>
      <w:r>
        <w:rPr>
          <w:rFonts w:hint="eastAsia" w:ascii="宋体" w:hAnsi="宋体"/>
          <w:color w:val="000000"/>
          <w:highlight w:val="none"/>
        </w:rPr>
        <w:t>止。</w:t>
      </w:r>
      <w:r>
        <w:rPr>
          <w:rFonts w:hint="eastAsia" w:ascii="宋体" w:hAnsi="宋体" w:cs="宋体"/>
          <w:szCs w:val="21"/>
          <w:highlight w:val="none"/>
        </w:rPr>
        <w:t>合同到期后，甲方对乙方的合同履行等情况进行综合评估考核，考核合格后续签下一年度</w:t>
      </w:r>
      <w:r>
        <w:rPr>
          <w:rFonts w:hint="eastAsia" w:ascii="宋体" w:hAnsi="宋体"/>
          <w:highlight w:val="none"/>
        </w:rPr>
        <w:t>，直至三年服务期满。续签条款按照原合同履行，</w:t>
      </w:r>
      <w:r>
        <w:rPr>
          <w:rFonts w:hint="eastAsia" w:ascii="宋体" w:hAnsi="宋体"/>
          <w:szCs w:val="21"/>
          <w:highlight w:val="none"/>
        </w:rPr>
        <w:t>如遇最低工资调整、物价上涨等因素，则根据实际情况作适当调整，但最高不得超过原合同价的5%。合作期内任何一方不得擅自停止协议，否则应负担所造成的一切损失。</w:t>
      </w:r>
    </w:p>
    <w:p>
      <w:pPr>
        <w:spacing w:line="440" w:lineRule="exact"/>
        <w:ind w:firstLine="420" w:firstLineChars="200"/>
        <w:rPr>
          <w:rFonts w:hint="eastAsia" w:ascii="宋体" w:hAnsi="宋体"/>
          <w:color w:val="000000"/>
        </w:rPr>
      </w:pPr>
      <w:r>
        <w:rPr>
          <w:rFonts w:hint="eastAsia" w:ascii="宋体" w:hAnsi="宋体"/>
          <w:color w:val="000000"/>
        </w:rPr>
        <w:t>3.4合同到期时，甲方重新招标更换保安管理单位，乙方必须支持甲方此项工作，按照《保安管理条例》规定协助做好先后两家管单位的平稳过渡和交接工作；如违反《保安管理条例》规定，不移交有关资料的，按《保安管理条例》规定执行。合同结束交接顺利完成后十五天内，甲方付清尾款。</w:t>
      </w:r>
    </w:p>
    <w:p>
      <w:pPr>
        <w:spacing w:line="440" w:lineRule="exact"/>
        <w:ind w:firstLine="420" w:firstLineChars="200"/>
        <w:rPr>
          <w:rFonts w:hint="eastAsia" w:ascii="宋体" w:hAnsi="宋体"/>
          <w:color w:val="000000"/>
        </w:rPr>
      </w:pPr>
      <w:r>
        <w:rPr>
          <w:rFonts w:hint="eastAsia" w:ascii="宋体" w:hAnsi="宋体"/>
          <w:color w:val="000000"/>
        </w:rPr>
        <w:t>3.5本合同未尽事宜由甲乙双方友好协商解决。</w:t>
      </w:r>
      <w:r>
        <w:rPr>
          <w:rFonts w:hint="eastAsia" w:ascii="宋体" w:hAnsi="宋体"/>
          <w:color w:val="000000"/>
        </w:rPr>
        <w:tab/>
      </w:r>
    </w:p>
    <w:p>
      <w:pPr>
        <w:spacing w:line="440" w:lineRule="exact"/>
        <w:ind w:firstLine="422" w:firstLineChars="200"/>
        <w:rPr>
          <w:rFonts w:hint="eastAsia" w:ascii="宋体" w:hAnsi="宋体"/>
          <w:b/>
          <w:color w:val="000000"/>
        </w:rPr>
      </w:pPr>
      <w:r>
        <w:rPr>
          <w:rFonts w:hint="eastAsia" w:ascii="宋体" w:hAnsi="宋体"/>
          <w:b/>
          <w:color w:val="000000"/>
        </w:rPr>
        <w:t>4、服务要求</w:t>
      </w:r>
    </w:p>
    <w:p>
      <w:pPr>
        <w:spacing w:line="440" w:lineRule="exact"/>
        <w:ind w:firstLine="420" w:firstLineChars="200"/>
        <w:rPr>
          <w:rFonts w:hint="eastAsia" w:ascii="宋体" w:hAnsi="宋体"/>
          <w:color w:val="000000"/>
        </w:rPr>
      </w:pPr>
      <w:r>
        <w:rPr>
          <w:rFonts w:hint="eastAsia" w:ascii="宋体" w:hAnsi="宋体"/>
          <w:color w:val="000000"/>
        </w:rPr>
        <w:t>乙方提交的服务应符合投标文件中所记载的详细要求，并应附有此类服务完整、详细的说明文件。</w:t>
      </w:r>
    </w:p>
    <w:p>
      <w:pPr>
        <w:spacing w:line="440" w:lineRule="exact"/>
        <w:ind w:firstLine="422" w:firstLineChars="200"/>
        <w:rPr>
          <w:rFonts w:hint="eastAsia" w:ascii="宋体" w:hAnsi="宋体"/>
          <w:b/>
          <w:color w:val="000000"/>
        </w:rPr>
      </w:pPr>
      <w:bookmarkStart w:id="32" w:name="_Hlt92073205"/>
      <w:bookmarkEnd w:id="32"/>
      <w:r>
        <w:rPr>
          <w:rFonts w:hint="eastAsia" w:ascii="宋体" w:hAnsi="宋体"/>
          <w:b/>
          <w:color w:val="000000"/>
        </w:rPr>
        <w:t>5、履约保证金</w:t>
      </w:r>
    </w:p>
    <w:p>
      <w:pPr>
        <w:spacing w:line="440" w:lineRule="exact"/>
        <w:ind w:firstLine="420" w:firstLineChars="200"/>
        <w:rPr>
          <w:rFonts w:hint="eastAsia" w:ascii="宋体" w:hAnsi="宋体"/>
          <w:color w:val="000000"/>
        </w:rPr>
      </w:pPr>
      <w:bookmarkStart w:id="33" w:name="_Toc91183871"/>
      <w:bookmarkStart w:id="34" w:name="_Toc124320188"/>
      <w:r>
        <w:rPr>
          <w:rFonts w:hint="eastAsia" w:ascii="宋体" w:hAnsi="宋体"/>
          <w:color w:val="000000"/>
        </w:rPr>
        <w:t>5.1乙方应在合同签订后5个工作日内向甲方一次性支付合同总价2%的履约保证金         元（人民币），履约保证金有效期到合同期满时止。</w:t>
      </w:r>
    </w:p>
    <w:p>
      <w:pPr>
        <w:spacing w:line="440" w:lineRule="exact"/>
        <w:ind w:firstLine="420" w:firstLineChars="200"/>
        <w:rPr>
          <w:rFonts w:hint="eastAsia" w:ascii="宋体" w:hAnsi="宋体"/>
          <w:color w:val="000000"/>
        </w:rPr>
      </w:pPr>
      <w:r>
        <w:rPr>
          <w:rFonts w:hint="eastAsia" w:ascii="宋体" w:hAnsi="宋体"/>
          <w:color w:val="000000"/>
        </w:rPr>
        <w:t>5.2 乙方完成合同规定的管理目标并按规定办妥移交手续，甲方在合同期满检查验收合格10日内退还全部履约保证金(无息)。</w:t>
      </w:r>
    </w:p>
    <w:p>
      <w:pPr>
        <w:spacing w:line="440" w:lineRule="exact"/>
        <w:ind w:firstLine="420" w:firstLineChars="200"/>
        <w:rPr>
          <w:rFonts w:hint="eastAsia" w:ascii="宋体" w:hAnsi="宋体"/>
          <w:color w:val="000000"/>
        </w:rPr>
      </w:pPr>
      <w:r>
        <w:rPr>
          <w:rFonts w:hint="eastAsia" w:ascii="宋体" w:hAnsi="宋体"/>
          <w:color w:val="000000"/>
        </w:rPr>
        <w:t>5.3、如由于乙方过错，致使不能按规定履行合同，甲方有权从履约保证金得到补偿。</w:t>
      </w:r>
    </w:p>
    <w:p>
      <w:pPr>
        <w:spacing w:line="440" w:lineRule="exact"/>
        <w:ind w:firstLine="422" w:firstLineChars="200"/>
        <w:rPr>
          <w:rFonts w:hint="eastAsia" w:ascii="宋体" w:hAnsi="宋体"/>
          <w:b/>
          <w:color w:val="000000"/>
        </w:rPr>
      </w:pPr>
      <w:r>
        <w:rPr>
          <w:rFonts w:hint="eastAsia" w:ascii="宋体" w:hAnsi="宋体"/>
          <w:b/>
          <w:color w:val="000000"/>
        </w:rPr>
        <w:t>6、</w:t>
      </w:r>
      <w:bookmarkEnd w:id="33"/>
      <w:bookmarkEnd w:id="34"/>
      <w:r>
        <w:rPr>
          <w:rFonts w:hint="eastAsia" w:ascii="宋体" w:hAnsi="宋体"/>
          <w:b/>
          <w:color w:val="000000"/>
        </w:rPr>
        <w:t>违约责任和索赔</w:t>
      </w:r>
    </w:p>
    <w:p>
      <w:pPr>
        <w:spacing w:line="440" w:lineRule="exact"/>
        <w:ind w:firstLine="420" w:firstLineChars="200"/>
        <w:rPr>
          <w:rFonts w:hint="eastAsia" w:ascii="宋体" w:hAnsi="宋体"/>
          <w:color w:val="000000"/>
        </w:rPr>
      </w:pPr>
      <w:r>
        <w:rPr>
          <w:rFonts w:hint="eastAsia" w:ascii="宋体" w:hAnsi="宋体"/>
          <w:color w:val="000000"/>
        </w:rPr>
        <w:t>6.1甲乙双方任何一方违反合同，造成对方经济损失的，应给予对方经济赔偿。</w:t>
      </w:r>
    </w:p>
    <w:p>
      <w:pPr>
        <w:spacing w:line="440" w:lineRule="exact"/>
        <w:ind w:firstLine="420" w:firstLineChars="200"/>
        <w:rPr>
          <w:rFonts w:hint="eastAsia" w:ascii="宋体" w:hAnsi="宋体"/>
          <w:color w:val="000000"/>
        </w:rPr>
      </w:pPr>
      <w:r>
        <w:rPr>
          <w:rFonts w:hint="eastAsia" w:ascii="宋体" w:hAnsi="宋体"/>
          <w:color w:val="000000"/>
        </w:rPr>
        <w:t>6.2如果乙方无正当理由拖延管理或不按时提供服务，将受到以下制裁：（1）没收履约保证金；（2）加收违约损失赔偿。</w:t>
      </w:r>
    </w:p>
    <w:p>
      <w:pPr>
        <w:spacing w:line="440" w:lineRule="exact"/>
        <w:ind w:firstLine="420" w:firstLineChars="200"/>
        <w:rPr>
          <w:rFonts w:hint="eastAsia" w:ascii="宋体" w:hAnsi="宋体"/>
          <w:color w:val="000000"/>
        </w:rPr>
      </w:pPr>
      <w:r>
        <w:rPr>
          <w:rFonts w:hint="eastAsia" w:ascii="宋体" w:hAnsi="宋体"/>
          <w:color w:val="000000"/>
        </w:rPr>
        <w:t>6.3乙方如给甲方造成的实际损失高于违约金的，对高出违约金的部分乙方应予以赔偿。</w:t>
      </w:r>
    </w:p>
    <w:p>
      <w:pPr>
        <w:spacing w:line="440" w:lineRule="exact"/>
        <w:ind w:firstLine="420" w:firstLineChars="200"/>
        <w:rPr>
          <w:rFonts w:hint="eastAsia" w:ascii="宋体" w:hAnsi="宋体"/>
          <w:color w:val="000000"/>
        </w:rPr>
      </w:pPr>
      <w:r>
        <w:rPr>
          <w:rFonts w:hint="eastAsia" w:ascii="宋体" w:hAnsi="宋体"/>
          <w:color w:val="000000"/>
        </w:rPr>
        <w:t>6.4乙方如迟延履行合同、不完全履行合同，除支付违约金外，乙方仍应实际履行合同；不履行或履行合同不符合约定，甲方均有权解除合同，并就乙方违约给甲方造成的损失向乙方索赔。</w:t>
      </w:r>
    </w:p>
    <w:p>
      <w:pPr>
        <w:spacing w:line="440" w:lineRule="exact"/>
        <w:ind w:firstLine="420" w:firstLineChars="200"/>
        <w:rPr>
          <w:rFonts w:hint="eastAsia" w:ascii="宋体" w:hAnsi="宋体"/>
          <w:color w:val="000000"/>
        </w:rPr>
      </w:pPr>
      <w:r>
        <w:rPr>
          <w:rFonts w:hint="eastAsia" w:ascii="宋体" w:hAnsi="宋体"/>
          <w:color w:val="000000"/>
        </w:rPr>
        <w:t>6.5 甲方不能及时按合同付款，则应当自逾付款第5日起，每天按当季应付管理服务费的0.05%向乙方支付滞纳金，甲方应付费用拖欠60天后，乙方有权终止本合同承担的管理目标及责任。</w:t>
      </w:r>
    </w:p>
    <w:p>
      <w:pPr>
        <w:spacing w:line="440" w:lineRule="exact"/>
        <w:ind w:firstLine="420" w:firstLineChars="200"/>
        <w:rPr>
          <w:rFonts w:hint="eastAsia" w:ascii="宋体" w:hAnsi="宋体"/>
          <w:color w:val="000000"/>
        </w:rPr>
      </w:pPr>
      <w:r>
        <w:rPr>
          <w:rFonts w:hint="eastAsia" w:ascii="宋体" w:hAnsi="宋体"/>
          <w:color w:val="000000"/>
        </w:rPr>
        <w:t>6.6 乙方对所提供服务若与合同要求不符并造成不良后果，并且甲方巳于合同规定的委托管理期内提出索赔，乙方应按甲方同意的下述一种或多种方法解决索赔事宜：</w:t>
      </w:r>
    </w:p>
    <w:p>
      <w:pPr>
        <w:spacing w:line="440" w:lineRule="exact"/>
        <w:ind w:firstLine="420" w:firstLineChars="200"/>
        <w:rPr>
          <w:rFonts w:hint="eastAsia" w:ascii="宋体" w:hAnsi="宋体"/>
          <w:color w:val="000000"/>
        </w:rPr>
      </w:pPr>
      <w:r>
        <w:rPr>
          <w:rFonts w:hint="eastAsia" w:ascii="宋体" w:hAnsi="宋体"/>
          <w:color w:val="000000"/>
        </w:rPr>
        <w:t>6.6.1乙方同意甲方取消其不符要求的服务项目，退还已经收取的该类项目的保安管理费等所有的该项费用。</w:t>
      </w:r>
    </w:p>
    <w:p>
      <w:pPr>
        <w:spacing w:line="440" w:lineRule="exact"/>
        <w:ind w:firstLine="420" w:firstLineChars="200"/>
        <w:rPr>
          <w:rFonts w:hint="eastAsia" w:ascii="宋体" w:hAnsi="宋体"/>
          <w:color w:val="000000"/>
        </w:rPr>
      </w:pPr>
      <w:r>
        <w:rPr>
          <w:rFonts w:hint="eastAsia" w:ascii="宋体" w:hAnsi="宋体"/>
          <w:color w:val="000000"/>
        </w:rPr>
        <w:t>6.6.2对于情节轻微的，经双方同意可降低该类项目的保安管理服务价格。</w:t>
      </w:r>
    </w:p>
    <w:p>
      <w:pPr>
        <w:spacing w:line="440" w:lineRule="exact"/>
        <w:ind w:firstLine="420" w:firstLineChars="200"/>
        <w:rPr>
          <w:rFonts w:hint="eastAsia" w:ascii="宋体" w:hAnsi="宋体"/>
          <w:color w:val="000000"/>
        </w:rPr>
      </w:pPr>
      <w:r>
        <w:rPr>
          <w:rFonts w:hint="eastAsia" w:ascii="宋体" w:hAnsi="宋体"/>
          <w:color w:val="000000"/>
        </w:rPr>
        <w:t>6.6.3对于情节严重，造成甲方损失金额巨大的，同意甲方终止全部委托管理合同，并赔偿甲方因此造成的损失。</w:t>
      </w:r>
    </w:p>
    <w:p>
      <w:pPr>
        <w:spacing w:line="440" w:lineRule="exact"/>
        <w:ind w:firstLine="420" w:firstLineChars="200"/>
        <w:rPr>
          <w:rFonts w:hint="eastAsia" w:ascii="宋体" w:hAnsi="宋体"/>
        </w:rPr>
      </w:pPr>
      <w:r>
        <w:rPr>
          <w:rFonts w:hint="eastAsia" w:ascii="宋体" w:hAnsi="宋体"/>
        </w:rPr>
        <w:t>6.6.4</w:t>
      </w:r>
      <w:r>
        <w:rPr>
          <w:rFonts w:hint="eastAsia" w:hAnsi="宋体"/>
        </w:rPr>
        <w:t>更换保安管理人员须经业主单位同意，否则不付相关物业费。</w:t>
      </w:r>
    </w:p>
    <w:p>
      <w:pPr>
        <w:spacing w:line="440" w:lineRule="exact"/>
        <w:ind w:firstLine="420" w:firstLineChars="200"/>
        <w:rPr>
          <w:rFonts w:hint="eastAsia" w:ascii="宋体" w:hAnsi="宋体"/>
          <w:color w:val="000000"/>
        </w:rPr>
      </w:pPr>
      <w:r>
        <w:rPr>
          <w:rFonts w:hint="eastAsia" w:ascii="宋体" w:hAnsi="宋体"/>
          <w:color w:val="000000"/>
        </w:rPr>
        <w:t>6.7如果甲方提出索赔通知后30天内乙方未能予以答复，该索赔应视为巳被乙方接受。若乙方未能在甲方提出索赔通知的30天内或甲方同意的更长一些时间内，按甲方同意的上述任何一种方式处理索赔事宜，甲方将从乙方提供的履约保证金中扣回索赔金额，同时保留进一步要求索赔的权利。</w:t>
      </w:r>
    </w:p>
    <w:p>
      <w:pPr>
        <w:spacing w:line="440" w:lineRule="exact"/>
        <w:ind w:firstLine="420" w:firstLineChars="200"/>
        <w:rPr>
          <w:rFonts w:hint="eastAsia" w:ascii="宋体" w:hAnsi="宋体"/>
          <w:color w:val="000000"/>
        </w:rPr>
      </w:pPr>
      <w:r>
        <w:rPr>
          <w:rFonts w:hint="eastAsia" w:ascii="宋体" w:hAnsi="宋体"/>
          <w:color w:val="000000"/>
        </w:rPr>
        <w:t>6.8因甲方原因（如甲方未尽合同规定的义务和责任等原因）而使乙方不能很好履行职责，完不成质量目标，甲方应按乙方同意的下述一种或多种办法解决索赔事宜：</w:t>
      </w:r>
    </w:p>
    <w:p>
      <w:pPr>
        <w:spacing w:line="440" w:lineRule="exact"/>
        <w:ind w:firstLine="420" w:firstLineChars="200"/>
        <w:rPr>
          <w:rFonts w:hint="eastAsia" w:ascii="宋体" w:hAnsi="宋体"/>
          <w:color w:val="000000"/>
        </w:rPr>
      </w:pPr>
      <w:r>
        <w:rPr>
          <w:rFonts w:hint="eastAsia" w:ascii="宋体" w:hAnsi="宋体"/>
          <w:color w:val="000000"/>
        </w:rPr>
        <w:t>6.8.1对于情节轻微的经双方同意，甲方补偿乙方该项目的保安管理服务价格。</w:t>
      </w:r>
    </w:p>
    <w:p>
      <w:pPr>
        <w:spacing w:line="440" w:lineRule="exact"/>
        <w:ind w:firstLine="420" w:firstLineChars="200"/>
        <w:rPr>
          <w:rFonts w:hint="eastAsia" w:ascii="宋体" w:hAnsi="宋体"/>
          <w:color w:val="000000"/>
        </w:rPr>
      </w:pPr>
      <w:r>
        <w:rPr>
          <w:rFonts w:hint="eastAsia" w:ascii="宋体" w:hAnsi="宋体"/>
          <w:color w:val="000000"/>
        </w:rPr>
        <w:t>6.8.2对于情节严重，造成乙方无法完成管理质量目标的，同意乙方终止全部受委托的全部管理合同，并赔偿乙方因此造成的损失。</w:t>
      </w:r>
    </w:p>
    <w:p>
      <w:pPr>
        <w:spacing w:line="440" w:lineRule="exact"/>
        <w:ind w:firstLine="420" w:firstLineChars="200"/>
        <w:rPr>
          <w:rFonts w:hint="eastAsia" w:ascii="宋体" w:hAnsi="宋体"/>
          <w:color w:val="000000"/>
        </w:rPr>
      </w:pPr>
      <w:r>
        <w:rPr>
          <w:rFonts w:hint="eastAsia" w:ascii="宋体" w:hAnsi="宋体"/>
          <w:color w:val="000000"/>
        </w:rPr>
        <w:t>6.9根据《</w:t>
      </w:r>
      <w:r>
        <w:rPr>
          <w:rFonts w:ascii="宋体" w:hAnsi="宋体"/>
          <w:color w:val="000000"/>
          <w:szCs w:val="21"/>
        </w:rPr>
        <w:t>舟山市中医院保安管理</w:t>
      </w:r>
      <w:r>
        <w:rPr>
          <w:rFonts w:hint="eastAsia" w:ascii="宋体" w:hAnsi="宋体"/>
          <w:color w:val="000000"/>
        </w:rPr>
        <w:t>考核办法》执行。</w:t>
      </w:r>
    </w:p>
    <w:p>
      <w:pPr>
        <w:spacing w:line="440" w:lineRule="exact"/>
        <w:ind w:firstLine="420" w:firstLineChars="200"/>
        <w:rPr>
          <w:rFonts w:hint="eastAsia" w:ascii="宋体" w:hAnsi="宋体"/>
          <w:color w:val="000000"/>
        </w:rPr>
      </w:pPr>
      <w:r>
        <w:rPr>
          <w:rFonts w:hint="eastAsia" w:ascii="宋体" w:hAnsi="宋体"/>
          <w:color w:val="000000"/>
        </w:rPr>
        <w:t>6.10其它未尽事宜，以《中华人民共和国民法典》和其它有关法律、法规规定为准，无相关规定的，双方协商解决。</w:t>
      </w:r>
    </w:p>
    <w:p>
      <w:pPr>
        <w:spacing w:line="440" w:lineRule="exact"/>
        <w:ind w:firstLine="422" w:firstLineChars="200"/>
        <w:rPr>
          <w:rFonts w:hint="eastAsia" w:ascii="宋体" w:hAnsi="宋体"/>
          <w:b/>
          <w:color w:val="000000"/>
        </w:rPr>
      </w:pPr>
      <w:bookmarkStart w:id="35" w:name="_Toc124320189"/>
      <w:bookmarkStart w:id="36" w:name="_Toc91183872"/>
      <w:r>
        <w:rPr>
          <w:rFonts w:hint="eastAsia" w:ascii="宋体" w:hAnsi="宋体"/>
          <w:b/>
          <w:color w:val="000000"/>
        </w:rPr>
        <w:t>7、</w:t>
      </w:r>
      <w:bookmarkEnd w:id="35"/>
      <w:bookmarkEnd w:id="36"/>
      <w:r>
        <w:rPr>
          <w:rFonts w:hint="eastAsia" w:ascii="宋体" w:hAnsi="宋体"/>
          <w:b/>
          <w:color w:val="000000"/>
        </w:rPr>
        <w:t>不可抗力及其它因素</w:t>
      </w:r>
    </w:p>
    <w:p>
      <w:pPr>
        <w:spacing w:line="440" w:lineRule="exact"/>
        <w:ind w:firstLine="420" w:firstLineChars="200"/>
        <w:rPr>
          <w:rFonts w:hint="eastAsia" w:ascii="宋体" w:hAnsi="宋体"/>
          <w:color w:val="000000"/>
        </w:rPr>
      </w:pPr>
      <w:r>
        <w:rPr>
          <w:rFonts w:hint="eastAsia" w:ascii="宋体" w:hAnsi="宋体"/>
          <w:color w:val="000000"/>
        </w:rPr>
        <w:t>7.1如果乙方因不可抗力而导致不能履行合同义务，乙方的履约保证金不能被没收，乙方也不应承担违约或终止合同的责任。</w:t>
      </w:r>
    </w:p>
    <w:p>
      <w:pPr>
        <w:spacing w:line="440" w:lineRule="exact"/>
        <w:ind w:firstLine="420" w:firstLineChars="200"/>
        <w:rPr>
          <w:rFonts w:hint="eastAsia" w:ascii="宋体" w:hAnsi="宋体"/>
          <w:color w:val="000000"/>
        </w:rPr>
      </w:pPr>
      <w:r>
        <w:rPr>
          <w:rFonts w:hint="eastAsia" w:ascii="宋体" w:hAnsi="宋体"/>
          <w:color w:val="000000"/>
        </w:rPr>
        <w:t>7.2本条所述的“不可抗力”系指那些乙方无法控制的、不可预见的、不能避免的事件，但不包括乙方的违约或疏忽。不可抗力事件包括战争、地震、洪水、台风以及其它双方商定的事件。</w:t>
      </w:r>
    </w:p>
    <w:p>
      <w:pPr>
        <w:spacing w:line="440" w:lineRule="exact"/>
        <w:ind w:firstLine="420" w:firstLineChars="200"/>
        <w:rPr>
          <w:rFonts w:hint="eastAsia" w:ascii="宋体" w:hAnsi="宋体"/>
          <w:color w:val="000000"/>
        </w:rPr>
      </w:pPr>
      <w:r>
        <w:rPr>
          <w:rFonts w:hint="eastAsia" w:ascii="宋体" w:hAnsi="宋体"/>
          <w:color w:val="000000"/>
        </w:rPr>
        <w:t>7.3不可抗力事件发生时，乙方应尽快以书面形式将不可抗力的情况和原因通知甲方，除甲方书面另行要求外，乙方应尽实际可能继续履行合同义务，并积极寻找采取合理的方案，履行不受不可抗力影响的其它事项。双方应通过友好协商在合理的时间内达成进一步履行合同的协议。</w:t>
      </w:r>
    </w:p>
    <w:p>
      <w:pPr>
        <w:spacing w:line="440" w:lineRule="exact"/>
        <w:ind w:firstLine="420" w:firstLineChars="200"/>
        <w:rPr>
          <w:rFonts w:hint="eastAsia" w:ascii="宋体" w:hAnsi="宋体"/>
          <w:color w:val="000000"/>
        </w:rPr>
      </w:pPr>
      <w:bookmarkStart w:id="37" w:name="_Toc91183873"/>
      <w:bookmarkStart w:id="38" w:name="_Toc124320190"/>
      <w:r>
        <w:rPr>
          <w:rFonts w:hint="eastAsia" w:ascii="宋体" w:hAnsi="宋体"/>
          <w:color w:val="000000"/>
        </w:rPr>
        <w:t>8、</w:t>
      </w:r>
      <w:bookmarkEnd w:id="37"/>
      <w:bookmarkEnd w:id="38"/>
      <w:r>
        <w:rPr>
          <w:rFonts w:hint="eastAsia" w:ascii="宋体" w:hAnsi="宋体"/>
          <w:color w:val="000000"/>
        </w:rPr>
        <w:t>争端的解决</w:t>
      </w:r>
    </w:p>
    <w:p>
      <w:pPr>
        <w:spacing w:line="440" w:lineRule="exact"/>
        <w:ind w:firstLine="420" w:firstLineChars="200"/>
        <w:rPr>
          <w:rFonts w:hint="eastAsia" w:ascii="宋体" w:hAnsi="宋体"/>
          <w:color w:val="000000"/>
        </w:rPr>
      </w:pPr>
      <w:r>
        <w:rPr>
          <w:rFonts w:hint="eastAsia" w:ascii="宋体" w:hAnsi="宋体"/>
          <w:color w:val="000000"/>
        </w:rPr>
        <w:t>8.1甲乙双方应通过友好协商，解决在执行本合同过程中所发生的或与本合同有关的一切争端。协商不能解决的，双方应将争端提交有关部门调解。如提交调解仍得不到解决，则通过仲裁或诉讼程序解决，费用除仲裁机构另有裁决外，由败诉方承担。</w:t>
      </w:r>
    </w:p>
    <w:p>
      <w:pPr>
        <w:spacing w:line="440" w:lineRule="exact"/>
        <w:ind w:firstLine="420" w:firstLineChars="200"/>
        <w:rPr>
          <w:rFonts w:hint="eastAsia" w:ascii="宋体" w:hAnsi="宋体"/>
          <w:color w:val="000000"/>
        </w:rPr>
      </w:pPr>
      <w:r>
        <w:rPr>
          <w:rFonts w:hint="eastAsia" w:ascii="宋体" w:hAnsi="宋体"/>
          <w:color w:val="000000"/>
        </w:rPr>
        <w:t>8.2与本合同有关的一切争端均适用中华人民共和国的法律。在提交仲裁或诉讼期间，除有争端的部分外，甲乙双方仍应按合同条款规定继续履行各自的义务。</w:t>
      </w:r>
    </w:p>
    <w:p>
      <w:pPr>
        <w:spacing w:line="440" w:lineRule="exact"/>
        <w:ind w:firstLine="420" w:firstLineChars="200"/>
        <w:rPr>
          <w:rFonts w:hint="eastAsia" w:ascii="宋体" w:hAnsi="宋体"/>
          <w:color w:val="000000"/>
        </w:rPr>
      </w:pPr>
      <w:bookmarkStart w:id="39" w:name="_Hlt91995333"/>
      <w:bookmarkEnd w:id="39"/>
      <w:bookmarkStart w:id="40" w:name="_Toc124320191"/>
      <w:bookmarkStart w:id="41" w:name="_Toc91183875"/>
      <w:r>
        <w:rPr>
          <w:rFonts w:hint="eastAsia" w:ascii="宋体" w:hAnsi="宋体"/>
          <w:color w:val="000000"/>
        </w:rPr>
        <w:t>9、合同修改：</w:t>
      </w:r>
    </w:p>
    <w:p>
      <w:pPr>
        <w:spacing w:line="440" w:lineRule="exact"/>
        <w:ind w:firstLine="420" w:firstLineChars="200"/>
        <w:rPr>
          <w:rFonts w:hint="eastAsia" w:ascii="宋体" w:hAnsi="宋体"/>
          <w:color w:val="000000"/>
        </w:rPr>
      </w:pPr>
      <w:r>
        <w:rPr>
          <w:rFonts w:hint="eastAsia" w:ascii="宋体" w:hAnsi="宋体"/>
          <w:color w:val="000000"/>
        </w:rPr>
        <w:t>合同条款的任何改动，均须由合同签署双方签署合同修改书或合同补充协议。该合同修改或补充被视为本合同的组成部分，具有与本合同同等法律效力。</w:t>
      </w:r>
      <w:bookmarkEnd w:id="40"/>
      <w:bookmarkEnd w:id="41"/>
    </w:p>
    <w:p>
      <w:pPr>
        <w:spacing w:line="440" w:lineRule="exact"/>
        <w:ind w:firstLine="420" w:firstLineChars="200"/>
        <w:rPr>
          <w:rFonts w:hint="eastAsia" w:ascii="宋体" w:hAnsi="宋体"/>
          <w:color w:val="000000"/>
        </w:rPr>
      </w:pPr>
      <w:r>
        <w:rPr>
          <w:rFonts w:hint="eastAsia" w:ascii="宋体" w:hAnsi="宋体"/>
          <w:color w:val="000000"/>
        </w:rPr>
        <w:t>10、适用法律</w:t>
      </w:r>
    </w:p>
    <w:p>
      <w:pPr>
        <w:spacing w:line="440" w:lineRule="exact"/>
        <w:ind w:firstLine="420" w:firstLineChars="200"/>
        <w:rPr>
          <w:rFonts w:hint="eastAsia" w:ascii="宋体" w:hAnsi="宋体"/>
          <w:color w:val="000000"/>
        </w:rPr>
      </w:pPr>
      <w:r>
        <w:rPr>
          <w:rFonts w:hint="eastAsia" w:ascii="宋体" w:hAnsi="宋体"/>
          <w:color w:val="000000"/>
        </w:rPr>
        <w:t>本合同适用中华人民共和国法律解释</w:t>
      </w:r>
    </w:p>
    <w:p>
      <w:pPr>
        <w:spacing w:line="440" w:lineRule="exact"/>
        <w:ind w:firstLine="420" w:firstLineChars="200"/>
        <w:rPr>
          <w:rFonts w:hint="eastAsia" w:ascii="宋体" w:hAnsi="宋体"/>
          <w:color w:val="000000"/>
        </w:rPr>
      </w:pPr>
      <w:r>
        <w:rPr>
          <w:rFonts w:hint="eastAsia" w:ascii="宋体" w:hAnsi="宋体"/>
          <w:color w:val="000000"/>
        </w:rPr>
        <w:t>11、主导语言与计量单位</w:t>
      </w:r>
    </w:p>
    <w:p>
      <w:pPr>
        <w:spacing w:line="440" w:lineRule="exact"/>
        <w:ind w:firstLine="420" w:firstLineChars="200"/>
        <w:rPr>
          <w:rFonts w:hint="eastAsia" w:ascii="宋体" w:hAnsi="宋体"/>
          <w:color w:val="000000"/>
        </w:rPr>
      </w:pPr>
      <w:r>
        <w:rPr>
          <w:rFonts w:hint="eastAsia" w:ascii="宋体" w:hAnsi="宋体"/>
          <w:color w:val="000000"/>
        </w:rPr>
        <w:t>11.1合同应以中文形式书写。甲乙双方所有来往信函以及与合同有关的文件均应用中文。</w:t>
      </w:r>
    </w:p>
    <w:p>
      <w:pPr>
        <w:spacing w:line="440" w:lineRule="exact"/>
        <w:ind w:firstLine="420" w:firstLineChars="200"/>
        <w:rPr>
          <w:rFonts w:hint="eastAsia" w:ascii="宋体" w:hAnsi="宋体"/>
          <w:color w:val="000000"/>
        </w:rPr>
      </w:pPr>
      <w:r>
        <w:rPr>
          <w:rFonts w:hint="eastAsia" w:ascii="宋体" w:hAnsi="宋体"/>
          <w:color w:val="000000"/>
        </w:rPr>
        <w:t>11.2计量单位使用中华人民共和国法定单位。</w:t>
      </w:r>
    </w:p>
    <w:p>
      <w:pPr>
        <w:spacing w:line="440" w:lineRule="exact"/>
        <w:ind w:firstLine="420" w:firstLineChars="200"/>
        <w:rPr>
          <w:rFonts w:hint="eastAsia" w:ascii="宋体" w:hAnsi="宋体"/>
          <w:color w:val="000000"/>
        </w:rPr>
      </w:pPr>
      <w:r>
        <w:rPr>
          <w:rFonts w:hint="eastAsia" w:ascii="宋体" w:hAnsi="宋体"/>
          <w:color w:val="000000"/>
        </w:rPr>
        <w:t>12、本合同的未尽事宜</w:t>
      </w:r>
    </w:p>
    <w:p>
      <w:pPr>
        <w:spacing w:line="440" w:lineRule="exact"/>
        <w:ind w:firstLine="420" w:firstLineChars="200"/>
        <w:rPr>
          <w:rFonts w:hint="eastAsia" w:ascii="宋体" w:hAnsi="宋体"/>
          <w:color w:val="000000"/>
        </w:rPr>
      </w:pPr>
      <w:r>
        <w:rPr>
          <w:rFonts w:hint="eastAsia" w:ascii="宋体" w:hAnsi="宋体"/>
          <w:color w:val="000000"/>
        </w:rPr>
        <w:t>本合同的未尽事宜，经双方协商可签订补充协议，所签订的补充协议与本合同具有同等的法律效力。</w:t>
      </w:r>
    </w:p>
    <w:p>
      <w:pPr>
        <w:spacing w:line="440" w:lineRule="exact"/>
        <w:ind w:firstLine="420" w:firstLineChars="200"/>
        <w:rPr>
          <w:rFonts w:hint="eastAsia" w:ascii="宋体" w:hAnsi="宋体"/>
          <w:color w:val="000000"/>
        </w:rPr>
      </w:pPr>
      <w:r>
        <w:rPr>
          <w:rFonts w:hint="eastAsia" w:ascii="宋体" w:hAnsi="宋体"/>
          <w:color w:val="000000"/>
        </w:rPr>
        <w:t>13、合同的生效</w:t>
      </w:r>
    </w:p>
    <w:p>
      <w:pPr>
        <w:spacing w:line="440" w:lineRule="exact"/>
        <w:ind w:firstLine="420" w:firstLineChars="200"/>
        <w:rPr>
          <w:rFonts w:hint="eastAsia" w:ascii="宋体" w:hAnsi="宋体"/>
          <w:color w:val="000000"/>
        </w:rPr>
      </w:pPr>
      <w:r>
        <w:rPr>
          <w:rFonts w:hint="eastAsia" w:ascii="宋体" w:hAnsi="宋体"/>
          <w:color w:val="000000"/>
        </w:rPr>
        <w:t>本合同经甲乙双方法定代表人签字并盖章，并甲方收到乙方质量保证金后合同生效。</w:t>
      </w:r>
    </w:p>
    <w:p>
      <w:pPr>
        <w:spacing w:line="440" w:lineRule="exact"/>
        <w:ind w:firstLine="420" w:firstLineChars="200"/>
        <w:rPr>
          <w:rFonts w:hint="eastAsia" w:ascii="宋体" w:hAnsi="宋体"/>
          <w:color w:val="000000"/>
        </w:rPr>
      </w:pPr>
      <w:r>
        <w:rPr>
          <w:rFonts w:hint="eastAsia" w:ascii="宋体" w:hAnsi="宋体"/>
          <w:color w:val="000000"/>
        </w:rPr>
        <w:t>14、合同终止</w:t>
      </w:r>
    </w:p>
    <w:p>
      <w:pPr>
        <w:spacing w:line="440" w:lineRule="exact"/>
        <w:ind w:firstLine="420" w:firstLineChars="200"/>
        <w:rPr>
          <w:rFonts w:hint="eastAsia" w:ascii="宋体" w:hAnsi="宋体"/>
        </w:rPr>
      </w:pPr>
      <w:r>
        <w:rPr>
          <w:rFonts w:hint="eastAsia" w:ascii="宋体" w:hAnsi="宋体"/>
        </w:rPr>
        <w:t>如考核分值未达到</w:t>
      </w:r>
      <w:r>
        <w:rPr>
          <w:rFonts w:hint="eastAsia" w:ascii="宋体" w:hAnsi="宋体"/>
          <w:u w:val="single"/>
        </w:rPr>
        <w:t xml:space="preserve">               </w:t>
      </w:r>
      <w:r>
        <w:rPr>
          <w:rFonts w:hint="eastAsia" w:ascii="宋体" w:hAnsi="宋体"/>
        </w:rPr>
        <w:t>分，将终止合同。</w:t>
      </w:r>
    </w:p>
    <w:p>
      <w:pPr>
        <w:spacing w:line="440" w:lineRule="exact"/>
        <w:ind w:firstLine="420" w:firstLineChars="200"/>
        <w:rPr>
          <w:rFonts w:hint="eastAsia" w:ascii="宋体" w:hAnsi="宋体"/>
          <w:color w:val="000000"/>
        </w:rPr>
      </w:pPr>
      <w:r>
        <w:rPr>
          <w:rFonts w:hint="eastAsia" w:ascii="宋体" w:hAnsi="宋体"/>
          <w:color w:val="000000"/>
        </w:rPr>
        <w:t>15、合同份数</w:t>
      </w:r>
    </w:p>
    <w:p>
      <w:pPr>
        <w:spacing w:line="440" w:lineRule="exact"/>
        <w:ind w:firstLine="420" w:firstLineChars="200"/>
        <w:rPr>
          <w:rFonts w:hint="eastAsia" w:ascii="宋体" w:hAnsi="宋体"/>
          <w:color w:val="000000"/>
        </w:rPr>
      </w:pPr>
      <w:r>
        <w:rPr>
          <w:rFonts w:hint="eastAsia" w:ascii="宋体" w:hAnsi="宋体"/>
          <w:color w:val="000000"/>
        </w:rPr>
        <w:t xml:space="preserve">本合同一式肆份，中文书写。甲、乙双方各执贰份。 </w:t>
      </w:r>
    </w:p>
    <w:p>
      <w:pPr>
        <w:spacing w:line="440" w:lineRule="exact"/>
        <w:ind w:firstLine="735" w:firstLineChars="350"/>
        <w:rPr>
          <w:rFonts w:hint="eastAsia" w:ascii="宋体" w:hAnsi="宋体"/>
          <w:color w:val="000000"/>
        </w:rPr>
      </w:pPr>
      <w:r>
        <w:rPr>
          <w:rFonts w:hint="eastAsia" w:ascii="宋体" w:hAnsi="宋体"/>
          <w:color w:val="000000"/>
        </w:rPr>
        <w:t xml:space="preserve">甲方：法人代表：                        乙方：法人代表：               </w:t>
      </w:r>
    </w:p>
    <w:p>
      <w:pPr>
        <w:spacing w:line="440" w:lineRule="exact"/>
        <w:ind w:left="7665" w:hanging="7140"/>
        <w:rPr>
          <w:rFonts w:hint="eastAsia" w:ascii="宋体" w:hAnsi="宋体"/>
          <w:color w:val="000000"/>
        </w:rPr>
      </w:pPr>
      <w:r>
        <w:rPr>
          <w:rFonts w:hint="eastAsia" w:ascii="宋体" w:hAnsi="宋体"/>
          <w:color w:val="000000"/>
        </w:rPr>
        <w:t xml:space="preserve">（盖章）                                 （盖章）                       </w:t>
      </w:r>
    </w:p>
    <w:p>
      <w:pPr>
        <w:spacing w:line="440" w:lineRule="exact"/>
        <w:ind w:left="7665" w:leftChars="300" w:hanging="7035" w:hangingChars="3350"/>
        <w:rPr>
          <w:rFonts w:hint="eastAsia" w:ascii="宋体" w:hAnsi="宋体"/>
          <w:color w:val="000000"/>
        </w:rPr>
      </w:pPr>
      <w:r>
        <w:rPr>
          <w:rFonts w:hint="eastAsia" w:ascii="宋体" w:hAnsi="宋体"/>
          <w:color w:val="000000"/>
        </w:rPr>
        <w:t xml:space="preserve">开户银行：                               开户银行：                   </w:t>
      </w:r>
    </w:p>
    <w:p>
      <w:pPr>
        <w:spacing w:line="440" w:lineRule="exact"/>
        <w:ind w:firstLine="420" w:firstLineChars="200"/>
        <w:rPr>
          <w:rFonts w:hint="eastAsia" w:ascii="宋体" w:hAnsi="宋体"/>
          <w:color w:val="000000"/>
        </w:rPr>
      </w:pPr>
      <w:r>
        <w:rPr>
          <w:rFonts w:hint="eastAsia" w:ascii="宋体" w:hAnsi="宋体"/>
          <w:color w:val="000000"/>
        </w:rPr>
        <w:t xml:space="preserve">  帐号：                                   帐号：</w:t>
      </w:r>
    </w:p>
    <w:p>
      <w:pPr>
        <w:spacing w:line="440" w:lineRule="exact"/>
        <w:ind w:firstLine="630" w:firstLineChars="300"/>
        <w:rPr>
          <w:rFonts w:hint="eastAsia" w:ascii="宋体" w:hAnsi="宋体"/>
          <w:color w:val="000000"/>
        </w:rPr>
      </w:pPr>
      <w:r>
        <w:rPr>
          <w:rFonts w:hint="eastAsia" w:ascii="宋体" w:hAnsi="宋体"/>
          <w:color w:val="000000"/>
        </w:rPr>
        <w:t>电话：                                   电话：</w:t>
      </w:r>
    </w:p>
    <w:p>
      <w:pPr>
        <w:spacing w:line="440" w:lineRule="exact"/>
        <w:ind w:firstLine="630" w:firstLineChars="300"/>
        <w:rPr>
          <w:rFonts w:hint="eastAsia" w:ascii="宋体" w:hAnsi="宋体"/>
          <w:color w:val="000000"/>
        </w:rPr>
      </w:pPr>
      <w:r>
        <w:rPr>
          <w:rFonts w:hint="eastAsia" w:ascii="宋体" w:hAnsi="宋体"/>
          <w:color w:val="000000"/>
        </w:rPr>
        <w:t>日期：    年    月   日                  日期：     年 月  日</w:t>
      </w:r>
    </w:p>
    <w:p>
      <w:pPr>
        <w:spacing w:line="360" w:lineRule="auto"/>
        <w:ind w:right="3"/>
        <w:jc w:val="left"/>
        <w:rPr>
          <w:rFonts w:hint="eastAsia" w:ascii="宋体" w:hAnsi="宋体"/>
          <w:b/>
          <w:color w:val="000000"/>
          <w:spacing w:val="4"/>
          <w:sz w:val="30"/>
          <w:szCs w:val="30"/>
        </w:rPr>
      </w:pPr>
    </w:p>
    <w:p>
      <w:pPr>
        <w:spacing w:line="360" w:lineRule="auto"/>
        <w:ind w:right="3"/>
        <w:jc w:val="left"/>
        <w:rPr>
          <w:rFonts w:hint="eastAsia" w:ascii="宋体" w:hAnsi="宋体"/>
          <w:b/>
          <w:color w:val="000000"/>
          <w:spacing w:val="4"/>
          <w:sz w:val="30"/>
          <w:szCs w:val="30"/>
        </w:rPr>
      </w:pPr>
    </w:p>
    <w:p>
      <w:pPr>
        <w:spacing w:line="360" w:lineRule="auto"/>
        <w:ind w:right="3"/>
        <w:jc w:val="left"/>
        <w:rPr>
          <w:rFonts w:hint="eastAsia" w:ascii="宋体" w:hAnsi="宋体"/>
          <w:b/>
          <w:color w:val="000000"/>
          <w:spacing w:val="4"/>
          <w:sz w:val="30"/>
          <w:szCs w:val="30"/>
        </w:rPr>
      </w:pPr>
      <w:r>
        <w:rPr>
          <w:rFonts w:hint="eastAsia" w:ascii="宋体" w:hAnsi="宋体"/>
          <w:b/>
          <w:color w:val="000000"/>
          <w:spacing w:val="4"/>
          <w:sz w:val="30"/>
          <w:szCs w:val="30"/>
        </w:rPr>
        <w:t>保安管理人员附表：</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1071"/>
        <w:gridCol w:w="1428"/>
        <w:gridCol w:w="1428"/>
        <w:gridCol w:w="2656"/>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000" w:type="dxa"/>
            <w:noWrap w:val="0"/>
            <w:vAlign w:val="center"/>
          </w:tcPr>
          <w:p>
            <w:pPr>
              <w:spacing w:line="360" w:lineRule="auto"/>
              <w:ind w:right="3" w:firstLine="319"/>
              <w:jc w:val="center"/>
              <w:rPr>
                <w:rFonts w:hint="eastAsia" w:ascii="宋体" w:hAnsi="宋体"/>
                <w:b/>
                <w:color w:val="000000"/>
                <w:spacing w:val="4"/>
                <w:sz w:val="18"/>
                <w:szCs w:val="18"/>
              </w:rPr>
            </w:pPr>
            <w:r>
              <w:rPr>
                <w:rFonts w:hint="eastAsia" w:ascii="宋体" w:hAnsi="宋体"/>
                <w:b/>
                <w:color w:val="000000"/>
                <w:spacing w:val="4"/>
                <w:sz w:val="18"/>
                <w:szCs w:val="18"/>
              </w:rPr>
              <w:t>序号</w:t>
            </w:r>
          </w:p>
        </w:tc>
        <w:tc>
          <w:tcPr>
            <w:tcW w:w="1071" w:type="dxa"/>
            <w:noWrap w:val="0"/>
            <w:vAlign w:val="center"/>
          </w:tcPr>
          <w:p>
            <w:pPr>
              <w:spacing w:line="360" w:lineRule="auto"/>
              <w:ind w:right="3" w:firstLine="319"/>
              <w:jc w:val="center"/>
              <w:rPr>
                <w:rFonts w:hint="eastAsia" w:ascii="宋体" w:hAnsi="宋体"/>
                <w:b/>
                <w:color w:val="000000"/>
                <w:spacing w:val="4"/>
                <w:sz w:val="18"/>
                <w:szCs w:val="18"/>
              </w:rPr>
            </w:pPr>
            <w:r>
              <w:rPr>
                <w:rFonts w:hint="eastAsia" w:ascii="宋体" w:hAnsi="宋体"/>
                <w:b/>
                <w:color w:val="000000"/>
                <w:spacing w:val="4"/>
                <w:sz w:val="18"/>
                <w:szCs w:val="18"/>
              </w:rPr>
              <w:t>名称</w:t>
            </w:r>
          </w:p>
        </w:tc>
        <w:tc>
          <w:tcPr>
            <w:tcW w:w="1428" w:type="dxa"/>
            <w:noWrap w:val="0"/>
            <w:vAlign w:val="center"/>
          </w:tcPr>
          <w:p>
            <w:pPr>
              <w:spacing w:line="360" w:lineRule="auto"/>
              <w:ind w:right="3" w:firstLine="319"/>
              <w:jc w:val="center"/>
              <w:rPr>
                <w:rFonts w:hint="eastAsia" w:ascii="宋体" w:hAnsi="宋体"/>
                <w:b/>
                <w:color w:val="000000"/>
                <w:spacing w:val="4"/>
                <w:sz w:val="18"/>
                <w:szCs w:val="18"/>
              </w:rPr>
            </w:pPr>
            <w:r>
              <w:rPr>
                <w:rFonts w:hint="eastAsia" w:ascii="宋体" w:hAnsi="宋体"/>
                <w:b/>
                <w:color w:val="000000"/>
                <w:spacing w:val="4"/>
                <w:sz w:val="18"/>
                <w:szCs w:val="18"/>
              </w:rPr>
              <w:t>姓名</w:t>
            </w:r>
          </w:p>
        </w:tc>
        <w:tc>
          <w:tcPr>
            <w:tcW w:w="1428" w:type="dxa"/>
            <w:noWrap w:val="0"/>
            <w:vAlign w:val="center"/>
          </w:tcPr>
          <w:p>
            <w:pPr>
              <w:spacing w:line="360" w:lineRule="auto"/>
              <w:ind w:right="3" w:firstLine="319"/>
              <w:jc w:val="center"/>
              <w:rPr>
                <w:rFonts w:hint="eastAsia" w:ascii="宋体" w:hAnsi="宋体"/>
                <w:b/>
                <w:color w:val="000000"/>
                <w:spacing w:val="4"/>
                <w:sz w:val="18"/>
                <w:szCs w:val="18"/>
              </w:rPr>
            </w:pPr>
            <w:r>
              <w:rPr>
                <w:rFonts w:hint="eastAsia" w:ascii="宋体" w:hAnsi="宋体"/>
                <w:b/>
                <w:color w:val="000000"/>
                <w:spacing w:val="4"/>
                <w:sz w:val="18"/>
                <w:szCs w:val="18"/>
              </w:rPr>
              <w:t>性别</w:t>
            </w:r>
          </w:p>
        </w:tc>
        <w:tc>
          <w:tcPr>
            <w:tcW w:w="2656" w:type="dxa"/>
            <w:noWrap w:val="0"/>
            <w:vAlign w:val="center"/>
          </w:tcPr>
          <w:p>
            <w:pPr>
              <w:spacing w:line="360" w:lineRule="auto"/>
              <w:ind w:right="3" w:firstLine="319"/>
              <w:jc w:val="center"/>
              <w:rPr>
                <w:rFonts w:hint="eastAsia" w:ascii="宋体" w:hAnsi="宋体"/>
                <w:b/>
                <w:color w:val="000000"/>
                <w:spacing w:val="4"/>
                <w:sz w:val="18"/>
                <w:szCs w:val="18"/>
              </w:rPr>
            </w:pPr>
            <w:r>
              <w:rPr>
                <w:rFonts w:hint="eastAsia" w:ascii="宋体" w:hAnsi="宋体"/>
                <w:b/>
                <w:color w:val="000000"/>
                <w:spacing w:val="4"/>
                <w:sz w:val="18"/>
                <w:szCs w:val="18"/>
              </w:rPr>
              <w:t>身份证号码</w:t>
            </w:r>
          </w:p>
        </w:tc>
        <w:tc>
          <w:tcPr>
            <w:tcW w:w="1875" w:type="dxa"/>
            <w:noWrap w:val="0"/>
            <w:vAlign w:val="center"/>
          </w:tcPr>
          <w:p>
            <w:pPr>
              <w:spacing w:line="360" w:lineRule="auto"/>
              <w:ind w:right="3" w:firstLine="319"/>
              <w:jc w:val="center"/>
              <w:rPr>
                <w:rFonts w:hint="eastAsia" w:ascii="宋体" w:hAnsi="宋体"/>
                <w:b/>
                <w:color w:val="000000"/>
                <w:spacing w:val="4"/>
                <w:sz w:val="18"/>
                <w:szCs w:val="18"/>
              </w:rPr>
            </w:pPr>
            <w:r>
              <w:rPr>
                <w:rFonts w:hint="eastAsia" w:ascii="宋体" w:hAnsi="宋体"/>
                <w:b/>
                <w:color w:val="000000"/>
                <w:spacing w:val="4"/>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000" w:type="dxa"/>
            <w:noWrap w:val="0"/>
            <w:vAlign w:val="center"/>
          </w:tcPr>
          <w:p>
            <w:pPr>
              <w:spacing w:line="360" w:lineRule="auto"/>
              <w:ind w:right="3" w:firstLine="319"/>
              <w:jc w:val="center"/>
              <w:rPr>
                <w:rFonts w:hint="eastAsia" w:ascii="宋体" w:hAnsi="宋体"/>
                <w:b/>
                <w:color w:val="000000"/>
                <w:spacing w:val="4"/>
                <w:sz w:val="18"/>
                <w:szCs w:val="18"/>
              </w:rPr>
            </w:pPr>
            <w:r>
              <w:rPr>
                <w:rFonts w:hint="eastAsia" w:ascii="宋体" w:hAnsi="宋体"/>
                <w:b/>
                <w:color w:val="000000"/>
                <w:spacing w:val="4"/>
                <w:sz w:val="18"/>
                <w:szCs w:val="18"/>
              </w:rPr>
              <w:t>1</w:t>
            </w:r>
          </w:p>
        </w:tc>
        <w:tc>
          <w:tcPr>
            <w:tcW w:w="1071" w:type="dxa"/>
            <w:noWrap w:val="0"/>
            <w:vAlign w:val="center"/>
          </w:tcPr>
          <w:p>
            <w:pPr>
              <w:spacing w:line="360" w:lineRule="auto"/>
              <w:ind w:right="3"/>
              <w:rPr>
                <w:rFonts w:hint="eastAsia" w:ascii="宋体" w:hAnsi="宋体"/>
                <w:b/>
                <w:color w:val="000000"/>
                <w:spacing w:val="4"/>
                <w:sz w:val="18"/>
                <w:szCs w:val="18"/>
              </w:rPr>
            </w:pPr>
            <w:r>
              <w:rPr>
                <w:rFonts w:hint="eastAsia" w:ascii="宋体" w:hAnsi="宋体"/>
                <w:b/>
                <w:color w:val="000000"/>
                <w:spacing w:val="4"/>
                <w:sz w:val="18"/>
                <w:szCs w:val="18"/>
              </w:rPr>
              <w:t>主管</w:t>
            </w:r>
          </w:p>
        </w:tc>
        <w:tc>
          <w:tcPr>
            <w:tcW w:w="1428" w:type="dxa"/>
            <w:noWrap w:val="0"/>
            <w:vAlign w:val="center"/>
          </w:tcPr>
          <w:p>
            <w:pPr>
              <w:spacing w:line="360" w:lineRule="auto"/>
              <w:ind w:right="3" w:firstLine="319"/>
              <w:jc w:val="center"/>
              <w:rPr>
                <w:rFonts w:hint="eastAsia" w:ascii="宋体" w:hAnsi="宋体"/>
                <w:b/>
                <w:color w:val="000000"/>
                <w:spacing w:val="4"/>
                <w:sz w:val="18"/>
                <w:szCs w:val="18"/>
              </w:rPr>
            </w:pPr>
          </w:p>
        </w:tc>
        <w:tc>
          <w:tcPr>
            <w:tcW w:w="1428" w:type="dxa"/>
            <w:noWrap w:val="0"/>
            <w:vAlign w:val="center"/>
          </w:tcPr>
          <w:p>
            <w:pPr>
              <w:spacing w:line="360" w:lineRule="auto"/>
              <w:ind w:right="3" w:firstLine="319"/>
              <w:jc w:val="center"/>
              <w:rPr>
                <w:rFonts w:hint="eastAsia" w:ascii="宋体" w:hAnsi="宋体"/>
                <w:b/>
                <w:color w:val="000000"/>
                <w:spacing w:val="4"/>
                <w:sz w:val="18"/>
                <w:szCs w:val="18"/>
              </w:rPr>
            </w:pPr>
          </w:p>
        </w:tc>
        <w:tc>
          <w:tcPr>
            <w:tcW w:w="2656" w:type="dxa"/>
            <w:noWrap w:val="0"/>
            <w:vAlign w:val="center"/>
          </w:tcPr>
          <w:p>
            <w:pPr>
              <w:spacing w:line="360" w:lineRule="auto"/>
              <w:ind w:right="3" w:firstLine="319"/>
              <w:jc w:val="center"/>
              <w:rPr>
                <w:rFonts w:hint="eastAsia" w:ascii="宋体" w:hAnsi="宋体"/>
                <w:b/>
                <w:color w:val="000000"/>
                <w:spacing w:val="4"/>
                <w:sz w:val="18"/>
                <w:szCs w:val="18"/>
              </w:rPr>
            </w:pPr>
          </w:p>
        </w:tc>
        <w:tc>
          <w:tcPr>
            <w:tcW w:w="1875" w:type="dxa"/>
            <w:noWrap w:val="0"/>
            <w:vAlign w:val="center"/>
          </w:tcPr>
          <w:p>
            <w:pPr>
              <w:spacing w:line="360" w:lineRule="auto"/>
              <w:ind w:right="3" w:firstLine="319"/>
              <w:jc w:val="center"/>
              <w:rPr>
                <w:rFonts w:hint="eastAsia" w:ascii="宋体" w:hAnsi="宋体"/>
                <w:b/>
                <w:color w:val="000000"/>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000" w:type="dxa"/>
            <w:noWrap w:val="0"/>
            <w:vAlign w:val="center"/>
          </w:tcPr>
          <w:p>
            <w:pPr>
              <w:spacing w:line="360" w:lineRule="auto"/>
              <w:ind w:right="3" w:firstLine="319"/>
              <w:jc w:val="center"/>
              <w:rPr>
                <w:rFonts w:hint="eastAsia" w:ascii="宋体" w:hAnsi="宋体"/>
                <w:b/>
                <w:color w:val="000000"/>
                <w:spacing w:val="4"/>
                <w:sz w:val="18"/>
                <w:szCs w:val="18"/>
              </w:rPr>
            </w:pPr>
            <w:r>
              <w:rPr>
                <w:rFonts w:hint="eastAsia" w:ascii="宋体" w:hAnsi="宋体"/>
                <w:b/>
                <w:color w:val="000000"/>
                <w:spacing w:val="4"/>
                <w:sz w:val="18"/>
                <w:szCs w:val="18"/>
              </w:rPr>
              <w:t>2</w:t>
            </w:r>
          </w:p>
        </w:tc>
        <w:tc>
          <w:tcPr>
            <w:tcW w:w="1071" w:type="dxa"/>
            <w:noWrap w:val="0"/>
            <w:vAlign w:val="center"/>
          </w:tcPr>
          <w:p>
            <w:pPr>
              <w:spacing w:line="360" w:lineRule="auto"/>
              <w:ind w:right="3"/>
              <w:rPr>
                <w:rFonts w:hint="eastAsia" w:ascii="宋体" w:hAnsi="宋体"/>
                <w:b/>
                <w:color w:val="000000"/>
                <w:spacing w:val="4"/>
                <w:sz w:val="18"/>
                <w:szCs w:val="18"/>
              </w:rPr>
            </w:pPr>
            <w:r>
              <w:rPr>
                <w:rFonts w:hint="eastAsia" w:ascii="宋体" w:hAnsi="宋体"/>
                <w:b/>
                <w:color w:val="000000"/>
                <w:spacing w:val="4"/>
                <w:sz w:val="18"/>
                <w:szCs w:val="18"/>
              </w:rPr>
              <w:t>保安人员</w:t>
            </w:r>
          </w:p>
        </w:tc>
        <w:tc>
          <w:tcPr>
            <w:tcW w:w="1428" w:type="dxa"/>
            <w:noWrap w:val="0"/>
            <w:vAlign w:val="center"/>
          </w:tcPr>
          <w:p>
            <w:pPr>
              <w:spacing w:line="360" w:lineRule="auto"/>
              <w:ind w:right="3" w:firstLine="319"/>
              <w:jc w:val="center"/>
              <w:rPr>
                <w:rFonts w:hint="eastAsia" w:ascii="宋体" w:hAnsi="宋体"/>
                <w:b/>
                <w:color w:val="000000"/>
                <w:spacing w:val="4"/>
                <w:sz w:val="18"/>
                <w:szCs w:val="18"/>
              </w:rPr>
            </w:pPr>
          </w:p>
        </w:tc>
        <w:tc>
          <w:tcPr>
            <w:tcW w:w="1428" w:type="dxa"/>
            <w:noWrap w:val="0"/>
            <w:vAlign w:val="center"/>
          </w:tcPr>
          <w:p>
            <w:pPr>
              <w:spacing w:line="360" w:lineRule="auto"/>
              <w:ind w:right="3" w:firstLine="319"/>
              <w:jc w:val="center"/>
              <w:rPr>
                <w:rFonts w:hint="eastAsia" w:ascii="宋体" w:hAnsi="宋体"/>
                <w:b/>
                <w:color w:val="000000"/>
                <w:spacing w:val="4"/>
                <w:sz w:val="18"/>
                <w:szCs w:val="18"/>
              </w:rPr>
            </w:pPr>
          </w:p>
        </w:tc>
        <w:tc>
          <w:tcPr>
            <w:tcW w:w="2656" w:type="dxa"/>
            <w:noWrap w:val="0"/>
            <w:vAlign w:val="center"/>
          </w:tcPr>
          <w:p>
            <w:pPr>
              <w:spacing w:line="360" w:lineRule="auto"/>
              <w:ind w:right="3" w:firstLine="319"/>
              <w:jc w:val="center"/>
              <w:rPr>
                <w:rFonts w:hint="eastAsia" w:ascii="宋体" w:hAnsi="宋体"/>
                <w:b/>
                <w:color w:val="000000"/>
                <w:spacing w:val="4"/>
                <w:sz w:val="18"/>
                <w:szCs w:val="18"/>
              </w:rPr>
            </w:pPr>
          </w:p>
        </w:tc>
        <w:tc>
          <w:tcPr>
            <w:tcW w:w="1875" w:type="dxa"/>
            <w:noWrap w:val="0"/>
            <w:vAlign w:val="center"/>
          </w:tcPr>
          <w:p>
            <w:pPr>
              <w:spacing w:line="360" w:lineRule="auto"/>
              <w:ind w:right="3" w:firstLine="319"/>
              <w:jc w:val="center"/>
              <w:rPr>
                <w:rFonts w:hint="eastAsia" w:ascii="宋体" w:hAnsi="宋体"/>
                <w:b/>
                <w:color w:val="000000"/>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000" w:type="dxa"/>
            <w:noWrap w:val="0"/>
            <w:vAlign w:val="center"/>
          </w:tcPr>
          <w:p>
            <w:pPr>
              <w:spacing w:line="360" w:lineRule="auto"/>
              <w:ind w:right="3" w:firstLine="319"/>
              <w:jc w:val="center"/>
              <w:rPr>
                <w:rFonts w:hint="eastAsia" w:ascii="宋体" w:hAnsi="宋体"/>
                <w:b/>
                <w:color w:val="000000"/>
                <w:spacing w:val="4"/>
                <w:sz w:val="18"/>
                <w:szCs w:val="18"/>
              </w:rPr>
            </w:pPr>
            <w:r>
              <w:rPr>
                <w:rFonts w:hint="eastAsia" w:ascii="宋体" w:hAnsi="宋体"/>
                <w:b/>
                <w:color w:val="000000"/>
                <w:spacing w:val="4"/>
                <w:sz w:val="18"/>
                <w:szCs w:val="18"/>
              </w:rPr>
              <w:t>3</w:t>
            </w:r>
          </w:p>
        </w:tc>
        <w:tc>
          <w:tcPr>
            <w:tcW w:w="1071" w:type="dxa"/>
            <w:noWrap w:val="0"/>
            <w:vAlign w:val="center"/>
          </w:tcPr>
          <w:p>
            <w:pPr>
              <w:spacing w:line="360" w:lineRule="auto"/>
              <w:ind w:right="3"/>
              <w:rPr>
                <w:rFonts w:hint="eastAsia" w:ascii="宋体" w:hAnsi="宋体"/>
                <w:b/>
                <w:color w:val="000000"/>
                <w:spacing w:val="4"/>
                <w:sz w:val="18"/>
                <w:szCs w:val="18"/>
              </w:rPr>
            </w:pPr>
            <w:r>
              <w:rPr>
                <w:rFonts w:ascii="宋体" w:hAnsi="宋体"/>
                <w:b/>
                <w:color w:val="000000"/>
                <w:spacing w:val="4"/>
                <w:sz w:val="18"/>
                <w:szCs w:val="18"/>
              </w:rPr>
              <w:t>……</w:t>
            </w:r>
          </w:p>
        </w:tc>
        <w:tc>
          <w:tcPr>
            <w:tcW w:w="1428" w:type="dxa"/>
            <w:noWrap w:val="0"/>
            <w:vAlign w:val="center"/>
          </w:tcPr>
          <w:p>
            <w:pPr>
              <w:spacing w:line="360" w:lineRule="auto"/>
              <w:ind w:right="3" w:firstLine="319"/>
              <w:jc w:val="center"/>
              <w:rPr>
                <w:rFonts w:hint="eastAsia" w:ascii="宋体" w:hAnsi="宋体"/>
                <w:b/>
                <w:color w:val="000000"/>
                <w:spacing w:val="4"/>
                <w:sz w:val="18"/>
                <w:szCs w:val="18"/>
              </w:rPr>
            </w:pPr>
          </w:p>
        </w:tc>
        <w:tc>
          <w:tcPr>
            <w:tcW w:w="1428" w:type="dxa"/>
            <w:noWrap w:val="0"/>
            <w:vAlign w:val="center"/>
          </w:tcPr>
          <w:p>
            <w:pPr>
              <w:spacing w:line="360" w:lineRule="auto"/>
              <w:ind w:right="3" w:firstLine="319"/>
              <w:jc w:val="center"/>
              <w:rPr>
                <w:rFonts w:hint="eastAsia" w:ascii="宋体" w:hAnsi="宋体"/>
                <w:b/>
                <w:color w:val="000000"/>
                <w:spacing w:val="4"/>
                <w:sz w:val="18"/>
                <w:szCs w:val="18"/>
              </w:rPr>
            </w:pPr>
          </w:p>
        </w:tc>
        <w:tc>
          <w:tcPr>
            <w:tcW w:w="2656" w:type="dxa"/>
            <w:noWrap w:val="0"/>
            <w:vAlign w:val="center"/>
          </w:tcPr>
          <w:p>
            <w:pPr>
              <w:spacing w:line="360" w:lineRule="auto"/>
              <w:ind w:right="3" w:firstLine="319"/>
              <w:jc w:val="center"/>
              <w:rPr>
                <w:rFonts w:hint="eastAsia" w:ascii="宋体" w:hAnsi="宋体"/>
                <w:b/>
                <w:color w:val="000000"/>
                <w:spacing w:val="4"/>
                <w:sz w:val="18"/>
                <w:szCs w:val="18"/>
              </w:rPr>
            </w:pPr>
          </w:p>
        </w:tc>
        <w:tc>
          <w:tcPr>
            <w:tcW w:w="1875" w:type="dxa"/>
            <w:noWrap w:val="0"/>
            <w:vAlign w:val="center"/>
          </w:tcPr>
          <w:p>
            <w:pPr>
              <w:spacing w:line="360" w:lineRule="auto"/>
              <w:ind w:right="3" w:firstLine="319"/>
              <w:jc w:val="center"/>
              <w:rPr>
                <w:rFonts w:hint="eastAsia" w:ascii="宋体" w:hAnsi="宋体"/>
                <w:b/>
                <w:color w:val="000000"/>
                <w:spacing w:val="4"/>
                <w:sz w:val="18"/>
                <w:szCs w:val="18"/>
              </w:rPr>
            </w:pPr>
          </w:p>
        </w:tc>
      </w:tr>
    </w:tbl>
    <w:p>
      <w:pPr>
        <w:pStyle w:val="23"/>
        <w:snapToGrid w:val="0"/>
        <w:spacing w:before="0" w:beforeAutospacing="0" w:after="0" w:afterAutospacing="0" w:line="480" w:lineRule="exact"/>
        <w:ind w:left="420" w:hanging="420" w:hangingChars="200"/>
        <w:rPr>
          <w:rFonts w:hint="eastAsia" w:hAnsi="宋体" w:cs="宋体"/>
          <w:sz w:val="21"/>
        </w:rPr>
      </w:pPr>
      <w:r>
        <w:rPr>
          <w:rFonts w:hint="eastAsia" w:hAnsi="宋体"/>
          <w:color w:val="000000"/>
          <w:sz w:val="21"/>
        </w:rPr>
        <w:t>更换保安管理人员须经业主单位同意，否则按规定处理</w:t>
      </w:r>
    </w:p>
    <w:p>
      <w:pPr>
        <w:pStyle w:val="223"/>
        <w:ind w:firstLine="480"/>
      </w:pPr>
      <w:r>
        <w:br w:type="page"/>
      </w:r>
    </w:p>
    <w:p>
      <w:pPr>
        <w:spacing w:line="400" w:lineRule="exact"/>
        <w:jc w:val="center"/>
        <w:outlineLvl w:val="0"/>
        <w:rPr>
          <w:rFonts w:hint="eastAsia" w:ascii="宋体" w:hAnsi="宋体"/>
          <w:b/>
          <w:color w:val="000000"/>
          <w:sz w:val="32"/>
        </w:rPr>
      </w:pPr>
      <w:bookmarkStart w:id="42" w:name="_Toc21541021"/>
      <w:bookmarkStart w:id="43" w:name="_Toc31329"/>
      <w:bookmarkStart w:id="44" w:name="_Toc216662965"/>
      <w:r>
        <w:rPr>
          <w:rFonts w:hint="eastAsia" w:ascii="宋体" w:hAnsi="宋体"/>
          <w:b/>
          <w:color w:val="000000"/>
          <w:sz w:val="32"/>
        </w:rPr>
        <w:t>第五章</w:t>
      </w:r>
      <w:r>
        <w:rPr>
          <w:rFonts w:ascii="宋体" w:hAnsi="宋体"/>
          <w:b/>
          <w:color w:val="000000"/>
          <w:sz w:val="32"/>
        </w:rPr>
        <w:t xml:space="preserve">  </w:t>
      </w:r>
      <w:bookmarkEnd w:id="42"/>
      <w:r>
        <w:rPr>
          <w:rFonts w:hint="eastAsia" w:ascii="宋体" w:hAnsi="宋体"/>
          <w:b/>
          <w:color w:val="000000"/>
          <w:sz w:val="32"/>
        </w:rPr>
        <w:t>招标内容及技术要求</w:t>
      </w:r>
      <w:bookmarkEnd w:id="43"/>
    </w:p>
    <w:p>
      <w:pPr>
        <w:jc w:val="center"/>
        <w:rPr>
          <w:rFonts w:hint="eastAsia"/>
          <w:b/>
          <w:bCs/>
          <w:sz w:val="28"/>
          <w:szCs w:val="28"/>
        </w:rPr>
      </w:pPr>
      <w:bookmarkStart w:id="45" w:name="_Toc21541024"/>
      <w:bookmarkStart w:id="46" w:name="_Toc137008684"/>
      <w:bookmarkStart w:id="47" w:name="_Toc24994"/>
    </w:p>
    <w:bookmarkEnd w:id="44"/>
    <w:bookmarkEnd w:id="45"/>
    <w:bookmarkEnd w:id="46"/>
    <w:bookmarkEnd w:id="47"/>
    <w:p>
      <w:pPr>
        <w:widowControl/>
        <w:numPr>
          <w:ilvl w:val="0"/>
          <w:numId w:val="4"/>
        </w:numPr>
        <w:shd w:val="clear" w:color="auto" w:fill="FFFFFF"/>
        <w:spacing w:line="400" w:lineRule="exact"/>
        <w:ind w:firstLine="422" w:firstLineChars="200"/>
        <w:jc w:val="left"/>
        <w:rPr>
          <w:rFonts w:hint="eastAsia" w:ascii="宋体" w:hAnsi="宋体" w:cs="宋体"/>
          <w:b/>
          <w:szCs w:val="21"/>
        </w:rPr>
      </w:pPr>
      <w:bookmarkStart w:id="48" w:name="_Toc24256"/>
      <w:bookmarkStart w:id="49" w:name="_Toc3175"/>
      <w:bookmarkStart w:id="50" w:name="_Toc21541025"/>
      <w:r>
        <w:rPr>
          <w:rFonts w:hint="eastAsia" w:ascii="宋体" w:hAnsi="宋体" w:cs="宋体"/>
          <w:b/>
          <w:szCs w:val="21"/>
        </w:rPr>
        <w:t>单位简介</w:t>
      </w:r>
    </w:p>
    <w:p>
      <w:pPr>
        <w:spacing w:line="400" w:lineRule="exact"/>
        <w:ind w:firstLine="420" w:firstLineChars="200"/>
        <w:rPr>
          <w:rFonts w:hint="eastAsia" w:ascii="宋体" w:hAnsi="宋体" w:cs="宋体"/>
          <w:szCs w:val="21"/>
        </w:rPr>
      </w:pPr>
      <w:r>
        <w:rPr>
          <w:rFonts w:hint="eastAsia" w:ascii="宋体" w:hAnsi="宋体" w:cs="宋体"/>
          <w:szCs w:val="21"/>
        </w:rPr>
        <w:t>舟山市中医院位于美丽的浙江舟山群岛新区，是一家集医疗、科研、教学、康复等为一体的三级甲等综合性中医医院。2003年12月由原舟山市中医院和原舟山市骨伤医院（即洋岙医院）组建成立为舟山市中医骨伤联合医院，2015年11月17日更名为舟山市中医院，第二名称为舟山市骨伤医院（洋岙医院）。现为上海中医药大学附属曙光医院舟山分院、浙江省中医院协作医院、浙江省中山医院协作医院，是国家重点中医院建设项目单位、国家中医药管理局基层常见病多发病中医药适宜技术推广能力建设项目单位、浙江省中医药适宜技术示范基地、浙江省中医住院医师规范化培训基地、江西中医药大学教学医院和浙江中医药大学、浙江海洋学院教学基地。浙江省名中医馆舟山分馆、舟山市名中医馆、舟山市骨科创伤治疗中心、舟山市治未病中心、舟山市惠民医院挂靠我院。</w:t>
      </w:r>
      <w:r>
        <w:rPr>
          <w:rFonts w:hint="eastAsia" w:ascii="宋体" w:hAnsi="宋体" w:cs="宋体"/>
          <w:szCs w:val="21"/>
        </w:rPr>
        <w:br w:type="textWrapping"/>
      </w:r>
      <w:r>
        <w:rPr>
          <w:rFonts w:hint="eastAsia" w:ascii="宋体" w:hAnsi="宋体" w:cs="宋体"/>
          <w:szCs w:val="21"/>
        </w:rPr>
        <w:t xml:space="preserve">   医院占地面积2.19万平方米，建筑面积4.97万平方米，拥有在职职工634人，核定床位500张，实际开放500张，开设12个病区、51个专病专科门诊。2007年，被确定为浙江省第一批中医“名院”项目建设单位。2008年，被列入国家重点中医院建设项目。2012年，荣膺国家中医药管理局三级甲等中医医院。</w:t>
      </w:r>
    </w:p>
    <w:p>
      <w:pPr>
        <w:spacing w:line="400" w:lineRule="exact"/>
        <w:ind w:firstLine="420" w:firstLineChars="200"/>
        <w:rPr>
          <w:rFonts w:hint="eastAsia" w:ascii="宋体" w:hAnsi="宋体" w:cs="宋体"/>
          <w:szCs w:val="21"/>
        </w:rPr>
      </w:pPr>
      <w:r>
        <w:rPr>
          <w:rFonts w:hint="eastAsia" w:ascii="宋体" w:hAnsi="宋体" w:cs="宋体"/>
          <w:szCs w:val="21"/>
        </w:rPr>
        <w:t>医院坚持以病人为中心，秉承“有品质的医疗、有温度的医院、有情怀的医者”的核心理念，践行“仁和济世 精诚至善”的院训，努力建成“患者满意、员工幸福”的浙江舟山群岛新区现代化三级甲等中医医院。医院先后获得全国巾帼文明示范岗、省文明中医院、省绿色医院、省平安医院、舟山市文明单位、舟山市卫生局先进基层党组织等荣誉称号。</w:t>
      </w:r>
    </w:p>
    <w:p>
      <w:pPr>
        <w:spacing w:line="400" w:lineRule="exact"/>
        <w:ind w:firstLine="422" w:firstLineChars="200"/>
        <w:rPr>
          <w:rFonts w:hint="eastAsia" w:ascii="宋体" w:hAnsi="宋体" w:cs="宋体"/>
          <w:b/>
          <w:szCs w:val="21"/>
        </w:rPr>
      </w:pPr>
      <w:r>
        <w:rPr>
          <w:rFonts w:hint="eastAsia" w:ascii="宋体" w:hAnsi="宋体" w:cs="宋体"/>
          <w:b/>
          <w:bCs/>
          <w:szCs w:val="21"/>
        </w:rPr>
        <w:t>为加强医院内部安全保卫工作、维护医疗、教学工作的正常秩序，预防和减少违法犯罪和治安灾害事故的发生，保障医院财产和员工、患者生命财产的安全，构建和谐平安医院。</w:t>
      </w:r>
    </w:p>
    <w:p>
      <w:pPr>
        <w:spacing w:line="400" w:lineRule="exact"/>
        <w:ind w:firstLine="422" w:firstLineChars="200"/>
        <w:rPr>
          <w:rFonts w:hint="eastAsia" w:ascii="宋体" w:hAnsi="宋体" w:cs="宋体"/>
          <w:b/>
          <w:szCs w:val="21"/>
        </w:rPr>
      </w:pPr>
      <w:r>
        <w:rPr>
          <w:rFonts w:hint="eastAsia" w:ascii="宋体" w:hAnsi="宋体" w:cs="宋体"/>
          <w:b/>
          <w:szCs w:val="21"/>
        </w:rPr>
        <w:t>二、保安服务地域范围、内容</w:t>
      </w:r>
    </w:p>
    <w:p>
      <w:pPr>
        <w:spacing w:line="400" w:lineRule="exact"/>
        <w:ind w:firstLine="420" w:firstLineChars="200"/>
        <w:outlineLvl w:val="1"/>
        <w:rPr>
          <w:rFonts w:hint="eastAsia" w:ascii="宋体" w:hAnsi="宋体" w:cs="宋体"/>
          <w:b/>
          <w:szCs w:val="21"/>
        </w:rPr>
      </w:pPr>
      <w:r>
        <w:rPr>
          <w:rFonts w:hint="eastAsia" w:ascii="宋体" w:hAnsi="宋体" w:cs="宋体"/>
          <w:szCs w:val="21"/>
        </w:rPr>
        <w:t>医院的诊疗秩序维护，消防安全、治安防范，医院范围内的人员、设备设施的安全保卫，视频监控系统值班，消防监控中心值班及设施的巡查，院内道路交通秩序管理、停车场管理系统收费、疫情防控及重大疫情应急病区的警戒、看守工作和与安全工作有关的各项临时性任务等。服务方必须持有保安服务许可证，并在当地公安机关备案。</w:t>
      </w:r>
    </w:p>
    <w:p>
      <w:pPr>
        <w:spacing w:line="400" w:lineRule="exact"/>
        <w:ind w:firstLine="422" w:firstLineChars="200"/>
        <w:rPr>
          <w:rFonts w:hint="eastAsia" w:ascii="宋体" w:hAnsi="宋体" w:cs="宋体"/>
          <w:b/>
          <w:szCs w:val="21"/>
        </w:rPr>
      </w:pPr>
      <w:r>
        <w:rPr>
          <w:rFonts w:hint="eastAsia" w:ascii="宋体" w:hAnsi="宋体" w:cs="宋体"/>
          <w:b/>
          <w:szCs w:val="21"/>
        </w:rPr>
        <w:t>三、管理方式及合同时间</w:t>
      </w:r>
    </w:p>
    <w:p>
      <w:pPr>
        <w:spacing w:line="400" w:lineRule="exact"/>
        <w:ind w:firstLine="420" w:firstLineChars="200"/>
        <w:rPr>
          <w:rFonts w:hint="eastAsia" w:ascii="宋体" w:hAnsi="宋体" w:cs="宋体"/>
          <w:szCs w:val="21"/>
        </w:rPr>
      </w:pPr>
      <w:r>
        <w:rPr>
          <w:rFonts w:hint="eastAsia" w:ascii="宋体" w:hAnsi="宋体" w:cs="宋体"/>
          <w:bCs/>
          <w:szCs w:val="21"/>
        </w:rPr>
        <w:t>（一）管</w:t>
      </w:r>
      <w:r>
        <w:rPr>
          <w:rFonts w:hint="eastAsia" w:ascii="宋体" w:hAnsi="宋体" w:cs="宋体"/>
          <w:szCs w:val="21"/>
        </w:rPr>
        <w:t>理方式</w:t>
      </w:r>
    </w:p>
    <w:p>
      <w:pPr>
        <w:spacing w:line="400" w:lineRule="exact"/>
        <w:ind w:firstLine="420" w:firstLineChars="200"/>
        <w:rPr>
          <w:rFonts w:hint="eastAsia" w:ascii="宋体" w:hAnsi="宋体" w:cs="宋体"/>
          <w:szCs w:val="21"/>
        </w:rPr>
      </w:pPr>
      <w:r>
        <w:rPr>
          <w:rFonts w:hint="eastAsia" w:ascii="宋体" w:hAnsi="宋体" w:cs="宋体"/>
          <w:szCs w:val="21"/>
        </w:rPr>
        <w:t>保安岗位实行委托式管理，医院保卫科按质量考评要求，每月对服务方进行一次质量考核，考评结果与支付保安服务费及合同履行相挂钩。院方有权对不适应工作岗位的保安队员退回服务方，且服务方必须在3个工作日内派遣保安队员到岗。</w:t>
      </w:r>
    </w:p>
    <w:p>
      <w:pPr>
        <w:spacing w:line="400" w:lineRule="exact"/>
        <w:ind w:firstLine="420" w:firstLineChars="200"/>
        <w:rPr>
          <w:rFonts w:hint="eastAsia" w:ascii="宋体" w:hAnsi="宋体" w:cs="宋体"/>
          <w:szCs w:val="21"/>
        </w:rPr>
      </w:pPr>
      <w:r>
        <w:rPr>
          <w:rFonts w:hint="eastAsia" w:ascii="宋体" w:hAnsi="宋体" w:cs="宋体"/>
          <w:szCs w:val="21"/>
        </w:rPr>
        <w:t>（二）合同时间</w:t>
      </w:r>
    </w:p>
    <w:p>
      <w:pPr>
        <w:spacing w:line="400" w:lineRule="exact"/>
        <w:ind w:firstLine="420" w:firstLineChars="200"/>
        <w:rPr>
          <w:rFonts w:hint="eastAsia" w:ascii="宋体" w:hAnsi="宋体" w:cs="宋体"/>
        </w:rPr>
      </w:pPr>
      <w:r>
        <w:rPr>
          <w:rFonts w:hint="eastAsia" w:ascii="宋体" w:hAnsi="宋体" w:cs="宋体"/>
          <w:szCs w:val="21"/>
          <w:highlight w:val="none"/>
        </w:rPr>
        <w:t>服务期限三年，合同一年一签，每年期满后，招标人对中标人的合同履行等情况进行综合评估考核，考核合格后续签下一年度</w:t>
      </w:r>
      <w:r>
        <w:rPr>
          <w:rFonts w:hint="eastAsia" w:ascii="宋体" w:hAnsi="宋体"/>
          <w:highlight w:val="none"/>
        </w:rPr>
        <w:t>，续签条款按照原合同履行。</w:t>
      </w:r>
      <w:r>
        <w:rPr>
          <w:rFonts w:hint="eastAsia" w:ascii="宋体" w:hAnsi="宋体" w:cs="宋体"/>
          <w:szCs w:val="21"/>
          <w:highlight w:val="none"/>
        </w:rPr>
        <w:t>双方应在合同执行日前30个工作日内完成合同签订。</w:t>
      </w:r>
    </w:p>
    <w:p>
      <w:pPr>
        <w:spacing w:line="400" w:lineRule="exact"/>
        <w:ind w:firstLine="420" w:firstLineChars="200"/>
        <w:rPr>
          <w:rFonts w:hint="eastAsia" w:ascii="宋体" w:hAnsi="宋体" w:cs="宋体"/>
          <w:szCs w:val="21"/>
        </w:rPr>
      </w:pPr>
      <w:r>
        <w:rPr>
          <w:rFonts w:hint="eastAsia" w:ascii="宋体" w:hAnsi="宋体" w:cs="宋体"/>
          <w:szCs w:val="21"/>
        </w:rPr>
        <w:t>（三）工作交接时间</w:t>
      </w:r>
    </w:p>
    <w:p>
      <w:pPr>
        <w:spacing w:line="400" w:lineRule="exact"/>
        <w:ind w:firstLine="420" w:firstLineChars="200"/>
        <w:rPr>
          <w:rFonts w:hint="eastAsia" w:ascii="宋体" w:hAnsi="宋体" w:cs="宋体"/>
          <w:szCs w:val="21"/>
        </w:rPr>
      </w:pPr>
      <w:r>
        <w:rPr>
          <w:rFonts w:hint="eastAsia" w:ascii="宋体" w:hAnsi="宋体" w:cs="宋体"/>
          <w:szCs w:val="21"/>
        </w:rPr>
        <w:t>双方在合同签订后，服务方必须在合同执行日前三个工作日内完成所有交接的准备工作，并确保能按期履行合同。</w:t>
      </w:r>
    </w:p>
    <w:p>
      <w:pPr>
        <w:spacing w:line="400" w:lineRule="exact"/>
        <w:ind w:firstLine="422" w:firstLineChars="200"/>
        <w:rPr>
          <w:rFonts w:hint="eastAsia" w:ascii="宋体" w:hAnsi="宋体" w:cs="宋体"/>
          <w:b/>
          <w:szCs w:val="21"/>
        </w:rPr>
      </w:pPr>
      <w:r>
        <w:rPr>
          <w:rFonts w:hint="eastAsia" w:ascii="宋体" w:hAnsi="宋体" w:cs="宋体"/>
          <w:b/>
          <w:szCs w:val="21"/>
        </w:rPr>
        <w:t>四、安保岗位设置及人员配置情况</w:t>
      </w:r>
    </w:p>
    <w:p>
      <w:pPr>
        <w:spacing w:line="400" w:lineRule="exact"/>
        <w:ind w:firstLine="420" w:firstLineChars="200"/>
        <w:rPr>
          <w:rFonts w:hint="eastAsia" w:ascii="宋体" w:hAnsi="宋体" w:cs="宋体"/>
          <w:bCs/>
          <w:szCs w:val="21"/>
        </w:rPr>
      </w:pPr>
      <w:r>
        <w:rPr>
          <w:rFonts w:hint="eastAsia" w:ascii="宋体" w:hAnsi="宋体" w:cs="宋体"/>
          <w:bCs/>
          <w:szCs w:val="21"/>
        </w:rPr>
        <w:t>（一）管理人员：保安正、副队长各1人(常驻保安队)</w:t>
      </w:r>
    </w:p>
    <w:p>
      <w:pPr>
        <w:spacing w:line="400" w:lineRule="exact"/>
        <w:ind w:firstLine="420" w:firstLineChars="200"/>
        <w:rPr>
          <w:rFonts w:hint="eastAsia" w:ascii="宋体" w:hAnsi="宋体" w:cs="宋体"/>
          <w:szCs w:val="21"/>
        </w:rPr>
      </w:pPr>
      <w:r>
        <w:rPr>
          <w:rFonts w:hint="eastAsia" w:ascii="宋体" w:hAnsi="宋体" w:cs="宋体"/>
          <w:szCs w:val="21"/>
        </w:rPr>
        <w:t>（二）保安员：下设8个岗（班长由保安员兼任），目前院方自建安保管理人员4人。岗位配置46人减去医院自建安保人员，还需配备42名安保人员（具体岗位由院方安排），为保证服务质量，乙方在岗人员必须全额配置到位。</w:t>
      </w:r>
    </w:p>
    <w:p>
      <w:pPr>
        <w:spacing w:line="400" w:lineRule="exact"/>
        <w:ind w:firstLine="420" w:firstLineChars="200"/>
        <w:rPr>
          <w:rFonts w:hint="eastAsia" w:ascii="宋体" w:hAnsi="宋体" w:cs="宋体"/>
          <w:szCs w:val="21"/>
        </w:rPr>
      </w:pPr>
      <w:r>
        <w:rPr>
          <w:rFonts w:hint="eastAsia" w:ascii="宋体" w:hAnsi="宋体" w:cs="宋体"/>
          <w:szCs w:val="21"/>
        </w:rPr>
        <w:t>（三）岗位分布及值班时间</w:t>
      </w:r>
    </w:p>
    <w:tbl>
      <w:tblPr>
        <w:tblStyle w:val="44"/>
        <w:tblpPr w:leftFromText="180" w:rightFromText="180" w:vertAnchor="text" w:horzAnchor="margin" w:tblpXSpec="center" w:tblpY="158"/>
        <w:tblW w:w="806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4"/>
        <w:gridCol w:w="2096"/>
        <w:gridCol w:w="1046"/>
        <w:gridCol w:w="900"/>
        <w:gridCol w:w="3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trPr>
        <w:tc>
          <w:tcPr>
            <w:tcW w:w="7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序号</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岗位名称</w:t>
            </w:r>
          </w:p>
        </w:tc>
        <w:tc>
          <w:tcPr>
            <w:tcW w:w="1046" w:type="dxa"/>
            <w:tcBorders>
              <w:top w:val="single" w:color="auto" w:sz="4" w:space="0"/>
              <w:left w:val="single" w:color="auto" w:sz="4" w:space="0"/>
              <w:bottom w:val="nil"/>
              <w:right w:val="single" w:color="auto" w:sz="4" w:space="0"/>
            </w:tcBorders>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时间</w:t>
            </w:r>
          </w:p>
          <w:p>
            <w:pPr>
              <w:spacing w:line="400" w:lineRule="exact"/>
              <w:jc w:val="center"/>
              <w:rPr>
                <w:rFonts w:hint="eastAsia" w:ascii="宋体" w:hAnsi="宋体" w:cs="宋体"/>
                <w:color w:val="000000"/>
                <w:szCs w:val="21"/>
              </w:rPr>
            </w:pPr>
            <w:r>
              <w:rPr>
                <w:rFonts w:hint="eastAsia" w:ascii="宋体" w:hAnsi="宋体" w:cs="宋体"/>
                <w:color w:val="000000"/>
                <w:szCs w:val="21"/>
              </w:rPr>
              <w:t>（小时）</w:t>
            </w:r>
          </w:p>
        </w:tc>
        <w:tc>
          <w:tcPr>
            <w:tcW w:w="900" w:type="dxa"/>
            <w:tcBorders>
              <w:top w:val="single" w:color="auto" w:sz="4" w:space="0"/>
              <w:left w:val="single" w:color="auto" w:sz="4" w:space="0"/>
              <w:bottom w:val="nil"/>
              <w:right w:val="single" w:color="auto" w:sz="4" w:space="0"/>
            </w:tcBorders>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人员（人）</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color w:val="000000"/>
                <w:szCs w:val="21"/>
              </w:rPr>
            </w:pPr>
            <w:r>
              <w:rPr>
                <w:rFonts w:hint="eastAsia" w:ascii="宋体" w:hAnsi="宋体" w:cs="宋体"/>
                <w:color w:val="000000"/>
                <w:szCs w:val="21"/>
              </w:rPr>
              <w:t>岗位职责说明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1</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疫情防控岗（1）</w:t>
            </w:r>
          </w:p>
          <w:p>
            <w:pPr>
              <w:spacing w:line="400" w:lineRule="exact"/>
              <w:jc w:val="center"/>
              <w:rPr>
                <w:rFonts w:hint="eastAsia" w:ascii="宋体" w:hAnsi="宋体" w:cs="宋体"/>
                <w:color w:val="000000"/>
                <w:szCs w:val="21"/>
              </w:rPr>
            </w:pPr>
          </w:p>
        </w:tc>
        <w:tc>
          <w:tcPr>
            <w:tcW w:w="10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24</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4</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color w:val="000000"/>
                <w:szCs w:val="21"/>
              </w:rPr>
            </w:pPr>
            <w:r>
              <w:rPr>
                <w:rFonts w:hint="eastAsia" w:ascii="宋体" w:hAnsi="宋体" w:cs="宋体"/>
                <w:color w:val="000000"/>
                <w:szCs w:val="21"/>
              </w:rPr>
              <w:t>负责疫情防控工作处理各种突发事件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7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2</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210" w:firstLineChars="100"/>
              <w:rPr>
                <w:rFonts w:hint="eastAsia" w:ascii="宋体" w:hAnsi="宋体" w:cs="宋体"/>
                <w:color w:val="000000"/>
                <w:szCs w:val="21"/>
              </w:rPr>
            </w:pPr>
            <w:r>
              <w:rPr>
                <w:rFonts w:hint="eastAsia" w:ascii="宋体" w:hAnsi="宋体" w:cs="宋体"/>
                <w:color w:val="000000"/>
                <w:szCs w:val="21"/>
              </w:rPr>
              <w:t>疫情防控岗（2）</w:t>
            </w:r>
          </w:p>
          <w:p>
            <w:pPr>
              <w:spacing w:line="400" w:lineRule="exact"/>
              <w:jc w:val="center"/>
              <w:rPr>
                <w:rFonts w:hint="eastAsia" w:ascii="宋体" w:hAnsi="宋体" w:cs="宋体"/>
                <w:color w:val="000000"/>
                <w:szCs w:val="21"/>
              </w:rPr>
            </w:pPr>
          </w:p>
        </w:tc>
        <w:tc>
          <w:tcPr>
            <w:tcW w:w="10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12</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2</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color w:val="000000"/>
                <w:szCs w:val="21"/>
              </w:rPr>
            </w:pPr>
            <w:r>
              <w:rPr>
                <w:rFonts w:hint="eastAsia" w:ascii="宋体" w:hAnsi="宋体" w:cs="宋体"/>
                <w:color w:val="000000"/>
                <w:szCs w:val="21"/>
              </w:rPr>
              <w:t>负责疫情防控工作处理各种突发事件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3</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消防监控岗</w:t>
            </w:r>
          </w:p>
        </w:tc>
        <w:tc>
          <w:tcPr>
            <w:tcW w:w="10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24</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6</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color w:val="000000"/>
                <w:szCs w:val="21"/>
              </w:rPr>
            </w:pPr>
            <w:r>
              <w:rPr>
                <w:rFonts w:hint="eastAsia" w:ascii="宋体" w:hAnsi="宋体" w:cs="宋体"/>
                <w:color w:val="000000"/>
                <w:szCs w:val="21"/>
              </w:rPr>
              <w:t>负责院区视频监控工作及消防控制室的值班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2" w:hRule="atLeast"/>
        </w:trPr>
        <w:tc>
          <w:tcPr>
            <w:tcW w:w="7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4</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巡逻岗</w:t>
            </w:r>
          </w:p>
        </w:tc>
        <w:tc>
          <w:tcPr>
            <w:tcW w:w="10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24</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8</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color w:val="000000"/>
                <w:szCs w:val="21"/>
              </w:rPr>
            </w:pPr>
            <w:r>
              <w:rPr>
                <w:rFonts w:hint="eastAsia" w:ascii="宋体" w:hAnsi="宋体" w:cs="宋体"/>
                <w:color w:val="000000"/>
                <w:szCs w:val="21"/>
              </w:rPr>
              <w:t>负责院区消防、治安（包括突发事件的处置）、防火巡查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5</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秩序维护岗</w:t>
            </w:r>
          </w:p>
        </w:tc>
        <w:tc>
          <w:tcPr>
            <w:tcW w:w="10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12</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2</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color w:val="000000"/>
                <w:szCs w:val="21"/>
              </w:rPr>
            </w:pPr>
            <w:r>
              <w:rPr>
                <w:rFonts w:hint="eastAsia" w:ascii="宋体" w:hAnsi="宋体" w:cs="宋体"/>
                <w:color w:val="000000"/>
                <w:szCs w:val="21"/>
              </w:rPr>
              <w:t>主要负责门诊诊区域的安全秩序管理和防火巡查工作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6</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车辆管理岗</w:t>
            </w:r>
          </w:p>
        </w:tc>
        <w:tc>
          <w:tcPr>
            <w:tcW w:w="10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12</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7</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color w:val="000000"/>
                <w:szCs w:val="21"/>
              </w:rPr>
            </w:pPr>
            <w:r>
              <w:rPr>
                <w:rFonts w:hint="eastAsia" w:ascii="宋体" w:hAnsi="宋体" w:cs="宋体"/>
                <w:szCs w:val="21"/>
              </w:rPr>
              <w:t>负责维持院内外交通秩序，保障车道畅通，指引车辆入位等工作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7</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停车收费岗</w:t>
            </w:r>
          </w:p>
        </w:tc>
        <w:tc>
          <w:tcPr>
            <w:tcW w:w="10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24</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7</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color w:val="000000"/>
                <w:szCs w:val="21"/>
              </w:rPr>
            </w:pPr>
            <w:r>
              <w:rPr>
                <w:rFonts w:hint="eastAsia" w:ascii="宋体" w:hAnsi="宋体" w:cs="宋体"/>
                <w:color w:val="000000"/>
                <w:szCs w:val="21"/>
              </w:rPr>
              <w:t>主要负责医院内停车费的收缴工作，及时对接财务科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8</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color w:val="000000"/>
                <w:szCs w:val="21"/>
              </w:rPr>
            </w:pPr>
            <w:r>
              <w:rPr>
                <w:rFonts w:hint="eastAsia" w:ascii="宋体" w:hAnsi="宋体" w:cs="宋体"/>
                <w:color w:val="000000"/>
                <w:szCs w:val="21"/>
              </w:rPr>
              <w:t>**室岗(机动）</w:t>
            </w:r>
          </w:p>
        </w:tc>
        <w:tc>
          <w:tcPr>
            <w:tcW w:w="10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24</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6</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color w:val="000000"/>
                <w:szCs w:val="21"/>
              </w:rPr>
            </w:pPr>
            <w:r>
              <w:rPr>
                <w:rFonts w:hint="eastAsia" w:ascii="宋体" w:hAnsi="宋体" w:cs="宋体"/>
                <w:color w:val="000000"/>
                <w:szCs w:val="21"/>
              </w:rPr>
              <w:t>负责院区消防、治安（包括突发事件的处置）、防火巡查</w:t>
            </w:r>
          </w:p>
        </w:tc>
      </w:tr>
    </w:tbl>
    <w:p>
      <w:pPr>
        <w:spacing w:line="400" w:lineRule="exact"/>
        <w:ind w:firstLine="422" w:firstLineChars="200"/>
        <w:rPr>
          <w:rFonts w:hint="eastAsia" w:ascii="宋体" w:hAnsi="宋体" w:cs="宋体"/>
          <w:b/>
          <w:color w:val="000000"/>
          <w:szCs w:val="21"/>
        </w:rPr>
      </w:pPr>
      <w:r>
        <w:rPr>
          <w:rFonts w:hint="eastAsia" w:ascii="宋体" w:hAnsi="宋体" w:cs="宋体"/>
          <w:b/>
          <w:color w:val="000000"/>
          <w:szCs w:val="21"/>
        </w:rPr>
        <w:t>五、安保工作人员的条件和要求</w:t>
      </w:r>
    </w:p>
    <w:p>
      <w:pPr>
        <w:spacing w:line="400" w:lineRule="exact"/>
        <w:ind w:firstLine="420" w:firstLineChars="200"/>
        <w:rPr>
          <w:rFonts w:hint="eastAsia" w:ascii="宋体" w:hAnsi="宋体" w:cs="宋体"/>
          <w:szCs w:val="21"/>
        </w:rPr>
      </w:pPr>
      <w:r>
        <w:rPr>
          <w:rFonts w:hint="eastAsia" w:ascii="宋体" w:hAnsi="宋体" w:cs="宋体"/>
          <w:szCs w:val="21"/>
        </w:rPr>
        <w:t>（一）保安队长：要求大专或大专以上，工作表现出色者，有一定的管理工作经验（如退伍军人、警校毕业者，须提供相关证件验证，可优先考虑，适当放宽学历条件）；</w:t>
      </w:r>
    </w:p>
    <w:p>
      <w:pPr>
        <w:spacing w:line="400" w:lineRule="exact"/>
        <w:ind w:firstLine="420" w:firstLineChars="200"/>
        <w:rPr>
          <w:rFonts w:hint="eastAsia" w:ascii="宋体" w:hAnsi="宋体" w:cs="宋体"/>
          <w:szCs w:val="21"/>
        </w:rPr>
      </w:pPr>
      <w:r>
        <w:rPr>
          <w:rFonts w:hint="eastAsia" w:ascii="宋体" w:hAnsi="宋体" w:cs="宋体"/>
          <w:szCs w:val="21"/>
        </w:rPr>
        <w:t>（二）保安队长接受双重领导和管理。必须保持24小时驻场，处理院内安全工作和驻院保安队相关事务；</w:t>
      </w:r>
    </w:p>
    <w:p>
      <w:pPr>
        <w:spacing w:line="400" w:lineRule="exact"/>
        <w:ind w:firstLine="420" w:firstLineChars="200"/>
        <w:rPr>
          <w:rFonts w:hint="eastAsia" w:ascii="宋体" w:hAnsi="宋体" w:cs="宋体"/>
          <w:szCs w:val="21"/>
        </w:rPr>
      </w:pPr>
      <w:r>
        <w:rPr>
          <w:rFonts w:hint="eastAsia" w:ascii="宋体" w:hAnsi="宋体" w:cs="宋体"/>
          <w:szCs w:val="21"/>
        </w:rPr>
        <w:t>（三）保安员年龄：男性18～55周岁，女性18～35周岁，身高：男1.7米以上、女1.5米，五官端正，视（裸）力1.0以上，身体健康，无传染病，无残疾，无明显标记，能听懂舟山语。应急分队：男性18～40周岁，身高：男1.7米以上，五官端正，视（裸）力1.0以上，身体健康，无传染病，无残疾，无明显标记，能听懂舟山语；</w:t>
      </w:r>
    </w:p>
    <w:p>
      <w:pPr>
        <w:spacing w:line="400" w:lineRule="exact"/>
        <w:ind w:firstLine="420" w:firstLineChars="200"/>
        <w:rPr>
          <w:rFonts w:hint="eastAsia" w:ascii="宋体" w:hAnsi="宋体" w:cs="宋体"/>
          <w:szCs w:val="21"/>
        </w:rPr>
      </w:pPr>
      <w:r>
        <w:rPr>
          <w:rFonts w:hint="eastAsia" w:ascii="宋体" w:hAnsi="宋体" w:cs="宋体"/>
          <w:szCs w:val="21"/>
        </w:rPr>
        <w:t>（四）消防监控岗人员要求具有高中或中专或以上学历、持有国家级建（构）筑物消防员证书，并要求相对固定人员；</w:t>
      </w:r>
    </w:p>
    <w:p>
      <w:pPr>
        <w:spacing w:line="400" w:lineRule="exact"/>
        <w:ind w:firstLine="420" w:firstLineChars="200"/>
        <w:rPr>
          <w:rFonts w:hint="eastAsia" w:ascii="宋体" w:hAnsi="宋体" w:cs="宋体"/>
          <w:szCs w:val="21"/>
        </w:rPr>
      </w:pPr>
      <w:r>
        <w:rPr>
          <w:rFonts w:hint="eastAsia" w:ascii="宋体" w:hAnsi="宋体" w:cs="宋体"/>
          <w:szCs w:val="21"/>
        </w:rPr>
        <w:t>（五）遵纪守法，品行良好，无违法犯罪记录，优先聘用退伍军人和有在医院工作经历者（提供录用人员审核相关资料）；</w:t>
      </w:r>
    </w:p>
    <w:p>
      <w:pPr>
        <w:spacing w:line="400" w:lineRule="exact"/>
        <w:ind w:firstLine="420" w:firstLineChars="200"/>
        <w:rPr>
          <w:rFonts w:hint="eastAsia" w:ascii="宋体" w:hAnsi="宋体" w:cs="宋体"/>
          <w:szCs w:val="21"/>
        </w:rPr>
      </w:pPr>
      <w:r>
        <w:rPr>
          <w:rFonts w:hint="eastAsia" w:ascii="宋体" w:hAnsi="宋体" w:cs="宋体"/>
          <w:szCs w:val="21"/>
        </w:rPr>
        <w:t>（六）所有保安员上岗前必须经过公安部门筛查无犯罪或不良行为记录才能录用；</w:t>
      </w:r>
    </w:p>
    <w:p>
      <w:pPr>
        <w:spacing w:line="400" w:lineRule="exact"/>
        <w:ind w:firstLine="420" w:firstLineChars="200"/>
        <w:rPr>
          <w:rFonts w:hint="eastAsia" w:ascii="宋体" w:hAnsi="宋体" w:cs="宋体"/>
          <w:szCs w:val="21"/>
        </w:rPr>
      </w:pPr>
      <w:r>
        <w:rPr>
          <w:rFonts w:hint="eastAsia" w:ascii="宋体" w:hAnsi="宋体" w:cs="宋体"/>
          <w:szCs w:val="21"/>
        </w:rPr>
        <w:t>（七）保安员必须持有保安上岗证。</w:t>
      </w:r>
    </w:p>
    <w:p>
      <w:pPr>
        <w:spacing w:line="400" w:lineRule="exact"/>
        <w:ind w:firstLine="422" w:firstLineChars="200"/>
        <w:rPr>
          <w:rFonts w:hint="eastAsia" w:ascii="宋体" w:hAnsi="宋体" w:cs="宋体"/>
          <w:b/>
          <w:color w:val="000000"/>
          <w:szCs w:val="21"/>
        </w:rPr>
      </w:pPr>
      <w:r>
        <w:rPr>
          <w:rFonts w:hint="eastAsia" w:ascii="宋体" w:hAnsi="宋体" w:cs="宋体"/>
          <w:b/>
          <w:color w:val="000000"/>
          <w:szCs w:val="21"/>
        </w:rPr>
        <w:t>六、上岗要求</w:t>
      </w:r>
    </w:p>
    <w:p>
      <w:pPr>
        <w:spacing w:line="400" w:lineRule="exact"/>
        <w:ind w:firstLine="420" w:firstLineChars="200"/>
        <w:rPr>
          <w:rFonts w:hint="eastAsia" w:ascii="宋体" w:hAnsi="宋体" w:cs="宋体"/>
          <w:szCs w:val="21"/>
        </w:rPr>
      </w:pPr>
      <w:r>
        <w:rPr>
          <w:rFonts w:hint="eastAsia" w:ascii="宋体" w:hAnsi="宋体" w:cs="宋体"/>
          <w:color w:val="000000"/>
          <w:szCs w:val="21"/>
        </w:rPr>
        <w:t>（一）</w:t>
      </w:r>
      <w:r>
        <w:rPr>
          <w:rFonts w:hint="eastAsia" w:ascii="宋体" w:hAnsi="宋体" w:cs="宋体"/>
          <w:szCs w:val="21"/>
        </w:rPr>
        <w:t>必须遵守医院的相关规章制度和管理规定。</w:t>
      </w:r>
    </w:p>
    <w:p>
      <w:pPr>
        <w:spacing w:line="400" w:lineRule="exact"/>
        <w:ind w:firstLine="420" w:firstLineChars="200"/>
        <w:rPr>
          <w:rFonts w:hint="eastAsia" w:ascii="宋体" w:hAnsi="宋体" w:cs="宋体"/>
          <w:szCs w:val="21"/>
        </w:rPr>
      </w:pPr>
      <w:r>
        <w:rPr>
          <w:rFonts w:hint="eastAsia" w:ascii="宋体" w:hAnsi="宋体" w:cs="宋体"/>
          <w:szCs w:val="21"/>
        </w:rPr>
        <w:t>（二）按岗位要求着装统一，整齐，执勤时使用礼貌用语，做到文明执勤。</w:t>
      </w:r>
    </w:p>
    <w:p>
      <w:pPr>
        <w:spacing w:line="400" w:lineRule="exact"/>
        <w:ind w:firstLine="420" w:firstLineChars="200"/>
        <w:rPr>
          <w:rFonts w:hint="eastAsia" w:ascii="宋体" w:hAnsi="宋体" w:cs="宋体"/>
          <w:szCs w:val="21"/>
        </w:rPr>
      </w:pPr>
      <w:r>
        <w:rPr>
          <w:rFonts w:hint="eastAsia" w:ascii="宋体" w:hAnsi="宋体" w:cs="宋体"/>
          <w:szCs w:val="21"/>
        </w:rPr>
        <w:t>（三）值班期间要认真负责，警惕性高，密切注意院区内消防治安动态，及时掌握院区内的情况。</w:t>
      </w:r>
    </w:p>
    <w:p>
      <w:pPr>
        <w:spacing w:line="400" w:lineRule="exact"/>
        <w:ind w:firstLine="420" w:firstLineChars="200"/>
        <w:rPr>
          <w:rFonts w:hint="eastAsia" w:ascii="宋体" w:hAnsi="宋体" w:cs="宋体"/>
          <w:szCs w:val="21"/>
        </w:rPr>
      </w:pPr>
      <w:r>
        <w:rPr>
          <w:rFonts w:hint="eastAsia" w:ascii="宋体" w:hAnsi="宋体" w:cs="宋体"/>
          <w:szCs w:val="21"/>
        </w:rPr>
        <w:t>（四）值班期间要服从命令，听从指挥，不能聚众闲谈，看书报、睡觉、听收（录）音机或做与工作无关的事情，夜间巡逻严禁坐而不巡，确保院区内的安全。时时处处体现医院保安的良好形象。</w:t>
      </w:r>
    </w:p>
    <w:p>
      <w:pPr>
        <w:spacing w:line="400" w:lineRule="exact"/>
        <w:ind w:firstLine="420" w:firstLineChars="200"/>
        <w:rPr>
          <w:rFonts w:hint="eastAsia" w:ascii="宋体" w:hAnsi="宋体" w:cs="宋体"/>
          <w:szCs w:val="21"/>
        </w:rPr>
      </w:pPr>
      <w:r>
        <w:rPr>
          <w:rFonts w:hint="eastAsia" w:ascii="宋体" w:hAnsi="宋体" w:cs="宋体"/>
          <w:szCs w:val="21"/>
        </w:rPr>
        <w:t>（五）各班次做好交接班工作，并填写有关值班记录。</w:t>
      </w:r>
    </w:p>
    <w:p>
      <w:pPr>
        <w:spacing w:line="400" w:lineRule="exact"/>
        <w:ind w:firstLine="420" w:firstLineChars="200"/>
        <w:rPr>
          <w:rFonts w:hint="eastAsia" w:ascii="宋体" w:hAnsi="宋体" w:cs="宋体"/>
          <w:szCs w:val="21"/>
        </w:rPr>
      </w:pPr>
      <w:r>
        <w:rPr>
          <w:rFonts w:hint="eastAsia" w:ascii="宋体" w:hAnsi="宋体" w:cs="宋体"/>
          <w:szCs w:val="21"/>
        </w:rPr>
        <w:t>（六）当班人员有较强的责任心，班队长要带头做好工作并要多检查督促各个岗位。</w:t>
      </w:r>
    </w:p>
    <w:p>
      <w:pPr>
        <w:spacing w:line="400" w:lineRule="exact"/>
        <w:ind w:firstLine="420" w:firstLineChars="200"/>
        <w:rPr>
          <w:rFonts w:hint="eastAsia" w:ascii="宋体" w:hAnsi="宋体" w:cs="宋体"/>
          <w:szCs w:val="21"/>
        </w:rPr>
      </w:pPr>
      <w:r>
        <w:rPr>
          <w:rFonts w:hint="eastAsia" w:ascii="宋体" w:hAnsi="宋体" w:cs="宋体"/>
          <w:szCs w:val="21"/>
        </w:rPr>
        <w:t>（七）爱护医院的财物，节能工作要不能松懈。</w:t>
      </w:r>
    </w:p>
    <w:p>
      <w:pPr>
        <w:spacing w:line="400" w:lineRule="exact"/>
        <w:ind w:firstLine="420" w:firstLineChars="200"/>
        <w:rPr>
          <w:rFonts w:hint="eastAsia" w:ascii="宋体" w:hAnsi="宋体" w:cs="宋体"/>
          <w:szCs w:val="21"/>
        </w:rPr>
      </w:pPr>
      <w:r>
        <w:rPr>
          <w:rFonts w:hint="eastAsia" w:ascii="宋体" w:hAnsi="宋体" w:cs="宋体"/>
          <w:szCs w:val="21"/>
        </w:rPr>
        <w:t>（八）热情主动地为医院工作人员及患者服务。</w:t>
      </w:r>
    </w:p>
    <w:p>
      <w:pPr>
        <w:spacing w:line="400" w:lineRule="exact"/>
        <w:ind w:firstLine="422" w:firstLineChars="200"/>
        <w:rPr>
          <w:rFonts w:hint="eastAsia" w:ascii="宋体" w:hAnsi="宋体" w:cs="宋体"/>
          <w:b/>
          <w:szCs w:val="21"/>
        </w:rPr>
      </w:pPr>
      <w:r>
        <w:rPr>
          <w:rFonts w:hint="eastAsia" w:ascii="宋体" w:hAnsi="宋体" w:cs="宋体"/>
          <w:b/>
          <w:szCs w:val="21"/>
        </w:rPr>
        <w:t>七、总体要求</w:t>
      </w:r>
    </w:p>
    <w:p>
      <w:pPr>
        <w:spacing w:line="400" w:lineRule="exact"/>
        <w:ind w:firstLine="420" w:firstLineChars="200"/>
        <w:rPr>
          <w:rFonts w:hint="eastAsia" w:ascii="宋体" w:hAnsi="宋体" w:cs="宋体"/>
          <w:szCs w:val="21"/>
        </w:rPr>
      </w:pPr>
      <w:r>
        <w:rPr>
          <w:rFonts w:hint="eastAsia" w:ascii="宋体" w:hAnsi="宋体" w:cs="宋体"/>
          <w:szCs w:val="21"/>
        </w:rPr>
        <w:t>（一）服务方须设立24小时支援与服务电话，及时提供服务和处理有关事宜，保证本派驻点遇紧急情况需保安支援时，100%满足要求；</w:t>
      </w:r>
    </w:p>
    <w:p>
      <w:pPr>
        <w:spacing w:line="400" w:lineRule="exact"/>
        <w:ind w:firstLine="420" w:firstLineChars="200"/>
        <w:rPr>
          <w:rFonts w:hint="eastAsia" w:ascii="宋体" w:hAnsi="宋体" w:cs="宋体"/>
          <w:szCs w:val="21"/>
        </w:rPr>
      </w:pPr>
      <w:r>
        <w:rPr>
          <w:rFonts w:hint="eastAsia" w:ascii="宋体" w:hAnsi="宋体" w:cs="宋体"/>
          <w:szCs w:val="21"/>
        </w:rPr>
        <w:t>（二）院方对岗位设置具有决定权，遇到突发事件、重大疫情或紧急情况服务方派驻的人员必须服从院方保卫科统一调度，院方保卫科对服务方的服务质量进行监督和考评。</w:t>
      </w:r>
    </w:p>
    <w:p>
      <w:pPr>
        <w:spacing w:line="400" w:lineRule="exact"/>
        <w:ind w:firstLine="420" w:firstLineChars="200"/>
        <w:rPr>
          <w:rFonts w:hint="eastAsia" w:ascii="宋体" w:hAnsi="宋体" w:cs="宋体"/>
          <w:szCs w:val="21"/>
        </w:rPr>
      </w:pPr>
      <w:r>
        <w:rPr>
          <w:rFonts w:hint="eastAsia" w:ascii="宋体" w:hAnsi="宋体" w:cs="宋体"/>
          <w:szCs w:val="21"/>
        </w:rPr>
        <w:t>（三）服务方对所录用的保安员要严格政审，保证所录用的保安员没有违法犯罪记录，热爱保安事业，健康状况良好、无精神病史，并将录用情况书面提供给院方保卫科。</w:t>
      </w:r>
    </w:p>
    <w:p>
      <w:pPr>
        <w:spacing w:line="400" w:lineRule="exact"/>
        <w:ind w:firstLine="420" w:firstLineChars="200"/>
        <w:rPr>
          <w:rFonts w:hint="eastAsia" w:ascii="宋体" w:hAnsi="宋体" w:cs="宋体"/>
          <w:szCs w:val="21"/>
        </w:rPr>
      </w:pPr>
      <w:r>
        <w:rPr>
          <w:rFonts w:hint="eastAsia" w:ascii="宋体" w:hAnsi="宋体" w:cs="宋体"/>
          <w:szCs w:val="21"/>
        </w:rPr>
        <w:t>（四）服务方保安员应遵纪守法，认真履行岗位职责，文明执勤，在岗期间不允许窜岗，正常上下班时保安需向院方领导敬礼。按岗位要求统一着装，注意仪表仪容，使用文明礼貌用语，说普通话，能听懂舟山语。</w:t>
      </w:r>
    </w:p>
    <w:p>
      <w:pPr>
        <w:spacing w:line="400" w:lineRule="exact"/>
        <w:ind w:firstLine="420" w:firstLineChars="200"/>
        <w:rPr>
          <w:rFonts w:hint="eastAsia" w:ascii="宋体" w:hAnsi="宋体" w:cs="宋体"/>
          <w:szCs w:val="21"/>
        </w:rPr>
      </w:pPr>
      <w:r>
        <w:rPr>
          <w:rFonts w:hint="eastAsia" w:ascii="宋体" w:hAnsi="宋体" w:cs="宋体"/>
          <w:szCs w:val="21"/>
        </w:rPr>
        <w:t>（五）服务方须根据《浙江省保安服务管理条例实施细则》实施管理，并按要求自备制服、对讲机、电筒等。首次交接时，院方可将现有装备移交给服务方使用，服务方应对移交装备进行维护和保养，确保装备完好率，如发生损坏、丢失，由服务方负责赔偿。</w:t>
      </w:r>
    </w:p>
    <w:p>
      <w:pPr>
        <w:spacing w:line="400" w:lineRule="exact"/>
        <w:ind w:firstLine="420" w:firstLineChars="200"/>
        <w:rPr>
          <w:rFonts w:hint="eastAsia" w:ascii="宋体" w:hAnsi="宋体" w:cs="宋体"/>
          <w:szCs w:val="21"/>
        </w:rPr>
      </w:pPr>
      <w:r>
        <w:rPr>
          <w:rFonts w:hint="eastAsia" w:ascii="宋体" w:hAnsi="宋体" w:cs="宋体"/>
          <w:szCs w:val="21"/>
        </w:rPr>
        <w:t>（六）服务方对其人员实行准军事化管理，每周不少于2小时的业务培训和素质教育，做好培训记录，相关业务培训所发生的费用由服务方负责。因管理不善，保安员内部所发生的一切问题，全部责任由服务方承担。同时，保安人员在执行任务中受到人身伤害，由院方和服务方协商解决。</w:t>
      </w:r>
    </w:p>
    <w:p>
      <w:pPr>
        <w:spacing w:line="400" w:lineRule="exact"/>
        <w:ind w:firstLine="420" w:firstLineChars="200"/>
        <w:rPr>
          <w:rFonts w:hint="eastAsia" w:ascii="宋体" w:hAnsi="宋体" w:cs="宋体"/>
          <w:szCs w:val="21"/>
        </w:rPr>
      </w:pPr>
      <w:r>
        <w:rPr>
          <w:rFonts w:hint="eastAsia" w:ascii="宋体" w:hAnsi="宋体" w:cs="宋体"/>
          <w:szCs w:val="21"/>
        </w:rPr>
        <w:t>（七）实行优质服务，优质管理，为院方提供文明礼貌、主动热情周到的服务，最大限度满足院方服务质量的要求。</w:t>
      </w:r>
    </w:p>
    <w:p>
      <w:pPr>
        <w:spacing w:line="400" w:lineRule="exact"/>
        <w:ind w:firstLine="420" w:firstLineChars="200"/>
        <w:rPr>
          <w:rFonts w:hint="eastAsia" w:ascii="宋体" w:hAnsi="宋体" w:cs="宋体"/>
          <w:szCs w:val="21"/>
        </w:rPr>
      </w:pPr>
      <w:r>
        <w:rPr>
          <w:rFonts w:hint="eastAsia" w:ascii="宋体" w:hAnsi="宋体" w:cs="宋体"/>
          <w:szCs w:val="21"/>
        </w:rPr>
        <w:t>（八）如服务方员工有监守自盗行为，一经发现核实，按财产损失价值5倍处罚服务方，服务方须开除当事员工。如发生火灾、治安、交通、刑事等事故，经核实，是因服务方管理疏忽、玩忽职守、处理不当所造成的，按事故责任进行赔偿。必要时追诉服务方的刑事责任。</w:t>
      </w:r>
    </w:p>
    <w:p>
      <w:pPr>
        <w:spacing w:line="400" w:lineRule="exact"/>
        <w:ind w:firstLine="420" w:firstLineChars="200"/>
        <w:rPr>
          <w:rFonts w:hint="eastAsia" w:ascii="宋体" w:hAnsi="宋体" w:cs="宋体"/>
          <w:szCs w:val="21"/>
        </w:rPr>
      </w:pPr>
      <w:r>
        <w:rPr>
          <w:rFonts w:hint="eastAsia" w:ascii="宋体" w:hAnsi="宋体" w:cs="宋体"/>
          <w:szCs w:val="21"/>
        </w:rPr>
        <w:t>（九）服务方应保证保安管理服务调查的满意度达到85%（含85％）以上。</w:t>
      </w:r>
      <w:bookmarkStart w:id="51" w:name="_Toc155157623"/>
    </w:p>
    <w:p>
      <w:pPr>
        <w:spacing w:line="400" w:lineRule="exact"/>
        <w:ind w:firstLine="422" w:firstLineChars="200"/>
        <w:rPr>
          <w:rFonts w:hint="eastAsia" w:ascii="宋体" w:hAnsi="宋体" w:cs="宋体"/>
          <w:b/>
          <w:bCs/>
          <w:szCs w:val="21"/>
        </w:rPr>
      </w:pPr>
      <w:r>
        <w:rPr>
          <w:rFonts w:hint="eastAsia" w:ascii="宋体" w:hAnsi="宋体" w:cs="宋体"/>
          <w:b/>
          <w:bCs/>
          <w:szCs w:val="21"/>
        </w:rPr>
        <w:t>八、服务要求</w:t>
      </w:r>
      <w:bookmarkEnd w:id="51"/>
    </w:p>
    <w:p>
      <w:pPr>
        <w:spacing w:line="400" w:lineRule="exact"/>
        <w:ind w:firstLine="420" w:firstLineChars="200"/>
        <w:rPr>
          <w:rFonts w:hint="eastAsia" w:ascii="宋体" w:hAnsi="宋体" w:cs="宋体"/>
          <w:szCs w:val="21"/>
        </w:rPr>
      </w:pPr>
      <w:r>
        <w:rPr>
          <w:rFonts w:hint="eastAsia" w:ascii="宋体" w:hAnsi="宋体" w:cs="宋体"/>
          <w:szCs w:val="21"/>
        </w:rPr>
        <w:t>（一）院方确定值勤岗位及要求后，由服务方根据院方提供的岗位职责进行完善，报院方保卫科批准后组织实施。服务方全天候24小时对院方各区域进行治安巡查、消防监控及参与突发事件的处理（主要为院方范围内火灾的发现、报警、初起火灾的救援、治安突发、群体性、重大疫情应急病区的警戒及看守、自然灾害等事件）。</w:t>
      </w:r>
    </w:p>
    <w:p>
      <w:pPr>
        <w:spacing w:line="400" w:lineRule="exact"/>
        <w:ind w:firstLine="420" w:firstLineChars="200"/>
        <w:rPr>
          <w:rFonts w:hint="eastAsia" w:ascii="宋体" w:hAnsi="宋体" w:cs="宋体"/>
          <w:szCs w:val="21"/>
        </w:rPr>
      </w:pPr>
      <w:r>
        <w:rPr>
          <w:rFonts w:hint="eastAsia" w:ascii="宋体" w:hAnsi="宋体" w:cs="宋体"/>
          <w:szCs w:val="21"/>
        </w:rPr>
        <w:t>（二）维护院方的正常医疗秩序，保障院方内所有人员的人身和财产安全，保护院方的设施和设备及各类财产不受损失，预防各类政治、刑事案件、治安事件和火灾事故的发生。</w:t>
      </w:r>
    </w:p>
    <w:p>
      <w:pPr>
        <w:spacing w:line="400" w:lineRule="exact"/>
        <w:ind w:firstLine="420" w:firstLineChars="200"/>
        <w:rPr>
          <w:rFonts w:hint="eastAsia" w:ascii="宋体" w:hAnsi="宋体" w:cs="宋体"/>
          <w:szCs w:val="21"/>
        </w:rPr>
      </w:pPr>
      <w:r>
        <w:rPr>
          <w:rFonts w:hint="eastAsia" w:ascii="宋体" w:hAnsi="宋体" w:cs="宋体"/>
          <w:szCs w:val="21"/>
        </w:rPr>
        <w:t xml:space="preserve">（三）配合公安机关、院方保卫科做好信息的收集工作，防止各类敌对势力的破坏和渗透，对发现的可疑情况和线索应及时向院方保卫科报告。 </w:t>
      </w:r>
    </w:p>
    <w:p>
      <w:pPr>
        <w:spacing w:line="400" w:lineRule="exact"/>
        <w:ind w:firstLine="420" w:firstLineChars="200"/>
        <w:rPr>
          <w:rFonts w:hint="eastAsia" w:ascii="宋体" w:hAnsi="宋体" w:cs="宋体"/>
          <w:szCs w:val="21"/>
        </w:rPr>
      </w:pPr>
      <w:r>
        <w:rPr>
          <w:rFonts w:hint="eastAsia" w:ascii="宋体" w:hAnsi="宋体" w:cs="宋体"/>
          <w:szCs w:val="21"/>
        </w:rPr>
        <w:t>（四）组织人员对院内安全存在的隐患进行查找，及时报告不安全因素，并配合院方院卫科进行整改。</w:t>
      </w:r>
    </w:p>
    <w:p>
      <w:pPr>
        <w:spacing w:line="400" w:lineRule="exact"/>
        <w:ind w:firstLine="420" w:firstLineChars="200"/>
        <w:rPr>
          <w:rFonts w:hint="eastAsia" w:ascii="宋体" w:hAnsi="宋体" w:cs="宋体"/>
          <w:szCs w:val="21"/>
        </w:rPr>
      </w:pPr>
      <w:r>
        <w:rPr>
          <w:rFonts w:hint="eastAsia" w:ascii="宋体" w:hAnsi="宋体" w:cs="宋体"/>
          <w:szCs w:val="21"/>
        </w:rPr>
        <w:t>（五）全体保安员均为义务消防员，服务方应对保安员进行岗前培训，特别是消防技能的培训，使保安员具有一定的业务素质，消防监控室值班人员应按消防法规要求持有国家级建（构）筑物消防员证。</w:t>
      </w:r>
    </w:p>
    <w:p>
      <w:pPr>
        <w:spacing w:line="400" w:lineRule="exact"/>
        <w:ind w:firstLine="420" w:firstLineChars="200"/>
        <w:rPr>
          <w:rFonts w:hint="eastAsia" w:ascii="宋体" w:hAnsi="宋体" w:cs="宋体"/>
          <w:szCs w:val="21"/>
        </w:rPr>
      </w:pPr>
      <w:r>
        <w:rPr>
          <w:rFonts w:hint="eastAsia" w:ascii="宋体" w:hAnsi="宋体" w:cs="宋体"/>
          <w:szCs w:val="21"/>
        </w:rPr>
        <w:t xml:space="preserve">（六）全体保安员均为应急救援队员，服务方应对保安员进行培训，特别是快速反应应急救援培训和成人CPR技能培训并有考核记录，当发生火灾、恶性治安案件、重大疫情应急病区的警戒及其它自燃灾害突发事件时，3分钟内须有保安员赶到现场掌控局面，5—10分钟之内须派出足够人手参加救援。 </w:t>
      </w:r>
    </w:p>
    <w:p>
      <w:pPr>
        <w:spacing w:line="400" w:lineRule="exact"/>
        <w:ind w:firstLine="420" w:firstLineChars="200"/>
        <w:rPr>
          <w:rFonts w:hint="eastAsia" w:ascii="宋体" w:hAnsi="宋体" w:cs="宋体"/>
          <w:szCs w:val="21"/>
        </w:rPr>
      </w:pPr>
      <w:r>
        <w:rPr>
          <w:rFonts w:hint="eastAsia" w:ascii="宋体" w:hAnsi="宋体" w:cs="宋体"/>
          <w:szCs w:val="21"/>
        </w:rPr>
        <w:t>（七）服务方建立完善的各项应急救援方案（火警、爆炸、投毒、群体性事件、其它破坏、盗窃、电梯困人解救等），并根据突发治安事件的规模和严重程度、事发时间（白天和夜间）制定大、中、小型突发治安事件应急保卫小组的组织方式或应急预案启动方法、处理流程等并按要求进行演练，确保各类突发事件得到快速、妥善处理。防止院方区域内重大火灾、治安、交通、刑事等事件发生。</w:t>
      </w:r>
    </w:p>
    <w:p>
      <w:pPr>
        <w:spacing w:line="400" w:lineRule="exact"/>
        <w:ind w:firstLine="420" w:firstLineChars="200"/>
        <w:rPr>
          <w:rFonts w:hint="eastAsia" w:ascii="宋体" w:hAnsi="宋体" w:cs="宋体"/>
          <w:szCs w:val="21"/>
        </w:rPr>
      </w:pPr>
      <w:r>
        <w:rPr>
          <w:rFonts w:hint="eastAsia" w:ascii="宋体" w:hAnsi="宋体" w:cs="宋体"/>
          <w:szCs w:val="21"/>
        </w:rPr>
        <w:t>（八）服务方应建立完善的管理制度。包括保安队管理制度、接报警制度、重要人员及重要目标警卫制度、门卫值班制度、闭路电视监控管理制度、消防管理制度、车辆管理制度、值班巡逻制度、放行制度、交接班制度、奖惩制度、培训制度、 值班室管理制度、会议制度、安全汇报制度及向院方保卫科提供一份详细年度计划。</w:t>
      </w:r>
    </w:p>
    <w:p>
      <w:pPr>
        <w:spacing w:line="400" w:lineRule="exact"/>
        <w:ind w:firstLine="420" w:firstLineChars="200"/>
        <w:rPr>
          <w:rFonts w:hint="eastAsia" w:ascii="宋体" w:hAnsi="宋体" w:cs="宋体"/>
          <w:szCs w:val="21"/>
        </w:rPr>
      </w:pPr>
      <w:r>
        <w:rPr>
          <w:rFonts w:hint="eastAsia" w:ascii="宋体" w:hAnsi="宋体" w:cs="宋体"/>
          <w:szCs w:val="21"/>
        </w:rPr>
        <w:t>（九）服务方应按要求派出经国家级消防培训合格的专人在消防、安防监控室实行24小时值班，严密监控，发现情况立即报告和处理并做好登记，本岗位人员未经院方许可不得随意更换。</w:t>
      </w:r>
    </w:p>
    <w:p>
      <w:pPr>
        <w:spacing w:line="400" w:lineRule="exact"/>
        <w:ind w:firstLine="420" w:firstLineChars="200"/>
        <w:rPr>
          <w:rFonts w:hint="eastAsia" w:ascii="宋体" w:hAnsi="宋体" w:cs="宋体"/>
          <w:szCs w:val="21"/>
        </w:rPr>
      </w:pPr>
      <w:r>
        <w:rPr>
          <w:rFonts w:hint="eastAsia" w:ascii="宋体" w:hAnsi="宋体" w:cs="宋体"/>
          <w:szCs w:val="21"/>
        </w:rPr>
        <w:t>（十）保安员应熟悉院方整体地理环境及监控范围，熟练操作、维护使用监控系统设备。</w:t>
      </w:r>
    </w:p>
    <w:p>
      <w:pPr>
        <w:spacing w:line="400" w:lineRule="exact"/>
        <w:ind w:firstLine="420" w:firstLineChars="200"/>
        <w:rPr>
          <w:rFonts w:hint="eastAsia" w:ascii="宋体" w:hAnsi="宋体" w:cs="宋体"/>
          <w:szCs w:val="21"/>
        </w:rPr>
      </w:pPr>
      <w:r>
        <w:rPr>
          <w:rFonts w:hint="eastAsia" w:ascii="宋体" w:hAnsi="宋体" w:cs="宋体"/>
          <w:szCs w:val="21"/>
        </w:rPr>
        <w:t>（十一）积极配合院方做好与安全相关的宣传工作(服务公司必须保证每年有二次对甲方开展安全宣传教育的活动)。</w:t>
      </w:r>
    </w:p>
    <w:p>
      <w:pPr>
        <w:spacing w:line="400" w:lineRule="exact"/>
        <w:ind w:firstLine="420" w:firstLineChars="200"/>
        <w:rPr>
          <w:rFonts w:hint="eastAsia" w:ascii="宋体" w:hAnsi="宋体" w:cs="宋体"/>
          <w:szCs w:val="21"/>
        </w:rPr>
      </w:pPr>
      <w:r>
        <w:rPr>
          <w:rFonts w:hint="eastAsia" w:ascii="宋体" w:hAnsi="宋体" w:cs="宋体"/>
          <w:szCs w:val="21"/>
        </w:rPr>
        <w:t>（十二）服务方每周把院方所发生的一些重要情况如实以书面形式汇报到院方保卫科，每月、季度、半年、年终分别做好事件记录及总结，并交到甲方保卫科备案。</w:t>
      </w:r>
    </w:p>
    <w:p>
      <w:pPr>
        <w:spacing w:line="400" w:lineRule="exact"/>
        <w:ind w:firstLine="420" w:firstLineChars="200"/>
        <w:rPr>
          <w:rFonts w:hint="eastAsia" w:ascii="宋体" w:hAnsi="宋体" w:cs="宋体"/>
          <w:szCs w:val="21"/>
        </w:rPr>
      </w:pPr>
      <w:r>
        <w:rPr>
          <w:rFonts w:hint="eastAsia" w:ascii="宋体" w:hAnsi="宋体" w:cs="宋体"/>
          <w:szCs w:val="21"/>
        </w:rPr>
        <w:t>（十三）具体岗位设置由院方最后确定。岗位一经确定，服务方应按时按量安排保安完成任务，不得随意减少岗位，因服务改造和岗位调整，院方可根据岗位实际需要在允许的范围内增减保安员数量，每个保安员增减的服务费用按中标单位的中标价计算。其他临时性任务，服务方应根据院方保卫科需要派人完成，院方不再另行支付费用。</w:t>
      </w:r>
    </w:p>
    <w:p>
      <w:pPr>
        <w:spacing w:line="400" w:lineRule="exact"/>
        <w:ind w:firstLine="422" w:firstLineChars="200"/>
        <w:rPr>
          <w:rFonts w:hint="eastAsia" w:ascii="宋体" w:hAnsi="宋体" w:cs="宋体"/>
          <w:b/>
          <w:bCs/>
          <w:szCs w:val="21"/>
        </w:rPr>
      </w:pPr>
      <w:r>
        <w:rPr>
          <w:rFonts w:hint="eastAsia" w:ascii="宋体" w:hAnsi="宋体" w:cs="宋体"/>
          <w:b/>
          <w:bCs/>
          <w:szCs w:val="21"/>
        </w:rPr>
        <w:t>九、服务质量监控</w:t>
      </w:r>
    </w:p>
    <w:p>
      <w:pPr>
        <w:spacing w:line="400" w:lineRule="exact"/>
        <w:ind w:firstLine="420" w:firstLineChars="200"/>
        <w:rPr>
          <w:rFonts w:hint="eastAsia" w:ascii="宋体" w:hAnsi="宋体" w:cs="宋体"/>
          <w:szCs w:val="21"/>
        </w:rPr>
      </w:pPr>
      <w:r>
        <w:rPr>
          <w:rFonts w:hint="eastAsia" w:ascii="宋体" w:hAnsi="宋体" w:cs="宋体"/>
          <w:szCs w:val="21"/>
        </w:rPr>
        <w:t>（一）管理服务总体目标监控</w:t>
      </w:r>
    </w:p>
    <w:p>
      <w:pPr>
        <w:spacing w:line="400" w:lineRule="exact"/>
        <w:ind w:firstLine="420" w:firstLineChars="200"/>
        <w:rPr>
          <w:rFonts w:hint="eastAsia" w:ascii="宋体" w:hAnsi="宋体" w:cs="宋体"/>
          <w:szCs w:val="21"/>
        </w:rPr>
      </w:pPr>
      <w:r>
        <w:rPr>
          <w:rFonts w:hint="eastAsia" w:ascii="宋体" w:hAnsi="宋体" w:cs="宋体"/>
          <w:szCs w:val="21"/>
        </w:rPr>
        <w:t>1．树立服务第一的思想，为院方创造安全、舒适、文明的医疗环境及居住环境。</w:t>
      </w:r>
    </w:p>
    <w:p>
      <w:pPr>
        <w:spacing w:line="400" w:lineRule="exact"/>
        <w:ind w:firstLine="420" w:firstLineChars="200"/>
        <w:rPr>
          <w:rFonts w:ascii="宋体" w:hAnsi="宋体" w:cs="宋体"/>
          <w:szCs w:val="21"/>
        </w:rPr>
      </w:pPr>
      <w:r>
        <w:rPr>
          <w:rFonts w:hint="eastAsia" w:ascii="宋体" w:hAnsi="宋体" w:cs="宋体"/>
          <w:szCs w:val="21"/>
        </w:rPr>
        <w:t>2．实行优质服务，优质管理，为院方提供礼貌、主动、热情、周到的服务，最大限度满足其服务要求。院方成立本项目质量管理小组，每季度组织由服务方参与的服务满意度调查，向院方职工随机发放80 份调查表（保安服务满意调查表），调查表回收率达到90 %以上（含90 %），调查满意度达85%以上（含85%），不扣服务费；服务方在履行合同中出现满意度在80%-85%（含80%），扣服务费1000元；服务方在履行合同中凡出现满意度在79%以下（含79%），扣服务费2000元。如果扣服务费现象累计发生3次以上，由保安公司查找原因并拿出整改措施。</w:t>
      </w:r>
    </w:p>
    <w:p>
      <w:pPr>
        <w:spacing w:line="400" w:lineRule="exact"/>
        <w:ind w:firstLine="420" w:firstLineChars="200"/>
        <w:rPr>
          <w:rFonts w:hint="eastAsia" w:ascii="宋体" w:hAnsi="宋体" w:cs="宋体"/>
          <w:szCs w:val="21"/>
        </w:rPr>
      </w:pPr>
      <w:r>
        <w:rPr>
          <w:rFonts w:hint="eastAsia" w:ascii="宋体" w:hAnsi="宋体" w:cs="宋体"/>
          <w:szCs w:val="21"/>
        </w:rPr>
        <w:t>3．服务方对突发事件处理的及时率为100%，接报警处理率达100%，回复率达100%。</w:t>
      </w:r>
    </w:p>
    <w:p>
      <w:pPr>
        <w:spacing w:line="400" w:lineRule="exact"/>
        <w:ind w:firstLine="420" w:firstLineChars="200"/>
        <w:rPr>
          <w:rFonts w:hint="eastAsia" w:ascii="宋体" w:hAnsi="宋体" w:cs="宋体"/>
          <w:szCs w:val="21"/>
        </w:rPr>
      </w:pPr>
      <w:r>
        <w:rPr>
          <w:rFonts w:hint="eastAsia" w:ascii="宋体" w:hAnsi="宋体" w:cs="宋体"/>
          <w:szCs w:val="21"/>
        </w:rPr>
        <w:t>4．院方质量管理小组每月对服务方的服务质量按《舟山市中医院保安服务质量考核表》进行考核，考评结果与保安服务费挂钩，具体考核如下：</w:t>
      </w:r>
    </w:p>
    <w:p>
      <w:pPr>
        <w:spacing w:line="400" w:lineRule="exact"/>
        <w:ind w:firstLine="420" w:firstLineChars="200"/>
        <w:rPr>
          <w:rFonts w:hint="eastAsia" w:ascii="宋体" w:hAnsi="宋体" w:cs="宋体"/>
          <w:szCs w:val="21"/>
        </w:rPr>
      </w:pPr>
      <w:r>
        <w:rPr>
          <w:rFonts w:hint="eastAsia" w:ascii="宋体" w:hAnsi="宋体" w:cs="宋体"/>
          <w:szCs w:val="21"/>
        </w:rPr>
        <w:t>（1）得分85≥分的，免扣；</w:t>
      </w:r>
    </w:p>
    <w:p>
      <w:pPr>
        <w:spacing w:line="400" w:lineRule="exact"/>
        <w:ind w:firstLine="420" w:firstLineChars="200"/>
        <w:rPr>
          <w:rFonts w:hint="eastAsia" w:ascii="宋体" w:hAnsi="宋体" w:cs="宋体"/>
          <w:szCs w:val="21"/>
        </w:rPr>
      </w:pPr>
      <w:r>
        <w:rPr>
          <w:rFonts w:hint="eastAsia" w:ascii="宋体" w:hAnsi="宋体" w:cs="宋体"/>
          <w:szCs w:val="21"/>
        </w:rPr>
        <w:t>（2）80≥得分＜85分的，扣下月保安服务费的1%；</w:t>
      </w:r>
    </w:p>
    <w:p>
      <w:pPr>
        <w:spacing w:line="400" w:lineRule="exact"/>
        <w:ind w:firstLine="420" w:firstLineChars="200"/>
        <w:rPr>
          <w:rFonts w:hint="eastAsia" w:ascii="宋体" w:hAnsi="宋体" w:cs="宋体"/>
          <w:szCs w:val="21"/>
        </w:rPr>
      </w:pPr>
      <w:r>
        <w:rPr>
          <w:rFonts w:hint="eastAsia" w:ascii="宋体" w:hAnsi="宋体" w:cs="宋体"/>
          <w:szCs w:val="21"/>
        </w:rPr>
        <w:t>（3）75≥得分＜80分的，扣下月保安服务费的3%；</w:t>
      </w:r>
    </w:p>
    <w:p>
      <w:pPr>
        <w:spacing w:line="400" w:lineRule="exact"/>
        <w:ind w:firstLine="420" w:firstLineChars="200"/>
        <w:rPr>
          <w:rFonts w:hint="eastAsia" w:ascii="宋体" w:hAnsi="宋体" w:cs="宋体"/>
          <w:szCs w:val="21"/>
        </w:rPr>
      </w:pPr>
      <w:r>
        <w:rPr>
          <w:rFonts w:hint="eastAsia" w:ascii="宋体" w:hAnsi="宋体" w:cs="宋体"/>
          <w:szCs w:val="21"/>
        </w:rPr>
        <w:t>（4）得分＜75分的，警告，扣下月保安服务费的5%。</w:t>
      </w:r>
    </w:p>
    <w:p>
      <w:pPr>
        <w:spacing w:line="400" w:lineRule="exact"/>
        <w:ind w:firstLine="420" w:firstLineChars="200"/>
        <w:rPr>
          <w:rFonts w:hint="eastAsia" w:ascii="宋体" w:hAnsi="宋体" w:cs="宋体"/>
          <w:szCs w:val="21"/>
        </w:rPr>
      </w:pPr>
      <w:r>
        <w:rPr>
          <w:rFonts w:hint="eastAsia" w:ascii="宋体" w:hAnsi="宋体" w:cs="宋体"/>
          <w:szCs w:val="21"/>
        </w:rPr>
        <w:t>5．服务方必须保证派驻保安员的稳定性，如保安员有调离或离职，调离或离职人员离开之前，跟班人员必须有跟班熟悉时间。</w:t>
      </w:r>
    </w:p>
    <w:p>
      <w:pPr>
        <w:spacing w:line="400" w:lineRule="exact"/>
        <w:ind w:firstLine="420" w:firstLineChars="200"/>
        <w:rPr>
          <w:rFonts w:hint="eastAsia" w:ascii="宋体" w:hAnsi="宋体" w:cs="宋体"/>
          <w:szCs w:val="21"/>
        </w:rPr>
      </w:pPr>
      <w:r>
        <w:rPr>
          <w:rFonts w:hint="eastAsia" w:ascii="宋体" w:hAnsi="宋体" w:cs="宋体"/>
          <w:szCs w:val="21"/>
        </w:rPr>
        <w:t>（二）管理服务责任与监控方式</w:t>
      </w:r>
    </w:p>
    <w:p>
      <w:pPr>
        <w:spacing w:line="400" w:lineRule="exact"/>
        <w:ind w:firstLine="420" w:firstLineChars="200"/>
        <w:rPr>
          <w:rFonts w:hint="eastAsia" w:ascii="宋体" w:hAnsi="宋体" w:cs="宋体"/>
          <w:szCs w:val="21"/>
        </w:rPr>
      </w:pPr>
      <w:r>
        <w:rPr>
          <w:rFonts w:hint="eastAsia" w:ascii="宋体" w:hAnsi="宋体" w:cs="宋体"/>
          <w:szCs w:val="21"/>
        </w:rPr>
        <w:t>1．由院方保卫科对服务方的工作进行监督检查和协调沟通。</w:t>
      </w:r>
    </w:p>
    <w:p>
      <w:pPr>
        <w:spacing w:line="400" w:lineRule="exact"/>
        <w:ind w:firstLine="420" w:firstLineChars="200"/>
        <w:rPr>
          <w:rFonts w:hint="eastAsia" w:ascii="宋体" w:hAnsi="宋体" w:cs="宋体"/>
          <w:szCs w:val="21"/>
        </w:rPr>
      </w:pPr>
      <w:r>
        <w:rPr>
          <w:rFonts w:hint="eastAsia" w:ascii="宋体" w:hAnsi="宋体" w:cs="宋体"/>
          <w:szCs w:val="21"/>
        </w:rPr>
        <w:t>2．服务方项目经理需主动与院方保卫科联络，定时征求意见并改进工作。</w:t>
      </w:r>
    </w:p>
    <w:p>
      <w:pPr>
        <w:spacing w:line="400" w:lineRule="exact"/>
        <w:ind w:firstLine="420" w:firstLineChars="200"/>
        <w:rPr>
          <w:rFonts w:hint="eastAsia" w:ascii="宋体" w:hAnsi="宋体" w:cs="宋体"/>
          <w:szCs w:val="21"/>
        </w:rPr>
      </w:pPr>
      <w:r>
        <w:rPr>
          <w:rFonts w:hint="eastAsia" w:ascii="宋体" w:hAnsi="宋体" w:cs="宋体"/>
          <w:szCs w:val="21"/>
        </w:rPr>
        <w:t>3．如院方范围内发生公有财物被盗案件，系由于服务方保安员失职、渎职所造成的，服务方须赔偿相应损失。</w:t>
      </w:r>
    </w:p>
    <w:p>
      <w:pPr>
        <w:spacing w:line="400" w:lineRule="exact"/>
        <w:ind w:firstLine="420" w:firstLineChars="200"/>
        <w:rPr>
          <w:rFonts w:hint="eastAsia" w:ascii="宋体" w:hAnsi="宋体" w:cs="宋体"/>
          <w:b/>
          <w:bCs/>
          <w:szCs w:val="21"/>
        </w:rPr>
      </w:pPr>
      <w:r>
        <w:rPr>
          <w:rFonts w:hint="eastAsia" w:ascii="宋体" w:hAnsi="宋体" w:cs="宋体"/>
          <w:szCs w:val="21"/>
        </w:rPr>
        <w:t>4）院方工作人员、住院病人、就医者人身伤亡和财产损失是由于服务方监管不力造成的，如果损失人提出赔偿而且经公安、司法程序确定或其它相关法律规定必须承担相应责任或作出赔偿的，由服务方承担相应责任和负责赔偿。</w:t>
      </w:r>
    </w:p>
    <w:p>
      <w:pPr>
        <w:spacing w:line="400" w:lineRule="exact"/>
        <w:ind w:firstLine="422" w:firstLineChars="200"/>
        <w:rPr>
          <w:rFonts w:hint="eastAsia" w:ascii="宋体" w:hAnsi="宋体" w:cs="宋体"/>
          <w:b/>
          <w:bCs/>
          <w:szCs w:val="21"/>
        </w:rPr>
      </w:pPr>
      <w:r>
        <w:rPr>
          <w:rFonts w:hint="eastAsia" w:ascii="宋体" w:hAnsi="宋体" w:cs="宋体"/>
          <w:b/>
          <w:bCs/>
          <w:szCs w:val="21"/>
        </w:rPr>
        <w:t>十、其他事项</w:t>
      </w:r>
    </w:p>
    <w:p>
      <w:pPr>
        <w:spacing w:line="400" w:lineRule="exact"/>
        <w:ind w:firstLine="420" w:firstLineChars="200"/>
        <w:rPr>
          <w:rFonts w:hint="eastAsia" w:ascii="宋体" w:hAnsi="宋体" w:cs="宋体"/>
          <w:szCs w:val="21"/>
        </w:rPr>
      </w:pPr>
      <w:r>
        <w:rPr>
          <w:rFonts w:hint="eastAsia" w:ascii="宋体" w:hAnsi="宋体" w:cs="宋体"/>
          <w:szCs w:val="21"/>
        </w:rPr>
        <w:t>（一）服务方应严格执行《中华人民共和国劳动合同法》和地方有关劳动用工的相关法规，承担所录用保安员的工资和社会保险等费用，否则由此引发的劳动纠纷由服务方承担，院方不承担连带关系和责任。保安员发生违法行为的，由服务方自行解决并承担所有责任。</w:t>
      </w:r>
    </w:p>
    <w:p>
      <w:pPr>
        <w:spacing w:line="400" w:lineRule="exact"/>
        <w:ind w:firstLine="420" w:firstLineChars="200"/>
        <w:rPr>
          <w:rFonts w:hint="eastAsia" w:ascii="宋体" w:hAnsi="宋体" w:cs="宋体"/>
          <w:szCs w:val="21"/>
        </w:rPr>
      </w:pPr>
      <w:r>
        <w:rPr>
          <w:rFonts w:hint="eastAsia" w:ascii="宋体" w:hAnsi="宋体" w:cs="宋体"/>
          <w:szCs w:val="21"/>
        </w:rPr>
        <w:t>（二）建议服务方对院方现有保安员优先录用，以保持工作的延续性和工作质量，同时，给予相宜的待遇，保持稳定。</w:t>
      </w:r>
    </w:p>
    <w:p>
      <w:pPr>
        <w:spacing w:line="400" w:lineRule="exact"/>
        <w:ind w:firstLine="420" w:firstLineChars="200"/>
        <w:rPr>
          <w:rFonts w:hint="eastAsia" w:ascii="宋体" w:hAnsi="宋体" w:cs="宋体"/>
          <w:szCs w:val="21"/>
        </w:rPr>
      </w:pPr>
      <w:r>
        <w:rPr>
          <w:rFonts w:hint="eastAsia" w:ascii="宋体" w:hAnsi="宋体" w:cs="宋体"/>
          <w:szCs w:val="21"/>
        </w:rPr>
        <w:t>（三）服务方不得将委托管理项目转包给第三方管理，不允许分包或转包管理责任和管理事宜。</w:t>
      </w:r>
    </w:p>
    <w:p>
      <w:pPr>
        <w:spacing w:line="400" w:lineRule="exact"/>
        <w:ind w:firstLine="420" w:firstLineChars="200"/>
        <w:rPr>
          <w:rFonts w:hint="eastAsia" w:ascii="宋体" w:hAnsi="宋体" w:cs="宋体"/>
          <w:szCs w:val="21"/>
        </w:rPr>
      </w:pPr>
      <w:r>
        <w:rPr>
          <w:rFonts w:hint="eastAsia" w:ascii="宋体" w:hAnsi="宋体" w:cs="宋体"/>
          <w:szCs w:val="21"/>
        </w:rPr>
        <w:t>（四）院方如有重要检查、重要嘉宾参观以及其它重要活动时提前通知，服务方应根据院方保卫科要求加强保安服务。若遇火警、水灾、台风暴雨等特殊情况，要立即组织应急小组配合院方进行抢险。</w:t>
      </w:r>
    </w:p>
    <w:p>
      <w:pPr>
        <w:spacing w:line="400" w:lineRule="exact"/>
        <w:ind w:firstLine="420" w:firstLineChars="200"/>
        <w:rPr>
          <w:rFonts w:hint="eastAsia" w:ascii="宋体" w:hAnsi="宋体" w:cs="宋体"/>
          <w:szCs w:val="21"/>
        </w:rPr>
      </w:pPr>
      <w:r>
        <w:rPr>
          <w:rFonts w:hint="eastAsia" w:ascii="宋体" w:hAnsi="宋体" w:cs="宋体"/>
          <w:szCs w:val="21"/>
        </w:rPr>
        <w:t>（五）院方协助服务方对保安员进行工作所需疾病预防知识的培训和服务指导。</w:t>
      </w:r>
    </w:p>
    <w:p>
      <w:pPr>
        <w:spacing w:line="400" w:lineRule="exact"/>
        <w:ind w:firstLine="420" w:firstLineChars="200"/>
        <w:rPr>
          <w:rFonts w:hint="eastAsia" w:ascii="宋体" w:hAnsi="宋体" w:cs="宋体"/>
          <w:szCs w:val="21"/>
        </w:rPr>
      </w:pPr>
      <w:r>
        <w:rPr>
          <w:rFonts w:hint="eastAsia" w:ascii="宋体" w:hAnsi="宋体" w:cs="宋体"/>
          <w:szCs w:val="21"/>
        </w:rPr>
        <w:t>（六）服务方在院方现有保卫科办公场所设立保安部办公室（以后由医院解决）。</w:t>
      </w:r>
    </w:p>
    <w:p>
      <w:pPr>
        <w:spacing w:line="400" w:lineRule="exact"/>
        <w:ind w:firstLine="420" w:firstLineChars="200"/>
        <w:rPr>
          <w:rFonts w:hint="eastAsia" w:ascii="宋体" w:hAnsi="宋体" w:cs="宋体"/>
          <w:szCs w:val="21"/>
        </w:rPr>
      </w:pPr>
      <w:r>
        <w:rPr>
          <w:rFonts w:hint="eastAsia" w:ascii="宋体" w:hAnsi="宋体" w:cs="宋体"/>
          <w:szCs w:val="21"/>
        </w:rPr>
        <w:t>（七）院方为服务方提供应急分队值班室（水电费由院方承担），保安员自行解决饮食及生活用品。</w:t>
      </w:r>
    </w:p>
    <w:p>
      <w:pPr>
        <w:spacing w:line="400" w:lineRule="exact"/>
        <w:ind w:firstLine="420" w:firstLineChars="200"/>
        <w:rPr>
          <w:rFonts w:hint="eastAsia" w:ascii="宋体" w:hAnsi="宋体" w:cs="宋体"/>
          <w:szCs w:val="21"/>
        </w:rPr>
      </w:pPr>
      <w:r>
        <w:rPr>
          <w:rFonts w:hint="eastAsia" w:ascii="宋体" w:hAnsi="宋体" w:cs="宋体"/>
          <w:szCs w:val="21"/>
        </w:rPr>
        <w:t>（八）服务方对驻守的保安人员调整，需提前通知院方保卫科部门，若未征得院方同意，随意调动派驻在院方的保安人员，按当月服务费0.5%扣罚。</w:t>
      </w:r>
    </w:p>
    <w:p>
      <w:pPr>
        <w:spacing w:line="400" w:lineRule="exact"/>
        <w:ind w:firstLine="420" w:firstLineChars="200"/>
        <w:rPr>
          <w:rFonts w:hint="eastAsia" w:ascii="宋体" w:hAnsi="宋体" w:cs="宋体"/>
          <w:b/>
          <w:bCs/>
          <w:szCs w:val="21"/>
        </w:rPr>
      </w:pPr>
      <w:r>
        <w:rPr>
          <w:rFonts w:hint="eastAsia" w:ascii="宋体" w:hAnsi="宋体" w:cs="宋体"/>
          <w:szCs w:val="21"/>
        </w:rPr>
        <w:t>（九）服务方所雇用的保安员基本工资不能低于舟山市规定的最低工资标准。服务方必须承诺不能发生拖欠员工工资的问题，一经发现，院方有权解除合同。</w:t>
      </w:r>
    </w:p>
    <w:p>
      <w:pPr>
        <w:adjustRightInd w:val="0"/>
        <w:snapToGrid w:val="0"/>
        <w:spacing w:line="400" w:lineRule="exact"/>
        <w:ind w:firstLine="422" w:firstLineChars="200"/>
        <w:textAlignment w:val="baseline"/>
        <w:rPr>
          <w:rFonts w:hint="eastAsia" w:ascii="宋体" w:hAnsi="宋体" w:cs="宋体"/>
          <w:b/>
          <w:bCs/>
          <w:szCs w:val="21"/>
        </w:rPr>
      </w:pPr>
      <w:bookmarkStart w:id="52" w:name="_Toc300671309"/>
      <w:r>
        <w:rPr>
          <w:rFonts w:hint="eastAsia" w:ascii="宋体" w:hAnsi="宋体" w:cs="宋体"/>
          <w:b/>
          <w:bCs/>
          <w:szCs w:val="21"/>
        </w:rPr>
        <w:t>十一、履约保证金</w:t>
      </w:r>
      <w:bookmarkEnd w:id="52"/>
    </w:p>
    <w:p>
      <w:pPr>
        <w:spacing w:line="400" w:lineRule="exact"/>
        <w:ind w:firstLine="420" w:firstLineChars="200"/>
        <w:rPr>
          <w:rFonts w:hint="eastAsia" w:ascii="宋体" w:hAnsi="宋体" w:cs="宋体"/>
          <w:szCs w:val="21"/>
        </w:rPr>
      </w:pPr>
      <w:r>
        <w:rPr>
          <w:rFonts w:hint="eastAsia" w:ascii="宋体" w:hAnsi="宋体" w:cs="宋体"/>
          <w:szCs w:val="21"/>
        </w:rPr>
        <w:t>（一）服务方应在合同签订后5个工作日内，向院方交付合同服务费总金额的2%作为履约保证金，履约保证金</w:t>
      </w:r>
      <w:r>
        <w:rPr>
          <w:rFonts w:hint="eastAsia" w:ascii="宋体" w:hAnsi="宋体" w:cs="宋体"/>
        </w:rPr>
        <w:t>接受以电汇、支票</w:t>
      </w:r>
      <w:r>
        <w:rPr>
          <w:rFonts w:hint="eastAsia" w:ascii="宋体" w:hAnsi="宋体"/>
          <w:szCs w:val="21"/>
          <w:lang w:val="zh-CN"/>
        </w:rPr>
        <w:t>（仅限于使用舟山大市区范围内的银行开具的支票）</w:t>
      </w:r>
      <w:r>
        <w:rPr>
          <w:rFonts w:hint="eastAsia" w:ascii="宋体" w:hAnsi="宋体" w:cs="宋体"/>
        </w:rPr>
        <w:t>、转账、银行或保险公司出具履约保函形式</w:t>
      </w:r>
      <w:r>
        <w:rPr>
          <w:rFonts w:hint="eastAsia" w:ascii="宋体" w:hAnsi="宋体" w:cs="宋体"/>
          <w:szCs w:val="21"/>
        </w:rPr>
        <w:t>提交。</w:t>
      </w:r>
    </w:p>
    <w:p>
      <w:pPr>
        <w:spacing w:line="400" w:lineRule="exact"/>
        <w:ind w:firstLine="420" w:firstLineChars="200"/>
        <w:rPr>
          <w:rFonts w:hint="eastAsia" w:ascii="宋体" w:hAnsi="宋体" w:cs="宋体"/>
          <w:szCs w:val="21"/>
        </w:rPr>
      </w:pPr>
      <w:r>
        <w:rPr>
          <w:rFonts w:hint="eastAsia" w:ascii="宋体" w:hAnsi="宋体" w:cs="宋体"/>
          <w:szCs w:val="21"/>
        </w:rPr>
        <w:t>（二）若服务方在签订合同后,开始保安服务之日起30日内未向医院所在地的公安机关备案，院方有权终止合同。</w:t>
      </w:r>
    </w:p>
    <w:p>
      <w:pPr>
        <w:spacing w:line="400" w:lineRule="exact"/>
        <w:ind w:firstLine="420" w:firstLineChars="200"/>
        <w:rPr>
          <w:rFonts w:hint="eastAsia" w:ascii="宋体" w:hAnsi="宋体" w:cs="宋体"/>
          <w:szCs w:val="21"/>
        </w:rPr>
      </w:pPr>
      <w:r>
        <w:rPr>
          <w:rFonts w:hint="eastAsia" w:ascii="宋体" w:hAnsi="宋体" w:cs="宋体"/>
          <w:szCs w:val="21"/>
        </w:rPr>
        <w:t>（三）在解除或终止合同时，服务方在办理退场交接手续时必须保证稳定安全交接，如到期后离场产生骚乱的，院方有权没收履约保证金，造成采购人经济或声誉损失的，除没收履约保证金外，院方将追究法律责任。</w:t>
      </w:r>
    </w:p>
    <w:p>
      <w:pPr>
        <w:spacing w:line="400" w:lineRule="exact"/>
        <w:ind w:firstLine="420" w:firstLineChars="200"/>
        <w:rPr>
          <w:rFonts w:hint="eastAsia" w:ascii="宋体" w:hAnsi="宋体" w:cs="宋体"/>
          <w:b/>
          <w:bCs/>
          <w:szCs w:val="21"/>
        </w:rPr>
      </w:pPr>
      <w:r>
        <w:rPr>
          <w:rFonts w:hint="eastAsia" w:ascii="宋体" w:hAnsi="宋体" w:cs="宋体"/>
          <w:szCs w:val="21"/>
        </w:rPr>
        <w:t>（四）若服务方没有违约行为，履约保证金在合同期满，稳定交接后15个工作日内一次性无息返还。</w:t>
      </w:r>
    </w:p>
    <w:p>
      <w:pPr>
        <w:spacing w:line="400" w:lineRule="exact"/>
        <w:outlineLvl w:val="1"/>
        <w:rPr>
          <w:rFonts w:hint="eastAsia" w:ascii="宋体" w:hAnsi="宋体" w:cs="宋体"/>
          <w:b/>
          <w:bCs/>
          <w:szCs w:val="21"/>
        </w:rPr>
      </w:pPr>
    </w:p>
    <w:p>
      <w:pPr>
        <w:spacing w:line="400" w:lineRule="exact"/>
        <w:ind w:firstLine="422" w:firstLineChars="200"/>
        <w:rPr>
          <w:rFonts w:hint="eastAsia" w:ascii="宋体" w:hAnsi="宋体" w:cs="宋体"/>
          <w:b/>
          <w:bCs/>
          <w:szCs w:val="21"/>
        </w:rPr>
      </w:pPr>
      <w:r>
        <w:rPr>
          <w:rFonts w:hint="eastAsia" w:ascii="宋体" w:hAnsi="宋体" w:cs="宋体"/>
          <w:b/>
          <w:bCs/>
          <w:szCs w:val="21"/>
        </w:rPr>
        <w:t>附件：1. 舟山市中医院保安服务质量考核表</w:t>
      </w:r>
    </w:p>
    <w:p>
      <w:pPr>
        <w:spacing w:line="400" w:lineRule="exact"/>
        <w:ind w:firstLine="1054" w:firstLineChars="500"/>
        <w:rPr>
          <w:rFonts w:hint="eastAsia" w:ascii="宋体" w:hAnsi="宋体" w:cs="宋体"/>
          <w:b/>
          <w:bCs/>
          <w:szCs w:val="21"/>
        </w:rPr>
      </w:pPr>
      <w:r>
        <w:rPr>
          <w:rFonts w:hint="eastAsia" w:ascii="宋体" w:hAnsi="宋体" w:cs="宋体"/>
          <w:b/>
          <w:bCs/>
          <w:szCs w:val="21"/>
        </w:rPr>
        <w:t>2．保安服务满意调查表</w:t>
      </w:r>
    </w:p>
    <w:p>
      <w:pPr>
        <w:spacing w:line="400" w:lineRule="exact"/>
        <w:rPr>
          <w:rFonts w:hint="eastAsia" w:ascii="宋体" w:hAnsi="宋体" w:cs="宋体"/>
          <w:b/>
          <w:bCs/>
          <w:szCs w:val="21"/>
        </w:rPr>
      </w:pPr>
    </w:p>
    <w:p>
      <w:pPr>
        <w:spacing w:line="400" w:lineRule="exact"/>
        <w:rPr>
          <w:rFonts w:hint="eastAsia" w:ascii="宋体" w:hAnsi="宋体" w:cs="宋体"/>
          <w:b/>
          <w:bCs/>
          <w:szCs w:val="21"/>
        </w:rPr>
      </w:pPr>
    </w:p>
    <w:p>
      <w:pPr>
        <w:spacing w:line="400" w:lineRule="exact"/>
        <w:rPr>
          <w:rFonts w:hint="eastAsia" w:ascii="宋体" w:hAnsi="宋体" w:cs="宋体"/>
          <w:b/>
          <w:bCs/>
          <w:szCs w:val="21"/>
        </w:rPr>
      </w:pPr>
    </w:p>
    <w:p>
      <w:pPr>
        <w:spacing w:line="400" w:lineRule="exact"/>
        <w:rPr>
          <w:rFonts w:hint="eastAsia" w:ascii="宋体" w:hAnsi="宋体" w:cs="宋体"/>
          <w:b/>
          <w:bCs/>
          <w:szCs w:val="21"/>
        </w:rPr>
      </w:pPr>
    </w:p>
    <w:p>
      <w:pPr>
        <w:spacing w:line="400" w:lineRule="exact"/>
        <w:rPr>
          <w:rFonts w:hint="eastAsia" w:ascii="宋体" w:hAnsi="宋体" w:cs="宋体"/>
          <w:b/>
          <w:bCs/>
          <w:szCs w:val="21"/>
        </w:rPr>
      </w:pPr>
    </w:p>
    <w:p>
      <w:pPr>
        <w:snapToGrid w:val="0"/>
        <w:spacing w:line="400" w:lineRule="exact"/>
        <w:outlineLvl w:val="1"/>
        <w:rPr>
          <w:rFonts w:hint="eastAsia" w:ascii="宋体" w:hAnsi="宋体" w:cs="宋体"/>
          <w:b/>
          <w:bCs/>
          <w:szCs w:val="21"/>
        </w:rPr>
      </w:pPr>
      <w:r>
        <w:rPr>
          <w:rFonts w:hint="eastAsia" w:ascii="宋体" w:hAnsi="宋体" w:cs="宋体"/>
          <w:b/>
          <w:bCs/>
          <w:szCs w:val="21"/>
        </w:rPr>
        <w:t>附件1</w:t>
      </w:r>
    </w:p>
    <w:p>
      <w:pPr>
        <w:snapToGrid w:val="0"/>
        <w:spacing w:line="400" w:lineRule="exact"/>
        <w:jc w:val="center"/>
        <w:outlineLvl w:val="1"/>
        <w:rPr>
          <w:rFonts w:hint="eastAsia" w:ascii="宋体" w:hAnsi="宋体" w:cs="宋体"/>
          <w:b/>
          <w:bCs/>
          <w:szCs w:val="21"/>
        </w:rPr>
      </w:pPr>
      <w:r>
        <w:rPr>
          <w:rFonts w:hint="eastAsia" w:ascii="宋体" w:hAnsi="宋体" w:cs="宋体"/>
          <w:b/>
          <w:bCs/>
          <w:szCs w:val="21"/>
        </w:rPr>
        <w:t>医院保安服务质量考核表</w:t>
      </w:r>
    </w:p>
    <w:tbl>
      <w:tblPr>
        <w:tblStyle w:val="44"/>
        <w:tblW w:w="9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4320"/>
        <w:gridCol w:w="4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blHeader/>
          <w:jc w:val="center"/>
        </w:trPr>
        <w:tc>
          <w:tcPr>
            <w:tcW w:w="677" w:type="dxa"/>
            <w:noWrap w:val="0"/>
            <w:vAlign w:val="center"/>
          </w:tcPr>
          <w:p>
            <w:pPr>
              <w:snapToGrid w:val="0"/>
              <w:spacing w:line="400" w:lineRule="exact"/>
              <w:jc w:val="center"/>
              <w:rPr>
                <w:rFonts w:hint="eastAsia" w:ascii="宋体" w:hAnsi="宋体" w:cs="宋体"/>
                <w:b/>
                <w:bCs/>
                <w:szCs w:val="21"/>
              </w:rPr>
            </w:pPr>
            <w:r>
              <w:rPr>
                <w:rFonts w:hint="eastAsia" w:ascii="宋体" w:hAnsi="宋体" w:cs="宋体"/>
                <w:b/>
                <w:bCs/>
                <w:szCs w:val="21"/>
              </w:rPr>
              <w:t>序号</w:t>
            </w:r>
          </w:p>
        </w:tc>
        <w:tc>
          <w:tcPr>
            <w:tcW w:w="4320" w:type="dxa"/>
            <w:noWrap w:val="0"/>
            <w:vAlign w:val="center"/>
          </w:tcPr>
          <w:p>
            <w:pPr>
              <w:snapToGrid w:val="0"/>
              <w:spacing w:line="400" w:lineRule="exact"/>
              <w:jc w:val="center"/>
              <w:rPr>
                <w:rFonts w:hint="eastAsia" w:ascii="宋体" w:hAnsi="宋体" w:cs="宋体"/>
                <w:b/>
                <w:bCs/>
                <w:szCs w:val="21"/>
              </w:rPr>
            </w:pPr>
            <w:r>
              <w:rPr>
                <w:rFonts w:hint="eastAsia" w:ascii="宋体" w:hAnsi="宋体" w:cs="宋体"/>
                <w:b/>
                <w:bCs/>
                <w:szCs w:val="21"/>
              </w:rPr>
              <w:t>考  核  内  容</w:t>
            </w:r>
          </w:p>
        </w:tc>
        <w:tc>
          <w:tcPr>
            <w:tcW w:w="4302" w:type="dxa"/>
            <w:noWrap w:val="0"/>
            <w:vAlign w:val="center"/>
          </w:tcPr>
          <w:p>
            <w:pPr>
              <w:snapToGrid w:val="0"/>
              <w:spacing w:line="400" w:lineRule="exact"/>
              <w:jc w:val="center"/>
              <w:rPr>
                <w:rFonts w:hint="eastAsia" w:ascii="宋体" w:hAnsi="宋体" w:cs="宋体"/>
                <w:b/>
                <w:bCs/>
                <w:szCs w:val="21"/>
              </w:rPr>
            </w:pPr>
            <w:r>
              <w:rPr>
                <w:rFonts w:hint="eastAsia" w:ascii="宋体" w:hAnsi="宋体" w:cs="宋体"/>
                <w:b/>
                <w:bCs/>
                <w:szCs w:val="21"/>
              </w:rPr>
              <w:t>奖  惩  细  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677" w:type="dxa"/>
            <w:noWrap w:val="0"/>
            <w:vAlign w:val="center"/>
          </w:tcPr>
          <w:p>
            <w:pPr>
              <w:snapToGrid w:val="0"/>
              <w:spacing w:line="400" w:lineRule="exact"/>
              <w:jc w:val="center"/>
              <w:rPr>
                <w:rFonts w:hint="eastAsia" w:ascii="宋体" w:hAnsi="宋体" w:cs="宋体"/>
                <w:b/>
                <w:bCs/>
                <w:szCs w:val="21"/>
              </w:rPr>
            </w:pPr>
            <w:r>
              <w:rPr>
                <w:rFonts w:hint="eastAsia" w:ascii="宋体" w:hAnsi="宋体" w:cs="宋体"/>
                <w:b/>
                <w:bCs/>
                <w:szCs w:val="21"/>
              </w:rPr>
              <w:t>1</w:t>
            </w:r>
          </w:p>
        </w:tc>
        <w:tc>
          <w:tcPr>
            <w:tcW w:w="4320"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对收到表扬信的行为或处理事件得当</w:t>
            </w:r>
          </w:p>
        </w:tc>
        <w:tc>
          <w:tcPr>
            <w:tcW w:w="4302"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每收到用户的表扬信每次加0.5分；每收到医院科室的表扬信每次加1分；每收到当地政府机构的表扬信每次加2分；成功处理特大或紧急事件、为医院挽回重大经济损失和声誉的每次加5-10分。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8" w:hRule="atLeast"/>
          <w:jc w:val="center"/>
        </w:trPr>
        <w:tc>
          <w:tcPr>
            <w:tcW w:w="677" w:type="dxa"/>
            <w:noWrap w:val="0"/>
            <w:vAlign w:val="center"/>
          </w:tcPr>
          <w:p>
            <w:pPr>
              <w:snapToGrid w:val="0"/>
              <w:spacing w:line="400" w:lineRule="exact"/>
              <w:jc w:val="center"/>
              <w:rPr>
                <w:rFonts w:hint="eastAsia" w:ascii="宋体" w:hAnsi="宋体" w:cs="宋体"/>
                <w:b/>
                <w:bCs/>
                <w:szCs w:val="21"/>
              </w:rPr>
            </w:pPr>
            <w:r>
              <w:rPr>
                <w:rFonts w:hint="eastAsia" w:ascii="宋体" w:hAnsi="宋体" w:cs="宋体"/>
                <w:b/>
                <w:bCs/>
                <w:szCs w:val="21"/>
              </w:rPr>
              <w:t>2</w:t>
            </w:r>
          </w:p>
        </w:tc>
        <w:tc>
          <w:tcPr>
            <w:tcW w:w="4320"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一个月内没发现医托、扒手、财物失窃、抢劫及一些治安案件的</w:t>
            </w:r>
          </w:p>
        </w:tc>
        <w:tc>
          <w:tcPr>
            <w:tcW w:w="4302"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加2—3分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677" w:type="dxa"/>
            <w:noWrap w:val="0"/>
            <w:vAlign w:val="center"/>
          </w:tcPr>
          <w:p>
            <w:pPr>
              <w:snapToGrid w:val="0"/>
              <w:spacing w:line="400" w:lineRule="exact"/>
              <w:jc w:val="center"/>
              <w:rPr>
                <w:rFonts w:hint="eastAsia" w:ascii="宋体" w:hAnsi="宋体" w:cs="宋体"/>
                <w:b/>
                <w:bCs/>
                <w:szCs w:val="21"/>
              </w:rPr>
            </w:pPr>
            <w:r>
              <w:rPr>
                <w:rFonts w:hint="eastAsia" w:ascii="宋体" w:hAnsi="宋体" w:cs="宋体"/>
                <w:b/>
                <w:bCs/>
                <w:szCs w:val="21"/>
              </w:rPr>
              <w:t>3</w:t>
            </w:r>
          </w:p>
        </w:tc>
        <w:tc>
          <w:tcPr>
            <w:tcW w:w="4320"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抓获小偷、扒手和恶意破坏秩序者（送***备案为准）</w:t>
            </w:r>
          </w:p>
        </w:tc>
        <w:tc>
          <w:tcPr>
            <w:tcW w:w="4302"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抓获小偷一人加5分，其他每抓获一次加0.5-1分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77" w:type="dxa"/>
            <w:noWrap w:val="0"/>
            <w:vAlign w:val="center"/>
          </w:tcPr>
          <w:p>
            <w:pPr>
              <w:snapToGrid w:val="0"/>
              <w:spacing w:line="400" w:lineRule="exact"/>
              <w:jc w:val="center"/>
              <w:rPr>
                <w:rFonts w:hint="eastAsia" w:ascii="宋体" w:hAnsi="宋体" w:cs="宋体"/>
                <w:b/>
                <w:bCs/>
                <w:szCs w:val="21"/>
              </w:rPr>
            </w:pPr>
            <w:r>
              <w:rPr>
                <w:rFonts w:hint="eastAsia" w:ascii="宋体" w:hAnsi="宋体" w:cs="宋体"/>
                <w:b/>
                <w:bCs/>
                <w:szCs w:val="21"/>
              </w:rPr>
              <w:t>4</w:t>
            </w:r>
          </w:p>
        </w:tc>
        <w:tc>
          <w:tcPr>
            <w:tcW w:w="4320"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出色完成医院交付的任务受到科室或领导表扬的</w:t>
            </w:r>
          </w:p>
        </w:tc>
        <w:tc>
          <w:tcPr>
            <w:tcW w:w="4302"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每次加0.5—2分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677" w:type="dxa"/>
            <w:noWrap w:val="0"/>
            <w:vAlign w:val="center"/>
          </w:tcPr>
          <w:p>
            <w:pPr>
              <w:snapToGrid w:val="0"/>
              <w:spacing w:line="400" w:lineRule="exact"/>
              <w:jc w:val="center"/>
              <w:rPr>
                <w:rFonts w:hint="eastAsia" w:ascii="宋体" w:hAnsi="宋体" w:cs="宋体"/>
                <w:b/>
                <w:bCs/>
                <w:szCs w:val="21"/>
              </w:rPr>
            </w:pPr>
            <w:r>
              <w:rPr>
                <w:rFonts w:hint="eastAsia" w:ascii="宋体" w:hAnsi="宋体" w:cs="宋体"/>
                <w:b/>
                <w:bCs/>
                <w:szCs w:val="21"/>
              </w:rPr>
              <w:t>5</w:t>
            </w:r>
          </w:p>
        </w:tc>
        <w:tc>
          <w:tcPr>
            <w:tcW w:w="4320"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1个月内没受到职工或病人投诉的</w:t>
            </w:r>
          </w:p>
        </w:tc>
        <w:tc>
          <w:tcPr>
            <w:tcW w:w="4302"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加1分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677" w:type="dxa"/>
            <w:noWrap w:val="0"/>
            <w:vAlign w:val="center"/>
          </w:tcPr>
          <w:p>
            <w:pPr>
              <w:snapToGrid w:val="0"/>
              <w:spacing w:line="400" w:lineRule="exact"/>
              <w:jc w:val="center"/>
              <w:rPr>
                <w:rFonts w:hint="eastAsia" w:ascii="宋体" w:hAnsi="宋体" w:cs="宋体"/>
                <w:b/>
                <w:bCs/>
                <w:szCs w:val="21"/>
              </w:rPr>
            </w:pPr>
            <w:r>
              <w:rPr>
                <w:rFonts w:hint="eastAsia" w:ascii="宋体" w:hAnsi="宋体" w:cs="宋体"/>
                <w:b/>
                <w:bCs/>
                <w:szCs w:val="21"/>
              </w:rPr>
              <w:t>6</w:t>
            </w:r>
          </w:p>
        </w:tc>
        <w:tc>
          <w:tcPr>
            <w:tcW w:w="4320"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队、班长指挥得力，队员精神面貌好且工作积极。</w:t>
            </w:r>
          </w:p>
        </w:tc>
        <w:tc>
          <w:tcPr>
            <w:tcW w:w="4302"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每班岗哨加0.5—2分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677" w:type="dxa"/>
            <w:noWrap w:val="0"/>
            <w:vAlign w:val="center"/>
          </w:tcPr>
          <w:p>
            <w:pPr>
              <w:snapToGrid w:val="0"/>
              <w:spacing w:line="400" w:lineRule="exact"/>
              <w:jc w:val="center"/>
              <w:rPr>
                <w:rFonts w:hint="eastAsia" w:ascii="宋体" w:hAnsi="宋体" w:cs="宋体"/>
                <w:b/>
                <w:bCs/>
                <w:szCs w:val="21"/>
              </w:rPr>
            </w:pPr>
            <w:r>
              <w:rPr>
                <w:rFonts w:hint="eastAsia" w:ascii="宋体" w:hAnsi="宋体" w:cs="宋体"/>
                <w:b/>
                <w:bCs/>
                <w:szCs w:val="21"/>
              </w:rPr>
              <w:t>7</w:t>
            </w:r>
          </w:p>
        </w:tc>
        <w:tc>
          <w:tcPr>
            <w:tcW w:w="4320"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制定各岗位的职责和考核制度，并经常性检查监督。</w:t>
            </w:r>
          </w:p>
        </w:tc>
        <w:tc>
          <w:tcPr>
            <w:tcW w:w="4302"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未落实有关责任和考核制度每发现一次扣0.5分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677" w:type="dxa"/>
            <w:noWrap w:val="0"/>
            <w:vAlign w:val="center"/>
          </w:tcPr>
          <w:p>
            <w:pPr>
              <w:snapToGrid w:val="0"/>
              <w:spacing w:line="400" w:lineRule="exact"/>
              <w:jc w:val="center"/>
              <w:rPr>
                <w:rFonts w:hint="eastAsia" w:ascii="宋体" w:hAnsi="宋体" w:cs="宋体"/>
                <w:b/>
                <w:bCs/>
                <w:szCs w:val="21"/>
              </w:rPr>
            </w:pPr>
            <w:r>
              <w:rPr>
                <w:rFonts w:hint="eastAsia" w:ascii="宋体" w:hAnsi="宋体" w:cs="宋体"/>
                <w:b/>
                <w:bCs/>
                <w:szCs w:val="21"/>
              </w:rPr>
              <w:t>8</w:t>
            </w:r>
          </w:p>
        </w:tc>
        <w:tc>
          <w:tcPr>
            <w:tcW w:w="4320"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保安员上班仪容整洁，精神饱满，礼貌执勤，文明服务。</w:t>
            </w:r>
          </w:p>
        </w:tc>
        <w:tc>
          <w:tcPr>
            <w:tcW w:w="4302"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每发现保安仪容不整，每发现一次扣0.2分，每收到礼貌执勤方面投诉经查属实扣0.5分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677" w:type="dxa"/>
            <w:noWrap w:val="0"/>
            <w:vAlign w:val="center"/>
          </w:tcPr>
          <w:p>
            <w:pPr>
              <w:snapToGrid w:val="0"/>
              <w:spacing w:line="400" w:lineRule="exact"/>
              <w:jc w:val="center"/>
              <w:rPr>
                <w:rFonts w:hint="eastAsia" w:ascii="宋体" w:hAnsi="宋体" w:cs="宋体"/>
                <w:b/>
                <w:bCs/>
                <w:szCs w:val="21"/>
              </w:rPr>
            </w:pPr>
            <w:r>
              <w:rPr>
                <w:rFonts w:hint="eastAsia" w:ascii="宋体" w:hAnsi="宋体" w:cs="宋体"/>
                <w:b/>
                <w:bCs/>
                <w:szCs w:val="21"/>
              </w:rPr>
              <w:t>9</w:t>
            </w:r>
          </w:p>
        </w:tc>
        <w:tc>
          <w:tcPr>
            <w:tcW w:w="4320"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制定日常培训计划并落到实处</w:t>
            </w:r>
          </w:p>
        </w:tc>
        <w:tc>
          <w:tcPr>
            <w:tcW w:w="4302"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未进行定期检查或落实，每发现一次扣0.2分。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677" w:type="dxa"/>
            <w:noWrap w:val="0"/>
            <w:vAlign w:val="center"/>
          </w:tcPr>
          <w:p>
            <w:pPr>
              <w:snapToGrid w:val="0"/>
              <w:spacing w:line="400" w:lineRule="exact"/>
              <w:jc w:val="center"/>
              <w:rPr>
                <w:rFonts w:hint="eastAsia" w:ascii="宋体" w:hAnsi="宋体" w:cs="宋体"/>
                <w:b/>
                <w:bCs/>
                <w:szCs w:val="21"/>
              </w:rPr>
            </w:pPr>
            <w:r>
              <w:rPr>
                <w:rFonts w:hint="eastAsia" w:ascii="宋体" w:hAnsi="宋体" w:cs="宋体"/>
                <w:b/>
                <w:bCs/>
                <w:szCs w:val="21"/>
              </w:rPr>
              <w:t>10</w:t>
            </w:r>
          </w:p>
        </w:tc>
        <w:tc>
          <w:tcPr>
            <w:tcW w:w="4320"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员工持证上岗</w:t>
            </w:r>
          </w:p>
        </w:tc>
        <w:tc>
          <w:tcPr>
            <w:tcW w:w="4302"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未持证上岗每发现一人扣0.5分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77" w:type="dxa"/>
            <w:noWrap w:val="0"/>
            <w:vAlign w:val="center"/>
          </w:tcPr>
          <w:p>
            <w:pPr>
              <w:snapToGrid w:val="0"/>
              <w:spacing w:line="400" w:lineRule="exact"/>
              <w:jc w:val="center"/>
              <w:rPr>
                <w:rFonts w:hint="eastAsia" w:ascii="宋体" w:hAnsi="宋体" w:cs="宋体"/>
                <w:b/>
                <w:bCs/>
                <w:szCs w:val="21"/>
              </w:rPr>
            </w:pPr>
            <w:r>
              <w:rPr>
                <w:rFonts w:hint="eastAsia" w:ascii="宋体" w:hAnsi="宋体" w:cs="宋体"/>
                <w:b/>
                <w:bCs/>
                <w:szCs w:val="21"/>
              </w:rPr>
              <w:t>11</w:t>
            </w:r>
          </w:p>
        </w:tc>
        <w:tc>
          <w:tcPr>
            <w:tcW w:w="4320"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有理投诉次数每月小于3次，有效投诉处理率百分之百</w:t>
            </w:r>
          </w:p>
        </w:tc>
        <w:tc>
          <w:tcPr>
            <w:tcW w:w="4302"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每超出一次扣0.5-1分，每一次有效投诉未作处理扣1分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jc w:val="center"/>
        </w:trPr>
        <w:tc>
          <w:tcPr>
            <w:tcW w:w="677" w:type="dxa"/>
            <w:noWrap w:val="0"/>
            <w:vAlign w:val="center"/>
          </w:tcPr>
          <w:p>
            <w:pPr>
              <w:snapToGrid w:val="0"/>
              <w:spacing w:line="400" w:lineRule="exact"/>
              <w:jc w:val="center"/>
              <w:rPr>
                <w:rFonts w:hint="eastAsia" w:ascii="宋体" w:hAnsi="宋体" w:cs="宋体"/>
                <w:b/>
                <w:bCs/>
                <w:szCs w:val="21"/>
              </w:rPr>
            </w:pPr>
            <w:r>
              <w:rPr>
                <w:rFonts w:hint="eastAsia" w:ascii="宋体" w:hAnsi="宋体" w:cs="宋体"/>
                <w:b/>
                <w:bCs/>
                <w:szCs w:val="21"/>
              </w:rPr>
              <w:t>12</w:t>
            </w:r>
          </w:p>
        </w:tc>
        <w:tc>
          <w:tcPr>
            <w:tcW w:w="4320"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定期与医院沟通，如发现问题无法处理要及时上报。</w:t>
            </w:r>
          </w:p>
        </w:tc>
        <w:tc>
          <w:tcPr>
            <w:tcW w:w="4302"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发现隐瞒或误报，每次扣5分。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77" w:type="dxa"/>
            <w:noWrap w:val="0"/>
            <w:vAlign w:val="center"/>
          </w:tcPr>
          <w:p>
            <w:pPr>
              <w:snapToGrid w:val="0"/>
              <w:spacing w:line="400" w:lineRule="exact"/>
              <w:jc w:val="center"/>
              <w:rPr>
                <w:rFonts w:hint="eastAsia" w:ascii="宋体" w:hAnsi="宋体" w:cs="宋体"/>
                <w:b/>
                <w:bCs/>
                <w:szCs w:val="21"/>
              </w:rPr>
            </w:pPr>
            <w:r>
              <w:rPr>
                <w:rFonts w:hint="eastAsia" w:ascii="宋体" w:hAnsi="宋体" w:cs="宋体"/>
                <w:b/>
                <w:bCs/>
                <w:szCs w:val="21"/>
              </w:rPr>
              <w:t>14</w:t>
            </w:r>
          </w:p>
        </w:tc>
        <w:tc>
          <w:tcPr>
            <w:tcW w:w="4320"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遵守医院管理制度，完成平常医院要求必须完成的特殊任务</w:t>
            </w:r>
          </w:p>
        </w:tc>
        <w:tc>
          <w:tcPr>
            <w:tcW w:w="4302"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每次违反或没完成扣0.5-5分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1" w:hRule="atLeast"/>
          <w:jc w:val="center"/>
        </w:trPr>
        <w:tc>
          <w:tcPr>
            <w:tcW w:w="677" w:type="dxa"/>
            <w:noWrap w:val="0"/>
            <w:vAlign w:val="center"/>
          </w:tcPr>
          <w:p>
            <w:pPr>
              <w:snapToGrid w:val="0"/>
              <w:spacing w:line="400" w:lineRule="exact"/>
              <w:jc w:val="center"/>
              <w:rPr>
                <w:rFonts w:hint="eastAsia" w:ascii="宋体" w:hAnsi="宋体" w:cs="宋体"/>
                <w:b/>
                <w:bCs/>
                <w:szCs w:val="21"/>
              </w:rPr>
            </w:pPr>
            <w:r>
              <w:rPr>
                <w:rFonts w:hint="eastAsia" w:ascii="宋体" w:hAnsi="宋体" w:cs="宋体"/>
                <w:b/>
                <w:bCs/>
                <w:szCs w:val="21"/>
              </w:rPr>
              <w:t>15</w:t>
            </w:r>
          </w:p>
        </w:tc>
        <w:tc>
          <w:tcPr>
            <w:tcW w:w="4320"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每月进行一次客户调查，设定关键满意指标。</w:t>
            </w:r>
          </w:p>
        </w:tc>
        <w:tc>
          <w:tcPr>
            <w:tcW w:w="4302"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满意率达百分之85以上，每下降百分之一，则扣1分。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1" w:hRule="atLeast"/>
          <w:jc w:val="center"/>
        </w:trPr>
        <w:tc>
          <w:tcPr>
            <w:tcW w:w="677" w:type="dxa"/>
            <w:noWrap w:val="0"/>
            <w:vAlign w:val="center"/>
          </w:tcPr>
          <w:p>
            <w:pPr>
              <w:snapToGrid w:val="0"/>
              <w:spacing w:line="400" w:lineRule="exact"/>
              <w:jc w:val="center"/>
              <w:rPr>
                <w:rFonts w:hint="eastAsia" w:ascii="宋体" w:hAnsi="宋体" w:cs="宋体"/>
                <w:b/>
                <w:bCs/>
                <w:szCs w:val="21"/>
              </w:rPr>
            </w:pPr>
            <w:r>
              <w:rPr>
                <w:rFonts w:hint="eastAsia" w:ascii="宋体" w:hAnsi="宋体" w:cs="宋体"/>
                <w:b/>
                <w:bCs/>
                <w:szCs w:val="21"/>
              </w:rPr>
              <w:t>16</w:t>
            </w:r>
          </w:p>
        </w:tc>
        <w:tc>
          <w:tcPr>
            <w:tcW w:w="4320"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保安员在违反纪律或处理事件不当，让事件恶化，造成医院形象或经济损失。</w:t>
            </w:r>
          </w:p>
        </w:tc>
        <w:tc>
          <w:tcPr>
            <w:tcW w:w="4302"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视情节扣5-10分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5" w:hRule="atLeast"/>
          <w:jc w:val="center"/>
        </w:trPr>
        <w:tc>
          <w:tcPr>
            <w:tcW w:w="677" w:type="dxa"/>
            <w:noWrap w:val="0"/>
            <w:vAlign w:val="center"/>
          </w:tcPr>
          <w:p>
            <w:pPr>
              <w:snapToGrid w:val="0"/>
              <w:spacing w:line="400" w:lineRule="exact"/>
              <w:jc w:val="center"/>
              <w:rPr>
                <w:rFonts w:hint="eastAsia" w:ascii="宋体" w:hAnsi="宋体" w:cs="宋体"/>
                <w:b/>
                <w:bCs/>
                <w:szCs w:val="21"/>
              </w:rPr>
            </w:pPr>
            <w:r>
              <w:rPr>
                <w:rFonts w:hint="eastAsia" w:ascii="宋体" w:hAnsi="宋体" w:cs="宋体"/>
                <w:b/>
                <w:bCs/>
                <w:szCs w:val="21"/>
              </w:rPr>
              <w:t>17</w:t>
            </w:r>
          </w:p>
        </w:tc>
        <w:tc>
          <w:tcPr>
            <w:tcW w:w="4320"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发现在本院范围内被抢事主投诉、报案的。</w:t>
            </w:r>
          </w:p>
        </w:tc>
        <w:tc>
          <w:tcPr>
            <w:tcW w:w="4302"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677" w:type="dxa"/>
            <w:noWrap w:val="0"/>
            <w:vAlign w:val="center"/>
          </w:tcPr>
          <w:p>
            <w:pPr>
              <w:snapToGrid w:val="0"/>
              <w:spacing w:line="400" w:lineRule="exact"/>
              <w:jc w:val="center"/>
              <w:rPr>
                <w:rFonts w:hint="eastAsia" w:ascii="宋体" w:hAnsi="宋体" w:cs="宋体"/>
                <w:b/>
                <w:bCs/>
                <w:szCs w:val="21"/>
              </w:rPr>
            </w:pPr>
            <w:r>
              <w:rPr>
                <w:rFonts w:hint="eastAsia" w:ascii="宋体" w:hAnsi="宋体" w:cs="宋体"/>
                <w:b/>
                <w:bCs/>
                <w:szCs w:val="21"/>
              </w:rPr>
              <w:t>18</w:t>
            </w:r>
          </w:p>
        </w:tc>
        <w:tc>
          <w:tcPr>
            <w:tcW w:w="4320"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处理一般事故：要派1-5人、5分钟内到场（小纠纷、财物失窃损坏、人员被困等）</w:t>
            </w:r>
          </w:p>
        </w:tc>
        <w:tc>
          <w:tcPr>
            <w:tcW w:w="4302"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没按规定人数或时间到场而造成一定影响的扣1-3分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677" w:type="dxa"/>
            <w:noWrap w:val="0"/>
            <w:vAlign w:val="center"/>
          </w:tcPr>
          <w:p>
            <w:pPr>
              <w:snapToGrid w:val="0"/>
              <w:spacing w:line="400" w:lineRule="exact"/>
              <w:jc w:val="center"/>
              <w:rPr>
                <w:rFonts w:hint="eastAsia" w:ascii="宋体" w:hAnsi="宋体" w:cs="宋体"/>
                <w:b/>
                <w:bCs/>
                <w:szCs w:val="21"/>
              </w:rPr>
            </w:pPr>
            <w:r>
              <w:rPr>
                <w:rFonts w:hint="eastAsia" w:ascii="宋体" w:hAnsi="宋体" w:cs="宋体"/>
                <w:b/>
                <w:bCs/>
                <w:szCs w:val="21"/>
              </w:rPr>
              <w:t>19</w:t>
            </w:r>
          </w:p>
        </w:tc>
        <w:tc>
          <w:tcPr>
            <w:tcW w:w="4320"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处理重大事故：要派5-10人、2-5分钟内到（人员、重要财物、交通事故、设备火灾及其他灾害等）</w:t>
            </w:r>
          </w:p>
        </w:tc>
        <w:tc>
          <w:tcPr>
            <w:tcW w:w="4302"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没按规定人数或时间到场而造成负面影响的扣5-10分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677" w:type="dxa"/>
            <w:noWrap w:val="0"/>
            <w:vAlign w:val="center"/>
          </w:tcPr>
          <w:p>
            <w:pPr>
              <w:snapToGrid w:val="0"/>
              <w:spacing w:line="400" w:lineRule="exact"/>
              <w:jc w:val="center"/>
              <w:rPr>
                <w:rFonts w:hint="eastAsia" w:ascii="宋体" w:hAnsi="宋体" w:cs="宋体"/>
                <w:b/>
                <w:bCs/>
                <w:szCs w:val="21"/>
              </w:rPr>
            </w:pPr>
            <w:r>
              <w:rPr>
                <w:rFonts w:hint="eastAsia" w:ascii="宋体" w:hAnsi="宋体" w:cs="宋体"/>
                <w:b/>
                <w:bCs/>
                <w:szCs w:val="21"/>
              </w:rPr>
              <w:t>20</w:t>
            </w:r>
          </w:p>
        </w:tc>
        <w:tc>
          <w:tcPr>
            <w:tcW w:w="4320"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处理特大事故：要派5人以上、3分内到场（人员伤亡、重要设备及一些区域性灾害）</w:t>
            </w:r>
          </w:p>
        </w:tc>
        <w:tc>
          <w:tcPr>
            <w:tcW w:w="4302"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没按规定相应人数或时间到场而造成灾害升级原因，追究主要人员责任并扣10-50分。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677" w:type="dxa"/>
            <w:noWrap w:val="0"/>
            <w:vAlign w:val="center"/>
          </w:tcPr>
          <w:p>
            <w:pPr>
              <w:snapToGrid w:val="0"/>
              <w:spacing w:line="400" w:lineRule="exact"/>
              <w:jc w:val="center"/>
              <w:rPr>
                <w:rFonts w:hint="eastAsia" w:ascii="宋体" w:hAnsi="宋体" w:cs="宋体"/>
                <w:b/>
                <w:bCs/>
                <w:szCs w:val="21"/>
              </w:rPr>
            </w:pPr>
            <w:r>
              <w:rPr>
                <w:rFonts w:hint="eastAsia" w:ascii="宋体" w:hAnsi="宋体" w:cs="宋体"/>
                <w:b/>
                <w:bCs/>
                <w:szCs w:val="21"/>
              </w:rPr>
              <w:t>21</w:t>
            </w:r>
          </w:p>
        </w:tc>
        <w:tc>
          <w:tcPr>
            <w:tcW w:w="4320"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执勤岗哨没按合同规定配备人数上勤</w:t>
            </w:r>
          </w:p>
        </w:tc>
        <w:tc>
          <w:tcPr>
            <w:tcW w:w="4302"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发现每班哨每少1人扣0.5—1分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77" w:type="dxa"/>
            <w:noWrap w:val="0"/>
            <w:vAlign w:val="center"/>
          </w:tcPr>
          <w:p>
            <w:pPr>
              <w:snapToGrid w:val="0"/>
              <w:spacing w:line="400" w:lineRule="exact"/>
              <w:jc w:val="center"/>
              <w:rPr>
                <w:rFonts w:hint="eastAsia" w:ascii="宋体" w:hAnsi="宋体" w:cs="宋体"/>
                <w:b/>
                <w:bCs/>
                <w:szCs w:val="21"/>
              </w:rPr>
            </w:pPr>
            <w:r>
              <w:rPr>
                <w:rFonts w:hint="eastAsia" w:ascii="宋体" w:hAnsi="宋体" w:cs="宋体"/>
                <w:b/>
                <w:bCs/>
                <w:szCs w:val="21"/>
              </w:rPr>
              <w:t>22</w:t>
            </w:r>
          </w:p>
        </w:tc>
        <w:tc>
          <w:tcPr>
            <w:tcW w:w="4320"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上勤时吸烟、吃零食、看书报、听耳机、手掏口袋、用对讲机闲聊、闲谈会客和凡与执勤无关的事情。</w:t>
            </w:r>
          </w:p>
        </w:tc>
        <w:tc>
          <w:tcPr>
            <w:tcW w:w="4302"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发现每人每次扣0.2—0.5分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77" w:type="dxa"/>
            <w:noWrap w:val="0"/>
            <w:vAlign w:val="center"/>
          </w:tcPr>
          <w:p>
            <w:pPr>
              <w:snapToGrid w:val="0"/>
              <w:spacing w:line="400" w:lineRule="exact"/>
              <w:jc w:val="center"/>
              <w:rPr>
                <w:rFonts w:hint="eastAsia" w:ascii="宋体" w:hAnsi="宋体" w:cs="宋体"/>
                <w:b/>
                <w:bCs/>
                <w:szCs w:val="21"/>
              </w:rPr>
            </w:pPr>
            <w:r>
              <w:rPr>
                <w:rFonts w:hint="eastAsia" w:ascii="宋体" w:hAnsi="宋体" w:cs="宋体"/>
                <w:b/>
                <w:bCs/>
                <w:szCs w:val="21"/>
              </w:rPr>
              <w:t>23</w:t>
            </w:r>
          </w:p>
        </w:tc>
        <w:tc>
          <w:tcPr>
            <w:tcW w:w="4320"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当班执勤时不准坐岗(规定可以坐岗的时间除外)或者发现队员工作消极的</w:t>
            </w:r>
          </w:p>
        </w:tc>
        <w:tc>
          <w:tcPr>
            <w:tcW w:w="4302"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发现每人每次扣0.2—0.5分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77" w:type="dxa"/>
            <w:noWrap w:val="0"/>
            <w:vAlign w:val="center"/>
          </w:tcPr>
          <w:p>
            <w:pPr>
              <w:snapToGrid w:val="0"/>
              <w:spacing w:line="400" w:lineRule="exact"/>
              <w:jc w:val="center"/>
              <w:rPr>
                <w:rFonts w:hint="eastAsia" w:ascii="宋体" w:hAnsi="宋体" w:cs="宋体"/>
                <w:b/>
                <w:bCs/>
                <w:szCs w:val="21"/>
              </w:rPr>
            </w:pPr>
            <w:r>
              <w:rPr>
                <w:rFonts w:hint="eastAsia" w:ascii="宋体" w:hAnsi="宋体" w:cs="宋体"/>
                <w:b/>
                <w:bCs/>
                <w:szCs w:val="21"/>
              </w:rPr>
              <w:t>24</w:t>
            </w:r>
          </w:p>
        </w:tc>
        <w:tc>
          <w:tcPr>
            <w:tcW w:w="4320"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当班执勤时不得脱岗、离岗；如因脱岗而发生了事故由服务方承担责任。</w:t>
            </w:r>
          </w:p>
        </w:tc>
        <w:tc>
          <w:tcPr>
            <w:tcW w:w="4302"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发现每人每次扣0.5—1分，如因此而发生事故扣10-50分。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77" w:type="dxa"/>
            <w:noWrap w:val="0"/>
            <w:vAlign w:val="center"/>
          </w:tcPr>
          <w:p>
            <w:pPr>
              <w:snapToGrid w:val="0"/>
              <w:spacing w:line="400" w:lineRule="exact"/>
              <w:jc w:val="center"/>
              <w:rPr>
                <w:rFonts w:hint="eastAsia" w:ascii="宋体" w:hAnsi="宋体" w:cs="宋体"/>
                <w:b/>
                <w:bCs/>
                <w:szCs w:val="21"/>
              </w:rPr>
            </w:pPr>
            <w:r>
              <w:rPr>
                <w:rFonts w:hint="eastAsia" w:ascii="宋体" w:hAnsi="宋体" w:cs="宋体"/>
                <w:b/>
                <w:bCs/>
                <w:szCs w:val="21"/>
              </w:rPr>
              <w:t>25</w:t>
            </w:r>
          </w:p>
        </w:tc>
        <w:tc>
          <w:tcPr>
            <w:tcW w:w="4320"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当班执勤时发现打瞌睡或睡觉者，执勤人员做了一些有损保安员形象的事情</w:t>
            </w:r>
          </w:p>
        </w:tc>
        <w:tc>
          <w:tcPr>
            <w:tcW w:w="4302"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发现每人每次扣0.5-2分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677" w:type="dxa"/>
            <w:noWrap w:val="0"/>
            <w:vAlign w:val="center"/>
          </w:tcPr>
          <w:p>
            <w:pPr>
              <w:snapToGrid w:val="0"/>
              <w:spacing w:line="400" w:lineRule="exact"/>
              <w:jc w:val="center"/>
              <w:rPr>
                <w:rFonts w:hint="eastAsia" w:ascii="宋体" w:hAnsi="宋体" w:cs="宋体"/>
                <w:b/>
                <w:bCs/>
                <w:szCs w:val="21"/>
              </w:rPr>
            </w:pPr>
            <w:r>
              <w:rPr>
                <w:rFonts w:hint="eastAsia" w:ascii="宋体" w:hAnsi="宋体" w:cs="宋体"/>
                <w:b/>
                <w:bCs/>
                <w:szCs w:val="21"/>
              </w:rPr>
              <w:t>26</w:t>
            </w:r>
          </w:p>
        </w:tc>
        <w:tc>
          <w:tcPr>
            <w:tcW w:w="4320"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做好消防设备和闭路电视的值班监控工作，发现故障在10分钟内报告并协助处理。</w:t>
            </w:r>
          </w:p>
        </w:tc>
        <w:tc>
          <w:tcPr>
            <w:tcW w:w="4302"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违反每次扣1分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77" w:type="dxa"/>
            <w:noWrap w:val="0"/>
            <w:vAlign w:val="center"/>
          </w:tcPr>
          <w:p>
            <w:pPr>
              <w:snapToGrid w:val="0"/>
              <w:spacing w:line="400" w:lineRule="exact"/>
              <w:jc w:val="center"/>
              <w:rPr>
                <w:rFonts w:hint="eastAsia" w:ascii="宋体" w:hAnsi="宋体" w:cs="宋体"/>
                <w:b/>
                <w:bCs/>
                <w:szCs w:val="21"/>
              </w:rPr>
            </w:pPr>
            <w:r>
              <w:rPr>
                <w:rFonts w:hint="eastAsia" w:ascii="宋体" w:hAnsi="宋体" w:cs="宋体"/>
                <w:b/>
                <w:bCs/>
                <w:szCs w:val="21"/>
              </w:rPr>
              <w:t>27</w:t>
            </w:r>
          </w:p>
        </w:tc>
        <w:tc>
          <w:tcPr>
            <w:tcW w:w="4320"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本派驻点遇紧急情况需保安支援时百分之百满足</w:t>
            </w:r>
          </w:p>
        </w:tc>
        <w:tc>
          <w:tcPr>
            <w:tcW w:w="4302"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违反每次扣3-10分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677" w:type="dxa"/>
            <w:noWrap w:val="0"/>
            <w:vAlign w:val="center"/>
          </w:tcPr>
          <w:p>
            <w:pPr>
              <w:snapToGrid w:val="0"/>
              <w:spacing w:line="400" w:lineRule="exact"/>
              <w:jc w:val="center"/>
              <w:rPr>
                <w:rFonts w:hint="eastAsia" w:ascii="宋体" w:hAnsi="宋体" w:cs="宋体"/>
                <w:b/>
                <w:bCs/>
                <w:szCs w:val="21"/>
              </w:rPr>
            </w:pPr>
            <w:r>
              <w:rPr>
                <w:rFonts w:hint="eastAsia" w:ascii="宋体" w:hAnsi="宋体" w:cs="宋体"/>
                <w:b/>
                <w:bCs/>
                <w:szCs w:val="21"/>
              </w:rPr>
              <w:t>28</w:t>
            </w:r>
          </w:p>
        </w:tc>
        <w:tc>
          <w:tcPr>
            <w:tcW w:w="4320"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做到安全工作百分之百</w:t>
            </w:r>
          </w:p>
        </w:tc>
        <w:tc>
          <w:tcPr>
            <w:tcW w:w="4302"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若因保安员失职或工作不作为造成医院发生安全事故，视实际情况，扣分1-100分。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3" w:hRule="atLeast"/>
          <w:jc w:val="center"/>
        </w:trPr>
        <w:tc>
          <w:tcPr>
            <w:tcW w:w="677" w:type="dxa"/>
            <w:noWrap w:val="0"/>
            <w:vAlign w:val="center"/>
          </w:tcPr>
          <w:p>
            <w:pPr>
              <w:snapToGrid w:val="0"/>
              <w:spacing w:line="400" w:lineRule="exact"/>
              <w:jc w:val="center"/>
              <w:rPr>
                <w:rFonts w:hint="eastAsia" w:ascii="宋体" w:hAnsi="宋体" w:cs="宋体"/>
                <w:b/>
                <w:bCs/>
                <w:szCs w:val="21"/>
              </w:rPr>
            </w:pPr>
            <w:r>
              <w:rPr>
                <w:rFonts w:hint="eastAsia" w:ascii="宋体" w:hAnsi="宋体" w:cs="宋体"/>
                <w:b/>
                <w:bCs/>
                <w:szCs w:val="21"/>
              </w:rPr>
              <w:t>29</w:t>
            </w:r>
          </w:p>
        </w:tc>
        <w:tc>
          <w:tcPr>
            <w:tcW w:w="4320"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教育保安遵守国家法律</w:t>
            </w:r>
          </w:p>
        </w:tc>
        <w:tc>
          <w:tcPr>
            <w:tcW w:w="4302"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视实际情况，扣分1-10分或送司法部门处理。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77" w:type="dxa"/>
            <w:noWrap w:val="0"/>
            <w:vAlign w:val="center"/>
          </w:tcPr>
          <w:p>
            <w:pPr>
              <w:snapToGrid w:val="0"/>
              <w:spacing w:line="400" w:lineRule="exact"/>
              <w:jc w:val="center"/>
              <w:rPr>
                <w:rFonts w:hint="eastAsia" w:ascii="宋体" w:hAnsi="宋体" w:cs="宋体"/>
                <w:b/>
                <w:bCs/>
                <w:szCs w:val="21"/>
              </w:rPr>
            </w:pPr>
            <w:r>
              <w:rPr>
                <w:rFonts w:hint="eastAsia" w:ascii="宋体" w:hAnsi="宋体" w:cs="宋体"/>
                <w:b/>
                <w:bCs/>
                <w:szCs w:val="21"/>
              </w:rPr>
              <w:t>30</w:t>
            </w:r>
          </w:p>
        </w:tc>
        <w:tc>
          <w:tcPr>
            <w:tcW w:w="4320"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当值期间发现保安员有违法犯罪、监守自盗或参加打架斗殴等</w:t>
            </w:r>
          </w:p>
        </w:tc>
        <w:tc>
          <w:tcPr>
            <w:tcW w:w="4302"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每发现一宗视情节扣以20-50分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3" w:hRule="atLeast"/>
          <w:jc w:val="center"/>
        </w:trPr>
        <w:tc>
          <w:tcPr>
            <w:tcW w:w="677" w:type="dxa"/>
            <w:noWrap w:val="0"/>
            <w:vAlign w:val="center"/>
          </w:tcPr>
          <w:p>
            <w:pPr>
              <w:snapToGrid w:val="0"/>
              <w:spacing w:line="400" w:lineRule="exact"/>
              <w:jc w:val="center"/>
              <w:rPr>
                <w:rFonts w:hint="eastAsia" w:ascii="宋体" w:hAnsi="宋体" w:cs="宋体"/>
                <w:b/>
                <w:bCs/>
                <w:szCs w:val="21"/>
              </w:rPr>
            </w:pPr>
            <w:r>
              <w:rPr>
                <w:rFonts w:hint="eastAsia" w:ascii="宋体" w:hAnsi="宋体" w:cs="宋体"/>
                <w:b/>
                <w:bCs/>
                <w:szCs w:val="21"/>
              </w:rPr>
              <w:t>31</w:t>
            </w:r>
          </w:p>
        </w:tc>
        <w:tc>
          <w:tcPr>
            <w:tcW w:w="4320"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发现医托、乞讨、派报纸、传单、推销等人员 (本条款驻守上勤三十天后实施)</w:t>
            </w:r>
          </w:p>
        </w:tc>
        <w:tc>
          <w:tcPr>
            <w:tcW w:w="4302"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检查时发现同一人出现二次扣0.2，并通知当班负责区域保安。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677" w:type="dxa"/>
            <w:noWrap w:val="0"/>
            <w:vAlign w:val="center"/>
          </w:tcPr>
          <w:p>
            <w:pPr>
              <w:snapToGrid w:val="0"/>
              <w:spacing w:line="400" w:lineRule="exact"/>
              <w:jc w:val="center"/>
              <w:rPr>
                <w:rFonts w:hint="eastAsia" w:ascii="宋体" w:hAnsi="宋体" w:cs="宋体"/>
                <w:b/>
                <w:bCs/>
                <w:szCs w:val="21"/>
              </w:rPr>
            </w:pPr>
            <w:r>
              <w:rPr>
                <w:rFonts w:hint="eastAsia" w:ascii="宋体" w:hAnsi="宋体" w:cs="宋体"/>
                <w:b/>
                <w:bCs/>
                <w:szCs w:val="21"/>
              </w:rPr>
              <w:t>32</w:t>
            </w:r>
          </w:p>
        </w:tc>
        <w:tc>
          <w:tcPr>
            <w:tcW w:w="4320"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未按规定每二小时进行巡查或记录</w:t>
            </w:r>
          </w:p>
        </w:tc>
        <w:tc>
          <w:tcPr>
            <w:tcW w:w="4302"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违反每次扣1分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77" w:type="dxa"/>
            <w:noWrap w:val="0"/>
            <w:vAlign w:val="center"/>
          </w:tcPr>
          <w:p>
            <w:pPr>
              <w:snapToGrid w:val="0"/>
              <w:spacing w:line="400" w:lineRule="exact"/>
              <w:jc w:val="center"/>
              <w:rPr>
                <w:rFonts w:hint="eastAsia" w:ascii="宋体" w:hAnsi="宋体" w:cs="宋体"/>
                <w:b/>
                <w:bCs/>
                <w:szCs w:val="21"/>
              </w:rPr>
            </w:pPr>
            <w:r>
              <w:rPr>
                <w:rFonts w:hint="eastAsia" w:ascii="宋体" w:hAnsi="宋体" w:cs="宋体"/>
                <w:b/>
                <w:bCs/>
                <w:szCs w:val="21"/>
              </w:rPr>
              <w:t>33</w:t>
            </w:r>
          </w:p>
        </w:tc>
        <w:tc>
          <w:tcPr>
            <w:tcW w:w="4320"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未按规定时间开、关所管辖区域的照明灯、空调、门</w:t>
            </w:r>
          </w:p>
        </w:tc>
        <w:tc>
          <w:tcPr>
            <w:tcW w:w="4302" w:type="dxa"/>
            <w:noWrap w:val="0"/>
            <w:vAlign w:val="center"/>
          </w:tcPr>
          <w:p>
            <w:pPr>
              <w:snapToGrid w:val="0"/>
              <w:spacing w:line="400" w:lineRule="exact"/>
              <w:rPr>
                <w:rFonts w:hint="eastAsia" w:ascii="宋体" w:hAnsi="宋体" w:cs="宋体"/>
                <w:b/>
                <w:bCs/>
                <w:szCs w:val="21"/>
              </w:rPr>
            </w:pPr>
            <w:r>
              <w:rPr>
                <w:rFonts w:hint="eastAsia" w:ascii="宋体" w:hAnsi="宋体" w:cs="宋体"/>
                <w:b/>
                <w:bCs/>
                <w:szCs w:val="21"/>
              </w:rPr>
              <w:t>违反每次扣1分</w:t>
            </w:r>
          </w:p>
        </w:tc>
      </w:tr>
    </w:tbl>
    <w:p>
      <w:pPr>
        <w:snapToGrid w:val="0"/>
        <w:spacing w:line="400" w:lineRule="exact"/>
        <w:outlineLvl w:val="1"/>
        <w:rPr>
          <w:rFonts w:hint="eastAsia" w:ascii="宋体" w:hAnsi="宋体" w:cs="宋体"/>
          <w:b/>
          <w:bCs/>
          <w:szCs w:val="21"/>
        </w:rPr>
      </w:pPr>
      <w:bookmarkStart w:id="53" w:name="_Toc300649874"/>
      <w:bookmarkStart w:id="54" w:name="_Toc300671314"/>
      <w:bookmarkStart w:id="55" w:name="_Toc300649605"/>
      <w:r>
        <w:rPr>
          <w:rFonts w:hint="eastAsia" w:ascii="宋体" w:hAnsi="宋体" w:cs="宋体"/>
          <w:b/>
          <w:bCs/>
          <w:szCs w:val="21"/>
        </w:rPr>
        <w:t>注：</w:t>
      </w:r>
      <w:bookmarkEnd w:id="53"/>
      <w:bookmarkEnd w:id="54"/>
      <w:bookmarkEnd w:id="55"/>
    </w:p>
    <w:p>
      <w:pPr>
        <w:widowControl/>
        <w:numPr>
          <w:ilvl w:val="0"/>
          <w:numId w:val="5"/>
        </w:numPr>
        <w:tabs>
          <w:tab w:val="left" w:pos="720"/>
        </w:tabs>
        <w:snapToGrid w:val="0"/>
        <w:spacing w:line="400" w:lineRule="exact"/>
        <w:ind w:left="0"/>
        <w:jc w:val="left"/>
        <w:outlineLvl w:val="1"/>
        <w:rPr>
          <w:rFonts w:hint="eastAsia" w:ascii="宋体" w:hAnsi="宋体" w:cs="宋体"/>
          <w:b/>
          <w:bCs/>
          <w:szCs w:val="21"/>
        </w:rPr>
      </w:pPr>
      <w:bookmarkStart w:id="56" w:name="_Toc300649606"/>
      <w:bookmarkStart w:id="57" w:name="_Toc300671315"/>
      <w:bookmarkStart w:id="58" w:name="_Toc300649875"/>
      <w:r>
        <w:rPr>
          <w:rFonts w:hint="eastAsia" w:ascii="宋体" w:hAnsi="宋体" w:cs="宋体"/>
          <w:b/>
          <w:bCs/>
          <w:szCs w:val="21"/>
        </w:rPr>
        <w:t>所有加分数可用于抵扣分数，超出100分按100分计算，扣分为(-)，加分为(+)。</w:t>
      </w:r>
      <w:bookmarkEnd w:id="56"/>
      <w:bookmarkEnd w:id="57"/>
      <w:bookmarkEnd w:id="58"/>
      <w:bookmarkStart w:id="59" w:name="_Toc300671316"/>
      <w:bookmarkStart w:id="60" w:name="_Toc300649607"/>
      <w:bookmarkStart w:id="61" w:name="_Toc300649876"/>
    </w:p>
    <w:p>
      <w:pPr>
        <w:widowControl/>
        <w:numPr>
          <w:ilvl w:val="0"/>
          <w:numId w:val="5"/>
        </w:numPr>
        <w:tabs>
          <w:tab w:val="left" w:pos="720"/>
        </w:tabs>
        <w:snapToGrid w:val="0"/>
        <w:spacing w:line="400" w:lineRule="exact"/>
        <w:ind w:left="0"/>
        <w:jc w:val="left"/>
        <w:outlineLvl w:val="1"/>
        <w:rPr>
          <w:rFonts w:hint="eastAsia" w:ascii="宋体" w:hAnsi="宋体" w:cs="宋体"/>
          <w:b/>
          <w:bCs/>
          <w:szCs w:val="21"/>
        </w:rPr>
      </w:pPr>
      <w:r>
        <w:rPr>
          <w:rFonts w:hint="eastAsia" w:ascii="宋体" w:hAnsi="宋体" w:cs="宋体"/>
          <w:b/>
          <w:bCs/>
          <w:szCs w:val="21"/>
        </w:rPr>
        <w:t>院于每月30号前对成交服务方进行当月服务质量考核。</w:t>
      </w:r>
      <w:bookmarkEnd w:id="59"/>
      <w:bookmarkEnd w:id="60"/>
      <w:bookmarkEnd w:id="61"/>
    </w:p>
    <w:p>
      <w:pPr>
        <w:spacing w:line="400" w:lineRule="exact"/>
        <w:rPr>
          <w:rFonts w:hint="eastAsia" w:ascii="宋体" w:hAnsi="宋体" w:cs="宋体"/>
          <w:b/>
          <w:bCs/>
          <w:szCs w:val="21"/>
        </w:rPr>
      </w:pPr>
    </w:p>
    <w:p>
      <w:pPr>
        <w:spacing w:line="400" w:lineRule="exact"/>
        <w:rPr>
          <w:rFonts w:hint="eastAsia" w:ascii="宋体" w:hAnsi="宋体" w:cs="宋体"/>
          <w:b/>
          <w:bCs/>
          <w:szCs w:val="21"/>
        </w:rPr>
      </w:pPr>
      <w:r>
        <w:rPr>
          <w:rFonts w:hint="eastAsia" w:ascii="宋体" w:hAnsi="宋体" w:cs="宋体"/>
          <w:b/>
          <w:bCs/>
          <w:szCs w:val="21"/>
        </w:rPr>
        <w:t>附件2</w:t>
      </w:r>
    </w:p>
    <w:p>
      <w:pPr>
        <w:spacing w:line="400" w:lineRule="exact"/>
        <w:jc w:val="center"/>
        <w:rPr>
          <w:rFonts w:hint="eastAsia" w:ascii="宋体" w:hAnsi="宋体" w:cs="宋体"/>
          <w:b/>
          <w:bCs/>
          <w:szCs w:val="21"/>
        </w:rPr>
      </w:pPr>
      <w:r>
        <w:rPr>
          <w:rFonts w:hint="eastAsia" w:ascii="宋体" w:hAnsi="宋体" w:cs="宋体"/>
          <w:b/>
          <w:bCs/>
          <w:szCs w:val="21"/>
        </w:rPr>
        <w:t>保安服务满意调查表</w:t>
      </w:r>
    </w:p>
    <w:p>
      <w:pPr>
        <w:spacing w:line="400" w:lineRule="exact"/>
        <w:rPr>
          <w:rFonts w:hint="eastAsia" w:ascii="宋体" w:hAnsi="宋体" w:cs="宋体"/>
          <w:b/>
          <w:bCs/>
          <w:szCs w:val="21"/>
        </w:rPr>
      </w:pPr>
      <w:r>
        <w:rPr>
          <w:rFonts w:hint="eastAsia" w:ascii="宋体" w:hAnsi="宋体" w:cs="宋体"/>
          <w:b/>
          <w:bCs/>
          <w:szCs w:val="21"/>
        </w:rPr>
        <w:t>尊敬的女士/先生：</w:t>
      </w:r>
    </w:p>
    <w:p>
      <w:pPr>
        <w:spacing w:line="400" w:lineRule="exact"/>
        <w:ind w:firstLine="422" w:firstLineChars="200"/>
        <w:rPr>
          <w:rFonts w:hint="eastAsia" w:ascii="宋体" w:hAnsi="宋体" w:cs="宋体"/>
          <w:b/>
          <w:bCs/>
          <w:szCs w:val="21"/>
        </w:rPr>
      </w:pPr>
      <w:r>
        <w:rPr>
          <w:rFonts w:hint="eastAsia" w:ascii="宋体" w:hAnsi="宋体" w:cs="宋体"/>
          <w:b/>
          <w:bCs/>
          <w:szCs w:val="21"/>
        </w:rPr>
        <w:t>您好！为进一步提高我院保安服务质量，请您抽出一点宝贵时间，对我院的保安服务工作做出评价，请在相应的评价栏内“√ ”，谢谢！</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28"/>
        <w:gridCol w:w="1260"/>
        <w:gridCol w:w="1541"/>
        <w:gridCol w:w="1154"/>
        <w:gridCol w:w="1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8" w:type="dxa"/>
            <w:noWrap w:val="0"/>
            <w:vAlign w:val="center"/>
          </w:tcPr>
          <w:p>
            <w:pPr>
              <w:spacing w:line="400" w:lineRule="exact"/>
              <w:jc w:val="center"/>
              <w:rPr>
                <w:rFonts w:hint="eastAsia" w:ascii="宋体" w:hAnsi="宋体" w:cs="宋体"/>
                <w:b/>
                <w:bCs/>
                <w:szCs w:val="21"/>
              </w:rPr>
            </w:pPr>
            <w:r>
              <w:rPr>
                <w:rFonts w:hint="eastAsia" w:ascii="宋体" w:hAnsi="宋体" w:cs="宋体"/>
                <w:b/>
                <w:bCs/>
                <w:szCs w:val="21"/>
              </w:rPr>
              <w:t>内   容</w:t>
            </w:r>
          </w:p>
        </w:tc>
        <w:tc>
          <w:tcPr>
            <w:tcW w:w="1260" w:type="dxa"/>
            <w:noWrap w:val="0"/>
            <w:vAlign w:val="center"/>
          </w:tcPr>
          <w:p>
            <w:pPr>
              <w:spacing w:line="400" w:lineRule="exact"/>
              <w:jc w:val="center"/>
              <w:rPr>
                <w:rFonts w:hint="eastAsia" w:ascii="宋体" w:hAnsi="宋体" w:cs="宋体"/>
                <w:b/>
                <w:bCs/>
                <w:szCs w:val="21"/>
              </w:rPr>
            </w:pPr>
            <w:r>
              <w:rPr>
                <w:rFonts w:hint="eastAsia" w:ascii="宋体" w:hAnsi="宋体" w:cs="宋体"/>
                <w:b/>
                <w:bCs/>
                <w:szCs w:val="21"/>
              </w:rPr>
              <w:t>满意</w:t>
            </w:r>
          </w:p>
        </w:tc>
        <w:tc>
          <w:tcPr>
            <w:tcW w:w="1541" w:type="dxa"/>
            <w:noWrap w:val="0"/>
            <w:vAlign w:val="center"/>
          </w:tcPr>
          <w:p>
            <w:pPr>
              <w:spacing w:line="400" w:lineRule="exact"/>
              <w:jc w:val="center"/>
              <w:rPr>
                <w:rFonts w:hint="eastAsia" w:ascii="宋体" w:hAnsi="宋体" w:cs="宋体"/>
                <w:b/>
                <w:bCs/>
                <w:szCs w:val="21"/>
              </w:rPr>
            </w:pPr>
            <w:r>
              <w:rPr>
                <w:rFonts w:hint="eastAsia" w:ascii="宋体" w:hAnsi="宋体" w:cs="宋体"/>
                <w:b/>
                <w:bCs/>
                <w:szCs w:val="21"/>
              </w:rPr>
              <w:t>基本满意</w:t>
            </w:r>
          </w:p>
        </w:tc>
        <w:tc>
          <w:tcPr>
            <w:tcW w:w="1154" w:type="dxa"/>
            <w:noWrap w:val="0"/>
            <w:vAlign w:val="center"/>
          </w:tcPr>
          <w:p>
            <w:pPr>
              <w:spacing w:line="400" w:lineRule="exact"/>
              <w:jc w:val="center"/>
              <w:rPr>
                <w:rFonts w:hint="eastAsia" w:ascii="宋体" w:hAnsi="宋体" w:cs="宋体"/>
                <w:b/>
                <w:bCs/>
                <w:szCs w:val="21"/>
              </w:rPr>
            </w:pPr>
            <w:r>
              <w:rPr>
                <w:rFonts w:hint="eastAsia" w:ascii="宋体" w:hAnsi="宋体" w:cs="宋体"/>
                <w:b/>
                <w:bCs/>
                <w:szCs w:val="21"/>
              </w:rPr>
              <w:t>不满意</w:t>
            </w:r>
          </w:p>
        </w:tc>
        <w:tc>
          <w:tcPr>
            <w:tcW w:w="1265" w:type="dxa"/>
            <w:noWrap w:val="0"/>
            <w:vAlign w:val="center"/>
          </w:tcPr>
          <w:p>
            <w:pPr>
              <w:spacing w:line="400" w:lineRule="exact"/>
              <w:jc w:val="center"/>
              <w:rPr>
                <w:rFonts w:hint="eastAsia" w:ascii="宋体" w:hAnsi="宋体" w:cs="宋体"/>
                <w:b/>
                <w:bCs/>
                <w:szCs w:val="21"/>
              </w:rPr>
            </w:pPr>
            <w:r>
              <w:rPr>
                <w:rFonts w:hint="eastAsia" w:ascii="宋体" w:hAnsi="宋体" w:cs="宋体"/>
                <w:b/>
                <w:bCs/>
                <w:szCs w:val="21"/>
              </w:rPr>
              <w:t>未接触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8" w:type="dxa"/>
            <w:noWrap w:val="0"/>
            <w:vAlign w:val="top"/>
          </w:tcPr>
          <w:p>
            <w:pPr>
              <w:spacing w:line="400" w:lineRule="exact"/>
              <w:rPr>
                <w:rFonts w:hint="eastAsia" w:ascii="宋体" w:hAnsi="宋体" w:cs="宋体"/>
                <w:b/>
                <w:bCs/>
                <w:szCs w:val="21"/>
              </w:rPr>
            </w:pPr>
            <w:r>
              <w:rPr>
                <w:rFonts w:hint="eastAsia" w:ascii="宋体" w:hAnsi="宋体" w:cs="宋体"/>
                <w:b/>
                <w:bCs/>
                <w:szCs w:val="21"/>
              </w:rPr>
              <w:t>保安员的形象</w:t>
            </w:r>
          </w:p>
        </w:tc>
        <w:tc>
          <w:tcPr>
            <w:tcW w:w="1260" w:type="dxa"/>
            <w:noWrap w:val="0"/>
            <w:vAlign w:val="center"/>
          </w:tcPr>
          <w:p>
            <w:pPr>
              <w:spacing w:line="400" w:lineRule="exact"/>
              <w:jc w:val="center"/>
              <w:rPr>
                <w:rFonts w:hint="eastAsia" w:ascii="宋体" w:hAnsi="宋体" w:cs="宋体"/>
                <w:b/>
                <w:bCs/>
                <w:szCs w:val="21"/>
              </w:rPr>
            </w:pPr>
          </w:p>
        </w:tc>
        <w:tc>
          <w:tcPr>
            <w:tcW w:w="1541" w:type="dxa"/>
            <w:noWrap w:val="0"/>
            <w:vAlign w:val="center"/>
          </w:tcPr>
          <w:p>
            <w:pPr>
              <w:spacing w:line="400" w:lineRule="exact"/>
              <w:jc w:val="center"/>
              <w:rPr>
                <w:rFonts w:hint="eastAsia" w:ascii="宋体" w:hAnsi="宋体" w:cs="宋体"/>
                <w:b/>
                <w:bCs/>
                <w:szCs w:val="21"/>
              </w:rPr>
            </w:pPr>
          </w:p>
        </w:tc>
        <w:tc>
          <w:tcPr>
            <w:tcW w:w="1154" w:type="dxa"/>
            <w:noWrap w:val="0"/>
            <w:vAlign w:val="center"/>
          </w:tcPr>
          <w:p>
            <w:pPr>
              <w:spacing w:line="400" w:lineRule="exact"/>
              <w:jc w:val="center"/>
              <w:rPr>
                <w:rFonts w:hint="eastAsia" w:ascii="宋体" w:hAnsi="宋体" w:cs="宋体"/>
                <w:b/>
                <w:bCs/>
                <w:szCs w:val="21"/>
              </w:rPr>
            </w:pPr>
          </w:p>
        </w:tc>
        <w:tc>
          <w:tcPr>
            <w:tcW w:w="1265" w:type="dxa"/>
            <w:noWrap w:val="0"/>
            <w:vAlign w:val="center"/>
          </w:tcPr>
          <w:p>
            <w:pPr>
              <w:spacing w:line="400" w:lineRule="exact"/>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8" w:type="dxa"/>
            <w:noWrap w:val="0"/>
            <w:vAlign w:val="top"/>
          </w:tcPr>
          <w:p>
            <w:pPr>
              <w:spacing w:line="400" w:lineRule="exact"/>
              <w:rPr>
                <w:rFonts w:hint="eastAsia" w:ascii="宋体" w:hAnsi="宋体" w:cs="宋体"/>
                <w:b/>
                <w:bCs/>
                <w:szCs w:val="21"/>
              </w:rPr>
            </w:pPr>
            <w:r>
              <w:rPr>
                <w:rFonts w:hint="eastAsia" w:ascii="宋体" w:hAnsi="宋体" w:cs="宋体"/>
                <w:b/>
                <w:bCs/>
                <w:szCs w:val="21"/>
              </w:rPr>
              <w:t>保安员服务态度</w:t>
            </w:r>
          </w:p>
        </w:tc>
        <w:tc>
          <w:tcPr>
            <w:tcW w:w="1260" w:type="dxa"/>
            <w:noWrap w:val="0"/>
            <w:vAlign w:val="center"/>
          </w:tcPr>
          <w:p>
            <w:pPr>
              <w:spacing w:line="400" w:lineRule="exact"/>
              <w:jc w:val="center"/>
              <w:rPr>
                <w:rFonts w:hint="eastAsia" w:ascii="宋体" w:hAnsi="宋体" w:cs="宋体"/>
                <w:b/>
                <w:bCs/>
                <w:szCs w:val="21"/>
              </w:rPr>
            </w:pPr>
          </w:p>
        </w:tc>
        <w:tc>
          <w:tcPr>
            <w:tcW w:w="1541" w:type="dxa"/>
            <w:noWrap w:val="0"/>
            <w:vAlign w:val="center"/>
          </w:tcPr>
          <w:p>
            <w:pPr>
              <w:spacing w:line="400" w:lineRule="exact"/>
              <w:jc w:val="center"/>
              <w:rPr>
                <w:rFonts w:hint="eastAsia" w:ascii="宋体" w:hAnsi="宋体" w:cs="宋体"/>
                <w:b/>
                <w:bCs/>
                <w:szCs w:val="21"/>
              </w:rPr>
            </w:pPr>
          </w:p>
        </w:tc>
        <w:tc>
          <w:tcPr>
            <w:tcW w:w="1154" w:type="dxa"/>
            <w:noWrap w:val="0"/>
            <w:vAlign w:val="center"/>
          </w:tcPr>
          <w:p>
            <w:pPr>
              <w:spacing w:line="400" w:lineRule="exact"/>
              <w:jc w:val="center"/>
              <w:rPr>
                <w:rFonts w:hint="eastAsia" w:ascii="宋体" w:hAnsi="宋体" w:cs="宋体"/>
                <w:b/>
                <w:bCs/>
                <w:szCs w:val="21"/>
              </w:rPr>
            </w:pPr>
          </w:p>
        </w:tc>
        <w:tc>
          <w:tcPr>
            <w:tcW w:w="1265" w:type="dxa"/>
            <w:noWrap w:val="0"/>
            <w:vAlign w:val="center"/>
          </w:tcPr>
          <w:p>
            <w:pPr>
              <w:spacing w:line="400" w:lineRule="exact"/>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8" w:type="dxa"/>
            <w:noWrap w:val="0"/>
            <w:vAlign w:val="top"/>
          </w:tcPr>
          <w:p>
            <w:pPr>
              <w:spacing w:line="400" w:lineRule="exact"/>
              <w:rPr>
                <w:rFonts w:hint="eastAsia" w:ascii="宋体" w:hAnsi="宋体" w:cs="宋体"/>
                <w:b/>
                <w:bCs/>
                <w:szCs w:val="21"/>
              </w:rPr>
            </w:pPr>
            <w:r>
              <w:rPr>
                <w:rFonts w:hint="eastAsia" w:ascii="宋体" w:hAnsi="宋体" w:cs="宋体"/>
                <w:b/>
                <w:bCs/>
                <w:szCs w:val="21"/>
              </w:rPr>
              <w:t>保安员的接警速度</w:t>
            </w:r>
          </w:p>
        </w:tc>
        <w:tc>
          <w:tcPr>
            <w:tcW w:w="1260" w:type="dxa"/>
            <w:noWrap w:val="0"/>
            <w:vAlign w:val="center"/>
          </w:tcPr>
          <w:p>
            <w:pPr>
              <w:spacing w:line="400" w:lineRule="exact"/>
              <w:jc w:val="center"/>
              <w:rPr>
                <w:rFonts w:hint="eastAsia" w:ascii="宋体" w:hAnsi="宋体" w:cs="宋体"/>
                <w:b/>
                <w:bCs/>
                <w:szCs w:val="21"/>
              </w:rPr>
            </w:pPr>
          </w:p>
        </w:tc>
        <w:tc>
          <w:tcPr>
            <w:tcW w:w="1541" w:type="dxa"/>
            <w:noWrap w:val="0"/>
            <w:vAlign w:val="center"/>
          </w:tcPr>
          <w:p>
            <w:pPr>
              <w:spacing w:line="400" w:lineRule="exact"/>
              <w:jc w:val="center"/>
              <w:rPr>
                <w:rFonts w:hint="eastAsia" w:ascii="宋体" w:hAnsi="宋体" w:cs="宋体"/>
                <w:b/>
                <w:bCs/>
                <w:szCs w:val="21"/>
              </w:rPr>
            </w:pPr>
          </w:p>
        </w:tc>
        <w:tc>
          <w:tcPr>
            <w:tcW w:w="1154" w:type="dxa"/>
            <w:noWrap w:val="0"/>
            <w:vAlign w:val="center"/>
          </w:tcPr>
          <w:p>
            <w:pPr>
              <w:spacing w:line="400" w:lineRule="exact"/>
              <w:jc w:val="center"/>
              <w:rPr>
                <w:rFonts w:hint="eastAsia" w:ascii="宋体" w:hAnsi="宋体" w:cs="宋体"/>
                <w:b/>
                <w:bCs/>
                <w:szCs w:val="21"/>
              </w:rPr>
            </w:pPr>
          </w:p>
        </w:tc>
        <w:tc>
          <w:tcPr>
            <w:tcW w:w="1265" w:type="dxa"/>
            <w:noWrap w:val="0"/>
            <w:vAlign w:val="center"/>
          </w:tcPr>
          <w:p>
            <w:pPr>
              <w:spacing w:line="400" w:lineRule="exact"/>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8" w:type="dxa"/>
            <w:noWrap w:val="0"/>
            <w:vAlign w:val="top"/>
          </w:tcPr>
          <w:p>
            <w:pPr>
              <w:spacing w:line="400" w:lineRule="exact"/>
              <w:rPr>
                <w:rFonts w:hint="eastAsia" w:ascii="宋体" w:hAnsi="宋体" w:cs="宋体"/>
                <w:b/>
                <w:bCs/>
                <w:szCs w:val="21"/>
              </w:rPr>
            </w:pPr>
            <w:r>
              <w:rPr>
                <w:rFonts w:hint="eastAsia" w:ascii="宋体" w:hAnsi="宋体" w:cs="宋体"/>
                <w:b/>
                <w:bCs/>
                <w:szCs w:val="21"/>
              </w:rPr>
              <w:t>接警后到达现场时间</w:t>
            </w:r>
          </w:p>
        </w:tc>
        <w:tc>
          <w:tcPr>
            <w:tcW w:w="1260" w:type="dxa"/>
            <w:noWrap w:val="0"/>
            <w:vAlign w:val="center"/>
          </w:tcPr>
          <w:p>
            <w:pPr>
              <w:spacing w:line="400" w:lineRule="exact"/>
              <w:jc w:val="center"/>
              <w:rPr>
                <w:rFonts w:hint="eastAsia" w:ascii="宋体" w:hAnsi="宋体" w:cs="宋体"/>
                <w:b/>
                <w:bCs/>
                <w:szCs w:val="21"/>
              </w:rPr>
            </w:pPr>
          </w:p>
        </w:tc>
        <w:tc>
          <w:tcPr>
            <w:tcW w:w="1541" w:type="dxa"/>
            <w:noWrap w:val="0"/>
            <w:vAlign w:val="center"/>
          </w:tcPr>
          <w:p>
            <w:pPr>
              <w:spacing w:line="400" w:lineRule="exact"/>
              <w:jc w:val="center"/>
              <w:rPr>
                <w:rFonts w:hint="eastAsia" w:ascii="宋体" w:hAnsi="宋体" w:cs="宋体"/>
                <w:b/>
                <w:bCs/>
                <w:szCs w:val="21"/>
              </w:rPr>
            </w:pPr>
          </w:p>
        </w:tc>
        <w:tc>
          <w:tcPr>
            <w:tcW w:w="1154" w:type="dxa"/>
            <w:noWrap w:val="0"/>
            <w:vAlign w:val="center"/>
          </w:tcPr>
          <w:p>
            <w:pPr>
              <w:spacing w:line="400" w:lineRule="exact"/>
              <w:jc w:val="center"/>
              <w:rPr>
                <w:rFonts w:hint="eastAsia" w:ascii="宋体" w:hAnsi="宋体" w:cs="宋体"/>
                <w:b/>
                <w:bCs/>
                <w:szCs w:val="21"/>
              </w:rPr>
            </w:pPr>
          </w:p>
        </w:tc>
        <w:tc>
          <w:tcPr>
            <w:tcW w:w="1265" w:type="dxa"/>
            <w:noWrap w:val="0"/>
            <w:vAlign w:val="center"/>
          </w:tcPr>
          <w:p>
            <w:pPr>
              <w:spacing w:line="400" w:lineRule="exact"/>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8" w:type="dxa"/>
            <w:noWrap w:val="0"/>
            <w:vAlign w:val="top"/>
          </w:tcPr>
          <w:p>
            <w:pPr>
              <w:spacing w:line="400" w:lineRule="exact"/>
              <w:rPr>
                <w:rFonts w:hint="eastAsia" w:ascii="宋体" w:hAnsi="宋体" w:cs="宋体"/>
                <w:b/>
                <w:bCs/>
                <w:szCs w:val="21"/>
              </w:rPr>
            </w:pPr>
            <w:r>
              <w:rPr>
                <w:rFonts w:hint="eastAsia" w:ascii="宋体" w:hAnsi="宋体" w:cs="宋体"/>
                <w:b/>
                <w:bCs/>
                <w:szCs w:val="21"/>
              </w:rPr>
              <w:t>保安员的巡查频率</w:t>
            </w:r>
          </w:p>
        </w:tc>
        <w:tc>
          <w:tcPr>
            <w:tcW w:w="1260" w:type="dxa"/>
            <w:noWrap w:val="0"/>
            <w:vAlign w:val="center"/>
          </w:tcPr>
          <w:p>
            <w:pPr>
              <w:spacing w:line="400" w:lineRule="exact"/>
              <w:jc w:val="center"/>
              <w:rPr>
                <w:rFonts w:hint="eastAsia" w:ascii="宋体" w:hAnsi="宋体" w:cs="宋体"/>
                <w:b/>
                <w:bCs/>
                <w:szCs w:val="21"/>
              </w:rPr>
            </w:pPr>
          </w:p>
        </w:tc>
        <w:tc>
          <w:tcPr>
            <w:tcW w:w="1541" w:type="dxa"/>
            <w:noWrap w:val="0"/>
            <w:vAlign w:val="center"/>
          </w:tcPr>
          <w:p>
            <w:pPr>
              <w:spacing w:line="400" w:lineRule="exact"/>
              <w:jc w:val="center"/>
              <w:rPr>
                <w:rFonts w:hint="eastAsia" w:ascii="宋体" w:hAnsi="宋体" w:cs="宋体"/>
                <w:b/>
                <w:bCs/>
                <w:szCs w:val="21"/>
              </w:rPr>
            </w:pPr>
          </w:p>
        </w:tc>
        <w:tc>
          <w:tcPr>
            <w:tcW w:w="1154" w:type="dxa"/>
            <w:noWrap w:val="0"/>
            <w:vAlign w:val="center"/>
          </w:tcPr>
          <w:p>
            <w:pPr>
              <w:spacing w:line="400" w:lineRule="exact"/>
              <w:jc w:val="center"/>
              <w:rPr>
                <w:rFonts w:hint="eastAsia" w:ascii="宋体" w:hAnsi="宋体" w:cs="宋体"/>
                <w:b/>
                <w:bCs/>
                <w:szCs w:val="21"/>
              </w:rPr>
            </w:pPr>
          </w:p>
        </w:tc>
        <w:tc>
          <w:tcPr>
            <w:tcW w:w="1265" w:type="dxa"/>
            <w:noWrap w:val="0"/>
            <w:vAlign w:val="center"/>
          </w:tcPr>
          <w:p>
            <w:pPr>
              <w:spacing w:line="400" w:lineRule="exact"/>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8" w:type="dxa"/>
            <w:noWrap w:val="0"/>
            <w:vAlign w:val="top"/>
          </w:tcPr>
          <w:p>
            <w:pPr>
              <w:spacing w:line="400" w:lineRule="exact"/>
              <w:rPr>
                <w:rFonts w:hint="eastAsia" w:ascii="宋体" w:hAnsi="宋体" w:cs="宋体"/>
                <w:b/>
                <w:bCs/>
                <w:szCs w:val="21"/>
              </w:rPr>
            </w:pPr>
            <w:r>
              <w:rPr>
                <w:rFonts w:hint="eastAsia" w:ascii="宋体" w:hAnsi="宋体" w:cs="宋体"/>
                <w:b/>
                <w:bCs/>
                <w:szCs w:val="21"/>
              </w:rPr>
              <w:t>安全防范宣传情况</w:t>
            </w:r>
          </w:p>
        </w:tc>
        <w:tc>
          <w:tcPr>
            <w:tcW w:w="1260" w:type="dxa"/>
            <w:noWrap w:val="0"/>
            <w:vAlign w:val="center"/>
          </w:tcPr>
          <w:p>
            <w:pPr>
              <w:spacing w:line="400" w:lineRule="exact"/>
              <w:jc w:val="center"/>
              <w:rPr>
                <w:rFonts w:hint="eastAsia" w:ascii="宋体" w:hAnsi="宋体" w:cs="宋体"/>
                <w:b/>
                <w:bCs/>
                <w:szCs w:val="21"/>
              </w:rPr>
            </w:pPr>
          </w:p>
        </w:tc>
        <w:tc>
          <w:tcPr>
            <w:tcW w:w="1541" w:type="dxa"/>
            <w:noWrap w:val="0"/>
            <w:vAlign w:val="center"/>
          </w:tcPr>
          <w:p>
            <w:pPr>
              <w:spacing w:line="400" w:lineRule="exact"/>
              <w:jc w:val="center"/>
              <w:rPr>
                <w:rFonts w:hint="eastAsia" w:ascii="宋体" w:hAnsi="宋体" w:cs="宋体"/>
                <w:b/>
                <w:bCs/>
                <w:szCs w:val="21"/>
              </w:rPr>
            </w:pPr>
          </w:p>
        </w:tc>
        <w:tc>
          <w:tcPr>
            <w:tcW w:w="1154" w:type="dxa"/>
            <w:noWrap w:val="0"/>
            <w:vAlign w:val="center"/>
          </w:tcPr>
          <w:p>
            <w:pPr>
              <w:spacing w:line="400" w:lineRule="exact"/>
              <w:jc w:val="center"/>
              <w:rPr>
                <w:rFonts w:hint="eastAsia" w:ascii="宋体" w:hAnsi="宋体" w:cs="宋体"/>
                <w:b/>
                <w:bCs/>
                <w:szCs w:val="21"/>
              </w:rPr>
            </w:pPr>
          </w:p>
        </w:tc>
        <w:tc>
          <w:tcPr>
            <w:tcW w:w="1265" w:type="dxa"/>
            <w:noWrap w:val="0"/>
            <w:vAlign w:val="center"/>
          </w:tcPr>
          <w:p>
            <w:pPr>
              <w:spacing w:line="400" w:lineRule="exact"/>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8" w:type="dxa"/>
            <w:noWrap w:val="0"/>
            <w:vAlign w:val="top"/>
          </w:tcPr>
          <w:p>
            <w:pPr>
              <w:spacing w:line="400" w:lineRule="exact"/>
              <w:rPr>
                <w:rFonts w:hint="eastAsia" w:ascii="宋体" w:hAnsi="宋体" w:cs="宋体"/>
                <w:b/>
                <w:bCs/>
                <w:szCs w:val="21"/>
              </w:rPr>
            </w:pPr>
            <w:r>
              <w:rPr>
                <w:rFonts w:hint="eastAsia" w:ascii="宋体" w:hAnsi="宋体" w:cs="宋体"/>
                <w:b/>
                <w:bCs/>
                <w:szCs w:val="21"/>
              </w:rPr>
              <w:t>对突发事件处理情况</w:t>
            </w:r>
          </w:p>
        </w:tc>
        <w:tc>
          <w:tcPr>
            <w:tcW w:w="1260" w:type="dxa"/>
            <w:noWrap w:val="0"/>
            <w:vAlign w:val="center"/>
          </w:tcPr>
          <w:p>
            <w:pPr>
              <w:spacing w:line="400" w:lineRule="exact"/>
              <w:jc w:val="center"/>
              <w:rPr>
                <w:rFonts w:hint="eastAsia" w:ascii="宋体" w:hAnsi="宋体" w:cs="宋体"/>
                <w:b/>
                <w:bCs/>
                <w:szCs w:val="21"/>
              </w:rPr>
            </w:pPr>
          </w:p>
        </w:tc>
        <w:tc>
          <w:tcPr>
            <w:tcW w:w="1541" w:type="dxa"/>
            <w:noWrap w:val="0"/>
            <w:vAlign w:val="center"/>
          </w:tcPr>
          <w:p>
            <w:pPr>
              <w:spacing w:line="400" w:lineRule="exact"/>
              <w:jc w:val="center"/>
              <w:rPr>
                <w:rFonts w:hint="eastAsia" w:ascii="宋体" w:hAnsi="宋体" w:cs="宋体"/>
                <w:b/>
                <w:bCs/>
                <w:szCs w:val="21"/>
              </w:rPr>
            </w:pPr>
          </w:p>
        </w:tc>
        <w:tc>
          <w:tcPr>
            <w:tcW w:w="1154" w:type="dxa"/>
            <w:noWrap w:val="0"/>
            <w:vAlign w:val="center"/>
          </w:tcPr>
          <w:p>
            <w:pPr>
              <w:spacing w:line="400" w:lineRule="exact"/>
              <w:jc w:val="center"/>
              <w:rPr>
                <w:rFonts w:hint="eastAsia" w:ascii="宋体" w:hAnsi="宋体" w:cs="宋体"/>
                <w:b/>
                <w:bCs/>
                <w:szCs w:val="21"/>
              </w:rPr>
            </w:pPr>
          </w:p>
        </w:tc>
        <w:tc>
          <w:tcPr>
            <w:tcW w:w="1265" w:type="dxa"/>
            <w:noWrap w:val="0"/>
            <w:vAlign w:val="center"/>
          </w:tcPr>
          <w:p>
            <w:pPr>
              <w:spacing w:line="400" w:lineRule="exact"/>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8" w:type="dxa"/>
            <w:noWrap w:val="0"/>
            <w:vAlign w:val="top"/>
          </w:tcPr>
          <w:p>
            <w:pPr>
              <w:spacing w:line="400" w:lineRule="exact"/>
              <w:rPr>
                <w:rFonts w:hint="eastAsia" w:ascii="宋体" w:hAnsi="宋体" w:cs="宋体"/>
                <w:b/>
                <w:bCs/>
                <w:szCs w:val="21"/>
              </w:rPr>
            </w:pPr>
            <w:r>
              <w:rPr>
                <w:rFonts w:hint="eastAsia" w:ascii="宋体" w:hAnsi="宋体" w:cs="宋体"/>
                <w:b/>
                <w:bCs/>
                <w:szCs w:val="21"/>
              </w:rPr>
              <w:t>医院的治安状况</w:t>
            </w:r>
          </w:p>
        </w:tc>
        <w:tc>
          <w:tcPr>
            <w:tcW w:w="1260" w:type="dxa"/>
            <w:noWrap w:val="0"/>
            <w:vAlign w:val="center"/>
          </w:tcPr>
          <w:p>
            <w:pPr>
              <w:spacing w:line="400" w:lineRule="exact"/>
              <w:jc w:val="center"/>
              <w:rPr>
                <w:rFonts w:hint="eastAsia" w:ascii="宋体" w:hAnsi="宋体" w:cs="宋体"/>
                <w:b/>
                <w:bCs/>
                <w:szCs w:val="21"/>
              </w:rPr>
            </w:pPr>
          </w:p>
        </w:tc>
        <w:tc>
          <w:tcPr>
            <w:tcW w:w="1541" w:type="dxa"/>
            <w:noWrap w:val="0"/>
            <w:vAlign w:val="center"/>
          </w:tcPr>
          <w:p>
            <w:pPr>
              <w:spacing w:line="400" w:lineRule="exact"/>
              <w:jc w:val="center"/>
              <w:rPr>
                <w:rFonts w:hint="eastAsia" w:ascii="宋体" w:hAnsi="宋体" w:cs="宋体"/>
                <w:b/>
                <w:bCs/>
                <w:szCs w:val="21"/>
              </w:rPr>
            </w:pPr>
          </w:p>
        </w:tc>
        <w:tc>
          <w:tcPr>
            <w:tcW w:w="1154" w:type="dxa"/>
            <w:noWrap w:val="0"/>
            <w:vAlign w:val="center"/>
          </w:tcPr>
          <w:p>
            <w:pPr>
              <w:spacing w:line="400" w:lineRule="exact"/>
              <w:jc w:val="center"/>
              <w:rPr>
                <w:rFonts w:hint="eastAsia" w:ascii="宋体" w:hAnsi="宋体" w:cs="宋体"/>
                <w:b/>
                <w:bCs/>
                <w:szCs w:val="21"/>
              </w:rPr>
            </w:pPr>
          </w:p>
        </w:tc>
        <w:tc>
          <w:tcPr>
            <w:tcW w:w="1265" w:type="dxa"/>
            <w:noWrap w:val="0"/>
            <w:vAlign w:val="center"/>
          </w:tcPr>
          <w:p>
            <w:pPr>
              <w:spacing w:line="400" w:lineRule="exact"/>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5" w:hRule="atLeast"/>
        </w:trPr>
        <w:tc>
          <w:tcPr>
            <w:tcW w:w="8748" w:type="dxa"/>
            <w:gridSpan w:val="5"/>
            <w:noWrap w:val="0"/>
            <w:vAlign w:val="center"/>
          </w:tcPr>
          <w:p>
            <w:pPr>
              <w:spacing w:line="400" w:lineRule="exact"/>
              <w:rPr>
                <w:rFonts w:hint="eastAsia" w:ascii="宋体" w:hAnsi="宋体" w:cs="宋体"/>
                <w:b/>
                <w:bCs/>
                <w:szCs w:val="21"/>
              </w:rPr>
            </w:pPr>
            <w:r>
              <w:rPr>
                <w:rFonts w:hint="eastAsia" w:ascii="宋体" w:hAnsi="宋体" w:cs="宋体"/>
                <w:b/>
                <w:bCs/>
                <w:szCs w:val="21"/>
              </w:rPr>
              <w:t>您对保安服务的总体评价：</w:t>
            </w:r>
          </w:p>
          <w:p>
            <w:pPr>
              <w:spacing w:line="400" w:lineRule="exact"/>
              <w:rPr>
                <w:rFonts w:hint="eastAsia" w:ascii="宋体" w:hAnsi="宋体" w:cs="宋体"/>
                <w:b/>
                <w:bCs/>
                <w:szCs w:val="21"/>
              </w:rPr>
            </w:pPr>
          </w:p>
          <w:p>
            <w:pPr>
              <w:spacing w:line="400" w:lineRule="exact"/>
              <w:rPr>
                <w:rFonts w:hint="eastAsia" w:ascii="宋体" w:hAnsi="宋体" w:cs="宋体"/>
                <w:b/>
                <w:bCs/>
                <w:szCs w:val="21"/>
              </w:rPr>
            </w:pPr>
          </w:p>
          <w:p>
            <w:pPr>
              <w:spacing w:line="400" w:lineRule="exact"/>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9" w:hRule="atLeast"/>
        </w:trPr>
        <w:tc>
          <w:tcPr>
            <w:tcW w:w="8748" w:type="dxa"/>
            <w:gridSpan w:val="5"/>
            <w:noWrap w:val="0"/>
            <w:vAlign w:val="top"/>
          </w:tcPr>
          <w:p>
            <w:pPr>
              <w:spacing w:line="400" w:lineRule="exact"/>
              <w:rPr>
                <w:rFonts w:hint="eastAsia" w:ascii="宋体" w:hAnsi="宋体" w:cs="宋体"/>
                <w:b/>
                <w:bCs/>
                <w:szCs w:val="21"/>
              </w:rPr>
            </w:pPr>
            <w:r>
              <w:rPr>
                <w:rFonts w:hint="eastAsia" w:ascii="宋体" w:hAnsi="宋体" w:cs="宋体"/>
                <w:b/>
                <w:bCs/>
                <w:szCs w:val="21"/>
              </w:rPr>
              <w:t>您对保安服务有何意见或建议：</w:t>
            </w:r>
          </w:p>
          <w:p>
            <w:pPr>
              <w:spacing w:line="400" w:lineRule="exact"/>
              <w:rPr>
                <w:rFonts w:hint="eastAsia" w:ascii="宋体" w:hAnsi="宋体" w:cs="宋体"/>
                <w:b/>
                <w:bCs/>
                <w:szCs w:val="21"/>
              </w:rPr>
            </w:pPr>
          </w:p>
          <w:p>
            <w:pPr>
              <w:spacing w:line="400" w:lineRule="exact"/>
              <w:rPr>
                <w:rFonts w:hint="eastAsia" w:ascii="宋体" w:hAnsi="宋体" w:cs="宋体"/>
                <w:b/>
                <w:bCs/>
                <w:szCs w:val="21"/>
              </w:rPr>
            </w:pPr>
          </w:p>
          <w:p>
            <w:pPr>
              <w:spacing w:line="400" w:lineRule="exact"/>
              <w:rPr>
                <w:rFonts w:hint="eastAsia" w:ascii="宋体" w:hAnsi="宋体" w:cs="宋体"/>
                <w:b/>
                <w:bCs/>
                <w:szCs w:val="21"/>
              </w:rPr>
            </w:pPr>
          </w:p>
          <w:p>
            <w:pPr>
              <w:spacing w:line="400" w:lineRule="exact"/>
              <w:rPr>
                <w:rFonts w:hint="eastAsia" w:ascii="宋体" w:hAnsi="宋体" w:cs="宋体"/>
                <w:b/>
                <w:bCs/>
                <w:szCs w:val="21"/>
              </w:rPr>
            </w:pPr>
          </w:p>
        </w:tc>
      </w:tr>
    </w:tbl>
    <w:p>
      <w:pPr>
        <w:spacing w:line="400" w:lineRule="exact"/>
        <w:jc w:val="center"/>
        <w:outlineLvl w:val="0"/>
        <w:rPr>
          <w:rStyle w:val="57"/>
          <w:rFonts w:hint="eastAsia"/>
          <w:sz w:val="21"/>
          <w:szCs w:val="21"/>
        </w:rPr>
      </w:pPr>
      <w:r>
        <w:rPr>
          <w:rFonts w:hint="eastAsia" w:ascii="宋体" w:hAnsi="宋体" w:cs="宋体"/>
          <w:b/>
          <w:bCs/>
          <w:szCs w:val="21"/>
        </w:rPr>
        <w:t xml:space="preserve">                                调查日期：  年    月    日</w:t>
      </w:r>
    </w:p>
    <w:p>
      <w:pPr>
        <w:spacing w:line="400" w:lineRule="exact"/>
        <w:jc w:val="center"/>
        <w:outlineLvl w:val="0"/>
        <w:rPr>
          <w:rFonts w:ascii="宋体" w:hAnsi="宋体"/>
          <w:b/>
          <w:color w:val="000000"/>
          <w:sz w:val="32"/>
        </w:rPr>
      </w:pPr>
      <w:r>
        <w:rPr>
          <w:rStyle w:val="57"/>
          <w:rFonts w:hint="eastAsia"/>
          <w:sz w:val="32"/>
          <w:szCs w:val="32"/>
        </w:rPr>
        <w:br w:type="page"/>
      </w:r>
      <w:r>
        <w:rPr>
          <w:rStyle w:val="57"/>
          <w:rFonts w:hint="eastAsia"/>
          <w:sz w:val="32"/>
          <w:szCs w:val="32"/>
        </w:rPr>
        <w:t>第六章</w:t>
      </w:r>
      <w:r>
        <w:rPr>
          <w:rStyle w:val="57"/>
          <w:sz w:val="32"/>
          <w:szCs w:val="32"/>
        </w:rPr>
        <w:t xml:space="preserve">  </w:t>
      </w:r>
      <w:r>
        <w:rPr>
          <w:rStyle w:val="57"/>
          <w:rFonts w:hint="eastAsia"/>
          <w:sz w:val="32"/>
          <w:szCs w:val="32"/>
        </w:rPr>
        <w:t>商务条款</w:t>
      </w:r>
      <w:bookmarkEnd w:id="48"/>
      <w:bookmarkEnd w:id="49"/>
    </w:p>
    <w:p>
      <w:pPr>
        <w:pStyle w:val="207"/>
      </w:pPr>
    </w:p>
    <w:tbl>
      <w:tblPr>
        <w:tblStyle w:val="44"/>
        <w:tblW w:w="92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6172"/>
        <w:gridCol w:w="22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869" w:type="dxa"/>
            <w:tcBorders>
              <w:top w:val="single" w:color="auto" w:sz="4" w:space="0"/>
              <w:bottom w:val="single" w:color="auto" w:sz="4" w:space="0"/>
              <w:right w:val="single" w:color="auto" w:sz="4" w:space="0"/>
            </w:tcBorders>
            <w:noWrap w:val="0"/>
            <w:vAlign w:val="center"/>
          </w:tcPr>
          <w:p>
            <w:pPr>
              <w:snapToGrid w:val="0"/>
              <w:spacing w:line="320" w:lineRule="exact"/>
              <w:jc w:val="center"/>
              <w:rPr>
                <w:rFonts w:ascii="宋体" w:cs="Arial"/>
                <w:b/>
                <w:szCs w:val="21"/>
              </w:rPr>
            </w:pPr>
            <w:r>
              <w:rPr>
                <w:rFonts w:hint="eastAsia" w:ascii="宋体" w:hAnsi="宋体" w:cs="Arial"/>
                <w:b/>
                <w:szCs w:val="21"/>
              </w:rPr>
              <w:t>序号</w:t>
            </w:r>
          </w:p>
        </w:tc>
        <w:tc>
          <w:tcPr>
            <w:tcW w:w="6172"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宋体" w:cs="Arial"/>
                <w:b/>
                <w:szCs w:val="21"/>
              </w:rPr>
            </w:pPr>
            <w:r>
              <w:rPr>
                <w:rFonts w:hint="eastAsia" w:ascii="宋体" w:hAnsi="宋体" w:cs="Arial"/>
                <w:b/>
                <w:szCs w:val="21"/>
              </w:rPr>
              <w:t>招标商务条款要求</w:t>
            </w:r>
          </w:p>
        </w:tc>
        <w:tc>
          <w:tcPr>
            <w:tcW w:w="2247" w:type="dxa"/>
            <w:tcBorders>
              <w:top w:val="single" w:color="auto" w:sz="4" w:space="0"/>
              <w:left w:val="single" w:color="auto" w:sz="4" w:space="0"/>
              <w:bottom w:val="single" w:color="auto" w:sz="4" w:space="0"/>
            </w:tcBorders>
            <w:noWrap w:val="0"/>
            <w:vAlign w:val="center"/>
          </w:tcPr>
          <w:p>
            <w:pPr>
              <w:snapToGrid w:val="0"/>
              <w:spacing w:line="320" w:lineRule="exact"/>
              <w:jc w:val="center"/>
              <w:rPr>
                <w:rFonts w:ascii="宋体" w:cs="Arial"/>
                <w:b/>
                <w:szCs w:val="21"/>
              </w:rPr>
            </w:pPr>
            <w:r>
              <w:rPr>
                <w:rFonts w:hint="eastAsia" w:ascii="宋体" w:hAnsi="宋体" w:cs="Arial"/>
                <w:b/>
                <w:szCs w:val="21"/>
              </w:rPr>
              <w:t>投标响应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69" w:type="dxa"/>
            <w:tcBorders>
              <w:top w:val="single" w:color="auto" w:sz="4" w:space="0"/>
              <w:bottom w:val="single" w:color="auto" w:sz="4" w:space="0"/>
              <w:right w:val="single" w:color="auto" w:sz="4" w:space="0"/>
            </w:tcBorders>
            <w:noWrap w:val="0"/>
            <w:vAlign w:val="center"/>
          </w:tcPr>
          <w:p>
            <w:pPr>
              <w:snapToGrid w:val="0"/>
              <w:spacing w:line="320" w:lineRule="exact"/>
              <w:jc w:val="center"/>
              <w:rPr>
                <w:rFonts w:ascii="宋体" w:hAnsi="宋体" w:cs="Arial"/>
                <w:szCs w:val="21"/>
              </w:rPr>
            </w:pPr>
            <w:r>
              <w:rPr>
                <w:rFonts w:ascii="宋体" w:hAnsi="宋体" w:cs="Arial"/>
                <w:szCs w:val="21"/>
              </w:rPr>
              <w:t>1</w:t>
            </w:r>
          </w:p>
        </w:tc>
        <w:tc>
          <w:tcPr>
            <w:tcW w:w="617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rPr>
            </w:pPr>
            <w:r>
              <w:rPr>
                <w:rFonts w:hint="eastAsia" w:ascii="宋体" w:hAnsi="宋体"/>
                <w:szCs w:val="21"/>
              </w:rPr>
              <w:t>服务</w:t>
            </w:r>
            <w:r>
              <w:rPr>
                <w:rFonts w:hint="eastAsia" w:ascii="宋体" w:hAnsi="宋体" w:cs="宋体"/>
                <w:szCs w:val="21"/>
              </w:rPr>
              <w:t>合同</w:t>
            </w:r>
            <w:r>
              <w:rPr>
                <w:rFonts w:hint="eastAsia" w:ascii="宋体" w:hAnsi="宋体"/>
                <w:szCs w:val="21"/>
              </w:rPr>
              <w:t>期限：</w:t>
            </w:r>
            <w:r>
              <w:rPr>
                <w:rFonts w:hint="eastAsia" w:ascii="宋体" w:hAnsi="宋体" w:cs="宋体"/>
                <w:szCs w:val="21"/>
                <w:highlight w:val="none"/>
              </w:rPr>
              <w:t>三年，合同一年一签，每年期满后，招标人对中标人的合同履行等情况进行综合评估考核，考核合格后续签下一年度</w:t>
            </w:r>
            <w:r>
              <w:rPr>
                <w:rFonts w:hint="eastAsia" w:ascii="宋体" w:hAnsi="宋体"/>
                <w:highlight w:val="none"/>
              </w:rPr>
              <w:t>，续签条款按照原合同履行。</w:t>
            </w:r>
          </w:p>
        </w:tc>
        <w:tc>
          <w:tcPr>
            <w:tcW w:w="2247" w:type="dxa"/>
            <w:tcBorders>
              <w:top w:val="single" w:color="auto" w:sz="4" w:space="0"/>
              <w:left w:val="single" w:color="auto" w:sz="4" w:space="0"/>
              <w:bottom w:val="single" w:color="auto" w:sz="4" w:space="0"/>
            </w:tcBorders>
            <w:noWrap w:val="0"/>
            <w:vAlign w:val="center"/>
          </w:tcPr>
          <w:p>
            <w:pPr>
              <w:autoSpaceDE w:val="0"/>
              <w:autoSpaceDN w:val="0"/>
              <w:snapToGrid w:val="0"/>
              <w:spacing w:line="320" w:lineRule="exact"/>
              <w:textAlignment w:val="bottom"/>
              <w:rPr>
                <w:rFonts w:asci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69" w:type="dxa"/>
            <w:tcBorders>
              <w:top w:val="single" w:color="auto" w:sz="4" w:space="0"/>
              <w:bottom w:val="single" w:color="auto" w:sz="4" w:space="0"/>
              <w:right w:val="single" w:color="auto" w:sz="4" w:space="0"/>
            </w:tcBorders>
            <w:noWrap w:val="0"/>
            <w:vAlign w:val="center"/>
          </w:tcPr>
          <w:p>
            <w:pPr>
              <w:snapToGrid w:val="0"/>
              <w:spacing w:line="320" w:lineRule="exact"/>
              <w:jc w:val="center"/>
              <w:rPr>
                <w:rFonts w:ascii="宋体" w:hAnsi="宋体" w:cs="Arial"/>
                <w:szCs w:val="21"/>
              </w:rPr>
            </w:pPr>
            <w:r>
              <w:rPr>
                <w:rFonts w:ascii="宋体" w:hAnsi="宋体" w:cs="Arial"/>
                <w:szCs w:val="21"/>
              </w:rPr>
              <w:t>2</w:t>
            </w:r>
          </w:p>
        </w:tc>
        <w:tc>
          <w:tcPr>
            <w:tcW w:w="617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cs="宋体"/>
              </w:rPr>
            </w:pPr>
            <w:r>
              <w:rPr>
                <w:rFonts w:hint="eastAsia" w:ascii="宋体" w:hAnsi="宋体" w:cs="宋体"/>
              </w:rPr>
              <w:t>履约保证金:</w:t>
            </w:r>
          </w:p>
          <w:p>
            <w:pPr>
              <w:spacing w:line="300" w:lineRule="exact"/>
              <w:rPr>
                <w:rFonts w:hint="eastAsia" w:ascii="宋体" w:hAnsi="宋体" w:cs="宋体"/>
              </w:rPr>
            </w:pPr>
            <w:r>
              <w:rPr>
                <w:rFonts w:hint="eastAsia" w:ascii="宋体" w:hAnsi="宋体" w:cs="宋体"/>
              </w:rPr>
              <w:t>1、服务方应在合同签订后5个工作日内，向院方交付合同服务费总金额的2%作为履约保证金，履约保证金接受以电汇、支票</w:t>
            </w:r>
            <w:r>
              <w:rPr>
                <w:rFonts w:hint="eastAsia" w:ascii="宋体" w:hAnsi="宋体"/>
                <w:szCs w:val="21"/>
                <w:lang w:val="zh-CN"/>
              </w:rPr>
              <w:t>（仅限于使用舟山大市区范围内的银行开具的支票）</w:t>
            </w:r>
            <w:r>
              <w:rPr>
                <w:rFonts w:hint="eastAsia" w:ascii="宋体" w:hAnsi="宋体" w:cs="宋体"/>
              </w:rPr>
              <w:t>、转账、银行或保险公司出具履约保函形式提交。</w:t>
            </w:r>
          </w:p>
          <w:p>
            <w:pPr>
              <w:spacing w:line="300" w:lineRule="exact"/>
              <w:rPr>
                <w:rFonts w:hint="eastAsia" w:ascii="宋体" w:hAnsi="宋体" w:cs="宋体"/>
              </w:rPr>
            </w:pPr>
            <w:r>
              <w:rPr>
                <w:rFonts w:hint="eastAsia" w:ascii="宋体" w:hAnsi="宋体" w:cs="宋体"/>
              </w:rPr>
              <w:t>2、在解除或终止合同时，服务方在办理退场交接手续时必须保证稳定安全交接，如到期后离场产生骚乱的，院方有权没收履约保证金，造成采购人经济或声誉损失的，除没收履约保证金外，院方将追究法律责任。</w:t>
            </w:r>
          </w:p>
          <w:p>
            <w:pPr>
              <w:spacing w:line="300" w:lineRule="exact"/>
              <w:rPr>
                <w:rFonts w:hint="eastAsia"/>
              </w:rPr>
            </w:pPr>
            <w:r>
              <w:rPr>
                <w:rFonts w:hint="eastAsia" w:ascii="宋体" w:hAnsi="宋体" w:cs="宋体"/>
              </w:rPr>
              <w:t>3、若服务方没有违约行为，履约保证金在合同期满，稳定交接后15个工作日内一次性无息返还。</w:t>
            </w:r>
          </w:p>
        </w:tc>
        <w:tc>
          <w:tcPr>
            <w:tcW w:w="2247" w:type="dxa"/>
            <w:tcBorders>
              <w:top w:val="single" w:color="auto" w:sz="4" w:space="0"/>
              <w:left w:val="single" w:color="auto" w:sz="4" w:space="0"/>
              <w:bottom w:val="single" w:color="auto" w:sz="4" w:space="0"/>
            </w:tcBorders>
            <w:noWrap w:val="0"/>
            <w:vAlign w:val="center"/>
          </w:tcPr>
          <w:p>
            <w:pPr>
              <w:spacing w:line="320" w:lineRule="exact"/>
              <w:rPr>
                <w:rFonts w:asci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69" w:type="dxa"/>
            <w:tcBorders>
              <w:top w:val="single" w:color="auto" w:sz="4" w:space="0"/>
              <w:bottom w:val="single" w:color="auto" w:sz="4" w:space="0"/>
              <w:right w:val="single" w:color="auto" w:sz="4" w:space="0"/>
            </w:tcBorders>
            <w:noWrap w:val="0"/>
            <w:vAlign w:val="center"/>
          </w:tcPr>
          <w:p>
            <w:pPr>
              <w:snapToGrid w:val="0"/>
              <w:spacing w:line="320" w:lineRule="exact"/>
              <w:jc w:val="center"/>
              <w:rPr>
                <w:rFonts w:ascii="宋体" w:hAnsi="宋体" w:cs="Arial"/>
                <w:szCs w:val="21"/>
              </w:rPr>
            </w:pPr>
            <w:r>
              <w:rPr>
                <w:rFonts w:ascii="宋体" w:hAnsi="宋体" w:cs="Arial"/>
                <w:szCs w:val="21"/>
              </w:rPr>
              <w:t>3</w:t>
            </w:r>
          </w:p>
        </w:tc>
        <w:tc>
          <w:tcPr>
            <w:tcW w:w="617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szCs w:val="21"/>
              </w:rPr>
            </w:pPr>
            <w:r>
              <w:rPr>
                <w:rFonts w:hint="eastAsia" w:ascii="宋体" w:hAnsi="宋体"/>
                <w:szCs w:val="21"/>
              </w:rPr>
              <w:t>付款方式：</w:t>
            </w:r>
          </w:p>
          <w:p>
            <w:pPr>
              <w:spacing w:line="300" w:lineRule="exact"/>
              <w:rPr>
                <w:rFonts w:hint="eastAsia"/>
              </w:rPr>
            </w:pPr>
            <w:r>
              <w:rPr>
                <w:rFonts w:hint="eastAsia" w:ascii="宋体" w:hAnsi="宋体"/>
                <w:szCs w:val="21"/>
              </w:rPr>
              <w:t>按月结算，</w:t>
            </w:r>
            <w:r>
              <w:rPr>
                <w:rFonts w:hint="eastAsia" w:ascii="宋体" w:hAnsi="宋体"/>
                <w:szCs w:val="21"/>
                <w:lang w:val="zh-CN"/>
              </w:rPr>
              <w:t>在</w:t>
            </w:r>
            <w:r>
              <w:rPr>
                <w:rFonts w:hint="eastAsia" w:ascii="宋体" w:hAnsi="宋体" w:cs="宋体"/>
                <w:szCs w:val="21"/>
              </w:rPr>
              <w:t>每月月初结算上一个月的费用，具体时间以合同为准。</w:t>
            </w:r>
          </w:p>
        </w:tc>
        <w:tc>
          <w:tcPr>
            <w:tcW w:w="2247" w:type="dxa"/>
            <w:tcBorders>
              <w:top w:val="single" w:color="auto" w:sz="4" w:space="0"/>
              <w:left w:val="single" w:color="auto" w:sz="4" w:space="0"/>
              <w:bottom w:val="single" w:color="auto" w:sz="4" w:space="0"/>
            </w:tcBorders>
            <w:noWrap w:val="0"/>
            <w:vAlign w:val="center"/>
          </w:tcPr>
          <w:p>
            <w:pPr>
              <w:spacing w:line="320" w:lineRule="exact"/>
              <w:rPr>
                <w:rFonts w:ascii="宋体" w:cs="Arial"/>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69" w:type="dxa"/>
            <w:tcBorders>
              <w:top w:val="single" w:color="auto" w:sz="4" w:space="0"/>
              <w:bottom w:val="single" w:color="auto" w:sz="4" w:space="0"/>
              <w:right w:val="single" w:color="auto" w:sz="4" w:space="0"/>
            </w:tcBorders>
            <w:noWrap w:val="0"/>
            <w:vAlign w:val="center"/>
          </w:tcPr>
          <w:p>
            <w:pPr>
              <w:snapToGrid w:val="0"/>
              <w:spacing w:line="320" w:lineRule="exact"/>
              <w:jc w:val="center"/>
              <w:rPr>
                <w:rFonts w:ascii="宋体" w:hAnsi="宋体" w:cs="Arial"/>
                <w:szCs w:val="21"/>
              </w:rPr>
            </w:pPr>
            <w:r>
              <w:rPr>
                <w:rFonts w:ascii="宋体" w:hAnsi="宋体" w:cs="Arial"/>
                <w:szCs w:val="21"/>
              </w:rPr>
              <w:t>4</w:t>
            </w:r>
          </w:p>
        </w:tc>
        <w:tc>
          <w:tcPr>
            <w:tcW w:w="61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hint="eastAsia" w:ascii="宋体" w:hAnsi="宋体" w:cs="宋体"/>
                <w:szCs w:val="21"/>
              </w:rPr>
            </w:pPr>
            <w:r>
              <w:rPr>
                <w:rFonts w:hint="eastAsia" w:ascii="宋体" w:hAnsi="宋体"/>
                <w:szCs w:val="21"/>
                <w:lang w:val="zh-CN"/>
              </w:rPr>
              <w:t>授予合同：按照招标文件的规定、中标人的投标响应及中标通知书确定的金额签订合同。</w:t>
            </w:r>
          </w:p>
        </w:tc>
        <w:tc>
          <w:tcPr>
            <w:tcW w:w="2247" w:type="dxa"/>
            <w:tcBorders>
              <w:top w:val="single" w:color="auto" w:sz="4" w:space="0"/>
              <w:left w:val="single" w:color="auto" w:sz="4" w:space="0"/>
              <w:bottom w:val="single" w:color="auto" w:sz="4" w:space="0"/>
            </w:tcBorders>
            <w:noWrap w:val="0"/>
            <w:vAlign w:val="center"/>
          </w:tcPr>
          <w:p>
            <w:pPr>
              <w:spacing w:line="320" w:lineRule="exact"/>
              <w:rPr>
                <w:rFonts w:ascii="宋体" w:cs="Arial"/>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69" w:type="dxa"/>
            <w:tcBorders>
              <w:top w:val="single" w:color="auto" w:sz="4" w:space="0"/>
              <w:bottom w:val="single" w:color="auto" w:sz="4" w:space="0"/>
              <w:right w:val="single" w:color="auto" w:sz="4" w:space="0"/>
            </w:tcBorders>
            <w:noWrap w:val="0"/>
            <w:vAlign w:val="center"/>
          </w:tcPr>
          <w:p>
            <w:pPr>
              <w:snapToGrid w:val="0"/>
              <w:spacing w:line="320" w:lineRule="exact"/>
              <w:jc w:val="center"/>
              <w:rPr>
                <w:rFonts w:ascii="宋体" w:hAnsi="宋体" w:cs="Arial"/>
                <w:szCs w:val="21"/>
              </w:rPr>
            </w:pPr>
            <w:r>
              <w:rPr>
                <w:rFonts w:ascii="宋体" w:hAnsi="宋体" w:cs="Arial"/>
                <w:szCs w:val="21"/>
              </w:rPr>
              <w:t>5</w:t>
            </w:r>
          </w:p>
        </w:tc>
        <w:tc>
          <w:tcPr>
            <w:tcW w:w="61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hint="eastAsia" w:ascii="宋体" w:hAnsi="宋体" w:cs="宋体"/>
                <w:szCs w:val="21"/>
              </w:rPr>
            </w:pPr>
            <w:r>
              <w:rPr>
                <w:rFonts w:hint="eastAsia" w:ascii="宋体" w:hAnsi="宋体"/>
                <w:szCs w:val="21"/>
                <w:lang w:val="zh-CN"/>
              </w:rPr>
              <w:t>合同签订时间：中标通知书发出之日起30天内。</w:t>
            </w:r>
          </w:p>
        </w:tc>
        <w:tc>
          <w:tcPr>
            <w:tcW w:w="2247" w:type="dxa"/>
            <w:tcBorders>
              <w:top w:val="single" w:color="auto" w:sz="4" w:space="0"/>
              <w:left w:val="single" w:color="auto" w:sz="4" w:space="0"/>
              <w:bottom w:val="single" w:color="auto" w:sz="4" w:space="0"/>
            </w:tcBorders>
            <w:noWrap w:val="0"/>
            <w:vAlign w:val="center"/>
          </w:tcPr>
          <w:p>
            <w:pPr>
              <w:spacing w:line="320" w:lineRule="exact"/>
              <w:rPr>
                <w:rFonts w:ascii="宋体" w:cs="Arial"/>
                <w:kern w:val="0"/>
                <w:szCs w:val="21"/>
              </w:rPr>
            </w:pPr>
          </w:p>
        </w:tc>
      </w:tr>
    </w:tbl>
    <w:p>
      <w:pPr>
        <w:spacing w:line="400" w:lineRule="exact"/>
        <w:jc w:val="center"/>
        <w:outlineLvl w:val="0"/>
        <w:rPr>
          <w:rFonts w:ascii="宋体" w:hAnsi="宋体"/>
          <w:b/>
          <w:color w:val="000000"/>
          <w:sz w:val="32"/>
        </w:rPr>
      </w:pPr>
      <w:r>
        <w:rPr>
          <w:rFonts w:hint="eastAsia" w:ascii="宋体" w:hAnsi="宋体"/>
          <w:color w:val="000000"/>
          <w:szCs w:val="21"/>
        </w:rPr>
        <w:br w:type="page"/>
      </w:r>
      <w:bookmarkStart w:id="62" w:name="_Toc2642"/>
      <w:r>
        <w:rPr>
          <w:rStyle w:val="57"/>
          <w:rFonts w:hint="eastAsia"/>
          <w:sz w:val="32"/>
          <w:szCs w:val="32"/>
        </w:rPr>
        <w:t>第七章</w:t>
      </w:r>
      <w:r>
        <w:rPr>
          <w:rStyle w:val="57"/>
          <w:sz w:val="32"/>
          <w:szCs w:val="32"/>
        </w:rPr>
        <w:t xml:space="preserve">  </w:t>
      </w:r>
      <w:r>
        <w:rPr>
          <w:rStyle w:val="57"/>
          <w:rFonts w:hint="eastAsia"/>
          <w:sz w:val="32"/>
          <w:szCs w:val="32"/>
        </w:rPr>
        <w:t>附件</w:t>
      </w:r>
      <w:bookmarkEnd w:id="50"/>
      <w:bookmarkEnd w:id="62"/>
    </w:p>
    <w:p>
      <w:pPr>
        <w:autoSpaceDE w:val="0"/>
        <w:autoSpaceDN w:val="0"/>
        <w:adjustRightInd w:val="0"/>
        <w:spacing w:before="960" w:beforeLines="400" w:line="420" w:lineRule="exact"/>
        <w:jc w:val="center"/>
        <w:rPr>
          <w:rStyle w:val="114"/>
          <w:rFonts w:ascii="宋体" w:hAnsi="宋体"/>
          <w:color w:val="000000"/>
          <w:sz w:val="32"/>
          <w:szCs w:val="32"/>
        </w:rPr>
      </w:pPr>
      <w:r>
        <w:rPr>
          <w:rStyle w:val="114"/>
          <w:rFonts w:ascii="宋体" w:hAnsi="宋体"/>
          <w:color w:val="000000"/>
          <w:sz w:val="32"/>
          <w:szCs w:val="32"/>
        </w:rPr>
        <w:t>A.</w:t>
      </w:r>
      <w:r>
        <w:rPr>
          <w:rStyle w:val="114"/>
          <w:rFonts w:hint="eastAsia" w:ascii="宋体" w:hAnsi="宋体"/>
          <w:color w:val="000000"/>
          <w:sz w:val="32"/>
          <w:szCs w:val="32"/>
        </w:rPr>
        <w:t>资格文件</w:t>
      </w:r>
    </w:p>
    <w:p>
      <w:pPr>
        <w:spacing w:line="360" w:lineRule="auto"/>
        <w:ind w:firstLine="1120" w:firstLineChars="400"/>
        <w:rPr>
          <w:rFonts w:ascii="宋体" w:hAnsi="宋体"/>
          <w:color w:val="000000"/>
          <w:sz w:val="28"/>
        </w:rPr>
      </w:pPr>
    </w:p>
    <w:p>
      <w:pPr>
        <w:spacing w:line="360" w:lineRule="auto"/>
        <w:rPr>
          <w:rFonts w:ascii="宋体" w:hAnsi="宋体"/>
          <w:b/>
          <w:color w:val="000000"/>
          <w:sz w:val="32"/>
          <w:szCs w:val="32"/>
        </w:rPr>
      </w:pPr>
      <w:r>
        <w:rPr>
          <w:rFonts w:ascii="宋体" w:hAnsi="宋体"/>
          <w:color w:val="000000"/>
          <w:sz w:val="28"/>
        </w:rPr>
        <w:br w:type="page"/>
      </w:r>
      <w:r>
        <w:rPr>
          <w:rFonts w:hint="eastAsia" w:ascii="宋体" w:hAnsi="宋体"/>
          <w:b/>
          <w:color w:val="000000"/>
          <w:sz w:val="32"/>
          <w:szCs w:val="32"/>
        </w:rPr>
        <w:t>封面</w:t>
      </w:r>
      <w:r>
        <w:rPr>
          <w:rFonts w:ascii="宋体" w:hAnsi="宋体"/>
          <w:b/>
          <w:color w:val="000000"/>
          <w:sz w:val="32"/>
          <w:szCs w:val="32"/>
        </w:rPr>
        <w:t xml:space="preserve">                                       </w:t>
      </w:r>
    </w:p>
    <w:p>
      <w:pPr>
        <w:spacing w:line="360" w:lineRule="auto"/>
        <w:jc w:val="right"/>
        <w:rPr>
          <w:rFonts w:ascii="宋体" w:hAnsi="宋体"/>
          <w:b/>
          <w:color w:val="000000"/>
          <w:sz w:val="32"/>
          <w:szCs w:val="32"/>
        </w:rPr>
      </w:pPr>
      <w:r>
        <w:rPr>
          <w:rFonts w:hint="eastAsia" w:ascii="宋体" w:hAnsi="宋体"/>
          <w:b/>
          <w:color w:val="000000"/>
          <w:sz w:val="32"/>
          <w:szCs w:val="32"/>
        </w:rPr>
        <w:t>正（副）本</w:t>
      </w:r>
    </w:p>
    <w:p>
      <w:pPr>
        <w:spacing w:line="360" w:lineRule="auto"/>
        <w:rPr>
          <w:rFonts w:ascii="宋体" w:hAnsi="宋体"/>
          <w:color w:val="000000"/>
          <w:sz w:val="28"/>
          <w:szCs w:val="28"/>
        </w:rPr>
      </w:pPr>
    </w:p>
    <w:p>
      <w:pPr>
        <w:spacing w:line="360" w:lineRule="auto"/>
        <w:jc w:val="center"/>
        <w:rPr>
          <w:rFonts w:hint="eastAsia" w:ascii="宋体" w:hAnsi="宋体"/>
          <w:color w:val="000000"/>
          <w:sz w:val="42"/>
          <w:szCs w:val="52"/>
        </w:rPr>
      </w:pPr>
      <w:r>
        <w:rPr>
          <w:rFonts w:hint="eastAsia" w:ascii="宋体" w:hAnsi="宋体"/>
          <w:b/>
          <w:color w:val="000000"/>
          <w:sz w:val="42"/>
          <w:szCs w:val="52"/>
        </w:rPr>
        <w:t>舟山市中医院保安服务采购项目</w:t>
      </w:r>
    </w:p>
    <w:p>
      <w:pPr>
        <w:spacing w:line="360" w:lineRule="auto"/>
        <w:jc w:val="center"/>
        <w:rPr>
          <w:rFonts w:hint="eastAsia" w:ascii="宋体" w:hAnsi="宋体"/>
          <w:color w:val="000000"/>
          <w:sz w:val="36"/>
          <w:szCs w:val="36"/>
        </w:rPr>
      </w:pPr>
      <w:r>
        <w:rPr>
          <w:rFonts w:hint="eastAsia" w:ascii="宋体" w:hAnsi="宋体"/>
          <w:color w:val="000000"/>
          <w:sz w:val="36"/>
          <w:szCs w:val="36"/>
        </w:rPr>
        <w:t>采购编号：</w:t>
      </w:r>
      <w:r>
        <w:rPr>
          <w:rFonts w:hint="eastAsia" w:ascii="宋体" w:hAnsi="宋体"/>
          <w:color w:val="000000"/>
          <w:sz w:val="36"/>
          <w:szCs w:val="36"/>
          <w:u w:val="single"/>
        </w:rPr>
        <w:t>NBITC-202250011G</w:t>
      </w:r>
    </w:p>
    <w:p>
      <w:pPr>
        <w:spacing w:line="360" w:lineRule="auto"/>
        <w:jc w:val="center"/>
        <w:rPr>
          <w:rFonts w:ascii="宋体" w:hAnsi="宋体"/>
          <w:color w:val="000000"/>
          <w:sz w:val="36"/>
          <w:szCs w:val="36"/>
        </w:rPr>
      </w:pPr>
      <w:r>
        <w:rPr>
          <w:rFonts w:hint="eastAsia" w:ascii="宋体" w:hAnsi="宋体"/>
          <w:color w:val="000000"/>
          <w:sz w:val="36"/>
          <w:szCs w:val="36"/>
        </w:rPr>
        <w:t>子</w:t>
      </w:r>
      <w:r>
        <w:rPr>
          <w:rFonts w:ascii="宋体" w:hAnsi="宋体"/>
          <w:color w:val="000000"/>
          <w:sz w:val="36"/>
          <w:szCs w:val="36"/>
        </w:rPr>
        <w:t xml:space="preserve">    </w:t>
      </w:r>
      <w:r>
        <w:rPr>
          <w:rFonts w:hint="eastAsia" w:ascii="宋体" w:hAnsi="宋体"/>
          <w:color w:val="000000"/>
          <w:sz w:val="36"/>
          <w:szCs w:val="36"/>
        </w:rPr>
        <w:t>包：</w:t>
      </w:r>
      <w:r>
        <w:rPr>
          <w:rFonts w:hint="eastAsia" w:ascii="宋体" w:hAnsi="宋体"/>
          <w:color w:val="000000"/>
          <w:sz w:val="36"/>
          <w:szCs w:val="36"/>
          <w:u w:val="single"/>
        </w:rPr>
        <w:t>（如有多个子包）</w:t>
      </w:r>
    </w:p>
    <w:p>
      <w:pPr>
        <w:rPr>
          <w:rFonts w:ascii="宋体" w:hAnsi="宋体"/>
          <w:color w:val="000000"/>
          <w:sz w:val="28"/>
          <w:szCs w:val="28"/>
        </w:rPr>
      </w:pPr>
    </w:p>
    <w:p>
      <w:pPr>
        <w:spacing w:line="360" w:lineRule="auto"/>
        <w:jc w:val="center"/>
        <w:rPr>
          <w:rFonts w:ascii="宋体" w:hAnsi="宋体"/>
          <w:color w:val="000000"/>
          <w:sz w:val="36"/>
          <w:szCs w:val="36"/>
        </w:rPr>
      </w:pPr>
      <w:r>
        <w:rPr>
          <w:rFonts w:hint="eastAsia" w:ascii="宋体" w:hAnsi="宋体"/>
          <w:color w:val="000000"/>
          <w:sz w:val="36"/>
          <w:szCs w:val="36"/>
        </w:rPr>
        <w:t>（资格文件）</w:t>
      </w:r>
    </w:p>
    <w:p>
      <w:pPr>
        <w:jc w:val="center"/>
        <w:rPr>
          <w:rFonts w:ascii="宋体" w:hAnsi="宋体"/>
          <w:color w:val="000000"/>
          <w:sz w:val="28"/>
          <w:szCs w:val="28"/>
        </w:rPr>
      </w:pPr>
    </w:p>
    <w:p>
      <w:pPr>
        <w:spacing w:line="360" w:lineRule="auto"/>
        <w:jc w:val="center"/>
        <w:rPr>
          <w:rFonts w:ascii="宋体" w:hAnsi="宋体"/>
          <w:b/>
          <w:color w:val="000000"/>
          <w:sz w:val="72"/>
          <w:szCs w:val="72"/>
        </w:rPr>
      </w:pPr>
      <w:r>
        <w:rPr>
          <w:rFonts w:hint="eastAsia" w:ascii="宋体" w:hAnsi="宋体"/>
          <w:b/>
          <w:color w:val="000000"/>
          <w:sz w:val="72"/>
          <w:szCs w:val="72"/>
        </w:rPr>
        <w:t>投标文件</w:t>
      </w:r>
    </w:p>
    <w:p>
      <w:pPr>
        <w:spacing w:line="360" w:lineRule="auto"/>
        <w:jc w:val="center"/>
        <w:rPr>
          <w:rFonts w:ascii="宋体" w:hAnsi="宋体"/>
          <w:color w:val="000000"/>
          <w:sz w:val="36"/>
          <w:szCs w:val="36"/>
        </w:rPr>
      </w:pPr>
    </w:p>
    <w:p>
      <w:pPr>
        <w:spacing w:line="360" w:lineRule="auto"/>
        <w:jc w:val="center"/>
        <w:rPr>
          <w:rFonts w:ascii="宋体" w:hAnsi="宋体"/>
          <w:color w:val="000000"/>
          <w:sz w:val="36"/>
          <w:szCs w:val="36"/>
        </w:rPr>
      </w:pPr>
    </w:p>
    <w:p>
      <w:pPr>
        <w:spacing w:line="360" w:lineRule="auto"/>
        <w:jc w:val="center"/>
        <w:rPr>
          <w:rFonts w:ascii="宋体" w:hAnsi="宋体"/>
          <w:color w:val="000000"/>
          <w:sz w:val="36"/>
          <w:szCs w:val="36"/>
        </w:rPr>
      </w:pPr>
    </w:p>
    <w:p>
      <w:pPr>
        <w:spacing w:line="360" w:lineRule="auto"/>
        <w:jc w:val="center"/>
        <w:rPr>
          <w:rFonts w:ascii="宋体" w:hAnsi="宋体"/>
          <w:color w:val="000000"/>
          <w:sz w:val="36"/>
          <w:szCs w:val="36"/>
          <w:u w:val="single"/>
        </w:rPr>
      </w:pPr>
      <w:r>
        <w:rPr>
          <w:rFonts w:hint="eastAsia" w:ascii="宋体" w:hAnsi="宋体"/>
          <w:color w:val="000000"/>
          <w:sz w:val="36"/>
          <w:szCs w:val="36"/>
        </w:rPr>
        <w:t>供应商全称：</w:t>
      </w:r>
      <w:r>
        <w:rPr>
          <w:rFonts w:hint="eastAsia" w:ascii="宋体" w:hAnsi="宋体"/>
          <w:color w:val="000000"/>
          <w:sz w:val="36"/>
          <w:szCs w:val="36"/>
          <w:u w:val="single"/>
        </w:rPr>
        <w:t>（加盖单位公章）</w:t>
      </w:r>
    </w:p>
    <w:p>
      <w:pPr>
        <w:pStyle w:val="25"/>
        <w:ind w:left="101" w:leftChars="48" w:firstLine="1920" w:firstLineChars="800"/>
        <w:jc w:val="left"/>
        <w:rPr>
          <w:rFonts w:hAnsi="宋体"/>
          <w:color w:val="000000"/>
          <w:kern w:val="2"/>
          <w:szCs w:val="28"/>
          <w:u w:val="single"/>
        </w:rPr>
      </w:pPr>
    </w:p>
    <w:p>
      <w:pPr>
        <w:spacing w:line="360" w:lineRule="auto"/>
        <w:jc w:val="center"/>
        <w:rPr>
          <w:rFonts w:ascii="宋体" w:hAnsi="宋体"/>
          <w:color w:val="000000"/>
          <w:sz w:val="36"/>
          <w:szCs w:val="36"/>
        </w:rPr>
      </w:pPr>
      <w:r>
        <w:rPr>
          <w:rFonts w:hint="eastAsia" w:ascii="宋体" w:hAnsi="宋体"/>
          <w:color w:val="000000"/>
          <w:sz w:val="36"/>
          <w:szCs w:val="36"/>
        </w:rPr>
        <w:t>年</w:t>
      </w:r>
      <w:r>
        <w:rPr>
          <w:rFonts w:ascii="宋体" w:hAnsi="宋体"/>
          <w:color w:val="000000"/>
          <w:sz w:val="36"/>
          <w:szCs w:val="36"/>
        </w:rPr>
        <w:t xml:space="preserve">  </w:t>
      </w:r>
      <w:r>
        <w:rPr>
          <w:rFonts w:hint="eastAsia" w:ascii="宋体" w:hAnsi="宋体"/>
          <w:color w:val="000000"/>
          <w:sz w:val="36"/>
          <w:szCs w:val="36"/>
        </w:rPr>
        <w:t>月</w:t>
      </w:r>
      <w:r>
        <w:rPr>
          <w:rFonts w:ascii="宋体" w:hAnsi="宋体"/>
          <w:color w:val="000000"/>
          <w:sz w:val="36"/>
          <w:szCs w:val="36"/>
        </w:rPr>
        <w:t xml:space="preserve">  </w:t>
      </w:r>
      <w:r>
        <w:rPr>
          <w:rFonts w:hint="eastAsia" w:ascii="宋体" w:hAnsi="宋体"/>
          <w:color w:val="000000"/>
          <w:sz w:val="36"/>
          <w:szCs w:val="36"/>
        </w:rPr>
        <w:t>日</w:t>
      </w:r>
    </w:p>
    <w:p>
      <w:pPr>
        <w:spacing w:line="360" w:lineRule="auto"/>
        <w:rPr>
          <w:rStyle w:val="114"/>
          <w:rFonts w:ascii="宋体" w:hAnsi="宋体"/>
          <w:color w:val="000000"/>
          <w:sz w:val="21"/>
          <w:szCs w:val="21"/>
        </w:rPr>
      </w:pPr>
      <w:r>
        <w:rPr>
          <w:rStyle w:val="114"/>
          <w:rFonts w:ascii="宋体" w:hAnsi="宋体"/>
          <w:color w:val="000000"/>
          <w:sz w:val="21"/>
          <w:szCs w:val="21"/>
        </w:rPr>
        <w:br w:type="page"/>
      </w:r>
    </w:p>
    <w:p>
      <w:pPr>
        <w:spacing w:line="400" w:lineRule="exact"/>
        <w:jc w:val="center"/>
        <w:rPr>
          <w:rFonts w:ascii="宋体" w:hAnsi="宋体"/>
          <w:b/>
          <w:szCs w:val="21"/>
        </w:rPr>
      </w:pPr>
      <w:r>
        <w:rPr>
          <w:rFonts w:hint="eastAsia" w:ascii="宋体" w:hAnsi="宋体" w:cs="宋体"/>
          <w:b/>
          <w:szCs w:val="21"/>
        </w:rPr>
        <w:t>A1、</w:t>
      </w:r>
      <w:r>
        <w:rPr>
          <w:rStyle w:val="114"/>
          <w:rFonts w:hint="eastAsia" w:ascii="宋体" w:hAnsi="宋体"/>
          <w:sz w:val="21"/>
          <w:szCs w:val="21"/>
        </w:rPr>
        <w:t>关于</w:t>
      </w:r>
      <w:r>
        <w:rPr>
          <w:rFonts w:hint="eastAsia" w:ascii="宋体" w:hAnsi="宋体"/>
          <w:b/>
          <w:szCs w:val="21"/>
        </w:rPr>
        <w:t>资格的承诺函</w:t>
      </w:r>
    </w:p>
    <w:p>
      <w:pPr>
        <w:spacing w:line="400" w:lineRule="exact"/>
        <w:ind w:left="540" w:firstLine="30"/>
        <w:jc w:val="center"/>
        <w:rPr>
          <w:rFonts w:ascii="宋体" w:hAnsi="宋体"/>
          <w:b/>
          <w:szCs w:val="21"/>
        </w:rPr>
      </w:pPr>
    </w:p>
    <w:p>
      <w:pPr>
        <w:spacing w:line="400" w:lineRule="exact"/>
        <w:rPr>
          <w:rFonts w:ascii="宋体" w:hAnsi="宋体"/>
          <w:b/>
          <w:szCs w:val="21"/>
        </w:rPr>
      </w:pPr>
      <w:r>
        <w:rPr>
          <w:rFonts w:hint="eastAsia" w:ascii="宋体" w:hAnsi="宋体"/>
          <w:szCs w:val="21"/>
        </w:rPr>
        <w:t>致：采购人</w:t>
      </w:r>
    </w:p>
    <w:p>
      <w:pPr>
        <w:spacing w:line="400" w:lineRule="exact"/>
        <w:ind w:firstLine="420" w:firstLineChars="200"/>
        <w:rPr>
          <w:rFonts w:ascii="宋体" w:hAnsi="宋体"/>
          <w:szCs w:val="21"/>
        </w:rPr>
      </w:pPr>
      <w:r>
        <w:rPr>
          <w:rFonts w:hint="eastAsia" w:ascii="宋体" w:hAnsi="宋体"/>
          <w:bCs/>
          <w:szCs w:val="21"/>
        </w:rPr>
        <w:t>我单位承诺：</w:t>
      </w:r>
    </w:p>
    <w:p>
      <w:pPr>
        <w:spacing w:line="400" w:lineRule="exact"/>
        <w:ind w:firstLine="420" w:firstLineChars="200"/>
        <w:rPr>
          <w:rFonts w:hint="eastAsia" w:ascii="宋体" w:hAnsi="宋体"/>
          <w:szCs w:val="21"/>
        </w:rPr>
      </w:pPr>
      <w:r>
        <w:rPr>
          <w:rFonts w:hint="eastAsia" w:ascii="宋体" w:hAnsi="宋体"/>
          <w:szCs w:val="21"/>
        </w:rPr>
        <w:t>我单位满足《中华人民共和国政府采购法》第二十二条 供应商参加政府采购活动应当具备的下列条件：</w:t>
      </w:r>
    </w:p>
    <w:p>
      <w:pPr>
        <w:spacing w:line="400" w:lineRule="exact"/>
        <w:ind w:firstLine="420" w:firstLineChars="200"/>
        <w:rPr>
          <w:rFonts w:hint="eastAsia" w:ascii="宋体" w:hAnsi="宋体"/>
          <w:szCs w:val="21"/>
        </w:rPr>
      </w:pPr>
      <w:r>
        <w:rPr>
          <w:rFonts w:hint="eastAsia" w:ascii="宋体" w:hAnsi="宋体"/>
          <w:szCs w:val="21"/>
        </w:rPr>
        <w:t>（一）具有独立承担民事责任的能力；</w:t>
      </w:r>
    </w:p>
    <w:p>
      <w:pPr>
        <w:spacing w:line="400" w:lineRule="exact"/>
        <w:ind w:firstLine="420" w:firstLineChars="200"/>
        <w:rPr>
          <w:rFonts w:hint="eastAsia" w:ascii="宋体" w:hAnsi="宋体"/>
          <w:szCs w:val="21"/>
        </w:rPr>
      </w:pPr>
      <w:r>
        <w:rPr>
          <w:rFonts w:hint="eastAsia" w:ascii="宋体" w:hAnsi="宋体"/>
          <w:szCs w:val="21"/>
        </w:rPr>
        <w:t>（二）具有良好的商业信誉和健全的财务会计制度；</w:t>
      </w:r>
    </w:p>
    <w:p>
      <w:pPr>
        <w:spacing w:line="400" w:lineRule="exact"/>
        <w:ind w:firstLine="420" w:firstLineChars="200"/>
        <w:rPr>
          <w:rFonts w:hint="eastAsia" w:ascii="宋体" w:hAnsi="宋体"/>
          <w:szCs w:val="21"/>
        </w:rPr>
      </w:pPr>
      <w:r>
        <w:rPr>
          <w:rFonts w:hint="eastAsia" w:ascii="宋体" w:hAnsi="宋体"/>
          <w:szCs w:val="21"/>
        </w:rPr>
        <w:t>（三）具有履行合同所必需的设备和专业技术能力；</w:t>
      </w:r>
    </w:p>
    <w:p>
      <w:pPr>
        <w:spacing w:line="400" w:lineRule="exact"/>
        <w:ind w:firstLine="420" w:firstLineChars="200"/>
        <w:rPr>
          <w:rFonts w:hint="eastAsia" w:ascii="宋体" w:hAnsi="宋体"/>
          <w:szCs w:val="21"/>
        </w:rPr>
      </w:pPr>
      <w:r>
        <w:rPr>
          <w:rFonts w:hint="eastAsia" w:ascii="宋体" w:hAnsi="宋体"/>
          <w:szCs w:val="21"/>
        </w:rPr>
        <w:t>（四）有依法缴纳税收和社会保障资金的良好记录；</w:t>
      </w:r>
    </w:p>
    <w:p>
      <w:pPr>
        <w:spacing w:line="400" w:lineRule="exact"/>
        <w:ind w:firstLine="420" w:firstLineChars="200"/>
        <w:rPr>
          <w:rFonts w:hint="eastAsia" w:ascii="宋体" w:hAnsi="宋体"/>
          <w:szCs w:val="21"/>
        </w:rPr>
      </w:pPr>
      <w:r>
        <w:rPr>
          <w:rFonts w:hint="eastAsia" w:ascii="宋体" w:hAnsi="宋体"/>
          <w:szCs w:val="21"/>
        </w:rPr>
        <w:t>（五）参加政府采购活动前三年内，在经营活动中没有重大违法记录；</w:t>
      </w:r>
    </w:p>
    <w:p>
      <w:pPr>
        <w:spacing w:line="400" w:lineRule="exact"/>
        <w:ind w:firstLine="420" w:firstLineChars="200"/>
        <w:rPr>
          <w:rFonts w:hint="eastAsia" w:ascii="宋体" w:hAnsi="宋体"/>
          <w:szCs w:val="21"/>
        </w:rPr>
      </w:pPr>
      <w:r>
        <w:rPr>
          <w:rFonts w:hint="eastAsia" w:ascii="宋体" w:hAnsi="宋体"/>
          <w:szCs w:val="21"/>
        </w:rPr>
        <w:t>（六）法律、行政法规规定的其他条件。</w:t>
      </w:r>
    </w:p>
    <w:p>
      <w:pPr>
        <w:spacing w:line="400" w:lineRule="exact"/>
        <w:ind w:firstLine="420" w:firstLineChars="200"/>
        <w:rPr>
          <w:rFonts w:hint="eastAsia" w:ascii="宋体" w:hAnsi="宋体"/>
          <w:szCs w:val="21"/>
        </w:rPr>
      </w:pPr>
    </w:p>
    <w:p>
      <w:pPr>
        <w:spacing w:line="400" w:lineRule="exact"/>
        <w:ind w:firstLine="420" w:firstLineChars="200"/>
        <w:rPr>
          <w:rFonts w:ascii="宋体" w:hAnsi="宋体"/>
          <w:szCs w:val="21"/>
        </w:rPr>
      </w:pPr>
      <w:r>
        <w:rPr>
          <w:rFonts w:hint="eastAsia" w:ascii="宋体" w:hAnsi="宋体"/>
          <w:szCs w:val="21"/>
        </w:rPr>
        <w:t>特此承诺。</w:t>
      </w: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r>
        <w:rPr>
          <w:rFonts w:hint="eastAsia" w:ascii="宋体" w:hAnsi="宋体"/>
          <w:szCs w:val="21"/>
        </w:rPr>
        <w:t>供应商（盖章）：</w:t>
      </w:r>
      <w:r>
        <w:rPr>
          <w:rFonts w:ascii="宋体" w:hAnsi="宋体"/>
          <w:szCs w:val="21"/>
        </w:rPr>
        <w:t xml:space="preserve">          </w:t>
      </w:r>
    </w:p>
    <w:p>
      <w:pPr>
        <w:spacing w:line="400" w:lineRule="exact"/>
        <w:ind w:left="420" w:leftChars="200"/>
        <w:jc w:val="left"/>
        <w:rPr>
          <w:rFonts w:hint="eastAsia" w:ascii="宋体" w:hAnsi="宋体" w:cs="宋体"/>
          <w:szCs w:val="21"/>
        </w:rPr>
      </w:pPr>
      <w:r>
        <w:rPr>
          <w:rFonts w:hint="eastAsia" w:ascii="宋体" w:hAnsi="宋体"/>
          <w:szCs w:val="21"/>
        </w:rPr>
        <w:t>日</w:t>
      </w:r>
      <w:r>
        <w:rPr>
          <w:rFonts w:ascii="宋体" w:hAnsi="宋体"/>
          <w:szCs w:val="21"/>
        </w:rPr>
        <w:t xml:space="preserve">          </w:t>
      </w:r>
      <w:r>
        <w:rPr>
          <w:rFonts w:hint="eastAsia" w:ascii="宋体" w:hAnsi="宋体"/>
          <w:szCs w:val="21"/>
        </w:rPr>
        <w:t>期：</w:t>
      </w:r>
    </w:p>
    <w:p>
      <w:pPr>
        <w:spacing w:line="400" w:lineRule="atLeast"/>
        <w:rPr>
          <w:rFonts w:ascii="宋体" w:hAnsi="宋体"/>
          <w:color w:val="000000"/>
          <w:szCs w:val="21"/>
          <w:u w:val="single"/>
        </w:rPr>
      </w:pPr>
      <w:r>
        <w:rPr>
          <w:rStyle w:val="114"/>
          <w:rFonts w:hint="eastAsia" w:ascii="宋体" w:hAnsi="宋体" w:cs="宋体"/>
          <w:szCs w:val="21"/>
        </w:rPr>
        <w:br w:type="page"/>
      </w:r>
      <w:r>
        <w:rPr>
          <w:rFonts w:hint="eastAsia" w:ascii="宋体" w:hAnsi="宋体" w:cs="宋体"/>
          <w:b/>
          <w:szCs w:val="21"/>
        </w:rPr>
        <w:t>A2、营业执照副本（或事业法人登记证副本或其他登记证明材料）复印件加盖供应商公章（供应商如果有名称变更的，应提供由行政主管部门出具的变更证明文件复印件加盖供应商公章）；</w:t>
      </w:r>
    </w:p>
    <w:p>
      <w:pPr>
        <w:spacing w:line="400" w:lineRule="atLeast"/>
        <w:rPr>
          <w:rFonts w:ascii="宋体" w:hAnsi="宋体"/>
          <w:color w:val="000000"/>
          <w:szCs w:val="21"/>
          <w:u w:val="single"/>
        </w:rPr>
      </w:pPr>
    </w:p>
    <w:p>
      <w:pPr>
        <w:pStyle w:val="40"/>
        <w:spacing w:before="0" w:beforeAutospacing="0" w:after="0" w:afterAutospacing="0" w:line="400" w:lineRule="exact"/>
        <w:ind w:right="159" w:firstLine="660"/>
        <w:jc w:val="both"/>
        <w:rPr>
          <w:bCs/>
          <w:color w:val="000000"/>
          <w:sz w:val="21"/>
          <w:szCs w:val="21"/>
        </w:rPr>
      </w:pPr>
    </w:p>
    <w:p>
      <w:pPr>
        <w:pStyle w:val="40"/>
        <w:spacing w:before="0" w:beforeAutospacing="0" w:after="0" w:afterAutospacing="0" w:line="400" w:lineRule="exact"/>
        <w:ind w:right="159" w:firstLine="660"/>
        <w:jc w:val="both"/>
        <w:rPr>
          <w:bCs/>
          <w:color w:val="000000"/>
          <w:sz w:val="21"/>
          <w:szCs w:val="21"/>
        </w:rPr>
      </w:pPr>
    </w:p>
    <w:p>
      <w:pPr>
        <w:spacing w:line="440" w:lineRule="exact"/>
        <w:jc w:val="center"/>
        <w:rPr>
          <w:rStyle w:val="114"/>
          <w:rFonts w:ascii="宋体" w:hAnsi="宋体"/>
          <w:color w:val="000000"/>
          <w:sz w:val="21"/>
          <w:szCs w:val="21"/>
        </w:rPr>
      </w:pPr>
    </w:p>
    <w:p>
      <w:pPr>
        <w:spacing w:line="440" w:lineRule="exact"/>
        <w:jc w:val="center"/>
        <w:rPr>
          <w:rStyle w:val="114"/>
          <w:rFonts w:hint="eastAsia" w:ascii="宋体" w:hAnsi="宋体"/>
          <w:color w:val="000000"/>
          <w:sz w:val="21"/>
          <w:szCs w:val="21"/>
        </w:rPr>
      </w:pPr>
    </w:p>
    <w:p>
      <w:pPr>
        <w:spacing w:line="440" w:lineRule="exact"/>
        <w:jc w:val="center"/>
        <w:rPr>
          <w:rStyle w:val="114"/>
          <w:rFonts w:hint="eastAsia" w:ascii="宋体" w:hAnsi="宋体"/>
          <w:color w:val="000000"/>
          <w:sz w:val="21"/>
          <w:szCs w:val="21"/>
        </w:rPr>
      </w:pPr>
    </w:p>
    <w:p>
      <w:pPr>
        <w:spacing w:line="440" w:lineRule="exact"/>
        <w:jc w:val="center"/>
        <w:rPr>
          <w:rStyle w:val="114"/>
          <w:rFonts w:hint="eastAsia" w:ascii="宋体" w:hAnsi="宋体"/>
          <w:color w:val="000000"/>
          <w:sz w:val="21"/>
          <w:szCs w:val="21"/>
        </w:rPr>
      </w:pPr>
    </w:p>
    <w:p>
      <w:pPr>
        <w:spacing w:line="440" w:lineRule="exact"/>
        <w:jc w:val="center"/>
        <w:rPr>
          <w:rStyle w:val="114"/>
          <w:rFonts w:hint="eastAsia" w:ascii="宋体" w:hAnsi="宋体"/>
          <w:color w:val="000000"/>
          <w:sz w:val="21"/>
          <w:szCs w:val="21"/>
        </w:rPr>
      </w:pPr>
    </w:p>
    <w:p>
      <w:pPr>
        <w:spacing w:line="440" w:lineRule="exact"/>
        <w:jc w:val="center"/>
        <w:rPr>
          <w:rStyle w:val="114"/>
          <w:rFonts w:hint="eastAsia" w:ascii="宋体" w:hAnsi="宋体"/>
          <w:color w:val="000000"/>
          <w:sz w:val="21"/>
          <w:szCs w:val="21"/>
        </w:rPr>
      </w:pPr>
    </w:p>
    <w:p>
      <w:pPr>
        <w:spacing w:line="440" w:lineRule="exact"/>
        <w:jc w:val="center"/>
        <w:rPr>
          <w:rStyle w:val="114"/>
          <w:rFonts w:hint="eastAsia" w:ascii="宋体" w:hAnsi="宋体"/>
          <w:color w:val="000000"/>
          <w:sz w:val="21"/>
          <w:szCs w:val="21"/>
        </w:rPr>
      </w:pPr>
    </w:p>
    <w:p>
      <w:pPr>
        <w:spacing w:line="440" w:lineRule="exact"/>
        <w:jc w:val="center"/>
        <w:rPr>
          <w:rStyle w:val="114"/>
          <w:rFonts w:hint="eastAsia" w:ascii="宋体" w:hAnsi="宋体"/>
          <w:color w:val="000000"/>
          <w:sz w:val="21"/>
          <w:szCs w:val="21"/>
        </w:rPr>
      </w:pPr>
    </w:p>
    <w:p>
      <w:pPr>
        <w:spacing w:line="440" w:lineRule="exact"/>
        <w:jc w:val="center"/>
        <w:rPr>
          <w:rStyle w:val="114"/>
          <w:rFonts w:hint="eastAsia" w:ascii="宋体" w:hAnsi="宋体"/>
          <w:color w:val="000000"/>
          <w:sz w:val="21"/>
          <w:szCs w:val="21"/>
        </w:rPr>
      </w:pPr>
    </w:p>
    <w:p>
      <w:pPr>
        <w:spacing w:line="440" w:lineRule="exact"/>
        <w:jc w:val="center"/>
        <w:rPr>
          <w:rStyle w:val="114"/>
          <w:rFonts w:hint="eastAsia" w:ascii="宋体" w:hAnsi="宋体"/>
          <w:color w:val="000000"/>
          <w:sz w:val="21"/>
          <w:szCs w:val="21"/>
        </w:rPr>
      </w:pPr>
    </w:p>
    <w:p>
      <w:pPr>
        <w:spacing w:line="440" w:lineRule="exact"/>
        <w:jc w:val="center"/>
        <w:rPr>
          <w:rStyle w:val="114"/>
          <w:rFonts w:hint="eastAsia" w:ascii="宋体" w:hAnsi="宋体"/>
          <w:color w:val="000000"/>
          <w:sz w:val="21"/>
          <w:szCs w:val="21"/>
        </w:rPr>
      </w:pPr>
    </w:p>
    <w:p>
      <w:pPr>
        <w:spacing w:line="440" w:lineRule="exact"/>
        <w:jc w:val="center"/>
        <w:rPr>
          <w:rStyle w:val="114"/>
          <w:rFonts w:ascii="宋体" w:hAnsi="宋体"/>
          <w:color w:val="000000"/>
          <w:sz w:val="21"/>
          <w:szCs w:val="21"/>
        </w:rPr>
      </w:pPr>
    </w:p>
    <w:p>
      <w:pPr>
        <w:pStyle w:val="223"/>
        <w:ind w:firstLine="634"/>
        <w:rPr>
          <w:rStyle w:val="114"/>
          <w:rFonts w:hint="eastAsia" w:ascii="宋体" w:hAnsi="宋体"/>
          <w:color w:val="000000"/>
          <w:sz w:val="32"/>
          <w:szCs w:val="32"/>
        </w:rPr>
      </w:pPr>
      <w:bookmarkStart w:id="63" w:name="_Toc21541026"/>
    </w:p>
    <w:p>
      <w:pPr>
        <w:pStyle w:val="223"/>
        <w:ind w:firstLine="634"/>
        <w:rPr>
          <w:rStyle w:val="114"/>
          <w:rFonts w:hint="eastAsia" w:ascii="宋体" w:hAnsi="宋体"/>
          <w:color w:val="000000"/>
          <w:sz w:val="32"/>
          <w:szCs w:val="32"/>
        </w:rPr>
      </w:pPr>
    </w:p>
    <w:p>
      <w:pPr>
        <w:pStyle w:val="223"/>
        <w:ind w:firstLine="0" w:firstLineChars="0"/>
        <w:jc w:val="center"/>
        <w:rPr>
          <w:rStyle w:val="114"/>
          <w:rFonts w:ascii="宋体" w:hAnsi="宋体"/>
          <w:color w:val="000000"/>
          <w:sz w:val="32"/>
          <w:szCs w:val="32"/>
        </w:rPr>
      </w:pPr>
      <w:r>
        <w:rPr>
          <w:rStyle w:val="114"/>
          <w:rFonts w:ascii="宋体" w:hAnsi="宋体"/>
          <w:color w:val="000000"/>
          <w:sz w:val="32"/>
          <w:szCs w:val="32"/>
        </w:rPr>
        <w:br w:type="page"/>
      </w:r>
    </w:p>
    <w:p>
      <w:pPr>
        <w:pStyle w:val="223"/>
        <w:ind w:firstLine="0" w:firstLineChars="0"/>
        <w:jc w:val="center"/>
        <w:rPr>
          <w:rFonts w:hint="eastAsia" w:ascii="宋体" w:hAnsi="宋体" w:eastAsia="宋体" w:cs="宋体"/>
          <w:b/>
          <w:sz w:val="21"/>
          <w:szCs w:val="21"/>
        </w:rPr>
      </w:pPr>
      <w:r>
        <w:rPr>
          <w:rFonts w:hint="eastAsia" w:ascii="宋体" w:hAnsi="宋体" w:eastAsia="宋体" w:cs="宋体"/>
          <w:b/>
          <w:sz w:val="21"/>
          <w:szCs w:val="21"/>
        </w:rPr>
        <w:t>A3、本项目的特定资格要求：供应商须具有公安机关核发的保安服务许可证。</w:t>
      </w:r>
    </w:p>
    <w:p>
      <w:pPr>
        <w:pStyle w:val="223"/>
        <w:ind w:firstLine="0" w:firstLineChars="0"/>
        <w:jc w:val="center"/>
        <w:rPr>
          <w:rStyle w:val="114"/>
          <w:rFonts w:ascii="宋体" w:hAnsi="宋体"/>
          <w:color w:val="000000"/>
          <w:sz w:val="21"/>
          <w:szCs w:val="21"/>
        </w:rPr>
      </w:pPr>
      <w:r>
        <w:rPr>
          <w:rStyle w:val="114"/>
          <w:rFonts w:hint="eastAsia" w:ascii="宋体" w:hAnsi="宋体"/>
          <w:color w:val="000000"/>
          <w:sz w:val="21"/>
          <w:szCs w:val="21"/>
        </w:rPr>
        <w:t>（提供复印件加盖供应商公章）</w:t>
      </w:r>
    </w:p>
    <w:p>
      <w:pPr>
        <w:pStyle w:val="223"/>
        <w:ind w:firstLine="0" w:firstLineChars="0"/>
        <w:jc w:val="center"/>
        <w:rPr>
          <w:rStyle w:val="114"/>
          <w:rFonts w:ascii="宋体" w:hAnsi="宋体"/>
          <w:color w:val="000000"/>
          <w:sz w:val="32"/>
          <w:szCs w:val="32"/>
        </w:rPr>
      </w:pPr>
      <w:r>
        <w:rPr>
          <w:rStyle w:val="114"/>
          <w:rFonts w:ascii="宋体" w:hAnsi="宋体"/>
          <w:color w:val="000000"/>
          <w:sz w:val="32"/>
          <w:szCs w:val="32"/>
        </w:rPr>
        <w:br w:type="page"/>
      </w:r>
    </w:p>
    <w:p>
      <w:pPr>
        <w:pStyle w:val="223"/>
        <w:ind w:firstLine="0" w:firstLineChars="0"/>
        <w:jc w:val="center"/>
        <w:rPr>
          <w:rStyle w:val="114"/>
          <w:rFonts w:ascii="宋体" w:hAnsi="宋体"/>
          <w:color w:val="000000"/>
          <w:sz w:val="32"/>
          <w:szCs w:val="32"/>
        </w:rPr>
      </w:pPr>
    </w:p>
    <w:p>
      <w:pPr>
        <w:pStyle w:val="223"/>
        <w:ind w:firstLine="0" w:firstLineChars="0"/>
        <w:jc w:val="center"/>
        <w:rPr>
          <w:rStyle w:val="114"/>
          <w:rFonts w:ascii="宋体" w:hAnsi="宋体"/>
          <w:color w:val="000000"/>
          <w:sz w:val="32"/>
          <w:szCs w:val="32"/>
        </w:rPr>
      </w:pPr>
    </w:p>
    <w:p>
      <w:pPr>
        <w:pStyle w:val="223"/>
        <w:ind w:firstLine="0" w:firstLineChars="0"/>
        <w:jc w:val="center"/>
        <w:rPr>
          <w:rStyle w:val="114"/>
          <w:rFonts w:ascii="宋体" w:hAnsi="宋体"/>
          <w:color w:val="000000"/>
          <w:sz w:val="32"/>
          <w:szCs w:val="32"/>
        </w:rPr>
      </w:pPr>
      <w:r>
        <w:rPr>
          <w:rStyle w:val="114"/>
          <w:rFonts w:ascii="宋体" w:hAnsi="宋体"/>
          <w:color w:val="000000"/>
          <w:sz w:val="32"/>
          <w:szCs w:val="32"/>
        </w:rPr>
        <w:t>B.</w:t>
      </w:r>
      <w:r>
        <w:rPr>
          <w:rStyle w:val="114"/>
          <w:rFonts w:hint="eastAsia" w:ascii="宋体" w:hAnsi="宋体"/>
          <w:color w:val="000000"/>
          <w:sz w:val="32"/>
          <w:szCs w:val="32"/>
        </w:rPr>
        <w:t>商务和技术文件</w:t>
      </w:r>
      <w:bookmarkEnd w:id="63"/>
    </w:p>
    <w:p>
      <w:pPr>
        <w:autoSpaceDE w:val="0"/>
        <w:autoSpaceDN w:val="0"/>
        <w:adjustRightInd w:val="0"/>
        <w:spacing w:line="420" w:lineRule="exact"/>
        <w:rPr>
          <w:rStyle w:val="114"/>
          <w:rFonts w:ascii="宋体" w:hAnsi="宋体"/>
          <w:b w:val="0"/>
          <w:color w:val="000000"/>
          <w:lang w:val="zh-CN"/>
        </w:rPr>
      </w:pPr>
      <w:r>
        <w:rPr>
          <w:rStyle w:val="114"/>
          <w:rFonts w:ascii="宋体" w:hAnsi="宋体"/>
          <w:color w:val="000000"/>
          <w:sz w:val="32"/>
          <w:szCs w:val="32"/>
        </w:rPr>
        <w:br w:type="page"/>
      </w:r>
      <w:r>
        <w:rPr>
          <w:rStyle w:val="114"/>
          <w:rFonts w:hint="eastAsia" w:ascii="宋体" w:hAnsi="宋体"/>
          <w:color w:val="000000"/>
          <w:sz w:val="21"/>
          <w:szCs w:val="21"/>
        </w:rPr>
        <w:t>封面</w:t>
      </w:r>
    </w:p>
    <w:p>
      <w:pPr>
        <w:spacing w:line="360" w:lineRule="auto"/>
        <w:ind w:firstLine="1285" w:firstLineChars="400"/>
        <w:jc w:val="right"/>
        <w:rPr>
          <w:rFonts w:ascii="宋体" w:hAnsi="宋体"/>
          <w:b/>
          <w:color w:val="000000"/>
          <w:sz w:val="32"/>
          <w:szCs w:val="32"/>
        </w:rPr>
      </w:pPr>
      <w:r>
        <w:rPr>
          <w:rFonts w:hint="eastAsia" w:ascii="宋体" w:hAnsi="宋体"/>
          <w:b/>
          <w:color w:val="000000"/>
          <w:sz w:val="32"/>
          <w:szCs w:val="32"/>
        </w:rPr>
        <w:t>正（副）本</w:t>
      </w:r>
    </w:p>
    <w:p>
      <w:pPr>
        <w:spacing w:line="360" w:lineRule="auto"/>
        <w:rPr>
          <w:rFonts w:ascii="宋体" w:hAnsi="宋体"/>
          <w:color w:val="000000"/>
          <w:sz w:val="28"/>
          <w:szCs w:val="28"/>
        </w:rPr>
      </w:pPr>
    </w:p>
    <w:p>
      <w:pPr>
        <w:spacing w:line="360" w:lineRule="auto"/>
        <w:jc w:val="center"/>
        <w:rPr>
          <w:rFonts w:hint="eastAsia" w:ascii="宋体" w:hAnsi="宋体"/>
          <w:color w:val="000000"/>
          <w:sz w:val="42"/>
          <w:szCs w:val="52"/>
          <w:u w:val="single"/>
        </w:rPr>
      </w:pPr>
      <w:r>
        <w:rPr>
          <w:rFonts w:hint="eastAsia" w:ascii="宋体" w:hAnsi="宋体"/>
          <w:b/>
          <w:color w:val="000000"/>
          <w:sz w:val="42"/>
          <w:szCs w:val="52"/>
        </w:rPr>
        <w:t>舟山市中医院保安服务采购项目</w:t>
      </w:r>
    </w:p>
    <w:p>
      <w:pPr>
        <w:spacing w:line="360" w:lineRule="auto"/>
        <w:jc w:val="center"/>
        <w:rPr>
          <w:rFonts w:hint="eastAsia" w:ascii="宋体" w:hAnsi="宋体"/>
          <w:color w:val="000000"/>
          <w:sz w:val="36"/>
          <w:szCs w:val="36"/>
          <w:u w:val="single"/>
        </w:rPr>
      </w:pPr>
      <w:r>
        <w:rPr>
          <w:rFonts w:hint="eastAsia" w:ascii="宋体" w:hAnsi="宋体"/>
          <w:color w:val="000000"/>
          <w:sz w:val="36"/>
          <w:szCs w:val="36"/>
          <w:u w:val="single"/>
        </w:rPr>
        <w:t>采购编号：NBITC-202250011G</w:t>
      </w:r>
    </w:p>
    <w:p>
      <w:pPr>
        <w:spacing w:line="360" w:lineRule="auto"/>
        <w:ind w:firstLine="2340" w:firstLineChars="650"/>
        <w:rPr>
          <w:rFonts w:ascii="宋体" w:hAnsi="宋体"/>
          <w:color w:val="000000"/>
          <w:sz w:val="36"/>
          <w:szCs w:val="36"/>
        </w:rPr>
      </w:pPr>
      <w:r>
        <w:rPr>
          <w:rFonts w:hint="eastAsia" w:ascii="宋体" w:hAnsi="宋体"/>
          <w:color w:val="000000"/>
          <w:sz w:val="36"/>
          <w:szCs w:val="36"/>
          <w:u w:val="single"/>
        </w:rPr>
        <w:t>子</w:t>
      </w:r>
      <w:r>
        <w:rPr>
          <w:rFonts w:ascii="宋体" w:hAnsi="宋体"/>
          <w:color w:val="000000"/>
          <w:sz w:val="36"/>
          <w:szCs w:val="36"/>
          <w:u w:val="single"/>
        </w:rPr>
        <w:t xml:space="preserve">    </w:t>
      </w:r>
      <w:r>
        <w:rPr>
          <w:rFonts w:hint="eastAsia" w:ascii="宋体" w:hAnsi="宋体"/>
          <w:color w:val="000000"/>
          <w:sz w:val="36"/>
          <w:szCs w:val="36"/>
          <w:u w:val="single"/>
        </w:rPr>
        <w:t>包：（如有多个子包）</w:t>
      </w:r>
    </w:p>
    <w:p>
      <w:pPr>
        <w:rPr>
          <w:rFonts w:ascii="宋体" w:hAnsi="宋体"/>
          <w:color w:val="000000"/>
          <w:sz w:val="28"/>
          <w:szCs w:val="28"/>
        </w:rPr>
      </w:pPr>
    </w:p>
    <w:p>
      <w:pPr>
        <w:spacing w:line="360" w:lineRule="auto"/>
        <w:jc w:val="center"/>
        <w:rPr>
          <w:rFonts w:ascii="宋体" w:hAnsi="宋体"/>
          <w:color w:val="000000"/>
          <w:sz w:val="36"/>
          <w:szCs w:val="36"/>
        </w:rPr>
      </w:pPr>
      <w:r>
        <w:rPr>
          <w:rFonts w:hint="eastAsia" w:ascii="宋体" w:hAnsi="宋体"/>
          <w:color w:val="000000"/>
          <w:sz w:val="36"/>
          <w:szCs w:val="36"/>
        </w:rPr>
        <w:t>（商务和技术文件）</w:t>
      </w:r>
    </w:p>
    <w:p>
      <w:pPr>
        <w:jc w:val="center"/>
        <w:rPr>
          <w:rFonts w:ascii="宋体" w:hAnsi="宋体"/>
          <w:color w:val="000000"/>
          <w:sz w:val="28"/>
          <w:szCs w:val="28"/>
        </w:rPr>
      </w:pPr>
    </w:p>
    <w:p>
      <w:pPr>
        <w:spacing w:line="360" w:lineRule="auto"/>
        <w:jc w:val="center"/>
        <w:rPr>
          <w:rFonts w:ascii="宋体" w:hAnsi="宋体"/>
          <w:b/>
          <w:color w:val="000000"/>
          <w:sz w:val="72"/>
          <w:szCs w:val="72"/>
        </w:rPr>
      </w:pPr>
    </w:p>
    <w:p>
      <w:pPr>
        <w:spacing w:line="360" w:lineRule="auto"/>
        <w:jc w:val="center"/>
        <w:rPr>
          <w:rFonts w:ascii="宋体" w:hAnsi="宋体"/>
          <w:b/>
          <w:color w:val="000000"/>
          <w:sz w:val="72"/>
          <w:szCs w:val="72"/>
        </w:rPr>
      </w:pPr>
      <w:r>
        <w:rPr>
          <w:rFonts w:hint="eastAsia" w:ascii="宋体" w:hAnsi="宋体"/>
          <w:b/>
          <w:color w:val="000000"/>
          <w:sz w:val="72"/>
          <w:szCs w:val="72"/>
        </w:rPr>
        <w:t>投标文件</w:t>
      </w:r>
    </w:p>
    <w:p>
      <w:pPr>
        <w:spacing w:line="360" w:lineRule="auto"/>
        <w:jc w:val="center"/>
        <w:rPr>
          <w:rFonts w:ascii="宋体" w:hAnsi="宋体"/>
          <w:color w:val="000000"/>
          <w:sz w:val="36"/>
          <w:szCs w:val="36"/>
        </w:rPr>
      </w:pPr>
    </w:p>
    <w:p>
      <w:pPr>
        <w:spacing w:line="360" w:lineRule="auto"/>
        <w:jc w:val="center"/>
        <w:rPr>
          <w:rFonts w:ascii="宋体" w:hAnsi="宋体"/>
          <w:color w:val="000000"/>
          <w:sz w:val="36"/>
          <w:szCs w:val="36"/>
        </w:rPr>
      </w:pPr>
    </w:p>
    <w:p>
      <w:pPr>
        <w:spacing w:line="360" w:lineRule="auto"/>
        <w:jc w:val="center"/>
        <w:rPr>
          <w:rFonts w:ascii="宋体" w:hAnsi="宋体"/>
          <w:color w:val="000000"/>
          <w:sz w:val="36"/>
          <w:szCs w:val="36"/>
        </w:rPr>
      </w:pPr>
    </w:p>
    <w:p>
      <w:pPr>
        <w:spacing w:line="360" w:lineRule="auto"/>
        <w:jc w:val="center"/>
        <w:rPr>
          <w:rFonts w:ascii="宋体" w:hAnsi="宋体"/>
          <w:color w:val="000000"/>
          <w:sz w:val="36"/>
          <w:szCs w:val="36"/>
        </w:rPr>
      </w:pPr>
    </w:p>
    <w:p>
      <w:pPr>
        <w:spacing w:line="360" w:lineRule="auto"/>
        <w:jc w:val="center"/>
        <w:rPr>
          <w:rFonts w:ascii="宋体" w:hAnsi="宋体"/>
          <w:color w:val="000000"/>
          <w:sz w:val="36"/>
          <w:szCs w:val="36"/>
          <w:u w:val="single"/>
        </w:rPr>
      </w:pPr>
      <w:r>
        <w:rPr>
          <w:rFonts w:hint="eastAsia" w:ascii="宋体" w:hAnsi="宋体"/>
          <w:color w:val="000000"/>
          <w:sz w:val="36"/>
          <w:szCs w:val="36"/>
        </w:rPr>
        <w:t>供应商全称：</w:t>
      </w:r>
      <w:r>
        <w:rPr>
          <w:rFonts w:hint="eastAsia" w:ascii="宋体" w:hAnsi="宋体"/>
          <w:color w:val="000000"/>
          <w:sz w:val="36"/>
          <w:szCs w:val="36"/>
          <w:u w:val="single"/>
        </w:rPr>
        <w:t>（加盖单位公章）</w:t>
      </w:r>
    </w:p>
    <w:p>
      <w:pPr>
        <w:pStyle w:val="25"/>
        <w:ind w:left="101" w:leftChars="48" w:firstLine="1920" w:firstLineChars="800"/>
        <w:jc w:val="left"/>
        <w:rPr>
          <w:rFonts w:hAnsi="宋体"/>
          <w:color w:val="000000"/>
          <w:kern w:val="2"/>
          <w:szCs w:val="28"/>
          <w:u w:val="single"/>
        </w:rPr>
      </w:pPr>
    </w:p>
    <w:p>
      <w:pPr>
        <w:pStyle w:val="223"/>
        <w:ind w:firstLine="0" w:firstLineChars="0"/>
        <w:jc w:val="center"/>
        <w:rPr>
          <w:rStyle w:val="114"/>
          <w:rFonts w:ascii="宋体" w:hAnsi="宋体"/>
          <w:color w:val="000000"/>
          <w:sz w:val="36"/>
          <w:szCs w:val="36"/>
        </w:rPr>
      </w:pPr>
      <w:bookmarkStart w:id="64" w:name="_Toc21541027"/>
      <w:r>
        <w:rPr>
          <w:rFonts w:hint="eastAsia" w:ascii="宋体" w:hAnsi="宋体" w:eastAsia="宋体"/>
          <w:sz w:val="36"/>
          <w:szCs w:val="36"/>
        </w:rPr>
        <w:t>年</w:t>
      </w:r>
      <w:r>
        <w:rPr>
          <w:rFonts w:ascii="宋体" w:hAnsi="宋体" w:eastAsia="宋体"/>
          <w:sz w:val="36"/>
          <w:szCs w:val="36"/>
        </w:rPr>
        <w:t xml:space="preserve">  </w:t>
      </w:r>
      <w:r>
        <w:rPr>
          <w:rFonts w:hint="eastAsia" w:ascii="宋体" w:hAnsi="宋体" w:eastAsia="宋体"/>
          <w:sz w:val="36"/>
          <w:szCs w:val="36"/>
        </w:rPr>
        <w:t>月</w:t>
      </w:r>
      <w:r>
        <w:rPr>
          <w:rFonts w:ascii="宋体" w:hAnsi="宋体" w:eastAsia="宋体"/>
          <w:sz w:val="36"/>
          <w:szCs w:val="36"/>
        </w:rPr>
        <w:t xml:space="preserve">  </w:t>
      </w:r>
      <w:r>
        <w:rPr>
          <w:rFonts w:hint="eastAsia" w:ascii="宋体" w:hAnsi="宋体" w:eastAsia="宋体"/>
          <w:sz w:val="36"/>
          <w:szCs w:val="36"/>
        </w:rPr>
        <w:t>日</w:t>
      </w:r>
      <w:bookmarkEnd w:id="64"/>
    </w:p>
    <w:p>
      <w:pPr>
        <w:spacing w:line="360" w:lineRule="auto"/>
        <w:ind w:firstLine="4200" w:firstLineChars="2000"/>
        <w:jc w:val="left"/>
        <w:rPr>
          <w:rFonts w:ascii="宋体" w:hAnsi="宋体"/>
          <w:color w:val="000000"/>
          <w:szCs w:val="21"/>
        </w:rPr>
      </w:pPr>
    </w:p>
    <w:p>
      <w:pPr>
        <w:spacing w:line="360" w:lineRule="auto"/>
        <w:jc w:val="center"/>
        <w:rPr>
          <w:rFonts w:ascii="宋体" w:hAnsi="宋体"/>
          <w:b/>
          <w:color w:val="000000"/>
          <w:szCs w:val="21"/>
        </w:rPr>
      </w:pPr>
      <w:r>
        <w:rPr>
          <w:rStyle w:val="114"/>
          <w:rFonts w:ascii="宋体" w:hAnsi="宋体"/>
          <w:color w:val="000000"/>
          <w:sz w:val="21"/>
          <w:szCs w:val="21"/>
        </w:rPr>
        <w:br w:type="page"/>
      </w:r>
      <w:r>
        <w:rPr>
          <w:rFonts w:hint="eastAsia" w:ascii="宋体" w:hAnsi="宋体"/>
          <w:b/>
          <w:color w:val="000000"/>
          <w:szCs w:val="21"/>
        </w:rPr>
        <w:t>B</w:t>
      </w:r>
      <w:r>
        <w:rPr>
          <w:rFonts w:ascii="宋体" w:hAnsi="宋体"/>
          <w:b/>
          <w:color w:val="000000"/>
          <w:szCs w:val="21"/>
        </w:rPr>
        <w:t>1</w:t>
      </w:r>
      <w:r>
        <w:rPr>
          <w:rFonts w:hint="eastAsia" w:ascii="宋体" w:hAnsi="宋体"/>
          <w:b/>
          <w:color w:val="000000"/>
          <w:szCs w:val="21"/>
        </w:rPr>
        <w:t>投标书</w:t>
      </w:r>
    </w:p>
    <w:p>
      <w:pPr>
        <w:spacing w:line="400" w:lineRule="atLeast"/>
        <w:rPr>
          <w:rFonts w:ascii="宋体" w:hAnsi="宋体"/>
          <w:color w:val="000000"/>
          <w:szCs w:val="21"/>
        </w:rPr>
      </w:pPr>
      <w:r>
        <w:rPr>
          <w:rFonts w:hint="eastAsia" w:ascii="宋体" w:hAnsi="宋体"/>
          <w:color w:val="000000"/>
          <w:szCs w:val="21"/>
        </w:rPr>
        <w:t>致：采购人</w:t>
      </w:r>
    </w:p>
    <w:p>
      <w:pPr>
        <w:spacing w:line="400" w:lineRule="atLeast"/>
        <w:ind w:firstLine="420" w:firstLineChars="200"/>
        <w:rPr>
          <w:rFonts w:ascii="宋体" w:hAnsi="宋体"/>
          <w:color w:val="000000"/>
          <w:szCs w:val="21"/>
        </w:rPr>
      </w:pPr>
      <w:r>
        <w:rPr>
          <w:rFonts w:ascii="宋体" w:hAnsi="宋体"/>
          <w:color w:val="000000"/>
          <w:szCs w:val="21"/>
          <w:u w:val="single"/>
        </w:rPr>
        <w:t>（</w:t>
      </w:r>
      <w:r>
        <w:rPr>
          <w:rFonts w:hint="eastAsia" w:ascii="宋体" w:hAnsi="宋体"/>
          <w:color w:val="000000"/>
          <w:szCs w:val="21"/>
          <w:u w:val="single"/>
        </w:rPr>
        <w:t>供应商全称</w:t>
      </w:r>
      <w:r>
        <w:rPr>
          <w:rFonts w:ascii="宋体" w:hAnsi="宋体"/>
          <w:color w:val="000000"/>
          <w:szCs w:val="21"/>
          <w:u w:val="single"/>
        </w:rPr>
        <w:t>）</w:t>
      </w:r>
      <w:r>
        <w:rPr>
          <w:rFonts w:hint="eastAsia" w:ascii="宋体" w:hAnsi="宋体"/>
          <w:color w:val="000000"/>
          <w:szCs w:val="21"/>
          <w:u w:val="single"/>
        </w:rPr>
        <w:t>　</w:t>
      </w:r>
      <w:r>
        <w:rPr>
          <w:rFonts w:hint="eastAsia" w:ascii="宋体" w:hAnsi="宋体"/>
          <w:color w:val="000000"/>
          <w:szCs w:val="21"/>
        </w:rPr>
        <w:t>授权</w:t>
      </w:r>
      <w:r>
        <w:rPr>
          <w:rFonts w:ascii="宋体" w:hAnsi="宋体"/>
          <w:color w:val="000000"/>
          <w:szCs w:val="21"/>
          <w:u w:val="single"/>
        </w:rPr>
        <w:t xml:space="preserve">  </w:t>
      </w:r>
      <w:r>
        <w:rPr>
          <w:rFonts w:hint="eastAsia" w:ascii="宋体" w:hAnsi="宋体"/>
          <w:color w:val="000000"/>
          <w:szCs w:val="21"/>
          <w:u w:val="single"/>
        </w:rPr>
        <w:t>（全名、职务）</w:t>
      </w:r>
      <w:r>
        <w:rPr>
          <w:rFonts w:ascii="宋体" w:hAnsi="宋体"/>
          <w:color w:val="000000"/>
          <w:szCs w:val="21"/>
          <w:u w:val="single"/>
        </w:rPr>
        <w:t xml:space="preserve">  </w:t>
      </w:r>
      <w:r>
        <w:rPr>
          <w:rFonts w:hint="eastAsia" w:ascii="宋体" w:hAnsi="宋体"/>
          <w:color w:val="000000"/>
          <w:szCs w:val="21"/>
        </w:rPr>
        <w:t>为全权代表，参加贵方组织的舟山市中医院保安服务采购项目（采购编号：</w:t>
      </w:r>
      <w:r>
        <w:rPr>
          <w:rFonts w:ascii="宋体" w:hAnsi="宋体"/>
          <w:color w:val="000000"/>
          <w:szCs w:val="21"/>
          <w:u w:val="single"/>
        </w:rPr>
        <w:t xml:space="preserve">               </w:t>
      </w:r>
      <w:r>
        <w:rPr>
          <w:rFonts w:hint="eastAsia" w:ascii="宋体" w:hAnsi="宋体"/>
          <w:color w:val="000000"/>
          <w:szCs w:val="21"/>
        </w:rPr>
        <w:t>）招标活动并投标，为便于贵方公正、择优地确定中标供应商及其投标产品和服务，我方就本次投标有关事项郑重声明如下：</w:t>
      </w:r>
    </w:p>
    <w:p>
      <w:pPr>
        <w:snapToGrid w:val="0"/>
        <w:spacing w:line="400" w:lineRule="exact"/>
        <w:ind w:firstLine="420" w:firstLineChars="200"/>
        <w:rPr>
          <w:rFonts w:hint="eastAsia" w:ascii="宋体" w:hAnsi="宋体"/>
          <w:color w:val="000000"/>
          <w:szCs w:val="21"/>
        </w:rPr>
      </w:pPr>
      <w:r>
        <w:rPr>
          <w:rFonts w:hint="eastAsia" w:ascii="宋体" w:hAnsi="宋体"/>
          <w:color w:val="000000"/>
          <w:szCs w:val="21"/>
        </w:rPr>
        <w:t>1、我方提交的所有投标文件、资料都是准确的和真实的。如有虚假或隐瞒，我方愿意承担一切后果，并不再寻求任何旨在减轻或免除法律责任的辩解。</w:t>
      </w:r>
    </w:p>
    <w:p>
      <w:pPr>
        <w:snapToGrid w:val="0"/>
        <w:spacing w:line="400" w:lineRule="exact"/>
        <w:ind w:firstLine="420" w:firstLineChars="200"/>
        <w:rPr>
          <w:rFonts w:ascii="宋体" w:hAnsi="宋体"/>
          <w:color w:val="000000"/>
          <w:szCs w:val="21"/>
        </w:rPr>
      </w:pPr>
      <w:r>
        <w:rPr>
          <w:rFonts w:hint="eastAsia" w:ascii="宋体" w:hAnsi="宋体"/>
          <w:color w:val="000000"/>
          <w:szCs w:val="21"/>
        </w:rPr>
        <w:t>2、我方不是为本项目提供整体设计、规范编制或者项目管理、监理、检测等服务的供应商。</w:t>
      </w:r>
    </w:p>
    <w:p>
      <w:pPr>
        <w:snapToGrid w:val="0"/>
        <w:spacing w:line="400" w:lineRule="exact"/>
        <w:ind w:firstLine="420" w:firstLineChars="200"/>
        <w:rPr>
          <w:rFonts w:ascii="宋体" w:hAnsi="宋体"/>
          <w:color w:val="000000"/>
          <w:szCs w:val="21"/>
        </w:rPr>
      </w:pPr>
      <w:r>
        <w:rPr>
          <w:rFonts w:hint="eastAsia" w:ascii="宋体" w:hAnsi="宋体"/>
          <w:color w:val="000000"/>
          <w:szCs w:val="21"/>
        </w:rPr>
        <w:t>3、我们已详细审查全部招标文件及有关的澄清/修改文件（若有），我们完全理解并同意放弃对这方面提出任何异议的权利。</w:t>
      </w:r>
    </w:p>
    <w:p>
      <w:pPr>
        <w:snapToGrid w:val="0"/>
        <w:spacing w:line="400" w:lineRule="exact"/>
        <w:ind w:firstLine="420" w:firstLineChars="200"/>
        <w:rPr>
          <w:rFonts w:hint="eastAsia" w:ascii="宋体" w:hAnsi="宋体"/>
          <w:color w:val="000000"/>
          <w:szCs w:val="21"/>
        </w:rPr>
      </w:pPr>
      <w:r>
        <w:rPr>
          <w:rFonts w:ascii="宋体" w:hAnsi="宋体"/>
          <w:color w:val="000000"/>
          <w:szCs w:val="21"/>
        </w:rPr>
        <w:t>4</w:t>
      </w:r>
      <w:r>
        <w:rPr>
          <w:rFonts w:hint="eastAsia" w:ascii="宋体" w:hAnsi="宋体"/>
          <w:color w:val="000000"/>
          <w:szCs w:val="21"/>
        </w:rPr>
        <w:t>、</w:t>
      </w:r>
      <w:r>
        <w:rPr>
          <w:rFonts w:hint="eastAsia" w:ascii="宋体"/>
          <w:color w:val="000000"/>
        </w:rPr>
        <w:t>保证遵守招标文件有关条款规定。</w:t>
      </w:r>
    </w:p>
    <w:p>
      <w:pPr>
        <w:snapToGrid w:val="0"/>
        <w:spacing w:line="400" w:lineRule="exact"/>
        <w:ind w:firstLine="420" w:firstLineChars="200"/>
        <w:rPr>
          <w:rFonts w:hint="eastAsia" w:ascii="宋体" w:hAnsi="宋体"/>
          <w:color w:val="000000"/>
          <w:szCs w:val="21"/>
        </w:rPr>
      </w:pPr>
      <w:r>
        <w:rPr>
          <w:rFonts w:ascii="宋体" w:hAnsi="宋体"/>
          <w:color w:val="000000"/>
          <w:szCs w:val="21"/>
        </w:rPr>
        <w:t>5</w:t>
      </w:r>
      <w:r>
        <w:rPr>
          <w:rFonts w:hint="eastAsia" w:ascii="宋体" w:hAnsi="宋体"/>
          <w:color w:val="000000"/>
          <w:szCs w:val="21"/>
        </w:rPr>
        <w:t>、本项目的投标报价详见“开标一览表”。</w:t>
      </w:r>
    </w:p>
    <w:p>
      <w:pPr>
        <w:spacing w:line="400" w:lineRule="exact"/>
        <w:ind w:firstLine="420" w:firstLineChars="200"/>
        <w:jc w:val="left"/>
        <w:rPr>
          <w:rFonts w:hint="eastAsia" w:ascii="宋体" w:hAnsi="宋体"/>
          <w:color w:val="000000"/>
          <w:szCs w:val="21"/>
        </w:rPr>
      </w:pPr>
      <w:r>
        <w:rPr>
          <w:rFonts w:ascii="宋体" w:hAnsi="宋体"/>
          <w:color w:val="000000"/>
          <w:szCs w:val="21"/>
        </w:rPr>
        <w:t>6</w:t>
      </w:r>
      <w:r>
        <w:rPr>
          <w:rFonts w:hint="eastAsia" w:ascii="宋体" w:hAnsi="宋体"/>
          <w:color w:val="000000"/>
          <w:szCs w:val="21"/>
        </w:rPr>
        <w:t>、投标文件有效期为自开标之日起</w:t>
      </w:r>
      <w:r>
        <w:rPr>
          <w:rFonts w:hint="eastAsia" w:ascii="宋体" w:hAnsi="宋体"/>
          <w:color w:val="000000"/>
          <w:szCs w:val="21"/>
          <w:u w:val="single"/>
        </w:rPr>
        <w:t xml:space="preserve"> 90 </w:t>
      </w:r>
      <w:r>
        <w:rPr>
          <w:rFonts w:hint="eastAsia" w:ascii="宋体" w:hAnsi="宋体"/>
          <w:color w:val="000000"/>
          <w:szCs w:val="21"/>
        </w:rPr>
        <w:t>个日历日。</w:t>
      </w:r>
    </w:p>
    <w:p>
      <w:pPr>
        <w:spacing w:line="400" w:lineRule="exact"/>
        <w:ind w:firstLine="420" w:firstLineChars="200"/>
        <w:jc w:val="left"/>
        <w:rPr>
          <w:rFonts w:ascii="宋体"/>
          <w:color w:val="000000"/>
        </w:rPr>
      </w:pPr>
      <w:r>
        <w:rPr>
          <w:rFonts w:ascii="宋体" w:hAnsi="宋体"/>
          <w:color w:val="000000"/>
          <w:szCs w:val="21"/>
        </w:rPr>
        <w:t>7</w:t>
      </w:r>
      <w:r>
        <w:rPr>
          <w:rFonts w:hint="eastAsia" w:ascii="宋体" w:hAnsi="宋体"/>
          <w:color w:val="000000"/>
          <w:szCs w:val="21"/>
        </w:rPr>
        <w:t>、</w:t>
      </w:r>
      <w:r>
        <w:rPr>
          <w:rFonts w:hint="eastAsia" w:ascii="宋体"/>
          <w:color w:val="000000"/>
        </w:rPr>
        <w:t>保证在中标后忠实地执行与采购人所签署的合同，并承担合同规定的责任义务。</w:t>
      </w:r>
    </w:p>
    <w:p>
      <w:pPr>
        <w:spacing w:line="400" w:lineRule="atLeast"/>
        <w:ind w:firstLine="420" w:firstLineChars="200"/>
        <w:jc w:val="left"/>
        <w:rPr>
          <w:rFonts w:ascii="宋体" w:hAnsi="宋体"/>
          <w:color w:val="000000"/>
          <w:szCs w:val="21"/>
        </w:rPr>
      </w:pPr>
      <w:r>
        <w:rPr>
          <w:rFonts w:hint="eastAsia" w:ascii="宋体"/>
          <w:color w:val="000000"/>
        </w:rPr>
        <w:t>8、完全同意招标文件中有关招标代理服务费的条款，保证在中标后按照招标文件规定的金额、时间和方式，向贵方一次性交纳招标代理服务费。我方如逾期未交纳（含未足额）的，愿凭贵方开出的违约通知，按上述规定应交纳金额（含欠交纳）的200%交纳违约金和滞纳的银行利息。承诺在未交足上述违约金和利息前，同意不再参加贵方代理的其他项目，如果贵方不接受我们的投标，我们自愿放弃任何方式进行抗辩的权力。</w:t>
      </w:r>
    </w:p>
    <w:p>
      <w:pPr>
        <w:spacing w:line="400" w:lineRule="atLeast"/>
        <w:ind w:firstLine="420" w:firstLineChars="200"/>
        <w:jc w:val="left"/>
        <w:rPr>
          <w:rFonts w:ascii="宋体" w:hAnsi="宋体"/>
          <w:color w:val="000000"/>
          <w:szCs w:val="21"/>
        </w:rPr>
      </w:pPr>
      <w:r>
        <w:rPr>
          <w:rFonts w:hint="eastAsia" w:ascii="宋体" w:hAnsi="宋体"/>
          <w:color w:val="000000"/>
          <w:szCs w:val="21"/>
        </w:rPr>
        <w:t>地址：</w:t>
      </w:r>
      <w:r>
        <w:rPr>
          <w:rFonts w:hint="eastAsia" w:ascii="宋体" w:hAnsi="宋体"/>
          <w:color w:val="000000"/>
          <w:szCs w:val="21"/>
          <w:u w:val="single"/>
        </w:rPr>
        <w:t xml:space="preserve">                     </w:t>
      </w:r>
      <w:r>
        <w:rPr>
          <w:rFonts w:hint="eastAsia" w:ascii="宋体" w:hAnsi="宋体"/>
          <w:color w:val="000000"/>
          <w:szCs w:val="21"/>
        </w:rPr>
        <w:t xml:space="preserve">      邮编：</w:t>
      </w:r>
      <w:r>
        <w:rPr>
          <w:rFonts w:hint="eastAsia" w:ascii="宋体" w:hAnsi="宋体"/>
          <w:color w:val="000000"/>
          <w:szCs w:val="21"/>
          <w:u w:val="single"/>
        </w:rPr>
        <w:t xml:space="preserve">                     </w:t>
      </w:r>
    </w:p>
    <w:p>
      <w:pPr>
        <w:spacing w:line="400" w:lineRule="atLeast"/>
        <w:ind w:firstLine="420" w:firstLineChars="200"/>
        <w:jc w:val="left"/>
        <w:rPr>
          <w:rFonts w:ascii="宋体" w:hAnsi="宋体"/>
          <w:color w:val="000000"/>
          <w:szCs w:val="21"/>
        </w:rPr>
      </w:pPr>
      <w:r>
        <w:rPr>
          <w:rFonts w:hint="eastAsia" w:ascii="宋体" w:hAnsi="宋体"/>
          <w:color w:val="000000"/>
          <w:szCs w:val="21"/>
        </w:rPr>
        <w:t>电话：</w:t>
      </w:r>
      <w:r>
        <w:rPr>
          <w:rFonts w:hint="eastAsia" w:ascii="宋体" w:hAnsi="宋体"/>
          <w:color w:val="000000"/>
          <w:szCs w:val="21"/>
          <w:u w:val="single"/>
        </w:rPr>
        <w:t xml:space="preserve">                     </w:t>
      </w:r>
      <w:r>
        <w:rPr>
          <w:rFonts w:hint="eastAsia" w:ascii="宋体" w:hAnsi="宋体"/>
          <w:color w:val="000000"/>
          <w:szCs w:val="21"/>
        </w:rPr>
        <w:t xml:space="preserve">      传真：</w:t>
      </w:r>
      <w:r>
        <w:rPr>
          <w:rFonts w:hint="eastAsia" w:ascii="宋体" w:hAnsi="宋体"/>
          <w:color w:val="000000"/>
          <w:szCs w:val="21"/>
          <w:u w:val="single"/>
        </w:rPr>
        <w:t xml:space="preserve">                     </w:t>
      </w:r>
    </w:p>
    <w:p>
      <w:pPr>
        <w:spacing w:line="400" w:lineRule="atLeast"/>
        <w:ind w:left="540" w:firstLine="30"/>
        <w:jc w:val="left"/>
        <w:rPr>
          <w:rFonts w:ascii="宋体" w:hAnsi="宋体"/>
          <w:color w:val="000000"/>
          <w:szCs w:val="21"/>
        </w:rPr>
      </w:pPr>
    </w:p>
    <w:p>
      <w:pPr>
        <w:spacing w:line="400" w:lineRule="atLeast"/>
        <w:jc w:val="left"/>
        <w:rPr>
          <w:rFonts w:ascii="宋体" w:hAnsi="宋体"/>
          <w:color w:val="000000"/>
          <w:szCs w:val="21"/>
        </w:rPr>
      </w:pPr>
    </w:p>
    <w:p>
      <w:pPr>
        <w:spacing w:line="400" w:lineRule="atLeast"/>
        <w:jc w:val="left"/>
        <w:rPr>
          <w:rFonts w:ascii="宋体" w:hAnsi="宋体"/>
          <w:color w:val="000000"/>
          <w:szCs w:val="21"/>
        </w:rPr>
      </w:pPr>
      <w:r>
        <w:rPr>
          <w:rFonts w:hint="eastAsia" w:ascii="宋体" w:hAnsi="宋体"/>
          <w:color w:val="000000"/>
          <w:szCs w:val="21"/>
        </w:rPr>
        <w:t>供应商（盖章）：</w:t>
      </w:r>
    </w:p>
    <w:p>
      <w:pPr>
        <w:spacing w:line="400" w:lineRule="atLeast"/>
        <w:jc w:val="left"/>
        <w:rPr>
          <w:rFonts w:ascii="宋体" w:hAnsi="宋体"/>
          <w:color w:val="000000"/>
          <w:szCs w:val="21"/>
        </w:rPr>
      </w:pPr>
      <w:r>
        <w:rPr>
          <w:rFonts w:hint="eastAsia" w:ascii="宋体" w:hAnsi="宋体"/>
          <w:color w:val="000000"/>
          <w:szCs w:val="21"/>
        </w:rPr>
        <w:t>法定代表人或授权代表（签字）：</w:t>
      </w:r>
    </w:p>
    <w:p>
      <w:pPr>
        <w:spacing w:line="400" w:lineRule="atLeast"/>
        <w:rPr>
          <w:rFonts w:ascii="宋体" w:hAnsi="宋体"/>
          <w:color w:val="000000"/>
          <w:szCs w:val="21"/>
          <w:u w:val="single"/>
        </w:rPr>
      </w:pPr>
      <w:r>
        <w:rPr>
          <w:rFonts w:hint="eastAsia" w:ascii="宋体" w:hAnsi="宋体"/>
          <w:color w:val="000000"/>
          <w:szCs w:val="21"/>
        </w:rPr>
        <w:t>日</w:t>
      </w:r>
      <w:r>
        <w:rPr>
          <w:rFonts w:ascii="宋体" w:hAnsi="宋体"/>
          <w:color w:val="000000"/>
          <w:szCs w:val="21"/>
        </w:rPr>
        <w:t xml:space="preserve">            </w:t>
      </w:r>
      <w:r>
        <w:rPr>
          <w:rFonts w:hint="eastAsia" w:ascii="宋体" w:hAnsi="宋体"/>
          <w:color w:val="000000"/>
          <w:szCs w:val="21"/>
        </w:rPr>
        <w:t>期：</w:t>
      </w:r>
    </w:p>
    <w:p>
      <w:pPr>
        <w:spacing w:line="400" w:lineRule="atLeast"/>
        <w:rPr>
          <w:rFonts w:ascii="宋体" w:hAnsi="宋体"/>
          <w:color w:val="000000"/>
          <w:szCs w:val="21"/>
          <w:u w:val="single"/>
        </w:rPr>
      </w:pPr>
    </w:p>
    <w:p>
      <w:pPr>
        <w:spacing w:line="400" w:lineRule="atLeast"/>
        <w:rPr>
          <w:rFonts w:ascii="宋体" w:hAnsi="宋体"/>
          <w:color w:val="000000"/>
          <w:szCs w:val="21"/>
          <w:u w:val="single"/>
        </w:rPr>
      </w:pPr>
    </w:p>
    <w:p>
      <w:pPr>
        <w:spacing w:line="400" w:lineRule="atLeast"/>
        <w:rPr>
          <w:rFonts w:ascii="宋体" w:hAnsi="宋体"/>
          <w:color w:val="000000"/>
          <w:szCs w:val="21"/>
          <w:u w:val="single"/>
        </w:rPr>
      </w:pPr>
    </w:p>
    <w:p>
      <w:pPr>
        <w:spacing w:line="360" w:lineRule="auto"/>
        <w:jc w:val="center"/>
        <w:rPr>
          <w:rFonts w:hint="eastAsia" w:ascii="宋体" w:hAnsi="宋体"/>
          <w:b/>
          <w:color w:val="000000"/>
          <w:szCs w:val="21"/>
        </w:rPr>
      </w:pPr>
      <w:r>
        <w:rPr>
          <w:rStyle w:val="114"/>
          <w:rFonts w:ascii="宋体" w:hAnsi="宋体"/>
          <w:color w:val="000000"/>
          <w:sz w:val="21"/>
          <w:szCs w:val="21"/>
        </w:rPr>
        <w:br w:type="page"/>
      </w:r>
      <w:r>
        <w:rPr>
          <w:rFonts w:hint="eastAsia" w:ascii="宋体" w:hAnsi="宋体"/>
          <w:b/>
          <w:color w:val="000000"/>
          <w:szCs w:val="21"/>
        </w:rPr>
        <w:t>B2法定代表人身份证明</w:t>
      </w:r>
    </w:p>
    <w:p>
      <w:pPr>
        <w:spacing w:line="360" w:lineRule="auto"/>
        <w:jc w:val="center"/>
        <w:rPr>
          <w:rFonts w:hint="eastAsia" w:ascii="宋体" w:hAnsi="宋体"/>
          <w:b/>
          <w:color w:val="000000"/>
          <w:szCs w:val="21"/>
        </w:rPr>
      </w:pPr>
      <w:r>
        <w:rPr>
          <w:rFonts w:hint="eastAsia" w:ascii="宋体" w:hAnsi="宋体"/>
          <w:b/>
          <w:color w:val="000000"/>
          <w:szCs w:val="21"/>
        </w:rPr>
        <w:t>（投标人代表为法定代表人时适用）</w:t>
      </w:r>
    </w:p>
    <w:p>
      <w:pPr>
        <w:spacing w:after="120" w:afterLines="50" w:line="400" w:lineRule="exact"/>
        <w:rPr>
          <w:rFonts w:ascii="宋体" w:hAnsi="宋体"/>
          <w:color w:val="000000"/>
          <w:szCs w:val="21"/>
          <w:u w:val="single"/>
        </w:rPr>
      </w:pPr>
      <w:r>
        <w:rPr>
          <w:rFonts w:hint="eastAsia" w:ascii="宋体" w:hAnsi="宋体"/>
          <w:color w:val="000000"/>
          <w:szCs w:val="21"/>
        </w:rPr>
        <w:t>供应商名称：</w:t>
      </w:r>
      <w:r>
        <w:rPr>
          <w:rFonts w:ascii="宋体" w:hAnsi="宋体"/>
          <w:color w:val="000000"/>
          <w:szCs w:val="21"/>
          <w:u w:val="single"/>
        </w:rPr>
        <w:t xml:space="preserve">                   </w:t>
      </w:r>
    </w:p>
    <w:p>
      <w:pPr>
        <w:spacing w:after="120" w:afterLines="50" w:line="400" w:lineRule="exact"/>
        <w:rPr>
          <w:rFonts w:ascii="宋体" w:hAnsi="宋体"/>
          <w:color w:val="000000"/>
          <w:szCs w:val="21"/>
          <w:u w:val="single"/>
        </w:rPr>
      </w:pPr>
      <w:r>
        <w:rPr>
          <w:rFonts w:hint="eastAsia" w:ascii="宋体" w:hAnsi="宋体"/>
          <w:color w:val="000000"/>
          <w:szCs w:val="21"/>
        </w:rPr>
        <w:t>单位性质：</w:t>
      </w:r>
      <w:r>
        <w:rPr>
          <w:rFonts w:ascii="宋体" w:hAnsi="宋体"/>
          <w:color w:val="000000"/>
          <w:szCs w:val="21"/>
          <w:u w:val="single"/>
        </w:rPr>
        <w:t xml:space="preserve">                   </w:t>
      </w:r>
    </w:p>
    <w:p>
      <w:pPr>
        <w:spacing w:after="120" w:afterLines="50" w:line="400" w:lineRule="exact"/>
        <w:rPr>
          <w:rFonts w:ascii="宋体" w:hAnsi="宋体"/>
          <w:color w:val="000000"/>
          <w:szCs w:val="21"/>
          <w:u w:val="single"/>
        </w:rPr>
      </w:pPr>
      <w:r>
        <w:rPr>
          <w:rFonts w:hint="eastAsia" w:ascii="宋体" w:hAnsi="宋体"/>
          <w:color w:val="000000"/>
          <w:szCs w:val="21"/>
        </w:rPr>
        <w:t>地址：</w:t>
      </w:r>
      <w:r>
        <w:rPr>
          <w:rFonts w:ascii="宋体" w:hAnsi="宋体"/>
          <w:color w:val="000000"/>
          <w:szCs w:val="21"/>
          <w:u w:val="single"/>
        </w:rPr>
        <w:t xml:space="preserve">                   </w:t>
      </w:r>
    </w:p>
    <w:p>
      <w:pPr>
        <w:spacing w:after="120" w:afterLines="50" w:line="400" w:lineRule="exact"/>
        <w:rPr>
          <w:rFonts w:ascii="宋体" w:hAnsi="宋体"/>
          <w:color w:val="000000"/>
          <w:szCs w:val="21"/>
          <w:u w:val="single"/>
        </w:rPr>
      </w:pPr>
      <w:r>
        <w:rPr>
          <w:rFonts w:hint="eastAsia" w:ascii="宋体" w:hAnsi="宋体"/>
          <w:color w:val="000000"/>
          <w:szCs w:val="21"/>
        </w:rPr>
        <w:t>成立时间：</w:t>
      </w:r>
      <w:r>
        <w:rPr>
          <w:rFonts w:ascii="宋体" w:hAnsi="宋体"/>
          <w:color w:val="000000"/>
          <w:szCs w:val="21"/>
          <w:u w:val="single"/>
        </w:rPr>
        <w:t xml:space="preserve">      </w:t>
      </w:r>
      <w:r>
        <w:rPr>
          <w:rFonts w:hint="eastAsia" w:ascii="宋体" w:hAnsi="宋体"/>
          <w:color w:val="000000"/>
          <w:szCs w:val="21"/>
        </w:rPr>
        <w:t>年</w:t>
      </w:r>
      <w:r>
        <w:rPr>
          <w:rFonts w:ascii="宋体" w:hAnsi="宋体"/>
          <w:color w:val="000000"/>
          <w:szCs w:val="21"/>
          <w:u w:val="single"/>
        </w:rPr>
        <w:t xml:space="preserve">       </w:t>
      </w:r>
      <w:r>
        <w:rPr>
          <w:rFonts w:hint="eastAsia" w:ascii="宋体" w:hAnsi="宋体"/>
          <w:color w:val="000000"/>
          <w:szCs w:val="21"/>
        </w:rPr>
        <w:t>月</w:t>
      </w:r>
      <w:r>
        <w:rPr>
          <w:rFonts w:ascii="宋体" w:hAnsi="宋体"/>
          <w:color w:val="000000"/>
          <w:szCs w:val="21"/>
          <w:u w:val="single"/>
        </w:rPr>
        <w:t xml:space="preserve">      </w:t>
      </w:r>
      <w:r>
        <w:rPr>
          <w:rFonts w:hint="eastAsia" w:ascii="宋体" w:hAnsi="宋体"/>
          <w:color w:val="000000"/>
          <w:szCs w:val="21"/>
        </w:rPr>
        <w:t>日</w:t>
      </w:r>
    </w:p>
    <w:p>
      <w:pPr>
        <w:spacing w:after="120" w:afterLines="50" w:line="400" w:lineRule="exact"/>
        <w:rPr>
          <w:rFonts w:ascii="宋体" w:hAnsi="宋体"/>
          <w:color w:val="000000"/>
          <w:szCs w:val="21"/>
          <w:u w:val="single"/>
        </w:rPr>
      </w:pPr>
      <w:r>
        <w:rPr>
          <w:rFonts w:hint="eastAsia" w:ascii="宋体" w:hAnsi="宋体"/>
          <w:color w:val="000000"/>
          <w:szCs w:val="21"/>
        </w:rPr>
        <w:t>经营期限：</w:t>
      </w:r>
    </w:p>
    <w:p>
      <w:pPr>
        <w:spacing w:after="120" w:afterLines="50" w:line="400" w:lineRule="exact"/>
        <w:rPr>
          <w:rFonts w:ascii="宋体" w:hAnsi="宋体"/>
          <w:color w:val="000000"/>
          <w:szCs w:val="21"/>
          <w:u w:val="single"/>
        </w:rPr>
      </w:pPr>
      <w:r>
        <w:rPr>
          <w:rFonts w:hint="eastAsia" w:ascii="宋体" w:hAnsi="宋体"/>
          <w:color w:val="000000"/>
          <w:szCs w:val="21"/>
        </w:rPr>
        <w:t>姓名：</w:t>
      </w:r>
      <w:r>
        <w:rPr>
          <w:rFonts w:ascii="宋体" w:hAnsi="宋体"/>
          <w:color w:val="000000"/>
          <w:szCs w:val="21"/>
          <w:u w:val="single"/>
        </w:rPr>
        <w:t xml:space="preserve">         </w:t>
      </w:r>
      <w:r>
        <w:rPr>
          <w:rFonts w:hint="eastAsia" w:ascii="宋体" w:hAnsi="宋体"/>
          <w:color w:val="000000"/>
          <w:szCs w:val="21"/>
        </w:rPr>
        <w:t>性别：</w:t>
      </w:r>
      <w:r>
        <w:rPr>
          <w:rFonts w:ascii="宋体" w:hAnsi="宋体"/>
          <w:color w:val="000000"/>
          <w:szCs w:val="21"/>
          <w:u w:val="single"/>
        </w:rPr>
        <w:t xml:space="preserve">           </w:t>
      </w:r>
      <w:r>
        <w:rPr>
          <w:rFonts w:hint="eastAsia" w:ascii="宋体" w:hAnsi="宋体"/>
          <w:color w:val="000000"/>
          <w:szCs w:val="21"/>
        </w:rPr>
        <w:t>年龄：</w:t>
      </w:r>
      <w:r>
        <w:rPr>
          <w:rFonts w:ascii="宋体" w:hAnsi="宋体"/>
          <w:color w:val="000000"/>
          <w:szCs w:val="21"/>
          <w:u w:val="single"/>
        </w:rPr>
        <w:t xml:space="preserve">            </w:t>
      </w:r>
      <w:r>
        <w:rPr>
          <w:rFonts w:hint="eastAsia" w:ascii="宋体" w:hAnsi="宋体"/>
          <w:color w:val="000000"/>
          <w:szCs w:val="21"/>
        </w:rPr>
        <w:t>职务：</w:t>
      </w:r>
      <w:r>
        <w:rPr>
          <w:rFonts w:ascii="宋体" w:hAnsi="宋体"/>
          <w:color w:val="000000"/>
          <w:szCs w:val="21"/>
          <w:u w:val="single"/>
        </w:rPr>
        <w:t xml:space="preserve">          </w:t>
      </w:r>
    </w:p>
    <w:p>
      <w:pPr>
        <w:spacing w:after="120" w:afterLines="50" w:line="400" w:lineRule="exact"/>
        <w:rPr>
          <w:rFonts w:ascii="宋体" w:hAnsi="宋体"/>
          <w:color w:val="000000"/>
          <w:szCs w:val="21"/>
          <w:u w:val="single"/>
        </w:rPr>
      </w:pPr>
      <w:r>
        <w:rPr>
          <w:rFonts w:hint="eastAsia" w:ascii="宋体" w:hAnsi="宋体"/>
          <w:color w:val="000000"/>
          <w:szCs w:val="21"/>
        </w:rPr>
        <w:t>身份证号码：</w:t>
      </w:r>
      <w:r>
        <w:rPr>
          <w:rFonts w:ascii="宋体" w:hAnsi="宋体"/>
          <w:color w:val="000000"/>
          <w:szCs w:val="21"/>
          <w:u w:val="single"/>
        </w:rPr>
        <w:t xml:space="preserve">                   </w:t>
      </w:r>
    </w:p>
    <w:p>
      <w:pPr>
        <w:spacing w:line="400" w:lineRule="exact"/>
        <w:ind w:firstLine="560"/>
        <w:rPr>
          <w:rFonts w:ascii="宋体" w:hAnsi="宋体"/>
          <w:color w:val="000000"/>
          <w:szCs w:val="21"/>
        </w:rPr>
      </w:pPr>
    </w:p>
    <w:p>
      <w:pPr>
        <w:spacing w:line="400" w:lineRule="exact"/>
        <w:rPr>
          <w:rFonts w:ascii="宋体" w:hAnsi="宋体"/>
          <w:color w:val="000000"/>
          <w:szCs w:val="21"/>
        </w:rPr>
      </w:pPr>
      <w:r>
        <w:rPr>
          <w:rFonts w:ascii="宋体" w:hAnsi="宋体"/>
          <w:color w:val="000000"/>
          <w:szCs w:val="21"/>
        </w:rPr>
        <w:t xml:space="preserve">    </w:t>
      </w:r>
      <w:r>
        <w:rPr>
          <w:rFonts w:hint="eastAsia" w:ascii="宋体" w:hAnsi="宋体"/>
          <w:color w:val="000000"/>
          <w:szCs w:val="21"/>
        </w:rPr>
        <w:t>系</w:t>
      </w:r>
      <w:r>
        <w:rPr>
          <w:rFonts w:hint="eastAsia" w:ascii="宋体" w:hAnsi="宋体"/>
          <w:color w:val="000000"/>
          <w:szCs w:val="21"/>
          <w:u w:val="single"/>
        </w:rPr>
        <w:t>（供应商名称）</w:t>
      </w:r>
      <w:r>
        <w:rPr>
          <w:rFonts w:hint="eastAsia" w:ascii="宋体" w:hAnsi="宋体"/>
          <w:color w:val="000000"/>
          <w:szCs w:val="21"/>
        </w:rPr>
        <w:t>的法定代表人。</w:t>
      </w:r>
    </w:p>
    <w:p>
      <w:pPr>
        <w:spacing w:line="400" w:lineRule="exact"/>
        <w:ind w:firstLine="560"/>
        <w:rPr>
          <w:rFonts w:ascii="宋体" w:hAnsi="宋体"/>
          <w:color w:val="000000"/>
          <w:szCs w:val="21"/>
        </w:rPr>
      </w:pPr>
    </w:p>
    <w:p>
      <w:pPr>
        <w:spacing w:line="400" w:lineRule="exact"/>
        <w:rPr>
          <w:rFonts w:ascii="宋体" w:hAnsi="宋体"/>
          <w:color w:val="000000"/>
          <w:szCs w:val="21"/>
        </w:rPr>
      </w:pPr>
      <w:r>
        <w:rPr>
          <w:rFonts w:hint="eastAsia" w:ascii="宋体" w:hAnsi="宋体"/>
          <w:color w:val="000000"/>
          <w:szCs w:val="21"/>
        </w:rPr>
        <w:t>特此证明。</w:t>
      </w:r>
    </w:p>
    <w:p>
      <w:pPr>
        <w:spacing w:line="400" w:lineRule="exact"/>
        <w:rPr>
          <w:rFonts w:ascii="宋体" w:hAnsi="宋体"/>
          <w:color w:val="000000"/>
          <w:szCs w:val="21"/>
        </w:rPr>
      </w:pPr>
    </w:p>
    <w:p>
      <w:pPr>
        <w:spacing w:line="400" w:lineRule="atLeast"/>
        <w:jc w:val="left"/>
        <w:rPr>
          <w:rFonts w:ascii="宋体" w:hAnsi="宋体"/>
          <w:color w:val="000000"/>
          <w:szCs w:val="21"/>
        </w:rPr>
      </w:pPr>
      <w:r>
        <w:rPr>
          <w:rFonts w:hint="eastAsia" w:ascii="宋体" w:hAnsi="宋体"/>
          <w:color w:val="000000"/>
          <w:szCs w:val="21"/>
        </w:rPr>
        <w:t>供应商（盖章）：</w:t>
      </w:r>
    </w:p>
    <w:p>
      <w:pPr>
        <w:spacing w:line="400" w:lineRule="atLeast"/>
        <w:rPr>
          <w:rFonts w:ascii="宋体" w:hAnsi="宋体"/>
          <w:color w:val="000000"/>
          <w:szCs w:val="21"/>
          <w:u w:val="single"/>
        </w:rPr>
      </w:pPr>
      <w:r>
        <w:rPr>
          <w:rFonts w:hint="eastAsia" w:ascii="宋体" w:hAnsi="宋体"/>
          <w:color w:val="000000"/>
          <w:szCs w:val="21"/>
        </w:rPr>
        <w:t>日</w:t>
      </w:r>
      <w:r>
        <w:rPr>
          <w:rFonts w:ascii="宋体" w:hAnsi="宋体"/>
          <w:color w:val="000000"/>
          <w:szCs w:val="21"/>
        </w:rPr>
        <w:t xml:space="preserve">          </w:t>
      </w:r>
      <w:r>
        <w:rPr>
          <w:rFonts w:hint="eastAsia" w:ascii="宋体" w:hAnsi="宋体"/>
          <w:color w:val="000000"/>
          <w:szCs w:val="21"/>
        </w:rPr>
        <w:t>期：</w:t>
      </w:r>
    </w:p>
    <w:p>
      <w:pPr>
        <w:spacing w:line="400" w:lineRule="atLeast"/>
        <w:rPr>
          <w:rFonts w:ascii="宋体" w:hAnsi="宋体"/>
          <w:color w:val="000000"/>
          <w:szCs w:val="21"/>
          <w:u w:val="single"/>
        </w:rPr>
      </w:pPr>
    </w:p>
    <w:p>
      <w:pPr>
        <w:spacing w:line="400" w:lineRule="atLeast"/>
        <w:rPr>
          <w:rFonts w:ascii="宋体" w:hAnsi="宋体"/>
          <w:color w:val="000000"/>
          <w:szCs w:val="21"/>
          <w:u w:val="single"/>
        </w:rPr>
      </w:pPr>
    </w:p>
    <w:p>
      <w:pPr>
        <w:spacing w:line="360" w:lineRule="auto"/>
        <w:rPr>
          <w:rFonts w:hint="eastAsia" w:ascii="宋体" w:hAnsi="宋体"/>
          <w:color w:val="000000"/>
          <w:szCs w:val="21"/>
        </w:rPr>
      </w:pPr>
    </w:p>
    <w:p>
      <w:pPr>
        <w:spacing w:line="360" w:lineRule="auto"/>
        <w:rPr>
          <w:rFonts w:ascii="宋体" w:hAnsi="宋体"/>
          <w:color w:val="000000"/>
          <w:szCs w:val="21"/>
        </w:rPr>
      </w:pPr>
      <w:r>
        <w:rPr>
          <w:rFonts w:hint="eastAsia" w:ascii="宋体" w:hAnsi="宋体"/>
          <w:color w:val="000000"/>
          <w:szCs w:val="21"/>
        </w:rPr>
        <w:t>后附：法定代表人身份证复印件加盖供应商公章。</w:t>
      </w:r>
    </w:p>
    <w:p>
      <w:pPr>
        <w:spacing w:line="400" w:lineRule="atLeast"/>
        <w:rPr>
          <w:rFonts w:ascii="宋体" w:hAnsi="宋体"/>
          <w:color w:val="000000"/>
          <w:szCs w:val="21"/>
          <w:u w:val="single"/>
        </w:rPr>
      </w:pPr>
    </w:p>
    <w:p>
      <w:pPr>
        <w:spacing w:line="400" w:lineRule="exact"/>
        <w:jc w:val="center"/>
        <w:rPr>
          <w:rFonts w:ascii="宋体" w:hAnsi="宋体"/>
          <w:b/>
          <w:color w:val="000000"/>
          <w:szCs w:val="21"/>
        </w:rPr>
      </w:pPr>
      <w:r>
        <w:rPr>
          <w:rStyle w:val="114"/>
          <w:rFonts w:ascii="宋体" w:hAnsi="宋体"/>
          <w:color w:val="000000"/>
          <w:sz w:val="21"/>
          <w:szCs w:val="21"/>
        </w:rPr>
        <w:br w:type="page"/>
      </w:r>
      <w:r>
        <w:rPr>
          <w:rFonts w:hint="eastAsia" w:ascii="宋体" w:hAnsi="宋体"/>
          <w:b/>
          <w:color w:val="000000"/>
          <w:szCs w:val="21"/>
        </w:rPr>
        <w:t>B</w:t>
      </w:r>
      <w:r>
        <w:rPr>
          <w:rFonts w:ascii="宋体" w:hAnsi="宋体"/>
          <w:b/>
          <w:color w:val="000000"/>
          <w:szCs w:val="21"/>
        </w:rPr>
        <w:t>3</w:t>
      </w:r>
      <w:r>
        <w:rPr>
          <w:rFonts w:hint="eastAsia" w:ascii="宋体" w:hAnsi="宋体"/>
          <w:b/>
          <w:color w:val="000000"/>
          <w:szCs w:val="21"/>
        </w:rPr>
        <w:t>法定代表人授权书</w:t>
      </w:r>
    </w:p>
    <w:p>
      <w:pPr>
        <w:spacing w:line="400" w:lineRule="exact"/>
        <w:jc w:val="center"/>
        <w:rPr>
          <w:rFonts w:ascii="宋体" w:hAnsi="宋体"/>
          <w:b/>
          <w:color w:val="000000"/>
          <w:szCs w:val="21"/>
        </w:rPr>
      </w:pPr>
      <w:r>
        <w:rPr>
          <w:rFonts w:hint="eastAsia" w:ascii="宋体" w:hAnsi="宋体"/>
          <w:b/>
          <w:color w:val="000000"/>
          <w:szCs w:val="21"/>
        </w:rPr>
        <w:t>（投标文件由授权代表签字的须提供）</w:t>
      </w:r>
    </w:p>
    <w:p>
      <w:pPr>
        <w:spacing w:line="360" w:lineRule="auto"/>
        <w:rPr>
          <w:rFonts w:ascii="宋体" w:hAnsi="宋体"/>
          <w:color w:val="000000"/>
          <w:szCs w:val="21"/>
        </w:rPr>
      </w:pPr>
      <w:r>
        <w:rPr>
          <w:rFonts w:hint="eastAsia" w:ascii="宋体" w:hAnsi="宋体"/>
          <w:color w:val="000000"/>
          <w:szCs w:val="21"/>
        </w:rPr>
        <w:t>致：采购人</w:t>
      </w:r>
    </w:p>
    <w:p>
      <w:pPr>
        <w:spacing w:line="360" w:lineRule="auto"/>
        <w:ind w:firstLine="420" w:firstLineChars="200"/>
        <w:rPr>
          <w:rFonts w:ascii="宋体" w:hAnsi="宋体"/>
          <w:color w:val="000000"/>
          <w:szCs w:val="21"/>
        </w:rPr>
      </w:pPr>
      <w:r>
        <w:rPr>
          <w:rFonts w:hint="eastAsia" w:ascii="宋体" w:hAnsi="宋体"/>
          <w:color w:val="000000"/>
          <w:szCs w:val="21"/>
          <w:u w:val="single"/>
        </w:rPr>
        <w:t>（供应商全称）</w:t>
      </w:r>
      <w:r>
        <w:rPr>
          <w:rFonts w:hint="eastAsia" w:ascii="宋体" w:hAnsi="宋体"/>
          <w:color w:val="000000"/>
          <w:szCs w:val="21"/>
        </w:rPr>
        <w:t>法定代表人</w:t>
      </w:r>
      <w:r>
        <w:rPr>
          <w:rFonts w:hint="eastAsia" w:ascii="宋体" w:hAnsi="宋体"/>
          <w:color w:val="000000"/>
          <w:szCs w:val="21"/>
          <w:u w:val="single"/>
        </w:rPr>
        <w:t>（法定代表人姓名）</w:t>
      </w:r>
      <w:r>
        <w:rPr>
          <w:rFonts w:hint="eastAsia" w:ascii="宋体" w:hAnsi="宋体"/>
          <w:color w:val="000000"/>
          <w:szCs w:val="21"/>
        </w:rPr>
        <w:t>授权</w:t>
      </w:r>
      <w:r>
        <w:rPr>
          <w:rFonts w:hint="eastAsia" w:ascii="宋体" w:hAnsi="宋体"/>
          <w:color w:val="000000"/>
          <w:szCs w:val="21"/>
          <w:u w:val="single"/>
        </w:rPr>
        <w:t>（授权代表姓名）</w:t>
      </w:r>
      <w:r>
        <w:rPr>
          <w:rFonts w:hint="eastAsia" w:ascii="宋体" w:hAnsi="宋体"/>
          <w:color w:val="000000"/>
          <w:szCs w:val="21"/>
        </w:rPr>
        <w:t>为授权代表，参加</w:t>
      </w:r>
      <w:r>
        <w:rPr>
          <w:rFonts w:hint="eastAsia" w:ascii="宋体" w:hAnsi="宋体"/>
          <w:color w:val="000000"/>
          <w:szCs w:val="21"/>
          <w:u w:val="single"/>
        </w:rPr>
        <w:t>舟山市中医院保安服务采购项目</w:t>
      </w:r>
      <w:r>
        <w:rPr>
          <w:rFonts w:hint="eastAsia" w:ascii="宋体" w:hAnsi="宋体"/>
          <w:color w:val="000000"/>
          <w:szCs w:val="21"/>
        </w:rPr>
        <w:t>，采购编号为</w:t>
      </w:r>
      <w:r>
        <w:rPr>
          <w:rFonts w:hint="eastAsia" w:ascii="宋体" w:hAnsi="宋体"/>
          <w:color w:val="000000"/>
          <w:szCs w:val="21"/>
          <w:u w:val="single"/>
        </w:rPr>
        <w:t>NBITC-202250011G</w:t>
      </w:r>
      <w:r>
        <w:rPr>
          <w:rFonts w:hint="eastAsia" w:ascii="宋体" w:hAnsi="宋体"/>
          <w:color w:val="000000"/>
          <w:szCs w:val="21"/>
        </w:rPr>
        <w:t>，其在招投标活动中的一切活动本公司均予承认。</w:t>
      </w:r>
    </w:p>
    <w:p>
      <w:pPr>
        <w:spacing w:line="400" w:lineRule="atLeast"/>
        <w:jc w:val="left"/>
        <w:rPr>
          <w:rFonts w:ascii="宋体" w:hAnsi="宋体"/>
          <w:color w:val="000000"/>
          <w:szCs w:val="21"/>
        </w:rPr>
      </w:pPr>
    </w:p>
    <w:p>
      <w:pPr>
        <w:spacing w:line="400" w:lineRule="atLeast"/>
        <w:jc w:val="left"/>
        <w:rPr>
          <w:rFonts w:ascii="宋体" w:hAnsi="宋体"/>
          <w:color w:val="000000"/>
          <w:szCs w:val="21"/>
        </w:rPr>
      </w:pPr>
      <w:r>
        <w:rPr>
          <w:rFonts w:hint="eastAsia" w:ascii="宋体" w:hAnsi="宋体"/>
          <w:color w:val="000000"/>
          <w:szCs w:val="21"/>
        </w:rPr>
        <w:t>供应商（盖章）：</w:t>
      </w:r>
    </w:p>
    <w:p>
      <w:pPr>
        <w:spacing w:line="400" w:lineRule="atLeast"/>
        <w:jc w:val="left"/>
        <w:rPr>
          <w:rFonts w:ascii="宋体" w:hAnsi="宋体"/>
          <w:color w:val="000000"/>
          <w:szCs w:val="21"/>
        </w:rPr>
      </w:pPr>
      <w:r>
        <w:rPr>
          <w:rFonts w:hint="eastAsia" w:ascii="宋体" w:hAnsi="宋体"/>
          <w:color w:val="000000"/>
          <w:szCs w:val="21"/>
        </w:rPr>
        <w:t>法定代表人（签字或盖章）：</w:t>
      </w:r>
    </w:p>
    <w:p>
      <w:pPr>
        <w:spacing w:line="400" w:lineRule="atLeast"/>
        <w:rPr>
          <w:rFonts w:ascii="宋体" w:hAnsi="宋体"/>
          <w:color w:val="000000"/>
          <w:szCs w:val="21"/>
          <w:u w:val="single"/>
        </w:rPr>
      </w:pPr>
      <w:r>
        <w:rPr>
          <w:rFonts w:hint="eastAsia" w:ascii="宋体" w:hAnsi="宋体"/>
          <w:color w:val="000000"/>
          <w:szCs w:val="21"/>
        </w:rPr>
        <w:t>日</w:t>
      </w:r>
      <w:r>
        <w:rPr>
          <w:rFonts w:ascii="宋体" w:hAnsi="宋体"/>
          <w:color w:val="000000"/>
          <w:szCs w:val="21"/>
        </w:rPr>
        <w:t xml:space="preserve">            </w:t>
      </w:r>
      <w:r>
        <w:rPr>
          <w:rFonts w:hint="eastAsia" w:ascii="宋体" w:hAnsi="宋体"/>
          <w:color w:val="000000"/>
          <w:szCs w:val="21"/>
        </w:rPr>
        <w:t>期：</w:t>
      </w: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r>
        <w:rPr>
          <w:rFonts w:hint="eastAsia" w:ascii="宋体" w:hAnsi="宋体"/>
          <w:color w:val="000000"/>
          <w:szCs w:val="21"/>
        </w:rPr>
        <w:t>附：</w:t>
      </w:r>
    </w:p>
    <w:p>
      <w:pPr>
        <w:spacing w:line="360" w:lineRule="auto"/>
        <w:ind w:firstLine="555"/>
        <w:rPr>
          <w:rFonts w:ascii="宋体" w:hAnsi="宋体"/>
          <w:color w:val="000000"/>
          <w:szCs w:val="21"/>
          <w:u w:val="single"/>
        </w:rPr>
      </w:pPr>
      <w:r>
        <w:rPr>
          <w:rFonts w:hint="eastAsia" w:ascii="宋体" w:hAnsi="宋体"/>
          <w:color w:val="000000"/>
          <w:szCs w:val="21"/>
        </w:rPr>
        <w:t>授权代表姓名：</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p>
    <w:p>
      <w:pPr>
        <w:spacing w:line="360" w:lineRule="auto"/>
        <w:ind w:firstLine="555"/>
        <w:rPr>
          <w:rFonts w:hint="eastAsia" w:ascii="宋体" w:hAnsi="宋体"/>
          <w:color w:val="000000"/>
          <w:szCs w:val="21"/>
          <w:u w:val="single"/>
        </w:rPr>
      </w:pPr>
      <w:r>
        <w:rPr>
          <w:rFonts w:hint="eastAsia" w:ascii="宋体" w:hAnsi="宋体"/>
          <w:color w:val="000000"/>
          <w:szCs w:val="21"/>
        </w:rPr>
        <w:t>授权代表身份证号码：</w:t>
      </w:r>
      <w:r>
        <w:rPr>
          <w:rFonts w:ascii="宋体" w:hAnsi="宋体"/>
          <w:color w:val="000000"/>
          <w:szCs w:val="21"/>
          <w:u w:val="single"/>
        </w:rPr>
        <w:t xml:space="preserve">                   </w:t>
      </w:r>
    </w:p>
    <w:p>
      <w:pPr>
        <w:spacing w:line="360" w:lineRule="auto"/>
        <w:ind w:firstLine="555"/>
        <w:rPr>
          <w:rFonts w:hint="eastAsia" w:ascii="宋体" w:hAnsi="宋体"/>
          <w:color w:val="000000"/>
          <w:szCs w:val="21"/>
          <w:u w:val="single"/>
        </w:rPr>
      </w:pPr>
      <w:r>
        <w:rPr>
          <w:rFonts w:hint="eastAsia" w:ascii="宋体" w:hAnsi="宋体"/>
          <w:color w:val="000000"/>
          <w:szCs w:val="21"/>
        </w:rPr>
        <w:t>职务：</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p>
    <w:p>
      <w:pPr>
        <w:spacing w:line="360" w:lineRule="auto"/>
        <w:ind w:firstLine="555"/>
        <w:rPr>
          <w:rFonts w:hint="eastAsia" w:ascii="宋体" w:hAnsi="宋体"/>
          <w:color w:val="000000"/>
          <w:szCs w:val="21"/>
          <w:u w:val="single"/>
        </w:rPr>
      </w:pPr>
      <w:r>
        <w:rPr>
          <w:rFonts w:hint="eastAsia" w:ascii="宋体" w:hAnsi="宋体"/>
          <w:color w:val="000000"/>
          <w:szCs w:val="21"/>
        </w:rPr>
        <w:t>详细通讯地址：</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p>
    <w:p>
      <w:pPr>
        <w:spacing w:line="360" w:lineRule="auto"/>
        <w:ind w:firstLine="555"/>
        <w:rPr>
          <w:rFonts w:hint="eastAsia" w:ascii="宋体" w:hAnsi="宋体"/>
          <w:color w:val="000000"/>
          <w:szCs w:val="21"/>
        </w:rPr>
      </w:pPr>
      <w:r>
        <w:rPr>
          <w:rFonts w:hint="eastAsia" w:ascii="宋体" w:hAnsi="宋体"/>
          <w:color w:val="000000"/>
          <w:szCs w:val="21"/>
        </w:rPr>
        <w:t>电话：</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p>
    <w:p>
      <w:pPr>
        <w:spacing w:line="360" w:lineRule="auto"/>
        <w:ind w:firstLine="555"/>
        <w:rPr>
          <w:rFonts w:hint="eastAsia" w:ascii="宋体" w:hAnsi="宋体"/>
          <w:color w:val="000000"/>
          <w:szCs w:val="21"/>
          <w:u w:val="single"/>
        </w:rPr>
      </w:pPr>
      <w:r>
        <w:rPr>
          <w:rFonts w:hint="eastAsia" w:ascii="宋体" w:hAnsi="宋体"/>
          <w:color w:val="000000"/>
          <w:szCs w:val="21"/>
        </w:rPr>
        <w:t>传真：</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p>
    <w:p>
      <w:pPr>
        <w:spacing w:line="360" w:lineRule="auto"/>
        <w:ind w:firstLine="525" w:firstLineChars="250"/>
        <w:rPr>
          <w:rFonts w:ascii="宋体" w:hAnsi="宋体"/>
          <w:color w:val="000000"/>
          <w:szCs w:val="21"/>
          <w:u w:val="single"/>
        </w:rPr>
      </w:pPr>
    </w:p>
    <w:p>
      <w:pPr>
        <w:spacing w:line="360" w:lineRule="auto"/>
        <w:ind w:firstLine="525" w:firstLineChars="250"/>
        <w:rPr>
          <w:rFonts w:ascii="宋体" w:hAnsi="宋体"/>
          <w:color w:val="000000"/>
          <w:szCs w:val="21"/>
          <w:u w:val="single"/>
        </w:rPr>
      </w:pPr>
    </w:p>
    <w:p>
      <w:pPr>
        <w:spacing w:line="360" w:lineRule="auto"/>
        <w:ind w:firstLine="525" w:firstLineChars="250"/>
        <w:rPr>
          <w:rFonts w:ascii="宋体" w:hAnsi="宋体"/>
          <w:color w:val="000000"/>
          <w:szCs w:val="21"/>
          <w:u w:val="single"/>
        </w:rPr>
      </w:pPr>
    </w:p>
    <w:p>
      <w:pPr>
        <w:spacing w:line="360" w:lineRule="auto"/>
        <w:ind w:firstLine="525" w:firstLineChars="250"/>
        <w:rPr>
          <w:rFonts w:hint="eastAsia" w:ascii="宋体" w:hAnsi="宋体"/>
          <w:color w:val="000000"/>
          <w:szCs w:val="21"/>
        </w:rPr>
      </w:pPr>
      <w:r>
        <w:rPr>
          <w:rFonts w:hint="eastAsia" w:ascii="宋体" w:hAnsi="宋体"/>
          <w:color w:val="000000"/>
          <w:szCs w:val="21"/>
        </w:rPr>
        <w:t>后附：</w:t>
      </w:r>
    </w:p>
    <w:p>
      <w:pPr>
        <w:spacing w:line="360" w:lineRule="auto"/>
        <w:ind w:firstLine="525" w:firstLineChars="250"/>
        <w:rPr>
          <w:rFonts w:hint="eastAsia" w:ascii="宋体" w:hAnsi="宋体"/>
          <w:szCs w:val="21"/>
        </w:rPr>
      </w:pPr>
      <w:r>
        <w:rPr>
          <w:rFonts w:ascii="宋体" w:hAnsi="宋体"/>
          <w:color w:val="000000"/>
          <w:szCs w:val="21"/>
        </w:rPr>
        <w:t>1</w:t>
      </w:r>
      <w:r>
        <w:rPr>
          <w:rFonts w:hint="eastAsia" w:ascii="宋体" w:hAnsi="宋体"/>
          <w:color w:val="000000"/>
          <w:szCs w:val="21"/>
        </w:rPr>
        <w:t>、</w:t>
      </w:r>
      <w:r>
        <w:rPr>
          <w:rFonts w:hint="eastAsia" w:ascii="宋体" w:hAnsi="宋体"/>
          <w:szCs w:val="21"/>
        </w:rPr>
        <w:t>法定代表人和授权代表身份证复印件加盖供应商公章；</w:t>
      </w:r>
    </w:p>
    <w:p>
      <w:pPr>
        <w:spacing w:line="360" w:lineRule="auto"/>
        <w:ind w:firstLine="525" w:firstLineChars="250"/>
        <w:rPr>
          <w:rFonts w:ascii="宋体" w:hAnsi="宋体"/>
          <w:color w:val="000000"/>
          <w:szCs w:val="21"/>
        </w:rPr>
      </w:pPr>
    </w:p>
    <w:p>
      <w:pPr>
        <w:spacing w:line="360" w:lineRule="auto"/>
        <w:rPr>
          <w:rStyle w:val="114"/>
          <w:rFonts w:ascii="宋体" w:hAnsi="宋体"/>
          <w:color w:val="000000"/>
          <w:sz w:val="21"/>
          <w:szCs w:val="21"/>
        </w:rPr>
      </w:pPr>
      <w:r>
        <w:rPr>
          <w:rStyle w:val="114"/>
          <w:rFonts w:ascii="宋体" w:hAnsi="宋体"/>
          <w:color w:val="000000"/>
          <w:sz w:val="21"/>
          <w:szCs w:val="21"/>
        </w:rPr>
        <w:br w:type="page"/>
      </w:r>
    </w:p>
    <w:p>
      <w:pPr>
        <w:spacing w:line="360" w:lineRule="auto"/>
        <w:ind w:firstLine="3479" w:firstLineChars="1650"/>
        <w:rPr>
          <w:rFonts w:ascii="宋体" w:hAnsi="宋体"/>
          <w:b/>
          <w:color w:val="000000"/>
          <w:szCs w:val="21"/>
        </w:rPr>
      </w:pPr>
      <w:r>
        <w:rPr>
          <w:rFonts w:hint="eastAsia" w:ascii="宋体" w:hAnsi="宋体"/>
          <w:b/>
          <w:color w:val="000000"/>
          <w:szCs w:val="21"/>
        </w:rPr>
        <w:t>B4供应商一般情况</w:t>
      </w:r>
    </w:p>
    <w:tbl>
      <w:tblPr>
        <w:tblStyle w:val="4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4305"/>
        <w:gridCol w:w="9"/>
        <w:gridCol w:w="3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630" w:type="dxa"/>
            <w:noWrap w:val="0"/>
            <w:vAlign w:val="center"/>
          </w:tcPr>
          <w:p>
            <w:pPr>
              <w:spacing w:line="400" w:lineRule="exact"/>
              <w:jc w:val="center"/>
              <w:rPr>
                <w:rFonts w:ascii="宋体" w:hAnsi="宋体"/>
                <w:color w:val="000000"/>
                <w:szCs w:val="21"/>
              </w:rPr>
            </w:pPr>
            <w:r>
              <w:rPr>
                <w:rFonts w:ascii="宋体" w:hAnsi="宋体"/>
                <w:color w:val="000000"/>
                <w:szCs w:val="21"/>
              </w:rPr>
              <w:t>1</w:t>
            </w:r>
          </w:p>
        </w:tc>
        <w:tc>
          <w:tcPr>
            <w:tcW w:w="8147" w:type="dxa"/>
            <w:gridSpan w:val="3"/>
            <w:noWrap w:val="0"/>
            <w:vAlign w:val="center"/>
          </w:tcPr>
          <w:p>
            <w:pPr>
              <w:spacing w:line="400" w:lineRule="exact"/>
              <w:rPr>
                <w:rFonts w:ascii="宋体" w:hAnsi="宋体"/>
                <w:color w:val="000000"/>
                <w:szCs w:val="21"/>
              </w:rPr>
            </w:pPr>
            <w:r>
              <w:rPr>
                <w:rFonts w:hint="eastAsia" w:ascii="宋体" w:hAnsi="宋体"/>
                <w:color w:val="000000"/>
                <w:szCs w:val="21"/>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630" w:type="dxa"/>
            <w:noWrap w:val="0"/>
            <w:vAlign w:val="center"/>
          </w:tcPr>
          <w:p>
            <w:pPr>
              <w:spacing w:line="400" w:lineRule="exact"/>
              <w:jc w:val="center"/>
              <w:rPr>
                <w:rFonts w:ascii="宋体" w:hAnsi="宋体"/>
                <w:color w:val="000000"/>
                <w:szCs w:val="21"/>
              </w:rPr>
            </w:pPr>
            <w:r>
              <w:rPr>
                <w:rFonts w:ascii="宋体" w:hAnsi="宋体"/>
                <w:color w:val="000000"/>
                <w:szCs w:val="21"/>
              </w:rPr>
              <w:t>2</w:t>
            </w:r>
          </w:p>
        </w:tc>
        <w:tc>
          <w:tcPr>
            <w:tcW w:w="8147" w:type="dxa"/>
            <w:gridSpan w:val="3"/>
            <w:noWrap w:val="0"/>
            <w:vAlign w:val="center"/>
          </w:tcPr>
          <w:p>
            <w:pPr>
              <w:spacing w:line="400" w:lineRule="exact"/>
              <w:rPr>
                <w:rFonts w:ascii="宋体" w:hAnsi="宋体"/>
                <w:color w:val="000000"/>
                <w:szCs w:val="21"/>
              </w:rPr>
            </w:pPr>
            <w:r>
              <w:rPr>
                <w:rFonts w:hint="eastAsia" w:ascii="宋体" w:hAnsi="宋体"/>
                <w:color w:val="000000"/>
                <w:szCs w:val="21"/>
              </w:rPr>
              <w:t>注册地址：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630" w:type="dxa"/>
            <w:noWrap w:val="0"/>
            <w:vAlign w:val="center"/>
          </w:tcPr>
          <w:p>
            <w:pPr>
              <w:spacing w:line="400" w:lineRule="exact"/>
              <w:jc w:val="center"/>
              <w:rPr>
                <w:rFonts w:ascii="宋体" w:hAnsi="宋体"/>
                <w:color w:val="000000"/>
                <w:szCs w:val="21"/>
              </w:rPr>
            </w:pPr>
            <w:r>
              <w:rPr>
                <w:rFonts w:ascii="宋体" w:hAnsi="宋体"/>
                <w:color w:val="000000"/>
                <w:szCs w:val="21"/>
              </w:rPr>
              <w:t>3</w:t>
            </w:r>
          </w:p>
        </w:tc>
        <w:tc>
          <w:tcPr>
            <w:tcW w:w="8147" w:type="dxa"/>
            <w:gridSpan w:val="3"/>
            <w:noWrap w:val="0"/>
            <w:vAlign w:val="center"/>
          </w:tcPr>
          <w:p>
            <w:pPr>
              <w:spacing w:line="400" w:lineRule="exact"/>
              <w:rPr>
                <w:rFonts w:ascii="宋体" w:hAnsi="宋体"/>
                <w:color w:val="000000"/>
                <w:szCs w:val="21"/>
              </w:rPr>
            </w:pPr>
            <w:r>
              <w:rPr>
                <w:rFonts w:hint="eastAsia" w:ascii="宋体" w:hAnsi="宋体"/>
                <w:color w:val="000000"/>
                <w:szCs w:val="21"/>
              </w:rPr>
              <w:t>组织结构：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630" w:type="dxa"/>
            <w:noWrap w:val="0"/>
            <w:vAlign w:val="center"/>
          </w:tcPr>
          <w:p>
            <w:pPr>
              <w:spacing w:line="400" w:lineRule="exact"/>
              <w:jc w:val="center"/>
              <w:rPr>
                <w:rFonts w:ascii="宋体" w:hAnsi="宋体"/>
                <w:color w:val="000000"/>
                <w:szCs w:val="21"/>
              </w:rPr>
            </w:pPr>
            <w:r>
              <w:rPr>
                <w:rFonts w:ascii="宋体" w:hAnsi="宋体"/>
                <w:color w:val="000000"/>
                <w:szCs w:val="21"/>
              </w:rPr>
              <w:t>4</w:t>
            </w:r>
          </w:p>
        </w:tc>
        <w:tc>
          <w:tcPr>
            <w:tcW w:w="4305" w:type="dxa"/>
            <w:noWrap w:val="0"/>
            <w:vAlign w:val="center"/>
          </w:tcPr>
          <w:p>
            <w:pPr>
              <w:spacing w:line="400" w:lineRule="exact"/>
              <w:rPr>
                <w:rFonts w:ascii="宋体" w:hAnsi="宋体"/>
                <w:color w:val="000000"/>
                <w:szCs w:val="21"/>
              </w:rPr>
            </w:pPr>
            <w:r>
              <w:rPr>
                <w:rFonts w:hint="eastAsia" w:ascii="宋体" w:hAnsi="宋体"/>
                <w:color w:val="000000"/>
                <w:szCs w:val="21"/>
              </w:rPr>
              <w:t>法定代表人：</w:t>
            </w:r>
          </w:p>
        </w:tc>
        <w:tc>
          <w:tcPr>
            <w:tcW w:w="3842" w:type="dxa"/>
            <w:gridSpan w:val="2"/>
            <w:noWrap w:val="0"/>
            <w:vAlign w:val="center"/>
          </w:tcPr>
          <w:p>
            <w:pPr>
              <w:spacing w:line="400" w:lineRule="exact"/>
              <w:rPr>
                <w:rFonts w:ascii="宋体" w:hAnsi="宋体"/>
                <w:color w:val="000000"/>
                <w:szCs w:val="21"/>
              </w:rPr>
            </w:pPr>
            <w:r>
              <w:rPr>
                <w:rFonts w:hint="eastAsia" w:ascii="宋体" w:hAnsi="宋体"/>
                <w:color w:val="000000"/>
                <w:szCs w:val="21"/>
              </w:rPr>
              <w:t>联</w:t>
            </w:r>
            <w:r>
              <w:rPr>
                <w:rFonts w:ascii="宋体" w:hAnsi="宋体"/>
                <w:color w:val="000000"/>
                <w:szCs w:val="21"/>
              </w:rPr>
              <w:t xml:space="preserve"> </w:t>
            </w:r>
            <w:r>
              <w:rPr>
                <w:rFonts w:hint="eastAsia" w:ascii="宋体" w:hAnsi="宋体"/>
                <w:color w:val="000000"/>
                <w:szCs w:val="21"/>
              </w:rPr>
              <w:t>系</w:t>
            </w:r>
            <w:r>
              <w:rPr>
                <w:rFonts w:ascii="宋体" w:hAnsi="宋体"/>
                <w:color w:val="000000"/>
                <w:szCs w:val="21"/>
              </w:rPr>
              <w:t xml:space="preserve"> </w:t>
            </w:r>
            <w:r>
              <w:rPr>
                <w:rFonts w:hint="eastAsia" w:ascii="宋体" w:hAnsi="宋体"/>
                <w:color w:val="00000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630" w:type="dxa"/>
            <w:noWrap w:val="0"/>
            <w:vAlign w:val="center"/>
          </w:tcPr>
          <w:p>
            <w:pPr>
              <w:spacing w:line="400" w:lineRule="exact"/>
              <w:jc w:val="center"/>
              <w:rPr>
                <w:rFonts w:ascii="宋体" w:hAnsi="宋体"/>
                <w:color w:val="000000"/>
                <w:szCs w:val="21"/>
              </w:rPr>
            </w:pPr>
            <w:r>
              <w:rPr>
                <w:rFonts w:ascii="宋体" w:hAnsi="宋体"/>
                <w:color w:val="000000"/>
                <w:szCs w:val="21"/>
              </w:rPr>
              <w:t>5</w:t>
            </w:r>
          </w:p>
        </w:tc>
        <w:tc>
          <w:tcPr>
            <w:tcW w:w="4305" w:type="dxa"/>
            <w:noWrap w:val="0"/>
            <w:vAlign w:val="center"/>
          </w:tcPr>
          <w:p>
            <w:pPr>
              <w:spacing w:line="400" w:lineRule="exact"/>
              <w:rPr>
                <w:rFonts w:ascii="宋体" w:hAnsi="宋体"/>
                <w:color w:val="000000"/>
                <w:szCs w:val="21"/>
              </w:rPr>
            </w:pPr>
            <w:r>
              <w:rPr>
                <w:rFonts w:hint="eastAsia" w:ascii="宋体" w:hAnsi="宋体"/>
                <w:color w:val="000000"/>
                <w:szCs w:val="21"/>
              </w:rPr>
              <w:t>电</w:t>
            </w:r>
            <w:r>
              <w:rPr>
                <w:rFonts w:ascii="宋体" w:hAnsi="宋体"/>
                <w:color w:val="000000"/>
                <w:szCs w:val="21"/>
              </w:rPr>
              <w:t xml:space="preserve">  </w:t>
            </w:r>
            <w:r>
              <w:rPr>
                <w:rFonts w:hint="eastAsia" w:ascii="宋体" w:hAnsi="宋体"/>
                <w:color w:val="000000"/>
                <w:szCs w:val="21"/>
              </w:rPr>
              <w:t>话：</w:t>
            </w:r>
          </w:p>
        </w:tc>
        <w:tc>
          <w:tcPr>
            <w:tcW w:w="3842" w:type="dxa"/>
            <w:gridSpan w:val="2"/>
            <w:noWrap w:val="0"/>
            <w:vAlign w:val="center"/>
          </w:tcPr>
          <w:p>
            <w:pPr>
              <w:spacing w:line="400" w:lineRule="exact"/>
              <w:rPr>
                <w:rFonts w:ascii="宋体" w:hAnsi="宋体"/>
                <w:color w:val="000000"/>
                <w:szCs w:val="21"/>
              </w:rPr>
            </w:pPr>
            <w:r>
              <w:rPr>
                <w:rFonts w:hint="eastAsia" w:ascii="宋体" w:hAnsi="宋体"/>
                <w:color w:val="000000"/>
                <w:szCs w:val="21"/>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630" w:type="dxa"/>
            <w:noWrap w:val="0"/>
            <w:vAlign w:val="center"/>
          </w:tcPr>
          <w:p>
            <w:pPr>
              <w:spacing w:line="400" w:lineRule="exact"/>
              <w:jc w:val="center"/>
              <w:rPr>
                <w:rFonts w:ascii="宋体" w:hAnsi="宋体"/>
                <w:color w:val="000000"/>
                <w:szCs w:val="21"/>
              </w:rPr>
            </w:pPr>
            <w:r>
              <w:rPr>
                <w:rFonts w:ascii="宋体" w:hAnsi="宋体"/>
                <w:color w:val="000000"/>
                <w:szCs w:val="21"/>
              </w:rPr>
              <w:t>6</w:t>
            </w:r>
          </w:p>
        </w:tc>
        <w:tc>
          <w:tcPr>
            <w:tcW w:w="4305" w:type="dxa"/>
            <w:noWrap w:val="0"/>
            <w:vAlign w:val="center"/>
          </w:tcPr>
          <w:p>
            <w:pPr>
              <w:spacing w:line="400" w:lineRule="exact"/>
              <w:rPr>
                <w:rFonts w:ascii="宋体" w:hAnsi="宋体"/>
                <w:color w:val="000000"/>
                <w:szCs w:val="21"/>
              </w:rPr>
            </w:pPr>
            <w:r>
              <w:rPr>
                <w:rFonts w:hint="eastAsia" w:ascii="宋体" w:hAnsi="宋体"/>
                <w:color w:val="000000"/>
                <w:szCs w:val="21"/>
              </w:rPr>
              <w:t>注册地：</w:t>
            </w:r>
          </w:p>
        </w:tc>
        <w:tc>
          <w:tcPr>
            <w:tcW w:w="3842" w:type="dxa"/>
            <w:gridSpan w:val="2"/>
            <w:noWrap w:val="0"/>
            <w:vAlign w:val="center"/>
          </w:tcPr>
          <w:p>
            <w:pPr>
              <w:spacing w:line="400" w:lineRule="exact"/>
              <w:rPr>
                <w:rFonts w:ascii="宋体" w:hAnsi="宋体"/>
                <w:color w:val="000000"/>
                <w:szCs w:val="21"/>
              </w:rPr>
            </w:pPr>
            <w:r>
              <w:rPr>
                <w:rFonts w:hint="eastAsia" w:ascii="宋体" w:hAnsi="宋体"/>
                <w:color w:val="000000"/>
                <w:szCs w:val="21"/>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630" w:type="dxa"/>
            <w:noWrap w:val="0"/>
            <w:vAlign w:val="center"/>
          </w:tcPr>
          <w:p>
            <w:pPr>
              <w:spacing w:line="400" w:lineRule="exact"/>
              <w:jc w:val="center"/>
              <w:rPr>
                <w:rFonts w:ascii="宋体" w:hAnsi="宋体"/>
                <w:color w:val="000000"/>
                <w:szCs w:val="21"/>
              </w:rPr>
            </w:pPr>
            <w:r>
              <w:rPr>
                <w:rFonts w:ascii="宋体" w:hAnsi="宋体"/>
                <w:color w:val="000000"/>
                <w:szCs w:val="21"/>
              </w:rPr>
              <w:t>7</w:t>
            </w:r>
          </w:p>
        </w:tc>
        <w:tc>
          <w:tcPr>
            <w:tcW w:w="8147" w:type="dxa"/>
            <w:gridSpan w:val="3"/>
            <w:noWrap w:val="0"/>
            <w:vAlign w:val="center"/>
          </w:tcPr>
          <w:p>
            <w:pPr>
              <w:spacing w:line="400" w:lineRule="exact"/>
              <w:rPr>
                <w:rFonts w:ascii="宋体" w:hAnsi="宋体"/>
                <w:color w:val="000000"/>
                <w:szCs w:val="21"/>
              </w:rPr>
            </w:pPr>
            <w:r>
              <w:rPr>
                <w:rFonts w:hint="eastAsia" w:ascii="宋体" w:hAnsi="宋体"/>
                <w:color w:val="000000"/>
                <w:szCs w:val="21"/>
              </w:rPr>
              <w:t>公司（是否通过，何种）质量保证体系认证（如通过请附相关证书复印件）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630" w:type="dxa"/>
            <w:noWrap w:val="0"/>
            <w:vAlign w:val="center"/>
          </w:tcPr>
          <w:p>
            <w:pPr>
              <w:spacing w:line="400" w:lineRule="exact"/>
              <w:jc w:val="center"/>
              <w:rPr>
                <w:rFonts w:ascii="宋体" w:hAnsi="宋体"/>
                <w:color w:val="000000"/>
                <w:szCs w:val="21"/>
              </w:rPr>
            </w:pPr>
            <w:r>
              <w:rPr>
                <w:rFonts w:ascii="宋体" w:hAnsi="宋体"/>
                <w:color w:val="000000"/>
                <w:szCs w:val="21"/>
              </w:rPr>
              <w:t>8</w:t>
            </w:r>
          </w:p>
        </w:tc>
        <w:tc>
          <w:tcPr>
            <w:tcW w:w="4314" w:type="dxa"/>
            <w:gridSpan w:val="2"/>
            <w:noWrap w:val="0"/>
            <w:vAlign w:val="center"/>
          </w:tcPr>
          <w:p>
            <w:pPr>
              <w:spacing w:line="400" w:lineRule="exact"/>
              <w:rPr>
                <w:rFonts w:ascii="宋体" w:hAnsi="宋体"/>
                <w:color w:val="000000"/>
                <w:szCs w:val="21"/>
              </w:rPr>
            </w:pPr>
            <w:r>
              <w:rPr>
                <w:rFonts w:hint="eastAsia" w:ascii="宋体" w:hAnsi="宋体"/>
                <w:color w:val="000000"/>
                <w:szCs w:val="21"/>
              </w:rPr>
              <w:t>从业人员数量：</w:t>
            </w:r>
          </w:p>
        </w:tc>
        <w:tc>
          <w:tcPr>
            <w:tcW w:w="3833" w:type="dxa"/>
            <w:noWrap w:val="0"/>
            <w:vAlign w:val="center"/>
          </w:tcPr>
          <w:p>
            <w:pPr>
              <w:spacing w:line="400" w:lineRule="exact"/>
              <w:rPr>
                <w:rFonts w:ascii="宋体" w:hAnsi="宋体"/>
                <w:color w:val="000000"/>
                <w:szCs w:val="21"/>
              </w:rPr>
            </w:pPr>
            <w:r>
              <w:rPr>
                <w:rFonts w:hint="eastAsia" w:ascii="宋体" w:hAnsi="宋体"/>
                <w:color w:val="000000"/>
                <w:szCs w:val="21"/>
              </w:rPr>
              <w:t>营业执照号：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630" w:type="dxa"/>
            <w:noWrap w:val="0"/>
            <w:vAlign w:val="center"/>
          </w:tcPr>
          <w:p>
            <w:pPr>
              <w:spacing w:line="400" w:lineRule="exact"/>
              <w:jc w:val="center"/>
              <w:rPr>
                <w:rFonts w:ascii="宋体" w:hAnsi="宋体"/>
                <w:color w:val="000000"/>
                <w:szCs w:val="21"/>
              </w:rPr>
            </w:pPr>
            <w:r>
              <w:rPr>
                <w:rFonts w:ascii="宋体" w:hAnsi="宋体"/>
                <w:color w:val="000000"/>
                <w:szCs w:val="21"/>
              </w:rPr>
              <w:t>9</w:t>
            </w:r>
          </w:p>
        </w:tc>
        <w:tc>
          <w:tcPr>
            <w:tcW w:w="4314" w:type="dxa"/>
            <w:gridSpan w:val="2"/>
            <w:noWrap w:val="0"/>
            <w:vAlign w:val="center"/>
          </w:tcPr>
          <w:p>
            <w:pPr>
              <w:spacing w:line="400" w:lineRule="exact"/>
              <w:rPr>
                <w:rFonts w:ascii="宋体" w:hAnsi="宋体"/>
                <w:color w:val="000000"/>
                <w:szCs w:val="21"/>
              </w:rPr>
            </w:pPr>
            <w:r>
              <w:rPr>
                <w:rFonts w:hint="eastAsia" w:ascii="宋体" w:hAnsi="宋体"/>
                <w:color w:val="000000"/>
                <w:szCs w:val="21"/>
              </w:rPr>
              <w:t>开户银行：</w:t>
            </w:r>
          </w:p>
        </w:tc>
        <w:tc>
          <w:tcPr>
            <w:tcW w:w="3833" w:type="dxa"/>
            <w:noWrap w:val="0"/>
            <w:vAlign w:val="center"/>
          </w:tcPr>
          <w:p>
            <w:pPr>
              <w:spacing w:line="400" w:lineRule="exact"/>
              <w:rPr>
                <w:rFonts w:ascii="宋体" w:hAnsi="宋体"/>
                <w:color w:val="000000"/>
                <w:szCs w:val="21"/>
              </w:rPr>
            </w:pPr>
            <w:r>
              <w:rPr>
                <w:rFonts w:hint="eastAsia" w:ascii="宋体" w:hAnsi="宋体"/>
                <w:color w:val="000000"/>
                <w:szCs w:val="21"/>
              </w:rPr>
              <w:t>开户账号：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630" w:type="dxa"/>
            <w:noWrap w:val="0"/>
            <w:vAlign w:val="center"/>
          </w:tcPr>
          <w:p>
            <w:pPr>
              <w:spacing w:line="400" w:lineRule="exact"/>
              <w:jc w:val="center"/>
              <w:rPr>
                <w:rFonts w:ascii="宋体" w:hAnsi="宋体"/>
                <w:color w:val="000000"/>
                <w:szCs w:val="21"/>
              </w:rPr>
            </w:pPr>
            <w:r>
              <w:rPr>
                <w:rFonts w:ascii="宋体" w:hAnsi="宋体"/>
                <w:color w:val="000000"/>
                <w:szCs w:val="21"/>
              </w:rPr>
              <w:t>10</w:t>
            </w:r>
          </w:p>
        </w:tc>
        <w:tc>
          <w:tcPr>
            <w:tcW w:w="8147" w:type="dxa"/>
            <w:gridSpan w:val="3"/>
            <w:noWrap w:val="0"/>
            <w:vAlign w:val="center"/>
          </w:tcPr>
          <w:p>
            <w:pPr>
              <w:spacing w:line="400" w:lineRule="exact"/>
              <w:rPr>
                <w:rFonts w:ascii="宋体" w:hAnsi="宋体"/>
                <w:color w:val="000000"/>
                <w:szCs w:val="21"/>
              </w:rPr>
            </w:pPr>
            <w:r>
              <w:rPr>
                <w:rFonts w:hint="eastAsia" w:ascii="宋体" w:hAnsi="宋体"/>
                <w:color w:val="000000"/>
                <w:szCs w:val="21"/>
              </w:rPr>
              <w:t>其他需要说明的情况</w:t>
            </w:r>
          </w:p>
        </w:tc>
      </w:tr>
    </w:tbl>
    <w:p>
      <w:pPr>
        <w:spacing w:line="400" w:lineRule="atLeast"/>
        <w:jc w:val="left"/>
        <w:rPr>
          <w:rFonts w:ascii="宋体" w:hAnsi="宋体"/>
          <w:color w:val="000000"/>
          <w:szCs w:val="21"/>
        </w:rPr>
      </w:pPr>
    </w:p>
    <w:p>
      <w:pPr>
        <w:spacing w:line="400" w:lineRule="atLeast"/>
        <w:jc w:val="left"/>
        <w:rPr>
          <w:rFonts w:ascii="宋体" w:hAnsi="宋体"/>
          <w:color w:val="000000"/>
          <w:szCs w:val="21"/>
        </w:rPr>
      </w:pPr>
    </w:p>
    <w:p>
      <w:pPr>
        <w:spacing w:line="400" w:lineRule="atLeast"/>
        <w:jc w:val="left"/>
        <w:rPr>
          <w:rFonts w:ascii="宋体" w:hAnsi="宋体"/>
          <w:color w:val="000000"/>
          <w:szCs w:val="21"/>
        </w:rPr>
      </w:pPr>
      <w:r>
        <w:rPr>
          <w:rFonts w:hint="eastAsia" w:ascii="宋体" w:hAnsi="宋体"/>
          <w:color w:val="000000"/>
          <w:szCs w:val="21"/>
        </w:rPr>
        <w:t>供应商（盖章）：</w:t>
      </w:r>
    </w:p>
    <w:p>
      <w:pPr>
        <w:spacing w:line="400" w:lineRule="atLeast"/>
        <w:rPr>
          <w:rFonts w:ascii="宋体" w:hAnsi="宋体"/>
          <w:color w:val="000000"/>
          <w:szCs w:val="21"/>
          <w:u w:val="single"/>
        </w:rPr>
      </w:pPr>
      <w:r>
        <w:rPr>
          <w:rFonts w:hint="eastAsia" w:ascii="宋体" w:hAnsi="宋体"/>
          <w:color w:val="000000"/>
          <w:szCs w:val="21"/>
        </w:rPr>
        <w:t>日</w:t>
      </w:r>
      <w:r>
        <w:rPr>
          <w:rFonts w:ascii="宋体" w:hAnsi="宋体"/>
          <w:color w:val="000000"/>
          <w:szCs w:val="21"/>
        </w:rPr>
        <w:t xml:space="preserve">          </w:t>
      </w:r>
      <w:r>
        <w:rPr>
          <w:rFonts w:hint="eastAsia" w:ascii="宋体" w:hAnsi="宋体"/>
          <w:color w:val="000000"/>
          <w:szCs w:val="21"/>
        </w:rPr>
        <w:t>期：</w:t>
      </w:r>
    </w:p>
    <w:p>
      <w:pPr>
        <w:spacing w:line="360" w:lineRule="auto"/>
        <w:rPr>
          <w:rStyle w:val="114"/>
          <w:rFonts w:ascii="宋体" w:hAnsi="宋体"/>
          <w:color w:val="000000"/>
          <w:sz w:val="21"/>
          <w:szCs w:val="21"/>
        </w:rPr>
      </w:pPr>
      <w:r>
        <w:rPr>
          <w:rFonts w:ascii="宋体" w:hAnsi="宋体"/>
          <w:color w:val="000000"/>
          <w:szCs w:val="21"/>
        </w:rPr>
        <w:br w:type="page"/>
      </w:r>
    </w:p>
    <w:p>
      <w:pPr>
        <w:spacing w:line="400" w:lineRule="exact"/>
        <w:jc w:val="center"/>
        <w:rPr>
          <w:rFonts w:ascii="宋体" w:hAnsi="宋体"/>
          <w:b/>
          <w:color w:val="000000"/>
          <w:szCs w:val="21"/>
        </w:rPr>
      </w:pPr>
      <w:r>
        <w:rPr>
          <w:rFonts w:ascii="宋体" w:hAnsi="宋体"/>
          <w:b/>
          <w:color w:val="000000"/>
          <w:szCs w:val="21"/>
        </w:rPr>
        <w:t>B</w:t>
      </w:r>
      <w:r>
        <w:rPr>
          <w:rFonts w:hint="eastAsia" w:ascii="宋体" w:hAnsi="宋体"/>
          <w:b/>
          <w:color w:val="000000"/>
          <w:szCs w:val="21"/>
        </w:rPr>
        <w:t>5商务条款响应表</w:t>
      </w:r>
    </w:p>
    <w:p>
      <w:pPr>
        <w:spacing w:line="360" w:lineRule="auto"/>
        <w:ind w:left="540"/>
        <w:jc w:val="center"/>
        <w:rPr>
          <w:rFonts w:ascii="宋体" w:hAnsi="宋体"/>
          <w:b/>
          <w:color w:val="000000"/>
          <w:szCs w:val="21"/>
        </w:rPr>
      </w:pPr>
    </w:p>
    <w:p>
      <w:pPr>
        <w:adjustRightInd w:val="0"/>
        <w:snapToGrid w:val="0"/>
        <w:spacing w:line="360" w:lineRule="auto"/>
        <w:rPr>
          <w:rFonts w:hint="eastAsia" w:ascii="宋体" w:hAnsi="宋体"/>
          <w:color w:val="000000"/>
          <w:szCs w:val="21"/>
        </w:rPr>
      </w:pPr>
      <w:r>
        <w:rPr>
          <w:rFonts w:hint="eastAsia" w:ascii="宋体" w:hAnsi="宋体"/>
          <w:color w:val="000000"/>
          <w:szCs w:val="21"/>
        </w:rPr>
        <w:t>项目名称：舟山市中医院保安服务采购项目</w:t>
      </w:r>
    </w:p>
    <w:p>
      <w:pPr>
        <w:adjustRightInd w:val="0"/>
        <w:snapToGrid w:val="0"/>
        <w:spacing w:line="360" w:lineRule="auto"/>
        <w:rPr>
          <w:rFonts w:hint="eastAsia" w:ascii="宋体" w:hAnsi="宋体"/>
          <w:color w:val="000000"/>
          <w:szCs w:val="21"/>
          <w:u w:val="single"/>
        </w:rPr>
      </w:pPr>
      <w:r>
        <w:rPr>
          <w:rFonts w:hint="eastAsia" w:ascii="宋体" w:hAnsi="宋体"/>
          <w:color w:val="000000"/>
          <w:szCs w:val="21"/>
        </w:rPr>
        <w:t>采购编号：</w:t>
      </w:r>
      <w:r>
        <w:rPr>
          <w:rFonts w:hint="eastAsia" w:ascii="宋体" w:hAnsi="宋体"/>
          <w:color w:val="000000"/>
          <w:szCs w:val="21"/>
          <w:u w:val="single"/>
        </w:rPr>
        <w:t>NBITC-202250011G</w:t>
      </w:r>
    </w:p>
    <w:tbl>
      <w:tblPr>
        <w:tblStyle w:val="4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824"/>
        <w:gridCol w:w="2835"/>
        <w:gridCol w:w="2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1418" w:type="dxa"/>
            <w:noWrap w:val="0"/>
            <w:vAlign w:val="center"/>
          </w:tcPr>
          <w:p>
            <w:pPr>
              <w:adjustRightInd w:val="0"/>
              <w:snapToGrid w:val="0"/>
              <w:spacing w:line="400" w:lineRule="exact"/>
              <w:jc w:val="center"/>
              <w:rPr>
                <w:rFonts w:ascii="宋体" w:hAnsi="宋体"/>
                <w:color w:val="000000"/>
                <w:szCs w:val="21"/>
              </w:rPr>
            </w:pPr>
            <w:r>
              <w:rPr>
                <w:rFonts w:hint="eastAsia" w:ascii="宋体" w:hAnsi="宋体"/>
                <w:color w:val="000000"/>
                <w:szCs w:val="21"/>
              </w:rPr>
              <w:t>序号</w:t>
            </w:r>
          </w:p>
        </w:tc>
        <w:tc>
          <w:tcPr>
            <w:tcW w:w="2824" w:type="dxa"/>
            <w:noWrap w:val="0"/>
            <w:vAlign w:val="center"/>
          </w:tcPr>
          <w:p>
            <w:pPr>
              <w:adjustRightInd w:val="0"/>
              <w:snapToGrid w:val="0"/>
              <w:spacing w:line="400" w:lineRule="exact"/>
              <w:jc w:val="center"/>
              <w:rPr>
                <w:rFonts w:ascii="宋体" w:hAnsi="宋体"/>
                <w:color w:val="000000"/>
                <w:szCs w:val="21"/>
              </w:rPr>
            </w:pPr>
            <w:r>
              <w:rPr>
                <w:rFonts w:hint="eastAsia" w:ascii="宋体" w:hAnsi="宋体"/>
                <w:color w:val="000000"/>
                <w:szCs w:val="21"/>
              </w:rPr>
              <w:t>招标要求</w:t>
            </w:r>
          </w:p>
        </w:tc>
        <w:tc>
          <w:tcPr>
            <w:tcW w:w="2835" w:type="dxa"/>
            <w:noWrap w:val="0"/>
            <w:vAlign w:val="center"/>
          </w:tcPr>
          <w:p>
            <w:pPr>
              <w:adjustRightInd w:val="0"/>
              <w:snapToGrid w:val="0"/>
              <w:spacing w:line="400" w:lineRule="exact"/>
              <w:jc w:val="center"/>
              <w:rPr>
                <w:rFonts w:ascii="宋体" w:hAnsi="宋体"/>
                <w:color w:val="000000"/>
                <w:szCs w:val="21"/>
              </w:rPr>
            </w:pPr>
            <w:r>
              <w:rPr>
                <w:rFonts w:hint="eastAsia" w:ascii="宋体" w:hAnsi="宋体"/>
                <w:color w:val="000000"/>
                <w:szCs w:val="21"/>
              </w:rPr>
              <w:t>投标响应</w:t>
            </w:r>
          </w:p>
        </w:tc>
        <w:tc>
          <w:tcPr>
            <w:tcW w:w="2369" w:type="dxa"/>
            <w:noWrap w:val="0"/>
            <w:vAlign w:val="center"/>
          </w:tcPr>
          <w:p>
            <w:pPr>
              <w:adjustRightInd w:val="0"/>
              <w:snapToGrid w:val="0"/>
              <w:spacing w:line="400" w:lineRule="exact"/>
              <w:jc w:val="center"/>
              <w:rPr>
                <w:rFonts w:ascii="宋体" w:hAnsi="宋体"/>
                <w:color w:val="000000"/>
                <w:szCs w:val="21"/>
              </w:rPr>
            </w:pPr>
            <w:r>
              <w:rPr>
                <w:rFonts w:hint="eastAsia" w:ascii="宋体" w:hAnsi="宋体"/>
                <w:color w:val="000000"/>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1418" w:type="dxa"/>
            <w:noWrap w:val="0"/>
            <w:vAlign w:val="center"/>
          </w:tcPr>
          <w:p>
            <w:pPr>
              <w:adjustRightInd w:val="0"/>
              <w:snapToGrid w:val="0"/>
              <w:spacing w:line="400" w:lineRule="exact"/>
              <w:jc w:val="center"/>
              <w:rPr>
                <w:rFonts w:ascii="宋体" w:hAnsi="宋体"/>
                <w:color w:val="000000"/>
                <w:szCs w:val="21"/>
              </w:rPr>
            </w:pPr>
          </w:p>
        </w:tc>
        <w:tc>
          <w:tcPr>
            <w:tcW w:w="2824" w:type="dxa"/>
            <w:noWrap w:val="0"/>
            <w:vAlign w:val="center"/>
          </w:tcPr>
          <w:p>
            <w:pPr>
              <w:adjustRightInd w:val="0"/>
              <w:snapToGrid w:val="0"/>
              <w:spacing w:line="400" w:lineRule="exact"/>
              <w:jc w:val="center"/>
              <w:rPr>
                <w:rFonts w:ascii="宋体" w:hAnsi="宋体"/>
                <w:color w:val="000000"/>
                <w:szCs w:val="21"/>
              </w:rPr>
            </w:pPr>
          </w:p>
        </w:tc>
        <w:tc>
          <w:tcPr>
            <w:tcW w:w="2835" w:type="dxa"/>
            <w:noWrap w:val="0"/>
            <w:vAlign w:val="center"/>
          </w:tcPr>
          <w:p>
            <w:pPr>
              <w:adjustRightInd w:val="0"/>
              <w:snapToGrid w:val="0"/>
              <w:spacing w:line="400" w:lineRule="exact"/>
              <w:jc w:val="center"/>
              <w:rPr>
                <w:rFonts w:ascii="宋体" w:hAnsi="宋体"/>
                <w:color w:val="000000"/>
                <w:szCs w:val="21"/>
              </w:rPr>
            </w:pPr>
          </w:p>
        </w:tc>
        <w:tc>
          <w:tcPr>
            <w:tcW w:w="2369" w:type="dxa"/>
            <w:noWrap w:val="0"/>
            <w:vAlign w:val="center"/>
          </w:tcPr>
          <w:p>
            <w:pPr>
              <w:adjustRightInd w:val="0"/>
              <w:snapToGrid w:val="0"/>
              <w:spacing w:line="4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1418" w:type="dxa"/>
            <w:noWrap w:val="0"/>
            <w:vAlign w:val="center"/>
          </w:tcPr>
          <w:p>
            <w:pPr>
              <w:adjustRightInd w:val="0"/>
              <w:snapToGrid w:val="0"/>
              <w:spacing w:line="400" w:lineRule="exact"/>
              <w:jc w:val="center"/>
              <w:rPr>
                <w:rFonts w:ascii="宋体" w:hAnsi="宋体"/>
                <w:color w:val="000000"/>
                <w:szCs w:val="21"/>
              </w:rPr>
            </w:pPr>
          </w:p>
        </w:tc>
        <w:tc>
          <w:tcPr>
            <w:tcW w:w="2824" w:type="dxa"/>
            <w:noWrap w:val="0"/>
            <w:vAlign w:val="center"/>
          </w:tcPr>
          <w:p>
            <w:pPr>
              <w:adjustRightInd w:val="0"/>
              <w:snapToGrid w:val="0"/>
              <w:spacing w:line="400" w:lineRule="exact"/>
              <w:jc w:val="center"/>
              <w:rPr>
                <w:rFonts w:ascii="宋体" w:hAnsi="宋体"/>
                <w:color w:val="000000"/>
                <w:szCs w:val="21"/>
              </w:rPr>
            </w:pPr>
          </w:p>
        </w:tc>
        <w:tc>
          <w:tcPr>
            <w:tcW w:w="2835" w:type="dxa"/>
            <w:noWrap w:val="0"/>
            <w:vAlign w:val="center"/>
          </w:tcPr>
          <w:p>
            <w:pPr>
              <w:adjustRightInd w:val="0"/>
              <w:snapToGrid w:val="0"/>
              <w:spacing w:line="400" w:lineRule="exact"/>
              <w:jc w:val="center"/>
              <w:rPr>
                <w:rFonts w:ascii="宋体" w:hAnsi="宋体"/>
                <w:color w:val="000000"/>
                <w:szCs w:val="21"/>
              </w:rPr>
            </w:pPr>
          </w:p>
        </w:tc>
        <w:tc>
          <w:tcPr>
            <w:tcW w:w="2369" w:type="dxa"/>
            <w:noWrap w:val="0"/>
            <w:vAlign w:val="center"/>
          </w:tcPr>
          <w:p>
            <w:pPr>
              <w:adjustRightInd w:val="0"/>
              <w:snapToGrid w:val="0"/>
              <w:spacing w:line="4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1418" w:type="dxa"/>
            <w:noWrap w:val="0"/>
            <w:vAlign w:val="center"/>
          </w:tcPr>
          <w:p>
            <w:pPr>
              <w:adjustRightInd w:val="0"/>
              <w:snapToGrid w:val="0"/>
              <w:spacing w:line="400" w:lineRule="exact"/>
              <w:jc w:val="center"/>
              <w:rPr>
                <w:rFonts w:ascii="宋体" w:hAnsi="宋体"/>
                <w:color w:val="000000"/>
                <w:szCs w:val="21"/>
              </w:rPr>
            </w:pPr>
          </w:p>
        </w:tc>
        <w:tc>
          <w:tcPr>
            <w:tcW w:w="2824" w:type="dxa"/>
            <w:noWrap w:val="0"/>
            <w:vAlign w:val="center"/>
          </w:tcPr>
          <w:p>
            <w:pPr>
              <w:adjustRightInd w:val="0"/>
              <w:snapToGrid w:val="0"/>
              <w:spacing w:line="400" w:lineRule="exact"/>
              <w:jc w:val="center"/>
              <w:rPr>
                <w:rFonts w:ascii="宋体" w:hAnsi="宋体"/>
                <w:color w:val="000000"/>
                <w:szCs w:val="21"/>
              </w:rPr>
            </w:pPr>
          </w:p>
        </w:tc>
        <w:tc>
          <w:tcPr>
            <w:tcW w:w="2835" w:type="dxa"/>
            <w:noWrap w:val="0"/>
            <w:vAlign w:val="center"/>
          </w:tcPr>
          <w:p>
            <w:pPr>
              <w:adjustRightInd w:val="0"/>
              <w:snapToGrid w:val="0"/>
              <w:spacing w:line="400" w:lineRule="exact"/>
              <w:jc w:val="center"/>
              <w:rPr>
                <w:rFonts w:ascii="宋体" w:hAnsi="宋体"/>
                <w:color w:val="000000"/>
                <w:szCs w:val="21"/>
              </w:rPr>
            </w:pPr>
          </w:p>
        </w:tc>
        <w:tc>
          <w:tcPr>
            <w:tcW w:w="2369" w:type="dxa"/>
            <w:noWrap w:val="0"/>
            <w:vAlign w:val="center"/>
          </w:tcPr>
          <w:p>
            <w:pPr>
              <w:adjustRightInd w:val="0"/>
              <w:snapToGrid w:val="0"/>
              <w:spacing w:line="4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1418" w:type="dxa"/>
            <w:noWrap w:val="0"/>
            <w:vAlign w:val="center"/>
          </w:tcPr>
          <w:p>
            <w:pPr>
              <w:adjustRightInd w:val="0"/>
              <w:snapToGrid w:val="0"/>
              <w:spacing w:line="400" w:lineRule="exact"/>
              <w:jc w:val="center"/>
              <w:rPr>
                <w:rFonts w:ascii="宋体" w:hAnsi="宋体"/>
                <w:color w:val="000000"/>
                <w:szCs w:val="21"/>
              </w:rPr>
            </w:pPr>
          </w:p>
        </w:tc>
        <w:tc>
          <w:tcPr>
            <w:tcW w:w="2824" w:type="dxa"/>
            <w:noWrap w:val="0"/>
            <w:vAlign w:val="center"/>
          </w:tcPr>
          <w:p>
            <w:pPr>
              <w:adjustRightInd w:val="0"/>
              <w:snapToGrid w:val="0"/>
              <w:spacing w:line="400" w:lineRule="exact"/>
              <w:jc w:val="center"/>
              <w:rPr>
                <w:rFonts w:ascii="宋体" w:hAnsi="宋体"/>
                <w:color w:val="000000"/>
                <w:szCs w:val="21"/>
              </w:rPr>
            </w:pPr>
          </w:p>
        </w:tc>
        <w:tc>
          <w:tcPr>
            <w:tcW w:w="2835" w:type="dxa"/>
            <w:noWrap w:val="0"/>
            <w:vAlign w:val="center"/>
          </w:tcPr>
          <w:p>
            <w:pPr>
              <w:adjustRightInd w:val="0"/>
              <w:snapToGrid w:val="0"/>
              <w:spacing w:line="400" w:lineRule="exact"/>
              <w:jc w:val="center"/>
              <w:rPr>
                <w:rFonts w:ascii="宋体" w:hAnsi="宋体"/>
                <w:color w:val="000000"/>
                <w:szCs w:val="21"/>
              </w:rPr>
            </w:pPr>
          </w:p>
        </w:tc>
        <w:tc>
          <w:tcPr>
            <w:tcW w:w="2369" w:type="dxa"/>
            <w:noWrap w:val="0"/>
            <w:vAlign w:val="center"/>
          </w:tcPr>
          <w:p>
            <w:pPr>
              <w:adjustRightInd w:val="0"/>
              <w:snapToGrid w:val="0"/>
              <w:spacing w:line="4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1418" w:type="dxa"/>
            <w:noWrap w:val="0"/>
            <w:vAlign w:val="center"/>
          </w:tcPr>
          <w:p>
            <w:pPr>
              <w:adjustRightInd w:val="0"/>
              <w:snapToGrid w:val="0"/>
              <w:spacing w:line="400" w:lineRule="exact"/>
              <w:jc w:val="center"/>
              <w:rPr>
                <w:rFonts w:ascii="宋体" w:hAnsi="宋体"/>
                <w:color w:val="000000"/>
                <w:szCs w:val="21"/>
              </w:rPr>
            </w:pPr>
          </w:p>
        </w:tc>
        <w:tc>
          <w:tcPr>
            <w:tcW w:w="2824" w:type="dxa"/>
            <w:noWrap w:val="0"/>
            <w:vAlign w:val="center"/>
          </w:tcPr>
          <w:p>
            <w:pPr>
              <w:adjustRightInd w:val="0"/>
              <w:snapToGrid w:val="0"/>
              <w:spacing w:line="400" w:lineRule="exact"/>
              <w:jc w:val="center"/>
              <w:rPr>
                <w:rFonts w:ascii="宋体" w:hAnsi="宋体"/>
                <w:color w:val="000000"/>
                <w:szCs w:val="21"/>
              </w:rPr>
            </w:pPr>
          </w:p>
        </w:tc>
        <w:tc>
          <w:tcPr>
            <w:tcW w:w="2835" w:type="dxa"/>
            <w:noWrap w:val="0"/>
            <w:vAlign w:val="center"/>
          </w:tcPr>
          <w:p>
            <w:pPr>
              <w:adjustRightInd w:val="0"/>
              <w:snapToGrid w:val="0"/>
              <w:spacing w:line="400" w:lineRule="exact"/>
              <w:jc w:val="center"/>
              <w:rPr>
                <w:rFonts w:ascii="宋体" w:hAnsi="宋体"/>
                <w:color w:val="000000"/>
                <w:szCs w:val="21"/>
              </w:rPr>
            </w:pPr>
          </w:p>
        </w:tc>
        <w:tc>
          <w:tcPr>
            <w:tcW w:w="2369" w:type="dxa"/>
            <w:noWrap w:val="0"/>
            <w:vAlign w:val="center"/>
          </w:tcPr>
          <w:p>
            <w:pPr>
              <w:adjustRightInd w:val="0"/>
              <w:snapToGrid w:val="0"/>
              <w:spacing w:line="400" w:lineRule="exact"/>
              <w:jc w:val="center"/>
              <w:rPr>
                <w:rFonts w:ascii="宋体" w:hAnsi="宋体"/>
                <w:color w:val="000000"/>
                <w:szCs w:val="21"/>
              </w:rPr>
            </w:pPr>
          </w:p>
        </w:tc>
      </w:tr>
    </w:tbl>
    <w:p>
      <w:pPr>
        <w:adjustRightInd w:val="0"/>
        <w:snapToGrid w:val="0"/>
        <w:spacing w:line="360" w:lineRule="auto"/>
        <w:ind w:left="210" w:hanging="210" w:hangingChars="100"/>
        <w:rPr>
          <w:rFonts w:hint="eastAsia" w:ascii="宋体" w:hAnsi="宋体"/>
          <w:color w:val="000000"/>
          <w:szCs w:val="21"/>
        </w:rPr>
      </w:pPr>
      <w:r>
        <w:rPr>
          <w:rFonts w:hint="eastAsia" w:ascii="宋体" w:hAnsi="宋体"/>
          <w:color w:val="000000"/>
          <w:szCs w:val="21"/>
        </w:rPr>
        <w:t>注：须与第六章商务条款逐项比较填写。</w:t>
      </w:r>
      <w:r>
        <w:rPr>
          <w:rFonts w:hint="eastAsia" w:ascii="宋体" w:hAnsi="宋体" w:cs="宋体"/>
          <w:szCs w:val="21"/>
        </w:rPr>
        <w:t>偏离的认定由评标委员会进行评议。</w:t>
      </w:r>
    </w:p>
    <w:p>
      <w:pPr>
        <w:adjustRightInd w:val="0"/>
        <w:snapToGrid w:val="0"/>
        <w:spacing w:line="360" w:lineRule="auto"/>
        <w:rPr>
          <w:rFonts w:ascii="宋体" w:hAnsi="宋体"/>
          <w:color w:val="000000"/>
          <w:szCs w:val="21"/>
        </w:rPr>
      </w:pPr>
    </w:p>
    <w:p>
      <w:pPr>
        <w:adjustRightInd w:val="0"/>
        <w:snapToGrid w:val="0"/>
        <w:spacing w:line="360" w:lineRule="auto"/>
        <w:rPr>
          <w:rFonts w:ascii="宋体" w:hAnsi="宋体"/>
          <w:color w:val="000000"/>
          <w:szCs w:val="21"/>
        </w:rPr>
      </w:pPr>
    </w:p>
    <w:p>
      <w:pPr>
        <w:spacing w:line="400" w:lineRule="atLeast"/>
        <w:jc w:val="left"/>
        <w:rPr>
          <w:rFonts w:ascii="宋体" w:hAnsi="宋体"/>
          <w:color w:val="000000"/>
          <w:szCs w:val="21"/>
        </w:rPr>
      </w:pPr>
      <w:r>
        <w:rPr>
          <w:rFonts w:hint="eastAsia" w:ascii="宋体" w:hAnsi="宋体"/>
          <w:color w:val="000000"/>
          <w:szCs w:val="21"/>
        </w:rPr>
        <w:t>供应商（盖章）：</w:t>
      </w:r>
    </w:p>
    <w:p>
      <w:pPr>
        <w:spacing w:line="400" w:lineRule="atLeast"/>
        <w:rPr>
          <w:rFonts w:ascii="宋体" w:hAnsi="宋体"/>
          <w:color w:val="000000"/>
          <w:szCs w:val="21"/>
        </w:rPr>
      </w:pPr>
      <w:r>
        <w:rPr>
          <w:rFonts w:hint="eastAsia" w:ascii="宋体" w:hAnsi="宋体"/>
          <w:color w:val="000000"/>
          <w:szCs w:val="21"/>
        </w:rPr>
        <w:t>日</w:t>
      </w:r>
      <w:r>
        <w:rPr>
          <w:rFonts w:ascii="宋体" w:hAnsi="宋体"/>
          <w:color w:val="000000"/>
          <w:szCs w:val="21"/>
        </w:rPr>
        <w:t xml:space="preserve">          </w:t>
      </w:r>
      <w:r>
        <w:rPr>
          <w:rFonts w:hint="eastAsia" w:ascii="宋体" w:hAnsi="宋体"/>
          <w:color w:val="000000"/>
          <w:szCs w:val="21"/>
        </w:rPr>
        <w:t>期：</w:t>
      </w:r>
    </w:p>
    <w:p>
      <w:pPr>
        <w:spacing w:line="360" w:lineRule="auto"/>
        <w:rPr>
          <w:rStyle w:val="114"/>
          <w:rFonts w:ascii="宋体" w:hAnsi="宋体"/>
          <w:color w:val="000000"/>
          <w:sz w:val="21"/>
          <w:szCs w:val="21"/>
        </w:rPr>
      </w:pPr>
      <w:r>
        <w:rPr>
          <w:rFonts w:ascii="宋体" w:hAnsi="宋体"/>
          <w:color w:val="000000"/>
          <w:szCs w:val="21"/>
        </w:rPr>
        <w:br w:type="page"/>
      </w:r>
    </w:p>
    <w:p>
      <w:pPr>
        <w:spacing w:line="360" w:lineRule="auto"/>
        <w:jc w:val="center"/>
        <w:rPr>
          <w:rFonts w:hint="eastAsia" w:ascii="宋体" w:hAnsi="宋体"/>
          <w:b/>
          <w:color w:val="000000"/>
          <w:szCs w:val="21"/>
        </w:rPr>
      </w:pPr>
      <w:bookmarkStart w:id="65" w:name="_Toc436408720"/>
      <w:bookmarkStart w:id="66" w:name="_Toc441316563"/>
      <w:r>
        <w:rPr>
          <w:rFonts w:ascii="宋体" w:hAnsi="宋体"/>
          <w:b/>
          <w:color w:val="000000"/>
          <w:szCs w:val="21"/>
        </w:rPr>
        <w:t>B</w:t>
      </w:r>
      <w:r>
        <w:rPr>
          <w:rFonts w:hint="eastAsia" w:ascii="宋体" w:hAnsi="宋体"/>
          <w:b/>
          <w:color w:val="000000"/>
          <w:szCs w:val="21"/>
        </w:rPr>
        <w:t>6</w:t>
      </w:r>
      <w:r>
        <w:rPr>
          <w:rFonts w:hint="eastAsia" w:ascii="宋体" w:hAnsi="宋体"/>
          <w:b/>
          <w:bCs/>
          <w:color w:val="000000"/>
          <w:szCs w:val="21"/>
        </w:rPr>
        <w:t>招标内容及技术要求条款响应表</w:t>
      </w:r>
    </w:p>
    <w:p>
      <w:pPr>
        <w:adjustRightInd w:val="0"/>
        <w:snapToGrid w:val="0"/>
        <w:spacing w:line="360" w:lineRule="auto"/>
        <w:jc w:val="center"/>
        <w:rPr>
          <w:rFonts w:hint="eastAsia" w:ascii="宋体" w:hAnsi="宋体"/>
          <w:iCs/>
          <w:color w:val="000000"/>
          <w:szCs w:val="21"/>
        </w:rPr>
      </w:pPr>
    </w:p>
    <w:p>
      <w:pPr>
        <w:adjustRightInd w:val="0"/>
        <w:snapToGrid w:val="0"/>
        <w:spacing w:line="360" w:lineRule="auto"/>
        <w:rPr>
          <w:rFonts w:hint="eastAsia" w:ascii="宋体" w:hAnsi="宋体"/>
          <w:color w:val="000000"/>
          <w:szCs w:val="21"/>
        </w:rPr>
      </w:pPr>
      <w:r>
        <w:rPr>
          <w:rFonts w:hint="eastAsia" w:ascii="宋体" w:hAnsi="宋体"/>
          <w:color w:val="000000"/>
          <w:szCs w:val="21"/>
        </w:rPr>
        <w:t>项目名称：</w:t>
      </w:r>
      <w:r>
        <w:rPr>
          <w:rFonts w:hint="eastAsia" w:ascii="宋体" w:hAnsi="宋体"/>
          <w:color w:val="000000"/>
          <w:szCs w:val="21"/>
          <w:u w:val="single"/>
        </w:rPr>
        <w:t>舟山市中医院保安服务采购项目</w:t>
      </w:r>
    </w:p>
    <w:p>
      <w:pPr>
        <w:adjustRightInd w:val="0"/>
        <w:snapToGrid w:val="0"/>
        <w:spacing w:line="360" w:lineRule="auto"/>
        <w:rPr>
          <w:rFonts w:hint="eastAsia" w:ascii="宋体" w:hAnsi="宋体"/>
          <w:color w:val="000000"/>
          <w:szCs w:val="21"/>
          <w:u w:val="single"/>
        </w:rPr>
      </w:pPr>
      <w:r>
        <w:rPr>
          <w:rFonts w:hint="eastAsia" w:ascii="宋体" w:hAnsi="宋体"/>
          <w:color w:val="000000"/>
          <w:szCs w:val="21"/>
        </w:rPr>
        <w:t>采购编号：</w:t>
      </w:r>
      <w:r>
        <w:rPr>
          <w:rFonts w:ascii="宋体" w:hAnsi="宋体"/>
          <w:color w:val="000000"/>
          <w:szCs w:val="21"/>
          <w:u w:val="single"/>
        </w:rPr>
        <w:t xml:space="preserve">                        </w:t>
      </w:r>
    </w:p>
    <w:tbl>
      <w:tblPr>
        <w:tblStyle w:val="44"/>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747"/>
        <w:gridCol w:w="2833"/>
        <w:gridCol w:w="126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45" w:hRule="atLeast"/>
        </w:trPr>
        <w:tc>
          <w:tcPr>
            <w:tcW w:w="828" w:type="dxa"/>
            <w:noWrap w:val="0"/>
            <w:vAlign w:val="center"/>
          </w:tcPr>
          <w:p>
            <w:pPr>
              <w:spacing w:line="400" w:lineRule="exact"/>
              <w:jc w:val="center"/>
              <w:rPr>
                <w:rFonts w:ascii="宋体" w:hAnsi="宋体"/>
                <w:color w:val="000000"/>
                <w:szCs w:val="21"/>
              </w:rPr>
            </w:pPr>
            <w:r>
              <w:rPr>
                <w:rFonts w:hint="eastAsia" w:ascii="宋体" w:hAnsi="宋体"/>
                <w:color w:val="000000"/>
                <w:szCs w:val="21"/>
              </w:rPr>
              <w:t>序号</w:t>
            </w:r>
          </w:p>
        </w:tc>
        <w:tc>
          <w:tcPr>
            <w:tcW w:w="2747" w:type="dxa"/>
            <w:noWrap w:val="0"/>
            <w:vAlign w:val="center"/>
          </w:tcPr>
          <w:p>
            <w:pPr>
              <w:spacing w:line="400" w:lineRule="exact"/>
              <w:jc w:val="center"/>
              <w:rPr>
                <w:rFonts w:ascii="宋体" w:hAnsi="宋体"/>
                <w:color w:val="000000"/>
                <w:szCs w:val="21"/>
              </w:rPr>
            </w:pPr>
            <w:r>
              <w:rPr>
                <w:rFonts w:hint="eastAsia" w:ascii="宋体" w:hAnsi="宋体"/>
                <w:color w:val="000000"/>
                <w:szCs w:val="21"/>
              </w:rPr>
              <w:t>对应《第五章 招标内容及技术要求》条目号</w:t>
            </w:r>
          </w:p>
        </w:tc>
        <w:tc>
          <w:tcPr>
            <w:tcW w:w="2833" w:type="dxa"/>
            <w:noWrap w:val="0"/>
            <w:vAlign w:val="center"/>
          </w:tcPr>
          <w:p>
            <w:pPr>
              <w:spacing w:line="400" w:lineRule="exact"/>
              <w:jc w:val="center"/>
              <w:rPr>
                <w:rFonts w:ascii="宋体" w:hAnsi="宋体"/>
                <w:color w:val="000000"/>
                <w:szCs w:val="21"/>
              </w:rPr>
            </w:pPr>
            <w:r>
              <w:rPr>
                <w:rFonts w:hint="eastAsia" w:ascii="宋体" w:hAnsi="宋体"/>
                <w:color w:val="000000"/>
                <w:szCs w:val="21"/>
              </w:rPr>
              <w:t>招标文件规定的条款</w:t>
            </w:r>
          </w:p>
        </w:tc>
        <w:tc>
          <w:tcPr>
            <w:tcW w:w="1260" w:type="dxa"/>
            <w:noWrap w:val="0"/>
            <w:vAlign w:val="center"/>
          </w:tcPr>
          <w:p>
            <w:pPr>
              <w:spacing w:line="400" w:lineRule="exact"/>
              <w:jc w:val="center"/>
              <w:rPr>
                <w:rFonts w:ascii="宋体" w:hAnsi="宋体"/>
                <w:color w:val="000000"/>
                <w:szCs w:val="21"/>
              </w:rPr>
            </w:pPr>
            <w:r>
              <w:rPr>
                <w:rFonts w:hint="eastAsia" w:ascii="宋体" w:hAnsi="宋体"/>
                <w:color w:val="000000"/>
                <w:szCs w:val="21"/>
              </w:rPr>
              <w:t>响应情况</w:t>
            </w:r>
          </w:p>
        </w:tc>
        <w:tc>
          <w:tcPr>
            <w:tcW w:w="1620" w:type="dxa"/>
            <w:noWrap w:val="0"/>
            <w:vAlign w:val="center"/>
          </w:tcPr>
          <w:p>
            <w:pPr>
              <w:spacing w:line="400" w:lineRule="exact"/>
              <w:jc w:val="center"/>
              <w:rPr>
                <w:rFonts w:ascii="宋体" w:hAnsi="宋体"/>
                <w:color w:val="000000"/>
                <w:szCs w:val="21"/>
              </w:rPr>
            </w:pPr>
            <w:r>
              <w:rPr>
                <w:rFonts w:hint="eastAsia" w:ascii="宋体" w:hAnsi="宋体"/>
                <w:color w:val="000000"/>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10" w:hRule="atLeast"/>
        </w:trPr>
        <w:tc>
          <w:tcPr>
            <w:tcW w:w="828" w:type="dxa"/>
            <w:noWrap w:val="0"/>
            <w:vAlign w:val="center"/>
          </w:tcPr>
          <w:p>
            <w:pPr>
              <w:spacing w:line="400" w:lineRule="exact"/>
              <w:jc w:val="center"/>
              <w:rPr>
                <w:rFonts w:ascii="宋体" w:hAnsi="宋体"/>
                <w:color w:val="000000"/>
                <w:szCs w:val="21"/>
              </w:rPr>
            </w:pPr>
            <w:r>
              <w:rPr>
                <w:rFonts w:hint="eastAsia" w:ascii="宋体" w:hAnsi="宋体"/>
                <w:color w:val="000000"/>
                <w:szCs w:val="21"/>
              </w:rPr>
              <w:t>1</w:t>
            </w:r>
          </w:p>
        </w:tc>
        <w:tc>
          <w:tcPr>
            <w:tcW w:w="2747" w:type="dxa"/>
            <w:noWrap w:val="0"/>
            <w:vAlign w:val="center"/>
          </w:tcPr>
          <w:p>
            <w:pPr>
              <w:spacing w:line="400" w:lineRule="exact"/>
              <w:jc w:val="center"/>
              <w:rPr>
                <w:rFonts w:ascii="宋体" w:hAnsi="宋体"/>
                <w:color w:val="000000"/>
                <w:szCs w:val="21"/>
              </w:rPr>
            </w:pPr>
          </w:p>
        </w:tc>
        <w:tc>
          <w:tcPr>
            <w:tcW w:w="2833" w:type="dxa"/>
            <w:noWrap w:val="0"/>
            <w:vAlign w:val="center"/>
          </w:tcPr>
          <w:p>
            <w:pPr>
              <w:spacing w:line="400" w:lineRule="exact"/>
              <w:rPr>
                <w:rFonts w:ascii="宋体" w:hAnsi="宋体"/>
                <w:color w:val="000000"/>
                <w:szCs w:val="21"/>
              </w:rPr>
            </w:pPr>
          </w:p>
        </w:tc>
        <w:tc>
          <w:tcPr>
            <w:tcW w:w="1260" w:type="dxa"/>
            <w:noWrap w:val="0"/>
            <w:vAlign w:val="center"/>
          </w:tcPr>
          <w:p>
            <w:pPr>
              <w:spacing w:line="400" w:lineRule="exact"/>
              <w:rPr>
                <w:rFonts w:ascii="宋体" w:hAnsi="宋体"/>
                <w:color w:val="000000"/>
                <w:szCs w:val="21"/>
              </w:rPr>
            </w:pPr>
          </w:p>
        </w:tc>
        <w:tc>
          <w:tcPr>
            <w:tcW w:w="1620" w:type="dxa"/>
            <w:noWrap w:val="0"/>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10" w:hRule="atLeast"/>
        </w:trPr>
        <w:tc>
          <w:tcPr>
            <w:tcW w:w="828" w:type="dxa"/>
            <w:noWrap w:val="0"/>
            <w:vAlign w:val="center"/>
          </w:tcPr>
          <w:p>
            <w:pPr>
              <w:spacing w:line="400" w:lineRule="exact"/>
              <w:jc w:val="center"/>
              <w:rPr>
                <w:rFonts w:ascii="宋体" w:hAnsi="宋体"/>
                <w:color w:val="000000"/>
                <w:szCs w:val="21"/>
              </w:rPr>
            </w:pPr>
            <w:r>
              <w:rPr>
                <w:rFonts w:hint="eastAsia" w:ascii="宋体" w:hAnsi="宋体"/>
                <w:color w:val="000000"/>
                <w:szCs w:val="21"/>
              </w:rPr>
              <w:t>2</w:t>
            </w:r>
          </w:p>
        </w:tc>
        <w:tc>
          <w:tcPr>
            <w:tcW w:w="2747" w:type="dxa"/>
            <w:noWrap w:val="0"/>
            <w:vAlign w:val="center"/>
          </w:tcPr>
          <w:p>
            <w:pPr>
              <w:spacing w:line="400" w:lineRule="exact"/>
              <w:jc w:val="center"/>
              <w:rPr>
                <w:rFonts w:ascii="宋体" w:hAnsi="宋体"/>
                <w:color w:val="000000"/>
                <w:szCs w:val="21"/>
              </w:rPr>
            </w:pPr>
          </w:p>
        </w:tc>
        <w:tc>
          <w:tcPr>
            <w:tcW w:w="2833" w:type="dxa"/>
            <w:noWrap w:val="0"/>
            <w:vAlign w:val="center"/>
          </w:tcPr>
          <w:p>
            <w:pPr>
              <w:spacing w:line="400" w:lineRule="exact"/>
              <w:rPr>
                <w:rFonts w:ascii="宋体" w:hAnsi="宋体"/>
                <w:color w:val="000000"/>
                <w:szCs w:val="21"/>
              </w:rPr>
            </w:pPr>
          </w:p>
        </w:tc>
        <w:tc>
          <w:tcPr>
            <w:tcW w:w="1260" w:type="dxa"/>
            <w:noWrap w:val="0"/>
            <w:vAlign w:val="center"/>
          </w:tcPr>
          <w:p>
            <w:pPr>
              <w:spacing w:line="400" w:lineRule="exact"/>
              <w:rPr>
                <w:rFonts w:ascii="宋体" w:hAnsi="宋体"/>
                <w:color w:val="000000"/>
                <w:szCs w:val="21"/>
              </w:rPr>
            </w:pPr>
          </w:p>
        </w:tc>
        <w:tc>
          <w:tcPr>
            <w:tcW w:w="1620" w:type="dxa"/>
            <w:noWrap w:val="0"/>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auto"/>
          <w:wAfter w:w="0" w:type="auto"/>
          <w:trHeight w:val="510" w:hRule="atLeast"/>
        </w:trPr>
        <w:tc>
          <w:tcPr>
            <w:tcW w:w="828" w:type="dxa"/>
            <w:noWrap w:val="0"/>
            <w:vAlign w:val="center"/>
          </w:tcPr>
          <w:p>
            <w:pPr>
              <w:spacing w:line="400" w:lineRule="exact"/>
              <w:jc w:val="center"/>
              <w:rPr>
                <w:rFonts w:ascii="宋体" w:hAnsi="宋体"/>
                <w:color w:val="000000"/>
                <w:szCs w:val="21"/>
              </w:rPr>
            </w:pPr>
            <w:r>
              <w:rPr>
                <w:rFonts w:hint="eastAsia" w:ascii="宋体" w:hAnsi="宋体"/>
                <w:color w:val="000000"/>
                <w:szCs w:val="21"/>
              </w:rPr>
              <w:t>3</w:t>
            </w:r>
          </w:p>
        </w:tc>
        <w:tc>
          <w:tcPr>
            <w:tcW w:w="2747" w:type="dxa"/>
            <w:noWrap w:val="0"/>
            <w:vAlign w:val="center"/>
          </w:tcPr>
          <w:p>
            <w:pPr>
              <w:spacing w:line="400" w:lineRule="exact"/>
              <w:jc w:val="center"/>
              <w:rPr>
                <w:rFonts w:ascii="宋体" w:hAnsi="宋体"/>
                <w:color w:val="000000"/>
                <w:szCs w:val="21"/>
              </w:rPr>
            </w:pPr>
          </w:p>
        </w:tc>
        <w:tc>
          <w:tcPr>
            <w:tcW w:w="2833" w:type="dxa"/>
            <w:noWrap w:val="0"/>
            <w:vAlign w:val="center"/>
          </w:tcPr>
          <w:p>
            <w:pPr>
              <w:spacing w:line="400" w:lineRule="exact"/>
              <w:rPr>
                <w:rFonts w:ascii="宋体" w:hAnsi="宋体"/>
                <w:color w:val="000000"/>
                <w:szCs w:val="21"/>
              </w:rPr>
            </w:pPr>
          </w:p>
        </w:tc>
        <w:tc>
          <w:tcPr>
            <w:tcW w:w="1260" w:type="dxa"/>
            <w:noWrap w:val="0"/>
            <w:vAlign w:val="center"/>
          </w:tcPr>
          <w:p>
            <w:pPr>
              <w:spacing w:line="400" w:lineRule="exact"/>
              <w:rPr>
                <w:rFonts w:ascii="宋体" w:hAnsi="宋体"/>
                <w:color w:val="000000"/>
                <w:szCs w:val="21"/>
              </w:rPr>
            </w:pPr>
          </w:p>
        </w:tc>
        <w:tc>
          <w:tcPr>
            <w:tcW w:w="1620" w:type="dxa"/>
            <w:noWrap w:val="0"/>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10" w:hRule="atLeast"/>
        </w:trPr>
        <w:tc>
          <w:tcPr>
            <w:tcW w:w="828" w:type="dxa"/>
            <w:noWrap w:val="0"/>
            <w:vAlign w:val="center"/>
          </w:tcPr>
          <w:p>
            <w:pPr>
              <w:spacing w:line="400" w:lineRule="exact"/>
              <w:jc w:val="center"/>
              <w:rPr>
                <w:rFonts w:ascii="宋体" w:hAnsi="宋体"/>
                <w:color w:val="000000"/>
                <w:szCs w:val="21"/>
              </w:rPr>
            </w:pPr>
            <w:r>
              <w:rPr>
                <w:rFonts w:hint="eastAsia" w:ascii="宋体" w:hAnsi="宋体"/>
                <w:color w:val="000000"/>
                <w:szCs w:val="21"/>
              </w:rPr>
              <w:t>4</w:t>
            </w:r>
          </w:p>
        </w:tc>
        <w:tc>
          <w:tcPr>
            <w:tcW w:w="2747" w:type="dxa"/>
            <w:noWrap w:val="0"/>
            <w:vAlign w:val="center"/>
          </w:tcPr>
          <w:p>
            <w:pPr>
              <w:spacing w:line="400" w:lineRule="exact"/>
              <w:jc w:val="center"/>
              <w:rPr>
                <w:rFonts w:ascii="宋体" w:hAnsi="宋体"/>
                <w:color w:val="000000"/>
                <w:szCs w:val="21"/>
              </w:rPr>
            </w:pPr>
          </w:p>
        </w:tc>
        <w:tc>
          <w:tcPr>
            <w:tcW w:w="2833" w:type="dxa"/>
            <w:noWrap w:val="0"/>
            <w:vAlign w:val="center"/>
          </w:tcPr>
          <w:p>
            <w:pPr>
              <w:spacing w:line="400" w:lineRule="exact"/>
              <w:rPr>
                <w:rFonts w:ascii="宋体" w:hAnsi="宋体"/>
                <w:color w:val="000000"/>
                <w:szCs w:val="21"/>
              </w:rPr>
            </w:pPr>
          </w:p>
        </w:tc>
        <w:tc>
          <w:tcPr>
            <w:tcW w:w="1260" w:type="dxa"/>
            <w:noWrap w:val="0"/>
            <w:vAlign w:val="center"/>
          </w:tcPr>
          <w:p>
            <w:pPr>
              <w:spacing w:line="400" w:lineRule="exact"/>
              <w:rPr>
                <w:rFonts w:ascii="宋体" w:hAnsi="宋体"/>
                <w:color w:val="000000"/>
                <w:szCs w:val="21"/>
              </w:rPr>
            </w:pPr>
          </w:p>
        </w:tc>
        <w:tc>
          <w:tcPr>
            <w:tcW w:w="1620" w:type="dxa"/>
            <w:noWrap w:val="0"/>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10" w:hRule="atLeast"/>
        </w:trPr>
        <w:tc>
          <w:tcPr>
            <w:tcW w:w="828" w:type="dxa"/>
            <w:noWrap w:val="0"/>
            <w:vAlign w:val="center"/>
          </w:tcPr>
          <w:p>
            <w:pPr>
              <w:spacing w:line="400" w:lineRule="exact"/>
              <w:jc w:val="center"/>
              <w:rPr>
                <w:rFonts w:ascii="宋体" w:hAnsi="宋体"/>
                <w:color w:val="000000"/>
                <w:szCs w:val="21"/>
              </w:rPr>
            </w:pPr>
            <w:r>
              <w:rPr>
                <w:rFonts w:hint="eastAsia" w:ascii="宋体" w:hAnsi="宋体"/>
                <w:color w:val="000000"/>
                <w:szCs w:val="21"/>
              </w:rPr>
              <w:t>5</w:t>
            </w:r>
          </w:p>
        </w:tc>
        <w:tc>
          <w:tcPr>
            <w:tcW w:w="2747" w:type="dxa"/>
            <w:noWrap w:val="0"/>
            <w:vAlign w:val="center"/>
          </w:tcPr>
          <w:p>
            <w:pPr>
              <w:spacing w:line="400" w:lineRule="exact"/>
              <w:jc w:val="center"/>
              <w:rPr>
                <w:rFonts w:hint="eastAsia" w:ascii="宋体" w:hAnsi="宋体"/>
                <w:color w:val="000000"/>
                <w:szCs w:val="21"/>
              </w:rPr>
            </w:pPr>
          </w:p>
        </w:tc>
        <w:tc>
          <w:tcPr>
            <w:tcW w:w="2833" w:type="dxa"/>
            <w:noWrap w:val="0"/>
            <w:vAlign w:val="center"/>
          </w:tcPr>
          <w:p>
            <w:pPr>
              <w:spacing w:line="400" w:lineRule="exact"/>
              <w:rPr>
                <w:rFonts w:ascii="宋体" w:hAnsi="宋体"/>
                <w:color w:val="000000"/>
                <w:szCs w:val="21"/>
              </w:rPr>
            </w:pPr>
          </w:p>
        </w:tc>
        <w:tc>
          <w:tcPr>
            <w:tcW w:w="1260" w:type="dxa"/>
            <w:noWrap w:val="0"/>
            <w:vAlign w:val="center"/>
          </w:tcPr>
          <w:p>
            <w:pPr>
              <w:spacing w:line="400" w:lineRule="exact"/>
              <w:rPr>
                <w:rFonts w:ascii="宋体" w:hAnsi="宋体"/>
                <w:color w:val="000000"/>
                <w:szCs w:val="21"/>
              </w:rPr>
            </w:pPr>
          </w:p>
        </w:tc>
        <w:tc>
          <w:tcPr>
            <w:tcW w:w="1620" w:type="dxa"/>
            <w:noWrap w:val="0"/>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10" w:hRule="atLeast"/>
        </w:trPr>
        <w:tc>
          <w:tcPr>
            <w:tcW w:w="828" w:type="dxa"/>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6</w:t>
            </w:r>
          </w:p>
        </w:tc>
        <w:tc>
          <w:tcPr>
            <w:tcW w:w="2747" w:type="dxa"/>
            <w:noWrap w:val="0"/>
            <w:vAlign w:val="center"/>
          </w:tcPr>
          <w:p>
            <w:pPr>
              <w:spacing w:line="400" w:lineRule="exact"/>
              <w:jc w:val="center"/>
              <w:rPr>
                <w:rFonts w:hint="eastAsia" w:ascii="宋体" w:hAnsi="宋体"/>
                <w:color w:val="000000"/>
                <w:szCs w:val="21"/>
              </w:rPr>
            </w:pPr>
          </w:p>
        </w:tc>
        <w:tc>
          <w:tcPr>
            <w:tcW w:w="2833" w:type="dxa"/>
            <w:noWrap w:val="0"/>
            <w:vAlign w:val="center"/>
          </w:tcPr>
          <w:p>
            <w:pPr>
              <w:spacing w:line="400" w:lineRule="exact"/>
              <w:rPr>
                <w:rFonts w:ascii="宋体" w:hAnsi="宋体"/>
                <w:color w:val="000000"/>
                <w:szCs w:val="21"/>
              </w:rPr>
            </w:pPr>
          </w:p>
        </w:tc>
        <w:tc>
          <w:tcPr>
            <w:tcW w:w="1260" w:type="dxa"/>
            <w:noWrap w:val="0"/>
            <w:vAlign w:val="center"/>
          </w:tcPr>
          <w:p>
            <w:pPr>
              <w:spacing w:line="400" w:lineRule="exact"/>
              <w:rPr>
                <w:rFonts w:ascii="宋体" w:hAnsi="宋体"/>
                <w:color w:val="000000"/>
                <w:szCs w:val="21"/>
              </w:rPr>
            </w:pPr>
          </w:p>
        </w:tc>
        <w:tc>
          <w:tcPr>
            <w:tcW w:w="1620" w:type="dxa"/>
            <w:noWrap w:val="0"/>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10" w:hRule="atLeast"/>
        </w:trPr>
        <w:tc>
          <w:tcPr>
            <w:tcW w:w="828" w:type="dxa"/>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7</w:t>
            </w:r>
          </w:p>
        </w:tc>
        <w:tc>
          <w:tcPr>
            <w:tcW w:w="2747" w:type="dxa"/>
            <w:noWrap w:val="0"/>
            <w:vAlign w:val="center"/>
          </w:tcPr>
          <w:p>
            <w:pPr>
              <w:spacing w:line="400" w:lineRule="exact"/>
              <w:jc w:val="center"/>
              <w:rPr>
                <w:rFonts w:hint="eastAsia" w:ascii="宋体" w:hAnsi="宋体"/>
                <w:color w:val="000000"/>
                <w:szCs w:val="21"/>
              </w:rPr>
            </w:pPr>
          </w:p>
        </w:tc>
        <w:tc>
          <w:tcPr>
            <w:tcW w:w="2833" w:type="dxa"/>
            <w:noWrap w:val="0"/>
            <w:vAlign w:val="center"/>
          </w:tcPr>
          <w:p>
            <w:pPr>
              <w:spacing w:line="400" w:lineRule="exact"/>
              <w:rPr>
                <w:rFonts w:ascii="宋体" w:hAnsi="宋体"/>
                <w:color w:val="000000"/>
                <w:szCs w:val="21"/>
              </w:rPr>
            </w:pPr>
          </w:p>
        </w:tc>
        <w:tc>
          <w:tcPr>
            <w:tcW w:w="1260" w:type="dxa"/>
            <w:noWrap w:val="0"/>
            <w:vAlign w:val="center"/>
          </w:tcPr>
          <w:p>
            <w:pPr>
              <w:spacing w:line="400" w:lineRule="exact"/>
              <w:rPr>
                <w:rFonts w:ascii="宋体" w:hAnsi="宋体"/>
                <w:color w:val="000000"/>
                <w:szCs w:val="21"/>
              </w:rPr>
            </w:pPr>
          </w:p>
        </w:tc>
        <w:tc>
          <w:tcPr>
            <w:tcW w:w="1620" w:type="dxa"/>
            <w:noWrap w:val="0"/>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10" w:hRule="atLeast"/>
        </w:trPr>
        <w:tc>
          <w:tcPr>
            <w:tcW w:w="828" w:type="dxa"/>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8</w:t>
            </w:r>
          </w:p>
        </w:tc>
        <w:tc>
          <w:tcPr>
            <w:tcW w:w="2747" w:type="dxa"/>
            <w:noWrap w:val="0"/>
            <w:vAlign w:val="center"/>
          </w:tcPr>
          <w:p>
            <w:pPr>
              <w:spacing w:line="400" w:lineRule="exact"/>
              <w:jc w:val="center"/>
              <w:rPr>
                <w:rFonts w:hint="eastAsia" w:ascii="宋体" w:hAnsi="宋体"/>
                <w:color w:val="000000"/>
                <w:szCs w:val="21"/>
              </w:rPr>
            </w:pPr>
          </w:p>
        </w:tc>
        <w:tc>
          <w:tcPr>
            <w:tcW w:w="2833" w:type="dxa"/>
            <w:noWrap w:val="0"/>
            <w:vAlign w:val="center"/>
          </w:tcPr>
          <w:p>
            <w:pPr>
              <w:spacing w:line="400" w:lineRule="exact"/>
              <w:rPr>
                <w:rFonts w:ascii="宋体" w:hAnsi="宋体"/>
                <w:color w:val="000000"/>
                <w:szCs w:val="21"/>
              </w:rPr>
            </w:pPr>
          </w:p>
        </w:tc>
        <w:tc>
          <w:tcPr>
            <w:tcW w:w="1260" w:type="dxa"/>
            <w:noWrap w:val="0"/>
            <w:vAlign w:val="center"/>
          </w:tcPr>
          <w:p>
            <w:pPr>
              <w:spacing w:line="400" w:lineRule="exact"/>
              <w:rPr>
                <w:rFonts w:ascii="宋体" w:hAnsi="宋体"/>
                <w:color w:val="000000"/>
                <w:szCs w:val="21"/>
              </w:rPr>
            </w:pPr>
          </w:p>
        </w:tc>
        <w:tc>
          <w:tcPr>
            <w:tcW w:w="1620" w:type="dxa"/>
            <w:noWrap w:val="0"/>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10" w:hRule="atLeast"/>
        </w:trPr>
        <w:tc>
          <w:tcPr>
            <w:tcW w:w="828" w:type="dxa"/>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9</w:t>
            </w:r>
          </w:p>
        </w:tc>
        <w:tc>
          <w:tcPr>
            <w:tcW w:w="2747" w:type="dxa"/>
            <w:noWrap w:val="0"/>
            <w:vAlign w:val="center"/>
          </w:tcPr>
          <w:p>
            <w:pPr>
              <w:spacing w:line="400" w:lineRule="exact"/>
              <w:jc w:val="center"/>
              <w:rPr>
                <w:rFonts w:hint="eastAsia" w:ascii="宋体" w:hAnsi="宋体"/>
                <w:color w:val="000000"/>
                <w:szCs w:val="21"/>
              </w:rPr>
            </w:pPr>
          </w:p>
        </w:tc>
        <w:tc>
          <w:tcPr>
            <w:tcW w:w="2833" w:type="dxa"/>
            <w:noWrap w:val="0"/>
            <w:vAlign w:val="center"/>
          </w:tcPr>
          <w:p>
            <w:pPr>
              <w:spacing w:line="400" w:lineRule="exact"/>
              <w:rPr>
                <w:rFonts w:ascii="宋体" w:hAnsi="宋体"/>
                <w:color w:val="000000"/>
                <w:szCs w:val="21"/>
              </w:rPr>
            </w:pPr>
          </w:p>
        </w:tc>
        <w:tc>
          <w:tcPr>
            <w:tcW w:w="1260" w:type="dxa"/>
            <w:noWrap w:val="0"/>
            <w:vAlign w:val="center"/>
          </w:tcPr>
          <w:p>
            <w:pPr>
              <w:spacing w:line="400" w:lineRule="exact"/>
              <w:rPr>
                <w:rFonts w:ascii="宋体" w:hAnsi="宋体"/>
                <w:color w:val="000000"/>
                <w:szCs w:val="21"/>
              </w:rPr>
            </w:pPr>
          </w:p>
        </w:tc>
        <w:tc>
          <w:tcPr>
            <w:tcW w:w="1620" w:type="dxa"/>
            <w:noWrap w:val="0"/>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auto"/>
          <w:wAfter w:w="0" w:type="auto"/>
          <w:trHeight w:val="510" w:hRule="atLeast"/>
        </w:trPr>
        <w:tc>
          <w:tcPr>
            <w:tcW w:w="828" w:type="dxa"/>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10</w:t>
            </w:r>
          </w:p>
        </w:tc>
        <w:tc>
          <w:tcPr>
            <w:tcW w:w="2747" w:type="dxa"/>
            <w:noWrap w:val="0"/>
            <w:vAlign w:val="center"/>
          </w:tcPr>
          <w:p>
            <w:pPr>
              <w:spacing w:line="400" w:lineRule="exact"/>
              <w:jc w:val="center"/>
              <w:rPr>
                <w:rFonts w:hint="eastAsia" w:ascii="宋体" w:hAnsi="宋体"/>
                <w:color w:val="000000"/>
                <w:szCs w:val="21"/>
              </w:rPr>
            </w:pPr>
          </w:p>
        </w:tc>
        <w:tc>
          <w:tcPr>
            <w:tcW w:w="2833" w:type="dxa"/>
            <w:noWrap w:val="0"/>
            <w:vAlign w:val="center"/>
          </w:tcPr>
          <w:p>
            <w:pPr>
              <w:spacing w:line="400" w:lineRule="exact"/>
              <w:rPr>
                <w:rFonts w:ascii="宋体" w:hAnsi="宋体"/>
                <w:color w:val="000000"/>
                <w:szCs w:val="21"/>
              </w:rPr>
            </w:pPr>
          </w:p>
        </w:tc>
        <w:tc>
          <w:tcPr>
            <w:tcW w:w="1260" w:type="dxa"/>
            <w:noWrap w:val="0"/>
            <w:vAlign w:val="center"/>
          </w:tcPr>
          <w:p>
            <w:pPr>
              <w:spacing w:line="400" w:lineRule="exact"/>
              <w:rPr>
                <w:rFonts w:ascii="宋体" w:hAnsi="宋体"/>
                <w:color w:val="000000"/>
                <w:szCs w:val="21"/>
              </w:rPr>
            </w:pPr>
          </w:p>
        </w:tc>
        <w:tc>
          <w:tcPr>
            <w:tcW w:w="1620" w:type="dxa"/>
            <w:noWrap w:val="0"/>
            <w:vAlign w:val="center"/>
          </w:tcPr>
          <w:p>
            <w:pPr>
              <w:spacing w:line="400" w:lineRule="exact"/>
              <w:rPr>
                <w:rFonts w:ascii="宋体" w:hAnsi="宋体"/>
                <w:color w:val="000000"/>
                <w:szCs w:val="21"/>
              </w:rPr>
            </w:pPr>
          </w:p>
        </w:tc>
      </w:tr>
    </w:tbl>
    <w:p>
      <w:pPr>
        <w:spacing w:line="400" w:lineRule="exact"/>
        <w:rPr>
          <w:rFonts w:hint="eastAsia" w:ascii="宋体" w:hAnsi="宋体"/>
          <w:color w:val="000000"/>
          <w:szCs w:val="21"/>
        </w:rPr>
      </w:pPr>
      <w:r>
        <w:rPr>
          <w:rFonts w:hint="eastAsia" w:ascii="宋体" w:hAnsi="宋体"/>
          <w:color w:val="000000"/>
          <w:szCs w:val="21"/>
        </w:rPr>
        <w:t>注：须与“第五章招标内容及技术要求”逐项比较，如有偏离的，须在本表中列明，并提供详细的偏离说明。如供应商未在本表中列出偏离说明，即使其在投标文件的其他部分说明与招标文件要求有所不同或回避不答，亦视为完全符合招标文件中所要求的最佳值并写入合同。若中标供应商在定标及合同签订前，以上述事项为借口而不履行合同签订手续及执行合同，则视作其放弃中标资格。</w:t>
      </w:r>
      <w:r>
        <w:rPr>
          <w:rFonts w:hint="eastAsia" w:ascii="宋体" w:hAnsi="宋体" w:cs="宋体"/>
          <w:szCs w:val="21"/>
        </w:rPr>
        <w:t>偏离的认定由评标委员会进行评议。</w:t>
      </w:r>
    </w:p>
    <w:p>
      <w:pPr>
        <w:spacing w:line="400" w:lineRule="exact"/>
        <w:rPr>
          <w:rFonts w:ascii="宋体" w:hAnsi="宋体"/>
          <w:color w:val="000000"/>
          <w:szCs w:val="21"/>
        </w:rPr>
      </w:pPr>
    </w:p>
    <w:p>
      <w:pPr>
        <w:spacing w:line="400" w:lineRule="exact"/>
        <w:rPr>
          <w:rFonts w:ascii="宋体" w:hAnsi="宋体"/>
          <w:color w:val="000000"/>
          <w:szCs w:val="21"/>
        </w:rPr>
      </w:pPr>
    </w:p>
    <w:p>
      <w:pPr>
        <w:spacing w:line="400" w:lineRule="exact"/>
        <w:rPr>
          <w:rFonts w:ascii="宋体" w:hAnsi="宋体"/>
          <w:color w:val="000000"/>
          <w:szCs w:val="21"/>
        </w:rPr>
      </w:pPr>
    </w:p>
    <w:p>
      <w:pPr>
        <w:spacing w:line="400" w:lineRule="exact"/>
        <w:rPr>
          <w:rFonts w:ascii="宋体" w:hAnsi="宋体"/>
          <w:color w:val="000000"/>
          <w:szCs w:val="21"/>
        </w:rPr>
      </w:pPr>
    </w:p>
    <w:p>
      <w:pPr>
        <w:spacing w:line="400" w:lineRule="atLeast"/>
        <w:jc w:val="left"/>
        <w:rPr>
          <w:rFonts w:ascii="宋体" w:hAnsi="宋体"/>
          <w:color w:val="000000"/>
          <w:szCs w:val="21"/>
        </w:rPr>
      </w:pPr>
      <w:r>
        <w:rPr>
          <w:rFonts w:hint="eastAsia" w:ascii="宋体" w:hAnsi="宋体"/>
          <w:color w:val="000000"/>
          <w:szCs w:val="21"/>
        </w:rPr>
        <w:t>供应商（盖章）：</w:t>
      </w:r>
    </w:p>
    <w:p>
      <w:pPr>
        <w:spacing w:line="400" w:lineRule="atLeast"/>
        <w:rPr>
          <w:rFonts w:ascii="宋体" w:hAnsi="宋体"/>
          <w:color w:val="000000"/>
          <w:szCs w:val="21"/>
        </w:rPr>
      </w:pPr>
      <w:r>
        <w:rPr>
          <w:rFonts w:hint="eastAsia" w:ascii="宋体" w:hAnsi="宋体"/>
          <w:color w:val="000000"/>
          <w:szCs w:val="21"/>
        </w:rPr>
        <w:t>日</w:t>
      </w:r>
      <w:r>
        <w:rPr>
          <w:rFonts w:ascii="宋体" w:hAnsi="宋体"/>
          <w:color w:val="000000"/>
          <w:szCs w:val="21"/>
        </w:rPr>
        <w:t xml:space="preserve">          </w:t>
      </w:r>
      <w:r>
        <w:rPr>
          <w:rFonts w:hint="eastAsia" w:ascii="宋体" w:hAnsi="宋体"/>
          <w:color w:val="000000"/>
          <w:szCs w:val="21"/>
        </w:rPr>
        <w:t>期：</w:t>
      </w:r>
    </w:p>
    <w:bookmarkEnd w:id="65"/>
    <w:p>
      <w:pPr>
        <w:spacing w:line="400" w:lineRule="exact"/>
        <w:rPr>
          <w:rFonts w:hint="eastAsia" w:ascii="宋体" w:hAnsi="宋体"/>
          <w:b/>
          <w:color w:val="000000"/>
          <w:szCs w:val="21"/>
        </w:rPr>
      </w:pPr>
      <w:bookmarkStart w:id="67" w:name="_Toc441316564"/>
    </w:p>
    <w:p>
      <w:pPr>
        <w:spacing w:line="400" w:lineRule="exact"/>
        <w:jc w:val="left"/>
        <w:rPr>
          <w:rFonts w:hint="eastAsia" w:ascii="宋体" w:hAnsi="宋体"/>
          <w:b/>
          <w:bCs/>
          <w:color w:val="000000"/>
          <w:szCs w:val="21"/>
        </w:rPr>
      </w:pPr>
      <w:r>
        <w:rPr>
          <w:rFonts w:hint="eastAsia" w:ascii="宋体" w:hAnsi="宋体"/>
          <w:b/>
          <w:color w:val="000000"/>
          <w:szCs w:val="21"/>
        </w:rPr>
        <w:br w:type="page"/>
      </w:r>
      <w:r>
        <w:rPr>
          <w:rFonts w:hint="eastAsia" w:ascii="宋体" w:hAnsi="宋体"/>
          <w:b/>
          <w:bCs/>
          <w:color w:val="000000"/>
          <w:szCs w:val="21"/>
        </w:rPr>
        <w:t>B7、第三章“技术和资信商务评分表”中要求提供的相关内容和证明材料；</w:t>
      </w:r>
    </w:p>
    <w:p>
      <w:pPr>
        <w:spacing w:line="400" w:lineRule="exact"/>
        <w:rPr>
          <w:rFonts w:hint="eastAsia" w:ascii="宋体" w:hAnsi="宋体"/>
          <w:b/>
          <w:bCs/>
          <w:color w:val="000000"/>
          <w:szCs w:val="21"/>
        </w:rPr>
      </w:pPr>
      <w:r>
        <w:rPr>
          <w:rFonts w:hint="eastAsia" w:ascii="宋体" w:hAnsi="宋体"/>
          <w:b/>
          <w:bCs/>
          <w:color w:val="000000"/>
          <w:szCs w:val="21"/>
        </w:rPr>
        <w:t>B8、供应商认为需要的其他资料（如有需提供）。</w:t>
      </w:r>
    </w:p>
    <w:p>
      <w:pPr>
        <w:spacing w:line="400" w:lineRule="exact"/>
        <w:rPr>
          <w:rStyle w:val="114"/>
          <w:rFonts w:ascii="宋体" w:hAnsi="宋体"/>
          <w:color w:val="000000"/>
          <w:sz w:val="21"/>
          <w:szCs w:val="21"/>
        </w:rPr>
      </w:pPr>
      <w:r>
        <w:rPr>
          <w:rFonts w:ascii="宋体" w:hAnsi="宋体"/>
          <w:b/>
          <w:color w:val="000000"/>
          <w:szCs w:val="21"/>
        </w:rPr>
        <w:br w:type="page"/>
      </w:r>
    </w:p>
    <w:p>
      <w:pPr>
        <w:spacing w:line="400" w:lineRule="exact"/>
        <w:ind w:firstLine="414" w:firstLineChars="200"/>
        <w:jc w:val="left"/>
        <w:rPr>
          <w:rStyle w:val="114"/>
          <w:rFonts w:ascii="宋体" w:hAnsi="宋体"/>
          <w:color w:val="000000"/>
          <w:sz w:val="21"/>
          <w:szCs w:val="21"/>
        </w:rPr>
      </w:pPr>
    </w:p>
    <w:p>
      <w:pPr>
        <w:spacing w:line="400" w:lineRule="exact"/>
        <w:jc w:val="left"/>
        <w:rPr>
          <w:rStyle w:val="114"/>
          <w:rFonts w:ascii="宋体" w:hAnsi="宋体"/>
          <w:color w:val="000000"/>
          <w:sz w:val="28"/>
          <w:szCs w:val="28"/>
        </w:rPr>
      </w:pPr>
    </w:p>
    <w:p>
      <w:pPr>
        <w:pStyle w:val="223"/>
        <w:ind w:firstLine="0" w:firstLineChars="0"/>
        <w:jc w:val="center"/>
        <w:rPr>
          <w:rStyle w:val="114"/>
          <w:rFonts w:ascii="宋体" w:hAnsi="宋体"/>
          <w:color w:val="000000"/>
          <w:sz w:val="32"/>
          <w:szCs w:val="32"/>
        </w:rPr>
      </w:pPr>
      <w:bookmarkStart w:id="68" w:name="_Toc21541028"/>
      <w:bookmarkStart w:id="69" w:name="_Toc443468293"/>
      <w:r>
        <w:rPr>
          <w:rStyle w:val="114"/>
          <w:rFonts w:ascii="宋体" w:hAnsi="宋体"/>
          <w:color w:val="000000"/>
          <w:sz w:val="32"/>
          <w:szCs w:val="32"/>
        </w:rPr>
        <w:t>C.</w:t>
      </w:r>
      <w:r>
        <w:rPr>
          <w:rStyle w:val="114"/>
          <w:rFonts w:hint="eastAsia" w:ascii="宋体" w:hAnsi="宋体"/>
          <w:color w:val="000000"/>
          <w:sz w:val="32"/>
          <w:szCs w:val="32"/>
        </w:rPr>
        <w:t>报价文件</w:t>
      </w:r>
      <w:bookmarkEnd w:id="68"/>
      <w:bookmarkEnd w:id="69"/>
    </w:p>
    <w:p>
      <w:pPr>
        <w:autoSpaceDE w:val="0"/>
        <w:autoSpaceDN w:val="0"/>
        <w:adjustRightInd w:val="0"/>
        <w:spacing w:line="420" w:lineRule="exact"/>
        <w:rPr>
          <w:rStyle w:val="114"/>
          <w:rFonts w:ascii="宋体" w:hAnsi="宋体"/>
          <w:b w:val="0"/>
          <w:color w:val="000000"/>
          <w:lang w:val="zh-CN"/>
        </w:rPr>
      </w:pPr>
      <w:r>
        <w:rPr>
          <w:rStyle w:val="114"/>
          <w:rFonts w:ascii="宋体" w:hAnsi="宋体"/>
          <w:color w:val="000000"/>
          <w:sz w:val="32"/>
          <w:szCs w:val="32"/>
        </w:rPr>
        <w:br w:type="page"/>
      </w:r>
      <w:r>
        <w:rPr>
          <w:rStyle w:val="114"/>
          <w:rFonts w:hint="eastAsia" w:ascii="宋体" w:hAnsi="宋体"/>
          <w:color w:val="000000"/>
          <w:sz w:val="21"/>
          <w:szCs w:val="21"/>
        </w:rPr>
        <w:t>封面</w:t>
      </w:r>
    </w:p>
    <w:p>
      <w:pPr>
        <w:spacing w:line="360" w:lineRule="auto"/>
        <w:ind w:firstLine="1285" w:firstLineChars="400"/>
        <w:jc w:val="right"/>
        <w:rPr>
          <w:rFonts w:ascii="宋体" w:hAnsi="宋体"/>
          <w:b/>
          <w:color w:val="000000"/>
          <w:sz w:val="32"/>
          <w:szCs w:val="32"/>
        </w:rPr>
      </w:pPr>
      <w:r>
        <w:rPr>
          <w:rFonts w:hint="eastAsia" w:ascii="宋体" w:hAnsi="宋体"/>
          <w:b/>
          <w:color w:val="000000"/>
          <w:sz w:val="32"/>
          <w:szCs w:val="32"/>
        </w:rPr>
        <w:t>正（副）本</w:t>
      </w:r>
    </w:p>
    <w:p>
      <w:pPr>
        <w:spacing w:line="360" w:lineRule="auto"/>
        <w:rPr>
          <w:rFonts w:ascii="宋体" w:hAnsi="宋体"/>
          <w:color w:val="000000"/>
          <w:sz w:val="28"/>
          <w:szCs w:val="28"/>
        </w:rPr>
      </w:pPr>
    </w:p>
    <w:p>
      <w:pPr>
        <w:spacing w:line="360" w:lineRule="auto"/>
        <w:jc w:val="center"/>
        <w:rPr>
          <w:rFonts w:hint="eastAsia" w:ascii="宋体" w:hAnsi="宋体"/>
          <w:color w:val="000000"/>
          <w:sz w:val="42"/>
          <w:szCs w:val="52"/>
          <w:u w:val="single"/>
        </w:rPr>
      </w:pPr>
      <w:r>
        <w:rPr>
          <w:rFonts w:hint="eastAsia" w:ascii="宋体" w:hAnsi="宋体"/>
          <w:b/>
          <w:color w:val="000000"/>
          <w:sz w:val="42"/>
          <w:szCs w:val="52"/>
        </w:rPr>
        <w:t>舟山市中医院保安服务采购项目</w:t>
      </w:r>
    </w:p>
    <w:p>
      <w:pPr>
        <w:spacing w:line="360" w:lineRule="auto"/>
        <w:jc w:val="center"/>
        <w:rPr>
          <w:rFonts w:hint="eastAsia" w:ascii="宋体" w:hAnsi="宋体"/>
          <w:color w:val="000000"/>
          <w:sz w:val="36"/>
          <w:szCs w:val="36"/>
          <w:u w:val="single"/>
        </w:rPr>
      </w:pPr>
      <w:r>
        <w:rPr>
          <w:rFonts w:hint="eastAsia" w:ascii="宋体" w:hAnsi="宋体"/>
          <w:color w:val="000000"/>
          <w:sz w:val="36"/>
          <w:szCs w:val="36"/>
          <w:u w:val="single"/>
        </w:rPr>
        <w:t>采购编号：NBITC-202250011G</w:t>
      </w:r>
    </w:p>
    <w:p>
      <w:pPr>
        <w:spacing w:line="360" w:lineRule="auto"/>
        <w:ind w:firstLine="2340" w:firstLineChars="650"/>
        <w:rPr>
          <w:rFonts w:ascii="宋体" w:hAnsi="宋体"/>
          <w:color w:val="000000"/>
          <w:sz w:val="36"/>
          <w:szCs w:val="36"/>
        </w:rPr>
      </w:pPr>
      <w:r>
        <w:rPr>
          <w:rFonts w:hint="eastAsia" w:ascii="宋体" w:hAnsi="宋体"/>
          <w:color w:val="000000"/>
          <w:sz w:val="36"/>
          <w:szCs w:val="36"/>
          <w:u w:val="single"/>
        </w:rPr>
        <w:t>子</w:t>
      </w:r>
      <w:r>
        <w:rPr>
          <w:rFonts w:ascii="宋体" w:hAnsi="宋体"/>
          <w:color w:val="000000"/>
          <w:sz w:val="36"/>
          <w:szCs w:val="36"/>
          <w:u w:val="single"/>
        </w:rPr>
        <w:t xml:space="preserve">    </w:t>
      </w:r>
      <w:r>
        <w:rPr>
          <w:rFonts w:hint="eastAsia" w:ascii="宋体" w:hAnsi="宋体"/>
          <w:color w:val="000000"/>
          <w:sz w:val="36"/>
          <w:szCs w:val="36"/>
          <w:u w:val="single"/>
        </w:rPr>
        <w:t>包：（如有多个子包）</w:t>
      </w:r>
    </w:p>
    <w:p>
      <w:pPr>
        <w:rPr>
          <w:rFonts w:ascii="宋体" w:hAnsi="宋体"/>
          <w:color w:val="000000"/>
          <w:sz w:val="28"/>
          <w:szCs w:val="28"/>
        </w:rPr>
      </w:pPr>
    </w:p>
    <w:p>
      <w:pPr>
        <w:spacing w:line="360" w:lineRule="auto"/>
        <w:jc w:val="center"/>
        <w:rPr>
          <w:rFonts w:ascii="宋体" w:hAnsi="宋体"/>
          <w:color w:val="000000"/>
          <w:sz w:val="36"/>
          <w:szCs w:val="36"/>
        </w:rPr>
      </w:pPr>
      <w:r>
        <w:rPr>
          <w:rFonts w:hint="eastAsia" w:ascii="宋体" w:hAnsi="宋体"/>
          <w:color w:val="000000"/>
          <w:sz w:val="36"/>
          <w:szCs w:val="36"/>
        </w:rPr>
        <w:t>（报价文件）</w:t>
      </w:r>
    </w:p>
    <w:p>
      <w:pPr>
        <w:jc w:val="center"/>
        <w:rPr>
          <w:rFonts w:ascii="宋体" w:hAnsi="宋体"/>
          <w:color w:val="000000"/>
          <w:sz w:val="28"/>
          <w:szCs w:val="28"/>
        </w:rPr>
      </w:pPr>
    </w:p>
    <w:p>
      <w:pPr>
        <w:spacing w:line="360" w:lineRule="auto"/>
        <w:jc w:val="center"/>
        <w:rPr>
          <w:rFonts w:ascii="宋体" w:hAnsi="宋体"/>
          <w:b/>
          <w:color w:val="000000"/>
          <w:sz w:val="72"/>
          <w:szCs w:val="72"/>
        </w:rPr>
      </w:pPr>
    </w:p>
    <w:p>
      <w:pPr>
        <w:spacing w:line="360" w:lineRule="auto"/>
        <w:jc w:val="center"/>
        <w:rPr>
          <w:rFonts w:ascii="宋体" w:hAnsi="宋体"/>
          <w:b/>
          <w:color w:val="000000"/>
          <w:sz w:val="72"/>
          <w:szCs w:val="72"/>
        </w:rPr>
      </w:pPr>
      <w:r>
        <w:rPr>
          <w:rFonts w:hint="eastAsia" w:ascii="宋体" w:hAnsi="宋体"/>
          <w:b/>
          <w:color w:val="000000"/>
          <w:sz w:val="72"/>
          <w:szCs w:val="72"/>
        </w:rPr>
        <w:t>投标文件</w:t>
      </w:r>
    </w:p>
    <w:p>
      <w:pPr>
        <w:spacing w:line="360" w:lineRule="auto"/>
        <w:jc w:val="center"/>
        <w:rPr>
          <w:rFonts w:ascii="宋体" w:hAnsi="宋体"/>
          <w:color w:val="000000"/>
          <w:sz w:val="36"/>
          <w:szCs w:val="36"/>
        </w:rPr>
      </w:pPr>
    </w:p>
    <w:p>
      <w:pPr>
        <w:spacing w:line="360" w:lineRule="auto"/>
        <w:jc w:val="center"/>
        <w:rPr>
          <w:rFonts w:ascii="宋体" w:hAnsi="宋体"/>
          <w:color w:val="000000"/>
          <w:sz w:val="36"/>
          <w:szCs w:val="36"/>
        </w:rPr>
      </w:pPr>
    </w:p>
    <w:p>
      <w:pPr>
        <w:spacing w:line="360" w:lineRule="auto"/>
        <w:jc w:val="center"/>
        <w:rPr>
          <w:rFonts w:ascii="宋体" w:hAnsi="宋体"/>
          <w:color w:val="000000"/>
          <w:sz w:val="36"/>
          <w:szCs w:val="36"/>
        </w:rPr>
      </w:pPr>
    </w:p>
    <w:p>
      <w:pPr>
        <w:spacing w:line="360" w:lineRule="auto"/>
        <w:jc w:val="center"/>
        <w:rPr>
          <w:rFonts w:ascii="宋体" w:hAnsi="宋体"/>
          <w:color w:val="000000"/>
          <w:sz w:val="36"/>
          <w:szCs w:val="36"/>
        </w:rPr>
      </w:pPr>
    </w:p>
    <w:p>
      <w:pPr>
        <w:spacing w:line="360" w:lineRule="auto"/>
        <w:jc w:val="center"/>
        <w:rPr>
          <w:rFonts w:ascii="宋体" w:hAnsi="宋体"/>
          <w:color w:val="000000"/>
          <w:sz w:val="36"/>
          <w:szCs w:val="36"/>
          <w:u w:val="single"/>
        </w:rPr>
      </w:pPr>
      <w:r>
        <w:rPr>
          <w:rFonts w:hint="eastAsia" w:ascii="宋体" w:hAnsi="宋体"/>
          <w:color w:val="000000"/>
          <w:sz w:val="36"/>
          <w:szCs w:val="36"/>
        </w:rPr>
        <w:t>供应商全称：</w:t>
      </w:r>
      <w:r>
        <w:rPr>
          <w:rFonts w:hint="eastAsia" w:ascii="宋体" w:hAnsi="宋体"/>
          <w:color w:val="000000"/>
          <w:sz w:val="36"/>
          <w:szCs w:val="36"/>
          <w:u w:val="single"/>
        </w:rPr>
        <w:t>（加盖单位公章）</w:t>
      </w:r>
    </w:p>
    <w:p>
      <w:pPr>
        <w:pStyle w:val="25"/>
        <w:ind w:left="101" w:leftChars="48" w:firstLine="1920" w:firstLineChars="800"/>
        <w:jc w:val="left"/>
        <w:rPr>
          <w:rFonts w:hAnsi="宋体"/>
          <w:color w:val="000000"/>
          <w:kern w:val="2"/>
          <w:szCs w:val="28"/>
          <w:u w:val="single"/>
        </w:rPr>
      </w:pPr>
    </w:p>
    <w:p>
      <w:pPr>
        <w:pStyle w:val="223"/>
        <w:ind w:firstLine="0" w:firstLineChars="0"/>
        <w:jc w:val="center"/>
        <w:rPr>
          <w:rStyle w:val="114"/>
          <w:rFonts w:ascii="宋体" w:hAnsi="宋体"/>
          <w:color w:val="000000"/>
          <w:sz w:val="36"/>
          <w:szCs w:val="36"/>
        </w:rPr>
      </w:pPr>
      <w:bookmarkStart w:id="70" w:name="_Toc21541029"/>
      <w:bookmarkStart w:id="71" w:name="_Toc443468294"/>
      <w:r>
        <w:rPr>
          <w:rFonts w:hint="eastAsia" w:ascii="宋体" w:hAnsi="宋体" w:eastAsia="宋体"/>
          <w:sz w:val="36"/>
          <w:szCs w:val="36"/>
        </w:rPr>
        <w:t>年</w:t>
      </w:r>
      <w:r>
        <w:rPr>
          <w:rFonts w:ascii="宋体" w:hAnsi="宋体" w:eastAsia="宋体"/>
          <w:sz w:val="36"/>
          <w:szCs w:val="36"/>
        </w:rPr>
        <w:t xml:space="preserve">  </w:t>
      </w:r>
      <w:r>
        <w:rPr>
          <w:rFonts w:hint="eastAsia" w:ascii="宋体" w:hAnsi="宋体" w:eastAsia="宋体"/>
          <w:sz w:val="36"/>
          <w:szCs w:val="36"/>
        </w:rPr>
        <w:t>月</w:t>
      </w:r>
      <w:r>
        <w:rPr>
          <w:rFonts w:ascii="宋体" w:hAnsi="宋体" w:eastAsia="宋体"/>
          <w:sz w:val="36"/>
          <w:szCs w:val="36"/>
        </w:rPr>
        <w:t xml:space="preserve">  </w:t>
      </w:r>
      <w:r>
        <w:rPr>
          <w:rFonts w:hint="eastAsia" w:ascii="宋体" w:hAnsi="宋体" w:eastAsia="宋体"/>
          <w:sz w:val="36"/>
          <w:szCs w:val="36"/>
        </w:rPr>
        <w:t>日</w:t>
      </w:r>
      <w:bookmarkEnd w:id="70"/>
      <w:bookmarkEnd w:id="71"/>
    </w:p>
    <w:p>
      <w:pPr>
        <w:pStyle w:val="223"/>
        <w:ind w:firstLine="554"/>
        <w:rPr>
          <w:rStyle w:val="114"/>
          <w:rFonts w:ascii="宋体" w:hAnsi="宋体"/>
          <w:color w:val="000000"/>
          <w:sz w:val="28"/>
          <w:szCs w:val="28"/>
        </w:rPr>
      </w:pPr>
    </w:p>
    <w:p>
      <w:pPr>
        <w:pStyle w:val="223"/>
        <w:ind w:firstLine="554"/>
        <w:rPr>
          <w:rStyle w:val="114"/>
          <w:rFonts w:ascii="宋体" w:hAnsi="宋体"/>
          <w:color w:val="000000"/>
          <w:sz w:val="28"/>
          <w:szCs w:val="28"/>
        </w:rPr>
      </w:pPr>
    </w:p>
    <w:p>
      <w:pPr>
        <w:pStyle w:val="223"/>
        <w:ind w:firstLine="0" w:firstLineChars="0"/>
        <w:jc w:val="center"/>
        <w:rPr>
          <w:rFonts w:ascii="宋体" w:hAnsi="宋体" w:eastAsia="宋体"/>
          <w:b/>
          <w:sz w:val="21"/>
          <w:szCs w:val="21"/>
        </w:rPr>
      </w:pPr>
      <w:r>
        <w:rPr>
          <w:rStyle w:val="114"/>
          <w:rFonts w:ascii="宋体" w:hAnsi="宋体"/>
          <w:color w:val="000000"/>
          <w:sz w:val="21"/>
          <w:szCs w:val="21"/>
        </w:rPr>
        <w:br w:type="page"/>
      </w:r>
      <w:bookmarkEnd w:id="66"/>
      <w:bookmarkEnd w:id="67"/>
      <w:bookmarkStart w:id="72" w:name="_Toc21541030"/>
      <w:r>
        <w:rPr>
          <w:rFonts w:ascii="宋体" w:hAnsi="宋体" w:eastAsia="宋体"/>
          <w:b/>
          <w:sz w:val="21"/>
          <w:szCs w:val="21"/>
        </w:rPr>
        <w:t>C1</w:t>
      </w:r>
      <w:r>
        <w:rPr>
          <w:rFonts w:hint="eastAsia" w:ascii="宋体" w:hAnsi="宋体" w:eastAsia="宋体"/>
          <w:b/>
          <w:sz w:val="21"/>
          <w:szCs w:val="21"/>
        </w:rPr>
        <w:t>开标一览表</w:t>
      </w:r>
      <w:bookmarkEnd w:id="72"/>
    </w:p>
    <w:p>
      <w:pPr>
        <w:pStyle w:val="18"/>
        <w:spacing w:line="400" w:lineRule="exact"/>
        <w:ind w:firstLine="0"/>
        <w:rPr>
          <w:rFonts w:hint="eastAsia" w:ascii="宋体" w:hAnsi="宋体" w:eastAsia="宋体"/>
          <w:color w:val="000000"/>
          <w:sz w:val="21"/>
          <w:szCs w:val="21"/>
        </w:rPr>
      </w:pPr>
      <w:r>
        <w:rPr>
          <w:rFonts w:hint="eastAsia" w:ascii="宋体" w:hAnsi="宋体" w:eastAsia="宋体"/>
          <w:color w:val="000000"/>
          <w:sz w:val="21"/>
          <w:szCs w:val="21"/>
        </w:rPr>
        <w:t>项目名称：舟山市中医院保安服务采购项目</w:t>
      </w:r>
    </w:p>
    <w:p>
      <w:pPr>
        <w:pStyle w:val="18"/>
        <w:spacing w:line="400" w:lineRule="exact"/>
        <w:ind w:firstLine="0"/>
        <w:rPr>
          <w:rFonts w:hint="eastAsia" w:ascii="宋体" w:hAnsi="宋体" w:eastAsia="宋体"/>
          <w:color w:val="000000"/>
          <w:sz w:val="21"/>
          <w:szCs w:val="21"/>
          <w:u w:val="single"/>
        </w:rPr>
      </w:pPr>
      <w:r>
        <w:rPr>
          <w:rFonts w:hint="eastAsia" w:ascii="宋体" w:hAnsi="宋体" w:eastAsia="宋体"/>
          <w:color w:val="000000"/>
          <w:sz w:val="21"/>
          <w:szCs w:val="21"/>
        </w:rPr>
        <w:t>采购编号：</w:t>
      </w:r>
      <w:r>
        <w:rPr>
          <w:rFonts w:hint="eastAsia" w:ascii="宋体" w:hAnsi="宋体" w:eastAsia="宋体"/>
          <w:color w:val="000000"/>
          <w:sz w:val="21"/>
          <w:szCs w:val="21"/>
          <w:u w:val="single"/>
        </w:rPr>
        <w:t>NBITC-202250011G</w:t>
      </w:r>
    </w:p>
    <w:p>
      <w:pPr>
        <w:pStyle w:val="23"/>
        <w:snapToGrid w:val="0"/>
        <w:spacing w:line="400" w:lineRule="exact"/>
        <w:jc w:val="right"/>
        <w:rPr>
          <w:color w:val="000000"/>
          <w:kern w:val="2"/>
          <w:sz w:val="21"/>
          <w:szCs w:val="21"/>
        </w:rPr>
      </w:pPr>
      <w:r>
        <w:rPr>
          <w:rFonts w:hint="eastAsia"/>
          <w:color w:val="000000"/>
          <w:kern w:val="2"/>
          <w:sz w:val="21"/>
          <w:szCs w:val="21"/>
        </w:rPr>
        <w:t>货币单位：人民币（元）</w:t>
      </w:r>
    </w:p>
    <w:tbl>
      <w:tblPr>
        <w:tblStyle w:val="4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
        <w:gridCol w:w="1959"/>
        <w:gridCol w:w="3496"/>
        <w:gridCol w:w="1403"/>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513" w:type="pct"/>
            <w:noWrap w:val="0"/>
            <w:vAlign w:val="center"/>
          </w:tcPr>
          <w:p>
            <w:pPr>
              <w:snapToGrid w:val="0"/>
              <w:spacing w:line="400" w:lineRule="exact"/>
              <w:jc w:val="center"/>
              <w:rPr>
                <w:rFonts w:ascii="宋体" w:hAnsi="宋体"/>
                <w:color w:val="000000"/>
                <w:szCs w:val="21"/>
              </w:rPr>
            </w:pPr>
            <w:r>
              <w:rPr>
                <w:rFonts w:hint="eastAsia" w:ascii="宋体" w:hAnsi="宋体"/>
                <w:color w:val="000000"/>
                <w:szCs w:val="21"/>
              </w:rPr>
              <w:t>子包号</w:t>
            </w:r>
          </w:p>
        </w:tc>
        <w:tc>
          <w:tcPr>
            <w:tcW w:w="1065" w:type="pct"/>
            <w:noWrap w:val="0"/>
            <w:vAlign w:val="center"/>
          </w:tcPr>
          <w:p>
            <w:pPr>
              <w:spacing w:line="400" w:lineRule="exact"/>
              <w:jc w:val="center"/>
              <w:rPr>
                <w:rFonts w:ascii="宋体" w:hAnsi="宋体"/>
                <w:color w:val="000000"/>
                <w:szCs w:val="21"/>
              </w:rPr>
            </w:pPr>
            <w:r>
              <w:rPr>
                <w:rFonts w:hint="eastAsia" w:ascii="宋体" w:hAnsi="宋体"/>
                <w:color w:val="000000"/>
                <w:szCs w:val="21"/>
              </w:rPr>
              <w:t>项目名称</w:t>
            </w:r>
          </w:p>
        </w:tc>
        <w:tc>
          <w:tcPr>
            <w:tcW w:w="1901" w:type="pct"/>
            <w:noWrap w:val="0"/>
            <w:vAlign w:val="center"/>
          </w:tcPr>
          <w:p>
            <w:pPr>
              <w:spacing w:line="400" w:lineRule="exact"/>
              <w:jc w:val="center"/>
              <w:rPr>
                <w:rFonts w:ascii="宋体" w:hAnsi="宋体"/>
                <w:color w:val="000000"/>
                <w:szCs w:val="21"/>
              </w:rPr>
            </w:pPr>
            <w:r>
              <w:rPr>
                <w:rFonts w:hint="eastAsia" w:ascii="宋体" w:hAnsi="宋体"/>
                <w:color w:val="000000"/>
                <w:szCs w:val="21"/>
              </w:rPr>
              <w:t>服务期限</w:t>
            </w:r>
          </w:p>
        </w:tc>
        <w:tc>
          <w:tcPr>
            <w:tcW w:w="763" w:type="pct"/>
            <w:noWrap w:val="0"/>
            <w:vAlign w:val="center"/>
          </w:tcPr>
          <w:p>
            <w:pPr>
              <w:snapToGrid w:val="0"/>
              <w:spacing w:line="400" w:lineRule="exact"/>
              <w:jc w:val="center"/>
              <w:rPr>
                <w:rFonts w:hint="eastAsia" w:ascii="宋体" w:hAnsi="宋体"/>
                <w:color w:val="000000"/>
                <w:szCs w:val="21"/>
              </w:rPr>
            </w:pPr>
            <w:r>
              <w:rPr>
                <w:rFonts w:hint="eastAsia" w:ascii="宋体" w:hAnsi="宋体"/>
                <w:color w:val="000000"/>
                <w:szCs w:val="21"/>
              </w:rPr>
              <w:t>投标报价</w:t>
            </w:r>
          </w:p>
          <w:p>
            <w:pPr>
              <w:snapToGrid w:val="0"/>
              <w:spacing w:line="400" w:lineRule="exact"/>
              <w:jc w:val="center"/>
              <w:rPr>
                <w:rFonts w:ascii="宋体" w:hAnsi="宋体"/>
                <w:color w:val="000000"/>
                <w:szCs w:val="21"/>
              </w:rPr>
            </w:pPr>
            <w:r>
              <w:rPr>
                <w:rFonts w:hint="eastAsia" w:ascii="宋体" w:hAnsi="宋体"/>
                <w:color w:val="000000"/>
                <w:szCs w:val="21"/>
              </w:rPr>
              <w:t>（元/年）</w:t>
            </w:r>
          </w:p>
        </w:tc>
        <w:tc>
          <w:tcPr>
            <w:tcW w:w="758" w:type="pct"/>
            <w:noWrap w:val="0"/>
            <w:vAlign w:val="center"/>
          </w:tcPr>
          <w:p>
            <w:pPr>
              <w:snapToGrid w:val="0"/>
              <w:spacing w:line="400" w:lineRule="exact"/>
              <w:jc w:val="center"/>
              <w:rPr>
                <w:rFonts w:hint="eastAsia" w:ascii="宋体" w:hAnsi="宋体"/>
                <w:color w:val="000000"/>
                <w:szCs w:val="21"/>
              </w:rPr>
            </w:pPr>
            <w:r>
              <w:rPr>
                <w:rFonts w:hint="eastAsia" w:ascii="宋体" w:hAnsi="宋体"/>
                <w:color w:val="000000"/>
                <w:szCs w:val="21"/>
              </w:rPr>
              <w:t>投标报价</w:t>
            </w:r>
          </w:p>
          <w:p>
            <w:pPr>
              <w:snapToGrid w:val="0"/>
              <w:spacing w:line="400" w:lineRule="exact"/>
              <w:jc w:val="center"/>
              <w:rPr>
                <w:rFonts w:hint="eastAsia" w:ascii="宋体" w:hAnsi="宋体"/>
                <w:color w:val="000000"/>
                <w:szCs w:val="21"/>
              </w:rPr>
            </w:pPr>
            <w:r>
              <w:rPr>
                <w:rFonts w:hint="eastAsia" w:ascii="宋体" w:hAnsi="宋体"/>
                <w:color w:val="000000"/>
                <w:szCs w:val="21"/>
              </w:rPr>
              <w:t>（三年合计）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513" w:type="pct"/>
            <w:noWrap w:val="0"/>
            <w:vAlign w:val="center"/>
          </w:tcPr>
          <w:p>
            <w:pPr>
              <w:snapToGrid w:val="0"/>
              <w:spacing w:line="400" w:lineRule="exact"/>
              <w:jc w:val="center"/>
              <w:rPr>
                <w:rFonts w:ascii="宋体" w:hAnsi="宋体"/>
                <w:color w:val="000000"/>
                <w:szCs w:val="21"/>
              </w:rPr>
            </w:pPr>
            <w:r>
              <w:rPr>
                <w:rFonts w:hint="eastAsia" w:ascii="宋体" w:hAnsi="宋体"/>
                <w:color w:val="000000"/>
                <w:szCs w:val="21"/>
              </w:rPr>
              <w:t>1</w:t>
            </w:r>
          </w:p>
        </w:tc>
        <w:tc>
          <w:tcPr>
            <w:tcW w:w="1065" w:type="pct"/>
            <w:noWrap w:val="0"/>
            <w:vAlign w:val="center"/>
          </w:tcPr>
          <w:p>
            <w:pPr>
              <w:spacing w:line="400" w:lineRule="exact"/>
              <w:jc w:val="center"/>
              <w:rPr>
                <w:rFonts w:ascii="宋体" w:hAnsi="宋体"/>
                <w:color w:val="000000"/>
              </w:rPr>
            </w:pPr>
            <w:r>
              <w:rPr>
                <w:rFonts w:hint="eastAsia" w:ascii="宋体" w:hAnsi="宋体"/>
                <w:color w:val="000000"/>
                <w:szCs w:val="21"/>
              </w:rPr>
              <w:t>舟山市中医院保安服务采购项目</w:t>
            </w:r>
          </w:p>
        </w:tc>
        <w:tc>
          <w:tcPr>
            <w:tcW w:w="1901" w:type="pct"/>
            <w:noWrap w:val="0"/>
            <w:vAlign w:val="center"/>
          </w:tcPr>
          <w:p>
            <w:pPr>
              <w:spacing w:line="400" w:lineRule="exact"/>
              <w:jc w:val="center"/>
              <w:rPr>
                <w:rFonts w:hint="eastAsia" w:ascii="宋体" w:hAnsi="宋体"/>
                <w:color w:val="000000"/>
              </w:rPr>
            </w:pPr>
            <w:r>
              <w:rPr>
                <w:rFonts w:hint="eastAsia" w:ascii="宋体" w:hAnsi="宋体"/>
                <w:color w:val="000000"/>
              </w:rPr>
              <w:t>三年</w:t>
            </w:r>
            <w:r>
              <w:rPr>
                <w:rFonts w:hint="eastAsia" w:ascii="宋体" w:hAnsi="宋体" w:cs="宋体"/>
                <w:szCs w:val="21"/>
              </w:rPr>
              <w:t>合同一年一签，每年期满后，招标人对中标人的合同履行等情况进行综合评估考核，考核合格后续签下一年度</w:t>
            </w:r>
            <w:r>
              <w:rPr>
                <w:rFonts w:hint="eastAsia" w:ascii="宋体" w:hAnsi="宋体"/>
              </w:rPr>
              <w:t>，续签条款按照原合同履行。</w:t>
            </w:r>
          </w:p>
        </w:tc>
        <w:tc>
          <w:tcPr>
            <w:tcW w:w="763" w:type="pct"/>
            <w:noWrap w:val="0"/>
            <w:vAlign w:val="center"/>
          </w:tcPr>
          <w:p>
            <w:pPr>
              <w:snapToGrid w:val="0"/>
              <w:spacing w:line="400" w:lineRule="exact"/>
              <w:jc w:val="center"/>
              <w:rPr>
                <w:rFonts w:ascii="宋体" w:hAnsi="宋体"/>
                <w:color w:val="000000"/>
                <w:szCs w:val="21"/>
              </w:rPr>
            </w:pPr>
          </w:p>
        </w:tc>
        <w:tc>
          <w:tcPr>
            <w:tcW w:w="758" w:type="pct"/>
            <w:noWrap w:val="0"/>
            <w:vAlign w:val="center"/>
          </w:tcPr>
          <w:p>
            <w:pPr>
              <w:snapToGrid w:val="0"/>
              <w:spacing w:line="4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578" w:type="pct"/>
            <w:gridSpan w:val="2"/>
            <w:noWrap w:val="0"/>
            <w:vAlign w:val="center"/>
          </w:tcPr>
          <w:p>
            <w:pPr>
              <w:snapToGrid w:val="0"/>
              <w:spacing w:line="400" w:lineRule="exact"/>
              <w:jc w:val="center"/>
              <w:rPr>
                <w:rFonts w:hint="eastAsia" w:ascii="宋体" w:hAnsi="宋体"/>
                <w:color w:val="000000"/>
                <w:szCs w:val="21"/>
              </w:rPr>
            </w:pPr>
            <w:r>
              <w:rPr>
                <w:rFonts w:hint="eastAsia" w:ascii="宋体" w:hAnsi="宋体"/>
                <w:color w:val="000000"/>
                <w:szCs w:val="21"/>
              </w:rPr>
              <w:t>投标报价（一年）（大写）</w:t>
            </w:r>
          </w:p>
        </w:tc>
        <w:tc>
          <w:tcPr>
            <w:tcW w:w="3422" w:type="pct"/>
            <w:gridSpan w:val="3"/>
            <w:noWrap w:val="0"/>
            <w:vAlign w:val="center"/>
          </w:tcPr>
          <w:p>
            <w:pPr>
              <w:snapToGrid w:val="0"/>
              <w:spacing w:line="4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578" w:type="pct"/>
            <w:gridSpan w:val="2"/>
            <w:noWrap w:val="0"/>
            <w:vAlign w:val="center"/>
          </w:tcPr>
          <w:p>
            <w:pPr>
              <w:snapToGrid w:val="0"/>
              <w:spacing w:line="400" w:lineRule="exact"/>
              <w:jc w:val="center"/>
              <w:rPr>
                <w:rFonts w:hint="eastAsia" w:ascii="宋体" w:hAnsi="宋体"/>
                <w:color w:val="000000"/>
                <w:szCs w:val="21"/>
              </w:rPr>
            </w:pPr>
            <w:r>
              <w:rPr>
                <w:rFonts w:hint="eastAsia" w:ascii="宋体" w:hAnsi="宋体"/>
                <w:color w:val="000000"/>
                <w:szCs w:val="21"/>
              </w:rPr>
              <w:t>投标报价（三年合计）（大写）</w:t>
            </w:r>
          </w:p>
        </w:tc>
        <w:tc>
          <w:tcPr>
            <w:tcW w:w="3422" w:type="pct"/>
            <w:gridSpan w:val="3"/>
            <w:noWrap w:val="0"/>
            <w:vAlign w:val="center"/>
          </w:tcPr>
          <w:p>
            <w:pPr>
              <w:snapToGrid w:val="0"/>
              <w:spacing w:line="400" w:lineRule="exact"/>
              <w:jc w:val="center"/>
              <w:rPr>
                <w:rFonts w:ascii="宋体" w:hAnsi="宋体"/>
                <w:color w:val="000000"/>
                <w:szCs w:val="21"/>
              </w:rPr>
            </w:pPr>
          </w:p>
        </w:tc>
      </w:tr>
    </w:tbl>
    <w:p>
      <w:pPr>
        <w:spacing w:line="500" w:lineRule="exact"/>
        <w:jc w:val="left"/>
        <w:rPr>
          <w:rFonts w:hint="eastAsia" w:ascii="宋体" w:hAnsi="宋体"/>
          <w:color w:val="000000"/>
          <w:szCs w:val="21"/>
        </w:rPr>
      </w:pPr>
    </w:p>
    <w:p>
      <w:pPr>
        <w:spacing w:line="500" w:lineRule="exact"/>
        <w:jc w:val="left"/>
        <w:rPr>
          <w:rFonts w:ascii="宋体" w:hAnsi="宋体"/>
          <w:color w:val="000000"/>
          <w:szCs w:val="21"/>
        </w:rPr>
      </w:pPr>
      <w:r>
        <w:rPr>
          <w:rFonts w:hint="eastAsia" w:ascii="宋体" w:hAnsi="宋体"/>
          <w:color w:val="000000"/>
          <w:szCs w:val="21"/>
        </w:rPr>
        <w:t>供应商（盖章）：</w:t>
      </w:r>
    </w:p>
    <w:p>
      <w:pPr>
        <w:spacing w:line="500" w:lineRule="exact"/>
        <w:jc w:val="left"/>
        <w:rPr>
          <w:rFonts w:ascii="宋体" w:hAnsi="宋体"/>
          <w:color w:val="000000"/>
          <w:szCs w:val="21"/>
        </w:rPr>
      </w:pPr>
      <w:r>
        <w:rPr>
          <w:rFonts w:hint="eastAsia" w:ascii="宋体" w:hAnsi="宋体"/>
          <w:color w:val="000000"/>
          <w:szCs w:val="21"/>
        </w:rPr>
        <w:t>法定代表人或授权代表（签字）：</w:t>
      </w:r>
    </w:p>
    <w:p>
      <w:pPr>
        <w:spacing w:line="500" w:lineRule="exact"/>
        <w:rPr>
          <w:rFonts w:ascii="宋体" w:hAnsi="宋体"/>
          <w:color w:val="000000"/>
          <w:szCs w:val="21"/>
          <w:u w:val="single"/>
        </w:rPr>
      </w:pPr>
      <w:r>
        <w:rPr>
          <w:rFonts w:hint="eastAsia" w:ascii="宋体" w:hAnsi="宋体"/>
          <w:color w:val="000000"/>
          <w:szCs w:val="21"/>
        </w:rPr>
        <w:t>日</w:t>
      </w:r>
      <w:r>
        <w:rPr>
          <w:rFonts w:ascii="宋体" w:hAnsi="宋体"/>
          <w:color w:val="000000"/>
          <w:szCs w:val="21"/>
        </w:rPr>
        <w:t xml:space="preserve">            </w:t>
      </w:r>
      <w:r>
        <w:rPr>
          <w:rFonts w:hint="eastAsia" w:ascii="宋体" w:hAnsi="宋体"/>
          <w:color w:val="000000"/>
          <w:szCs w:val="21"/>
        </w:rPr>
        <w:t>期：</w:t>
      </w:r>
    </w:p>
    <w:p>
      <w:pPr>
        <w:spacing w:line="500" w:lineRule="exact"/>
        <w:jc w:val="left"/>
        <w:rPr>
          <w:rFonts w:hint="eastAsia" w:ascii="宋体" w:hAnsi="宋体"/>
          <w:color w:val="000000"/>
          <w:szCs w:val="21"/>
        </w:rPr>
      </w:pPr>
    </w:p>
    <w:p>
      <w:pPr>
        <w:snapToGrid w:val="0"/>
        <w:spacing w:line="360" w:lineRule="auto"/>
        <w:rPr>
          <w:rFonts w:ascii="宋体" w:hAnsi="宋体"/>
          <w:color w:val="000000"/>
          <w:szCs w:val="21"/>
          <w:u w:val="single"/>
        </w:rPr>
      </w:pPr>
    </w:p>
    <w:p>
      <w:pPr>
        <w:snapToGrid w:val="0"/>
        <w:spacing w:line="360" w:lineRule="auto"/>
        <w:rPr>
          <w:rFonts w:ascii="宋体" w:hAnsi="宋体"/>
          <w:color w:val="000000"/>
          <w:szCs w:val="21"/>
          <w:u w:val="single"/>
        </w:rPr>
      </w:pPr>
    </w:p>
    <w:p>
      <w:pPr>
        <w:snapToGrid w:val="0"/>
        <w:spacing w:line="360" w:lineRule="auto"/>
        <w:rPr>
          <w:rFonts w:ascii="宋体" w:hAnsi="宋体"/>
          <w:color w:val="000000"/>
          <w:szCs w:val="21"/>
          <w:u w:val="single"/>
        </w:rPr>
        <w:sectPr>
          <w:headerReference r:id="rId7" w:type="default"/>
          <w:footerReference r:id="rId8" w:type="default"/>
          <w:pgSz w:w="11907" w:h="16840"/>
          <w:pgMar w:top="1138" w:right="1588" w:bottom="1423" w:left="1339" w:header="285" w:footer="990" w:gutter="0"/>
          <w:pgNumType w:start="1"/>
          <w:cols w:space="720" w:num="1"/>
          <w:docGrid w:linePitch="285" w:charSpace="0"/>
        </w:sectPr>
      </w:pPr>
    </w:p>
    <w:p>
      <w:pPr>
        <w:spacing w:before="120" w:beforeLines="50" w:line="360" w:lineRule="exact"/>
        <w:jc w:val="center"/>
        <w:outlineLvl w:val="1"/>
        <w:rPr>
          <w:rFonts w:ascii="宋体" w:hAnsi="宋体"/>
          <w:b/>
          <w:szCs w:val="21"/>
        </w:rPr>
      </w:pPr>
      <w:bookmarkStart w:id="73" w:name="_Toc3383"/>
      <w:r>
        <w:rPr>
          <w:rFonts w:ascii="宋体" w:hAnsi="宋体"/>
          <w:b/>
          <w:szCs w:val="21"/>
        </w:rPr>
        <w:t>C</w:t>
      </w:r>
      <w:r>
        <w:rPr>
          <w:rFonts w:hint="eastAsia" w:ascii="宋体" w:hAnsi="宋体"/>
          <w:b/>
          <w:szCs w:val="21"/>
        </w:rPr>
        <w:t>2分项报价表</w:t>
      </w:r>
      <w:bookmarkEnd w:id="73"/>
    </w:p>
    <w:p>
      <w:pPr>
        <w:pStyle w:val="18"/>
        <w:spacing w:line="400" w:lineRule="exact"/>
        <w:ind w:firstLine="0"/>
        <w:rPr>
          <w:rFonts w:hint="eastAsia" w:ascii="宋体" w:hAnsi="宋体" w:eastAsia="宋体"/>
          <w:color w:val="000000"/>
          <w:sz w:val="21"/>
          <w:szCs w:val="21"/>
        </w:rPr>
      </w:pPr>
      <w:r>
        <w:rPr>
          <w:rFonts w:hint="eastAsia" w:ascii="宋体" w:hAnsi="宋体" w:eastAsia="宋体"/>
          <w:color w:val="000000"/>
          <w:sz w:val="21"/>
          <w:szCs w:val="21"/>
        </w:rPr>
        <w:t>项目名称：舟山市中医院保安服务采购项目</w:t>
      </w:r>
    </w:p>
    <w:p>
      <w:pPr>
        <w:pStyle w:val="18"/>
        <w:spacing w:line="360" w:lineRule="exact"/>
        <w:ind w:firstLine="0"/>
        <w:rPr>
          <w:rFonts w:hint="eastAsia" w:ascii="宋体" w:hAnsi="宋体" w:eastAsia="宋体" w:cs="宋体"/>
          <w:sz w:val="21"/>
          <w:szCs w:val="21"/>
        </w:rPr>
      </w:pPr>
      <w:r>
        <w:rPr>
          <w:rFonts w:hint="eastAsia" w:ascii="宋体" w:hAnsi="宋体" w:eastAsia="宋体"/>
          <w:color w:val="000000"/>
          <w:sz w:val="21"/>
          <w:szCs w:val="21"/>
        </w:rPr>
        <w:t>采购编号：</w:t>
      </w:r>
      <w:r>
        <w:rPr>
          <w:rFonts w:hint="eastAsia" w:ascii="宋体" w:hAnsi="宋体" w:eastAsia="宋体"/>
          <w:color w:val="000000"/>
          <w:sz w:val="21"/>
          <w:szCs w:val="21"/>
          <w:u w:val="single"/>
        </w:rPr>
        <w:t>NBITC-202250011G</w:t>
      </w:r>
      <w:r>
        <w:rPr>
          <w:rFonts w:hint="eastAsia" w:ascii="宋体" w:hAnsi="宋体" w:eastAsia="宋体" w:cs="宋体"/>
          <w:sz w:val="21"/>
          <w:szCs w:val="21"/>
        </w:rPr>
        <w:t xml:space="preserve">                                                                             </w:t>
      </w:r>
    </w:p>
    <w:p>
      <w:pPr>
        <w:pStyle w:val="223"/>
        <w:ind w:firstLine="0" w:firstLineChars="0"/>
        <w:jc w:val="center"/>
        <w:rPr>
          <w:rFonts w:ascii="宋体" w:hAnsi="宋体" w:eastAsia="宋体" w:cs="Times New Roman"/>
          <w:color w:val="000000"/>
          <w:sz w:val="21"/>
          <w:szCs w:val="21"/>
        </w:rPr>
      </w:pPr>
      <w:bookmarkStart w:id="74" w:name="_Toc21541032"/>
      <w:r>
        <w:rPr>
          <w:rFonts w:hint="eastAsia" w:ascii="宋体" w:hAnsi="宋体" w:eastAsia="宋体"/>
          <w:b/>
          <w:sz w:val="21"/>
          <w:szCs w:val="21"/>
        </w:rPr>
        <w:t xml:space="preserve">                                                    </w:t>
      </w:r>
      <w:r>
        <w:rPr>
          <w:rFonts w:hint="eastAsia" w:ascii="宋体" w:hAnsi="宋体" w:eastAsia="宋体" w:cs="Times New Roman"/>
          <w:color w:val="000000"/>
          <w:sz w:val="21"/>
          <w:szCs w:val="21"/>
        </w:rPr>
        <w:t>货币单位：人民币（元）</w:t>
      </w:r>
    </w:p>
    <w:tbl>
      <w:tblPr>
        <w:tblStyle w:val="44"/>
        <w:tblW w:w="9259"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791"/>
        <w:gridCol w:w="1275"/>
        <w:gridCol w:w="1136"/>
        <w:gridCol w:w="1050"/>
        <w:gridCol w:w="1185"/>
        <w:gridCol w:w="135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470" w:type="dxa"/>
            <w:tcBorders>
              <w:top w:val="double" w:color="auto" w:sz="4" w:space="0"/>
              <w:bottom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序号</w:t>
            </w:r>
          </w:p>
        </w:tc>
        <w:tc>
          <w:tcPr>
            <w:tcW w:w="1791" w:type="dxa"/>
            <w:tcBorders>
              <w:top w:val="double" w:color="auto" w:sz="4" w:space="0"/>
              <w:bottom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费用名称</w:t>
            </w:r>
          </w:p>
        </w:tc>
        <w:tc>
          <w:tcPr>
            <w:tcW w:w="1275" w:type="dxa"/>
            <w:tcBorders>
              <w:top w:val="double" w:color="auto" w:sz="4" w:space="0"/>
              <w:bottom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金  额</w:t>
            </w:r>
          </w:p>
        </w:tc>
        <w:tc>
          <w:tcPr>
            <w:tcW w:w="1136" w:type="dxa"/>
            <w:tcBorders>
              <w:top w:val="double" w:color="auto" w:sz="4" w:space="0"/>
              <w:bottom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数量</w:t>
            </w:r>
          </w:p>
        </w:tc>
        <w:tc>
          <w:tcPr>
            <w:tcW w:w="1050" w:type="dxa"/>
            <w:tcBorders>
              <w:top w:val="double" w:color="auto" w:sz="4" w:space="0"/>
              <w:bottom w:val="single" w:color="auto" w:sz="4" w:space="0"/>
            </w:tcBorders>
            <w:noWrap w:val="0"/>
            <w:vAlign w:val="center"/>
          </w:tcPr>
          <w:p>
            <w:pPr>
              <w:jc w:val="center"/>
              <w:rPr>
                <w:rFonts w:ascii="宋体" w:hAnsi="宋体" w:cs="宋体"/>
                <w:szCs w:val="21"/>
              </w:rPr>
            </w:pPr>
            <w:r>
              <w:rPr>
                <w:rFonts w:hint="eastAsia" w:ascii="宋体" w:hAnsi="宋体" w:cs="宋体"/>
                <w:szCs w:val="21"/>
              </w:rPr>
              <w:t>合计</w:t>
            </w:r>
          </w:p>
        </w:tc>
        <w:tc>
          <w:tcPr>
            <w:tcW w:w="1185" w:type="dxa"/>
            <w:tcBorders>
              <w:top w:val="double" w:color="auto" w:sz="4" w:space="0"/>
              <w:bottom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三年总计</w:t>
            </w:r>
          </w:p>
        </w:tc>
        <w:tc>
          <w:tcPr>
            <w:tcW w:w="1352" w:type="dxa"/>
            <w:tcBorders>
              <w:top w:val="double" w:color="auto" w:sz="4" w:space="0"/>
              <w:bottom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470" w:type="dxa"/>
            <w:tcBorders>
              <w:top w:val="single" w:color="auto" w:sz="4" w:space="0"/>
              <w:bottom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w:t>
            </w:r>
          </w:p>
        </w:tc>
        <w:tc>
          <w:tcPr>
            <w:tcW w:w="1791" w:type="dxa"/>
            <w:tcBorders>
              <w:top w:val="single" w:color="auto" w:sz="4" w:space="0"/>
              <w:bottom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保安主管</w:t>
            </w:r>
          </w:p>
        </w:tc>
        <w:tc>
          <w:tcPr>
            <w:tcW w:w="1275" w:type="dxa"/>
            <w:tcBorders>
              <w:top w:val="single" w:color="auto" w:sz="4" w:space="0"/>
              <w:bottom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/年/人</w:t>
            </w:r>
          </w:p>
        </w:tc>
        <w:tc>
          <w:tcPr>
            <w:tcW w:w="1136" w:type="dxa"/>
            <w:tcBorders>
              <w:top w:val="single" w:color="auto" w:sz="4" w:space="0"/>
              <w:bottom w:val="single" w:color="auto" w:sz="4" w:space="0"/>
            </w:tcBorders>
            <w:noWrap w:val="0"/>
            <w:vAlign w:val="center"/>
          </w:tcPr>
          <w:p>
            <w:pPr>
              <w:jc w:val="center"/>
              <w:rPr>
                <w:rFonts w:hint="eastAsia" w:ascii="宋体" w:hAnsi="宋体" w:cs="宋体"/>
                <w:szCs w:val="21"/>
              </w:rPr>
            </w:pPr>
          </w:p>
        </w:tc>
        <w:tc>
          <w:tcPr>
            <w:tcW w:w="1050" w:type="dxa"/>
            <w:tcBorders>
              <w:top w:val="single" w:color="auto" w:sz="4" w:space="0"/>
              <w:bottom w:val="single" w:color="auto" w:sz="4" w:space="0"/>
            </w:tcBorders>
            <w:noWrap w:val="0"/>
            <w:vAlign w:val="center"/>
          </w:tcPr>
          <w:p>
            <w:pPr>
              <w:jc w:val="center"/>
              <w:rPr>
                <w:rFonts w:hint="eastAsia" w:ascii="宋体" w:hAnsi="宋体" w:cs="宋体"/>
                <w:szCs w:val="21"/>
              </w:rPr>
            </w:pPr>
          </w:p>
        </w:tc>
        <w:tc>
          <w:tcPr>
            <w:tcW w:w="1185" w:type="dxa"/>
            <w:tcBorders>
              <w:top w:val="single" w:color="auto" w:sz="4" w:space="0"/>
              <w:bottom w:val="single" w:color="auto" w:sz="4" w:space="0"/>
            </w:tcBorders>
            <w:noWrap w:val="0"/>
            <w:vAlign w:val="center"/>
          </w:tcPr>
          <w:p>
            <w:pPr>
              <w:jc w:val="center"/>
              <w:rPr>
                <w:rFonts w:hint="eastAsia" w:ascii="宋体" w:hAnsi="宋体" w:cs="宋体"/>
                <w:szCs w:val="21"/>
              </w:rPr>
            </w:pPr>
          </w:p>
        </w:tc>
        <w:tc>
          <w:tcPr>
            <w:tcW w:w="1352" w:type="dxa"/>
            <w:tcBorders>
              <w:top w:val="single" w:color="auto" w:sz="4" w:space="0"/>
              <w:bottom w:val="single" w:color="auto" w:sz="4" w:space="0"/>
            </w:tcBorders>
            <w:noWrap w:val="0"/>
            <w:vAlign w:val="center"/>
          </w:tcPr>
          <w:p>
            <w:pPr>
              <w:jc w:val="center"/>
              <w:rPr>
                <w:rFonts w:hint="eastAsia"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1470" w:type="dxa"/>
            <w:tcBorders>
              <w:top w:val="single" w:color="auto" w:sz="4" w:space="0"/>
              <w:bottom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2</w:t>
            </w:r>
          </w:p>
        </w:tc>
        <w:tc>
          <w:tcPr>
            <w:tcW w:w="1791" w:type="dxa"/>
            <w:tcBorders>
              <w:top w:val="single" w:color="auto" w:sz="4" w:space="0"/>
              <w:bottom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保安人员</w:t>
            </w:r>
          </w:p>
        </w:tc>
        <w:tc>
          <w:tcPr>
            <w:tcW w:w="1275" w:type="dxa"/>
            <w:tcBorders>
              <w:top w:val="single" w:color="auto" w:sz="4" w:space="0"/>
              <w:bottom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/年/人</w:t>
            </w:r>
          </w:p>
        </w:tc>
        <w:tc>
          <w:tcPr>
            <w:tcW w:w="1136" w:type="dxa"/>
            <w:tcBorders>
              <w:top w:val="single" w:color="auto" w:sz="4" w:space="0"/>
              <w:bottom w:val="single" w:color="auto" w:sz="4" w:space="0"/>
            </w:tcBorders>
            <w:noWrap w:val="0"/>
            <w:vAlign w:val="center"/>
          </w:tcPr>
          <w:p>
            <w:pPr>
              <w:jc w:val="center"/>
              <w:rPr>
                <w:rFonts w:hint="eastAsia" w:ascii="宋体" w:hAnsi="宋体" w:cs="宋体"/>
                <w:szCs w:val="21"/>
              </w:rPr>
            </w:pPr>
          </w:p>
        </w:tc>
        <w:tc>
          <w:tcPr>
            <w:tcW w:w="1050" w:type="dxa"/>
            <w:tcBorders>
              <w:top w:val="single" w:color="auto" w:sz="4" w:space="0"/>
              <w:bottom w:val="single" w:color="auto" w:sz="4" w:space="0"/>
            </w:tcBorders>
            <w:noWrap w:val="0"/>
            <w:vAlign w:val="center"/>
          </w:tcPr>
          <w:p>
            <w:pPr>
              <w:jc w:val="center"/>
              <w:rPr>
                <w:rFonts w:hint="eastAsia" w:ascii="宋体" w:hAnsi="宋体" w:cs="宋体"/>
                <w:szCs w:val="21"/>
              </w:rPr>
            </w:pPr>
          </w:p>
        </w:tc>
        <w:tc>
          <w:tcPr>
            <w:tcW w:w="1185" w:type="dxa"/>
            <w:tcBorders>
              <w:top w:val="single" w:color="auto" w:sz="4" w:space="0"/>
              <w:bottom w:val="single" w:color="auto" w:sz="4" w:space="0"/>
            </w:tcBorders>
            <w:noWrap w:val="0"/>
            <w:vAlign w:val="center"/>
          </w:tcPr>
          <w:p>
            <w:pPr>
              <w:jc w:val="center"/>
              <w:rPr>
                <w:rFonts w:hint="eastAsia" w:ascii="宋体" w:hAnsi="宋体" w:cs="宋体"/>
                <w:szCs w:val="21"/>
              </w:rPr>
            </w:pPr>
          </w:p>
        </w:tc>
        <w:tc>
          <w:tcPr>
            <w:tcW w:w="1352" w:type="dxa"/>
            <w:tcBorders>
              <w:top w:val="single" w:color="auto" w:sz="4" w:space="0"/>
              <w:bottom w:val="single" w:color="auto" w:sz="4" w:space="0"/>
            </w:tcBorders>
            <w:noWrap w:val="0"/>
            <w:vAlign w:val="center"/>
          </w:tcPr>
          <w:p>
            <w:pPr>
              <w:jc w:val="center"/>
              <w:rPr>
                <w:rFonts w:hint="eastAsia"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1470" w:type="dxa"/>
            <w:tcBorders>
              <w:top w:val="single" w:color="auto" w:sz="4" w:space="0"/>
              <w:bottom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w:t>
            </w:r>
          </w:p>
        </w:tc>
        <w:tc>
          <w:tcPr>
            <w:tcW w:w="1791" w:type="dxa"/>
            <w:tcBorders>
              <w:top w:val="single" w:color="auto" w:sz="4" w:space="0"/>
              <w:bottom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疫情防控</w:t>
            </w:r>
          </w:p>
        </w:tc>
        <w:tc>
          <w:tcPr>
            <w:tcW w:w="1275" w:type="dxa"/>
            <w:tcBorders>
              <w:top w:val="single" w:color="auto" w:sz="4" w:space="0"/>
              <w:bottom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/年/人</w:t>
            </w:r>
          </w:p>
        </w:tc>
        <w:tc>
          <w:tcPr>
            <w:tcW w:w="1136" w:type="dxa"/>
            <w:tcBorders>
              <w:top w:val="single" w:color="auto" w:sz="4" w:space="0"/>
              <w:bottom w:val="single" w:color="auto" w:sz="4" w:space="0"/>
            </w:tcBorders>
            <w:noWrap w:val="0"/>
            <w:vAlign w:val="center"/>
          </w:tcPr>
          <w:p>
            <w:pPr>
              <w:jc w:val="center"/>
              <w:rPr>
                <w:rFonts w:hint="eastAsia" w:ascii="宋体" w:hAnsi="宋体" w:cs="宋体"/>
                <w:szCs w:val="21"/>
              </w:rPr>
            </w:pPr>
          </w:p>
        </w:tc>
        <w:tc>
          <w:tcPr>
            <w:tcW w:w="1050" w:type="dxa"/>
            <w:tcBorders>
              <w:top w:val="single" w:color="auto" w:sz="4" w:space="0"/>
              <w:bottom w:val="single" w:color="auto" w:sz="4" w:space="0"/>
            </w:tcBorders>
            <w:noWrap w:val="0"/>
            <w:vAlign w:val="center"/>
          </w:tcPr>
          <w:p>
            <w:pPr>
              <w:jc w:val="center"/>
              <w:rPr>
                <w:rFonts w:hint="eastAsia" w:ascii="宋体" w:hAnsi="宋体" w:cs="宋体"/>
                <w:szCs w:val="21"/>
              </w:rPr>
            </w:pPr>
          </w:p>
        </w:tc>
        <w:tc>
          <w:tcPr>
            <w:tcW w:w="1185" w:type="dxa"/>
            <w:tcBorders>
              <w:top w:val="single" w:color="auto" w:sz="4" w:space="0"/>
              <w:bottom w:val="single" w:color="auto" w:sz="4" w:space="0"/>
            </w:tcBorders>
            <w:noWrap w:val="0"/>
            <w:vAlign w:val="center"/>
          </w:tcPr>
          <w:p>
            <w:pPr>
              <w:jc w:val="center"/>
              <w:rPr>
                <w:rFonts w:hint="eastAsia" w:ascii="宋体" w:hAnsi="宋体" w:cs="宋体"/>
                <w:szCs w:val="21"/>
              </w:rPr>
            </w:pPr>
          </w:p>
        </w:tc>
        <w:tc>
          <w:tcPr>
            <w:tcW w:w="1352" w:type="dxa"/>
            <w:tcBorders>
              <w:top w:val="single" w:color="auto" w:sz="4" w:space="0"/>
              <w:bottom w:val="single" w:color="auto" w:sz="4" w:space="0"/>
            </w:tcBorders>
            <w:noWrap w:val="0"/>
            <w:vAlign w:val="center"/>
          </w:tcPr>
          <w:p>
            <w:pPr>
              <w:jc w:val="center"/>
              <w:rPr>
                <w:rFonts w:hint="eastAsia"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1470" w:type="dxa"/>
            <w:tcBorders>
              <w:top w:val="single" w:color="auto" w:sz="4" w:space="0"/>
              <w:bottom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4</w:t>
            </w:r>
          </w:p>
        </w:tc>
        <w:tc>
          <w:tcPr>
            <w:tcW w:w="1791" w:type="dxa"/>
            <w:tcBorders>
              <w:top w:val="single" w:color="auto" w:sz="4" w:space="0"/>
              <w:bottom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消控</w:t>
            </w:r>
          </w:p>
        </w:tc>
        <w:tc>
          <w:tcPr>
            <w:tcW w:w="1275" w:type="dxa"/>
            <w:tcBorders>
              <w:top w:val="single" w:color="auto" w:sz="4" w:space="0"/>
              <w:bottom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/年/人</w:t>
            </w:r>
          </w:p>
        </w:tc>
        <w:tc>
          <w:tcPr>
            <w:tcW w:w="1136" w:type="dxa"/>
            <w:tcBorders>
              <w:top w:val="single" w:color="auto" w:sz="4" w:space="0"/>
              <w:bottom w:val="single" w:color="auto" w:sz="4" w:space="0"/>
            </w:tcBorders>
            <w:noWrap w:val="0"/>
            <w:vAlign w:val="center"/>
          </w:tcPr>
          <w:p>
            <w:pPr>
              <w:jc w:val="center"/>
              <w:rPr>
                <w:rFonts w:hint="eastAsia" w:ascii="宋体" w:hAnsi="宋体" w:cs="宋体"/>
                <w:szCs w:val="21"/>
              </w:rPr>
            </w:pPr>
          </w:p>
        </w:tc>
        <w:tc>
          <w:tcPr>
            <w:tcW w:w="1050" w:type="dxa"/>
            <w:tcBorders>
              <w:top w:val="single" w:color="auto" w:sz="4" w:space="0"/>
              <w:bottom w:val="single" w:color="auto" w:sz="4" w:space="0"/>
            </w:tcBorders>
            <w:noWrap w:val="0"/>
            <w:vAlign w:val="center"/>
          </w:tcPr>
          <w:p>
            <w:pPr>
              <w:jc w:val="center"/>
              <w:rPr>
                <w:rFonts w:hint="eastAsia" w:ascii="宋体" w:hAnsi="宋体" w:cs="宋体"/>
                <w:szCs w:val="21"/>
              </w:rPr>
            </w:pPr>
          </w:p>
        </w:tc>
        <w:tc>
          <w:tcPr>
            <w:tcW w:w="1185" w:type="dxa"/>
            <w:tcBorders>
              <w:top w:val="single" w:color="auto" w:sz="4" w:space="0"/>
              <w:bottom w:val="single" w:color="auto" w:sz="4" w:space="0"/>
            </w:tcBorders>
            <w:noWrap w:val="0"/>
            <w:vAlign w:val="center"/>
          </w:tcPr>
          <w:p>
            <w:pPr>
              <w:jc w:val="center"/>
              <w:rPr>
                <w:rFonts w:hint="eastAsia" w:ascii="宋体" w:hAnsi="宋体" w:cs="宋体"/>
                <w:szCs w:val="21"/>
              </w:rPr>
            </w:pPr>
          </w:p>
        </w:tc>
        <w:tc>
          <w:tcPr>
            <w:tcW w:w="1352" w:type="dxa"/>
            <w:tcBorders>
              <w:top w:val="single" w:color="auto" w:sz="4" w:space="0"/>
              <w:bottom w:val="single" w:color="auto" w:sz="4" w:space="0"/>
            </w:tcBorders>
            <w:noWrap w:val="0"/>
            <w:vAlign w:val="center"/>
          </w:tcPr>
          <w:p>
            <w:pPr>
              <w:jc w:val="center"/>
              <w:rPr>
                <w:rFonts w:hint="eastAsia"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1470" w:type="dxa"/>
            <w:tcBorders>
              <w:top w:val="single" w:color="auto" w:sz="4" w:space="0"/>
              <w:bottom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5</w:t>
            </w:r>
          </w:p>
        </w:tc>
        <w:tc>
          <w:tcPr>
            <w:tcW w:w="1791" w:type="dxa"/>
            <w:tcBorders>
              <w:top w:val="single" w:color="auto" w:sz="4" w:space="0"/>
              <w:bottom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巡逻</w:t>
            </w:r>
          </w:p>
        </w:tc>
        <w:tc>
          <w:tcPr>
            <w:tcW w:w="1275" w:type="dxa"/>
            <w:tcBorders>
              <w:top w:val="single" w:color="auto" w:sz="4" w:space="0"/>
              <w:bottom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/年/人</w:t>
            </w:r>
          </w:p>
        </w:tc>
        <w:tc>
          <w:tcPr>
            <w:tcW w:w="1136" w:type="dxa"/>
            <w:tcBorders>
              <w:top w:val="single" w:color="auto" w:sz="4" w:space="0"/>
              <w:bottom w:val="single" w:color="auto" w:sz="4" w:space="0"/>
            </w:tcBorders>
            <w:noWrap w:val="0"/>
            <w:vAlign w:val="center"/>
          </w:tcPr>
          <w:p>
            <w:pPr>
              <w:jc w:val="center"/>
              <w:rPr>
                <w:rFonts w:hint="eastAsia" w:ascii="宋体" w:hAnsi="宋体" w:cs="宋体"/>
                <w:szCs w:val="21"/>
              </w:rPr>
            </w:pPr>
          </w:p>
        </w:tc>
        <w:tc>
          <w:tcPr>
            <w:tcW w:w="1050" w:type="dxa"/>
            <w:tcBorders>
              <w:top w:val="single" w:color="auto" w:sz="4" w:space="0"/>
              <w:bottom w:val="single" w:color="auto" w:sz="4" w:space="0"/>
            </w:tcBorders>
            <w:noWrap w:val="0"/>
            <w:vAlign w:val="center"/>
          </w:tcPr>
          <w:p>
            <w:pPr>
              <w:jc w:val="center"/>
              <w:rPr>
                <w:rFonts w:hint="eastAsia" w:ascii="宋体" w:hAnsi="宋体" w:cs="宋体"/>
                <w:szCs w:val="21"/>
              </w:rPr>
            </w:pPr>
          </w:p>
        </w:tc>
        <w:tc>
          <w:tcPr>
            <w:tcW w:w="1185" w:type="dxa"/>
            <w:tcBorders>
              <w:top w:val="single" w:color="auto" w:sz="4" w:space="0"/>
              <w:bottom w:val="single" w:color="auto" w:sz="4" w:space="0"/>
            </w:tcBorders>
            <w:noWrap w:val="0"/>
            <w:vAlign w:val="center"/>
          </w:tcPr>
          <w:p>
            <w:pPr>
              <w:jc w:val="center"/>
              <w:rPr>
                <w:rFonts w:hint="eastAsia" w:ascii="宋体" w:hAnsi="宋体" w:cs="宋体"/>
                <w:szCs w:val="21"/>
              </w:rPr>
            </w:pPr>
          </w:p>
        </w:tc>
        <w:tc>
          <w:tcPr>
            <w:tcW w:w="1352" w:type="dxa"/>
            <w:tcBorders>
              <w:top w:val="single" w:color="auto" w:sz="4" w:space="0"/>
              <w:bottom w:val="single" w:color="auto" w:sz="4" w:space="0"/>
            </w:tcBorders>
            <w:noWrap w:val="0"/>
            <w:vAlign w:val="center"/>
          </w:tcPr>
          <w:p>
            <w:pPr>
              <w:jc w:val="center"/>
              <w:rPr>
                <w:rFonts w:hint="eastAsia"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1470" w:type="dxa"/>
            <w:tcBorders>
              <w:top w:val="single" w:color="auto" w:sz="4" w:space="0"/>
              <w:bottom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w:t>
            </w:r>
          </w:p>
        </w:tc>
        <w:tc>
          <w:tcPr>
            <w:tcW w:w="1791" w:type="dxa"/>
            <w:tcBorders>
              <w:top w:val="single" w:color="auto" w:sz="4" w:space="0"/>
              <w:bottom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秩序维护</w:t>
            </w:r>
          </w:p>
        </w:tc>
        <w:tc>
          <w:tcPr>
            <w:tcW w:w="1275" w:type="dxa"/>
            <w:tcBorders>
              <w:top w:val="single" w:color="auto" w:sz="4" w:space="0"/>
              <w:bottom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/年/人</w:t>
            </w:r>
          </w:p>
        </w:tc>
        <w:tc>
          <w:tcPr>
            <w:tcW w:w="1136" w:type="dxa"/>
            <w:tcBorders>
              <w:top w:val="single" w:color="auto" w:sz="4" w:space="0"/>
              <w:bottom w:val="single" w:color="auto" w:sz="4" w:space="0"/>
            </w:tcBorders>
            <w:noWrap w:val="0"/>
            <w:vAlign w:val="center"/>
          </w:tcPr>
          <w:p>
            <w:pPr>
              <w:jc w:val="center"/>
              <w:rPr>
                <w:rFonts w:hint="eastAsia" w:ascii="宋体" w:hAnsi="宋体" w:cs="宋体"/>
                <w:szCs w:val="21"/>
              </w:rPr>
            </w:pPr>
          </w:p>
        </w:tc>
        <w:tc>
          <w:tcPr>
            <w:tcW w:w="1050" w:type="dxa"/>
            <w:tcBorders>
              <w:top w:val="single" w:color="auto" w:sz="4" w:space="0"/>
              <w:bottom w:val="single" w:color="auto" w:sz="4" w:space="0"/>
            </w:tcBorders>
            <w:noWrap w:val="0"/>
            <w:vAlign w:val="center"/>
          </w:tcPr>
          <w:p>
            <w:pPr>
              <w:jc w:val="center"/>
              <w:rPr>
                <w:rFonts w:hint="eastAsia" w:ascii="宋体" w:hAnsi="宋体" w:cs="宋体"/>
                <w:szCs w:val="21"/>
              </w:rPr>
            </w:pPr>
          </w:p>
        </w:tc>
        <w:tc>
          <w:tcPr>
            <w:tcW w:w="1185" w:type="dxa"/>
            <w:tcBorders>
              <w:top w:val="single" w:color="auto" w:sz="4" w:space="0"/>
              <w:bottom w:val="single" w:color="auto" w:sz="4" w:space="0"/>
            </w:tcBorders>
            <w:noWrap w:val="0"/>
            <w:vAlign w:val="center"/>
          </w:tcPr>
          <w:p>
            <w:pPr>
              <w:jc w:val="center"/>
              <w:rPr>
                <w:rFonts w:hint="eastAsia" w:ascii="宋体" w:hAnsi="宋体" w:cs="宋体"/>
                <w:szCs w:val="21"/>
              </w:rPr>
            </w:pPr>
          </w:p>
        </w:tc>
        <w:tc>
          <w:tcPr>
            <w:tcW w:w="1352" w:type="dxa"/>
            <w:tcBorders>
              <w:top w:val="single" w:color="auto" w:sz="4" w:space="0"/>
              <w:bottom w:val="single" w:color="auto" w:sz="4" w:space="0"/>
            </w:tcBorders>
            <w:noWrap w:val="0"/>
            <w:vAlign w:val="center"/>
          </w:tcPr>
          <w:p>
            <w:pPr>
              <w:jc w:val="center"/>
              <w:rPr>
                <w:rFonts w:hint="eastAsia"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1470" w:type="dxa"/>
            <w:tcBorders>
              <w:top w:val="single" w:color="auto" w:sz="4" w:space="0"/>
              <w:bottom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7</w:t>
            </w:r>
          </w:p>
        </w:tc>
        <w:tc>
          <w:tcPr>
            <w:tcW w:w="1791" w:type="dxa"/>
            <w:tcBorders>
              <w:top w:val="single" w:color="auto" w:sz="4" w:space="0"/>
              <w:bottom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车辆管理</w:t>
            </w:r>
          </w:p>
        </w:tc>
        <w:tc>
          <w:tcPr>
            <w:tcW w:w="1275" w:type="dxa"/>
            <w:tcBorders>
              <w:top w:val="single" w:color="auto" w:sz="4" w:space="0"/>
              <w:bottom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/年/人</w:t>
            </w:r>
          </w:p>
        </w:tc>
        <w:tc>
          <w:tcPr>
            <w:tcW w:w="1136" w:type="dxa"/>
            <w:tcBorders>
              <w:top w:val="single" w:color="auto" w:sz="4" w:space="0"/>
              <w:bottom w:val="single" w:color="auto" w:sz="4" w:space="0"/>
            </w:tcBorders>
            <w:noWrap w:val="0"/>
            <w:vAlign w:val="center"/>
          </w:tcPr>
          <w:p>
            <w:pPr>
              <w:jc w:val="center"/>
              <w:rPr>
                <w:rFonts w:hint="eastAsia" w:ascii="宋体" w:hAnsi="宋体" w:cs="宋体"/>
                <w:szCs w:val="21"/>
              </w:rPr>
            </w:pPr>
          </w:p>
        </w:tc>
        <w:tc>
          <w:tcPr>
            <w:tcW w:w="1050" w:type="dxa"/>
            <w:tcBorders>
              <w:top w:val="single" w:color="auto" w:sz="4" w:space="0"/>
              <w:bottom w:val="single" w:color="auto" w:sz="4" w:space="0"/>
            </w:tcBorders>
            <w:noWrap w:val="0"/>
            <w:vAlign w:val="center"/>
          </w:tcPr>
          <w:p>
            <w:pPr>
              <w:jc w:val="center"/>
              <w:rPr>
                <w:rFonts w:hint="eastAsia" w:ascii="宋体" w:hAnsi="宋体" w:cs="宋体"/>
                <w:szCs w:val="21"/>
              </w:rPr>
            </w:pPr>
          </w:p>
        </w:tc>
        <w:tc>
          <w:tcPr>
            <w:tcW w:w="1185" w:type="dxa"/>
            <w:tcBorders>
              <w:top w:val="single" w:color="auto" w:sz="4" w:space="0"/>
              <w:bottom w:val="single" w:color="auto" w:sz="4" w:space="0"/>
            </w:tcBorders>
            <w:noWrap w:val="0"/>
            <w:vAlign w:val="center"/>
          </w:tcPr>
          <w:p>
            <w:pPr>
              <w:jc w:val="center"/>
              <w:rPr>
                <w:rFonts w:hint="eastAsia" w:ascii="宋体" w:hAnsi="宋体" w:cs="宋体"/>
                <w:szCs w:val="21"/>
              </w:rPr>
            </w:pPr>
          </w:p>
        </w:tc>
        <w:tc>
          <w:tcPr>
            <w:tcW w:w="1352" w:type="dxa"/>
            <w:tcBorders>
              <w:top w:val="single" w:color="auto" w:sz="4" w:space="0"/>
              <w:bottom w:val="single" w:color="auto" w:sz="4" w:space="0"/>
            </w:tcBorders>
            <w:noWrap w:val="0"/>
            <w:vAlign w:val="center"/>
          </w:tcPr>
          <w:p>
            <w:pPr>
              <w:jc w:val="center"/>
              <w:rPr>
                <w:rFonts w:hint="eastAsia"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1470" w:type="dxa"/>
            <w:tcBorders>
              <w:top w:val="single" w:color="auto" w:sz="4" w:space="0"/>
              <w:bottom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8</w:t>
            </w:r>
          </w:p>
        </w:tc>
        <w:tc>
          <w:tcPr>
            <w:tcW w:w="1791" w:type="dxa"/>
            <w:tcBorders>
              <w:top w:val="single" w:color="auto" w:sz="4" w:space="0"/>
              <w:bottom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停车收费</w:t>
            </w:r>
          </w:p>
        </w:tc>
        <w:tc>
          <w:tcPr>
            <w:tcW w:w="1275" w:type="dxa"/>
            <w:tcBorders>
              <w:top w:val="single" w:color="auto" w:sz="4" w:space="0"/>
              <w:bottom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/年/人</w:t>
            </w:r>
          </w:p>
        </w:tc>
        <w:tc>
          <w:tcPr>
            <w:tcW w:w="1136" w:type="dxa"/>
            <w:tcBorders>
              <w:top w:val="single" w:color="auto" w:sz="4" w:space="0"/>
              <w:bottom w:val="single" w:color="auto" w:sz="4" w:space="0"/>
            </w:tcBorders>
            <w:noWrap w:val="0"/>
            <w:vAlign w:val="center"/>
          </w:tcPr>
          <w:p>
            <w:pPr>
              <w:jc w:val="center"/>
              <w:rPr>
                <w:rFonts w:hint="eastAsia" w:ascii="宋体" w:hAnsi="宋体" w:cs="宋体"/>
                <w:szCs w:val="21"/>
              </w:rPr>
            </w:pPr>
          </w:p>
        </w:tc>
        <w:tc>
          <w:tcPr>
            <w:tcW w:w="1050" w:type="dxa"/>
            <w:tcBorders>
              <w:top w:val="single" w:color="auto" w:sz="4" w:space="0"/>
              <w:bottom w:val="single" w:color="auto" w:sz="4" w:space="0"/>
            </w:tcBorders>
            <w:noWrap w:val="0"/>
            <w:vAlign w:val="center"/>
          </w:tcPr>
          <w:p>
            <w:pPr>
              <w:jc w:val="center"/>
              <w:rPr>
                <w:rFonts w:hint="eastAsia" w:ascii="宋体" w:hAnsi="宋体" w:cs="宋体"/>
                <w:szCs w:val="21"/>
              </w:rPr>
            </w:pPr>
          </w:p>
        </w:tc>
        <w:tc>
          <w:tcPr>
            <w:tcW w:w="1185" w:type="dxa"/>
            <w:tcBorders>
              <w:top w:val="single" w:color="auto" w:sz="4" w:space="0"/>
              <w:bottom w:val="single" w:color="auto" w:sz="4" w:space="0"/>
            </w:tcBorders>
            <w:noWrap w:val="0"/>
            <w:vAlign w:val="center"/>
          </w:tcPr>
          <w:p>
            <w:pPr>
              <w:jc w:val="center"/>
              <w:rPr>
                <w:rFonts w:hint="eastAsia" w:ascii="宋体" w:hAnsi="宋体" w:cs="宋体"/>
                <w:szCs w:val="21"/>
              </w:rPr>
            </w:pPr>
          </w:p>
        </w:tc>
        <w:tc>
          <w:tcPr>
            <w:tcW w:w="1352" w:type="dxa"/>
            <w:tcBorders>
              <w:top w:val="single" w:color="auto" w:sz="4" w:space="0"/>
              <w:bottom w:val="single" w:color="auto" w:sz="4" w:space="0"/>
            </w:tcBorders>
            <w:noWrap w:val="0"/>
            <w:vAlign w:val="center"/>
          </w:tcPr>
          <w:p>
            <w:pPr>
              <w:jc w:val="center"/>
              <w:rPr>
                <w:rFonts w:hint="eastAsia"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1470" w:type="dxa"/>
            <w:tcBorders>
              <w:top w:val="single" w:color="auto" w:sz="4" w:space="0"/>
              <w:bottom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9</w:t>
            </w:r>
          </w:p>
        </w:tc>
        <w:tc>
          <w:tcPr>
            <w:tcW w:w="1791" w:type="dxa"/>
            <w:tcBorders>
              <w:top w:val="single" w:color="auto" w:sz="4" w:space="0"/>
              <w:bottom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**室岗(机动）</w:t>
            </w:r>
          </w:p>
        </w:tc>
        <w:tc>
          <w:tcPr>
            <w:tcW w:w="1275" w:type="dxa"/>
            <w:tcBorders>
              <w:top w:val="single" w:color="auto" w:sz="4" w:space="0"/>
              <w:bottom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/年/人</w:t>
            </w:r>
          </w:p>
        </w:tc>
        <w:tc>
          <w:tcPr>
            <w:tcW w:w="1136" w:type="dxa"/>
            <w:tcBorders>
              <w:top w:val="single" w:color="auto" w:sz="4" w:space="0"/>
              <w:bottom w:val="single" w:color="auto" w:sz="4" w:space="0"/>
            </w:tcBorders>
            <w:noWrap w:val="0"/>
            <w:vAlign w:val="center"/>
          </w:tcPr>
          <w:p>
            <w:pPr>
              <w:jc w:val="center"/>
              <w:rPr>
                <w:rFonts w:hint="eastAsia" w:ascii="宋体" w:hAnsi="宋体" w:cs="宋体"/>
                <w:szCs w:val="21"/>
              </w:rPr>
            </w:pPr>
          </w:p>
        </w:tc>
        <w:tc>
          <w:tcPr>
            <w:tcW w:w="1050" w:type="dxa"/>
            <w:tcBorders>
              <w:top w:val="single" w:color="auto" w:sz="4" w:space="0"/>
              <w:bottom w:val="single" w:color="auto" w:sz="4" w:space="0"/>
            </w:tcBorders>
            <w:noWrap w:val="0"/>
            <w:vAlign w:val="center"/>
          </w:tcPr>
          <w:p>
            <w:pPr>
              <w:jc w:val="center"/>
              <w:rPr>
                <w:rFonts w:hint="eastAsia" w:ascii="宋体" w:hAnsi="宋体" w:cs="宋体"/>
                <w:szCs w:val="21"/>
              </w:rPr>
            </w:pPr>
          </w:p>
        </w:tc>
        <w:tc>
          <w:tcPr>
            <w:tcW w:w="1185" w:type="dxa"/>
            <w:tcBorders>
              <w:top w:val="single" w:color="auto" w:sz="4" w:space="0"/>
              <w:bottom w:val="single" w:color="auto" w:sz="4" w:space="0"/>
            </w:tcBorders>
            <w:noWrap w:val="0"/>
            <w:vAlign w:val="center"/>
          </w:tcPr>
          <w:p>
            <w:pPr>
              <w:jc w:val="center"/>
              <w:rPr>
                <w:rFonts w:hint="eastAsia" w:ascii="宋体" w:hAnsi="宋体" w:cs="宋体"/>
                <w:szCs w:val="21"/>
              </w:rPr>
            </w:pPr>
          </w:p>
        </w:tc>
        <w:tc>
          <w:tcPr>
            <w:tcW w:w="1352" w:type="dxa"/>
            <w:tcBorders>
              <w:top w:val="single" w:color="auto" w:sz="4" w:space="0"/>
              <w:bottom w:val="single" w:color="auto" w:sz="4" w:space="0"/>
            </w:tcBorders>
            <w:noWrap w:val="0"/>
            <w:vAlign w:val="center"/>
          </w:tcPr>
          <w:p>
            <w:pPr>
              <w:jc w:val="center"/>
              <w:rPr>
                <w:rFonts w:hint="eastAsia"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1470" w:type="dxa"/>
            <w:tcBorders>
              <w:top w:val="single" w:color="auto" w:sz="4" w:space="0"/>
              <w:bottom w:val="single" w:color="auto" w:sz="4" w:space="0"/>
            </w:tcBorders>
            <w:noWrap w:val="0"/>
            <w:vAlign w:val="center"/>
          </w:tcPr>
          <w:p>
            <w:pPr>
              <w:jc w:val="center"/>
              <w:rPr>
                <w:rFonts w:ascii="宋体" w:hAnsi="宋体" w:cs="宋体"/>
                <w:szCs w:val="21"/>
              </w:rPr>
            </w:pPr>
            <w:r>
              <w:rPr>
                <w:rFonts w:hint="eastAsia" w:ascii="宋体" w:hAnsi="宋体" w:cs="宋体"/>
                <w:szCs w:val="21"/>
              </w:rPr>
              <w:t>10</w:t>
            </w:r>
          </w:p>
        </w:tc>
        <w:tc>
          <w:tcPr>
            <w:tcW w:w="1791" w:type="dxa"/>
            <w:tcBorders>
              <w:top w:val="single" w:color="auto" w:sz="4" w:space="0"/>
              <w:bottom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管理费率</w:t>
            </w:r>
          </w:p>
        </w:tc>
        <w:tc>
          <w:tcPr>
            <w:tcW w:w="1275" w:type="dxa"/>
            <w:tcBorders>
              <w:top w:val="single" w:color="auto" w:sz="4" w:space="0"/>
              <w:bottom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/年</w:t>
            </w:r>
          </w:p>
        </w:tc>
        <w:tc>
          <w:tcPr>
            <w:tcW w:w="1136" w:type="dxa"/>
            <w:tcBorders>
              <w:top w:val="single" w:color="auto" w:sz="4" w:space="0"/>
              <w:bottom w:val="single" w:color="auto" w:sz="4" w:space="0"/>
            </w:tcBorders>
            <w:noWrap w:val="0"/>
            <w:vAlign w:val="center"/>
          </w:tcPr>
          <w:p>
            <w:pPr>
              <w:jc w:val="center"/>
              <w:rPr>
                <w:rFonts w:hint="eastAsia" w:ascii="宋体" w:hAnsi="宋体" w:cs="宋体"/>
                <w:szCs w:val="21"/>
              </w:rPr>
            </w:pPr>
          </w:p>
        </w:tc>
        <w:tc>
          <w:tcPr>
            <w:tcW w:w="1050" w:type="dxa"/>
            <w:tcBorders>
              <w:top w:val="single" w:color="auto" w:sz="4" w:space="0"/>
              <w:bottom w:val="single" w:color="auto" w:sz="4" w:space="0"/>
            </w:tcBorders>
            <w:noWrap w:val="0"/>
            <w:vAlign w:val="center"/>
          </w:tcPr>
          <w:p>
            <w:pPr>
              <w:jc w:val="center"/>
              <w:rPr>
                <w:rFonts w:hint="eastAsia" w:ascii="宋体" w:hAnsi="宋体" w:cs="宋体"/>
                <w:szCs w:val="21"/>
              </w:rPr>
            </w:pPr>
          </w:p>
        </w:tc>
        <w:tc>
          <w:tcPr>
            <w:tcW w:w="1185" w:type="dxa"/>
            <w:tcBorders>
              <w:top w:val="single" w:color="auto" w:sz="4" w:space="0"/>
              <w:bottom w:val="single" w:color="auto" w:sz="4" w:space="0"/>
            </w:tcBorders>
            <w:noWrap w:val="0"/>
            <w:vAlign w:val="center"/>
          </w:tcPr>
          <w:p>
            <w:pPr>
              <w:jc w:val="center"/>
              <w:rPr>
                <w:rFonts w:hint="eastAsia" w:ascii="宋体" w:hAnsi="宋体" w:cs="宋体"/>
                <w:szCs w:val="21"/>
              </w:rPr>
            </w:pPr>
          </w:p>
        </w:tc>
        <w:tc>
          <w:tcPr>
            <w:tcW w:w="1352" w:type="dxa"/>
            <w:tcBorders>
              <w:top w:val="single" w:color="auto" w:sz="4" w:space="0"/>
              <w:bottom w:val="single" w:color="auto" w:sz="4" w:space="0"/>
            </w:tcBorders>
            <w:noWrap w:val="0"/>
            <w:vAlign w:val="center"/>
          </w:tcPr>
          <w:p>
            <w:pPr>
              <w:jc w:val="center"/>
              <w:rPr>
                <w:rFonts w:hint="eastAsia"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1470" w:type="dxa"/>
            <w:tcBorders>
              <w:top w:val="single" w:color="auto" w:sz="4" w:space="0"/>
              <w:bottom w:val="single" w:color="auto" w:sz="4" w:space="0"/>
            </w:tcBorders>
            <w:noWrap w:val="0"/>
            <w:vAlign w:val="center"/>
          </w:tcPr>
          <w:p>
            <w:pPr>
              <w:jc w:val="center"/>
              <w:rPr>
                <w:rFonts w:ascii="宋体" w:hAnsi="宋体" w:cs="宋体"/>
                <w:szCs w:val="21"/>
              </w:rPr>
            </w:pPr>
            <w:r>
              <w:rPr>
                <w:rFonts w:hint="eastAsia" w:ascii="宋体" w:hAnsi="宋体" w:cs="宋体"/>
                <w:szCs w:val="21"/>
              </w:rPr>
              <w:t>11</w:t>
            </w:r>
          </w:p>
        </w:tc>
        <w:tc>
          <w:tcPr>
            <w:tcW w:w="1791" w:type="dxa"/>
            <w:tcBorders>
              <w:top w:val="single" w:color="auto" w:sz="4" w:space="0"/>
              <w:bottom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税率</w:t>
            </w:r>
          </w:p>
        </w:tc>
        <w:tc>
          <w:tcPr>
            <w:tcW w:w="1275" w:type="dxa"/>
            <w:tcBorders>
              <w:top w:val="single" w:color="auto" w:sz="4" w:space="0"/>
              <w:bottom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/年</w:t>
            </w:r>
          </w:p>
        </w:tc>
        <w:tc>
          <w:tcPr>
            <w:tcW w:w="1136" w:type="dxa"/>
            <w:tcBorders>
              <w:top w:val="single" w:color="auto" w:sz="4" w:space="0"/>
              <w:bottom w:val="single" w:color="auto" w:sz="4" w:space="0"/>
            </w:tcBorders>
            <w:noWrap w:val="0"/>
            <w:vAlign w:val="center"/>
          </w:tcPr>
          <w:p>
            <w:pPr>
              <w:jc w:val="center"/>
              <w:rPr>
                <w:rFonts w:hint="eastAsia" w:ascii="宋体" w:hAnsi="宋体" w:cs="宋体"/>
                <w:szCs w:val="21"/>
              </w:rPr>
            </w:pPr>
          </w:p>
        </w:tc>
        <w:tc>
          <w:tcPr>
            <w:tcW w:w="1050" w:type="dxa"/>
            <w:tcBorders>
              <w:top w:val="single" w:color="auto" w:sz="4" w:space="0"/>
              <w:bottom w:val="single" w:color="auto" w:sz="4" w:space="0"/>
            </w:tcBorders>
            <w:noWrap w:val="0"/>
            <w:vAlign w:val="center"/>
          </w:tcPr>
          <w:p>
            <w:pPr>
              <w:jc w:val="center"/>
              <w:rPr>
                <w:rFonts w:hint="eastAsia" w:ascii="宋体" w:hAnsi="宋体" w:cs="宋体"/>
                <w:szCs w:val="21"/>
              </w:rPr>
            </w:pPr>
          </w:p>
        </w:tc>
        <w:tc>
          <w:tcPr>
            <w:tcW w:w="1185" w:type="dxa"/>
            <w:tcBorders>
              <w:top w:val="single" w:color="auto" w:sz="4" w:space="0"/>
              <w:bottom w:val="single" w:color="auto" w:sz="4" w:space="0"/>
            </w:tcBorders>
            <w:noWrap w:val="0"/>
            <w:vAlign w:val="center"/>
          </w:tcPr>
          <w:p>
            <w:pPr>
              <w:jc w:val="center"/>
              <w:rPr>
                <w:rFonts w:hint="eastAsia" w:ascii="宋体" w:hAnsi="宋体" w:cs="宋体"/>
                <w:szCs w:val="21"/>
              </w:rPr>
            </w:pPr>
          </w:p>
        </w:tc>
        <w:tc>
          <w:tcPr>
            <w:tcW w:w="1352" w:type="dxa"/>
            <w:tcBorders>
              <w:top w:val="single" w:color="auto" w:sz="4" w:space="0"/>
              <w:bottom w:val="single" w:color="auto" w:sz="4" w:space="0"/>
            </w:tcBorders>
            <w:noWrap w:val="0"/>
            <w:vAlign w:val="center"/>
          </w:tcPr>
          <w:p>
            <w:pPr>
              <w:jc w:val="center"/>
              <w:rPr>
                <w:rFonts w:hint="eastAsia"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trPr>
        <w:tc>
          <w:tcPr>
            <w:tcW w:w="1470" w:type="dxa"/>
            <w:tcBorders>
              <w:top w:val="single" w:color="auto" w:sz="4" w:space="0"/>
              <w:bottom w:val="single" w:color="auto" w:sz="4" w:space="0"/>
            </w:tcBorders>
            <w:noWrap w:val="0"/>
            <w:vAlign w:val="center"/>
          </w:tcPr>
          <w:p>
            <w:pPr>
              <w:jc w:val="center"/>
              <w:rPr>
                <w:rFonts w:ascii="宋体" w:hAnsi="宋体" w:cs="宋体"/>
                <w:szCs w:val="21"/>
              </w:rPr>
            </w:pPr>
            <w:r>
              <w:rPr>
                <w:rFonts w:hint="eastAsia" w:ascii="宋体" w:hAnsi="宋体" w:cs="宋体"/>
                <w:szCs w:val="21"/>
              </w:rPr>
              <w:t>12</w:t>
            </w:r>
          </w:p>
        </w:tc>
        <w:tc>
          <w:tcPr>
            <w:tcW w:w="1791" w:type="dxa"/>
            <w:tcBorders>
              <w:top w:val="single" w:color="auto" w:sz="4" w:space="0"/>
              <w:bottom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其他</w:t>
            </w:r>
          </w:p>
        </w:tc>
        <w:tc>
          <w:tcPr>
            <w:tcW w:w="1275" w:type="dxa"/>
            <w:tcBorders>
              <w:top w:val="single" w:color="auto" w:sz="4" w:space="0"/>
              <w:bottom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/年</w:t>
            </w:r>
          </w:p>
        </w:tc>
        <w:tc>
          <w:tcPr>
            <w:tcW w:w="1136" w:type="dxa"/>
            <w:tcBorders>
              <w:top w:val="single" w:color="auto" w:sz="4" w:space="0"/>
              <w:bottom w:val="single" w:color="auto" w:sz="4" w:space="0"/>
            </w:tcBorders>
            <w:noWrap w:val="0"/>
            <w:vAlign w:val="center"/>
          </w:tcPr>
          <w:p>
            <w:pPr>
              <w:jc w:val="center"/>
              <w:rPr>
                <w:rFonts w:hint="eastAsia" w:ascii="宋体" w:hAnsi="宋体" w:cs="宋体"/>
                <w:szCs w:val="21"/>
              </w:rPr>
            </w:pPr>
          </w:p>
        </w:tc>
        <w:tc>
          <w:tcPr>
            <w:tcW w:w="1050" w:type="dxa"/>
            <w:tcBorders>
              <w:top w:val="single" w:color="auto" w:sz="4" w:space="0"/>
              <w:bottom w:val="single" w:color="auto" w:sz="4" w:space="0"/>
            </w:tcBorders>
            <w:noWrap w:val="0"/>
            <w:vAlign w:val="center"/>
          </w:tcPr>
          <w:p>
            <w:pPr>
              <w:jc w:val="center"/>
              <w:rPr>
                <w:rFonts w:hint="eastAsia" w:ascii="宋体" w:hAnsi="宋体" w:cs="宋体"/>
                <w:szCs w:val="21"/>
              </w:rPr>
            </w:pPr>
          </w:p>
        </w:tc>
        <w:tc>
          <w:tcPr>
            <w:tcW w:w="1185" w:type="dxa"/>
            <w:tcBorders>
              <w:top w:val="single" w:color="auto" w:sz="4" w:space="0"/>
              <w:bottom w:val="single" w:color="auto" w:sz="4" w:space="0"/>
            </w:tcBorders>
            <w:noWrap w:val="0"/>
            <w:vAlign w:val="center"/>
          </w:tcPr>
          <w:p>
            <w:pPr>
              <w:jc w:val="center"/>
              <w:rPr>
                <w:rFonts w:hint="eastAsia" w:ascii="宋体" w:hAnsi="宋体" w:cs="宋体"/>
                <w:szCs w:val="21"/>
              </w:rPr>
            </w:pPr>
          </w:p>
        </w:tc>
        <w:tc>
          <w:tcPr>
            <w:tcW w:w="1352" w:type="dxa"/>
            <w:tcBorders>
              <w:top w:val="single" w:color="auto" w:sz="4" w:space="0"/>
              <w:bottom w:val="single" w:color="auto" w:sz="4" w:space="0"/>
            </w:tcBorders>
            <w:noWrap w:val="0"/>
            <w:vAlign w:val="center"/>
          </w:tcPr>
          <w:p>
            <w:pPr>
              <w:jc w:val="center"/>
              <w:rPr>
                <w:rFonts w:hint="eastAsia"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trPr>
        <w:tc>
          <w:tcPr>
            <w:tcW w:w="1470" w:type="dxa"/>
            <w:tcBorders>
              <w:top w:val="single" w:color="auto" w:sz="4" w:space="0"/>
              <w:bottom w:val="single" w:color="auto" w:sz="4" w:space="0"/>
            </w:tcBorders>
            <w:noWrap w:val="0"/>
            <w:vAlign w:val="center"/>
          </w:tcPr>
          <w:p>
            <w:pPr>
              <w:jc w:val="center"/>
              <w:rPr>
                <w:rFonts w:ascii="宋体" w:hAnsi="宋体" w:cs="宋体"/>
                <w:szCs w:val="21"/>
              </w:rPr>
            </w:pPr>
            <w:r>
              <w:rPr>
                <w:rFonts w:hint="eastAsia" w:ascii="宋体" w:hAnsi="宋体" w:cs="宋体"/>
                <w:szCs w:val="21"/>
              </w:rPr>
              <w:t>13</w:t>
            </w:r>
          </w:p>
        </w:tc>
        <w:tc>
          <w:tcPr>
            <w:tcW w:w="1791" w:type="dxa"/>
            <w:tcBorders>
              <w:top w:val="single" w:color="auto" w:sz="4" w:space="0"/>
              <w:bottom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w:t>
            </w:r>
          </w:p>
        </w:tc>
        <w:tc>
          <w:tcPr>
            <w:tcW w:w="1275" w:type="dxa"/>
            <w:tcBorders>
              <w:top w:val="single" w:color="auto" w:sz="4" w:space="0"/>
              <w:bottom w:val="single" w:color="auto" w:sz="4" w:space="0"/>
            </w:tcBorders>
            <w:noWrap w:val="0"/>
            <w:vAlign w:val="center"/>
          </w:tcPr>
          <w:p>
            <w:pPr>
              <w:jc w:val="center"/>
              <w:rPr>
                <w:rFonts w:hint="eastAsia" w:ascii="宋体" w:hAnsi="宋体" w:cs="宋体"/>
                <w:szCs w:val="21"/>
              </w:rPr>
            </w:pPr>
          </w:p>
        </w:tc>
        <w:tc>
          <w:tcPr>
            <w:tcW w:w="1136" w:type="dxa"/>
            <w:tcBorders>
              <w:top w:val="single" w:color="auto" w:sz="4" w:space="0"/>
              <w:bottom w:val="single" w:color="auto" w:sz="4" w:space="0"/>
            </w:tcBorders>
            <w:noWrap w:val="0"/>
            <w:vAlign w:val="center"/>
          </w:tcPr>
          <w:p>
            <w:pPr>
              <w:jc w:val="center"/>
              <w:rPr>
                <w:rFonts w:hint="eastAsia" w:ascii="宋体" w:hAnsi="宋体" w:cs="宋体"/>
                <w:szCs w:val="21"/>
              </w:rPr>
            </w:pPr>
          </w:p>
        </w:tc>
        <w:tc>
          <w:tcPr>
            <w:tcW w:w="1050" w:type="dxa"/>
            <w:tcBorders>
              <w:top w:val="single" w:color="auto" w:sz="4" w:space="0"/>
              <w:bottom w:val="single" w:color="auto" w:sz="4" w:space="0"/>
            </w:tcBorders>
            <w:noWrap w:val="0"/>
            <w:vAlign w:val="center"/>
          </w:tcPr>
          <w:p>
            <w:pPr>
              <w:jc w:val="center"/>
              <w:rPr>
                <w:rFonts w:hint="eastAsia" w:ascii="宋体" w:hAnsi="宋体" w:cs="宋体"/>
                <w:szCs w:val="21"/>
              </w:rPr>
            </w:pPr>
          </w:p>
        </w:tc>
        <w:tc>
          <w:tcPr>
            <w:tcW w:w="1185" w:type="dxa"/>
            <w:tcBorders>
              <w:top w:val="single" w:color="auto" w:sz="4" w:space="0"/>
              <w:bottom w:val="single" w:color="auto" w:sz="4" w:space="0"/>
            </w:tcBorders>
            <w:noWrap w:val="0"/>
            <w:vAlign w:val="center"/>
          </w:tcPr>
          <w:p>
            <w:pPr>
              <w:jc w:val="center"/>
              <w:rPr>
                <w:rFonts w:hint="eastAsia" w:ascii="宋体" w:hAnsi="宋体" w:cs="宋体"/>
                <w:szCs w:val="21"/>
              </w:rPr>
            </w:pPr>
          </w:p>
        </w:tc>
        <w:tc>
          <w:tcPr>
            <w:tcW w:w="1352" w:type="dxa"/>
            <w:tcBorders>
              <w:top w:val="single" w:color="auto" w:sz="4" w:space="0"/>
              <w:bottom w:val="single" w:color="auto" w:sz="4" w:space="0"/>
            </w:tcBorders>
            <w:noWrap w:val="0"/>
            <w:vAlign w:val="center"/>
          </w:tcPr>
          <w:p>
            <w:pPr>
              <w:jc w:val="center"/>
              <w:rPr>
                <w:rFonts w:hint="eastAsia"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trPr>
        <w:tc>
          <w:tcPr>
            <w:tcW w:w="1470" w:type="dxa"/>
            <w:tcBorders>
              <w:top w:val="double" w:color="auto" w:sz="4" w:space="0"/>
              <w:bottom w:val="double" w:color="auto" w:sz="4" w:space="0"/>
            </w:tcBorders>
            <w:noWrap w:val="0"/>
            <w:vAlign w:val="center"/>
          </w:tcPr>
          <w:p>
            <w:pPr>
              <w:jc w:val="center"/>
              <w:rPr>
                <w:rFonts w:hint="eastAsia" w:ascii="宋体" w:hAnsi="宋体" w:cs="宋体"/>
                <w:szCs w:val="21"/>
              </w:rPr>
            </w:pPr>
            <w:r>
              <w:rPr>
                <w:rFonts w:hint="eastAsia" w:ascii="宋体" w:hAnsi="宋体" w:cs="宋体"/>
                <w:szCs w:val="21"/>
              </w:rPr>
              <w:t>总计</w:t>
            </w:r>
          </w:p>
        </w:tc>
        <w:tc>
          <w:tcPr>
            <w:tcW w:w="7789" w:type="dxa"/>
            <w:gridSpan w:val="6"/>
            <w:tcBorders>
              <w:top w:val="double" w:color="auto" w:sz="4" w:space="0"/>
              <w:bottom w:val="double" w:color="auto" w:sz="4" w:space="0"/>
            </w:tcBorders>
            <w:noWrap w:val="0"/>
            <w:vAlign w:val="center"/>
          </w:tcPr>
          <w:p>
            <w:pPr>
              <w:rPr>
                <w:rFonts w:hint="eastAsia"/>
              </w:rPr>
            </w:pPr>
            <w:r>
              <w:rPr>
                <w:rFonts w:hint="eastAsia"/>
              </w:rPr>
              <w:t>(大写)                     元/年</w:t>
            </w:r>
          </w:p>
          <w:p>
            <w:pPr>
              <w:rPr>
                <w:rFonts w:hint="eastAsia"/>
              </w:rPr>
            </w:pPr>
            <w:r>
              <w:rPr>
                <w:rFonts w:hint="eastAsia"/>
              </w:rPr>
              <w:t>(大写)                     元/三年</w:t>
            </w:r>
          </w:p>
        </w:tc>
      </w:tr>
    </w:tbl>
    <w:p>
      <w:pPr>
        <w:pStyle w:val="223"/>
        <w:ind w:firstLine="0" w:firstLineChars="0"/>
        <w:rPr>
          <w:rFonts w:hint="eastAsia" w:ascii="宋体" w:hAnsi="宋体" w:eastAsia="宋体"/>
          <w:color w:val="000000"/>
          <w:sz w:val="21"/>
          <w:szCs w:val="21"/>
        </w:rPr>
      </w:pPr>
    </w:p>
    <w:p>
      <w:pPr>
        <w:pStyle w:val="223"/>
        <w:ind w:firstLine="0" w:firstLineChars="0"/>
        <w:rPr>
          <w:rFonts w:hint="eastAsia" w:ascii="宋体" w:hAnsi="宋体" w:eastAsia="宋体"/>
          <w:color w:val="000000"/>
          <w:kern w:val="0"/>
          <w:sz w:val="21"/>
          <w:szCs w:val="21"/>
        </w:rPr>
      </w:pPr>
      <w:r>
        <w:rPr>
          <w:rFonts w:hint="eastAsia" w:ascii="宋体" w:hAnsi="宋体" w:eastAsia="宋体"/>
          <w:color w:val="000000"/>
          <w:sz w:val="21"/>
          <w:szCs w:val="21"/>
        </w:rPr>
        <w:t>注：投标人根据实际情况自行增加内容。</w:t>
      </w:r>
    </w:p>
    <w:p>
      <w:pPr>
        <w:pStyle w:val="223"/>
        <w:ind w:firstLine="0" w:firstLineChars="0"/>
        <w:jc w:val="center"/>
        <w:rPr>
          <w:rFonts w:ascii="宋体" w:hAnsi="宋体" w:eastAsia="宋体"/>
          <w:b/>
          <w:sz w:val="21"/>
          <w:szCs w:val="21"/>
        </w:rPr>
      </w:pPr>
    </w:p>
    <w:p>
      <w:pPr>
        <w:spacing w:line="400" w:lineRule="exact"/>
        <w:rPr>
          <w:rFonts w:ascii="宋体" w:hAnsi="宋体"/>
          <w:color w:val="000000"/>
          <w:kern w:val="0"/>
          <w:szCs w:val="21"/>
        </w:rPr>
      </w:pPr>
    </w:p>
    <w:p>
      <w:pPr>
        <w:spacing w:line="400" w:lineRule="exact"/>
        <w:rPr>
          <w:rFonts w:ascii="宋体" w:hAnsi="宋体"/>
          <w:color w:val="000000"/>
          <w:kern w:val="0"/>
          <w:szCs w:val="21"/>
        </w:rPr>
      </w:pPr>
      <w:r>
        <w:rPr>
          <w:rFonts w:ascii="宋体" w:hAnsi="宋体"/>
          <w:color w:val="000000"/>
          <w:kern w:val="0"/>
          <w:szCs w:val="21"/>
        </w:rPr>
        <w:t>供应商：（盖单位公章）</w:t>
      </w:r>
    </w:p>
    <w:p>
      <w:pPr>
        <w:spacing w:line="400" w:lineRule="exact"/>
        <w:rPr>
          <w:rFonts w:hint="eastAsia" w:ascii="宋体" w:hAnsi="宋体"/>
          <w:color w:val="000000"/>
          <w:kern w:val="0"/>
          <w:szCs w:val="21"/>
        </w:rPr>
      </w:pPr>
      <w:bookmarkStart w:id="75" w:name="_Toc533256012"/>
      <w:r>
        <w:rPr>
          <w:rFonts w:ascii="宋体" w:hAnsi="宋体"/>
          <w:color w:val="000000"/>
          <w:kern w:val="0"/>
          <w:szCs w:val="21"/>
        </w:rPr>
        <w:t xml:space="preserve">日期：    年    月  </w:t>
      </w:r>
      <w:r>
        <w:rPr>
          <w:rFonts w:hint="eastAsia" w:ascii="宋体" w:hAnsi="宋体"/>
          <w:color w:val="000000"/>
          <w:kern w:val="0"/>
          <w:szCs w:val="21"/>
        </w:rPr>
        <w:t xml:space="preserve">  日</w:t>
      </w:r>
      <w:bookmarkEnd w:id="75"/>
    </w:p>
    <w:p>
      <w:pPr>
        <w:spacing w:line="400" w:lineRule="exact"/>
        <w:rPr>
          <w:rFonts w:hint="eastAsia" w:ascii="宋体" w:hAnsi="宋体"/>
          <w:color w:val="000000"/>
          <w:kern w:val="0"/>
          <w:szCs w:val="21"/>
        </w:rPr>
      </w:pPr>
    </w:p>
    <w:p>
      <w:pPr>
        <w:spacing w:line="400" w:lineRule="exact"/>
        <w:jc w:val="center"/>
        <w:rPr>
          <w:rFonts w:ascii="宋体" w:hAnsi="宋体"/>
          <w:b/>
          <w:szCs w:val="21"/>
        </w:rPr>
      </w:pPr>
      <w:r>
        <w:rPr>
          <w:rFonts w:ascii="宋体" w:hAnsi="宋体"/>
          <w:b/>
          <w:szCs w:val="21"/>
        </w:rPr>
        <w:br w:type="page"/>
      </w:r>
      <w:r>
        <w:rPr>
          <w:rFonts w:ascii="宋体" w:hAnsi="宋体"/>
          <w:b/>
          <w:szCs w:val="21"/>
        </w:rPr>
        <w:t>C</w:t>
      </w:r>
      <w:r>
        <w:rPr>
          <w:rFonts w:hint="eastAsia" w:ascii="宋体" w:hAnsi="宋体"/>
          <w:b/>
          <w:szCs w:val="21"/>
        </w:rPr>
        <w:t>3 中小企业声明函</w:t>
      </w:r>
      <w:bookmarkEnd w:id="74"/>
    </w:p>
    <w:p>
      <w:pPr>
        <w:spacing w:line="400" w:lineRule="exact"/>
        <w:rPr>
          <w:rFonts w:ascii="宋体" w:hAnsi="宋体"/>
          <w:b/>
          <w:color w:val="000000"/>
          <w:szCs w:val="21"/>
        </w:rPr>
      </w:pPr>
    </w:p>
    <w:p>
      <w:pPr>
        <w:pStyle w:val="201"/>
        <w:spacing w:line="400" w:lineRule="atLeast"/>
        <w:ind w:firstLine="420" w:firstLineChars="200"/>
        <w:rPr>
          <w:rFonts w:hint="eastAsia" w:ascii="宋体" w:hAnsi="宋体" w:eastAsia="宋体" w:cs="宋体"/>
          <w:sz w:val="21"/>
          <w:szCs w:val="21"/>
        </w:rPr>
      </w:pPr>
      <w:r>
        <w:rPr>
          <w:rFonts w:hint="eastAsia" w:ascii="宋体" w:hAnsi="宋体" w:eastAsia="宋体" w:cs="宋体"/>
          <w:sz w:val="21"/>
          <w:szCs w:val="21"/>
        </w:rPr>
        <w:t>本公司郑重声明，根据《政府采购促进中小企业发展管理办法》（财库﹝2020﹞46号）的规定，本公司参加</w:t>
      </w:r>
      <w:r>
        <w:rPr>
          <w:rFonts w:hint="eastAsia" w:ascii="宋体" w:hAnsi="宋体" w:eastAsia="宋体" w:cs="宋体"/>
          <w:sz w:val="21"/>
          <w:szCs w:val="21"/>
          <w:u w:val="single"/>
        </w:rPr>
        <w:t>（单位名称）</w:t>
      </w:r>
      <w:r>
        <w:rPr>
          <w:rFonts w:hint="eastAsia" w:ascii="宋体" w:hAnsi="宋体" w:eastAsia="宋体" w:cs="宋体"/>
          <w:sz w:val="21"/>
          <w:szCs w:val="21"/>
        </w:rPr>
        <w:t>的</w:t>
      </w:r>
      <w:r>
        <w:rPr>
          <w:rFonts w:hint="eastAsia" w:ascii="宋体" w:hAnsi="宋体" w:eastAsia="宋体" w:cs="宋体"/>
          <w:sz w:val="21"/>
          <w:szCs w:val="21"/>
          <w:u w:val="single"/>
        </w:rPr>
        <w:t>（项目名称）</w:t>
      </w:r>
      <w:r>
        <w:rPr>
          <w:rFonts w:hint="eastAsia" w:ascii="宋体" w:hAnsi="宋体" w:eastAsia="宋体" w:cs="宋体"/>
          <w:sz w:val="21"/>
          <w:szCs w:val="21"/>
        </w:rPr>
        <w:t>采购活动，服务全部由符合政策要求的中小企业承接。相关企业（含签订分包意向协议的中小企业）的具体情况如下：</w:t>
      </w:r>
    </w:p>
    <w:p>
      <w:pPr>
        <w:pStyle w:val="201"/>
        <w:spacing w:line="400" w:lineRule="atLeast"/>
        <w:ind w:left="0" w:firstLine="630" w:firstLineChars="30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u w:val="single"/>
        </w:rPr>
        <w:t>（标的名称）</w:t>
      </w:r>
      <w:r>
        <w:rPr>
          <w:rFonts w:hint="eastAsia" w:ascii="宋体" w:hAnsi="宋体" w:eastAsia="宋体" w:cs="宋体"/>
          <w:sz w:val="21"/>
          <w:szCs w:val="21"/>
        </w:rPr>
        <w:t>，属</w:t>
      </w:r>
      <w:r>
        <w:rPr>
          <w:rFonts w:hint="eastAsia" w:ascii="宋体" w:hAnsi="宋体" w:eastAsia="宋体" w:cs="宋体"/>
          <w:color w:val="auto"/>
          <w:sz w:val="21"/>
          <w:szCs w:val="21"/>
        </w:rPr>
        <w:t>于</w:t>
      </w:r>
      <w:r>
        <w:rPr>
          <w:rFonts w:hint="eastAsia" w:ascii="宋体" w:hAnsi="宋体" w:eastAsia="宋体" w:cs="宋体"/>
          <w:b/>
          <w:bCs/>
          <w:color w:val="auto"/>
          <w:sz w:val="21"/>
          <w:szCs w:val="21"/>
          <w:u w:val="single"/>
          <w:lang w:eastAsia="zh-CN"/>
        </w:rPr>
        <w:t>租赁和商务服务业</w:t>
      </w:r>
      <w:r>
        <w:rPr>
          <w:rFonts w:hint="eastAsia" w:ascii="宋体" w:hAnsi="宋体" w:eastAsia="宋体" w:cs="宋体"/>
          <w:color w:val="auto"/>
          <w:sz w:val="21"/>
          <w:szCs w:val="21"/>
        </w:rPr>
        <w:t>行</w:t>
      </w:r>
      <w:r>
        <w:rPr>
          <w:rFonts w:hint="eastAsia" w:ascii="宋体" w:hAnsi="宋体" w:eastAsia="宋体" w:cs="宋体"/>
          <w:sz w:val="21"/>
          <w:szCs w:val="21"/>
        </w:rPr>
        <w:t>业；承接企业为</w:t>
      </w:r>
      <w:r>
        <w:rPr>
          <w:rFonts w:hint="eastAsia" w:ascii="宋体" w:hAnsi="宋体" w:eastAsia="宋体" w:cs="宋体"/>
          <w:sz w:val="21"/>
          <w:szCs w:val="21"/>
          <w:u w:val="single"/>
        </w:rPr>
        <w:t>（企业名称）</w:t>
      </w:r>
      <w:r>
        <w:rPr>
          <w:rFonts w:hint="eastAsia" w:ascii="宋体" w:hAnsi="宋体" w:eastAsia="宋体" w:cs="宋体"/>
          <w:sz w:val="21"/>
          <w:szCs w:val="21"/>
        </w:rPr>
        <w:t>，从业人员</w:t>
      </w:r>
      <w:r>
        <w:rPr>
          <w:rFonts w:hint="eastAsia" w:ascii="宋体" w:hAnsi="宋体" w:eastAsia="宋体" w:cs="宋体"/>
          <w:sz w:val="21"/>
          <w:szCs w:val="21"/>
          <w:u w:val="single"/>
        </w:rPr>
        <w:t xml:space="preserve">      </w:t>
      </w:r>
      <w:r>
        <w:rPr>
          <w:rFonts w:hint="eastAsia" w:ascii="宋体" w:hAnsi="宋体" w:eastAsia="宋体" w:cs="宋体"/>
          <w:sz w:val="21"/>
          <w:szCs w:val="21"/>
        </w:rPr>
        <w:t>人，营业收入为</w:t>
      </w:r>
      <w:r>
        <w:rPr>
          <w:rFonts w:hint="eastAsia" w:ascii="宋体" w:hAnsi="宋体" w:eastAsia="宋体" w:cs="宋体"/>
          <w:sz w:val="21"/>
          <w:szCs w:val="21"/>
          <w:u w:val="single"/>
        </w:rPr>
        <w:t xml:space="preserve">        </w:t>
      </w:r>
      <w:r>
        <w:rPr>
          <w:rFonts w:hint="eastAsia" w:ascii="宋体" w:hAnsi="宋体" w:eastAsia="宋体" w:cs="宋体"/>
          <w:sz w:val="21"/>
          <w:szCs w:val="21"/>
        </w:rPr>
        <w:t>万元，资产总额为</w:t>
      </w:r>
      <w:r>
        <w:rPr>
          <w:rFonts w:hint="eastAsia" w:ascii="宋体" w:hAnsi="宋体" w:eastAsia="宋体" w:cs="宋体"/>
          <w:sz w:val="21"/>
          <w:szCs w:val="21"/>
          <w:u w:val="single"/>
        </w:rPr>
        <w:t xml:space="preserve">        </w:t>
      </w:r>
      <w:r>
        <w:rPr>
          <w:rFonts w:hint="eastAsia" w:ascii="宋体" w:hAnsi="宋体" w:eastAsia="宋体" w:cs="宋体"/>
          <w:sz w:val="21"/>
          <w:szCs w:val="21"/>
        </w:rPr>
        <w:t>万元</w:t>
      </w:r>
      <w:r>
        <w:rPr>
          <w:rFonts w:hint="eastAsia" w:ascii="宋体" w:hAnsi="宋体" w:eastAsia="宋体" w:cs="宋体"/>
          <w:sz w:val="30"/>
          <w:szCs w:val="30"/>
          <w:vertAlign w:val="superscript"/>
        </w:rPr>
        <w:t>1</w:t>
      </w:r>
      <w:r>
        <w:rPr>
          <w:rFonts w:hint="eastAsia" w:ascii="宋体" w:hAnsi="宋体" w:eastAsia="宋体" w:cs="宋体"/>
          <w:sz w:val="21"/>
          <w:szCs w:val="21"/>
        </w:rPr>
        <w:t>，属于（中型企业、小型企业、微型企业）；</w:t>
      </w:r>
    </w:p>
    <w:p>
      <w:pPr>
        <w:pStyle w:val="201"/>
        <w:spacing w:line="400" w:lineRule="atLeast"/>
        <w:ind w:left="420" w:leftChars="200"/>
        <w:rPr>
          <w:rFonts w:hint="eastAsia" w:ascii="宋体" w:hAnsi="宋体" w:eastAsia="宋体" w:cs="宋体"/>
          <w:sz w:val="21"/>
          <w:szCs w:val="21"/>
        </w:rPr>
      </w:pPr>
    </w:p>
    <w:p>
      <w:pPr>
        <w:pStyle w:val="201"/>
        <w:spacing w:line="400" w:lineRule="atLeast"/>
        <w:ind w:left="420" w:leftChars="200" w:firstLine="420" w:firstLineChars="200"/>
        <w:rPr>
          <w:rFonts w:hint="eastAsia" w:ascii="宋体" w:hAnsi="宋体" w:eastAsia="宋体" w:cs="宋体"/>
          <w:sz w:val="21"/>
          <w:szCs w:val="21"/>
        </w:rPr>
      </w:pPr>
      <w:r>
        <w:rPr>
          <w:rFonts w:hint="eastAsia" w:ascii="宋体" w:hAnsi="宋体" w:eastAsia="宋体" w:cs="宋体"/>
          <w:sz w:val="21"/>
          <w:szCs w:val="21"/>
        </w:rPr>
        <w:t xml:space="preserve">以上企业，不属于大企业的分支机构，不存在控股股东为大企业的情形，也不存在与大企业的负责人为同一人的情形。 </w:t>
      </w:r>
    </w:p>
    <w:p>
      <w:pPr>
        <w:pStyle w:val="201"/>
        <w:spacing w:line="400" w:lineRule="atLeast"/>
        <w:ind w:left="420" w:leftChars="200"/>
        <w:rPr>
          <w:rFonts w:hint="eastAsia" w:ascii="宋体" w:hAnsi="宋体" w:eastAsia="宋体" w:cs="宋体"/>
          <w:sz w:val="21"/>
          <w:szCs w:val="21"/>
        </w:rPr>
      </w:pPr>
      <w:r>
        <w:rPr>
          <w:rFonts w:hint="eastAsia" w:ascii="宋体" w:hAnsi="宋体" w:eastAsia="宋体" w:cs="宋体"/>
          <w:sz w:val="21"/>
          <w:szCs w:val="21"/>
        </w:rPr>
        <w:t>本企业对上述声明内容的真实性负责。如有虚假，将依法承担相应责任。</w:t>
      </w:r>
    </w:p>
    <w:p>
      <w:pPr>
        <w:pStyle w:val="201"/>
        <w:ind w:left="0"/>
        <w:rPr>
          <w:rFonts w:hint="eastAsia" w:ascii="宋体" w:hAnsi="宋体" w:eastAsia="宋体" w:cs="宋体"/>
          <w:sz w:val="21"/>
          <w:szCs w:val="21"/>
        </w:rPr>
      </w:pPr>
    </w:p>
    <w:p>
      <w:pPr>
        <w:pStyle w:val="201"/>
        <w:ind w:left="0"/>
        <w:rPr>
          <w:rFonts w:hint="eastAsia" w:ascii="宋体" w:hAnsi="宋体" w:eastAsia="宋体" w:cs="宋体"/>
          <w:sz w:val="21"/>
          <w:szCs w:val="21"/>
        </w:rPr>
      </w:pPr>
    </w:p>
    <w:p>
      <w:pPr>
        <w:pStyle w:val="201"/>
        <w:ind w:left="0"/>
        <w:rPr>
          <w:rFonts w:hint="eastAsia" w:ascii="宋体" w:hAnsi="宋体" w:eastAsia="宋体" w:cs="宋体"/>
          <w:sz w:val="21"/>
          <w:szCs w:val="21"/>
        </w:rPr>
      </w:pPr>
    </w:p>
    <w:p>
      <w:pPr>
        <w:pStyle w:val="201"/>
        <w:ind w:left="0"/>
        <w:rPr>
          <w:rFonts w:hint="eastAsia" w:ascii="宋体" w:hAnsi="宋体" w:eastAsia="宋体" w:cs="宋体"/>
          <w:sz w:val="21"/>
          <w:szCs w:val="21"/>
        </w:rPr>
      </w:pPr>
    </w:p>
    <w:p>
      <w:pPr>
        <w:pStyle w:val="201"/>
        <w:ind w:left="0"/>
        <w:rPr>
          <w:rFonts w:hint="eastAsia" w:ascii="宋体" w:hAnsi="宋体" w:eastAsia="宋体" w:cs="宋体"/>
          <w:sz w:val="21"/>
          <w:szCs w:val="21"/>
        </w:rPr>
      </w:pPr>
    </w:p>
    <w:p>
      <w:pPr>
        <w:pStyle w:val="201"/>
        <w:ind w:left="0"/>
        <w:rPr>
          <w:rFonts w:hint="eastAsia" w:ascii="宋体" w:hAnsi="宋体" w:eastAsia="宋体" w:cs="宋体"/>
          <w:sz w:val="21"/>
          <w:szCs w:val="21"/>
        </w:rPr>
      </w:pPr>
    </w:p>
    <w:p>
      <w:pPr>
        <w:pStyle w:val="201"/>
        <w:ind w:firstLine="5250" w:firstLineChars="2500"/>
        <w:jc w:val="both"/>
        <w:rPr>
          <w:rFonts w:hint="eastAsia" w:ascii="宋体" w:hAnsi="宋体" w:eastAsia="宋体" w:cs="宋体"/>
          <w:sz w:val="21"/>
          <w:szCs w:val="21"/>
        </w:rPr>
      </w:pPr>
      <w:r>
        <w:rPr>
          <w:rFonts w:hint="eastAsia" w:ascii="宋体" w:hAnsi="宋体" w:eastAsia="宋体" w:cs="宋体"/>
          <w:sz w:val="21"/>
          <w:szCs w:val="21"/>
        </w:rPr>
        <w:t>企业名称（盖章）：</w:t>
      </w:r>
    </w:p>
    <w:p>
      <w:pPr>
        <w:pStyle w:val="201"/>
        <w:ind w:firstLine="5250" w:firstLineChars="2500"/>
        <w:jc w:val="both"/>
        <w:rPr>
          <w:rFonts w:hint="eastAsia" w:ascii="宋体" w:hAnsi="宋体" w:eastAsia="宋体" w:cs="宋体"/>
          <w:sz w:val="21"/>
          <w:szCs w:val="21"/>
        </w:rPr>
      </w:pPr>
    </w:p>
    <w:p>
      <w:pPr>
        <w:pStyle w:val="201"/>
        <w:ind w:firstLine="5250" w:firstLineChars="2500"/>
        <w:rPr>
          <w:rFonts w:hint="eastAsia" w:ascii="宋体" w:hAnsi="宋体" w:eastAsia="宋体" w:cs="宋体"/>
          <w:sz w:val="21"/>
          <w:szCs w:val="21"/>
        </w:rPr>
      </w:pPr>
      <w:r>
        <w:rPr>
          <w:rFonts w:hint="eastAsia" w:ascii="宋体" w:hAnsi="宋体" w:eastAsia="宋体" w:cs="宋体"/>
          <w:sz w:val="21"/>
          <w:szCs w:val="21"/>
        </w:rPr>
        <w:t>日 期：</w:t>
      </w:r>
    </w:p>
    <w:p>
      <w:pPr>
        <w:spacing w:line="400" w:lineRule="exact"/>
        <w:rPr>
          <w:rFonts w:hint="eastAsia" w:ascii="宋体" w:hAnsi="宋体" w:cs="宋体"/>
          <w:szCs w:val="21"/>
        </w:rPr>
      </w:pPr>
    </w:p>
    <w:p>
      <w:pPr>
        <w:pStyle w:val="2"/>
        <w:rPr>
          <w:rFonts w:hint="eastAsia"/>
        </w:rPr>
      </w:pPr>
    </w:p>
    <w:p>
      <w:pPr>
        <w:spacing w:line="400" w:lineRule="exact"/>
        <w:rPr>
          <w:rFonts w:hint="eastAsia" w:ascii="宋体" w:hAnsi="宋体" w:cs="宋体"/>
          <w:szCs w:val="21"/>
        </w:rPr>
      </w:pPr>
      <w:r>
        <w:rPr>
          <w:rFonts w:hint="eastAsia" w:ascii="宋体" w:hAnsi="宋体" w:cs="宋体"/>
          <w:szCs w:val="21"/>
        </w:rPr>
        <w:t>填写说明：</w:t>
      </w:r>
    </w:p>
    <w:p>
      <w:pPr>
        <w:spacing w:line="400" w:lineRule="exact"/>
        <w:ind w:firstLine="420" w:firstLineChars="200"/>
        <w:rPr>
          <w:rFonts w:hint="eastAsia" w:ascii="宋体" w:hAnsi="宋体" w:cs="宋体"/>
          <w:kern w:val="0"/>
          <w:szCs w:val="21"/>
        </w:rPr>
      </w:pPr>
      <w:r>
        <w:rPr>
          <w:rFonts w:hint="eastAsia" w:ascii="宋体" w:hAnsi="宋体" w:cs="宋体"/>
          <w:szCs w:val="21"/>
        </w:rPr>
        <w:t>1、</w:t>
      </w:r>
      <w:r>
        <w:rPr>
          <w:rFonts w:hint="eastAsia" w:ascii="宋体" w:hAnsi="宋体" w:cs="宋体"/>
          <w:b/>
          <w:bCs/>
          <w:szCs w:val="21"/>
          <w:vertAlign w:val="superscript"/>
        </w:rPr>
        <w:t>1</w:t>
      </w:r>
      <w:r>
        <w:rPr>
          <w:rFonts w:hint="eastAsia" w:ascii="宋体" w:hAnsi="宋体" w:cs="宋体"/>
          <w:szCs w:val="21"/>
        </w:rPr>
        <w:t>：从业人员、营业收入、资产总额填报上一年度数据，无上一年度数据的新成立企业可不填报。</w:t>
      </w:r>
    </w:p>
    <w:p>
      <w:pPr>
        <w:pStyle w:val="18"/>
        <w:spacing w:line="440" w:lineRule="exact"/>
        <w:ind w:firstLine="420" w:firstLineChars="200"/>
        <w:rPr>
          <w:rFonts w:hint="eastAsia" w:ascii="宋体" w:hAnsi="宋体" w:eastAsia="宋体" w:cs="宋体"/>
          <w:sz w:val="21"/>
          <w:szCs w:val="21"/>
        </w:rPr>
      </w:pPr>
      <w:r>
        <w:rPr>
          <w:rFonts w:hint="eastAsia" w:ascii="宋体" w:hAnsi="宋体" w:cs="宋体"/>
          <w:sz w:val="21"/>
          <w:szCs w:val="21"/>
        </w:rPr>
        <w:t>2、供应商根据采购文件规定的采购标的对应的中小企业划分标准所属行业，对照中小微行业划型标准规定（根据工信部联企业〔2011〕300号制定）如实填写。</w:t>
      </w:r>
    </w:p>
    <w:p>
      <w:pPr>
        <w:spacing w:line="400" w:lineRule="exact"/>
        <w:ind w:firstLine="422" w:firstLineChars="200"/>
        <w:rPr>
          <w:rFonts w:ascii="宋体" w:hAnsi="宋体"/>
          <w:color w:val="000000"/>
          <w:szCs w:val="21"/>
        </w:rPr>
      </w:pPr>
      <w:r>
        <w:rPr>
          <w:rFonts w:hint="eastAsia" w:ascii="宋体" w:hAnsi="宋体" w:cs="宋体"/>
          <w:b/>
          <w:bCs/>
          <w:szCs w:val="21"/>
        </w:rPr>
        <w:t>3、请供应商在相应文字后打钩√或选择，如实勾选企业的划分类型并对其真实性负责。</w:t>
      </w:r>
    </w:p>
    <w:p>
      <w:pPr>
        <w:spacing w:line="588" w:lineRule="exact"/>
        <w:jc w:val="center"/>
        <w:rPr>
          <w:rFonts w:ascii="宋体" w:hAnsi="宋体"/>
          <w:b/>
          <w:color w:val="000000"/>
          <w:szCs w:val="21"/>
        </w:rPr>
      </w:pPr>
      <w:r>
        <w:rPr>
          <w:rFonts w:ascii="宋体" w:hAnsi="宋体"/>
          <w:color w:val="000000"/>
          <w:szCs w:val="21"/>
        </w:rPr>
        <w:br w:type="page"/>
      </w:r>
      <w:r>
        <w:rPr>
          <w:rFonts w:ascii="宋体" w:hAnsi="宋体"/>
          <w:b/>
          <w:color w:val="000000"/>
          <w:szCs w:val="21"/>
        </w:rPr>
        <w:t>C</w:t>
      </w:r>
      <w:r>
        <w:rPr>
          <w:rFonts w:hint="eastAsia" w:ascii="宋体" w:hAnsi="宋体"/>
          <w:b/>
          <w:color w:val="000000"/>
          <w:szCs w:val="21"/>
        </w:rPr>
        <w:t>4残疾人福利性单位声明函（如有需提供）</w:t>
      </w:r>
    </w:p>
    <w:p>
      <w:pPr>
        <w:spacing w:line="588" w:lineRule="exact"/>
        <w:ind w:firstLine="420" w:firstLineChars="200"/>
        <w:rPr>
          <w:rFonts w:ascii="宋体" w:hAnsi="宋体"/>
          <w:color w:val="000000"/>
          <w:szCs w:val="21"/>
        </w:rPr>
      </w:pPr>
      <w:r>
        <w:rPr>
          <w:rFonts w:hint="eastAsia" w:ascii="宋体" w:hAnsi="宋体"/>
          <w:color w:val="000000"/>
          <w:szCs w:val="21"/>
        </w:rPr>
        <w:t>本单位郑重声明，根据《财政部</w:t>
      </w:r>
      <w:r>
        <w:rPr>
          <w:rFonts w:ascii="宋体" w:hAnsi="宋体"/>
          <w:color w:val="000000"/>
          <w:szCs w:val="21"/>
        </w:rPr>
        <w:t xml:space="preserve"> </w:t>
      </w:r>
      <w:r>
        <w:rPr>
          <w:rFonts w:hint="eastAsia" w:ascii="宋体" w:hAnsi="宋体"/>
          <w:color w:val="000000"/>
          <w:szCs w:val="21"/>
        </w:rPr>
        <w:t>民政部</w:t>
      </w:r>
      <w:r>
        <w:rPr>
          <w:rFonts w:ascii="宋体" w:hAnsi="宋体"/>
          <w:color w:val="000000"/>
          <w:szCs w:val="21"/>
        </w:rPr>
        <w:t xml:space="preserve"> </w:t>
      </w:r>
      <w:r>
        <w:rPr>
          <w:rFonts w:hint="eastAsia" w:ascii="宋体" w:hAnsi="宋体"/>
          <w:color w:val="000000"/>
          <w:szCs w:val="21"/>
        </w:rPr>
        <w:t>中国残疾人联合会关于促进残疾人就业政府采购政策的通知》（财库〔</w:t>
      </w:r>
      <w:r>
        <w:rPr>
          <w:rFonts w:ascii="宋体" w:hAnsi="宋体"/>
          <w:color w:val="000000"/>
          <w:szCs w:val="21"/>
        </w:rPr>
        <w:t>2017</w:t>
      </w:r>
      <w:r>
        <w:rPr>
          <w:rFonts w:hint="eastAsia" w:ascii="宋体" w:hAnsi="宋体"/>
          <w:color w:val="000000"/>
          <w:szCs w:val="21"/>
        </w:rPr>
        <w:t>〕</w:t>
      </w:r>
      <w:r>
        <w:rPr>
          <w:rFonts w:ascii="宋体" w:hAnsi="宋体"/>
          <w:color w:val="000000"/>
          <w:szCs w:val="21"/>
        </w:rPr>
        <w:t>141</w:t>
      </w:r>
      <w:r>
        <w:rPr>
          <w:rFonts w:hint="eastAsia" w:ascii="宋体" w:hAnsi="宋体"/>
          <w:color w:val="000000"/>
          <w:szCs w:val="21"/>
        </w:rPr>
        <w:t>号）的规定，本单位为符合条件的残疾人福利性单位，且本单位参加</w:t>
      </w:r>
      <w:r>
        <w:rPr>
          <w:rFonts w:ascii="宋体" w:hAnsi="宋体"/>
          <w:color w:val="000000"/>
          <w:szCs w:val="21"/>
        </w:rPr>
        <w:t>______</w:t>
      </w:r>
      <w:r>
        <w:rPr>
          <w:rFonts w:hint="eastAsia" w:ascii="宋体" w:hAnsi="宋体"/>
          <w:color w:val="000000"/>
          <w:szCs w:val="21"/>
        </w:rPr>
        <w:t>单位的</w:t>
      </w:r>
      <w:r>
        <w:rPr>
          <w:rFonts w:ascii="宋体" w:hAnsi="宋体"/>
          <w:color w:val="000000"/>
          <w:szCs w:val="21"/>
        </w:rPr>
        <w:t>______</w:t>
      </w:r>
      <w:r>
        <w:rPr>
          <w:rFonts w:hint="eastAsia" w:ascii="宋体" w:hAnsi="宋体"/>
          <w:color w:val="000000"/>
          <w:szCs w:val="21"/>
        </w:rPr>
        <w:t>项目采购活动提供本单位制造的货物（由本单位承担工程</w:t>
      </w:r>
      <w:r>
        <w:rPr>
          <w:rFonts w:ascii="宋体" w:hAnsi="宋体"/>
          <w:color w:val="000000"/>
          <w:szCs w:val="21"/>
        </w:rPr>
        <w:t>/</w:t>
      </w:r>
      <w:r>
        <w:rPr>
          <w:rFonts w:hint="eastAsia" w:ascii="宋体" w:hAnsi="宋体"/>
          <w:color w:val="000000"/>
          <w:szCs w:val="21"/>
        </w:rPr>
        <w:t>提供服务），或者提供其他残疾人福利性单位制造的货物（不包括使用非残疾人福利性单位注册商标的货物）。</w:t>
      </w:r>
    </w:p>
    <w:p>
      <w:pPr>
        <w:spacing w:line="588" w:lineRule="exact"/>
        <w:ind w:firstLine="420" w:firstLineChars="200"/>
        <w:rPr>
          <w:rFonts w:ascii="宋体" w:hAnsi="宋体"/>
          <w:color w:val="000000"/>
          <w:szCs w:val="21"/>
        </w:rPr>
      </w:pPr>
      <w:r>
        <w:rPr>
          <w:rFonts w:hint="eastAsia" w:ascii="宋体" w:hAnsi="宋体"/>
          <w:color w:val="000000"/>
          <w:szCs w:val="21"/>
        </w:rPr>
        <w:t>本单位对上述声明的真实性负责。如有虚假，将依法承担相应责任。</w:t>
      </w:r>
    </w:p>
    <w:p>
      <w:pPr>
        <w:spacing w:line="588" w:lineRule="exact"/>
        <w:ind w:firstLine="420" w:firstLineChars="200"/>
        <w:rPr>
          <w:rFonts w:ascii="宋体" w:hAnsi="宋体"/>
          <w:color w:val="000000"/>
          <w:szCs w:val="21"/>
        </w:rPr>
      </w:pPr>
    </w:p>
    <w:p>
      <w:pPr>
        <w:spacing w:line="588" w:lineRule="exact"/>
        <w:ind w:firstLine="420" w:firstLineChars="200"/>
        <w:rPr>
          <w:rFonts w:ascii="宋体" w:hAnsi="宋体"/>
          <w:color w:val="000000"/>
          <w:szCs w:val="21"/>
        </w:rPr>
      </w:pPr>
    </w:p>
    <w:p>
      <w:pPr>
        <w:pStyle w:val="207"/>
        <w:jc w:val="center"/>
        <w:rPr>
          <w:rFonts w:hint="eastAsia"/>
          <w:i w:val="0"/>
          <w:sz w:val="21"/>
          <w:szCs w:val="21"/>
        </w:rPr>
      </w:pPr>
      <w:bookmarkStart w:id="76" w:name="_Toc25575"/>
      <w:bookmarkStart w:id="77" w:name="_Toc21070"/>
      <w:r>
        <w:rPr>
          <w:rFonts w:hint="eastAsia"/>
          <w:i w:val="0"/>
          <w:sz w:val="21"/>
          <w:szCs w:val="21"/>
        </w:rPr>
        <w:t>单位名称（盖章）：</w:t>
      </w:r>
      <w:bookmarkEnd w:id="76"/>
      <w:bookmarkEnd w:id="77"/>
    </w:p>
    <w:p>
      <w:pPr>
        <w:pStyle w:val="207"/>
        <w:jc w:val="center"/>
        <w:rPr>
          <w:i w:val="0"/>
          <w:sz w:val="21"/>
          <w:szCs w:val="21"/>
        </w:rPr>
      </w:pPr>
    </w:p>
    <w:p>
      <w:pPr>
        <w:pStyle w:val="207"/>
        <w:jc w:val="center"/>
      </w:pPr>
      <w:bookmarkStart w:id="78" w:name="_Toc23571"/>
      <w:bookmarkStart w:id="79" w:name="_Toc22766"/>
      <w:r>
        <w:rPr>
          <w:rFonts w:hint="eastAsia"/>
          <w:i w:val="0"/>
          <w:sz w:val="21"/>
          <w:szCs w:val="21"/>
        </w:rPr>
        <w:t>日</w:t>
      </w:r>
      <w:r>
        <w:rPr>
          <w:i w:val="0"/>
          <w:sz w:val="21"/>
          <w:szCs w:val="21"/>
        </w:rPr>
        <w:t xml:space="preserve">  </w:t>
      </w:r>
      <w:r>
        <w:rPr>
          <w:rFonts w:hint="eastAsia"/>
          <w:i w:val="0"/>
          <w:sz w:val="21"/>
          <w:szCs w:val="21"/>
        </w:rPr>
        <w:t>期：</w:t>
      </w:r>
      <w:bookmarkEnd w:id="78"/>
      <w:bookmarkEnd w:id="79"/>
    </w:p>
    <w:p>
      <w:pPr>
        <w:spacing w:line="400" w:lineRule="exact"/>
        <w:ind w:firstLine="422" w:firstLineChars="200"/>
        <w:rPr>
          <w:rFonts w:ascii="宋体" w:hAnsi="宋体"/>
          <w:b/>
          <w:color w:val="000000"/>
          <w:szCs w:val="21"/>
        </w:rPr>
      </w:pPr>
    </w:p>
    <w:p>
      <w:pPr>
        <w:spacing w:line="400" w:lineRule="exact"/>
        <w:ind w:firstLine="420" w:firstLineChars="200"/>
        <w:rPr>
          <w:rFonts w:ascii="宋体" w:hAnsi="宋体"/>
          <w:color w:val="000000"/>
          <w:szCs w:val="21"/>
        </w:rPr>
      </w:pPr>
      <w:r>
        <w:rPr>
          <w:rFonts w:hint="eastAsia" w:ascii="宋体" w:hAnsi="宋体"/>
          <w:color w:val="000000"/>
          <w:szCs w:val="21"/>
        </w:rPr>
        <w:t>注：</w:t>
      </w:r>
    </w:p>
    <w:p>
      <w:pPr>
        <w:spacing w:line="400" w:lineRule="exact"/>
        <w:ind w:firstLine="420" w:firstLineChars="200"/>
        <w:rPr>
          <w:rFonts w:ascii="宋体" w:hAnsi="宋体"/>
          <w:color w:val="000000"/>
          <w:szCs w:val="21"/>
        </w:rPr>
      </w:pPr>
      <w:r>
        <w:rPr>
          <w:rFonts w:hint="eastAsia" w:ascii="宋体" w:hAnsi="宋体"/>
          <w:color w:val="000000"/>
          <w:szCs w:val="21"/>
        </w:rPr>
        <w:t>享受政府采购支持政策的残疾人福利性单位应当同时满足以下条件：</w:t>
      </w:r>
    </w:p>
    <w:p>
      <w:pPr>
        <w:spacing w:line="400" w:lineRule="exact"/>
        <w:ind w:firstLine="420" w:firstLineChars="200"/>
        <w:rPr>
          <w:rFonts w:ascii="宋体" w:hAnsi="宋体"/>
          <w:color w:val="000000"/>
          <w:szCs w:val="21"/>
        </w:rPr>
      </w:pPr>
      <w:r>
        <w:rPr>
          <w:rFonts w:hint="eastAsia" w:ascii="宋体" w:hAnsi="宋体"/>
          <w:color w:val="000000"/>
          <w:szCs w:val="21"/>
        </w:rPr>
        <w:t>（一）安置的残疾人占本单位在职职工人数的比例不低于</w:t>
      </w:r>
      <w:r>
        <w:rPr>
          <w:rFonts w:ascii="宋体" w:hAnsi="宋体"/>
          <w:color w:val="000000"/>
          <w:szCs w:val="21"/>
        </w:rPr>
        <w:t>25%</w:t>
      </w:r>
      <w:r>
        <w:rPr>
          <w:rFonts w:hint="eastAsia" w:ascii="宋体" w:hAnsi="宋体"/>
          <w:color w:val="000000"/>
          <w:szCs w:val="21"/>
        </w:rPr>
        <w:t>（含</w:t>
      </w:r>
      <w:r>
        <w:rPr>
          <w:rFonts w:ascii="宋体" w:hAnsi="宋体"/>
          <w:color w:val="000000"/>
          <w:szCs w:val="21"/>
        </w:rPr>
        <w:t>25%</w:t>
      </w:r>
      <w:r>
        <w:rPr>
          <w:rFonts w:hint="eastAsia" w:ascii="宋体" w:hAnsi="宋体"/>
          <w:color w:val="000000"/>
          <w:szCs w:val="21"/>
        </w:rPr>
        <w:t>），并且安置的残疾人人数不少于</w:t>
      </w:r>
      <w:r>
        <w:rPr>
          <w:rFonts w:ascii="宋体" w:hAnsi="宋体"/>
          <w:color w:val="000000"/>
          <w:szCs w:val="21"/>
        </w:rPr>
        <w:t>10</w:t>
      </w:r>
      <w:r>
        <w:rPr>
          <w:rFonts w:hint="eastAsia" w:ascii="宋体" w:hAnsi="宋体"/>
          <w:color w:val="000000"/>
          <w:szCs w:val="21"/>
        </w:rPr>
        <w:t>人（含</w:t>
      </w:r>
      <w:r>
        <w:rPr>
          <w:rFonts w:ascii="宋体" w:hAnsi="宋体"/>
          <w:color w:val="000000"/>
          <w:szCs w:val="21"/>
        </w:rPr>
        <w:t>10</w:t>
      </w:r>
      <w:r>
        <w:rPr>
          <w:rFonts w:hint="eastAsia" w:ascii="宋体" w:hAnsi="宋体"/>
          <w:color w:val="000000"/>
          <w:szCs w:val="21"/>
        </w:rPr>
        <w:t>人）；</w:t>
      </w:r>
    </w:p>
    <w:p>
      <w:pPr>
        <w:spacing w:line="400" w:lineRule="exact"/>
        <w:ind w:firstLine="420" w:firstLineChars="200"/>
        <w:rPr>
          <w:rFonts w:ascii="宋体" w:hAnsi="宋体"/>
          <w:color w:val="000000"/>
          <w:szCs w:val="21"/>
        </w:rPr>
      </w:pPr>
      <w:r>
        <w:rPr>
          <w:rFonts w:hint="eastAsia" w:ascii="宋体" w:hAnsi="宋体"/>
          <w:color w:val="000000"/>
          <w:szCs w:val="21"/>
        </w:rPr>
        <w:t>（二）依法与安置的每位残疾人签订了一年以上（含一年）的劳动合同或服务协议；</w:t>
      </w:r>
    </w:p>
    <w:p>
      <w:pPr>
        <w:spacing w:line="400" w:lineRule="exact"/>
        <w:ind w:firstLine="420" w:firstLineChars="200"/>
        <w:rPr>
          <w:rFonts w:ascii="宋体" w:hAnsi="宋体"/>
          <w:color w:val="000000"/>
          <w:szCs w:val="21"/>
        </w:rPr>
      </w:pPr>
      <w:r>
        <w:rPr>
          <w:rFonts w:hint="eastAsia" w:ascii="宋体" w:hAnsi="宋体"/>
          <w:color w:val="000000"/>
          <w:szCs w:val="21"/>
        </w:rPr>
        <w:t>（三）为安置的每位残疾人按月足额缴纳了基本养老保险、基本医疗保险、失业保险、工伤保险和生育保险等社会保险费；</w:t>
      </w:r>
    </w:p>
    <w:p>
      <w:pPr>
        <w:spacing w:line="400" w:lineRule="exact"/>
        <w:ind w:firstLine="420" w:firstLineChars="200"/>
        <w:rPr>
          <w:rFonts w:ascii="宋体" w:hAnsi="宋体"/>
          <w:color w:val="000000"/>
          <w:szCs w:val="21"/>
        </w:rPr>
      </w:pPr>
      <w:r>
        <w:rPr>
          <w:rFonts w:hint="eastAsia" w:ascii="宋体" w:hAnsi="宋体"/>
          <w:color w:val="000000"/>
          <w:szCs w:val="21"/>
        </w:rPr>
        <w:t>（四）通过银行等金融机构向安置的每位残疾人，按月支付了不低于单位所在区县适用的经省级人民政府批准的月最低工资标准的工资；</w:t>
      </w:r>
    </w:p>
    <w:p>
      <w:pPr>
        <w:spacing w:line="400" w:lineRule="exact"/>
        <w:ind w:firstLine="420" w:firstLineChars="200"/>
        <w:rPr>
          <w:rFonts w:ascii="宋体" w:hAnsi="宋体"/>
          <w:color w:val="000000"/>
          <w:szCs w:val="21"/>
        </w:rPr>
      </w:pPr>
      <w:r>
        <w:rPr>
          <w:rFonts w:hint="eastAsia" w:ascii="宋体" w:hAnsi="宋体"/>
          <w:color w:val="000000"/>
          <w:szCs w:val="21"/>
        </w:rPr>
        <w:t>（五）提供本单位制造的货物、承担的工程或者服务（以下简称产品），或者提供其他残疾人福利性单位制造的货物（不包括使用非残疾人福利性单位注册商标的货物）。</w:t>
      </w:r>
    </w:p>
    <w:p>
      <w:pPr>
        <w:spacing w:line="400" w:lineRule="exact"/>
        <w:ind w:firstLine="420" w:firstLineChars="200"/>
        <w:rPr>
          <w:rFonts w:ascii="宋体" w:hAnsi="宋体"/>
          <w:color w:val="000000"/>
          <w:szCs w:val="21"/>
        </w:rPr>
      </w:pPr>
      <w:r>
        <w:rPr>
          <w:rFonts w:hint="eastAsia" w:ascii="宋体" w:hAnsi="宋体"/>
          <w:color w:val="000000"/>
          <w:szCs w:val="21"/>
        </w:rPr>
        <w:t>前款所称残疾人是指法定劳动年龄内，持有《中华人民共和国残疾人证》或者《中华人民共和国残疾军人证（</w:t>
      </w:r>
      <w:r>
        <w:rPr>
          <w:rFonts w:ascii="宋体" w:hAnsi="宋体"/>
          <w:color w:val="000000"/>
          <w:szCs w:val="21"/>
        </w:rPr>
        <w:t>1</w:t>
      </w:r>
      <w:r>
        <w:rPr>
          <w:rFonts w:hint="eastAsia" w:ascii="宋体" w:hAnsi="宋体"/>
          <w:color w:val="000000"/>
          <w:szCs w:val="21"/>
        </w:rPr>
        <w:t>至</w:t>
      </w:r>
      <w:r>
        <w:rPr>
          <w:rFonts w:ascii="宋体" w:hAnsi="宋体"/>
          <w:color w:val="000000"/>
          <w:szCs w:val="21"/>
        </w:rPr>
        <w:t>8</w:t>
      </w:r>
      <w:r>
        <w:rPr>
          <w:rFonts w:hint="eastAsia" w:ascii="宋体" w:hAnsi="宋体"/>
          <w:color w:val="000000"/>
          <w:szCs w:val="21"/>
        </w:rPr>
        <w:t>级）》的自然人，包括具有劳动条件和劳动意愿的精神残疾人。在职职工人数是指与残疾人福利性单位建立劳动关系并依法签订劳动合同或者服务协议的雇员人数。</w:t>
      </w:r>
    </w:p>
    <w:p>
      <w:pPr>
        <w:pStyle w:val="223"/>
        <w:ind w:firstLine="480"/>
      </w:pPr>
    </w:p>
    <w:p>
      <w:pPr>
        <w:pStyle w:val="223"/>
        <w:ind w:firstLine="0" w:firstLineChars="0"/>
        <w:jc w:val="center"/>
        <w:rPr>
          <w:rFonts w:ascii="宋体" w:hAnsi="宋体" w:eastAsia="宋体"/>
          <w:b/>
          <w:sz w:val="21"/>
          <w:szCs w:val="21"/>
        </w:rPr>
      </w:pPr>
      <w:r>
        <w:rPr>
          <w:rStyle w:val="114"/>
          <w:rFonts w:ascii="宋体" w:hAnsi="宋体"/>
          <w:color w:val="000000"/>
          <w:sz w:val="21"/>
          <w:szCs w:val="21"/>
        </w:rPr>
        <w:br w:type="page"/>
      </w:r>
      <w:bookmarkStart w:id="80" w:name="_Toc21541033"/>
      <w:r>
        <w:rPr>
          <w:rFonts w:ascii="宋体" w:hAnsi="宋体" w:eastAsia="宋体"/>
          <w:b/>
          <w:sz w:val="21"/>
          <w:szCs w:val="21"/>
        </w:rPr>
        <w:t>C</w:t>
      </w:r>
      <w:r>
        <w:rPr>
          <w:rFonts w:hint="eastAsia" w:ascii="宋体" w:hAnsi="宋体" w:eastAsia="宋体"/>
          <w:b/>
          <w:sz w:val="21"/>
          <w:szCs w:val="21"/>
        </w:rPr>
        <w:t>5 供应商认为需要的其他资料（如有需提供）</w:t>
      </w:r>
      <w:bookmarkEnd w:id="80"/>
    </w:p>
    <w:p>
      <w:pPr>
        <w:pStyle w:val="223"/>
        <w:ind w:firstLine="480"/>
      </w:pPr>
    </w:p>
    <w:p>
      <w:pPr>
        <w:pStyle w:val="207"/>
        <w:jc w:val="center"/>
        <w:rPr>
          <w:rFonts w:hint="eastAsia"/>
          <w:b/>
          <w:i w:val="0"/>
        </w:rPr>
      </w:pPr>
      <w:r>
        <w:rPr>
          <w:b/>
          <w:i w:val="0"/>
          <w:szCs w:val="21"/>
        </w:rPr>
        <w:br w:type="page"/>
      </w:r>
      <w:bookmarkStart w:id="81" w:name="_Toc18323"/>
      <w:bookmarkStart w:id="82" w:name="_Toc25802"/>
      <w:r>
        <w:rPr>
          <w:rFonts w:hint="eastAsia"/>
          <w:b/>
          <w:i w:val="0"/>
        </w:rPr>
        <w:t>舟山市政府采购信贷政策</w:t>
      </w:r>
      <w:bookmarkEnd w:id="81"/>
      <w:bookmarkEnd w:id="82"/>
    </w:p>
    <w:p>
      <w:pPr>
        <w:pStyle w:val="207"/>
        <w:jc w:val="center"/>
        <w:rPr>
          <w:rFonts w:hint="eastAsia" w:ascii="仿宋_GB2312" w:eastAsia="仿宋_GB2312"/>
          <w:b/>
          <w:i w:val="0"/>
          <w:sz w:val="28"/>
          <w:szCs w:val="28"/>
        </w:rPr>
      </w:pP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1、为有效破解当前中小微企业面临的“融资难、融资贵”困局，充分发挥好政府采购扶持小微企业发展的政策功能，属于舟山市内的各中小企业可凭政府采购项目中标通知书等材料向舟山市政府采购信用融资合作银行申请相关融资产品，有关的合作银行详见下表：</w:t>
      </w:r>
    </w:p>
    <w:tbl>
      <w:tblPr>
        <w:tblStyle w:val="44"/>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3"/>
        <w:gridCol w:w="3547"/>
        <w:gridCol w:w="155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7" w:type="dxa"/>
            <w:gridSpan w:val="4"/>
            <w:noWrap w:val="0"/>
            <w:vAlign w:val="top"/>
          </w:tcPr>
          <w:p>
            <w:pPr>
              <w:spacing w:line="360" w:lineRule="auto"/>
              <w:jc w:val="left"/>
              <w:rPr>
                <w:rFonts w:hint="eastAsia" w:ascii="宋体" w:hAnsi="宋体" w:cs="宋体"/>
                <w:color w:val="000000"/>
                <w:szCs w:val="21"/>
              </w:rPr>
            </w:pPr>
            <w:r>
              <w:rPr>
                <w:rFonts w:hint="eastAsia" w:ascii="宋体" w:hAnsi="宋体" w:cs="宋体"/>
                <w:color w:val="000000"/>
                <w:szCs w:val="21"/>
              </w:rPr>
              <w:t>舟山市政府采购信用融资合作银行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373" w:type="dxa"/>
            <w:noWrap w:val="0"/>
            <w:vAlign w:val="center"/>
          </w:tcPr>
          <w:p>
            <w:pPr>
              <w:pStyle w:val="223"/>
              <w:spacing w:line="360" w:lineRule="auto"/>
              <w:ind w:firstLine="0" w:firstLine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银行名称</w:t>
            </w:r>
          </w:p>
        </w:tc>
        <w:tc>
          <w:tcPr>
            <w:tcW w:w="3547" w:type="dxa"/>
            <w:noWrap w:val="0"/>
            <w:vAlign w:val="center"/>
          </w:tcPr>
          <w:p>
            <w:pPr>
              <w:pStyle w:val="223"/>
              <w:spacing w:line="360" w:lineRule="auto"/>
              <w:ind w:firstLine="0" w:firstLine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产品特点</w:t>
            </w:r>
          </w:p>
        </w:tc>
        <w:tc>
          <w:tcPr>
            <w:tcW w:w="1559" w:type="dxa"/>
            <w:noWrap w:val="0"/>
            <w:vAlign w:val="center"/>
          </w:tcPr>
          <w:p>
            <w:pPr>
              <w:pStyle w:val="223"/>
              <w:spacing w:line="360" w:lineRule="auto"/>
              <w:ind w:firstLine="0" w:firstLine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经办人</w:t>
            </w:r>
          </w:p>
        </w:tc>
        <w:tc>
          <w:tcPr>
            <w:tcW w:w="1418" w:type="dxa"/>
            <w:noWrap w:val="0"/>
            <w:vAlign w:val="center"/>
          </w:tcPr>
          <w:p>
            <w:pPr>
              <w:spacing w:line="360" w:lineRule="auto"/>
              <w:jc w:val="left"/>
              <w:rPr>
                <w:rFonts w:hint="eastAsia" w:ascii="宋体" w:hAnsi="宋体" w:cs="宋体"/>
                <w:color w:val="000000"/>
                <w:szCs w:val="21"/>
              </w:rPr>
            </w:pPr>
            <w:r>
              <w:rPr>
                <w:rFonts w:hint="eastAsia" w:ascii="宋体" w:hAnsi="宋体" w:cs="宋体"/>
                <w:color w:val="000000"/>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noWrap w:val="0"/>
            <w:vAlign w:val="top"/>
          </w:tcPr>
          <w:p>
            <w:pPr>
              <w:pStyle w:val="223"/>
              <w:spacing w:line="360" w:lineRule="auto"/>
              <w:ind w:firstLine="0" w:firstLine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中国工商银行股份有限公司舟山分行</w:t>
            </w:r>
          </w:p>
        </w:tc>
        <w:tc>
          <w:tcPr>
            <w:tcW w:w="3547" w:type="dxa"/>
            <w:noWrap w:val="0"/>
            <w:vAlign w:val="top"/>
          </w:tcPr>
          <w:p>
            <w:pPr>
              <w:spacing w:line="360" w:lineRule="auto"/>
              <w:jc w:val="left"/>
              <w:rPr>
                <w:rFonts w:hint="eastAsia" w:ascii="宋体" w:hAnsi="宋体" w:cs="宋体"/>
                <w:color w:val="000000"/>
                <w:szCs w:val="21"/>
              </w:rPr>
            </w:pPr>
            <w:r>
              <w:rPr>
                <w:rFonts w:hint="eastAsia" w:ascii="宋体" w:hAnsi="宋体" w:cs="宋体"/>
                <w:color w:val="000000"/>
                <w:szCs w:val="21"/>
              </w:rPr>
              <w:t>“采购贷”业务是指符合条件的中小企业供应商客户，在其取得政府采购合同后，以合同项下的预期销货款抵押为基础，为其提供的融资业务。融资额度根据政府采购合同实有金额（合同哦金额减去预收货款）及供应商资金需求确定，融资本息最高可达政府采购合同实有金额的100%。</w:t>
            </w:r>
          </w:p>
        </w:tc>
        <w:tc>
          <w:tcPr>
            <w:tcW w:w="1559" w:type="dxa"/>
            <w:noWrap w:val="0"/>
            <w:vAlign w:val="center"/>
          </w:tcPr>
          <w:p>
            <w:pPr>
              <w:pStyle w:val="223"/>
              <w:spacing w:line="360" w:lineRule="auto"/>
              <w:ind w:firstLine="0" w:firstLine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柳超颖</w:t>
            </w:r>
          </w:p>
        </w:tc>
        <w:tc>
          <w:tcPr>
            <w:tcW w:w="1418" w:type="dxa"/>
            <w:noWrap w:val="0"/>
            <w:vAlign w:val="center"/>
          </w:tcPr>
          <w:p>
            <w:pPr>
              <w:spacing w:line="360" w:lineRule="auto"/>
              <w:jc w:val="left"/>
              <w:rPr>
                <w:rFonts w:hint="eastAsia" w:ascii="宋体" w:hAnsi="宋体" w:cs="宋体"/>
                <w:color w:val="000000"/>
                <w:szCs w:val="21"/>
              </w:rPr>
            </w:pPr>
            <w:r>
              <w:rPr>
                <w:rFonts w:hint="eastAsia" w:ascii="宋体" w:hAnsi="宋体" w:cs="宋体"/>
                <w:color w:val="000000"/>
                <w:szCs w:val="21"/>
              </w:rPr>
              <w:t>15858076468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373" w:type="dxa"/>
            <w:noWrap w:val="0"/>
            <w:vAlign w:val="top"/>
          </w:tcPr>
          <w:p>
            <w:pPr>
              <w:spacing w:line="360" w:lineRule="auto"/>
              <w:jc w:val="left"/>
              <w:rPr>
                <w:rFonts w:hint="eastAsia" w:ascii="宋体" w:hAnsi="宋体" w:cs="宋体"/>
                <w:color w:val="000000"/>
                <w:szCs w:val="21"/>
              </w:rPr>
            </w:pPr>
            <w:r>
              <w:rPr>
                <w:rFonts w:hint="eastAsia" w:ascii="宋体" w:hAnsi="宋体" w:cs="宋体"/>
                <w:color w:val="000000"/>
                <w:szCs w:val="21"/>
              </w:rPr>
              <w:t>中国建设银行股份有限公司舟山分行</w:t>
            </w:r>
          </w:p>
        </w:tc>
        <w:tc>
          <w:tcPr>
            <w:tcW w:w="3547" w:type="dxa"/>
            <w:noWrap w:val="0"/>
            <w:vAlign w:val="top"/>
          </w:tcPr>
          <w:p>
            <w:pPr>
              <w:spacing w:line="360" w:lineRule="auto"/>
              <w:jc w:val="left"/>
              <w:rPr>
                <w:rFonts w:hint="eastAsia" w:ascii="宋体" w:hAnsi="宋体" w:cs="宋体"/>
                <w:color w:val="000000"/>
                <w:szCs w:val="21"/>
              </w:rPr>
            </w:pPr>
            <w:r>
              <w:rPr>
                <w:rFonts w:hint="eastAsia" w:ascii="宋体" w:hAnsi="宋体" w:cs="宋体"/>
                <w:color w:val="000000"/>
                <w:szCs w:val="21"/>
              </w:rPr>
              <w:t>1.快速便捷：全流程线上操作，通过浙江省政府采购网数据审核信用额度，建行供应链平台快速放款。2.申请额度高：单笔融资额度最高可达政府采购合同金额的90%，单户额度最高可达3000万。3.无需额外抵押：以浙江省政府采购网备案公示的政府采购合同进行融资，无需额外抵押担保。4.利率优惠：给予流动资金贷款最优惠利率。</w:t>
            </w:r>
          </w:p>
        </w:tc>
        <w:tc>
          <w:tcPr>
            <w:tcW w:w="1559" w:type="dxa"/>
            <w:noWrap w:val="0"/>
            <w:vAlign w:val="center"/>
          </w:tcPr>
          <w:p>
            <w:pPr>
              <w:spacing w:line="360" w:lineRule="auto"/>
              <w:jc w:val="left"/>
              <w:rPr>
                <w:rFonts w:hint="eastAsia" w:ascii="宋体" w:hAnsi="宋体" w:cs="宋体"/>
                <w:color w:val="000000"/>
                <w:szCs w:val="21"/>
              </w:rPr>
            </w:pPr>
            <w:r>
              <w:rPr>
                <w:rFonts w:hint="eastAsia" w:ascii="宋体" w:hAnsi="宋体" w:cs="宋体"/>
                <w:color w:val="000000"/>
                <w:szCs w:val="21"/>
              </w:rPr>
              <w:t>普陀片区：蔡妮妮</w:t>
            </w:r>
          </w:p>
          <w:p>
            <w:pPr>
              <w:spacing w:line="360" w:lineRule="auto"/>
              <w:jc w:val="left"/>
              <w:rPr>
                <w:rFonts w:hint="eastAsia" w:ascii="宋体" w:hAnsi="宋体" w:cs="宋体"/>
                <w:color w:val="000000"/>
                <w:szCs w:val="21"/>
              </w:rPr>
            </w:pPr>
            <w:r>
              <w:rPr>
                <w:rFonts w:hint="eastAsia" w:ascii="宋体" w:hAnsi="宋体" w:cs="宋体"/>
                <w:color w:val="000000"/>
                <w:szCs w:val="21"/>
              </w:rPr>
              <w:t>定海片区：杨莹</w:t>
            </w:r>
          </w:p>
          <w:p>
            <w:pPr>
              <w:spacing w:line="360" w:lineRule="auto"/>
              <w:jc w:val="left"/>
              <w:rPr>
                <w:rFonts w:hint="eastAsia" w:ascii="宋体" w:hAnsi="宋体" w:cs="宋体"/>
                <w:color w:val="000000"/>
                <w:szCs w:val="21"/>
              </w:rPr>
            </w:pPr>
            <w:r>
              <w:rPr>
                <w:rFonts w:hint="eastAsia" w:ascii="宋体" w:hAnsi="宋体" w:cs="宋体"/>
                <w:color w:val="000000"/>
                <w:szCs w:val="21"/>
              </w:rPr>
              <w:t>自贸区片区：郑佳奇</w:t>
            </w:r>
          </w:p>
        </w:tc>
        <w:tc>
          <w:tcPr>
            <w:tcW w:w="1418" w:type="dxa"/>
            <w:noWrap w:val="0"/>
            <w:vAlign w:val="center"/>
          </w:tcPr>
          <w:p>
            <w:pPr>
              <w:spacing w:line="360" w:lineRule="auto"/>
              <w:jc w:val="left"/>
              <w:rPr>
                <w:rFonts w:hint="eastAsia" w:ascii="宋体" w:hAnsi="宋体" w:cs="宋体"/>
                <w:color w:val="000000"/>
                <w:szCs w:val="21"/>
              </w:rPr>
            </w:pPr>
            <w:r>
              <w:rPr>
                <w:rFonts w:hint="eastAsia" w:ascii="宋体" w:hAnsi="宋体" w:cs="宋体"/>
                <w:color w:val="000000"/>
                <w:szCs w:val="21"/>
              </w:rPr>
              <w:t>普陀片区：13957201791</w:t>
            </w:r>
          </w:p>
          <w:p>
            <w:pPr>
              <w:spacing w:line="360" w:lineRule="auto"/>
              <w:jc w:val="left"/>
              <w:rPr>
                <w:rFonts w:hint="eastAsia" w:ascii="宋体" w:hAnsi="宋体" w:cs="宋体"/>
                <w:color w:val="000000"/>
                <w:szCs w:val="21"/>
              </w:rPr>
            </w:pPr>
            <w:r>
              <w:rPr>
                <w:rFonts w:hint="eastAsia" w:ascii="宋体" w:hAnsi="宋体" w:cs="宋体"/>
                <w:color w:val="000000"/>
                <w:szCs w:val="21"/>
              </w:rPr>
              <w:t>定海片区：13655803997</w:t>
            </w:r>
          </w:p>
          <w:p>
            <w:pPr>
              <w:spacing w:line="360" w:lineRule="auto"/>
              <w:jc w:val="left"/>
              <w:rPr>
                <w:rFonts w:hint="eastAsia" w:ascii="宋体" w:hAnsi="宋体" w:cs="宋体"/>
                <w:color w:val="000000"/>
                <w:szCs w:val="21"/>
              </w:rPr>
            </w:pPr>
            <w:r>
              <w:rPr>
                <w:rFonts w:hint="eastAsia" w:ascii="宋体" w:hAnsi="宋体" w:cs="宋体"/>
                <w:color w:val="000000"/>
                <w:szCs w:val="21"/>
              </w:rPr>
              <w:t>自贸区片区：13857208408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noWrap w:val="0"/>
            <w:vAlign w:val="top"/>
          </w:tcPr>
          <w:p>
            <w:pPr>
              <w:pStyle w:val="223"/>
              <w:spacing w:line="360" w:lineRule="auto"/>
              <w:ind w:firstLine="0" w:firstLine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杭州银行股份有限公司舟山市分行</w:t>
            </w:r>
          </w:p>
        </w:tc>
        <w:tc>
          <w:tcPr>
            <w:tcW w:w="3547" w:type="dxa"/>
            <w:noWrap w:val="0"/>
            <w:vAlign w:val="top"/>
          </w:tcPr>
          <w:p>
            <w:pPr>
              <w:spacing w:line="360" w:lineRule="auto"/>
              <w:jc w:val="left"/>
              <w:rPr>
                <w:rFonts w:hint="eastAsia" w:ascii="宋体" w:hAnsi="宋体" w:cs="宋体"/>
                <w:color w:val="000000"/>
                <w:szCs w:val="21"/>
              </w:rPr>
            </w:pPr>
            <w:r>
              <w:rPr>
                <w:rFonts w:hint="eastAsia" w:ascii="宋体" w:hAnsi="宋体" w:cs="宋体"/>
                <w:color w:val="000000"/>
                <w:szCs w:val="21"/>
              </w:rPr>
              <w:t>“云采贷”是杭州银行为政府采购供应商提供的纯信用贷款产品。客户申请、签约、放款全流程线上化，平台注册入库并取得采购合同即可申请，融资比例最高达采购订单的80%，单户、单笔最高可达3000万，最长期限一年。</w:t>
            </w:r>
          </w:p>
        </w:tc>
        <w:tc>
          <w:tcPr>
            <w:tcW w:w="1559" w:type="dxa"/>
            <w:noWrap w:val="0"/>
            <w:vAlign w:val="center"/>
          </w:tcPr>
          <w:p>
            <w:pPr>
              <w:spacing w:line="360" w:lineRule="auto"/>
              <w:jc w:val="left"/>
              <w:rPr>
                <w:rFonts w:hint="eastAsia" w:ascii="宋体" w:hAnsi="宋体" w:cs="宋体"/>
                <w:color w:val="000000"/>
                <w:szCs w:val="21"/>
              </w:rPr>
            </w:pPr>
            <w:r>
              <w:rPr>
                <w:rFonts w:hint="eastAsia" w:ascii="宋体" w:hAnsi="宋体" w:cs="宋体"/>
                <w:color w:val="000000"/>
                <w:szCs w:val="21"/>
              </w:rPr>
              <w:t>方经理</w:t>
            </w:r>
          </w:p>
        </w:tc>
        <w:tc>
          <w:tcPr>
            <w:tcW w:w="1418" w:type="dxa"/>
            <w:noWrap w:val="0"/>
            <w:vAlign w:val="center"/>
          </w:tcPr>
          <w:p>
            <w:pPr>
              <w:spacing w:line="360" w:lineRule="auto"/>
              <w:jc w:val="left"/>
              <w:rPr>
                <w:rFonts w:hint="eastAsia" w:ascii="宋体" w:hAnsi="宋体" w:cs="宋体"/>
                <w:color w:val="000000"/>
                <w:szCs w:val="21"/>
              </w:rPr>
            </w:pPr>
            <w:r>
              <w:rPr>
                <w:rFonts w:hint="eastAsia" w:ascii="宋体" w:hAnsi="宋体" w:cs="宋体"/>
                <w:color w:val="000000"/>
                <w:szCs w:val="21"/>
              </w:rPr>
              <w:t>0580-2185201、18205800451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noWrap w:val="0"/>
            <w:vAlign w:val="top"/>
          </w:tcPr>
          <w:p>
            <w:pPr>
              <w:pStyle w:val="223"/>
              <w:spacing w:line="360" w:lineRule="auto"/>
              <w:ind w:firstLine="0" w:firstLine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招商银行股份有限公司浙江自贸试验区舟山分行</w:t>
            </w:r>
          </w:p>
        </w:tc>
        <w:tc>
          <w:tcPr>
            <w:tcW w:w="3547" w:type="dxa"/>
            <w:noWrap w:val="0"/>
            <w:vAlign w:val="top"/>
          </w:tcPr>
          <w:p>
            <w:pPr>
              <w:spacing w:line="360" w:lineRule="auto"/>
              <w:jc w:val="left"/>
              <w:rPr>
                <w:rFonts w:hint="eastAsia" w:ascii="宋体" w:hAnsi="宋体" w:cs="宋体"/>
                <w:color w:val="000000"/>
                <w:szCs w:val="21"/>
              </w:rPr>
            </w:pPr>
            <w:r>
              <w:rPr>
                <w:rFonts w:hint="eastAsia" w:ascii="宋体" w:hAnsi="宋体" w:cs="宋体"/>
                <w:color w:val="000000"/>
                <w:szCs w:val="21"/>
              </w:rPr>
              <w:t>小企业政采贷是招商银行为政府采购中标供应商提供的用于履行政府采购合同的专属融资产品。优势：一、额度高。根据企业上一年或近一年获得政府采购中标及成交通知的一定比例给予额度，最高可达3000万元。二、操作简便、模式丰富。客户通过我行一网通等渠道在线申请。支持线上用款，按日计息，随借随还。三、担保方式灵活。实际控制人夫妇担保＋融资项下应收账款质押作为辅助，无需抵押，一次性签署合作协议。</w:t>
            </w:r>
          </w:p>
        </w:tc>
        <w:tc>
          <w:tcPr>
            <w:tcW w:w="1559" w:type="dxa"/>
            <w:noWrap w:val="0"/>
            <w:vAlign w:val="center"/>
          </w:tcPr>
          <w:p>
            <w:pPr>
              <w:spacing w:line="360" w:lineRule="auto"/>
              <w:jc w:val="left"/>
              <w:rPr>
                <w:rFonts w:hint="eastAsia" w:ascii="宋体" w:hAnsi="宋体" w:cs="宋体"/>
                <w:color w:val="000000"/>
                <w:szCs w:val="21"/>
              </w:rPr>
            </w:pPr>
            <w:r>
              <w:rPr>
                <w:rFonts w:hint="eastAsia" w:ascii="宋体" w:hAnsi="宋体" w:cs="宋体"/>
                <w:color w:val="000000"/>
                <w:szCs w:val="21"/>
              </w:rPr>
              <w:t>李玲</w:t>
            </w:r>
          </w:p>
        </w:tc>
        <w:tc>
          <w:tcPr>
            <w:tcW w:w="1418" w:type="dxa"/>
            <w:noWrap w:val="0"/>
            <w:vAlign w:val="center"/>
          </w:tcPr>
          <w:p>
            <w:pPr>
              <w:spacing w:line="360" w:lineRule="auto"/>
              <w:jc w:val="left"/>
              <w:rPr>
                <w:rFonts w:hint="eastAsia" w:ascii="宋体" w:hAnsi="宋体" w:cs="宋体"/>
                <w:color w:val="000000"/>
                <w:szCs w:val="21"/>
              </w:rPr>
            </w:pPr>
            <w:r>
              <w:rPr>
                <w:rFonts w:hint="eastAsia" w:ascii="宋体" w:hAnsi="宋体" w:cs="宋体"/>
                <w:color w:val="000000"/>
                <w:szCs w:val="21"/>
              </w:rPr>
              <w:t>0580-2061710、13957227971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2373" w:type="dxa"/>
            <w:noWrap w:val="0"/>
            <w:vAlign w:val="top"/>
          </w:tcPr>
          <w:p>
            <w:pPr>
              <w:pStyle w:val="223"/>
              <w:spacing w:line="360" w:lineRule="auto"/>
              <w:ind w:firstLine="0" w:firstLine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温州银行股份有限公司舟山市分行</w:t>
            </w:r>
          </w:p>
        </w:tc>
        <w:tc>
          <w:tcPr>
            <w:tcW w:w="3547" w:type="dxa"/>
            <w:noWrap w:val="0"/>
            <w:vAlign w:val="top"/>
          </w:tcPr>
          <w:p>
            <w:pPr>
              <w:spacing w:line="360" w:lineRule="auto"/>
              <w:jc w:val="left"/>
              <w:rPr>
                <w:rFonts w:hint="eastAsia" w:ascii="宋体" w:hAnsi="宋体" w:cs="宋体"/>
                <w:bCs/>
                <w:color w:val="000000"/>
                <w:szCs w:val="21"/>
              </w:rPr>
            </w:pPr>
            <w:r>
              <w:rPr>
                <w:rFonts w:hint="eastAsia" w:ascii="宋体" w:hAnsi="宋体" w:cs="宋体"/>
                <w:bCs/>
                <w:color w:val="000000"/>
                <w:szCs w:val="21"/>
              </w:rPr>
              <w:t>“政采订单贷”</w:t>
            </w:r>
            <w:r>
              <w:rPr>
                <w:rFonts w:hint="eastAsia" w:ascii="宋体" w:hAnsi="宋体" w:cs="宋体"/>
                <w:szCs w:val="21"/>
              </w:rPr>
              <w:t xml:space="preserve"> ：</w:t>
            </w:r>
            <w:r>
              <w:rPr>
                <w:rFonts w:hint="eastAsia" w:ascii="宋体" w:hAnsi="宋体" w:cs="宋体"/>
                <w:bCs/>
                <w:color w:val="000000"/>
                <w:szCs w:val="21"/>
              </w:rPr>
              <w:t>单户授信最高为500万，单笔申请最高可按中标金额0.8折，贷款期限最少三个月、最长一年，可通过政采云平台向本行发起政采订单贷业务申请</w:t>
            </w:r>
          </w:p>
        </w:tc>
        <w:tc>
          <w:tcPr>
            <w:tcW w:w="1559" w:type="dxa"/>
            <w:noWrap w:val="0"/>
            <w:vAlign w:val="center"/>
          </w:tcPr>
          <w:p>
            <w:pPr>
              <w:spacing w:line="360" w:lineRule="auto"/>
              <w:jc w:val="left"/>
              <w:rPr>
                <w:rFonts w:hint="eastAsia" w:ascii="宋体" w:hAnsi="宋体" w:cs="宋体"/>
                <w:color w:val="000000"/>
                <w:szCs w:val="21"/>
              </w:rPr>
            </w:pPr>
            <w:r>
              <w:rPr>
                <w:rFonts w:hint="eastAsia" w:ascii="宋体" w:hAnsi="宋体" w:cs="宋体"/>
                <w:color w:val="000000"/>
                <w:szCs w:val="21"/>
              </w:rPr>
              <w:t>郑贤栋</w:t>
            </w:r>
          </w:p>
        </w:tc>
        <w:tc>
          <w:tcPr>
            <w:tcW w:w="1418" w:type="dxa"/>
            <w:noWrap w:val="0"/>
            <w:vAlign w:val="center"/>
          </w:tcPr>
          <w:p>
            <w:pPr>
              <w:spacing w:line="360" w:lineRule="auto"/>
              <w:jc w:val="left"/>
              <w:rPr>
                <w:rFonts w:hint="eastAsia" w:ascii="宋体" w:hAnsi="宋体" w:cs="宋体"/>
                <w:color w:val="000000"/>
                <w:szCs w:val="21"/>
              </w:rPr>
            </w:pPr>
            <w:r>
              <w:rPr>
                <w:rFonts w:hint="eastAsia" w:ascii="宋体" w:hAnsi="宋体" w:cs="宋体"/>
                <w:color w:val="000000"/>
                <w:szCs w:val="21"/>
              </w:rPr>
              <w:t>0580—8866086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noWrap w:val="0"/>
            <w:vAlign w:val="top"/>
          </w:tcPr>
          <w:p>
            <w:pPr>
              <w:pStyle w:val="223"/>
              <w:spacing w:line="360" w:lineRule="auto"/>
              <w:ind w:firstLine="0" w:firstLine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交通银行股份有限公司舟山分行</w:t>
            </w:r>
          </w:p>
        </w:tc>
        <w:tc>
          <w:tcPr>
            <w:tcW w:w="3547" w:type="dxa"/>
            <w:noWrap w:val="0"/>
            <w:vAlign w:val="top"/>
          </w:tcPr>
          <w:p>
            <w:pPr>
              <w:autoSpaceDE w:val="0"/>
              <w:autoSpaceDN w:val="0"/>
              <w:adjustRightInd w:val="0"/>
              <w:spacing w:line="360" w:lineRule="auto"/>
              <w:jc w:val="left"/>
              <w:rPr>
                <w:rFonts w:hint="eastAsia" w:ascii="宋体" w:hAnsi="宋体" w:cs="宋体"/>
                <w:color w:val="000000"/>
                <w:szCs w:val="21"/>
              </w:rPr>
            </w:pPr>
            <w:r>
              <w:rPr>
                <w:rFonts w:hint="eastAsia" w:ascii="宋体" w:hAnsi="宋体" w:cs="宋体"/>
                <w:color w:val="000000"/>
                <w:szCs w:val="21"/>
              </w:rPr>
              <w:t>交通银行政采贷，最长期限1年，融资金额一般不超过1000万元，单笔提款金额最高至采购合同金额的70%。担保方式为信用（附加该笔业务项下未来应收账款质押、实际控制人及配偶个人保证），随借随还，利率最低至当期LPR。</w:t>
            </w:r>
          </w:p>
        </w:tc>
        <w:tc>
          <w:tcPr>
            <w:tcW w:w="1559" w:type="dxa"/>
            <w:noWrap w:val="0"/>
            <w:vAlign w:val="center"/>
          </w:tcPr>
          <w:p>
            <w:pPr>
              <w:spacing w:line="360" w:lineRule="auto"/>
              <w:jc w:val="left"/>
              <w:rPr>
                <w:rFonts w:hint="eastAsia" w:ascii="宋体" w:hAnsi="宋体" w:cs="宋体"/>
                <w:color w:val="000000"/>
                <w:szCs w:val="21"/>
              </w:rPr>
            </w:pPr>
            <w:r>
              <w:rPr>
                <w:rFonts w:hint="eastAsia" w:ascii="宋体" w:hAnsi="宋体" w:cs="宋体"/>
                <w:color w:val="000000"/>
                <w:szCs w:val="21"/>
              </w:rPr>
              <w:t>赵争艳</w:t>
            </w:r>
          </w:p>
        </w:tc>
        <w:tc>
          <w:tcPr>
            <w:tcW w:w="1418" w:type="dxa"/>
            <w:noWrap w:val="0"/>
            <w:vAlign w:val="center"/>
          </w:tcPr>
          <w:p>
            <w:pPr>
              <w:spacing w:line="360" w:lineRule="auto"/>
              <w:jc w:val="left"/>
              <w:rPr>
                <w:rFonts w:hint="eastAsia" w:ascii="宋体" w:hAnsi="宋体" w:cs="宋体"/>
                <w:color w:val="000000"/>
                <w:szCs w:val="21"/>
              </w:rPr>
            </w:pPr>
            <w:r>
              <w:rPr>
                <w:rFonts w:hint="eastAsia" w:ascii="宋体" w:hAnsi="宋体" w:cs="宋体"/>
                <w:color w:val="000000"/>
                <w:szCs w:val="21"/>
              </w:rPr>
              <w:t>0580-2260728,13758007280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373" w:type="dxa"/>
            <w:noWrap w:val="0"/>
            <w:vAlign w:val="top"/>
          </w:tcPr>
          <w:p>
            <w:pPr>
              <w:pStyle w:val="223"/>
              <w:spacing w:line="360" w:lineRule="auto"/>
              <w:ind w:firstLine="0" w:firstLine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中信银行股份有限公司舟山分行</w:t>
            </w:r>
          </w:p>
        </w:tc>
        <w:tc>
          <w:tcPr>
            <w:tcW w:w="3547" w:type="dxa"/>
            <w:noWrap w:val="0"/>
            <w:vAlign w:val="top"/>
          </w:tcPr>
          <w:p>
            <w:pPr>
              <w:spacing w:line="360" w:lineRule="auto"/>
              <w:jc w:val="left"/>
              <w:rPr>
                <w:rFonts w:hint="eastAsia" w:ascii="宋体" w:hAnsi="宋体" w:cs="宋体"/>
                <w:bCs/>
                <w:color w:val="000000"/>
                <w:szCs w:val="21"/>
              </w:rPr>
            </w:pPr>
            <w:r>
              <w:rPr>
                <w:rFonts w:hint="eastAsia" w:ascii="宋体" w:hAnsi="宋体" w:cs="宋体"/>
                <w:bCs/>
                <w:color w:val="000000"/>
                <w:szCs w:val="21"/>
              </w:rPr>
              <w:t>中信银行“政采e贷”产品特点：根据政府采购中标通知书或合同，以政府财政支付资金为主要还款来源，为中标小微企业提供流动资金贷款。产品实现预授信、贷款申请、应收账款质押、授信审批、自助提款等环节的线上化、自动化处理，操作便利，授信额度最高不超过1000万元，贷款期限最长1年，利率低。</w:t>
            </w:r>
          </w:p>
        </w:tc>
        <w:tc>
          <w:tcPr>
            <w:tcW w:w="1559" w:type="dxa"/>
            <w:noWrap w:val="0"/>
            <w:vAlign w:val="center"/>
          </w:tcPr>
          <w:p>
            <w:pPr>
              <w:spacing w:line="360" w:lineRule="auto"/>
              <w:jc w:val="left"/>
              <w:rPr>
                <w:rFonts w:hint="eastAsia" w:ascii="宋体" w:hAnsi="宋体" w:cs="宋体"/>
                <w:color w:val="000000"/>
                <w:szCs w:val="21"/>
              </w:rPr>
            </w:pPr>
            <w:r>
              <w:rPr>
                <w:rFonts w:hint="eastAsia" w:ascii="宋体" w:hAnsi="宋体" w:cs="宋体"/>
                <w:color w:val="000000"/>
                <w:szCs w:val="21"/>
              </w:rPr>
              <w:t>杨莉丹</w:t>
            </w:r>
          </w:p>
        </w:tc>
        <w:tc>
          <w:tcPr>
            <w:tcW w:w="1418" w:type="dxa"/>
            <w:noWrap w:val="0"/>
            <w:vAlign w:val="center"/>
          </w:tcPr>
          <w:p>
            <w:pPr>
              <w:spacing w:line="360" w:lineRule="auto"/>
              <w:jc w:val="left"/>
              <w:rPr>
                <w:rFonts w:hint="eastAsia" w:ascii="宋体" w:hAnsi="宋体" w:cs="宋体"/>
                <w:color w:val="000000"/>
                <w:szCs w:val="21"/>
              </w:rPr>
            </w:pPr>
            <w:r>
              <w:rPr>
                <w:rFonts w:hint="eastAsia" w:ascii="宋体" w:hAnsi="宋体" w:cs="宋体"/>
                <w:color w:val="000000"/>
                <w:szCs w:val="21"/>
              </w:rPr>
              <w:t>13905809681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373" w:type="dxa"/>
            <w:noWrap w:val="0"/>
            <w:vAlign w:val="top"/>
          </w:tcPr>
          <w:p>
            <w:pPr>
              <w:pStyle w:val="223"/>
              <w:spacing w:line="360" w:lineRule="auto"/>
              <w:ind w:firstLine="0" w:firstLine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泰隆银行舟山市分行</w:t>
            </w:r>
          </w:p>
        </w:tc>
        <w:tc>
          <w:tcPr>
            <w:tcW w:w="3547" w:type="dxa"/>
            <w:noWrap w:val="0"/>
            <w:vAlign w:val="top"/>
          </w:tcPr>
          <w:p>
            <w:pPr>
              <w:spacing w:line="360" w:lineRule="auto"/>
              <w:jc w:val="left"/>
              <w:rPr>
                <w:rFonts w:hint="eastAsia" w:ascii="宋体" w:hAnsi="宋体" w:cs="宋体"/>
                <w:bCs/>
                <w:color w:val="000000"/>
                <w:szCs w:val="21"/>
              </w:rPr>
            </w:pPr>
            <w:r>
              <w:rPr>
                <w:rFonts w:hint="eastAsia" w:ascii="宋体" w:hAnsi="宋体" w:cs="宋体"/>
                <w:bCs/>
                <w:color w:val="000000"/>
                <w:szCs w:val="21"/>
              </w:rPr>
              <w:t>符合我行基本准入，期限对照订单最长不超过1年，额度最高1000万，担保方式享受信用贷款执行，可由中标企业或其实际控制人出面申请，利率最低可至当期LPR ，对于合同期限确实超过一年的，可享受无还本续</w:t>
            </w:r>
          </w:p>
          <w:p>
            <w:pPr>
              <w:spacing w:line="360" w:lineRule="auto"/>
              <w:jc w:val="left"/>
              <w:rPr>
                <w:rFonts w:hint="eastAsia" w:ascii="宋体" w:hAnsi="宋体" w:cs="宋体"/>
                <w:bCs/>
                <w:color w:val="000000"/>
                <w:szCs w:val="21"/>
              </w:rPr>
            </w:pPr>
            <w:r>
              <w:rPr>
                <w:rFonts w:hint="eastAsia" w:ascii="宋体" w:hAnsi="宋体" w:cs="宋体"/>
                <w:bCs/>
                <w:color w:val="000000"/>
                <w:szCs w:val="21"/>
              </w:rPr>
              <w:t>贷至合同付款日。</w:t>
            </w:r>
          </w:p>
        </w:tc>
        <w:tc>
          <w:tcPr>
            <w:tcW w:w="1559" w:type="dxa"/>
            <w:noWrap w:val="0"/>
            <w:vAlign w:val="center"/>
          </w:tcPr>
          <w:p>
            <w:pPr>
              <w:spacing w:line="360" w:lineRule="auto"/>
              <w:jc w:val="left"/>
              <w:rPr>
                <w:rFonts w:hint="eastAsia" w:ascii="宋体" w:hAnsi="宋体" w:cs="宋体"/>
                <w:color w:val="000000"/>
                <w:szCs w:val="21"/>
              </w:rPr>
            </w:pPr>
            <w:r>
              <w:rPr>
                <w:rFonts w:hint="eastAsia" w:ascii="宋体" w:hAnsi="宋体" w:cs="宋体"/>
                <w:color w:val="000000"/>
                <w:szCs w:val="21"/>
              </w:rPr>
              <w:t>胡亢宇</w:t>
            </w:r>
          </w:p>
        </w:tc>
        <w:tc>
          <w:tcPr>
            <w:tcW w:w="1418" w:type="dxa"/>
            <w:noWrap w:val="0"/>
            <w:vAlign w:val="center"/>
          </w:tcPr>
          <w:p>
            <w:pPr>
              <w:spacing w:line="360" w:lineRule="auto"/>
              <w:jc w:val="left"/>
              <w:rPr>
                <w:rFonts w:hint="eastAsia" w:ascii="宋体" w:hAnsi="宋体" w:cs="宋体"/>
                <w:color w:val="000000"/>
                <w:szCs w:val="21"/>
              </w:rPr>
            </w:pPr>
            <w:r>
              <w:rPr>
                <w:rFonts w:hint="eastAsia" w:ascii="宋体" w:hAnsi="宋体" w:cs="宋体"/>
                <w:color w:val="000000"/>
                <w:szCs w:val="21"/>
              </w:rPr>
              <w:t>17605868703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373" w:type="dxa"/>
            <w:noWrap w:val="0"/>
            <w:vAlign w:val="top"/>
          </w:tcPr>
          <w:p>
            <w:pPr>
              <w:pStyle w:val="223"/>
              <w:spacing w:line="360" w:lineRule="auto"/>
              <w:ind w:firstLine="0" w:firstLine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中国农业银行股份有限公司舟山分行</w:t>
            </w:r>
          </w:p>
        </w:tc>
        <w:tc>
          <w:tcPr>
            <w:tcW w:w="3547" w:type="dxa"/>
            <w:noWrap w:val="0"/>
            <w:vAlign w:val="top"/>
          </w:tcPr>
          <w:p>
            <w:pPr>
              <w:spacing w:line="360" w:lineRule="auto"/>
              <w:jc w:val="left"/>
              <w:rPr>
                <w:rFonts w:hint="eastAsia" w:ascii="宋体" w:hAnsi="宋体" w:cs="宋体"/>
                <w:bCs/>
                <w:color w:val="000000"/>
                <w:szCs w:val="21"/>
              </w:rPr>
            </w:pPr>
            <w:r>
              <w:rPr>
                <w:rFonts w:hint="eastAsia" w:ascii="宋体" w:hAnsi="宋体" w:cs="宋体"/>
                <w:bCs/>
                <w:color w:val="000000"/>
                <w:szCs w:val="21"/>
              </w:rPr>
              <w:t>政采贷业务是指农业银行向政府采购中标供应商发放的，用于满足其采购货物、服务等资金需求，并以该政府采购合同项下预期销售收入为主要还款来源的中短期信用业务，适用对象为在政府采购中标的中小微企业。贷款额度原则上不超过政府采购合同实有金额的80%,单户借款额度不超过500万元。</w:t>
            </w:r>
          </w:p>
        </w:tc>
        <w:tc>
          <w:tcPr>
            <w:tcW w:w="1559" w:type="dxa"/>
            <w:noWrap w:val="0"/>
            <w:vAlign w:val="center"/>
          </w:tcPr>
          <w:p>
            <w:pPr>
              <w:spacing w:line="360" w:lineRule="auto"/>
              <w:jc w:val="left"/>
              <w:rPr>
                <w:rFonts w:hint="eastAsia" w:ascii="宋体" w:hAnsi="宋体" w:cs="宋体"/>
                <w:color w:val="000000"/>
                <w:szCs w:val="21"/>
              </w:rPr>
            </w:pPr>
            <w:r>
              <w:rPr>
                <w:rFonts w:hint="eastAsia" w:ascii="宋体" w:hAnsi="宋体" w:cs="宋体"/>
                <w:color w:val="000000"/>
                <w:szCs w:val="21"/>
              </w:rPr>
              <w:t>邵琼</w:t>
            </w:r>
          </w:p>
        </w:tc>
        <w:tc>
          <w:tcPr>
            <w:tcW w:w="1418" w:type="dxa"/>
            <w:noWrap w:val="0"/>
            <w:vAlign w:val="center"/>
          </w:tcPr>
          <w:p>
            <w:pPr>
              <w:spacing w:line="360" w:lineRule="auto"/>
              <w:jc w:val="left"/>
              <w:rPr>
                <w:rFonts w:hint="eastAsia" w:ascii="宋体" w:hAnsi="宋体" w:cs="宋体"/>
                <w:color w:val="000000"/>
                <w:szCs w:val="21"/>
              </w:rPr>
            </w:pPr>
            <w:r>
              <w:rPr>
                <w:rFonts w:hint="eastAsia" w:ascii="宋体" w:hAnsi="宋体" w:cs="宋体"/>
                <w:color w:val="000000"/>
                <w:szCs w:val="21"/>
              </w:rPr>
              <w:t>13587049595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373" w:type="dxa"/>
            <w:noWrap w:val="0"/>
            <w:vAlign w:val="top"/>
          </w:tcPr>
          <w:p>
            <w:pPr>
              <w:pStyle w:val="223"/>
              <w:spacing w:line="360" w:lineRule="auto"/>
              <w:ind w:firstLine="0" w:firstLine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中国邮政储蓄银行股份有限公司舟山市分行</w:t>
            </w:r>
          </w:p>
        </w:tc>
        <w:tc>
          <w:tcPr>
            <w:tcW w:w="3547" w:type="dxa"/>
            <w:noWrap w:val="0"/>
            <w:vAlign w:val="top"/>
          </w:tcPr>
          <w:p>
            <w:pPr>
              <w:spacing w:line="360" w:lineRule="auto"/>
              <w:jc w:val="left"/>
              <w:rPr>
                <w:rFonts w:hint="eastAsia" w:ascii="宋体" w:hAnsi="宋体" w:cs="宋体"/>
                <w:bCs/>
                <w:color w:val="000000"/>
                <w:szCs w:val="21"/>
              </w:rPr>
            </w:pPr>
            <w:r>
              <w:rPr>
                <w:rFonts w:hint="eastAsia" w:ascii="宋体" w:hAnsi="宋体" w:cs="宋体"/>
                <w:bCs/>
                <w:color w:val="000000"/>
                <w:szCs w:val="21"/>
              </w:rPr>
              <w:t>邮储银行“政采贷”产品指我行向在政府采购活动中中标的企业发放的，用于中标企业合法生产经营活动的短期流动资金贷款。融资模式根据融资行为所处采购合同的履行阶段确定，包括应收账款融资模式与采购合同融资模式。授信金额最高不超过500万元，期限最长不超过1年。</w:t>
            </w:r>
          </w:p>
        </w:tc>
        <w:tc>
          <w:tcPr>
            <w:tcW w:w="1559" w:type="dxa"/>
            <w:noWrap w:val="0"/>
            <w:vAlign w:val="center"/>
          </w:tcPr>
          <w:p>
            <w:pPr>
              <w:spacing w:line="360" w:lineRule="auto"/>
              <w:jc w:val="left"/>
              <w:rPr>
                <w:rFonts w:hint="eastAsia" w:ascii="宋体" w:hAnsi="宋体" w:cs="宋体"/>
                <w:color w:val="000000"/>
                <w:szCs w:val="21"/>
              </w:rPr>
            </w:pPr>
            <w:r>
              <w:rPr>
                <w:rFonts w:hint="eastAsia" w:ascii="宋体" w:hAnsi="宋体" w:cs="宋体"/>
                <w:color w:val="000000"/>
                <w:szCs w:val="21"/>
              </w:rPr>
              <w:t>曾超</w:t>
            </w:r>
          </w:p>
        </w:tc>
        <w:tc>
          <w:tcPr>
            <w:tcW w:w="1418" w:type="dxa"/>
            <w:noWrap w:val="0"/>
            <w:vAlign w:val="center"/>
          </w:tcPr>
          <w:p>
            <w:pPr>
              <w:spacing w:line="360" w:lineRule="auto"/>
              <w:jc w:val="left"/>
              <w:rPr>
                <w:rFonts w:hint="eastAsia" w:ascii="宋体" w:hAnsi="宋体" w:cs="宋体"/>
                <w:color w:val="000000"/>
                <w:szCs w:val="21"/>
              </w:rPr>
            </w:pPr>
            <w:r>
              <w:rPr>
                <w:rFonts w:hint="eastAsia" w:ascii="宋体" w:hAnsi="宋体" w:cs="宋体"/>
                <w:color w:val="000000"/>
                <w:szCs w:val="21"/>
              </w:rPr>
              <w:t>15924008387</w:t>
            </w:r>
          </w:p>
        </w:tc>
      </w:tr>
    </w:tbl>
    <w:p>
      <w:pPr>
        <w:spacing w:line="360" w:lineRule="auto"/>
        <w:ind w:firstLine="555"/>
        <w:jc w:val="left"/>
        <w:rPr>
          <w:rFonts w:hint="eastAsia" w:ascii="宋体" w:hAnsi="宋体" w:cs="宋体"/>
          <w:szCs w:val="21"/>
        </w:rPr>
      </w:pPr>
      <w:r>
        <w:rPr>
          <w:rFonts w:hint="eastAsia" w:ascii="宋体" w:hAnsi="宋体" w:cs="宋体"/>
          <w:szCs w:val="21"/>
        </w:rPr>
        <w:t>2、一般步骤</w:t>
      </w:r>
    </w:p>
    <w:p>
      <w:pPr>
        <w:spacing w:line="360" w:lineRule="auto"/>
        <w:ind w:firstLine="555"/>
        <w:jc w:val="left"/>
        <w:rPr>
          <w:rFonts w:hint="eastAsia" w:ascii="宋体" w:hAnsi="宋体" w:cs="宋体"/>
          <w:szCs w:val="21"/>
        </w:rPr>
      </w:pPr>
      <w:r>
        <w:rPr>
          <w:rFonts w:hint="eastAsia" w:ascii="宋体" w:hAnsi="宋体" w:cs="宋体"/>
          <w:szCs w:val="21"/>
        </w:rPr>
        <w:t>（1）供应商先与银行对接，办理融资前期手续；</w:t>
      </w:r>
    </w:p>
    <w:p>
      <w:pPr>
        <w:spacing w:line="360" w:lineRule="auto"/>
        <w:ind w:firstLine="555"/>
        <w:jc w:val="left"/>
        <w:rPr>
          <w:rFonts w:hint="eastAsia" w:ascii="宋体" w:hAnsi="宋体" w:cs="宋体"/>
          <w:szCs w:val="21"/>
        </w:rPr>
      </w:pPr>
      <w:r>
        <w:rPr>
          <w:rFonts w:hint="eastAsia" w:ascii="宋体" w:hAnsi="宋体" w:cs="宋体"/>
          <w:szCs w:val="21"/>
        </w:rPr>
        <w:t>（2）供应商中标后，凭中标通知书等材料，向相关合作银行发出融资申请；</w:t>
      </w:r>
    </w:p>
    <w:p>
      <w:pPr>
        <w:spacing w:line="360" w:lineRule="auto"/>
        <w:ind w:firstLine="555"/>
        <w:jc w:val="left"/>
        <w:rPr>
          <w:rFonts w:hint="eastAsia" w:ascii="宋体" w:hAnsi="宋体" w:cs="宋体"/>
          <w:szCs w:val="21"/>
        </w:rPr>
      </w:pPr>
      <w:r>
        <w:rPr>
          <w:rFonts w:hint="eastAsia" w:ascii="宋体" w:hAnsi="宋体" w:cs="宋体"/>
          <w:szCs w:val="21"/>
        </w:rPr>
        <w:t>（3）银行、供应商线下办理审批、放贷事宜。</w:t>
      </w:r>
    </w:p>
    <w:p>
      <w:pPr>
        <w:spacing w:line="360" w:lineRule="auto"/>
        <w:ind w:firstLine="555"/>
        <w:jc w:val="left"/>
        <w:rPr>
          <w:rFonts w:hint="eastAsia" w:ascii="宋体" w:hAnsi="宋体" w:cs="宋体"/>
          <w:szCs w:val="21"/>
        </w:rPr>
      </w:pPr>
      <w:r>
        <w:rPr>
          <w:rFonts w:hint="eastAsia" w:ascii="宋体" w:hAnsi="宋体" w:cs="宋体"/>
          <w:szCs w:val="21"/>
        </w:rPr>
        <w:t>3、注意事项</w:t>
      </w:r>
    </w:p>
    <w:p>
      <w:pPr>
        <w:spacing w:line="360" w:lineRule="auto"/>
        <w:ind w:firstLine="555"/>
        <w:jc w:val="left"/>
        <w:rPr>
          <w:rFonts w:hint="eastAsia" w:ascii="宋体" w:hAnsi="宋体" w:cs="宋体"/>
          <w:szCs w:val="21"/>
        </w:rPr>
      </w:pPr>
      <w:r>
        <w:rPr>
          <w:rFonts w:hint="eastAsia" w:ascii="宋体" w:hAnsi="宋体" w:cs="宋体"/>
          <w:szCs w:val="21"/>
        </w:rPr>
        <w:t>（1）中标供应商需确保政府采购合同的收款账户与融资银行开户账户一致。</w:t>
      </w:r>
    </w:p>
    <w:p>
      <w:pPr>
        <w:spacing w:line="360" w:lineRule="auto"/>
        <w:ind w:firstLine="555"/>
        <w:jc w:val="left"/>
        <w:rPr>
          <w:rFonts w:hint="eastAsia" w:ascii="宋体" w:hAnsi="宋体" w:cs="宋体"/>
          <w:szCs w:val="21"/>
        </w:rPr>
      </w:pPr>
      <w:r>
        <w:rPr>
          <w:rFonts w:hint="eastAsia" w:ascii="宋体" w:hAnsi="宋体" w:cs="宋体"/>
          <w:szCs w:val="21"/>
        </w:rPr>
        <w:t>（2）用于政府采购信用融资的政府采购合同，应当包含如下条款：“第   条：政府采购合同贷款</w:t>
      </w:r>
    </w:p>
    <w:p>
      <w:pPr>
        <w:spacing w:line="360" w:lineRule="auto"/>
        <w:ind w:firstLine="555"/>
        <w:jc w:val="left"/>
        <w:rPr>
          <w:rFonts w:hint="eastAsia" w:ascii="宋体" w:hAnsi="宋体" w:cs="宋体"/>
          <w:szCs w:val="21"/>
        </w:rPr>
      </w:pPr>
      <w:r>
        <w:rPr>
          <w:rFonts w:hint="eastAsia" w:ascii="宋体" w:hAnsi="宋体" w:cs="宋体"/>
          <w:szCs w:val="21"/>
        </w:rPr>
        <w:t>本合同同时用于乙方向      银行（金融机构）申请政府采购信用贷款。</w:t>
      </w:r>
    </w:p>
    <w:p>
      <w:pPr>
        <w:pStyle w:val="223"/>
        <w:ind w:firstLine="0" w:firstLineChars="0"/>
        <w:rPr>
          <w:rFonts w:hint="eastAsia" w:hAnsi="宋体"/>
          <w:color w:val="000000"/>
          <w:sz w:val="36"/>
          <w:szCs w:val="36"/>
        </w:rPr>
        <w:sectPr>
          <w:pgSz w:w="11907" w:h="16840"/>
          <w:pgMar w:top="1138" w:right="1588" w:bottom="1423" w:left="1339" w:header="285" w:footer="990" w:gutter="0"/>
          <w:cols w:space="720" w:num="1"/>
          <w:docGrid w:linePitch="285" w:charSpace="0"/>
        </w:sectPr>
      </w:pPr>
      <w:r>
        <w:rPr>
          <w:rFonts w:hint="eastAsia" w:ascii="宋体" w:hAnsi="宋体" w:eastAsia="宋体"/>
          <w:sz w:val="21"/>
          <w:szCs w:val="21"/>
        </w:rPr>
        <w:t>本合同一经签订，原则上不得更改乙方收款账户信息。确须更改的，乙方应取得原合同收款账户开户银行书面同意，否则修改后的合同不予备案，采购资金不予支付。</w:t>
      </w:r>
    </w:p>
    <w:p>
      <w:pPr>
        <w:pStyle w:val="207"/>
        <w:jc w:val="center"/>
        <w:rPr>
          <w:rFonts w:hint="eastAsia"/>
          <w:b/>
          <w:i w:val="0"/>
          <w:sz w:val="30"/>
          <w:szCs w:val="30"/>
        </w:rPr>
      </w:pPr>
      <w:bookmarkStart w:id="83" w:name="_Toc30636"/>
      <w:bookmarkStart w:id="84" w:name="_Toc14086"/>
      <w:r>
        <w:rPr>
          <w:rFonts w:hint="eastAsia"/>
          <w:b/>
          <w:i w:val="0"/>
          <w:sz w:val="30"/>
          <w:szCs w:val="30"/>
        </w:rPr>
        <w:t>中小企业划型标准规定（工信部联企业[2011]300号）</w:t>
      </w:r>
      <w:bookmarkEnd w:id="83"/>
      <w:bookmarkEnd w:id="84"/>
    </w:p>
    <w:p>
      <w:pPr>
        <w:pStyle w:val="25"/>
        <w:tabs>
          <w:tab w:val="left" w:pos="811"/>
        </w:tabs>
        <w:spacing w:line="360" w:lineRule="auto"/>
        <w:jc w:val="left"/>
        <w:rPr>
          <w:rFonts w:hint="eastAsia" w:hAnsi="宋体"/>
          <w:color w:val="000000"/>
          <w:sz w:val="36"/>
          <w:szCs w:val="36"/>
        </w:rPr>
      </w:pPr>
      <w:r>
        <w:drawing>
          <wp:inline distT="0" distB="0" distL="114300" distR="114300">
            <wp:extent cx="8907780" cy="5550535"/>
            <wp:effectExtent l="0" t="0" r="7620" b="120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8907780" cy="5550535"/>
                    </a:xfrm>
                    <a:prstGeom prst="rect">
                      <a:avLst/>
                    </a:prstGeom>
                    <a:noFill/>
                    <a:ln>
                      <a:noFill/>
                    </a:ln>
                  </pic:spPr>
                </pic:pic>
              </a:graphicData>
            </a:graphic>
          </wp:inline>
        </w:drawing>
      </w:r>
    </w:p>
    <w:sectPr>
      <w:pgSz w:w="16838" w:h="11906" w:orient="landscape"/>
      <w:pgMar w:top="526" w:right="1440" w:bottom="433" w:left="1440" w:header="737" w:footer="62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方正书宋简体">
    <w:altName w:val="宋体"/>
    <w:panose1 w:val="00000000000000000000"/>
    <w:charset w:val="86"/>
    <w:family w:val="auto"/>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Microsoft YaHei UI">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Arial Black">
    <w:panose1 w:val="020B0A04020102020204"/>
    <w:charset w:val="00"/>
    <w:family w:val="swiss"/>
    <w:pitch w:val="default"/>
    <w:sig w:usb0="A00002AF" w:usb1="400078FB" w:usb2="00000000" w:usb3="00000000" w:csb0="6000009F" w:csb1="DFD70000"/>
  </w:font>
  <w:font w:name="Univers">
    <w:altName w:val="Arial"/>
    <w:panose1 w:val="00000000000000000000"/>
    <w:charset w:val="00"/>
    <w:family w:val="swiss"/>
    <w:pitch w:val="default"/>
    <w:sig w:usb0="80000287" w:usb1="00000000" w:usb2="00000000" w:usb3="00000000" w:csb0="0000000F"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1" w:usb1="080E0000" w:usb2="00000000" w:usb3="00000000" w:csb0="00040000" w:csb1="00000000"/>
  </w:font>
  <w:font w:name="Times">
    <w:altName w:val="Times New Roman"/>
    <w:panose1 w:val="02020603050405020304"/>
    <w:charset w:val="00"/>
    <w:family w:val="roman"/>
    <w:pitch w:val="default"/>
    <w:sig w:usb0="E0002AFF" w:usb1="C0007841" w:usb2="00000009" w:usb3="00000000" w:csb0="0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8"/>
      </w:rPr>
    </w:pPr>
    <w:r>
      <w:fldChar w:fldCharType="begin"/>
    </w:r>
    <w:r>
      <w:rPr>
        <w:rStyle w:val="48"/>
      </w:rPr>
      <w:instrText xml:space="preserve">PAGE  </w:instrText>
    </w:r>
    <w:r>
      <w:fldChar w:fldCharType="end"/>
    </w:r>
  </w:p>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8"/>
                          </w:pPr>
                          <w:r>
                            <w:fldChar w:fldCharType="begin"/>
                          </w:r>
                          <w:r>
                            <w:instrText xml:space="preserve"> PAGE  \* MERGEFORMAT </w:instrText>
                          </w:r>
                          <w:r>
                            <w:fldChar w:fldCharType="separate"/>
                          </w:r>
                          <w:r>
                            <w:rPr>
                              <w:lang/>
                            </w:rPr>
                            <w:t>19</w:t>
                          </w:r>
                          <w:r>
                            <w:fldChar w:fldCharType="end"/>
                          </w:r>
                        </w:p>
                      </w:txbxContent>
                    </wps:txbx>
                    <wps:bodyPr wrap="none" lIns="0" tIns="0" rIns="0" bIns="0" upright="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5IYMgBAACZAwAADgAAAGRycy9lMm9Eb2MueG1srVPNjtMwEL4j7TtY vm+d7WFVoqYrULUrJARICw/gOnZjyX/yuE36AvAGnLhw57n6HIydpAvLZQ9cnPHM+Jv5vpms7wZr yFFG0N419GZRUSKd8K12+4Z++Xx/vaIEEnctN97Jhp4k0LvN1at1H2q59J03rYwEQRzUfWhol1Ko GQPRScth4YN0GFQ+Wp7wGvesjbxHdGvYsqpuWe9jG6IXEgC92zFIJ8T4EkCvlBZy68XBSpdG1CgN T0gJOh2Abkq3SkmRPioFMhHTUGSayolF0N7lk23WvN5HHjotphb4S1p4xsly7bDoBWrLEyeHqP+B slpED16lhfCWjUSKIsjipnqmzWPHgyxcUGoIF9Hh/8GKD8dPkei2oUtKHLc48PP3b+cfv84/v5LX WZ4+QI1ZjwHz0vDWD7g0sx/QmVkPKtr8RT4E4yju6SKuHBIR+dFquVpVGBIYmy+Iz56ehwjpQXpL stHQiNMrovLje0hj6pySqzl/r40pEzTuLwdiZg/LvY89ZisNu2EitPPtCfn0OPiGOtxzSsw7h7rm HZmNOBu72TiEqPddWaJcD8KbQ8ImSm+5wgg7FcaJFXbTduWV+PNesp7+qM1vUEsDBAoAAAAAAIdO 4kAAAAAAAAAAAAAAAAAGAAAAX3JlbHMvUEsDBBQAAAAIAIdO4kCKFGY80QAAAJQBAAALAAAAX3Jl bHMvLnJlbHOlkMFqwzAMhu+DvYPRfXGawxijTi+j0GvpHsDYimMaW0Yy2fr28w6DZfS2o36h7xP/ /vCZFrUiS6RsYNf1oDA78jEHA++X49MLKKk2e7tQRgM3FDiMjw/7My62tiOZYxHVKFkMzLWWV63F zZisdFQwt81EnGxtIwddrLvagHro+2fNvxkwbpjq5A3wyQ+gLrfSzH/YKTomoal2jpKmaYruHlUH tmWO7sg24Ru5RrMcsBrwLBoHalnXfgR9X7/7p97TRz7jutV+h4zrj1dvuhy/AFBLAwQUAAAACACH TuJAfublIPcAAADhAQAAEwAAAFtDb250ZW50X1R5cGVzXS54bWyVkUFOwzAQRfdI3MHyFiVOu0AI JemCtEtAqBxgZE8Si2RseUxob4+TthtEkVjaM/+/J7vcHMZBTBjYOqrkKi+kQNLOWOoq+b7fZQ9S cAQyMDjCSh6R5aa+vSn3R48sUpq4kn2M/lEp1j2OwLnzSGnSujBCTMfQKQ/6AzpU66K4V9pRRIpZ nDtkXTbYwucQxfaQrk8mAQeW4um0OLMqCd4PVkNMpmoi84OSnQl5Si473FvPd0lDql8J8+Q64Jx7 SU8TrEHxCiE+w5g0lAmsjPuigFP+d8lsOXLm2tZqzJvATYq94XSxutaOa9c4/d/y7ZK6dKvlg+pv UEsBAhQAFAAAAAgAh07iQH7m5SD3AAAA4QEAABMAAAAAAAAAAQAgAAAAMAQAAFtDb250ZW50X1R5 cGVzXS54bWxQSwECFAAKAAAAAACHTuJAAAAAAAAAAAAAAAAABgAAAAAAAAAAABAAAAASAwAAX3Jl bHMvUEsBAhQAFAAAAAgAh07iQIoUZjzRAAAAlAEAAAsAAAAAAAAAAQAgAAAANgMAAF9yZWxzLy5y ZWxzUEsBAhQACgAAAAAAh07iQAAAAAAAAAAAAAAAAAQAAAAAAAAAAAAQAAAAAAAAAGRycy9QSwEC FAAUAAAACACHTuJAzql5uc8AAAAFAQAADwAAAAAAAAABACAAAAAiAAAAZHJzL2Rvd25yZXYueG1s UEsBAhQAFAAAAAgAh07iQP/uSGDIAQAAmQMAAA4AAAAAAAAAAQAgAAAAHgEAAGRycy9lMm9Eb2Mu eG1sUEsFBgAAAAAGAAYAWQEAAFgFAAAAAA== ">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rPr>
                        <w:lang/>
                      </w:rPr>
                      <w:t>19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181E41"/>
    <w:multiLevelType w:val="multilevel"/>
    <w:tmpl w:val="01181E41"/>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37A77DE"/>
    <w:multiLevelType w:val="singleLevel"/>
    <w:tmpl w:val="337A77DE"/>
    <w:lvl w:ilvl="0" w:tentative="0">
      <w:start w:val="2"/>
      <w:numFmt w:val="decimal"/>
      <w:suff w:val="nothing"/>
      <w:lvlText w:val="%1、"/>
      <w:lvlJc w:val="left"/>
    </w:lvl>
  </w:abstractNum>
  <w:abstractNum w:abstractNumId="2">
    <w:nsid w:val="42F5DEAD"/>
    <w:multiLevelType w:val="singleLevel"/>
    <w:tmpl w:val="42F5DEAD"/>
    <w:lvl w:ilvl="0" w:tentative="0">
      <w:start w:val="1"/>
      <w:numFmt w:val="chineseCounting"/>
      <w:suff w:val="nothing"/>
      <w:lvlText w:val="%1、"/>
      <w:lvlJc w:val="left"/>
      <w:rPr>
        <w:rFonts w:hint="eastAsia"/>
      </w:rPr>
    </w:lvl>
  </w:abstractNum>
  <w:abstractNum w:abstractNumId="3">
    <w:nsid w:val="57A74C8F"/>
    <w:multiLevelType w:val="singleLevel"/>
    <w:tmpl w:val="57A74C8F"/>
    <w:lvl w:ilvl="0" w:tentative="0">
      <w:start w:val="1"/>
      <w:numFmt w:val="chineseCounting"/>
      <w:pStyle w:val="193"/>
      <w:suff w:val="nothing"/>
      <w:lvlText w:val="%1、"/>
      <w:lvlJc w:val="left"/>
      <w:rPr>
        <w:rFonts w:hint="eastAsia" w:cs="Times New Roman"/>
      </w:rPr>
    </w:lvl>
  </w:abstractNum>
  <w:abstractNum w:abstractNumId="4">
    <w:nsid w:val="593A3433"/>
    <w:multiLevelType w:val="multilevel"/>
    <w:tmpl w:val="593A3433"/>
    <w:lvl w:ilvl="0" w:tentative="0">
      <w:start w:val="1"/>
      <w:numFmt w:val="chineseCounting"/>
      <w:suff w:val="nothing"/>
      <w:lvlText w:val="%1、"/>
      <w:lvlJc w:val="left"/>
    </w:lvl>
    <w:lvl w:ilvl="1" w:tentative="0">
      <w:start w:val="1"/>
      <w:numFmt w:val="decimal"/>
      <w:suff w:val="nothing"/>
      <w:lvlText w:val="%2．"/>
      <w:lvlJc w:val="left"/>
    </w:lvl>
    <w:lvl w:ilvl="2" w:tentative="0">
      <w:start w:val="1"/>
      <w:numFmt w:val="decimal"/>
      <w:suff w:val="nothing"/>
      <w:lvlText w:val="（%3）"/>
      <w:lvlJc w:val="left"/>
    </w:lvl>
    <w:lvl w:ilvl="3" w:tentative="0">
      <w:start w:val="1"/>
      <w:numFmt w:val="decimalEnclosedCircleChinese"/>
      <w:suff w:val="nothing"/>
      <w:lvlText w:val="%4"/>
      <w:lvlJc w:val="left"/>
    </w:lvl>
    <w:lvl w:ilvl="4" w:tentative="0">
      <w:start w:val="1"/>
      <w:numFmt w:val="decimal"/>
      <w:pStyle w:val="247"/>
      <w:suff w:val="nothing"/>
      <w:lvlText w:val="%5）"/>
      <w:lvlJc w:val="left"/>
    </w:lvl>
    <w:lvl w:ilvl="5" w:tentative="0">
      <w:start w:val="1"/>
      <w:numFmt w:val="lowerLetter"/>
      <w:suff w:val="nothing"/>
      <w:lvlText w:val="%6．"/>
      <w:lvlJc w:val="left"/>
    </w:lvl>
    <w:lvl w:ilvl="6" w:tentative="0">
      <w:start w:val="1"/>
      <w:numFmt w:val="lowerLetter"/>
      <w:suff w:val="nothing"/>
      <w:lvlText w:val="%7）"/>
      <w:lvlJc w:val="left"/>
    </w:lvl>
    <w:lvl w:ilvl="7" w:tentative="0">
      <w:start w:val="1"/>
      <w:numFmt w:val="lowerRoman"/>
      <w:suff w:val="nothing"/>
      <w:lvlText w:val="%8．"/>
      <w:lvlJc w:val="left"/>
    </w:lvl>
    <w:lvl w:ilvl="8" w:tentative="0">
      <w:start w:val="1"/>
      <w:numFmt w:val="lowerRoman"/>
      <w:suff w:val="nothing"/>
      <w:lvlText w:val="%9）"/>
      <w:lvlJc w:val="left"/>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5"/>
  <w:hyphenationZone w:val="360"/>
  <w:drawingGridHorizontalSpacing w:val="105"/>
  <w:drawingGridVerticalSpacing w:val="285"/>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A82"/>
    <w:rsid w:val="00001E05"/>
    <w:rsid w:val="00002288"/>
    <w:rsid w:val="00002B25"/>
    <w:rsid w:val="00003757"/>
    <w:rsid w:val="0000377D"/>
    <w:rsid w:val="000037AD"/>
    <w:rsid w:val="0000380B"/>
    <w:rsid w:val="00003965"/>
    <w:rsid w:val="000039EB"/>
    <w:rsid w:val="00003D25"/>
    <w:rsid w:val="00003E11"/>
    <w:rsid w:val="00005AD2"/>
    <w:rsid w:val="000061C5"/>
    <w:rsid w:val="00006634"/>
    <w:rsid w:val="00007D74"/>
    <w:rsid w:val="00007FB4"/>
    <w:rsid w:val="00010E89"/>
    <w:rsid w:val="00011313"/>
    <w:rsid w:val="00012585"/>
    <w:rsid w:val="00013D65"/>
    <w:rsid w:val="0001464E"/>
    <w:rsid w:val="0001475D"/>
    <w:rsid w:val="00014763"/>
    <w:rsid w:val="000147A6"/>
    <w:rsid w:val="000147E2"/>
    <w:rsid w:val="000171FF"/>
    <w:rsid w:val="000212AE"/>
    <w:rsid w:val="000217E4"/>
    <w:rsid w:val="0002222D"/>
    <w:rsid w:val="00022DC6"/>
    <w:rsid w:val="00023D2D"/>
    <w:rsid w:val="00024548"/>
    <w:rsid w:val="0002570D"/>
    <w:rsid w:val="00026061"/>
    <w:rsid w:val="00026E22"/>
    <w:rsid w:val="0002795F"/>
    <w:rsid w:val="00030242"/>
    <w:rsid w:val="00032826"/>
    <w:rsid w:val="000328FE"/>
    <w:rsid w:val="000329E7"/>
    <w:rsid w:val="0003306F"/>
    <w:rsid w:val="00034204"/>
    <w:rsid w:val="000344B9"/>
    <w:rsid w:val="00035959"/>
    <w:rsid w:val="00036DDF"/>
    <w:rsid w:val="0003725C"/>
    <w:rsid w:val="000378FE"/>
    <w:rsid w:val="00037CE4"/>
    <w:rsid w:val="000414C4"/>
    <w:rsid w:val="00041A39"/>
    <w:rsid w:val="00041B3B"/>
    <w:rsid w:val="00042F42"/>
    <w:rsid w:val="00043099"/>
    <w:rsid w:val="00043143"/>
    <w:rsid w:val="00043490"/>
    <w:rsid w:val="00043715"/>
    <w:rsid w:val="000437D4"/>
    <w:rsid w:val="00044435"/>
    <w:rsid w:val="00045CE3"/>
    <w:rsid w:val="00046F89"/>
    <w:rsid w:val="00047990"/>
    <w:rsid w:val="00050357"/>
    <w:rsid w:val="000510EC"/>
    <w:rsid w:val="00051226"/>
    <w:rsid w:val="00052035"/>
    <w:rsid w:val="00052187"/>
    <w:rsid w:val="00053BAF"/>
    <w:rsid w:val="000546E4"/>
    <w:rsid w:val="00054AD8"/>
    <w:rsid w:val="00054D7E"/>
    <w:rsid w:val="00055A3D"/>
    <w:rsid w:val="000561C5"/>
    <w:rsid w:val="000564BB"/>
    <w:rsid w:val="00056B01"/>
    <w:rsid w:val="00056DC8"/>
    <w:rsid w:val="00056E86"/>
    <w:rsid w:val="00056F94"/>
    <w:rsid w:val="00057CDB"/>
    <w:rsid w:val="00057D5B"/>
    <w:rsid w:val="00060FB1"/>
    <w:rsid w:val="000613FD"/>
    <w:rsid w:val="000617D3"/>
    <w:rsid w:val="00061A87"/>
    <w:rsid w:val="00062B5F"/>
    <w:rsid w:val="00063327"/>
    <w:rsid w:val="00064121"/>
    <w:rsid w:val="00065622"/>
    <w:rsid w:val="000675B4"/>
    <w:rsid w:val="0007088F"/>
    <w:rsid w:val="0007129B"/>
    <w:rsid w:val="00071AB2"/>
    <w:rsid w:val="00071EA4"/>
    <w:rsid w:val="000724EF"/>
    <w:rsid w:val="000726A2"/>
    <w:rsid w:val="00074517"/>
    <w:rsid w:val="00074FCC"/>
    <w:rsid w:val="000766AD"/>
    <w:rsid w:val="00076EAC"/>
    <w:rsid w:val="000770AD"/>
    <w:rsid w:val="00077864"/>
    <w:rsid w:val="00077C69"/>
    <w:rsid w:val="00077F66"/>
    <w:rsid w:val="00077FAF"/>
    <w:rsid w:val="000816EB"/>
    <w:rsid w:val="00081DAC"/>
    <w:rsid w:val="0008275C"/>
    <w:rsid w:val="00082F66"/>
    <w:rsid w:val="00083B15"/>
    <w:rsid w:val="00083CA0"/>
    <w:rsid w:val="0008426D"/>
    <w:rsid w:val="000846B2"/>
    <w:rsid w:val="0008644B"/>
    <w:rsid w:val="000876CB"/>
    <w:rsid w:val="00087E79"/>
    <w:rsid w:val="0009066F"/>
    <w:rsid w:val="00090836"/>
    <w:rsid w:val="000912BA"/>
    <w:rsid w:val="00091A35"/>
    <w:rsid w:val="000941D6"/>
    <w:rsid w:val="000945F2"/>
    <w:rsid w:val="0009602A"/>
    <w:rsid w:val="00096587"/>
    <w:rsid w:val="00096C6C"/>
    <w:rsid w:val="000A01C4"/>
    <w:rsid w:val="000A0A04"/>
    <w:rsid w:val="000A2586"/>
    <w:rsid w:val="000A387A"/>
    <w:rsid w:val="000A3CD8"/>
    <w:rsid w:val="000A5C01"/>
    <w:rsid w:val="000B1619"/>
    <w:rsid w:val="000B1B5F"/>
    <w:rsid w:val="000B2117"/>
    <w:rsid w:val="000B438A"/>
    <w:rsid w:val="000B494B"/>
    <w:rsid w:val="000B4B81"/>
    <w:rsid w:val="000B53C9"/>
    <w:rsid w:val="000B5D68"/>
    <w:rsid w:val="000B6717"/>
    <w:rsid w:val="000B6FDB"/>
    <w:rsid w:val="000B7341"/>
    <w:rsid w:val="000B7791"/>
    <w:rsid w:val="000C07E7"/>
    <w:rsid w:val="000C0B40"/>
    <w:rsid w:val="000C1770"/>
    <w:rsid w:val="000C1A07"/>
    <w:rsid w:val="000C1EB3"/>
    <w:rsid w:val="000C27D4"/>
    <w:rsid w:val="000C28B3"/>
    <w:rsid w:val="000C29B6"/>
    <w:rsid w:val="000C30FE"/>
    <w:rsid w:val="000C3200"/>
    <w:rsid w:val="000C3334"/>
    <w:rsid w:val="000C3E16"/>
    <w:rsid w:val="000C509A"/>
    <w:rsid w:val="000C596C"/>
    <w:rsid w:val="000C59C2"/>
    <w:rsid w:val="000C5D80"/>
    <w:rsid w:val="000C7792"/>
    <w:rsid w:val="000D24F3"/>
    <w:rsid w:val="000D2D36"/>
    <w:rsid w:val="000D5612"/>
    <w:rsid w:val="000D5E11"/>
    <w:rsid w:val="000D5F1A"/>
    <w:rsid w:val="000D766C"/>
    <w:rsid w:val="000D7EB0"/>
    <w:rsid w:val="000E07CB"/>
    <w:rsid w:val="000E16EE"/>
    <w:rsid w:val="000E1D05"/>
    <w:rsid w:val="000E2E16"/>
    <w:rsid w:val="000E2FFC"/>
    <w:rsid w:val="000E3656"/>
    <w:rsid w:val="000E3836"/>
    <w:rsid w:val="000E3906"/>
    <w:rsid w:val="000E4D1F"/>
    <w:rsid w:val="000E75B6"/>
    <w:rsid w:val="000E77CE"/>
    <w:rsid w:val="000E7D4D"/>
    <w:rsid w:val="000E7F64"/>
    <w:rsid w:val="000F03E6"/>
    <w:rsid w:val="000F0F1E"/>
    <w:rsid w:val="000F22BF"/>
    <w:rsid w:val="000F3E53"/>
    <w:rsid w:val="000F45CA"/>
    <w:rsid w:val="000F52F1"/>
    <w:rsid w:val="000F5C44"/>
    <w:rsid w:val="000F5E59"/>
    <w:rsid w:val="000F6493"/>
    <w:rsid w:val="000F6CBF"/>
    <w:rsid w:val="000F76B2"/>
    <w:rsid w:val="000F7B7C"/>
    <w:rsid w:val="00102A0A"/>
    <w:rsid w:val="00104EC3"/>
    <w:rsid w:val="00106100"/>
    <w:rsid w:val="001062FF"/>
    <w:rsid w:val="00106308"/>
    <w:rsid w:val="001069AE"/>
    <w:rsid w:val="00110480"/>
    <w:rsid w:val="00110FE8"/>
    <w:rsid w:val="00113033"/>
    <w:rsid w:val="00113780"/>
    <w:rsid w:val="0011397C"/>
    <w:rsid w:val="00114DED"/>
    <w:rsid w:val="0011637E"/>
    <w:rsid w:val="001178EF"/>
    <w:rsid w:val="00117BF7"/>
    <w:rsid w:val="00117C5C"/>
    <w:rsid w:val="00121861"/>
    <w:rsid w:val="00123213"/>
    <w:rsid w:val="00123825"/>
    <w:rsid w:val="00123E67"/>
    <w:rsid w:val="00124275"/>
    <w:rsid w:val="0012455A"/>
    <w:rsid w:val="00124569"/>
    <w:rsid w:val="00124ADC"/>
    <w:rsid w:val="00124F2B"/>
    <w:rsid w:val="00125836"/>
    <w:rsid w:val="00125DA2"/>
    <w:rsid w:val="00125DFE"/>
    <w:rsid w:val="00126A2B"/>
    <w:rsid w:val="00130106"/>
    <w:rsid w:val="001305AF"/>
    <w:rsid w:val="001310CF"/>
    <w:rsid w:val="0013128B"/>
    <w:rsid w:val="00131EEB"/>
    <w:rsid w:val="0013209A"/>
    <w:rsid w:val="001321AC"/>
    <w:rsid w:val="00133AAC"/>
    <w:rsid w:val="00133F6B"/>
    <w:rsid w:val="0013482F"/>
    <w:rsid w:val="001349C8"/>
    <w:rsid w:val="00135170"/>
    <w:rsid w:val="001352F5"/>
    <w:rsid w:val="001358BE"/>
    <w:rsid w:val="00135D87"/>
    <w:rsid w:val="00137482"/>
    <w:rsid w:val="00137933"/>
    <w:rsid w:val="00137A9B"/>
    <w:rsid w:val="001412B3"/>
    <w:rsid w:val="00141A3D"/>
    <w:rsid w:val="00141DA4"/>
    <w:rsid w:val="0014220A"/>
    <w:rsid w:val="00143987"/>
    <w:rsid w:val="0014422D"/>
    <w:rsid w:val="00145AE6"/>
    <w:rsid w:val="0014627F"/>
    <w:rsid w:val="0014669B"/>
    <w:rsid w:val="0014709C"/>
    <w:rsid w:val="001474EC"/>
    <w:rsid w:val="0015014F"/>
    <w:rsid w:val="001511A8"/>
    <w:rsid w:val="001515A3"/>
    <w:rsid w:val="001519BD"/>
    <w:rsid w:val="0015242E"/>
    <w:rsid w:val="00152A25"/>
    <w:rsid w:val="00152D09"/>
    <w:rsid w:val="00152D4C"/>
    <w:rsid w:val="0015323D"/>
    <w:rsid w:val="00153474"/>
    <w:rsid w:val="00155DD1"/>
    <w:rsid w:val="0015656F"/>
    <w:rsid w:val="00156C3E"/>
    <w:rsid w:val="00157814"/>
    <w:rsid w:val="00157AC5"/>
    <w:rsid w:val="00160AEE"/>
    <w:rsid w:val="001611B9"/>
    <w:rsid w:val="0016197A"/>
    <w:rsid w:val="00161C4F"/>
    <w:rsid w:val="00162216"/>
    <w:rsid w:val="00162340"/>
    <w:rsid w:val="00162D8C"/>
    <w:rsid w:val="001635BE"/>
    <w:rsid w:val="00164368"/>
    <w:rsid w:val="0016437F"/>
    <w:rsid w:val="001645A9"/>
    <w:rsid w:val="00164BD5"/>
    <w:rsid w:val="00165710"/>
    <w:rsid w:val="001657E4"/>
    <w:rsid w:val="001659BA"/>
    <w:rsid w:val="00165F65"/>
    <w:rsid w:val="001660EB"/>
    <w:rsid w:val="00166503"/>
    <w:rsid w:val="001677F0"/>
    <w:rsid w:val="00170FC3"/>
    <w:rsid w:val="0017189E"/>
    <w:rsid w:val="00171CC9"/>
    <w:rsid w:val="001725AF"/>
    <w:rsid w:val="001728DE"/>
    <w:rsid w:val="00172AFB"/>
    <w:rsid w:val="00172D38"/>
    <w:rsid w:val="00172D6A"/>
    <w:rsid w:val="00172F64"/>
    <w:rsid w:val="00173821"/>
    <w:rsid w:val="00173A5D"/>
    <w:rsid w:val="00173E29"/>
    <w:rsid w:val="00174277"/>
    <w:rsid w:val="00174EFC"/>
    <w:rsid w:val="0017524D"/>
    <w:rsid w:val="00175A54"/>
    <w:rsid w:val="00175F46"/>
    <w:rsid w:val="00176341"/>
    <w:rsid w:val="00176CA5"/>
    <w:rsid w:val="00176F31"/>
    <w:rsid w:val="001811AB"/>
    <w:rsid w:val="00181422"/>
    <w:rsid w:val="00181450"/>
    <w:rsid w:val="00181697"/>
    <w:rsid w:val="001819B0"/>
    <w:rsid w:val="00181B60"/>
    <w:rsid w:val="00181D25"/>
    <w:rsid w:val="00182B02"/>
    <w:rsid w:val="00182BB0"/>
    <w:rsid w:val="0018342B"/>
    <w:rsid w:val="001837F7"/>
    <w:rsid w:val="00183839"/>
    <w:rsid w:val="001843A4"/>
    <w:rsid w:val="00184CCA"/>
    <w:rsid w:val="00184DDF"/>
    <w:rsid w:val="0018503F"/>
    <w:rsid w:val="001854F3"/>
    <w:rsid w:val="001854FC"/>
    <w:rsid w:val="00185801"/>
    <w:rsid w:val="0018608B"/>
    <w:rsid w:val="0018614A"/>
    <w:rsid w:val="001868CB"/>
    <w:rsid w:val="00186DA3"/>
    <w:rsid w:val="00187636"/>
    <w:rsid w:val="00187B3F"/>
    <w:rsid w:val="00192116"/>
    <w:rsid w:val="001945DD"/>
    <w:rsid w:val="00194FA2"/>
    <w:rsid w:val="0019657D"/>
    <w:rsid w:val="001967E0"/>
    <w:rsid w:val="00196C38"/>
    <w:rsid w:val="00196ED8"/>
    <w:rsid w:val="0019734D"/>
    <w:rsid w:val="001A2482"/>
    <w:rsid w:val="001A263B"/>
    <w:rsid w:val="001A2952"/>
    <w:rsid w:val="001A2E73"/>
    <w:rsid w:val="001A3122"/>
    <w:rsid w:val="001A3306"/>
    <w:rsid w:val="001A3428"/>
    <w:rsid w:val="001A34EA"/>
    <w:rsid w:val="001A4112"/>
    <w:rsid w:val="001A4B78"/>
    <w:rsid w:val="001A6DE5"/>
    <w:rsid w:val="001A6EF8"/>
    <w:rsid w:val="001A71F6"/>
    <w:rsid w:val="001A7B64"/>
    <w:rsid w:val="001B0193"/>
    <w:rsid w:val="001B2042"/>
    <w:rsid w:val="001B20C1"/>
    <w:rsid w:val="001B21AC"/>
    <w:rsid w:val="001B2E12"/>
    <w:rsid w:val="001B4088"/>
    <w:rsid w:val="001B4173"/>
    <w:rsid w:val="001B41E6"/>
    <w:rsid w:val="001B4B13"/>
    <w:rsid w:val="001B543E"/>
    <w:rsid w:val="001B5E56"/>
    <w:rsid w:val="001B615B"/>
    <w:rsid w:val="001B6C9B"/>
    <w:rsid w:val="001B6EE2"/>
    <w:rsid w:val="001B7E08"/>
    <w:rsid w:val="001C0372"/>
    <w:rsid w:val="001C040D"/>
    <w:rsid w:val="001C0919"/>
    <w:rsid w:val="001C0D00"/>
    <w:rsid w:val="001C1322"/>
    <w:rsid w:val="001C1364"/>
    <w:rsid w:val="001C2294"/>
    <w:rsid w:val="001C27EC"/>
    <w:rsid w:val="001C3086"/>
    <w:rsid w:val="001C3F9C"/>
    <w:rsid w:val="001C4A57"/>
    <w:rsid w:val="001C4FDF"/>
    <w:rsid w:val="001C520B"/>
    <w:rsid w:val="001C5777"/>
    <w:rsid w:val="001C5E59"/>
    <w:rsid w:val="001C66C4"/>
    <w:rsid w:val="001C711E"/>
    <w:rsid w:val="001C7864"/>
    <w:rsid w:val="001C7BA9"/>
    <w:rsid w:val="001D0098"/>
    <w:rsid w:val="001D00EE"/>
    <w:rsid w:val="001D0795"/>
    <w:rsid w:val="001D08E4"/>
    <w:rsid w:val="001D17B4"/>
    <w:rsid w:val="001D26E1"/>
    <w:rsid w:val="001D2D73"/>
    <w:rsid w:val="001D4289"/>
    <w:rsid w:val="001D501E"/>
    <w:rsid w:val="001D50A0"/>
    <w:rsid w:val="001D523E"/>
    <w:rsid w:val="001D65EA"/>
    <w:rsid w:val="001D6DA4"/>
    <w:rsid w:val="001D7120"/>
    <w:rsid w:val="001D7557"/>
    <w:rsid w:val="001D799D"/>
    <w:rsid w:val="001D79FA"/>
    <w:rsid w:val="001E00DC"/>
    <w:rsid w:val="001E1055"/>
    <w:rsid w:val="001E198B"/>
    <w:rsid w:val="001E383A"/>
    <w:rsid w:val="001E47D7"/>
    <w:rsid w:val="001E4B3F"/>
    <w:rsid w:val="001E4B42"/>
    <w:rsid w:val="001E5B5D"/>
    <w:rsid w:val="001E6DA3"/>
    <w:rsid w:val="001E7BBF"/>
    <w:rsid w:val="001E7BC3"/>
    <w:rsid w:val="001F0428"/>
    <w:rsid w:val="001F1090"/>
    <w:rsid w:val="001F17B7"/>
    <w:rsid w:val="001F183C"/>
    <w:rsid w:val="001F216C"/>
    <w:rsid w:val="001F2619"/>
    <w:rsid w:val="001F261C"/>
    <w:rsid w:val="001F3379"/>
    <w:rsid w:val="001F3C7A"/>
    <w:rsid w:val="001F3FD4"/>
    <w:rsid w:val="001F41D3"/>
    <w:rsid w:val="001F44E5"/>
    <w:rsid w:val="001F5D5D"/>
    <w:rsid w:val="001F6042"/>
    <w:rsid w:val="001F708B"/>
    <w:rsid w:val="00201011"/>
    <w:rsid w:val="0020120B"/>
    <w:rsid w:val="00201610"/>
    <w:rsid w:val="0020244F"/>
    <w:rsid w:val="00203959"/>
    <w:rsid w:val="00204CB4"/>
    <w:rsid w:val="00205CA2"/>
    <w:rsid w:val="002069A1"/>
    <w:rsid w:val="00207AD7"/>
    <w:rsid w:val="00207B01"/>
    <w:rsid w:val="00210108"/>
    <w:rsid w:val="002110F1"/>
    <w:rsid w:val="002113AD"/>
    <w:rsid w:val="00211625"/>
    <w:rsid w:val="00211AFC"/>
    <w:rsid w:val="00211FB8"/>
    <w:rsid w:val="00212BC1"/>
    <w:rsid w:val="0021517E"/>
    <w:rsid w:val="00215858"/>
    <w:rsid w:val="00216684"/>
    <w:rsid w:val="00216ACC"/>
    <w:rsid w:val="00217322"/>
    <w:rsid w:val="00217D31"/>
    <w:rsid w:val="002212F0"/>
    <w:rsid w:val="00222606"/>
    <w:rsid w:val="00222719"/>
    <w:rsid w:val="00222769"/>
    <w:rsid w:val="002234A0"/>
    <w:rsid w:val="00223D32"/>
    <w:rsid w:val="00224483"/>
    <w:rsid w:val="00224993"/>
    <w:rsid w:val="00225714"/>
    <w:rsid w:val="00227126"/>
    <w:rsid w:val="0022733D"/>
    <w:rsid w:val="002305FF"/>
    <w:rsid w:val="00230F5B"/>
    <w:rsid w:val="00231710"/>
    <w:rsid w:val="00231B56"/>
    <w:rsid w:val="002327D0"/>
    <w:rsid w:val="002329AA"/>
    <w:rsid w:val="00233995"/>
    <w:rsid w:val="00234379"/>
    <w:rsid w:val="002347FB"/>
    <w:rsid w:val="00235203"/>
    <w:rsid w:val="00235635"/>
    <w:rsid w:val="00235EBA"/>
    <w:rsid w:val="002361D9"/>
    <w:rsid w:val="002364FF"/>
    <w:rsid w:val="0023679F"/>
    <w:rsid w:val="00237752"/>
    <w:rsid w:val="00237F21"/>
    <w:rsid w:val="002430F9"/>
    <w:rsid w:val="00243185"/>
    <w:rsid w:val="00243560"/>
    <w:rsid w:val="00243AF1"/>
    <w:rsid w:val="00244AF8"/>
    <w:rsid w:val="00244EA9"/>
    <w:rsid w:val="0024539B"/>
    <w:rsid w:val="00246E6A"/>
    <w:rsid w:val="00247521"/>
    <w:rsid w:val="00247835"/>
    <w:rsid w:val="002506A1"/>
    <w:rsid w:val="00250C28"/>
    <w:rsid w:val="0025122B"/>
    <w:rsid w:val="002521E4"/>
    <w:rsid w:val="002529CD"/>
    <w:rsid w:val="00252A15"/>
    <w:rsid w:val="002534DC"/>
    <w:rsid w:val="002535FF"/>
    <w:rsid w:val="002536AF"/>
    <w:rsid w:val="00253BB7"/>
    <w:rsid w:val="0025473D"/>
    <w:rsid w:val="00254784"/>
    <w:rsid w:val="002547F1"/>
    <w:rsid w:val="00254A64"/>
    <w:rsid w:val="00254AB4"/>
    <w:rsid w:val="00254BAC"/>
    <w:rsid w:val="00254C67"/>
    <w:rsid w:val="002561B0"/>
    <w:rsid w:val="002568E7"/>
    <w:rsid w:val="00257B77"/>
    <w:rsid w:val="00257DA9"/>
    <w:rsid w:val="00261030"/>
    <w:rsid w:val="0026256B"/>
    <w:rsid w:val="00263008"/>
    <w:rsid w:val="0026311C"/>
    <w:rsid w:val="0026320F"/>
    <w:rsid w:val="002635B0"/>
    <w:rsid w:val="002638DB"/>
    <w:rsid w:val="00263B99"/>
    <w:rsid w:val="0026559A"/>
    <w:rsid w:val="002659F2"/>
    <w:rsid w:val="00265A13"/>
    <w:rsid w:val="00265F60"/>
    <w:rsid w:val="00267A1C"/>
    <w:rsid w:val="00272009"/>
    <w:rsid w:val="00272827"/>
    <w:rsid w:val="00272DD0"/>
    <w:rsid w:val="002739A0"/>
    <w:rsid w:val="00273BF6"/>
    <w:rsid w:val="002761E0"/>
    <w:rsid w:val="002765CF"/>
    <w:rsid w:val="0027707B"/>
    <w:rsid w:val="002779BA"/>
    <w:rsid w:val="00277B2C"/>
    <w:rsid w:val="00277C3C"/>
    <w:rsid w:val="002804F4"/>
    <w:rsid w:val="002807FE"/>
    <w:rsid w:val="00281E4A"/>
    <w:rsid w:val="00281E7F"/>
    <w:rsid w:val="002823A4"/>
    <w:rsid w:val="00282E77"/>
    <w:rsid w:val="002835E1"/>
    <w:rsid w:val="002837B8"/>
    <w:rsid w:val="00285374"/>
    <w:rsid w:val="00285EF7"/>
    <w:rsid w:val="00286000"/>
    <w:rsid w:val="00286910"/>
    <w:rsid w:val="002878A8"/>
    <w:rsid w:val="00287BC6"/>
    <w:rsid w:val="00287D44"/>
    <w:rsid w:val="0029046B"/>
    <w:rsid w:val="002909BC"/>
    <w:rsid w:val="00291376"/>
    <w:rsid w:val="0029226B"/>
    <w:rsid w:val="00292750"/>
    <w:rsid w:val="00293373"/>
    <w:rsid w:val="002937BE"/>
    <w:rsid w:val="002951E1"/>
    <w:rsid w:val="0029533D"/>
    <w:rsid w:val="002963A6"/>
    <w:rsid w:val="00297B92"/>
    <w:rsid w:val="00297E19"/>
    <w:rsid w:val="002A07FF"/>
    <w:rsid w:val="002A0FC3"/>
    <w:rsid w:val="002A13D8"/>
    <w:rsid w:val="002A1D3C"/>
    <w:rsid w:val="002A3898"/>
    <w:rsid w:val="002A49BB"/>
    <w:rsid w:val="002A51E1"/>
    <w:rsid w:val="002A5301"/>
    <w:rsid w:val="002A65DA"/>
    <w:rsid w:val="002A74CF"/>
    <w:rsid w:val="002B0267"/>
    <w:rsid w:val="002B2BC5"/>
    <w:rsid w:val="002B3026"/>
    <w:rsid w:val="002B37E3"/>
    <w:rsid w:val="002B3A07"/>
    <w:rsid w:val="002B4DA2"/>
    <w:rsid w:val="002B65D6"/>
    <w:rsid w:val="002B6E8B"/>
    <w:rsid w:val="002B768D"/>
    <w:rsid w:val="002B7A93"/>
    <w:rsid w:val="002B7B2C"/>
    <w:rsid w:val="002C00F0"/>
    <w:rsid w:val="002C01B1"/>
    <w:rsid w:val="002C0E7C"/>
    <w:rsid w:val="002C0FEA"/>
    <w:rsid w:val="002C2A7F"/>
    <w:rsid w:val="002C2AA9"/>
    <w:rsid w:val="002C2B1E"/>
    <w:rsid w:val="002C31FB"/>
    <w:rsid w:val="002C4F35"/>
    <w:rsid w:val="002C5130"/>
    <w:rsid w:val="002C5234"/>
    <w:rsid w:val="002C5956"/>
    <w:rsid w:val="002C5EF9"/>
    <w:rsid w:val="002C6C35"/>
    <w:rsid w:val="002D0A70"/>
    <w:rsid w:val="002D1C15"/>
    <w:rsid w:val="002D235C"/>
    <w:rsid w:val="002D4657"/>
    <w:rsid w:val="002D4757"/>
    <w:rsid w:val="002D4D0A"/>
    <w:rsid w:val="002D5563"/>
    <w:rsid w:val="002D601D"/>
    <w:rsid w:val="002D7543"/>
    <w:rsid w:val="002D7D14"/>
    <w:rsid w:val="002E0904"/>
    <w:rsid w:val="002E0C8C"/>
    <w:rsid w:val="002E0F62"/>
    <w:rsid w:val="002E1645"/>
    <w:rsid w:val="002E1747"/>
    <w:rsid w:val="002E174E"/>
    <w:rsid w:val="002E1BC9"/>
    <w:rsid w:val="002E1CC2"/>
    <w:rsid w:val="002E2D83"/>
    <w:rsid w:val="002E3CA2"/>
    <w:rsid w:val="002E5BFA"/>
    <w:rsid w:val="002E6A87"/>
    <w:rsid w:val="002E7DD7"/>
    <w:rsid w:val="002F0A9A"/>
    <w:rsid w:val="002F0C9C"/>
    <w:rsid w:val="002F11ED"/>
    <w:rsid w:val="002F11EE"/>
    <w:rsid w:val="002F125E"/>
    <w:rsid w:val="002F12B2"/>
    <w:rsid w:val="002F1CCB"/>
    <w:rsid w:val="002F3755"/>
    <w:rsid w:val="002F37D5"/>
    <w:rsid w:val="002F4187"/>
    <w:rsid w:val="002F4337"/>
    <w:rsid w:val="002F46C6"/>
    <w:rsid w:val="002F4E75"/>
    <w:rsid w:val="002F5F0F"/>
    <w:rsid w:val="002F62A3"/>
    <w:rsid w:val="00300E6D"/>
    <w:rsid w:val="003012C8"/>
    <w:rsid w:val="00302055"/>
    <w:rsid w:val="00302955"/>
    <w:rsid w:val="00302C4D"/>
    <w:rsid w:val="003036FD"/>
    <w:rsid w:val="00303BD2"/>
    <w:rsid w:val="00303C59"/>
    <w:rsid w:val="00304165"/>
    <w:rsid w:val="00304CC5"/>
    <w:rsid w:val="00304D6F"/>
    <w:rsid w:val="00306467"/>
    <w:rsid w:val="003073BF"/>
    <w:rsid w:val="003074F4"/>
    <w:rsid w:val="00307D1F"/>
    <w:rsid w:val="0031116B"/>
    <w:rsid w:val="00312165"/>
    <w:rsid w:val="003128B9"/>
    <w:rsid w:val="00312D44"/>
    <w:rsid w:val="00313831"/>
    <w:rsid w:val="00313D22"/>
    <w:rsid w:val="003148A4"/>
    <w:rsid w:val="00315053"/>
    <w:rsid w:val="0031720C"/>
    <w:rsid w:val="00317AF0"/>
    <w:rsid w:val="003206D5"/>
    <w:rsid w:val="003214B7"/>
    <w:rsid w:val="00321505"/>
    <w:rsid w:val="00322215"/>
    <w:rsid w:val="00322470"/>
    <w:rsid w:val="00322624"/>
    <w:rsid w:val="003236DB"/>
    <w:rsid w:val="00324461"/>
    <w:rsid w:val="00326F26"/>
    <w:rsid w:val="00327F40"/>
    <w:rsid w:val="00331377"/>
    <w:rsid w:val="00331721"/>
    <w:rsid w:val="003317AA"/>
    <w:rsid w:val="00331E6E"/>
    <w:rsid w:val="0033339D"/>
    <w:rsid w:val="00334479"/>
    <w:rsid w:val="00334DC4"/>
    <w:rsid w:val="003354C9"/>
    <w:rsid w:val="003361E3"/>
    <w:rsid w:val="0033681A"/>
    <w:rsid w:val="003371C1"/>
    <w:rsid w:val="003372D4"/>
    <w:rsid w:val="00337FBC"/>
    <w:rsid w:val="00340418"/>
    <w:rsid w:val="00340E0C"/>
    <w:rsid w:val="003411B4"/>
    <w:rsid w:val="00342002"/>
    <w:rsid w:val="00342220"/>
    <w:rsid w:val="00342E78"/>
    <w:rsid w:val="003430BC"/>
    <w:rsid w:val="003431C2"/>
    <w:rsid w:val="00343284"/>
    <w:rsid w:val="00343640"/>
    <w:rsid w:val="00343815"/>
    <w:rsid w:val="00343C82"/>
    <w:rsid w:val="003451DE"/>
    <w:rsid w:val="003453F1"/>
    <w:rsid w:val="00345964"/>
    <w:rsid w:val="003468ED"/>
    <w:rsid w:val="00350F33"/>
    <w:rsid w:val="00351E59"/>
    <w:rsid w:val="00352D19"/>
    <w:rsid w:val="00354A7F"/>
    <w:rsid w:val="00355752"/>
    <w:rsid w:val="00355F9F"/>
    <w:rsid w:val="003563F4"/>
    <w:rsid w:val="003569B8"/>
    <w:rsid w:val="00357508"/>
    <w:rsid w:val="003605F2"/>
    <w:rsid w:val="003619CE"/>
    <w:rsid w:val="00361E3B"/>
    <w:rsid w:val="0036202A"/>
    <w:rsid w:val="0036223C"/>
    <w:rsid w:val="00362DE0"/>
    <w:rsid w:val="00363343"/>
    <w:rsid w:val="003634BD"/>
    <w:rsid w:val="00364211"/>
    <w:rsid w:val="00364836"/>
    <w:rsid w:val="003648B6"/>
    <w:rsid w:val="00364EAF"/>
    <w:rsid w:val="00364ECF"/>
    <w:rsid w:val="003653F2"/>
    <w:rsid w:val="00365F0E"/>
    <w:rsid w:val="00366A1A"/>
    <w:rsid w:val="00367609"/>
    <w:rsid w:val="00367C97"/>
    <w:rsid w:val="00370043"/>
    <w:rsid w:val="0037007E"/>
    <w:rsid w:val="00370D87"/>
    <w:rsid w:val="00370E83"/>
    <w:rsid w:val="0037209E"/>
    <w:rsid w:val="00372DB9"/>
    <w:rsid w:val="003730D2"/>
    <w:rsid w:val="00373AB6"/>
    <w:rsid w:val="00373C35"/>
    <w:rsid w:val="00374082"/>
    <w:rsid w:val="0037468C"/>
    <w:rsid w:val="00374A8F"/>
    <w:rsid w:val="00374F02"/>
    <w:rsid w:val="0037594D"/>
    <w:rsid w:val="00376B09"/>
    <w:rsid w:val="00376F95"/>
    <w:rsid w:val="003777DC"/>
    <w:rsid w:val="0037781A"/>
    <w:rsid w:val="003779B8"/>
    <w:rsid w:val="00377C39"/>
    <w:rsid w:val="00377CE4"/>
    <w:rsid w:val="003806D3"/>
    <w:rsid w:val="00381439"/>
    <w:rsid w:val="00381E97"/>
    <w:rsid w:val="00381ED9"/>
    <w:rsid w:val="003837AE"/>
    <w:rsid w:val="00384555"/>
    <w:rsid w:val="003848F8"/>
    <w:rsid w:val="00384C6D"/>
    <w:rsid w:val="00384E25"/>
    <w:rsid w:val="003852D9"/>
    <w:rsid w:val="0038624A"/>
    <w:rsid w:val="00386529"/>
    <w:rsid w:val="0038727B"/>
    <w:rsid w:val="00387A7A"/>
    <w:rsid w:val="00390BF4"/>
    <w:rsid w:val="003913E8"/>
    <w:rsid w:val="003914CA"/>
    <w:rsid w:val="003927F9"/>
    <w:rsid w:val="00392FA6"/>
    <w:rsid w:val="00394ACB"/>
    <w:rsid w:val="00395DF9"/>
    <w:rsid w:val="00396096"/>
    <w:rsid w:val="00396692"/>
    <w:rsid w:val="00396C65"/>
    <w:rsid w:val="003A0A88"/>
    <w:rsid w:val="003A238A"/>
    <w:rsid w:val="003A249A"/>
    <w:rsid w:val="003A2CB3"/>
    <w:rsid w:val="003A3162"/>
    <w:rsid w:val="003A435E"/>
    <w:rsid w:val="003A4466"/>
    <w:rsid w:val="003A4734"/>
    <w:rsid w:val="003A64A9"/>
    <w:rsid w:val="003A6B0D"/>
    <w:rsid w:val="003A728C"/>
    <w:rsid w:val="003A733E"/>
    <w:rsid w:val="003A7860"/>
    <w:rsid w:val="003A7FC2"/>
    <w:rsid w:val="003B10C4"/>
    <w:rsid w:val="003B11E6"/>
    <w:rsid w:val="003B1E93"/>
    <w:rsid w:val="003B2345"/>
    <w:rsid w:val="003B26FD"/>
    <w:rsid w:val="003B3E34"/>
    <w:rsid w:val="003B430C"/>
    <w:rsid w:val="003B58C2"/>
    <w:rsid w:val="003B5C8A"/>
    <w:rsid w:val="003B7092"/>
    <w:rsid w:val="003B7B18"/>
    <w:rsid w:val="003C0C37"/>
    <w:rsid w:val="003C1064"/>
    <w:rsid w:val="003C109F"/>
    <w:rsid w:val="003C1669"/>
    <w:rsid w:val="003C1F05"/>
    <w:rsid w:val="003C221A"/>
    <w:rsid w:val="003C22E8"/>
    <w:rsid w:val="003C23B0"/>
    <w:rsid w:val="003C5618"/>
    <w:rsid w:val="003C5E1D"/>
    <w:rsid w:val="003C72D1"/>
    <w:rsid w:val="003D1B33"/>
    <w:rsid w:val="003D2010"/>
    <w:rsid w:val="003D26B5"/>
    <w:rsid w:val="003D273C"/>
    <w:rsid w:val="003D2BB6"/>
    <w:rsid w:val="003D2F2D"/>
    <w:rsid w:val="003D313D"/>
    <w:rsid w:val="003D4367"/>
    <w:rsid w:val="003D52A8"/>
    <w:rsid w:val="003D5CA9"/>
    <w:rsid w:val="003D7A7A"/>
    <w:rsid w:val="003D7D66"/>
    <w:rsid w:val="003E1590"/>
    <w:rsid w:val="003E1D1E"/>
    <w:rsid w:val="003E1D20"/>
    <w:rsid w:val="003E1E8E"/>
    <w:rsid w:val="003E1EB2"/>
    <w:rsid w:val="003E21FC"/>
    <w:rsid w:val="003E2574"/>
    <w:rsid w:val="003E2CA0"/>
    <w:rsid w:val="003E3731"/>
    <w:rsid w:val="003E5461"/>
    <w:rsid w:val="003E5F37"/>
    <w:rsid w:val="003F02BF"/>
    <w:rsid w:val="003F04D7"/>
    <w:rsid w:val="003F0AEF"/>
    <w:rsid w:val="003F1CAE"/>
    <w:rsid w:val="003F23EB"/>
    <w:rsid w:val="003F2594"/>
    <w:rsid w:val="003F25DC"/>
    <w:rsid w:val="003F2D13"/>
    <w:rsid w:val="003F2EB2"/>
    <w:rsid w:val="003F2FB9"/>
    <w:rsid w:val="003F2FDF"/>
    <w:rsid w:val="003F38E8"/>
    <w:rsid w:val="003F3D6B"/>
    <w:rsid w:val="003F4306"/>
    <w:rsid w:val="003F50FC"/>
    <w:rsid w:val="003F6A89"/>
    <w:rsid w:val="003F6C5B"/>
    <w:rsid w:val="003F7510"/>
    <w:rsid w:val="003F7600"/>
    <w:rsid w:val="003F79C5"/>
    <w:rsid w:val="004003E5"/>
    <w:rsid w:val="00402D1D"/>
    <w:rsid w:val="00403024"/>
    <w:rsid w:val="00405E97"/>
    <w:rsid w:val="00406392"/>
    <w:rsid w:val="00406C01"/>
    <w:rsid w:val="0040787F"/>
    <w:rsid w:val="0041058F"/>
    <w:rsid w:val="0041070C"/>
    <w:rsid w:val="0041188A"/>
    <w:rsid w:val="00412704"/>
    <w:rsid w:val="00412F00"/>
    <w:rsid w:val="0041398D"/>
    <w:rsid w:val="00413993"/>
    <w:rsid w:val="00413C17"/>
    <w:rsid w:val="00414C9A"/>
    <w:rsid w:val="00414E3D"/>
    <w:rsid w:val="00414F6B"/>
    <w:rsid w:val="00415189"/>
    <w:rsid w:val="0041524D"/>
    <w:rsid w:val="00415957"/>
    <w:rsid w:val="00416BE2"/>
    <w:rsid w:val="00417ED4"/>
    <w:rsid w:val="00420F3A"/>
    <w:rsid w:val="0042278D"/>
    <w:rsid w:val="004234FB"/>
    <w:rsid w:val="004239FB"/>
    <w:rsid w:val="00423A70"/>
    <w:rsid w:val="00424F58"/>
    <w:rsid w:val="0042503D"/>
    <w:rsid w:val="0042564D"/>
    <w:rsid w:val="00425CB8"/>
    <w:rsid w:val="00425D4B"/>
    <w:rsid w:val="0042622A"/>
    <w:rsid w:val="0042640A"/>
    <w:rsid w:val="00426536"/>
    <w:rsid w:val="00427636"/>
    <w:rsid w:val="00427669"/>
    <w:rsid w:val="004278C1"/>
    <w:rsid w:val="00427E8A"/>
    <w:rsid w:val="00427F4F"/>
    <w:rsid w:val="004300F3"/>
    <w:rsid w:val="0043067D"/>
    <w:rsid w:val="00431051"/>
    <w:rsid w:val="00431F15"/>
    <w:rsid w:val="00432954"/>
    <w:rsid w:val="00432CC6"/>
    <w:rsid w:val="004339E5"/>
    <w:rsid w:val="004341F7"/>
    <w:rsid w:val="00435142"/>
    <w:rsid w:val="00435B9F"/>
    <w:rsid w:val="004364F1"/>
    <w:rsid w:val="00436A31"/>
    <w:rsid w:val="004375C6"/>
    <w:rsid w:val="00440340"/>
    <w:rsid w:val="00440734"/>
    <w:rsid w:val="004410E9"/>
    <w:rsid w:val="00441703"/>
    <w:rsid w:val="00441DDA"/>
    <w:rsid w:val="00441FBA"/>
    <w:rsid w:val="00442E01"/>
    <w:rsid w:val="00443374"/>
    <w:rsid w:val="00445448"/>
    <w:rsid w:val="00446870"/>
    <w:rsid w:val="00446C56"/>
    <w:rsid w:val="00446CE9"/>
    <w:rsid w:val="00450C96"/>
    <w:rsid w:val="00451850"/>
    <w:rsid w:val="00452121"/>
    <w:rsid w:val="004526A4"/>
    <w:rsid w:val="00452E92"/>
    <w:rsid w:val="0045336C"/>
    <w:rsid w:val="0045369D"/>
    <w:rsid w:val="0045385F"/>
    <w:rsid w:val="00453AB9"/>
    <w:rsid w:val="00457097"/>
    <w:rsid w:val="00457244"/>
    <w:rsid w:val="00457759"/>
    <w:rsid w:val="0046045F"/>
    <w:rsid w:val="00461101"/>
    <w:rsid w:val="004622CB"/>
    <w:rsid w:val="00464178"/>
    <w:rsid w:val="004644D4"/>
    <w:rsid w:val="00464DC3"/>
    <w:rsid w:val="00464E89"/>
    <w:rsid w:val="00465AEE"/>
    <w:rsid w:val="00467873"/>
    <w:rsid w:val="0047014A"/>
    <w:rsid w:val="00470570"/>
    <w:rsid w:val="00470C7E"/>
    <w:rsid w:val="00470CD8"/>
    <w:rsid w:val="004713E2"/>
    <w:rsid w:val="00471B5B"/>
    <w:rsid w:val="00472DBD"/>
    <w:rsid w:val="00472E0F"/>
    <w:rsid w:val="00473A1E"/>
    <w:rsid w:val="00473AB1"/>
    <w:rsid w:val="00473CC3"/>
    <w:rsid w:val="0047563C"/>
    <w:rsid w:val="00475BB1"/>
    <w:rsid w:val="00476259"/>
    <w:rsid w:val="00480924"/>
    <w:rsid w:val="00481546"/>
    <w:rsid w:val="00482425"/>
    <w:rsid w:val="00483016"/>
    <w:rsid w:val="004836A3"/>
    <w:rsid w:val="00484E4A"/>
    <w:rsid w:val="00485283"/>
    <w:rsid w:val="004874D1"/>
    <w:rsid w:val="004879D6"/>
    <w:rsid w:val="00490F5A"/>
    <w:rsid w:val="004916A6"/>
    <w:rsid w:val="004917C1"/>
    <w:rsid w:val="00491DA3"/>
    <w:rsid w:val="00492933"/>
    <w:rsid w:val="00492C5A"/>
    <w:rsid w:val="00493C1D"/>
    <w:rsid w:val="00494293"/>
    <w:rsid w:val="00494355"/>
    <w:rsid w:val="0049627F"/>
    <w:rsid w:val="004966B6"/>
    <w:rsid w:val="0049788E"/>
    <w:rsid w:val="004A06AD"/>
    <w:rsid w:val="004A2126"/>
    <w:rsid w:val="004A2FF5"/>
    <w:rsid w:val="004A35EE"/>
    <w:rsid w:val="004A3856"/>
    <w:rsid w:val="004A509D"/>
    <w:rsid w:val="004A51E1"/>
    <w:rsid w:val="004A5AF5"/>
    <w:rsid w:val="004A5D2C"/>
    <w:rsid w:val="004A68C6"/>
    <w:rsid w:val="004A7C61"/>
    <w:rsid w:val="004A7FEA"/>
    <w:rsid w:val="004B03C1"/>
    <w:rsid w:val="004B13D7"/>
    <w:rsid w:val="004B3B24"/>
    <w:rsid w:val="004B3D1A"/>
    <w:rsid w:val="004B56DC"/>
    <w:rsid w:val="004B61EC"/>
    <w:rsid w:val="004B65B6"/>
    <w:rsid w:val="004B6A92"/>
    <w:rsid w:val="004B73C7"/>
    <w:rsid w:val="004B76D9"/>
    <w:rsid w:val="004B7928"/>
    <w:rsid w:val="004C0059"/>
    <w:rsid w:val="004C0C9C"/>
    <w:rsid w:val="004C1B89"/>
    <w:rsid w:val="004C22AA"/>
    <w:rsid w:val="004C2946"/>
    <w:rsid w:val="004C2BE9"/>
    <w:rsid w:val="004C3A00"/>
    <w:rsid w:val="004C3FAC"/>
    <w:rsid w:val="004C427B"/>
    <w:rsid w:val="004C47DC"/>
    <w:rsid w:val="004C4840"/>
    <w:rsid w:val="004C4CB5"/>
    <w:rsid w:val="004C59CB"/>
    <w:rsid w:val="004C6878"/>
    <w:rsid w:val="004C6A78"/>
    <w:rsid w:val="004C7621"/>
    <w:rsid w:val="004C7A29"/>
    <w:rsid w:val="004D0179"/>
    <w:rsid w:val="004D0EF2"/>
    <w:rsid w:val="004D0FD2"/>
    <w:rsid w:val="004D3210"/>
    <w:rsid w:val="004D3217"/>
    <w:rsid w:val="004D3248"/>
    <w:rsid w:val="004D362D"/>
    <w:rsid w:val="004D4CFE"/>
    <w:rsid w:val="004D5661"/>
    <w:rsid w:val="004D5876"/>
    <w:rsid w:val="004D5EEF"/>
    <w:rsid w:val="004D637F"/>
    <w:rsid w:val="004D67B3"/>
    <w:rsid w:val="004D7F55"/>
    <w:rsid w:val="004E01A1"/>
    <w:rsid w:val="004E0C8E"/>
    <w:rsid w:val="004E136D"/>
    <w:rsid w:val="004E2DE0"/>
    <w:rsid w:val="004E4054"/>
    <w:rsid w:val="004E4EE5"/>
    <w:rsid w:val="004E66A2"/>
    <w:rsid w:val="004E6C27"/>
    <w:rsid w:val="004E6D19"/>
    <w:rsid w:val="004E7592"/>
    <w:rsid w:val="004E75A9"/>
    <w:rsid w:val="004E7D78"/>
    <w:rsid w:val="004F0BA4"/>
    <w:rsid w:val="004F1A80"/>
    <w:rsid w:val="004F1A98"/>
    <w:rsid w:val="004F355B"/>
    <w:rsid w:val="004F40DF"/>
    <w:rsid w:val="004F4183"/>
    <w:rsid w:val="004F4478"/>
    <w:rsid w:val="004F4C0A"/>
    <w:rsid w:val="004F4D2E"/>
    <w:rsid w:val="004F5EE7"/>
    <w:rsid w:val="004F5F21"/>
    <w:rsid w:val="004F607A"/>
    <w:rsid w:val="004F64AE"/>
    <w:rsid w:val="004F6C06"/>
    <w:rsid w:val="004F7612"/>
    <w:rsid w:val="004F766B"/>
    <w:rsid w:val="004F7871"/>
    <w:rsid w:val="004F7EBD"/>
    <w:rsid w:val="00500683"/>
    <w:rsid w:val="005009E2"/>
    <w:rsid w:val="00500A26"/>
    <w:rsid w:val="00500B26"/>
    <w:rsid w:val="00501195"/>
    <w:rsid w:val="00502379"/>
    <w:rsid w:val="005027CE"/>
    <w:rsid w:val="0050436E"/>
    <w:rsid w:val="00505225"/>
    <w:rsid w:val="00505FA4"/>
    <w:rsid w:val="00507499"/>
    <w:rsid w:val="0051108B"/>
    <w:rsid w:val="005115DC"/>
    <w:rsid w:val="00511A26"/>
    <w:rsid w:val="005131E8"/>
    <w:rsid w:val="00514972"/>
    <w:rsid w:val="00515B04"/>
    <w:rsid w:val="00515CDD"/>
    <w:rsid w:val="005172FF"/>
    <w:rsid w:val="00517EAD"/>
    <w:rsid w:val="00517FF6"/>
    <w:rsid w:val="00520CD4"/>
    <w:rsid w:val="005213B0"/>
    <w:rsid w:val="005217C7"/>
    <w:rsid w:val="00521F1C"/>
    <w:rsid w:val="00522F1F"/>
    <w:rsid w:val="00522F6F"/>
    <w:rsid w:val="00524515"/>
    <w:rsid w:val="00524BE9"/>
    <w:rsid w:val="00525023"/>
    <w:rsid w:val="0052699B"/>
    <w:rsid w:val="00527101"/>
    <w:rsid w:val="005272DA"/>
    <w:rsid w:val="0052745D"/>
    <w:rsid w:val="00527F8E"/>
    <w:rsid w:val="00530680"/>
    <w:rsid w:val="00530800"/>
    <w:rsid w:val="0053088E"/>
    <w:rsid w:val="005310D8"/>
    <w:rsid w:val="00531D6D"/>
    <w:rsid w:val="00531D8A"/>
    <w:rsid w:val="00533516"/>
    <w:rsid w:val="00533BA2"/>
    <w:rsid w:val="00533E41"/>
    <w:rsid w:val="005340A2"/>
    <w:rsid w:val="00534D6D"/>
    <w:rsid w:val="00536ADD"/>
    <w:rsid w:val="00537229"/>
    <w:rsid w:val="00537DC6"/>
    <w:rsid w:val="00540878"/>
    <w:rsid w:val="00540B79"/>
    <w:rsid w:val="00540C21"/>
    <w:rsid w:val="00541F2F"/>
    <w:rsid w:val="00541FD1"/>
    <w:rsid w:val="00542D58"/>
    <w:rsid w:val="00543788"/>
    <w:rsid w:val="00543B9F"/>
    <w:rsid w:val="00543DDF"/>
    <w:rsid w:val="0054496B"/>
    <w:rsid w:val="00544E80"/>
    <w:rsid w:val="0054505B"/>
    <w:rsid w:val="0054569D"/>
    <w:rsid w:val="00546434"/>
    <w:rsid w:val="00546B85"/>
    <w:rsid w:val="00546FE3"/>
    <w:rsid w:val="00547036"/>
    <w:rsid w:val="005473FE"/>
    <w:rsid w:val="005474AE"/>
    <w:rsid w:val="00547DA6"/>
    <w:rsid w:val="00547FD6"/>
    <w:rsid w:val="00551357"/>
    <w:rsid w:val="0055223F"/>
    <w:rsid w:val="00552AA8"/>
    <w:rsid w:val="00553C61"/>
    <w:rsid w:val="00553D1A"/>
    <w:rsid w:val="00553ECC"/>
    <w:rsid w:val="00556401"/>
    <w:rsid w:val="0056056A"/>
    <w:rsid w:val="00560B7C"/>
    <w:rsid w:val="00560F5E"/>
    <w:rsid w:val="00561255"/>
    <w:rsid w:val="005619AA"/>
    <w:rsid w:val="00562CEC"/>
    <w:rsid w:val="00562D3B"/>
    <w:rsid w:val="00563A9C"/>
    <w:rsid w:val="00563F9F"/>
    <w:rsid w:val="0056467F"/>
    <w:rsid w:val="00564990"/>
    <w:rsid w:val="005649A9"/>
    <w:rsid w:val="00564E8F"/>
    <w:rsid w:val="00564F40"/>
    <w:rsid w:val="0056501F"/>
    <w:rsid w:val="00565536"/>
    <w:rsid w:val="005660BA"/>
    <w:rsid w:val="00566AFE"/>
    <w:rsid w:val="005672FE"/>
    <w:rsid w:val="00567A8B"/>
    <w:rsid w:val="00567D95"/>
    <w:rsid w:val="00570692"/>
    <w:rsid w:val="0057069D"/>
    <w:rsid w:val="005715AF"/>
    <w:rsid w:val="00571E51"/>
    <w:rsid w:val="00571F04"/>
    <w:rsid w:val="00572065"/>
    <w:rsid w:val="00572655"/>
    <w:rsid w:val="00572B4E"/>
    <w:rsid w:val="005732CA"/>
    <w:rsid w:val="005738CC"/>
    <w:rsid w:val="00573E77"/>
    <w:rsid w:val="00574BC7"/>
    <w:rsid w:val="00574C35"/>
    <w:rsid w:val="0058066E"/>
    <w:rsid w:val="00580676"/>
    <w:rsid w:val="00580FE1"/>
    <w:rsid w:val="00581806"/>
    <w:rsid w:val="00582D0B"/>
    <w:rsid w:val="00582E7A"/>
    <w:rsid w:val="00583263"/>
    <w:rsid w:val="00583416"/>
    <w:rsid w:val="00583938"/>
    <w:rsid w:val="00584620"/>
    <w:rsid w:val="005847B0"/>
    <w:rsid w:val="005849D1"/>
    <w:rsid w:val="00584ABA"/>
    <w:rsid w:val="00585F0A"/>
    <w:rsid w:val="00586232"/>
    <w:rsid w:val="005863B7"/>
    <w:rsid w:val="005871EE"/>
    <w:rsid w:val="00590B28"/>
    <w:rsid w:val="00593A1A"/>
    <w:rsid w:val="00593A49"/>
    <w:rsid w:val="00593CD4"/>
    <w:rsid w:val="00594459"/>
    <w:rsid w:val="005944E8"/>
    <w:rsid w:val="005944EE"/>
    <w:rsid w:val="00594ACF"/>
    <w:rsid w:val="00595320"/>
    <w:rsid w:val="00595386"/>
    <w:rsid w:val="00595D4B"/>
    <w:rsid w:val="00595D9F"/>
    <w:rsid w:val="0059630A"/>
    <w:rsid w:val="0059663E"/>
    <w:rsid w:val="005966BA"/>
    <w:rsid w:val="005968EC"/>
    <w:rsid w:val="005979FA"/>
    <w:rsid w:val="00597AE7"/>
    <w:rsid w:val="00597B5B"/>
    <w:rsid w:val="00597D4B"/>
    <w:rsid w:val="005A0004"/>
    <w:rsid w:val="005A0186"/>
    <w:rsid w:val="005A1291"/>
    <w:rsid w:val="005A1E11"/>
    <w:rsid w:val="005A2304"/>
    <w:rsid w:val="005A2919"/>
    <w:rsid w:val="005A2F39"/>
    <w:rsid w:val="005A335A"/>
    <w:rsid w:val="005A39A4"/>
    <w:rsid w:val="005A3BD8"/>
    <w:rsid w:val="005A3E1C"/>
    <w:rsid w:val="005A3F44"/>
    <w:rsid w:val="005A4495"/>
    <w:rsid w:val="005A46CA"/>
    <w:rsid w:val="005A63AC"/>
    <w:rsid w:val="005A6432"/>
    <w:rsid w:val="005A64AB"/>
    <w:rsid w:val="005A6765"/>
    <w:rsid w:val="005B121B"/>
    <w:rsid w:val="005B1F86"/>
    <w:rsid w:val="005B2850"/>
    <w:rsid w:val="005B28C3"/>
    <w:rsid w:val="005B35B4"/>
    <w:rsid w:val="005B36A9"/>
    <w:rsid w:val="005B37CC"/>
    <w:rsid w:val="005B3B51"/>
    <w:rsid w:val="005B4539"/>
    <w:rsid w:val="005B4EDC"/>
    <w:rsid w:val="005B56B6"/>
    <w:rsid w:val="005B5FBF"/>
    <w:rsid w:val="005B657B"/>
    <w:rsid w:val="005C041C"/>
    <w:rsid w:val="005C18E6"/>
    <w:rsid w:val="005C2424"/>
    <w:rsid w:val="005C29C4"/>
    <w:rsid w:val="005C4715"/>
    <w:rsid w:val="005C5B9C"/>
    <w:rsid w:val="005C5DD2"/>
    <w:rsid w:val="005C5E64"/>
    <w:rsid w:val="005C5F9B"/>
    <w:rsid w:val="005C6A0B"/>
    <w:rsid w:val="005C77AE"/>
    <w:rsid w:val="005C7F37"/>
    <w:rsid w:val="005D15DA"/>
    <w:rsid w:val="005D1A91"/>
    <w:rsid w:val="005D1AA4"/>
    <w:rsid w:val="005D1AE8"/>
    <w:rsid w:val="005D1CED"/>
    <w:rsid w:val="005D4599"/>
    <w:rsid w:val="005D4B1B"/>
    <w:rsid w:val="005D579D"/>
    <w:rsid w:val="005D5C81"/>
    <w:rsid w:val="005D6408"/>
    <w:rsid w:val="005E07E5"/>
    <w:rsid w:val="005E0B69"/>
    <w:rsid w:val="005E1214"/>
    <w:rsid w:val="005E2397"/>
    <w:rsid w:val="005E2CC6"/>
    <w:rsid w:val="005E336B"/>
    <w:rsid w:val="005E3538"/>
    <w:rsid w:val="005E3906"/>
    <w:rsid w:val="005E3B01"/>
    <w:rsid w:val="005E3D61"/>
    <w:rsid w:val="005E4745"/>
    <w:rsid w:val="005E4E92"/>
    <w:rsid w:val="005E5510"/>
    <w:rsid w:val="005E6E4B"/>
    <w:rsid w:val="005E7604"/>
    <w:rsid w:val="005E7AFC"/>
    <w:rsid w:val="005F0341"/>
    <w:rsid w:val="005F1614"/>
    <w:rsid w:val="005F27F0"/>
    <w:rsid w:val="005F4429"/>
    <w:rsid w:val="005F4897"/>
    <w:rsid w:val="005F49EF"/>
    <w:rsid w:val="005F5253"/>
    <w:rsid w:val="005F6C32"/>
    <w:rsid w:val="005F75D0"/>
    <w:rsid w:val="005F7AE7"/>
    <w:rsid w:val="005F7C9A"/>
    <w:rsid w:val="0060065B"/>
    <w:rsid w:val="00600A45"/>
    <w:rsid w:val="00600E96"/>
    <w:rsid w:val="00600F2D"/>
    <w:rsid w:val="00601409"/>
    <w:rsid w:val="00601DB3"/>
    <w:rsid w:val="00601E67"/>
    <w:rsid w:val="00601F52"/>
    <w:rsid w:val="006023AC"/>
    <w:rsid w:val="00602549"/>
    <w:rsid w:val="00602DD9"/>
    <w:rsid w:val="006038CB"/>
    <w:rsid w:val="006038DB"/>
    <w:rsid w:val="00604092"/>
    <w:rsid w:val="00605749"/>
    <w:rsid w:val="00605B11"/>
    <w:rsid w:val="00605FCC"/>
    <w:rsid w:val="006060A9"/>
    <w:rsid w:val="006105B6"/>
    <w:rsid w:val="006108A1"/>
    <w:rsid w:val="00610B93"/>
    <w:rsid w:val="00610C19"/>
    <w:rsid w:val="00611D7A"/>
    <w:rsid w:val="006125AA"/>
    <w:rsid w:val="006130DB"/>
    <w:rsid w:val="0061392A"/>
    <w:rsid w:val="00615788"/>
    <w:rsid w:val="0061654E"/>
    <w:rsid w:val="0062122B"/>
    <w:rsid w:val="00622FD3"/>
    <w:rsid w:val="006250DE"/>
    <w:rsid w:val="00626815"/>
    <w:rsid w:val="00626E3D"/>
    <w:rsid w:val="00627C66"/>
    <w:rsid w:val="006300D8"/>
    <w:rsid w:val="00630500"/>
    <w:rsid w:val="006309D3"/>
    <w:rsid w:val="00630C24"/>
    <w:rsid w:val="0063190B"/>
    <w:rsid w:val="0063287B"/>
    <w:rsid w:val="00632BD2"/>
    <w:rsid w:val="006334E3"/>
    <w:rsid w:val="0063362B"/>
    <w:rsid w:val="00636535"/>
    <w:rsid w:val="00640052"/>
    <w:rsid w:val="00640068"/>
    <w:rsid w:val="00640994"/>
    <w:rsid w:val="00641624"/>
    <w:rsid w:val="00641B3A"/>
    <w:rsid w:val="00642920"/>
    <w:rsid w:val="006455B4"/>
    <w:rsid w:val="00645758"/>
    <w:rsid w:val="00645DDE"/>
    <w:rsid w:val="00647B4C"/>
    <w:rsid w:val="00647BA9"/>
    <w:rsid w:val="00647DC0"/>
    <w:rsid w:val="006501DF"/>
    <w:rsid w:val="00650490"/>
    <w:rsid w:val="00650C16"/>
    <w:rsid w:val="0065119D"/>
    <w:rsid w:val="006513B5"/>
    <w:rsid w:val="00651463"/>
    <w:rsid w:val="0065146D"/>
    <w:rsid w:val="00651595"/>
    <w:rsid w:val="00652C88"/>
    <w:rsid w:val="00652CE9"/>
    <w:rsid w:val="00653C4A"/>
    <w:rsid w:val="00653DDC"/>
    <w:rsid w:val="0065461F"/>
    <w:rsid w:val="00654D85"/>
    <w:rsid w:val="00655D0B"/>
    <w:rsid w:val="00656ACB"/>
    <w:rsid w:val="00656D8A"/>
    <w:rsid w:val="00657D80"/>
    <w:rsid w:val="0066033E"/>
    <w:rsid w:val="00660ACE"/>
    <w:rsid w:val="0066117E"/>
    <w:rsid w:val="006613F6"/>
    <w:rsid w:val="00661C60"/>
    <w:rsid w:val="006620BB"/>
    <w:rsid w:val="00662470"/>
    <w:rsid w:val="00663289"/>
    <w:rsid w:val="00663B10"/>
    <w:rsid w:val="00663D54"/>
    <w:rsid w:val="00665810"/>
    <w:rsid w:val="00666630"/>
    <w:rsid w:val="00666806"/>
    <w:rsid w:val="00666F7A"/>
    <w:rsid w:val="006678BA"/>
    <w:rsid w:val="00667C02"/>
    <w:rsid w:val="00670113"/>
    <w:rsid w:val="00670124"/>
    <w:rsid w:val="0067314B"/>
    <w:rsid w:val="006740E1"/>
    <w:rsid w:val="006743E0"/>
    <w:rsid w:val="00674C12"/>
    <w:rsid w:val="006757CE"/>
    <w:rsid w:val="0067702D"/>
    <w:rsid w:val="0067710C"/>
    <w:rsid w:val="00677F71"/>
    <w:rsid w:val="00680569"/>
    <w:rsid w:val="00680A8F"/>
    <w:rsid w:val="00680F9E"/>
    <w:rsid w:val="00680FAC"/>
    <w:rsid w:val="0068217A"/>
    <w:rsid w:val="0068246A"/>
    <w:rsid w:val="00684B8C"/>
    <w:rsid w:val="006864DE"/>
    <w:rsid w:val="00687121"/>
    <w:rsid w:val="00690A97"/>
    <w:rsid w:val="00691B5E"/>
    <w:rsid w:val="00691FC7"/>
    <w:rsid w:val="00692386"/>
    <w:rsid w:val="00692FA7"/>
    <w:rsid w:val="006934B8"/>
    <w:rsid w:val="00693CCD"/>
    <w:rsid w:val="00693EB2"/>
    <w:rsid w:val="00694B73"/>
    <w:rsid w:val="0069514E"/>
    <w:rsid w:val="00695339"/>
    <w:rsid w:val="00695F1C"/>
    <w:rsid w:val="006970E6"/>
    <w:rsid w:val="00697AC4"/>
    <w:rsid w:val="006A0671"/>
    <w:rsid w:val="006A1366"/>
    <w:rsid w:val="006A1808"/>
    <w:rsid w:val="006A187B"/>
    <w:rsid w:val="006A1DD0"/>
    <w:rsid w:val="006A3FD6"/>
    <w:rsid w:val="006A4FD8"/>
    <w:rsid w:val="006A56B6"/>
    <w:rsid w:val="006A5B07"/>
    <w:rsid w:val="006A5DBD"/>
    <w:rsid w:val="006A5DC0"/>
    <w:rsid w:val="006A651C"/>
    <w:rsid w:val="006A6644"/>
    <w:rsid w:val="006A6BE6"/>
    <w:rsid w:val="006A72D8"/>
    <w:rsid w:val="006A766B"/>
    <w:rsid w:val="006B032A"/>
    <w:rsid w:val="006B09B9"/>
    <w:rsid w:val="006B0AE0"/>
    <w:rsid w:val="006B0B22"/>
    <w:rsid w:val="006B13C4"/>
    <w:rsid w:val="006B198E"/>
    <w:rsid w:val="006B1D51"/>
    <w:rsid w:val="006B2315"/>
    <w:rsid w:val="006B269D"/>
    <w:rsid w:val="006B2D05"/>
    <w:rsid w:val="006B31ED"/>
    <w:rsid w:val="006B3261"/>
    <w:rsid w:val="006B3600"/>
    <w:rsid w:val="006B3642"/>
    <w:rsid w:val="006B3B0B"/>
    <w:rsid w:val="006B3D9C"/>
    <w:rsid w:val="006B45E9"/>
    <w:rsid w:val="006B4924"/>
    <w:rsid w:val="006B4AD5"/>
    <w:rsid w:val="006B510F"/>
    <w:rsid w:val="006B5FA2"/>
    <w:rsid w:val="006B613A"/>
    <w:rsid w:val="006B682C"/>
    <w:rsid w:val="006B738C"/>
    <w:rsid w:val="006C080F"/>
    <w:rsid w:val="006C1812"/>
    <w:rsid w:val="006C25D1"/>
    <w:rsid w:val="006C270A"/>
    <w:rsid w:val="006C2BA3"/>
    <w:rsid w:val="006C3528"/>
    <w:rsid w:val="006C3826"/>
    <w:rsid w:val="006C4711"/>
    <w:rsid w:val="006C48B2"/>
    <w:rsid w:val="006C5400"/>
    <w:rsid w:val="006C558D"/>
    <w:rsid w:val="006C69E1"/>
    <w:rsid w:val="006C6B9F"/>
    <w:rsid w:val="006C7061"/>
    <w:rsid w:val="006C737B"/>
    <w:rsid w:val="006D0B78"/>
    <w:rsid w:val="006D0E11"/>
    <w:rsid w:val="006D1930"/>
    <w:rsid w:val="006D2E3E"/>
    <w:rsid w:val="006D4107"/>
    <w:rsid w:val="006D7986"/>
    <w:rsid w:val="006D7FF5"/>
    <w:rsid w:val="006E0E47"/>
    <w:rsid w:val="006E1054"/>
    <w:rsid w:val="006E11D1"/>
    <w:rsid w:val="006E1460"/>
    <w:rsid w:val="006E158F"/>
    <w:rsid w:val="006E2078"/>
    <w:rsid w:val="006E2512"/>
    <w:rsid w:val="006E2D3D"/>
    <w:rsid w:val="006E31E2"/>
    <w:rsid w:val="006E37FA"/>
    <w:rsid w:val="006E40E3"/>
    <w:rsid w:val="006E4BC0"/>
    <w:rsid w:val="006E5129"/>
    <w:rsid w:val="006E6354"/>
    <w:rsid w:val="006E64AE"/>
    <w:rsid w:val="006E6D9F"/>
    <w:rsid w:val="006E7432"/>
    <w:rsid w:val="006E7629"/>
    <w:rsid w:val="006E767E"/>
    <w:rsid w:val="006E7C7F"/>
    <w:rsid w:val="006E7F95"/>
    <w:rsid w:val="006F0362"/>
    <w:rsid w:val="006F11E3"/>
    <w:rsid w:val="006F1279"/>
    <w:rsid w:val="006F1A31"/>
    <w:rsid w:val="006F2650"/>
    <w:rsid w:val="006F2D48"/>
    <w:rsid w:val="006F310E"/>
    <w:rsid w:val="006F36E2"/>
    <w:rsid w:val="006F3BA5"/>
    <w:rsid w:val="006F450E"/>
    <w:rsid w:val="006F4E58"/>
    <w:rsid w:val="006F6B67"/>
    <w:rsid w:val="006F7EA9"/>
    <w:rsid w:val="00701C06"/>
    <w:rsid w:val="00702463"/>
    <w:rsid w:val="00702B71"/>
    <w:rsid w:val="00703084"/>
    <w:rsid w:val="0070347F"/>
    <w:rsid w:val="007052C8"/>
    <w:rsid w:val="00705561"/>
    <w:rsid w:val="007055A2"/>
    <w:rsid w:val="00705A07"/>
    <w:rsid w:val="00706457"/>
    <w:rsid w:val="00706554"/>
    <w:rsid w:val="007068B7"/>
    <w:rsid w:val="00706D20"/>
    <w:rsid w:val="00710B0E"/>
    <w:rsid w:val="00710B6E"/>
    <w:rsid w:val="00711055"/>
    <w:rsid w:val="007114DB"/>
    <w:rsid w:val="00712CBE"/>
    <w:rsid w:val="00714794"/>
    <w:rsid w:val="007159E8"/>
    <w:rsid w:val="007163B4"/>
    <w:rsid w:val="0071675A"/>
    <w:rsid w:val="00716AB7"/>
    <w:rsid w:val="00717276"/>
    <w:rsid w:val="007212CC"/>
    <w:rsid w:val="00721F96"/>
    <w:rsid w:val="00722147"/>
    <w:rsid w:val="007224A1"/>
    <w:rsid w:val="00722C0C"/>
    <w:rsid w:val="00723528"/>
    <w:rsid w:val="00723566"/>
    <w:rsid w:val="00724372"/>
    <w:rsid w:val="007307CE"/>
    <w:rsid w:val="00730889"/>
    <w:rsid w:val="00731667"/>
    <w:rsid w:val="007316BE"/>
    <w:rsid w:val="00733949"/>
    <w:rsid w:val="00733DF6"/>
    <w:rsid w:val="00734CC7"/>
    <w:rsid w:val="007357E1"/>
    <w:rsid w:val="007359E9"/>
    <w:rsid w:val="00735FA7"/>
    <w:rsid w:val="00736605"/>
    <w:rsid w:val="00737738"/>
    <w:rsid w:val="00740BAD"/>
    <w:rsid w:val="00740DDE"/>
    <w:rsid w:val="0074212A"/>
    <w:rsid w:val="007427F5"/>
    <w:rsid w:val="007428AC"/>
    <w:rsid w:val="00742FFB"/>
    <w:rsid w:val="00743A4C"/>
    <w:rsid w:val="00744211"/>
    <w:rsid w:val="00744607"/>
    <w:rsid w:val="007459EE"/>
    <w:rsid w:val="00745B64"/>
    <w:rsid w:val="007461EF"/>
    <w:rsid w:val="00746CBC"/>
    <w:rsid w:val="00746DAF"/>
    <w:rsid w:val="0074764D"/>
    <w:rsid w:val="00747791"/>
    <w:rsid w:val="0075047B"/>
    <w:rsid w:val="007507C4"/>
    <w:rsid w:val="00751571"/>
    <w:rsid w:val="00751B1C"/>
    <w:rsid w:val="00753534"/>
    <w:rsid w:val="00753639"/>
    <w:rsid w:val="00754AE8"/>
    <w:rsid w:val="00756A2A"/>
    <w:rsid w:val="00756EE3"/>
    <w:rsid w:val="00757270"/>
    <w:rsid w:val="00757359"/>
    <w:rsid w:val="007579D2"/>
    <w:rsid w:val="00760437"/>
    <w:rsid w:val="00760ADF"/>
    <w:rsid w:val="00760B8D"/>
    <w:rsid w:val="00760F4E"/>
    <w:rsid w:val="00761AC8"/>
    <w:rsid w:val="00762BCD"/>
    <w:rsid w:val="00764784"/>
    <w:rsid w:val="00770726"/>
    <w:rsid w:val="00770DC0"/>
    <w:rsid w:val="00771918"/>
    <w:rsid w:val="007727A7"/>
    <w:rsid w:val="00772F1D"/>
    <w:rsid w:val="00773721"/>
    <w:rsid w:val="00774EC3"/>
    <w:rsid w:val="00775E38"/>
    <w:rsid w:val="007760F9"/>
    <w:rsid w:val="00776811"/>
    <w:rsid w:val="007768B8"/>
    <w:rsid w:val="007770F8"/>
    <w:rsid w:val="00777D1A"/>
    <w:rsid w:val="00777F0D"/>
    <w:rsid w:val="0078064D"/>
    <w:rsid w:val="00781BDA"/>
    <w:rsid w:val="007822ED"/>
    <w:rsid w:val="00782855"/>
    <w:rsid w:val="00782EF9"/>
    <w:rsid w:val="007837ED"/>
    <w:rsid w:val="00784042"/>
    <w:rsid w:val="00784C74"/>
    <w:rsid w:val="007856C8"/>
    <w:rsid w:val="00785A23"/>
    <w:rsid w:val="0078657C"/>
    <w:rsid w:val="00786B2C"/>
    <w:rsid w:val="007872A6"/>
    <w:rsid w:val="00787367"/>
    <w:rsid w:val="00787487"/>
    <w:rsid w:val="00790052"/>
    <w:rsid w:val="00791498"/>
    <w:rsid w:val="00792248"/>
    <w:rsid w:val="00793703"/>
    <w:rsid w:val="00793770"/>
    <w:rsid w:val="00793D94"/>
    <w:rsid w:val="00794A98"/>
    <w:rsid w:val="00795175"/>
    <w:rsid w:val="007953EE"/>
    <w:rsid w:val="00795C2F"/>
    <w:rsid w:val="00796586"/>
    <w:rsid w:val="007978FF"/>
    <w:rsid w:val="00797FC1"/>
    <w:rsid w:val="007A21DD"/>
    <w:rsid w:val="007A22D1"/>
    <w:rsid w:val="007A2ABE"/>
    <w:rsid w:val="007A2BC3"/>
    <w:rsid w:val="007A2C9E"/>
    <w:rsid w:val="007A322F"/>
    <w:rsid w:val="007A3BEB"/>
    <w:rsid w:val="007A418C"/>
    <w:rsid w:val="007A4437"/>
    <w:rsid w:val="007A4641"/>
    <w:rsid w:val="007A477B"/>
    <w:rsid w:val="007A4D16"/>
    <w:rsid w:val="007A5239"/>
    <w:rsid w:val="007A5B21"/>
    <w:rsid w:val="007A5EBB"/>
    <w:rsid w:val="007A603B"/>
    <w:rsid w:val="007A6CE5"/>
    <w:rsid w:val="007A6FDB"/>
    <w:rsid w:val="007A714D"/>
    <w:rsid w:val="007B055B"/>
    <w:rsid w:val="007B14EE"/>
    <w:rsid w:val="007B32DB"/>
    <w:rsid w:val="007B548B"/>
    <w:rsid w:val="007B629A"/>
    <w:rsid w:val="007B7897"/>
    <w:rsid w:val="007B7903"/>
    <w:rsid w:val="007B7D60"/>
    <w:rsid w:val="007C0883"/>
    <w:rsid w:val="007C0A4E"/>
    <w:rsid w:val="007C1025"/>
    <w:rsid w:val="007C1536"/>
    <w:rsid w:val="007C193F"/>
    <w:rsid w:val="007C1A74"/>
    <w:rsid w:val="007C268C"/>
    <w:rsid w:val="007C2E96"/>
    <w:rsid w:val="007C3719"/>
    <w:rsid w:val="007C374A"/>
    <w:rsid w:val="007C5739"/>
    <w:rsid w:val="007C5CFB"/>
    <w:rsid w:val="007C5D64"/>
    <w:rsid w:val="007C5F2F"/>
    <w:rsid w:val="007C7405"/>
    <w:rsid w:val="007C7C36"/>
    <w:rsid w:val="007C7DCB"/>
    <w:rsid w:val="007D0679"/>
    <w:rsid w:val="007D0E7B"/>
    <w:rsid w:val="007D1761"/>
    <w:rsid w:val="007D1BF2"/>
    <w:rsid w:val="007D1D31"/>
    <w:rsid w:val="007D29BB"/>
    <w:rsid w:val="007D2AD3"/>
    <w:rsid w:val="007D3845"/>
    <w:rsid w:val="007D3AD2"/>
    <w:rsid w:val="007D514A"/>
    <w:rsid w:val="007D5311"/>
    <w:rsid w:val="007D5A1E"/>
    <w:rsid w:val="007D5ADD"/>
    <w:rsid w:val="007D6335"/>
    <w:rsid w:val="007D67BA"/>
    <w:rsid w:val="007E0D20"/>
    <w:rsid w:val="007E12DD"/>
    <w:rsid w:val="007E1EE6"/>
    <w:rsid w:val="007E1FFB"/>
    <w:rsid w:val="007E2285"/>
    <w:rsid w:val="007E2903"/>
    <w:rsid w:val="007E293B"/>
    <w:rsid w:val="007E3BA2"/>
    <w:rsid w:val="007E43AF"/>
    <w:rsid w:val="007E4EEC"/>
    <w:rsid w:val="007E5D42"/>
    <w:rsid w:val="007E5DAF"/>
    <w:rsid w:val="007E637A"/>
    <w:rsid w:val="007F216A"/>
    <w:rsid w:val="007F2467"/>
    <w:rsid w:val="007F2DF2"/>
    <w:rsid w:val="007F3DD9"/>
    <w:rsid w:val="007F44DF"/>
    <w:rsid w:val="007F571F"/>
    <w:rsid w:val="007F7770"/>
    <w:rsid w:val="007F7BA5"/>
    <w:rsid w:val="0080015F"/>
    <w:rsid w:val="008002BA"/>
    <w:rsid w:val="0080162A"/>
    <w:rsid w:val="008017DE"/>
    <w:rsid w:val="00801ADE"/>
    <w:rsid w:val="00801CF4"/>
    <w:rsid w:val="00801D7D"/>
    <w:rsid w:val="0080292D"/>
    <w:rsid w:val="00805517"/>
    <w:rsid w:val="00805603"/>
    <w:rsid w:val="008063A0"/>
    <w:rsid w:val="00807BC1"/>
    <w:rsid w:val="00807C52"/>
    <w:rsid w:val="00807C5A"/>
    <w:rsid w:val="008114AA"/>
    <w:rsid w:val="008122FD"/>
    <w:rsid w:val="008134E4"/>
    <w:rsid w:val="00814B71"/>
    <w:rsid w:val="00814F1E"/>
    <w:rsid w:val="0081566C"/>
    <w:rsid w:val="00817233"/>
    <w:rsid w:val="008173DD"/>
    <w:rsid w:val="00817A9B"/>
    <w:rsid w:val="00817C39"/>
    <w:rsid w:val="008219F9"/>
    <w:rsid w:val="00821EED"/>
    <w:rsid w:val="00822327"/>
    <w:rsid w:val="00822A3E"/>
    <w:rsid w:val="00822B95"/>
    <w:rsid w:val="00822BEF"/>
    <w:rsid w:val="00824794"/>
    <w:rsid w:val="00824900"/>
    <w:rsid w:val="00824DB5"/>
    <w:rsid w:val="00824FC2"/>
    <w:rsid w:val="00825CF0"/>
    <w:rsid w:val="00825DD2"/>
    <w:rsid w:val="00826F23"/>
    <w:rsid w:val="00830EA8"/>
    <w:rsid w:val="00831067"/>
    <w:rsid w:val="00831183"/>
    <w:rsid w:val="00831647"/>
    <w:rsid w:val="00831817"/>
    <w:rsid w:val="008319B5"/>
    <w:rsid w:val="00831F82"/>
    <w:rsid w:val="00832304"/>
    <w:rsid w:val="008324BE"/>
    <w:rsid w:val="00834261"/>
    <w:rsid w:val="008342CE"/>
    <w:rsid w:val="0083431C"/>
    <w:rsid w:val="00834CCF"/>
    <w:rsid w:val="0083532A"/>
    <w:rsid w:val="00835575"/>
    <w:rsid w:val="0083622F"/>
    <w:rsid w:val="00836B62"/>
    <w:rsid w:val="0083732F"/>
    <w:rsid w:val="00837A21"/>
    <w:rsid w:val="008412F8"/>
    <w:rsid w:val="0084242F"/>
    <w:rsid w:val="00842467"/>
    <w:rsid w:val="00842694"/>
    <w:rsid w:val="008428E7"/>
    <w:rsid w:val="00843161"/>
    <w:rsid w:val="008435BB"/>
    <w:rsid w:val="00844BC0"/>
    <w:rsid w:val="0084510B"/>
    <w:rsid w:val="00845E89"/>
    <w:rsid w:val="008463BD"/>
    <w:rsid w:val="00846712"/>
    <w:rsid w:val="00846731"/>
    <w:rsid w:val="008468A4"/>
    <w:rsid w:val="008468CD"/>
    <w:rsid w:val="008469C3"/>
    <w:rsid w:val="00846B20"/>
    <w:rsid w:val="008477D7"/>
    <w:rsid w:val="00847EEB"/>
    <w:rsid w:val="008501EF"/>
    <w:rsid w:val="0085060F"/>
    <w:rsid w:val="0085112B"/>
    <w:rsid w:val="0085120E"/>
    <w:rsid w:val="008514C9"/>
    <w:rsid w:val="0085168A"/>
    <w:rsid w:val="00851779"/>
    <w:rsid w:val="00851C40"/>
    <w:rsid w:val="00852677"/>
    <w:rsid w:val="00852DC8"/>
    <w:rsid w:val="0085357A"/>
    <w:rsid w:val="008537AA"/>
    <w:rsid w:val="00854BB7"/>
    <w:rsid w:val="00854C8D"/>
    <w:rsid w:val="00855429"/>
    <w:rsid w:val="0085661D"/>
    <w:rsid w:val="0085682F"/>
    <w:rsid w:val="00856904"/>
    <w:rsid w:val="008570C8"/>
    <w:rsid w:val="0085792D"/>
    <w:rsid w:val="00857957"/>
    <w:rsid w:val="008602B0"/>
    <w:rsid w:val="008604C6"/>
    <w:rsid w:val="008607E2"/>
    <w:rsid w:val="00860CBB"/>
    <w:rsid w:val="00860E63"/>
    <w:rsid w:val="00860E6D"/>
    <w:rsid w:val="00860F35"/>
    <w:rsid w:val="008610BC"/>
    <w:rsid w:val="00864D4E"/>
    <w:rsid w:val="00864F1E"/>
    <w:rsid w:val="00865870"/>
    <w:rsid w:val="0086678C"/>
    <w:rsid w:val="00867143"/>
    <w:rsid w:val="0086742B"/>
    <w:rsid w:val="00870363"/>
    <w:rsid w:val="00870528"/>
    <w:rsid w:val="008708E1"/>
    <w:rsid w:val="008710DC"/>
    <w:rsid w:val="0087190E"/>
    <w:rsid w:val="00871E04"/>
    <w:rsid w:val="00871F97"/>
    <w:rsid w:val="008735D6"/>
    <w:rsid w:val="0087371F"/>
    <w:rsid w:val="00873A7D"/>
    <w:rsid w:val="00873DCA"/>
    <w:rsid w:val="00874157"/>
    <w:rsid w:val="00875D89"/>
    <w:rsid w:val="00875EA8"/>
    <w:rsid w:val="00876CC7"/>
    <w:rsid w:val="0087780A"/>
    <w:rsid w:val="00877B36"/>
    <w:rsid w:val="0088036E"/>
    <w:rsid w:val="00880B5A"/>
    <w:rsid w:val="00880F8A"/>
    <w:rsid w:val="00881619"/>
    <w:rsid w:val="00881AA1"/>
    <w:rsid w:val="00881CDA"/>
    <w:rsid w:val="00883375"/>
    <w:rsid w:val="00884644"/>
    <w:rsid w:val="00884C8C"/>
    <w:rsid w:val="00885189"/>
    <w:rsid w:val="00885803"/>
    <w:rsid w:val="008861AF"/>
    <w:rsid w:val="008862E0"/>
    <w:rsid w:val="00887821"/>
    <w:rsid w:val="00887A9A"/>
    <w:rsid w:val="00887D35"/>
    <w:rsid w:val="0089122E"/>
    <w:rsid w:val="00891E1D"/>
    <w:rsid w:val="00891F7F"/>
    <w:rsid w:val="008927E8"/>
    <w:rsid w:val="00893892"/>
    <w:rsid w:val="00893D31"/>
    <w:rsid w:val="00894C87"/>
    <w:rsid w:val="00894DE8"/>
    <w:rsid w:val="00895D7E"/>
    <w:rsid w:val="0089683D"/>
    <w:rsid w:val="00897DD4"/>
    <w:rsid w:val="008A137C"/>
    <w:rsid w:val="008A26B3"/>
    <w:rsid w:val="008A2B1A"/>
    <w:rsid w:val="008A2DA3"/>
    <w:rsid w:val="008A3023"/>
    <w:rsid w:val="008A33B1"/>
    <w:rsid w:val="008A63D7"/>
    <w:rsid w:val="008A6D51"/>
    <w:rsid w:val="008A6DA8"/>
    <w:rsid w:val="008B0F3C"/>
    <w:rsid w:val="008B178D"/>
    <w:rsid w:val="008B1800"/>
    <w:rsid w:val="008B1F3A"/>
    <w:rsid w:val="008B205D"/>
    <w:rsid w:val="008B2534"/>
    <w:rsid w:val="008B2575"/>
    <w:rsid w:val="008B2BC7"/>
    <w:rsid w:val="008B2CB7"/>
    <w:rsid w:val="008B2D61"/>
    <w:rsid w:val="008B3735"/>
    <w:rsid w:val="008B5586"/>
    <w:rsid w:val="008B5686"/>
    <w:rsid w:val="008B5D27"/>
    <w:rsid w:val="008B6751"/>
    <w:rsid w:val="008B6C87"/>
    <w:rsid w:val="008B6D46"/>
    <w:rsid w:val="008B702E"/>
    <w:rsid w:val="008B73C3"/>
    <w:rsid w:val="008C01F9"/>
    <w:rsid w:val="008C0EBA"/>
    <w:rsid w:val="008C0F6E"/>
    <w:rsid w:val="008C117F"/>
    <w:rsid w:val="008C11D0"/>
    <w:rsid w:val="008C1FDA"/>
    <w:rsid w:val="008C2C2C"/>
    <w:rsid w:val="008C381D"/>
    <w:rsid w:val="008C4081"/>
    <w:rsid w:val="008C533F"/>
    <w:rsid w:val="008C63DE"/>
    <w:rsid w:val="008C64A6"/>
    <w:rsid w:val="008C717B"/>
    <w:rsid w:val="008C76D0"/>
    <w:rsid w:val="008C7E5F"/>
    <w:rsid w:val="008D0806"/>
    <w:rsid w:val="008D1552"/>
    <w:rsid w:val="008D15D8"/>
    <w:rsid w:val="008D1EB3"/>
    <w:rsid w:val="008D2A79"/>
    <w:rsid w:val="008D2E02"/>
    <w:rsid w:val="008D3C32"/>
    <w:rsid w:val="008D4594"/>
    <w:rsid w:val="008D4D38"/>
    <w:rsid w:val="008D54E3"/>
    <w:rsid w:val="008D5A4A"/>
    <w:rsid w:val="008D61EE"/>
    <w:rsid w:val="008D6C4B"/>
    <w:rsid w:val="008D72F1"/>
    <w:rsid w:val="008D7F26"/>
    <w:rsid w:val="008E0342"/>
    <w:rsid w:val="008E0DE0"/>
    <w:rsid w:val="008E1667"/>
    <w:rsid w:val="008E1690"/>
    <w:rsid w:val="008E1991"/>
    <w:rsid w:val="008E1A52"/>
    <w:rsid w:val="008E2A5D"/>
    <w:rsid w:val="008E3012"/>
    <w:rsid w:val="008E3589"/>
    <w:rsid w:val="008E380B"/>
    <w:rsid w:val="008E383C"/>
    <w:rsid w:val="008E388F"/>
    <w:rsid w:val="008E5134"/>
    <w:rsid w:val="008E5BE0"/>
    <w:rsid w:val="008E7940"/>
    <w:rsid w:val="008E7F9D"/>
    <w:rsid w:val="008F0293"/>
    <w:rsid w:val="008F256B"/>
    <w:rsid w:val="008F2684"/>
    <w:rsid w:val="008F3BB2"/>
    <w:rsid w:val="008F441E"/>
    <w:rsid w:val="008F4866"/>
    <w:rsid w:val="008F4912"/>
    <w:rsid w:val="008F5358"/>
    <w:rsid w:val="008F538B"/>
    <w:rsid w:val="008F597E"/>
    <w:rsid w:val="008F5BEC"/>
    <w:rsid w:val="008F6211"/>
    <w:rsid w:val="008F676D"/>
    <w:rsid w:val="008F709B"/>
    <w:rsid w:val="008F7E22"/>
    <w:rsid w:val="00902364"/>
    <w:rsid w:val="00902690"/>
    <w:rsid w:val="00902F85"/>
    <w:rsid w:val="00902FB2"/>
    <w:rsid w:val="00904BB5"/>
    <w:rsid w:val="00905548"/>
    <w:rsid w:val="0090674A"/>
    <w:rsid w:val="009072BC"/>
    <w:rsid w:val="00907D16"/>
    <w:rsid w:val="009104E8"/>
    <w:rsid w:val="00910785"/>
    <w:rsid w:val="00910BBC"/>
    <w:rsid w:val="00910EAC"/>
    <w:rsid w:val="00912219"/>
    <w:rsid w:val="00912579"/>
    <w:rsid w:val="00912864"/>
    <w:rsid w:val="00912970"/>
    <w:rsid w:val="00913134"/>
    <w:rsid w:val="009133EB"/>
    <w:rsid w:val="00914847"/>
    <w:rsid w:val="0091499B"/>
    <w:rsid w:val="00915149"/>
    <w:rsid w:val="0091517B"/>
    <w:rsid w:val="00915812"/>
    <w:rsid w:val="00916487"/>
    <w:rsid w:val="009169F8"/>
    <w:rsid w:val="00917957"/>
    <w:rsid w:val="0092083E"/>
    <w:rsid w:val="00920B36"/>
    <w:rsid w:val="00921F2B"/>
    <w:rsid w:val="00922058"/>
    <w:rsid w:val="0092283F"/>
    <w:rsid w:val="00922BBB"/>
    <w:rsid w:val="00923638"/>
    <w:rsid w:val="00924460"/>
    <w:rsid w:val="009244EE"/>
    <w:rsid w:val="00924DF4"/>
    <w:rsid w:val="00925095"/>
    <w:rsid w:val="009252BA"/>
    <w:rsid w:val="00925C18"/>
    <w:rsid w:val="0092728E"/>
    <w:rsid w:val="009309A1"/>
    <w:rsid w:val="0093150A"/>
    <w:rsid w:val="00931776"/>
    <w:rsid w:val="00932FB6"/>
    <w:rsid w:val="0093374B"/>
    <w:rsid w:val="009343E8"/>
    <w:rsid w:val="00934DB6"/>
    <w:rsid w:val="00935041"/>
    <w:rsid w:val="00935928"/>
    <w:rsid w:val="00936288"/>
    <w:rsid w:val="00936631"/>
    <w:rsid w:val="00936BB4"/>
    <w:rsid w:val="00936C0A"/>
    <w:rsid w:val="00936CB6"/>
    <w:rsid w:val="00936CBC"/>
    <w:rsid w:val="009371B3"/>
    <w:rsid w:val="00937735"/>
    <w:rsid w:val="009405B8"/>
    <w:rsid w:val="00940D6B"/>
    <w:rsid w:val="00941234"/>
    <w:rsid w:val="009415EF"/>
    <w:rsid w:val="00942B10"/>
    <w:rsid w:val="00943048"/>
    <w:rsid w:val="00943A78"/>
    <w:rsid w:val="00943E32"/>
    <w:rsid w:val="00944306"/>
    <w:rsid w:val="009443B2"/>
    <w:rsid w:val="00944AB3"/>
    <w:rsid w:val="0094523F"/>
    <w:rsid w:val="00945686"/>
    <w:rsid w:val="00947409"/>
    <w:rsid w:val="00950609"/>
    <w:rsid w:val="00950839"/>
    <w:rsid w:val="00951D92"/>
    <w:rsid w:val="0095209D"/>
    <w:rsid w:val="009535E3"/>
    <w:rsid w:val="00953602"/>
    <w:rsid w:val="009545A3"/>
    <w:rsid w:val="00954E54"/>
    <w:rsid w:val="009551F2"/>
    <w:rsid w:val="00955245"/>
    <w:rsid w:val="00955846"/>
    <w:rsid w:val="00957370"/>
    <w:rsid w:val="009573CA"/>
    <w:rsid w:val="00957F15"/>
    <w:rsid w:val="00957F30"/>
    <w:rsid w:val="00960C07"/>
    <w:rsid w:val="00960C10"/>
    <w:rsid w:val="00960D3C"/>
    <w:rsid w:val="00960DD2"/>
    <w:rsid w:val="00963072"/>
    <w:rsid w:val="00963D08"/>
    <w:rsid w:val="00964554"/>
    <w:rsid w:val="00964ADF"/>
    <w:rsid w:val="009659EC"/>
    <w:rsid w:val="00965B1E"/>
    <w:rsid w:val="009661BD"/>
    <w:rsid w:val="00966C92"/>
    <w:rsid w:val="00967234"/>
    <w:rsid w:val="00967279"/>
    <w:rsid w:val="00967580"/>
    <w:rsid w:val="0096766C"/>
    <w:rsid w:val="00967BC3"/>
    <w:rsid w:val="00970BAB"/>
    <w:rsid w:val="0097131F"/>
    <w:rsid w:val="00972EA4"/>
    <w:rsid w:val="00973172"/>
    <w:rsid w:val="00973FA3"/>
    <w:rsid w:val="009740AE"/>
    <w:rsid w:val="00974361"/>
    <w:rsid w:val="009743F4"/>
    <w:rsid w:val="0097618F"/>
    <w:rsid w:val="0097722D"/>
    <w:rsid w:val="00980FE1"/>
    <w:rsid w:val="00981256"/>
    <w:rsid w:val="0098140D"/>
    <w:rsid w:val="009816B2"/>
    <w:rsid w:val="0098170D"/>
    <w:rsid w:val="009826DC"/>
    <w:rsid w:val="00982EC6"/>
    <w:rsid w:val="00982FAC"/>
    <w:rsid w:val="009834A0"/>
    <w:rsid w:val="00983E39"/>
    <w:rsid w:val="009858CF"/>
    <w:rsid w:val="00985D19"/>
    <w:rsid w:val="00986FC9"/>
    <w:rsid w:val="0099020D"/>
    <w:rsid w:val="0099073D"/>
    <w:rsid w:val="00992DBB"/>
    <w:rsid w:val="00994ACD"/>
    <w:rsid w:val="009A01F5"/>
    <w:rsid w:val="009A0205"/>
    <w:rsid w:val="009A035D"/>
    <w:rsid w:val="009A06E4"/>
    <w:rsid w:val="009A0B64"/>
    <w:rsid w:val="009A0DE5"/>
    <w:rsid w:val="009A0F46"/>
    <w:rsid w:val="009A1B5D"/>
    <w:rsid w:val="009A21DA"/>
    <w:rsid w:val="009A2740"/>
    <w:rsid w:val="009A2840"/>
    <w:rsid w:val="009A289D"/>
    <w:rsid w:val="009A3A3A"/>
    <w:rsid w:val="009A4249"/>
    <w:rsid w:val="009A47DB"/>
    <w:rsid w:val="009A511B"/>
    <w:rsid w:val="009A6307"/>
    <w:rsid w:val="009A63F9"/>
    <w:rsid w:val="009A6AA5"/>
    <w:rsid w:val="009A6E1B"/>
    <w:rsid w:val="009A7892"/>
    <w:rsid w:val="009B1C49"/>
    <w:rsid w:val="009B48E8"/>
    <w:rsid w:val="009B49D6"/>
    <w:rsid w:val="009C06EA"/>
    <w:rsid w:val="009C0968"/>
    <w:rsid w:val="009C0CFC"/>
    <w:rsid w:val="009C0D4F"/>
    <w:rsid w:val="009C11B4"/>
    <w:rsid w:val="009C15E8"/>
    <w:rsid w:val="009C1697"/>
    <w:rsid w:val="009C1E8C"/>
    <w:rsid w:val="009C2D54"/>
    <w:rsid w:val="009C36B6"/>
    <w:rsid w:val="009C3E5F"/>
    <w:rsid w:val="009C3EAB"/>
    <w:rsid w:val="009C4E42"/>
    <w:rsid w:val="009C4FA9"/>
    <w:rsid w:val="009C52E2"/>
    <w:rsid w:val="009C5487"/>
    <w:rsid w:val="009C5A20"/>
    <w:rsid w:val="009C6400"/>
    <w:rsid w:val="009C64D4"/>
    <w:rsid w:val="009C6662"/>
    <w:rsid w:val="009C6E84"/>
    <w:rsid w:val="009C7877"/>
    <w:rsid w:val="009D0490"/>
    <w:rsid w:val="009D0A06"/>
    <w:rsid w:val="009D0B1E"/>
    <w:rsid w:val="009D13D4"/>
    <w:rsid w:val="009D153F"/>
    <w:rsid w:val="009D30F3"/>
    <w:rsid w:val="009D337F"/>
    <w:rsid w:val="009D3685"/>
    <w:rsid w:val="009D3735"/>
    <w:rsid w:val="009D4DF1"/>
    <w:rsid w:val="009D738D"/>
    <w:rsid w:val="009D73C4"/>
    <w:rsid w:val="009D7594"/>
    <w:rsid w:val="009D79F9"/>
    <w:rsid w:val="009D7C10"/>
    <w:rsid w:val="009E10CA"/>
    <w:rsid w:val="009E160D"/>
    <w:rsid w:val="009E3418"/>
    <w:rsid w:val="009E4CF7"/>
    <w:rsid w:val="009E4D53"/>
    <w:rsid w:val="009E5195"/>
    <w:rsid w:val="009E5BBD"/>
    <w:rsid w:val="009E5DBB"/>
    <w:rsid w:val="009E5E2D"/>
    <w:rsid w:val="009E6BEA"/>
    <w:rsid w:val="009E6CB3"/>
    <w:rsid w:val="009E7509"/>
    <w:rsid w:val="009E7955"/>
    <w:rsid w:val="009F0646"/>
    <w:rsid w:val="009F1492"/>
    <w:rsid w:val="009F2548"/>
    <w:rsid w:val="009F27D9"/>
    <w:rsid w:val="009F2B33"/>
    <w:rsid w:val="009F3529"/>
    <w:rsid w:val="009F3A7D"/>
    <w:rsid w:val="009F4D04"/>
    <w:rsid w:val="009F523B"/>
    <w:rsid w:val="009F53DB"/>
    <w:rsid w:val="009F56F4"/>
    <w:rsid w:val="009F5C04"/>
    <w:rsid w:val="009F5E18"/>
    <w:rsid w:val="009F649C"/>
    <w:rsid w:val="009F68C7"/>
    <w:rsid w:val="009F709D"/>
    <w:rsid w:val="00A006D8"/>
    <w:rsid w:val="00A00E28"/>
    <w:rsid w:val="00A00E8E"/>
    <w:rsid w:val="00A016DA"/>
    <w:rsid w:val="00A018DB"/>
    <w:rsid w:val="00A01DAD"/>
    <w:rsid w:val="00A02130"/>
    <w:rsid w:val="00A025A0"/>
    <w:rsid w:val="00A02DBB"/>
    <w:rsid w:val="00A02E49"/>
    <w:rsid w:val="00A02EC0"/>
    <w:rsid w:val="00A03175"/>
    <w:rsid w:val="00A0470C"/>
    <w:rsid w:val="00A0493F"/>
    <w:rsid w:val="00A04C50"/>
    <w:rsid w:val="00A051A8"/>
    <w:rsid w:val="00A05868"/>
    <w:rsid w:val="00A06782"/>
    <w:rsid w:val="00A0681D"/>
    <w:rsid w:val="00A069B5"/>
    <w:rsid w:val="00A075BF"/>
    <w:rsid w:val="00A10033"/>
    <w:rsid w:val="00A10C65"/>
    <w:rsid w:val="00A11B01"/>
    <w:rsid w:val="00A11B6F"/>
    <w:rsid w:val="00A11FDC"/>
    <w:rsid w:val="00A12735"/>
    <w:rsid w:val="00A14342"/>
    <w:rsid w:val="00A149BB"/>
    <w:rsid w:val="00A152AD"/>
    <w:rsid w:val="00A16121"/>
    <w:rsid w:val="00A16CB8"/>
    <w:rsid w:val="00A1721E"/>
    <w:rsid w:val="00A17868"/>
    <w:rsid w:val="00A17A96"/>
    <w:rsid w:val="00A17C12"/>
    <w:rsid w:val="00A203AE"/>
    <w:rsid w:val="00A20E47"/>
    <w:rsid w:val="00A20F55"/>
    <w:rsid w:val="00A21658"/>
    <w:rsid w:val="00A221B0"/>
    <w:rsid w:val="00A225A5"/>
    <w:rsid w:val="00A22E49"/>
    <w:rsid w:val="00A23979"/>
    <w:rsid w:val="00A23B7E"/>
    <w:rsid w:val="00A23BAD"/>
    <w:rsid w:val="00A2419F"/>
    <w:rsid w:val="00A2422B"/>
    <w:rsid w:val="00A24622"/>
    <w:rsid w:val="00A247F6"/>
    <w:rsid w:val="00A24BD8"/>
    <w:rsid w:val="00A24DA0"/>
    <w:rsid w:val="00A24E80"/>
    <w:rsid w:val="00A254A4"/>
    <w:rsid w:val="00A27303"/>
    <w:rsid w:val="00A27629"/>
    <w:rsid w:val="00A300A6"/>
    <w:rsid w:val="00A30524"/>
    <w:rsid w:val="00A31B3C"/>
    <w:rsid w:val="00A31DB4"/>
    <w:rsid w:val="00A3383E"/>
    <w:rsid w:val="00A33C91"/>
    <w:rsid w:val="00A3510D"/>
    <w:rsid w:val="00A35C15"/>
    <w:rsid w:val="00A36E32"/>
    <w:rsid w:val="00A37E36"/>
    <w:rsid w:val="00A40023"/>
    <w:rsid w:val="00A41403"/>
    <w:rsid w:val="00A44207"/>
    <w:rsid w:val="00A444E7"/>
    <w:rsid w:val="00A44AB0"/>
    <w:rsid w:val="00A45429"/>
    <w:rsid w:val="00A4581E"/>
    <w:rsid w:val="00A462D1"/>
    <w:rsid w:val="00A46C1C"/>
    <w:rsid w:val="00A47559"/>
    <w:rsid w:val="00A47C7E"/>
    <w:rsid w:val="00A47DCB"/>
    <w:rsid w:val="00A503EA"/>
    <w:rsid w:val="00A50BCF"/>
    <w:rsid w:val="00A50D1E"/>
    <w:rsid w:val="00A50E95"/>
    <w:rsid w:val="00A51898"/>
    <w:rsid w:val="00A526C6"/>
    <w:rsid w:val="00A52E13"/>
    <w:rsid w:val="00A5434E"/>
    <w:rsid w:val="00A5475B"/>
    <w:rsid w:val="00A54A27"/>
    <w:rsid w:val="00A54A39"/>
    <w:rsid w:val="00A550D5"/>
    <w:rsid w:val="00A55169"/>
    <w:rsid w:val="00A551DD"/>
    <w:rsid w:val="00A55ACC"/>
    <w:rsid w:val="00A56399"/>
    <w:rsid w:val="00A5672F"/>
    <w:rsid w:val="00A567D4"/>
    <w:rsid w:val="00A56AB9"/>
    <w:rsid w:val="00A57246"/>
    <w:rsid w:val="00A57DFA"/>
    <w:rsid w:val="00A60E07"/>
    <w:rsid w:val="00A60F0B"/>
    <w:rsid w:val="00A61471"/>
    <w:rsid w:val="00A61BB0"/>
    <w:rsid w:val="00A631C3"/>
    <w:rsid w:val="00A6371C"/>
    <w:rsid w:val="00A642B4"/>
    <w:rsid w:val="00A64FBC"/>
    <w:rsid w:val="00A657B5"/>
    <w:rsid w:val="00A66F40"/>
    <w:rsid w:val="00A66FF4"/>
    <w:rsid w:val="00A67789"/>
    <w:rsid w:val="00A6791D"/>
    <w:rsid w:val="00A7027F"/>
    <w:rsid w:val="00A715E6"/>
    <w:rsid w:val="00A7248A"/>
    <w:rsid w:val="00A7249D"/>
    <w:rsid w:val="00A72579"/>
    <w:rsid w:val="00A72AB3"/>
    <w:rsid w:val="00A72CB3"/>
    <w:rsid w:val="00A734C0"/>
    <w:rsid w:val="00A74A1B"/>
    <w:rsid w:val="00A806F1"/>
    <w:rsid w:val="00A80BB5"/>
    <w:rsid w:val="00A818A9"/>
    <w:rsid w:val="00A81D07"/>
    <w:rsid w:val="00A83204"/>
    <w:rsid w:val="00A83CD9"/>
    <w:rsid w:val="00A83FB5"/>
    <w:rsid w:val="00A83FE2"/>
    <w:rsid w:val="00A847E6"/>
    <w:rsid w:val="00A8496C"/>
    <w:rsid w:val="00A9060A"/>
    <w:rsid w:val="00A91447"/>
    <w:rsid w:val="00A91456"/>
    <w:rsid w:val="00A92265"/>
    <w:rsid w:val="00A92624"/>
    <w:rsid w:val="00A92B1A"/>
    <w:rsid w:val="00A946B4"/>
    <w:rsid w:val="00A955A9"/>
    <w:rsid w:val="00A95799"/>
    <w:rsid w:val="00A95B04"/>
    <w:rsid w:val="00A96117"/>
    <w:rsid w:val="00A96296"/>
    <w:rsid w:val="00A964D5"/>
    <w:rsid w:val="00A96540"/>
    <w:rsid w:val="00A97865"/>
    <w:rsid w:val="00AA041B"/>
    <w:rsid w:val="00AA08E1"/>
    <w:rsid w:val="00AA1196"/>
    <w:rsid w:val="00AA1D75"/>
    <w:rsid w:val="00AA2097"/>
    <w:rsid w:val="00AA3707"/>
    <w:rsid w:val="00AA3CEF"/>
    <w:rsid w:val="00AA436D"/>
    <w:rsid w:val="00AA56AE"/>
    <w:rsid w:val="00AA5D10"/>
    <w:rsid w:val="00AA7032"/>
    <w:rsid w:val="00AA73CD"/>
    <w:rsid w:val="00AA79E3"/>
    <w:rsid w:val="00AB0938"/>
    <w:rsid w:val="00AB1AC2"/>
    <w:rsid w:val="00AB1DEF"/>
    <w:rsid w:val="00AB2333"/>
    <w:rsid w:val="00AB28F6"/>
    <w:rsid w:val="00AB2F0D"/>
    <w:rsid w:val="00AB31D2"/>
    <w:rsid w:val="00AB4076"/>
    <w:rsid w:val="00AB465D"/>
    <w:rsid w:val="00AB4822"/>
    <w:rsid w:val="00AB4A64"/>
    <w:rsid w:val="00AB5520"/>
    <w:rsid w:val="00AB58AE"/>
    <w:rsid w:val="00AB5931"/>
    <w:rsid w:val="00AB74B3"/>
    <w:rsid w:val="00AB7851"/>
    <w:rsid w:val="00AC18A5"/>
    <w:rsid w:val="00AC1A3C"/>
    <w:rsid w:val="00AC3650"/>
    <w:rsid w:val="00AC37FA"/>
    <w:rsid w:val="00AC3DCB"/>
    <w:rsid w:val="00AC4026"/>
    <w:rsid w:val="00AC4072"/>
    <w:rsid w:val="00AC4288"/>
    <w:rsid w:val="00AC48E4"/>
    <w:rsid w:val="00AC64B2"/>
    <w:rsid w:val="00AC7193"/>
    <w:rsid w:val="00AC7A65"/>
    <w:rsid w:val="00AC7F97"/>
    <w:rsid w:val="00AD0A8C"/>
    <w:rsid w:val="00AD0EC4"/>
    <w:rsid w:val="00AD172B"/>
    <w:rsid w:val="00AD1B27"/>
    <w:rsid w:val="00AD2572"/>
    <w:rsid w:val="00AD2733"/>
    <w:rsid w:val="00AD2776"/>
    <w:rsid w:val="00AD2A4A"/>
    <w:rsid w:val="00AD2ECF"/>
    <w:rsid w:val="00AD39CE"/>
    <w:rsid w:val="00AD3A72"/>
    <w:rsid w:val="00AD4185"/>
    <w:rsid w:val="00AD433F"/>
    <w:rsid w:val="00AD4A97"/>
    <w:rsid w:val="00AD4F47"/>
    <w:rsid w:val="00AD6508"/>
    <w:rsid w:val="00AD68EF"/>
    <w:rsid w:val="00AD69F5"/>
    <w:rsid w:val="00AE0214"/>
    <w:rsid w:val="00AE0389"/>
    <w:rsid w:val="00AE0BB2"/>
    <w:rsid w:val="00AE10F5"/>
    <w:rsid w:val="00AE11DC"/>
    <w:rsid w:val="00AE12C8"/>
    <w:rsid w:val="00AE14B2"/>
    <w:rsid w:val="00AE22E6"/>
    <w:rsid w:val="00AE268E"/>
    <w:rsid w:val="00AE297D"/>
    <w:rsid w:val="00AE39A1"/>
    <w:rsid w:val="00AE3BCF"/>
    <w:rsid w:val="00AE4C00"/>
    <w:rsid w:val="00AE5B8E"/>
    <w:rsid w:val="00AE69EE"/>
    <w:rsid w:val="00AE6D5F"/>
    <w:rsid w:val="00AE6E7D"/>
    <w:rsid w:val="00AE778D"/>
    <w:rsid w:val="00AE7C3D"/>
    <w:rsid w:val="00AE7FCA"/>
    <w:rsid w:val="00AE7FF1"/>
    <w:rsid w:val="00AF03C1"/>
    <w:rsid w:val="00AF0674"/>
    <w:rsid w:val="00AF14FB"/>
    <w:rsid w:val="00AF2467"/>
    <w:rsid w:val="00AF2E56"/>
    <w:rsid w:val="00AF4074"/>
    <w:rsid w:val="00AF5981"/>
    <w:rsid w:val="00AF6545"/>
    <w:rsid w:val="00AF6CEB"/>
    <w:rsid w:val="00B000EB"/>
    <w:rsid w:val="00B00105"/>
    <w:rsid w:val="00B00279"/>
    <w:rsid w:val="00B00707"/>
    <w:rsid w:val="00B012A6"/>
    <w:rsid w:val="00B01FA7"/>
    <w:rsid w:val="00B02DA0"/>
    <w:rsid w:val="00B030E7"/>
    <w:rsid w:val="00B037E1"/>
    <w:rsid w:val="00B0399B"/>
    <w:rsid w:val="00B048D3"/>
    <w:rsid w:val="00B04D93"/>
    <w:rsid w:val="00B04DDE"/>
    <w:rsid w:val="00B055AD"/>
    <w:rsid w:val="00B0607B"/>
    <w:rsid w:val="00B06656"/>
    <w:rsid w:val="00B10065"/>
    <w:rsid w:val="00B10DF2"/>
    <w:rsid w:val="00B12355"/>
    <w:rsid w:val="00B12B95"/>
    <w:rsid w:val="00B12BDF"/>
    <w:rsid w:val="00B133B6"/>
    <w:rsid w:val="00B138EA"/>
    <w:rsid w:val="00B13E03"/>
    <w:rsid w:val="00B13E92"/>
    <w:rsid w:val="00B146D5"/>
    <w:rsid w:val="00B1504F"/>
    <w:rsid w:val="00B15653"/>
    <w:rsid w:val="00B1588A"/>
    <w:rsid w:val="00B15980"/>
    <w:rsid w:val="00B1623C"/>
    <w:rsid w:val="00B1737E"/>
    <w:rsid w:val="00B201C0"/>
    <w:rsid w:val="00B20345"/>
    <w:rsid w:val="00B211B9"/>
    <w:rsid w:val="00B23168"/>
    <w:rsid w:val="00B236E8"/>
    <w:rsid w:val="00B239A9"/>
    <w:rsid w:val="00B24AD1"/>
    <w:rsid w:val="00B24B34"/>
    <w:rsid w:val="00B253A6"/>
    <w:rsid w:val="00B256A7"/>
    <w:rsid w:val="00B263D3"/>
    <w:rsid w:val="00B266C6"/>
    <w:rsid w:val="00B27668"/>
    <w:rsid w:val="00B27F6D"/>
    <w:rsid w:val="00B3005F"/>
    <w:rsid w:val="00B30124"/>
    <w:rsid w:val="00B319AA"/>
    <w:rsid w:val="00B32658"/>
    <w:rsid w:val="00B3275A"/>
    <w:rsid w:val="00B3368E"/>
    <w:rsid w:val="00B33693"/>
    <w:rsid w:val="00B340EF"/>
    <w:rsid w:val="00B34638"/>
    <w:rsid w:val="00B34998"/>
    <w:rsid w:val="00B34F1B"/>
    <w:rsid w:val="00B36563"/>
    <w:rsid w:val="00B37695"/>
    <w:rsid w:val="00B3776B"/>
    <w:rsid w:val="00B37A99"/>
    <w:rsid w:val="00B404DD"/>
    <w:rsid w:val="00B4119E"/>
    <w:rsid w:val="00B41229"/>
    <w:rsid w:val="00B427BD"/>
    <w:rsid w:val="00B42BCF"/>
    <w:rsid w:val="00B42D82"/>
    <w:rsid w:val="00B433CD"/>
    <w:rsid w:val="00B43D3F"/>
    <w:rsid w:val="00B455BE"/>
    <w:rsid w:val="00B46CD3"/>
    <w:rsid w:val="00B4727B"/>
    <w:rsid w:val="00B5047A"/>
    <w:rsid w:val="00B50A08"/>
    <w:rsid w:val="00B50AFD"/>
    <w:rsid w:val="00B51362"/>
    <w:rsid w:val="00B5196E"/>
    <w:rsid w:val="00B529DE"/>
    <w:rsid w:val="00B535B9"/>
    <w:rsid w:val="00B53D68"/>
    <w:rsid w:val="00B54A08"/>
    <w:rsid w:val="00B54C29"/>
    <w:rsid w:val="00B54EA2"/>
    <w:rsid w:val="00B57120"/>
    <w:rsid w:val="00B57B4C"/>
    <w:rsid w:val="00B57E30"/>
    <w:rsid w:val="00B61C94"/>
    <w:rsid w:val="00B626EA"/>
    <w:rsid w:val="00B62720"/>
    <w:rsid w:val="00B62875"/>
    <w:rsid w:val="00B62F42"/>
    <w:rsid w:val="00B62FB9"/>
    <w:rsid w:val="00B63128"/>
    <w:rsid w:val="00B638EE"/>
    <w:rsid w:val="00B64006"/>
    <w:rsid w:val="00B646A5"/>
    <w:rsid w:val="00B64E05"/>
    <w:rsid w:val="00B64F46"/>
    <w:rsid w:val="00B64F92"/>
    <w:rsid w:val="00B665B8"/>
    <w:rsid w:val="00B702B1"/>
    <w:rsid w:val="00B70C16"/>
    <w:rsid w:val="00B71FFF"/>
    <w:rsid w:val="00B72D45"/>
    <w:rsid w:val="00B73273"/>
    <w:rsid w:val="00B7541E"/>
    <w:rsid w:val="00B75B22"/>
    <w:rsid w:val="00B7615C"/>
    <w:rsid w:val="00B767F5"/>
    <w:rsid w:val="00B7680F"/>
    <w:rsid w:val="00B76D56"/>
    <w:rsid w:val="00B8047F"/>
    <w:rsid w:val="00B812CC"/>
    <w:rsid w:val="00B816F4"/>
    <w:rsid w:val="00B819B9"/>
    <w:rsid w:val="00B82860"/>
    <w:rsid w:val="00B82E71"/>
    <w:rsid w:val="00B83E21"/>
    <w:rsid w:val="00B8411E"/>
    <w:rsid w:val="00B84427"/>
    <w:rsid w:val="00B85BE3"/>
    <w:rsid w:val="00B86086"/>
    <w:rsid w:val="00B86626"/>
    <w:rsid w:val="00B86B2F"/>
    <w:rsid w:val="00B8713C"/>
    <w:rsid w:val="00B90EA1"/>
    <w:rsid w:val="00B91436"/>
    <w:rsid w:val="00B91782"/>
    <w:rsid w:val="00B921E7"/>
    <w:rsid w:val="00B92943"/>
    <w:rsid w:val="00B92E2F"/>
    <w:rsid w:val="00B9354F"/>
    <w:rsid w:val="00B94979"/>
    <w:rsid w:val="00B9755C"/>
    <w:rsid w:val="00B97A68"/>
    <w:rsid w:val="00BA147B"/>
    <w:rsid w:val="00BA2EDF"/>
    <w:rsid w:val="00BA3A5C"/>
    <w:rsid w:val="00BA4BEA"/>
    <w:rsid w:val="00BA4E0A"/>
    <w:rsid w:val="00BA6950"/>
    <w:rsid w:val="00BA762E"/>
    <w:rsid w:val="00BA7D7B"/>
    <w:rsid w:val="00BB090D"/>
    <w:rsid w:val="00BB0EEF"/>
    <w:rsid w:val="00BB0FAE"/>
    <w:rsid w:val="00BB1914"/>
    <w:rsid w:val="00BB2294"/>
    <w:rsid w:val="00BB2BD9"/>
    <w:rsid w:val="00BB33FE"/>
    <w:rsid w:val="00BB3C2D"/>
    <w:rsid w:val="00BB615E"/>
    <w:rsid w:val="00BB714A"/>
    <w:rsid w:val="00BC058B"/>
    <w:rsid w:val="00BC0DCF"/>
    <w:rsid w:val="00BC1037"/>
    <w:rsid w:val="00BC2CD0"/>
    <w:rsid w:val="00BC365C"/>
    <w:rsid w:val="00BC4C4D"/>
    <w:rsid w:val="00BC4DAF"/>
    <w:rsid w:val="00BC5005"/>
    <w:rsid w:val="00BC57D0"/>
    <w:rsid w:val="00BC6022"/>
    <w:rsid w:val="00BC637B"/>
    <w:rsid w:val="00BD0F15"/>
    <w:rsid w:val="00BD1A1D"/>
    <w:rsid w:val="00BD216D"/>
    <w:rsid w:val="00BD2506"/>
    <w:rsid w:val="00BD477B"/>
    <w:rsid w:val="00BD488C"/>
    <w:rsid w:val="00BD4CB9"/>
    <w:rsid w:val="00BD4E3B"/>
    <w:rsid w:val="00BD5CF2"/>
    <w:rsid w:val="00BD73E6"/>
    <w:rsid w:val="00BD7FAE"/>
    <w:rsid w:val="00BE09C8"/>
    <w:rsid w:val="00BE0A92"/>
    <w:rsid w:val="00BE1850"/>
    <w:rsid w:val="00BE2C25"/>
    <w:rsid w:val="00BE2D02"/>
    <w:rsid w:val="00BE2E37"/>
    <w:rsid w:val="00BE3060"/>
    <w:rsid w:val="00BE336E"/>
    <w:rsid w:val="00BE342F"/>
    <w:rsid w:val="00BE3984"/>
    <w:rsid w:val="00BE3B57"/>
    <w:rsid w:val="00BE51D8"/>
    <w:rsid w:val="00BE5E59"/>
    <w:rsid w:val="00BE5F8D"/>
    <w:rsid w:val="00BF10B3"/>
    <w:rsid w:val="00BF1635"/>
    <w:rsid w:val="00BF16EB"/>
    <w:rsid w:val="00BF253B"/>
    <w:rsid w:val="00BF2B9A"/>
    <w:rsid w:val="00BF2C07"/>
    <w:rsid w:val="00BF2C4C"/>
    <w:rsid w:val="00BF39D4"/>
    <w:rsid w:val="00BF3E1B"/>
    <w:rsid w:val="00BF4F6E"/>
    <w:rsid w:val="00BF52D6"/>
    <w:rsid w:val="00BF6210"/>
    <w:rsid w:val="00BF7044"/>
    <w:rsid w:val="00BF7144"/>
    <w:rsid w:val="00BF7202"/>
    <w:rsid w:val="00C000E4"/>
    <w:rsid w:val="00C00DD2"/>
    <w:rsid w:val="00C02164"/>
    <w:rsid w:val="00C02B6B"/>
    <w:rsid w:val="00C034FE"/>
    <w:rsid w:val="00C039C6"/>
    <w:rsid w:val="00C04005"/>
    <w:rsid w:val="00C045DE"/>
    <w:rsid w:val="00C04F94"/>
    <w:rsid w:val="00C051D1"/>
    <w:rsid w:val="00C05E7B"/>
    <w:rsid w:val="00C069B4"/>
    <w:rsid w:val="00C076D1"/>
    <w:rsid w:val="00C10601"/>
    <w:rsid w:val="00C11103"/>
    <w:rsid w:val="00C116F0"/>
    <w:rsid w:val="00C117C5"/>
    <w:rsid w:val="00C11EE2"/>
    <w:rsid w:val="00C13F6C"/>
    <w:rsid w:val="00C14D95"/>
    <w:rsid w:val="00C15E70"/>
    <w:rsid w:val="00C161B7"/>
    <w:rsid w:val="00C17BB0"/>
    <w:rsid w:val="00C17D29"/>
    <w:rsid w:val="00C2011C"/>
    <w:rsid w:val="00C205D4"/>
    <w:rsid w:val="00C2366F"/>
    <w:rsid w:val="00C244DE"/>
    <w:rsid w:val="00C2587B"/>
    <w:rsid w:val="00C25DF8"/>
    <w:rsid w:val="00C26A67"/>
    <w:rsid w:val="00C27C89"/>
    <w:rsid w:val="00C27E35"/>
    <w:rsid w:val="00C3052F"/>
    <w:rsid w:val="00C31E6E"/>
    <w:rsid w:val="00C331DD"/>
    <w:rsid w:val="00C332B3"/>
    <w:rsid w:val="00C33BF7"/>
    <w:rsid w:val="00C33C90"/>
    <w:rsid w:val="00C34C43"/>
    <w:rsid w:val="00C35344"/>
    <w:rsid w:val="00C357E6"/>
    <w:rsid w:val="00C36090"/>
    <w:rsid w:val="00C368E7"/>
    <w:rsid w:val="00C36AAB"/>
    <w:rsid w:val="00C36D89"/>
    <w:rsid w:val="00C37103"/>
    <w:rsid w:val="00C37D3E"/>
    <w:rsid w:val="00C407E5"/>
    <w:rsid w:val="00C411E9"/>
    <w:rsid w:val="00C412CC"/>
    <w:rsid w:val="00C41A04"/>
    <w:rsid w:val="00C432C2"/>
    <w:rsid w:val="00C43CCF"/>
    <w:rsid w:val="00C4433A"/>
    <w:rsid w:val="00C44CAE"/>
    <w:rsid w:val="00C44D29"/>
    <w:rsid w:val="00C453A1"/>
    <w:rsid w:val="00C46508"/>
    <w:rsid w:val="00C47C92"/>
    <w:rsid w:val="00C47DB5"/>
    <w:rsid w:val="00C507CD"/>
    <w:rsid w:val="00C50C71"/>
    <w:rsid w:val="00C51B0C"/>
    <w:rsid w:val="00C526E0"/>
    <w:rsid w:val="00C539D2"/>
    <w:rsid w:val="00C551C4"/>
    <w:rsid w:val="00C554BC"/>
    <w:rsid w:val="00C55E57"/>
    <w:rsid w:val="00C564D9"/>
    <w:rsid w:val="00C56CED"/>
    <w:rsid w:val="00C56D00"/>
    <w:rsid w:val="00C57896"/>
    <w:rsid w:val="00C6142B"/>
    <w:rsid w:val="00C62193"/>
    <w:rsid w:val="00C62A10"/>
    <w:rsid w:val="00C62AAB"/>
    <w:rsid w:val="00C62FBD"/>
    <w:rsid w:val="00C6464A"/>
    <w:rsid w:val="00C65432"/>
    <w:rsid w:val="00C659AC"/>
    <w:rsid w:val="00C6632D"/>
    <w:rsid w:val="00C667B5"/>
    <w:rsid w:val="00C67ECE"/>
    <w:rsid w:val="00C703F6"/>
    <w:rsid w:val="00C71DCC"/>
    <w:rsid w:val="00C73E70"/>
    <w:rsid w:val="00C74C8E"/>
    <w:rsid w:val="00C750C4"/>
    <w:rsid w:val="00C751FB"/>
    <w:rsid w:val="00C75272"/>
    <w:rsid w:val="00C759CF"/>
    <w:rsid w:val="00C75D46"/>
    <w:rsid w:val="00C77136"/>
    <w:rsid w:val="00C778AE"/>
    <w:rsid w:val="00C77959"/>
    <w:rsid w:val="00C81A64"/>
    <w:rsid w:val="00C82073"/>
    <w:rsid w:val="00C82540"/>
    <w:rsid w:val="00C82C9C"/>
    <w:rsid w:val="00C83210"/>
    <w:rsid w:val="00C833C8"/>
    <w:rsid w:val="00C83693"/>
    <w:rsid w:val="00C83D6A"/>
    <w:rsid w:val="00C84EE8"/>
    <w:rsid w:val="00C85716"/>
    <w:rsid w:val="00C86EF6"/>
    <w:rsid w:val="00C86F06"/>
    <w:rsid w:val="00C870C6"/>
    <w:rsid w:val="00C87B96"/>
    <w:rsid w:val="00C87CE5"/>
    <w:rsid w:val="00C90090"/>
    <w:rsid w:val="00C9022C"/>
    <w:rsid w:val="00C903A8"/>
    <w:rsid w:val="00C91702"/>
    <w:rsid w:val="00C9183A"/>
    <w:rsid w:val="00C91E57"/>
    <w:rsid w:val="00C921AA"/>
    <w:rsid w:val="00C92CF0"/>
    <w:rsid w:val="00C9323E"/>
    <w:rsid w:val="00C936F8"/>
    <w:rsid w:val="00C93DF9"/>
    <w:rsid w:val="00C93FDF"/>
    <w:rsid w:val="00C9436F"/>
    <w:rsid w:val="00C94CE5"/>
    <w:rsid w:val="00C95AE9"/>
    <w:rsid w:val="00C97AB4"/>
    <w:rsid w:val="00CA0173"/>
    <w:rsid w:val="00CA0325"/>
    <w:rsid w:val="00CA09C1"/>
    <w:rsid w:val="00CA0B22"/>
    <w:rsid w:val="00CA0CA1"/>
    <w:rsid w:val="00CA105A"/>
    <w:rsid w:val="00CA1B7D"/>
    <w:rsid w:val="00CA21F4"/>
    <w:rsid w:val="00CA3732"/>
    <w:rsid w:val="00CA37B4"/>
    <w:rsid w:val="00CA37C4"/>
    <w:rsid w:val="00CA44B3"/>
    <w:rsid w:val="00CA5032"/>
    <w:rsid w:val="00CA54E5"/>
    <w:rsid w:val="00CB06BD"/>
    <w:rsid w:val="00CB07E7"/>
    <w:rsid w:val="00CB0DD9"/>
    <w:rsid w:val="00CB1285"/>
    <w:rsid w:val="00CB1ACA"/>
    <w:rsid w:val="00CB26EA"/>
    <w:rsid w:val="00CB3B59"/>
    <w:rsid w:val="00CB4375"/>
    <w:rsid w:val="00CB44C3"/>
    <w:rsid w:val="00CB462F"/>
    <w:rsid w:val="00CB4672"/>
    <w:rsid w:val="00CB4CD5"/>
    <w:rsid w:val="00CB56B8"/>
    <w:rsid w:val="00CB5DE5"/>
    <w:rsid w:val="00CB61CC"/>
    <w:rsid w:val="00CB691B"/>
    <w:rsid w:val="00CB6C30"/>
    <w:rsid w:val="00CB7439"/>
    <w:rsid w:val="00CC03D9"/>
    <w:rsid w:val="00CC161C"/>
    <w:rsid w:val="00CC1A8C"/>
    <w:rsid w:val="00CC1D73"/>
    <w:rsid w:val="00CC28BF"/>
    <w:rsid w:val="00CC28C3"/>
    <w:rsid w:val="00CC2BD8"/>
    <w:rsid w:val="00CC307C"/>
    <w:rsid w:val="00CC32F6"/>
    <w:rsid w:val="00CC4B00"/>
    <w:rsid w:val="00CC4D5B"/>
    <w:rsid w:val="00CC53BF"/>
    <w:rsid w:val="00CC5C4C"/>
    <w:rsid w:val="00CC723C"/>
    <w:rsid w:val="00CD15D6"/>
    <w:rsid w:val="00CD16F8"/>
    <w:rsid w:val="00CD174C"/>
    <w:rsid w:val="00CD1BD8"/>
    <w:rsid w:val="00CD2FBC"/>
    <w:rsid w:val="00CD32A6"/>
    <w:rsid w:val="00CD3479"/>
    <w:rsid w:val="00CD39AE"/>
    <w:rsid w:val="00CD3F01"/>
    <w:rsid w:val="00CD5159"/>
    <w:rsid w:val="00CD67C4"/>
    <w:rsid w:val="00CD6C10"/>
    <w:rsid w:val="00CD7766"/>
    <w:rsid w:val="00CD7B89"/>
    <w:rsid w:val="00CD7D2E"/>
    <w:rsid w:val="00CE0DE1"/>
    <w:rsid w:val="00CE1D5E"/>
    <w:rsid w:val="00CE3D01"/>
    <w:rsid w:val="00CE3F47"/>
    <w:rsid w:val="00CE4991"/>
    <w:rsid w:val="00CE5A12"/>
    <w:rsid w:val="00CE6AE0"/>
    <w:rsid w:val="00CE72FD"/>
    <w:rsid w:val="00CE7678"/>
    <w:rsid w:val="00CE792A"/>
    <w:rsid w:val="00CE7C23"/>
    <w:rsid w:val="00CF06E5"/>
    <w:rsid w:val="00CF07F5"/>
    <w:rsid w:val="00CF0D08"/>
    <w:rsid w:val="00CF21E2"/>
    <w:rsid w:val="00CF2721"/>
    <w:rsid w:val="00CF2D0B"/>
    <w:rsid w:val="00CF3779"/>
    <w:rsid w:val="00CF3C14"/>
    <w:rsid w:val="00CF3F32"/>
    <w:rsid w:val="00CF5ACA"/>
    <w:rsid w:val="00CF60E1"/>
    <w:rsid w:val="00CF621E"/>
    <w:rsid w:val="00CF6EC4"/>
    <w:rsid w:val="00CF7583"/>
    <w:rsid w:val="00CF7800"/>
    <w:rsid w:val="00D00776"/>
    <w:rsid w:val="00D02389"/>
    <w:rsid w:val="00D0247C"/>
    <w:rsid w:val="00D03918"/>
    <w:rsid w:val="00D03E18"/>
    <w:rsid w:val="00D047C9"/>
    <w:rsid w:val="00D06BC5"/>
    <w:rsid w:val="00D06BE6"/>
    <w:rsid w:val="00D070FE"/>
    <w:rsid w:val="00D07D9A"/>
    <w:rsid w:val="00D104E8"/>
    <w:rsid w:val="00D1056B"/>
    <w:rsid w:val="00D107A1"/>
    <w:rsid w:val="00D10FCB"/>
    <w:rsid w:val="00D119E2"/>
    <w:rsid w:val="00D12C34"/>
    <w:rsid w:val="00D13806"/>
    <w:rsid w:val="00D155A0"/>
    <w:rsid w:val="00D16374"/>
    <w:rsid w:val="00D16581"/>
    <w:rsid w:val="00D1738F"/>
    <w:rsid w:val="00D17F59"/>
    <w:rsid w:val="00D2003D"/>
    <w:rsid w:val="00D21046"/>
    <w:rsid w:val="00D2142C"/>
    <w:rsid w:val="00D21527"/>
    <w:rsid w:val="00D21FAF"/>
    <w:rsid w:val="00D22123"/>
    <w:rsid w:val="00D2276D"/>
    <w:rsid w:val="00D234FF"/>
    <w:rsid w:val="00D238B9"/>
    <w:rsid w:val="00D23E5C"/>
    <w:rsid w:val="00D2466B"/>
    <w:rsid w:val="00D2477B"/>
    <w:rsid w:val="00D25077"/>
    <w:rsid w:val="00D250BD"/>
    <w:rsid w:val="00D25B9A"/>
    <w:rsid w:val="00D264D7"/>
    <w:rsid w:val="00D265ED"/>
    <w:rsid w:val="00D268A6"/>
    <w:rsid w:val="00D26E9E"/>
    <w:rsid w:val="00D27604"/>
    <w:rsid w:val="00D27990"/>
    <w:rsid w:val="00D27E9C"/>
    <w:rsid w:val="00D31AC7"/>
    <w:rsid w:val="00D31DA5"/>
    <w:rsid w:val="00D31F94"/>
    <w:rsid w:val="00D3206E"/>
    <w:rsid w:val="00D32E89"/>
    <w:rsid w:val="00D343BE"/>
    <w:rsid w:val="00D34D8E"/>
    <w:rsid w:val="00D35497"/>
    <w:rsid w:val="00D35795"/>
    <w:rsid w:val="00D3639F"/>
    <w:rsid w:val="00D369A6"/>
    <w:rsid w:val="00D373AB"/>
    <w:rsid w:val="00D37703"/>
    <w:rsid w:val="00D37870"/>
    <w:rsid w:val="00D40A33"/>
    <w:rsid w:val="00D40AED"/>
    <w:rsid w:val="00D4165C"/>
    <w:rsid w:val="00D419C6"/>
    <w:rsid w:val="00D4262E"/>
    <w:rsid w:val="00D448A5"/>
    <w:rsid w:val="00D449CC"/>
    <w:rsid w:val="00D44B89"/>
    <w:rsid w:val="00D44EAC"/>
    <w:rsid w:val="00D45D31"/>
    <w:rsid w:val="00D46F90"/>
    <w:rsid w:val="00D47DF7"/>
    <w:rsid w:val="00D5009B"/>
    <w:rsid w:val="00D504A5"/>
    <w:rsid w:val="00D505C9"/>
    <w:rsid w:val="00D5081A"/>
    <w:rsid w:val="00D50F41"/>
    <w:rsid w:val="00D5156D"/>
    <w:rsid w:val="00D51DB4"/>
    <w:rsid w:val="00D52A67"/>
    <w:rsid w:val="00D52EAD"/>
    <w:rsid w:val="00D5377A"/>
    <w:rsid w:val="00D53E68"/>
    <w:rsid w:val="00D5420E"/>
    <w:rsid w:val="00D54487"/>
    <w:rsid w:val="00D54ABB"/>
    <w:rsid w:val="00D550AB"/>
    <w:rsid w:val="00D552CE"/>
    <w:rsid w:val="00D555A6"/>
    <w:rsid w:val="00D5596C"/>
    <w:rsid w:val="00D5642B"/>
    <w:rsid w:val="00D56A27"/>
    <w:rsid w:val="00D57771"/>
    <w:rsid w:val="00D61CF9"/>
    <w:rsid w:val="00D62B3D"/>
    <w:rsid w:val="00D630DD"/>
    <w:rsid w:val="00D6313F"/>
    <w:rsid w:val="00D64005"/>
    <w:rsid w:val="00D654D0"/>
    <w:rsid w:val="00D665CB"/>
    <w:rsid w:val="00D66740"/>
    <w:rsid w:val="00D66B84"/>
    <w:rsid w:val="00D7066C"/>
    <w:rsid w:val="00D7197D"/>
    <w:rsid w:val="00D719E6"/>
    <w:rsid w:val="00D71EC2"/>
    <w:rsid w:val="00D72381"/>
    <w:rsid w:val="00D72984"/>
    <w:rsid w:val="00D7357C"/>
    <w:rsid w:val="00D7567F"/>
    <w:rsid w:val="00D75FB8"/>
    <w:rsid w:val="00D76732"/>
    <w:rsid w:val="00D76C89"/>
    <w:rsid w:val="00D76EC5"/>
    <w:rsid w:val="00D770D9"/>
    <w:rsid w:val="00D813C3"/>
    <w:rsid w:val="00D81657"/>
    <w:rsid w:val="00D81C4F"/>
    <w:rsid w:val="00D8257B"/>
    <w:rsid w:val="00D84F7E"/>
    <w:rsid w:val="00D851EE"/>
    <w:rsid w:val="00D85271"/>
    <w:rsid w:val="00D85A35"/>
    <w:rsid w:val="00D85DAF"/>
    <w:rsid w:val="00D869B9"/>
    <w:rsid w:val="00D91101"/>
    <w:rsid w:val="00D922FE"/>
    <w:rsid w:val="00D93200"/>
    <w:rsid w:val="00D9454F"/>
    <w:rsid w:val="00D95C91"/>
    <w:rsid w:val="00D95EC6"/>
    <w:rsid w:val="00D95F84"/>
    <w:rsid w:val="00D964E1"/>
    <w:rsid w:val="00D979E2"/>
    <w:rsid w:val="00DA2939"/>
    <w:rsid w:val="00DA2C99"/>
    <w:rsid w:val="00DA2CCF"/>
    <w:rsid w:val="00DA2E20"/>
    <w:rsid w:val="00DA3581"/>
    <w:rsid w:val="00DA3E7E"/>
    <w:rsid w:val="00DA5AA6"/>
    <w:rsid w:val="00DA6141"/>
    <w:rsid w:val="00DA6798"/>
    <w:rsid w:val="00DA6B8E"/>
    <w:rsid w:val="00DA70CD"/>
    <w:rsid w:val="00DA76F0"/>
    <w:rsid w:val="00DB0067"/>
    <w:rsid w:val="00DB0362"/>
    <w:rsid w:val="00DB0ABB"/>
    <w:rsid w:val="00DB0F71"/>
    <w:rsid w:val="00DB11A3"/>
    <w:rsid w:val="00DB1F53"/>
    <w:rsid w:val="00DB30DD"/>
    <w:rsid w:val="00DB368A"/>
    <w:rsid w:val="00DB4BBE"/>
    <w:rsid w:val="00DB5644"/>
    <w:rsid w:val="00DB594F"/>
    <w:rsid w:val="00DB595B"/>
    <w:rsid w:val="00DB5D7B"/>
    <w:rsid w:val="00DB6659"/>
    <w:rsid w:val="00DC088D"/>
    <w:rsid w:val="00DC1641"/>
    <w:rsid w:val="00DC2873"/>
    <w:rsid w:val="00DC2B8A"/>
    <w:rsid w:val="00DC2F67"/>
    <w:rsid w:val="00DC3421"/>
    <w:rsid w:val="00DC35A7"/>
    <w:rsid w:val="00DC37C2"/>
    <w:rsid w:val="00DC3D2E"/>
    <w:rsid w:val="00DC3E43"/>
    <w:rsid w:val="00DC4C0B"/>
    <w:rsid w:val="00DC60EB"/>
    <w:rsid w:val="00DD01A5"/>
    <w:rsid w:val="00DD051D"/>
    <w:rsid w:val="00DD110A"/>
    <w:rsid w:val="00DD1A4C"/>
    <w:rsid w:val="00DD2BDE"/>
    <w:rsid w:val="00DD313A"/>
    <w:rsid w:val="00DD3311"/>
    <w:rsid w:val="00DD35C9"/>
    <w:rsid w:val="00DD3E7C"/>
    <w:rsid w:val="00DD460A"/>
    <w:rsid w:val="00DD4AE0"/>
    <w:rsid w:val="00DD56F6"/>
    <w:rsid w:val="00DD588B"/>
    <w:rsid w:val="00DD5897"/>
    <w:rsid w:val="00DD60B7"/>
    <w:rsid w:val="00DD65F1"/>
    <w:rsid w:val="00DD73AA"/>
    <w:rsid w:val="00DD7A43"/>
    <w:rsid w:val="00DD7FDC"/>
    <w:rsid w:val="00DE0919"/>
    <w:rsid w:val="00DE11DC"/>
    <w:rsid w:val="00DE1BD7"/>
    <w:rsid w:val="00DE2460"/>
    <w:rsid w:val="00DE3C4A"/>
    <w:rsid w:val="00DE5073"/>
    <w:rsid w:val="00DE5B1F"/>
    <w:rsid w:val="00DE68CD"/>
    <w:rsid w:val="00DE695E"/>
    <w:rsid w:val="00DE7821"/>
    <w:rsid w:val="00DE78F3"/>
    <w:rsid w:val="00DF00D6"/>
    <w:rsid w:val="00DF0577"/>
    <w:rsid w:val="00DF0709"/>
    <w:rsid w:val="00DF0A6C"/>
    <w:rsid w:val="00DF0C06"/>
    <w:rsid w:val="00DF14B0"/>
    <w:rsid w:val="00DF1D64"/>
    <w:rsid w:val="00DF31CF"/>
    <w:rsid w:val="00DF344B"/>
    <w:rsid w:val="00DF4277"/>
    <w:rsid w:val="00DF46AB"/>
    <w:rsid w:val="00DF4E7F"/>
    <w:rsid w:val="00DF5F90"/>
    <w:rsid w:val="00DF65B6"/>
    <w:rsid w:val="00DF7350"/>
    <w:rsid w:val="00DF7DDB"/>
    <w:rsid w:val="00E00FC2"/>
    <w:rsid w:val="00E0102C"/>
    <w:rsid w:val="00E03036"/>
    <w:rsid w:val="00E036D4"/>
    <w:rsid w:val="00E03E74"/>
    <w:rsid w:val="00E042B1"/>
    <w:rsid w:val="00E049CC"/>
    <w:rsid w:val="00E04AD1"/>
    <w:rsid w:val="00E054EF"/>
    <w:rsid w:val="00E05783"/>
    <w:rsid w:val="00E0597B"/>
    <w:rsid w:val="00E06551"/>
    <w:rsid w:val="00E06F8C"/>
    <w:rsid w:val="00E077BE"/>
    <w:rsid w:val="00E07C1B"/>
    <w:rsid w:val="00E10760"/>
    <w:rsid w:val="00E11476"/>
    <w:rsid w:val="00E11E8F"/>
    <w:rsid w:val="00E12845"/>
    <w:rsid w:val="00E12A43"/>
    <w:rsid w:val="00E139CD"/>
    <w:rsid w:val="00E13A3B"/>
    <w:rsid w:val="00E1423A"/>
    <w:rsid w:val="00E14C73"/>
    <w:rsid w:val="00E15E54"/>
    <w:rsid w:val="00E167C8"/>
    <w:rsid w:val="00E16CC5"/>
    <w:rsid w:val="00E173EE"/>
    <w:rsid w:val="00E20157"/>
    <w:rsid w:val="00E205B1"/>
    <w:rsid w:val="00E215AE"/>
    <w:rsid w:val="00E21765"/>
    <w:rsid w:val="00E21939"/>
    <w:rsid w:val="00E222F5"/>
    <w:rsid w:val="00E2268B"/>
    <w:rsid w:val="00E251E2"/>
    <w:rsid w:val="00E256EB"/>
    <w:rsid w:val="00E26EFE"/>
    <w:rsid w:val="00E273A3"/>
    <w:rsid w:val="00E27AA5"/>
    <w:rsid w:val="00E27ACD"/>
    <w:rsid w:val="00E303B2"/>
    <w:rsid w:val="00E30D22"/>
    <w:rsid w:val="00E315A9"/>
    <w:rsid w:val="00E31A92"/>
    <w:rsid w:val="00E31C25"/>
    <w:rsid w:val="00E325EC"/>
    <w:rsid w:val="00E340C8"/>
    <w:rsid w:val="00E34B7D"/>
    <w:rsid w:val="00E34F6B"/>
    <w:rsid w:val="00E37096"/>
    <w:rsid w:val="00E375D4"/>
    <w:rsid w:val="00E403DC"/>
    <w:rsid w:val="00E40AD6"/>
    <w:rsid w:val="00E40DF4"/>
    <w:rsid w:val="00E40E58"/>
    <w:rsid w:val="00E40F43"/>
    <w:rsid w:val="00E41637"/>
    <w:rsid w:val="00E43594"/>
    <w:rsid w:val="00E44CA7"/>
    <w:rsid w:val="00E44F52"/>
    <w:rsid w:val="00E4566B"/>
    <w:rsid w:val="00E4621D"/>
    <w:rsid w:val="00E46FE7"/>
    <w:rsid w:val="00E471C4"/>
    <w:rsid w:val="00E478F3"/>
    <w:rsid w:val="00E501CF"/>
    <w:rsid w:val="00E5062E"/>
    <w:rsid w:val="00E522E9"/>
    <w:rsid w:val="00E53AC7"/>
    <w:rsid w:val="00E53F28"/>
    <w:rsid w:val="00E5418E"/>
    <w:rsid w:val="00E5603B"/>
    <w:rsid w:val="00E560A5"/>
    <w:rsid w:val="00E56DB2"/>
    <w:rsid w:val="00E57CB4"/>
    <w:rsid w:val="00E61391"/>
    <w:rsid w:val="00E61689"/>
    <w:rsid w:val="00E62797"/>
    <w:rsid w:val="00E63034"/>
    <w:rsid w:val="00E63B5A"/>
    <w:rsid w:val="00E656C0"/>
    <w:rsid w:val="00E66714"/>
    <w:rsid w:val="00E66CC8"/>
    <w:rsid w:val="00E7032B"/>
    <w:rsid w:val="00E704DC"/>
    <w:rsid w:val="00E70CE9"/>
    <w:rsid w:val="00E72987"/>
    <w:rsid w:val="00E734DB"/>
    <w:rsid w:val="00E735A8"/>
    <w:rsid w:val="00E73681"/>
    <w:rsid w:val="00E73E53"/>
    <w:rsid w:val="00E759CF"/>
    <w:rsid w:val="00E76A2A"/>
    <w:rsid w:val="00E80BEB"/>
    <w:rsid w:val="00E8201A"/>
    <w:rsid w:val="00E822CA"/>
    <w:rsid w:val="00E82AC7"/>
    <w:rsid w:val="00E82B99"/>
    <w:rsid w:val="00E82C8A"/>
    <w:rsid w:val="00E83CF7"/>
    <w:rsid w:val="00E84E31"/>
    <w:rsid w:val="00E859DF"/>
    <w:rsid w:val="00E87149"/>
    <w:rsid w:val="00E87465"/>
    <w:rsid w:val="00E8791B"/>
    <w:rsid w:val="00E90936"/>
    <w:rsid w:val="00E9120B"/>
    <w:rsid w:val="00E91697"/>
    <w:rsid w:val="00E9225C"/>
    <w:rsid w:val="00E93F63"/>
    <w:rsid w:val="00E941F0"/>
    <w:rsid w:val="00E9422F"/>
    <w:rsid w:val="00E94255"/>
    <w:rsid w:val="00E94EAE"/>
    <w:rsid w:val="00E94FC8"/>
    <w:rsid w:val="00E97CE1"/>
    <w:rsid w:val="00E97E2D"/>
    <w:rsid w:val="00EA05D5"/>
    <w:rsid w:val="00EA07C2"/>
    <w:rsid w:val="00EA08B9"/>
    <w:rsid w:val="00EA0C88"/>
    <w:rsid w:val="00EA14BA"/>
    <w:rsid w:val="00EA1E06"/>
    <w:rsid w:val="00EA2504"/>
    <w:rsid w:val="00EA2E76"/>
    <w:rsid w:val="00EA31D3"/>
    <w:rsid w:val="00EA3DB0"/>
    <w:rsid w:val="00EA413C"/>
    <w:rsid w:val="00EA4463"/>
    <w:rsid w:val="00EA4526"/>
    <w:rsid w:val="00EA46F2"/>
    <w:rsid w:val="00EA4FFC"/>
    <w:rsid w:val="00EA5688"/>
    <w:rsid w:val="00EA5D4F"/>
    <w:rsid w:val="00EA60C0"/>
    <w:rsid w:val="00EA7BD2"/>
    <w:rsid w:val="00EA7CA5"/>
    <w:rsid w:val="00EB0C9B"/>
    <w:rsid w:val="00EB2280"/>
    <w:rsid w:val="00EB24B9"/>
    <w:rsid w:val="00EB29AD"/>
    <w:rsid w:val="00EB2A6B"/>
    <w:rsid w:val="00EB2BC2"/>
    <w:rsid w:val="00EB2E9D"/>
    <w:rsid w:val="00EB398A"/>
    <w:rsid w:val="00EB3A1A"/>
    <w:rsid w:val="00EB3E63"/>
    <w:rsid w:val="00EB5062"/>
    <w:rsid w:val="00EB5A6E"/>
    <w:rsid w:val="00EB61F9"/>
    <w:rsid w:val="00EB63B2"/>
    <w:rsid w:val="00EB652E"/>
    <w:rsid w:val="00EB6630"/>
    <w:rsid w:val="00EB67FB"/>
    <w:rsid w:val="00EB6ADD"/>
    <w:rsid w:val="00EB709C"/>
    <w:rsid w:val="00EC13B2"/>
    <w:rsid w:val="00EC13BA"/>
    <w:rsid w:val="00EC2732"/>
    <w:rsid w:val="00EC2C02"/>
    <w:rsid w:val="00EC3910"/>
    <w:rsid w:val="00EC3A3B"/>
    <w:rsid w:val="00EC3DA1"/>
    <w:rsid w:val="00EC4529"/>
    <w:rsid w:val="00EC47C3"/>
    <w:rsid w:val="00EC498E"/>
    <w:rsid w:val="00EC51A7"/>
    <w:rsid w:val="00EC558E"/>
    <w:rsid w:val="00EC5CEE"/>
    <w:rsid w:val="00EC61F5"/>
    <w:rsid w:val="00ED033D"/>
    <w:rsid w:val="00ED0D3D"/>
    <w:rsid w:val="00ED0FEF"/>
    <w:rsid w:val="00ED139A"/>
    <w:rsid w:val="00ED1C5C"/>
    <w:rsid w:val="00ED290A"/>
    <w:rsid w:val="00ED2DE4"/>
    <w:rsid w:val="00ED2F50"/>
    <w:rsid w:val="00ED3776"/>
    <w:rsid w:val="00ED4A24"/>
    <w:rsid w:val="00ED4F49"/>
    <w:rsid w:val="00ED501D"/>
    <w:rsid w:val="00ED501F"/>
    <w:rsid w:val="00ED58E8"/>
    <w:rsid w:val="00ED5C30"/>
    <w:rsid w:val="00ED5E09"/>
    <w:rsid w:val="00ED5F3F"/>
    <w:rsid w:val="00ED6362"/>
    <w:rsid w:val="00ED6485"/>
    <w:rsid w:val="00ED64A4"/>
    <w:rsid w:val="00ED6BEC"/>
    <w:rsid w:val="00ED6CDA"/>
    <w:rsid w:val="00ED71B4"/>
    <w:rsid w:val="00ED7887"/>
    <w:rsid w:val="00ED797B"/>
    <w:rsid w:val="00ED7D81"/>
    <w:rsid w:val="00ED7E95"/>
    <w:rsid w:val="00EE036F"/>
    <w:rsid w:val="00EE21B5"/>
    <w:rsid w:val="00EE2220"/>
    <w:rsid w:val="00EE2BF6"/>
    <w:rsid w:val="00EE2D0F"/>
    <w:rsid w:val="00EE302A"/>
    <w:rsid w:val="00EE3557"/>
    <w:rsid w:val="00EE3651"/>
    <w:rsid w:val="00EE370E"/>
    <w:rsid w:val="00EE3C21"/>
    <w:rsid w:val="00EE4F8D"/>
    <w:rsid w:val="00EE523A"/>
    <w:rsid w:val="00EE59B1"/>
    <w:rsid w:val="00EE618F"/>
    <w:rsid w:val="00EE6857"/>
    <w:rsid w:val="00EE74BE"/>
    <w:rsid w:val="00EF01D6"/>
    <w:rsid w:val="00EF042C"/>
    <w:rsid w:val="00EF0B99"/>
    <w:rsid w:val="00EF11F7"/>
    <w:rsid w:val="00EF1249"/>
    <w:rsid w:val="00EF317F"/>
    <w:rsid w:val="00EF32A3"/>
    <w:rsid w:val="00EF3775"/>
    <w:rsid w:val="00EF3820"/>
    <w:rsid w:val="00EF3CD1"/>
    <w:rsid w:val="00EF405B"/>
    <w:rsid w:val="00EF5A8E"/>
    <w:rsid w:val="00EF5CD4"/>
    <w:rsid w:val="00EF7B69"/>
    <w:rsid w:val="00EF7C1C"/>
    <w:rsid w:val="00F0038C"/>
    <w:rsid w:val="00F00881"/>
    <w:rsid w:val="00F0122C"/>
    <w:rsid w:val="00F01678"/>
    <w:rsid w:val="00F01D89"/>
    <w:rsid w:val="00F021F3"/>
    <w:rsid w:val="00F02F5C"/>
    <w:rsid w:val="00F03293"/>
    <w:rsid w:val="00F03AA9"/>
    <w:rsid w:val="00F03C02"/>
    <w:rsid w:val="00F043BC"/>
    <w:rsid w:val="00F057D5"/>
    <w:rsid w:val="00F05F5E"/>
    <w:rsid w:val="00F066FD"/>
    <w:rsid w:val="00F06AA6"/>
    <w:rsid w:val="00F06DB4"/>
    <w:rsid w:val="00F0716D"/>
    <w:rsid w:val="00F071D1"/>
    <w:rsid w:val="00F073A9"/>
    <w:rsid w:val="00F10691"/>
    <w:rsid w:val="00F110A0"/>
    <w:rsid w:val="00F110DF"/>
    <w:rsid w:val="00F12010"/>
    <w:rsid w:val="00F143CE"/>
    <w:rsid w:val="00F14531"/>
    <w:rsid w:val="00F1475C"/>
    <w:rsid w:val="00F147AF"/>
    <w:rsid w:val="00F14893"/>
    <w:rsid w:val="00F15D5E"/>
    <w:rsid w:val="00F1666B"/>
    <w:rsid w:val="00F166C2"/>
    <w:rsid w:val="00F1732B"/>
    <w:rsid w:val="00F173CE"/>
    <w:rsid w:val="00F20206"/>
    <w:rsid w:val="00F20DA0"/>
    <w:rsid w:val="00F21214"/>
    <w:rsid w:val="00F21D94"/>
    <w:rsid w:val="00F21DAF"/>
    <w:rsid w:val="00F22599"/>
    <w:rsid w:val="00F22727"/>
    <w:rsid w:val="00F22837"/>
    <w:rsid w:val="00F238BB"/>
    <w:rsid w:val="00F239B9"/>
    <w:rsid w:val="00F23A43"/>
    <w:rsid w:val="00F23F47"/>
    <w:rsid w:val="00F2443F"/>
    <w:rsid w:val="00F24EB7"/>
    <w:rsid w:val="00F250AF"/>
    <w:rsid w:val="00F25324"/>
    <w:rsid w:val="00F26FD2"/>
    <w:rsid w:val="00F27ABA"/>
    <w:rsid w:val="00F32088"/>
    <w:rsid w:val="00F32AFA"/>
    <w:rsid w:val="00F334B9"/>
    <w:rsid w:val="00F33B4D"/>
    <w:rsid w:val="00F33FEB"/>
    <w:rsid w:val="00F34AB8"/>
    <w:rsid w:val="00F34E0E"/>
    <w:rsid w:val="00F356F3"/>
    <w:rsid w:val="00F35A2F"/>
    <w:rsid w:val="00F379EB"/>
    <w:rsid w:val="00F40B11"/>
    <w:rsid w:val="00F41A9B"/>
    <w:rsid w:val="00F41F44"/>
    <w:rsid w:val="00F42792"/>
    <w:rsid w:val="00F43303"/>
    <w:rsid w:val="00F434E0"/>
    <w:rsid w:val="00F43C65"/>
    <w:rsid w:val="00F45394"/>
    <w:rsid w:val="00F453B8"/>
    <w:rsid w:val="00F4560A"/>
    <w:rsid w:val="00F45737"/>
    <w:rsid w:val="00F45A01"/>
    <w:rsid w:val="00F45ACA"/>
    <w:rsid w:val="00F45B31"/>
    <w:rsid w:val="00F45EE1"/>
    <w:rsid w:val="00F4659B"/>
    <w:rsid w:val="00F4706D"/>
    <w:rsid w:val="00F508D3"/>
    <w:rsid w:val="00F51AC0"/>
    <w:rsid w:val="00F51F41"/>
    <w:rsid w:val="00F5337F"/>
    <w:rsid w:val="00F53D5F"/>
    <w:rsid w:val="00F54346"/>
    <w:rsid w:val="00F54A0B"/>
    <w:rsid w:val="00F5515F"/>
    <w:rsid w:val="00F559A5"/>
    <w:rsid w:val="00F56102"/>
    <w:rsid w:val="00F562CC"/>
    <w:rsid w:val="00F5665A"/>
    <w:rsid w:val="00F5743B"/>
    <w:rsid w:val="00F57AB4"/>
    <w:rsid w:val="00F60947"/>
    <w:rsid w:val="00F60C13"/>
    <w:rsid w:val="00F6111E"/>
    <w:rsid w:val="00F61301"/>
    <w:rsid w:val="00F613BB"/>
    <w:rsid w:val="00F61424"/>
    <w:rsid w:val="00F61BA3"/>
    <w:rsid w:val="00F62036"/>
    <w:rsid w:val="00F6204D"/>
    <w:rsid w:val="00F62287"/>
    <w:rsid w:val="00F6238B"/>
    <w:rsid w:val="00F62C2F"/>
    <w:rsid w:val="00F63086"/>
    <w:rsid w:val="00F63664"/>
    <w:rsid w:val="00F63741"/>
    <w:rsid w:val="00F65288"/>
    <w:rsid w:val="00F653B5"/>
    <w:rsid w:val="00F65BF0"/>
    <w:rsid w:val="00F65F05"/>
    <w:rsid w:val="00F66598"/>
    <w:rsid w:val="00F66B9E"/>
    <w:rsid w:val="00F673BC"/>
    <w:rsid w:val="00F67EBA"/>
    <w:rsid w:val="00F7022F"/>
    <w:rsid w:val="00F7049D"/>
    <w:rsid w:val="00F70D6F"/>
    <w:rsid w:val="00F721FF"/>
    <w:rsid w:val="00F72B3D"/>
    <w:rsid w:val="00F72DAE"/>
    <w:rsid w:val="00F73BD5"/>
    <w:rsid w:val="00F73D21"/>
    <w:rsid w:val="00F752B1"/>
    <w:rsid w:val="00F75B17"/>
    <w:rsid w:val="00F75B35"/>
    <w:rsid w:val="00F75F93"/>
    <w:rsid w:val="00F76496"/>
    <w:rsid w:val="00F7656E"/>
    <w:rsid w:val="00F7766B"/>
    <w:rsid w:val="00F77BA6"/>
    <w:rsid w:val="00F81309"/>
    <w:rsid w:val="00F81B08"/>
    <w:rsid w:val="00F8266E"/>
    <w:rsid w:val="00F82D07"/>
    <w:rsid w:val="00F835E7"/>
    <w:rsid w:val="00F8492A"/>
    <w:rsid w:val="00F84D12"/>
    <w:rsid w:val="00F87AFA"/>
    <w:rsid w:val="00F91500"/>
    <w:rsid w:val="00F91A57"/>
    <w:rsid w:val="00F933DF"/>
    <w:rsid w:val="00F93698"/>
    <w:rsid w:val="00F94191"/>
    <w:rsid w:val="00F9431E"/>
    <w:rsid w:val="00F95997"/>
    <w:rsid w:val="00FA07ED"/>
    <w:rsid w:val="00FA137E"/>
    <w:rsid w:val="00FA147A"/>
    <w:rsid w:val="00FA184F"/>
    <w:rsid w:val="00FA25D4"/>
    <w:rsid w:val="00FA2D45"/>
    <w:rsid w:val="00FA3757"/>
    <w:rsid w:val="00FA3E6D"/>
    <w:rsid w:val="00FA4880"/>
    <w:rsid w:val="00FA4BF0"/>
    <w:rsid w:val="00FA5D3B"/>
    <w:rsid w:val="00FA64DB"/>
    <w:rsid w:val="00FA65D1"/>
    <w:rsid w:val="00FA7F68"/>
    <w:rsid w:val="00FB03DA"/>
    <w:rsid w:val="00FB0B3B"/>
    <w:rsid w:val="00FB1051"/>
    <w:rsid w:val="00FB258F"/>
    <w:rsid w:val="00FB356D"/>
    <w:rsid w:val="00FB39DE"/>
    <w:rsid w:val="00FB4CD4"/>
    <w:rsid w:val="00FB63F8"/>
    <w:rsid w:val="00FB74AC"/>
    <w:rsid w:val="00FC0401"/>
    <w:rsid w:val="00FC2129"/>
    <w:rsid w:val="00FC2F4B"/>
    <w:rsid w:val="00FC3B03"/>
    <w:rsid w:val="00FC3C05"/>
    <w:rsid w:val="00FC40F4"/>
    <w:rsid w:val="00FC45D3"/>
    <w:rsid w:val="00FC48F0"/>
    <w:rsid w:val="00FC7280"/>
    <w:rsid w:val="00FD1216"/>
    <w:rsid w:val="00FD17AD"/>
    <w:rsid w:val="00FD26D2"/>
    <w:rsid w:val="00FD3AF2"/>
    <w:rsid w:val="00FD4012"/>
    <w:rsid w:val="00FD40B7"/>
    <w:rsid w:val="00FD42C7"/>
    <w:rsid w:val="00FD455B"/>
    <w:rsid w:val="00FD4650"/>
    <w:rsid w:val="00FD4F86"/>
    <w:rsid w:val="00FD5AE9"/>
    <w:rsid w:val="00FD6829"/>
    <w:rsid w:val="00FD708B"/>
    <w:rsid w:val="00FD7271"/>
    <w:rsid w:val="00FD7B05"/>
    <w:rsid w:val="00FE14E6"/>
    <w:rsid w:val="00FE1BD6"/>
    <w:rsid w:val="00FE2419"/>
    <w:rsid w:val="00FE2E16"/>
    <w:rsid w:val="00FE4039"/>
    <w:rsid w:val="00FE555E"/>
    <w:rsid w:val="00FE5D98"/>
    <w:rsid w:val="00FE5FDB"/>
    <w:rsid w:val="00FE6506"/>
    <w:rsid w:val="00FE66AC"/>
    <w:rsid w:val="00FE6791"/>
    <w:rsid w:val="00FE78E5"/>
    <w:rsid w:val="00FF111B"/>
    <w:rsid w:val="00FF1421"/>
    <w:rsid w:val="00FF16FD"/>
    <w:rsid w:val="00FF1B5C"/>
    <w:rsid w:val="00FF2B8A"/>
    <w:rsid w:val="00FF2B8E"/>
    <w:rsid w:val="00FF2D8B"/>
    <w:rsid w:val="00FF2E79"/>
    <w:rsid w:val="00FF4202"/>
    <w:rsid w:val="00FF472C"/>
    <w:rsid w:val="00FF4A0A"/>
    <w:rsid w:val="00FF4A3E"/>
    <w:rsid w:val="00FF4B29"/>
    <w:rsid w:val="00FF67DE"/>
    <w:rsid w:val="00FF7484"/>
    <w:rsid w:val="01083FB9"/>
    <w:rsid w:val="01333316"/>
    <w:rsid w:val="013663CD"/>
    <w:rsid w:val="01DB46B6"/>
    <w:rsid w:val="027C3795"/>
    <w:rsid w:val="02991CB9"/>
    <w:rsid w:val="02B35D48"/>
    <w:rsid w:val="02D0381A"/>
    <w:rsid w:val="02FF7A7B"/>
    <w:rsid w:val="033B4B6B"/>
    <w:rsid w:val="03755FD8"/>
    <w:rsid w:val="03970EF3"/>
    <w:rsid w:val="039B6722"/>
    <w:rsid w:val="03BD2BC7"/>
    <w:rsid w:val="03C113FB"/>
    <w:rsid w:val="040019BC"/>
    <w:rsid w:val="04664A43"/>
    <w:rsid w:val="048221CA"/>
    <w:rsid w:val="04AC3AC9"/>
    <w:rsid w:val="052200A9"/>
    <w:rsid w:val="059D5E0F"/>
    <w:rsid w:val="05AC7E99"/>
    <w:rsid w:val="05EF4438"/>
    <w:rsid w:val="06544C86"/>
    <w:rsid w:val="065906F6"/>
    <w:rsid w:val="065A2F9F"/>
    <w:rsid w:val="066D0179"/>
    <w:rsid w:val="07793A29"/>
    <w:rsid w:val="086E70EF"/>
    <w:rsid w:val="08B00BDA"/>
    <w:rsid w:val="08EF7436"/>
    <w:rsid w:val="09BE21C3"/>
    <w:rsid w:val="0A461D50"/>
    <w:rsid w:val="0B0E7430"/>
    <w:rsid w:val="0BBB6C69"/>
    <w:rsid w:val="0CC86D5B"/>
    <w:rsid w:val="0D5364A5"/>
    <w:rsid w:val="0D5E4435"/>
    <w:rsid w:val="0E090649"/>
    <w:rsid w:val="0E2A23A9"/>
    <w:rsid w:val="0E5A4C5E"/>
    <w:rsid w:val="0EDD3EDD"/>
    <w:rsid w:val="0F0B6613"/>
    <w:rsid w:val="0F9679E0"/>
    <w:rsid w:val="0F980C7B"/>
    <w:rsid w:val="10E92699"/>
    <w:rsid w:val="11512E69"/>
    <w:rsid w:val="11E14538"/>
    <w:rsid w:val="12160F3D"/>
    <w:rsid w:val="12383670"/>
    <w:rsid w:val="126F0A4E"/>
    <w:rsid w:val="1274678E"/>
    <w:rsid w:val="128811D8"/>
    <w:rsid w:val="129000C9"/>
    <w:rsid w:val="12E54A8E"/>
    <w:rsid w:val="143119FB"/>
    <w:rsid w:val="14767243"/>
    <w:rsid w:val="14AA1D5E"/>
    <w:rsid w:val="14C45B7B"/>
    <w:rsid w:val="15152CA0"/>
    <w:rsid w:val="15242524"/>
    <w:rsid w:val="15633BC1"/>
    <w:rsid w:val="156E60FA"/>
    <w:rsid w:val="15BF32D0"/>
    <w:rsid w:val="15ED5FE0"/>
    <w:rsid w:val="15EE543A"/>
    <w:rsid w:val="15FC1986"/>
    <w:rsid w:val="1629115C"/>
    <w:rsid w:val="164F61D6"/>
    <w:rsid w:val="165C6C75"/>
    <w:rsid w:val="16787DC5"/>
    <w:rsid w:val="16CD79AE"/>
    <w:rsid w:val="174968C8"/>
    <w:rsid w:val="17DC4231"/>
    <w:rsid w:val="184763D2"/>
    <w:rsid w:val="185D1874"/>
    <w:rsid w:val="189E3D65"/>
    <w:rsid w:val="193B3C26"/>
    <w:rsid w:val="19CD5225"/>
    <w:rsid w:val="1A4054AA"/>
    <w:rsid w:val="1A795470"/>
    <w:rsid w:val="1B6028EE"/>
    <w:rsid w:val="1BA15B88"/>
    <w:rsid w:val="1C327DB1"/>
    <w:rsid w:val="1CFD009B"/>
    <w:rsid w:val="1D822ADD"/>
    <w:rsid w:val="1DA844C4"/>
    <w:rsid w:val="1E2716EF"/>
    <w:rsid w:val="1E5D15F3"/>
    <w:rsid w:val="1E6E0133"/>
    <w:rsid w:val="1E717D67"/>
    <w:rsid w:val="1EB36100"/>
    <w:rsid w:val="1EB603FE"/>
    <w:rsid w:val="1F1C0096"/>
    <w:rsid w:val="207E7835"/>
    <w:rsid w:val="20FB5BA2"/>
    <w:rsid w:val="214F03B6"/>
    <w:rsid w:val="21F03C97"/>
    <w:rsid w:val="21F807A2"/>
    <w:rsid w:val="23111B23"/>
    <w:rsid w:val="24764DC1"/>
    <w:rsid w:val="24A413F4"/>
    <w:rsid w:val="24C67CCF"/>
    <w:rsid w:val="2547030E"/>
    <w:rsid w:val="2581355B"/>
    <w:rsid w:val="25AA584B"/>
    <w:rsid w:val="25BC60DB"/>
    <w:rsid w:val="262827A7"/>
    <w:rsid w:val="263028CA"/>
    <w:rsid w:val="26362B1F"/>
    <w:rsid w:val="277B3F5F"/>
    <w:rsid w:val="278545F5"/>
    <w:rsid w:val="285F1E1A"/>
    <w:rsid w:val="28C021D1"/>
    <w:rsid w:val="290A4933"/>
    <w:rsid w:val="29C767FE"/>
    <w:rsid w:val="2A27527C"/>
    <w:rsid w:val="2A4370E4"/>
    <w:rsid w:val="2ACF254B"/>
    <w:rsid w:val="2B1755C4"/>
    <w:rsid w:val="2B4C3B06"/>
    <w:rsid w:val="2B5F11E7"/>
    <w:rsid w:val="2B714DB1"/>
    <w:rsid w:val="2B927F95"/>
    <w:rsid w:val="2BDC1AC4"/>
    <w:rsid w:val="2C003000"/>
    <w:rsid w:val="2C1106C8"/>
    <w:rsid w:val="2C88118B"/>
    <w:rsid w:val="2D375EF9"/>
    <w:rsid w:val="2D6746DB"/>
    <w:rsid w:val="2D6F038B"/>
    <w:rsid w:val="2DDF4683"/>
    <w:rsid w:val="2E2856F8"/>
    <w:rsid w:val="2EF17035"/>
    <w:rsid w:val="2EFB2BD5"/>
    <w:rsid w:val="2F0D2540"/>
    <w:rsid w:val="2F5C3465"/>
    <w:rsid w:val="306D6C5A"/>
    <w:rsid w:val="30F17935"/>
    <w:rsid w:val="30F96E53"/>
    <w:rsid w:val="313708CB"/>
    <w:rsid w:val="31B22AE5"/>
    <w:rsid w:val="32016016"/>
    <w:rsid w:val="322E2CC1"/>
    <w:rsid w:val="327300E9"/>
    <w:rsid w:val="32744B8F"/>
    <w:rsid w:val="33226EAE"/>
    <w:rsid w:val="335C7FA7"/>
    <w:rsid w:val="3424001A"/>
    <w:rsid w:val="34DF386C"/>
    <w:rsid w:val="35256228"/>
    <w:rsid w:val="356928AF"/>
    <w:rsid w:val="35742581"/>
    <w:rsid w:val="35D85FEE"/>
    <w:rsid w:val="36114079"/>
    <w:rsid w:val="364F5B82"/>
    <w:rsid w:val="36915AD6"/>
    <w:rsid w:val="36984B34"/>
    <w:rsid w:val="36FB77C2"/>
    <w:rsid w:val="37213E98"/>
    <w:rsid w:val="373A1EFF"/>
    <w:rsid w:val="38526329"/>
    <w:rsid w:val="39255B4E"/>
    <w:rsid w:val="39AE780E"/>
    <w:rsid w:val="3A6D0A33"/>
    <w:rsid w:val="3AA82F4E"/>
    <w:rsid w:val="3ABE45D1"/>
    <w:rsid w:val="3B6F070A"/>
    <w:rsid w:val="3BB142F9"/>
    <w:rsid w:val="3C7C2505"/>
    <w:rsid w:val="3C806B56"/>
    <w:rsid w:val="3C9E0339"/>
    <w:rsid w:val="3CF44CE8"/>
    <w:rsid w:val="3D8C74C6"/>
    <w:rsid w:val="3DBD2FEB"/>
    <w:rsid w:val="3DF2455C"/>
    <w:rsid w:val="3F491414"/>
    <w:rsid w:val="3FED2FEE"/>
    <w:rsid w:val="3FEF274C"/>
    <w:rsid w:val="40D01062"/>
    <w:rsid w:val="40EA7E17"/>
    <w:rsid w:val="41973EEF"/>
    <w:rsid w:val="42C22724"/>
    <w:rsid w:val="4312715B"/>
    <w:rsid w:val="43760215"/>
    <w:rsid w:val="43855662"/>
    <w:rsid w:val="44863B8C"/>
    <w:rsid w:val="45365B70"/>
    <w:rsid w:val="45CC5863"/>
    <w:rsid w:val="45FC0CDF"/>
    <w:rsid w:val="462F0B0B"/>
    <w:rsid w:val="46805EC1"/>
    <w:rsid w:val="46963D91"/>
    <w:rsid w:val="471B53A3"/>
    <w:rsid w:val="47DD15C4"/>
    <w:rsid w:val="48D656AF"/>
    <w:rsid w:val="49323187"/>
    <w:rsid w:val="49820F33"/>
    <w:rsid w:val="498E51FF"/>
    <w:rsid w:val="49A3785C"/>
    <w:rsid w:val="4A974805"/>
    <w:rsid w:val="4ACF022C"/>
    <w:rsid w:val="4B4B5BA4"/>
    <w:rsid w:val="4BBA0497"/>
    <w:rsid w:val="4BEF2E87"/>
    <w:rsid w:val="4C3E199E"/>
    <w:rsid w:val="4C624732"/>
    <w:rsid w:val="4D1B7E61"/>
    <w:rsid w:val="4D6A0EB0"/>
    <w:rsid w:val="4DD44064"/>
    <w:rsid w:val="4DF97F03"/>
    <w:rsid w:val="4DFB5B9A"/>
    <w:rsid w:val="4EB64993"/>
    <w:rsid w:val="4F0360B2"/>
    <w:rsid w:val="4F45079D"/>
    <w:rsid w:val="50020BF3"/>
    <w:rsid w:val="501C756A"/>
    <w:rsid w:val="504E4E32"/>
    <w:rsid w:val="50B97BF4"/>
    <w:rsid w:val="50D32FBC"/>
    <w:rsid w:val="50DD2497"/>
    <w:rsid w:val="51861A74"/>
    <w:rsid w:val="51EA2972"/>
    <w:rsid w:val="5265786D"/>
    <w:rsid w:val="52715451"/>
    <w:rsid w:val="527F7ACB"/>
    <w:rsid w:val="52CB0CDC"/>
    <w:rsid w:val="54A279E9"/>
    <w:rsid w:val="54B90692"/>
    <w:rsid w:val="54CE2FCE"/>
    <w:rsid w:val="55380258"/>
    <w:rsid w:val="5604752C"/>
    <w:rsid w:val="56313790"/>
    <w:rsid w:val="56347EBD"/>
    <w:rsid w:val="56C103B3"/>
    <w:rsid w:val="584D1551"/>
    <w:rsid w:val="588F70AD"/>
    <w:rsid w:val="59242C0D"/>
    <w:rsid w:val="594F44BD"/>
    <w:rsid w:val="59FA153A"/>
    <w:rsid w:val="5A0A2FFA"/>
    <w:rsid w:val="5A9056E2"/>
    <w:rsid w:val="5AF65E17"/>
    <w:rsid w:val="5B4A53A6"/>
    <w:rsid w:val="5B901A28"/>
    <w:rsid w:val="5BA10461"/>
    <w:rsid w:val="5BEA3E40"/>
    <w:rsid w:val="5C1C3877"/>
    <w:rsid w:val="5C24681A"/>
    <w:rsid w:val="5C5F19E5"/>
    <w:rsid w:val="5C60789B"/>
    <w:rsid w:val="5C944D52"/>
    <w:rsid w:val="5CA05092"/>
    <w:rsid w:val="5CCF3B1C"/>
    <w:rsid w:val="5D0C09EE"/>
    <w:rsid w:val="5D2C2BB0"/>
    <w:rsid w:val="5DE6787C"/>
    <w:rsid w:val="5F815892"/>
    <w:rsid w:val="5FC324AB"/>
    <w:rsid w:val="5FF067F2"/>
    <w:rsid w:val="60FE69AF"/>
    <w:rsid w:val="61690475"/>
    <w:rsid w:val="61C53F49"/>
    <w:rsid w:val="62165216"/>
    <w:rsid w:val="62327C27"/>
    <w:rsid w:val="62A421B0"/>
    <w:rsid w:val="62E573A9"/>
    <w:rsid w:val="6306119E"/>
    <w:rsid w:val="652736B2"/>
    <w:rsid w:val="652941A1"/>
    <w:rsid w:val="655107D1"/>
    <w:rsid w:val="65606073"/>
    <w:rsid w:val="65881CEA"/>
    <w:rsid w:val="65AD1235"/>
    <w:rsid w:val="65D35AF2"/>
    <w:rsid w:val="65DB22E1"/>
    <w:rsid w:val="662369F5"/>
    <w:rsid w:val="664034E9"/>
    <w:rsid w:val="669A0479"/>
    <w:rsid w:val="67640FFC"/>
    <w:rsid w:val="68060773"/>
    <w:rsid w:val="68B975DF"/>
    <w:rsid w:val="68C977D2"/>
    <w:rsid w:val="68EE4FE2"/>
    <w:rsid w:val="69382A2C"/>
    <w:rsid w:val="69434640"/>
    <w:rsid w:val="6947795E"/>
    <w:rsid w:val="69FA633F"/>
    <w:rsid w:val="6A75402D"/>
    <w:rsid w:val="6B736764"/>
    <w:rsid w:val="6BF3218C"/>
    <w:rsid w:val="6C006ECF"/>
    <w:rsid w:val="6C5F4F27"/>
    <w:rsid w:val="6D097505"/>
    <w:rsid w:val="6D1F54AE"/>
    <w:rsid w:val="6DCA664B"/>
    <w:rsid w:val="6DDE6672"/>
    <w:rsid w:val="6DEF7AF4"/>
    <w:rsid w:val="6DF87AF7"/>
    <w:rsid w:val="6E237206"/>
    <w:rsid w:val="6E954028"/>
    <w:rsid w:val="6F1A18C6"/>
    <w:rsid w:val="6F7A7E99"/>
    <w:rsid w:val="6FBC4598"/>
    <w:rsid w:val="6FD269F8"/>
    <w:rsid w:val="6FF42D4C"/>
    <w:rsid w:val="701F3D25"/>
    <w:rsid w:val="70EA1682"/>
    <w:rsid w:val="71063695"/>
    <w:rsid w:val="71A30883"/>
    <w:rsid w:val="71CC7486"/>
    <w:rsid w:val="721F7482"/>
    <w:rsid w:val="724A2D46"/>
    <w:rsid w:val="72BC0DE1"/>
    <w:rsid w:val="736A2962"/>
    <w:rsid w:val="73EC58D3"/>
    <w:rsid w:val="740B2C14"/>
    <w:rsid w:val="740C0ECF"/>
    <w:rsid w:val="74C91B80"/>
    <w:rsid w:val="750D09B0"/>
    <w:rsid w:val="75946037"/>
    <w:rsid w:val="75965C13"/>
    <w:rsid w:val="76062BEF"/>
    <w:rsid w:val="76633E0C"/>
    <w:rsid w:val="766E211A"/>
    <w:rsid w:val="76E15349"/>
    <w:rsid w:val="77104699"/>
    <w:rsid w:val="771E50FA"/>
    <w:rsid w:val="77E36DBE"/>
    <w:rsid w:val="77FA117B"/>
    <w:rsid w:val="7881695B"/>
    <w:rsid w:val="7898154A"/>
    <w:rsid w:val="78C1698B"/>
    <w:rsid w:val="799B3CC5"/>
    <w:rsid w:val="79B73810"/>
    <w:rsid w:val="79E5074F"/>
    <w:rsid w:val="7A6E4D93"/>
    <w:rsid w:val="7AD0650C"/>
    <w:rsid w:val="7B0745E4"/>
    <w:rsid w:val="7B143BE4"/>
    <w:rsid w:val="7B28499C"/>
    <w:rsid w:val="7B3A497C"/>
    <w:rsid w:val="7B7103E7"/>
    <w:rsid w:val="7C4C347A"/>
    <w:rsid w:val="7C5A65DC"/>
    <w:rsid w:val="7CF0222B"/>
    <w:rsid w:val="7D314819"/>
    <w:rsid w:val="7D7D15ED"/>
    <w:rsid w:val="7D7D678B"/>
    <w:rsid w:val="7DBC6400"/>
    <w:rsid w:val="7DDB30D6"/>
    <w:rsid w:val="7F9B7693"/>
    <w:rsid w:val="7FA6471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99"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qFormat="1" w:unhideWhenUsed="0" w:uiPriority="99" w:semiHidden="0" w:name="table of figures"/>
    <w:lsdException w:uiPriority="0" w:name="envelope address"/>
    <w:lsdException w:uiPriority="0" w:name="envelope return"/>
    <w:lsdException w:uiPriority="0" w:name="footnote reference"/>
    <w:lsdException w:qFormat="1" w:unhideWhenUsed="0" w:uiPriority="99"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qFormat="1" w:unhideWhenUsed="0" w:uiPriority="99" w:semiHidden="0" w:name="List Number 3"/>
    <w:lsdException w:uiPriority="0" w:name="List Number 4"/>
    <w:lsdException w:qFormat="1" w:unhideWhenUsed="0" w:uiPriority="99" w:semiHidden="0" w:name="List Number 5"/>
    <w:lsdException w:qFormat="1" w:unhideWhenUsed="0" w:uiPriority="99" w:semiHidden="0" w:name="Title"/>
    <w:lsdException w:uiPriority="0" w:name="Closing"/>
    <w:lsdException w:uiPriority="0" w:name="Signature"/>
    <w:lsdException w:uiPriority="1" w:semiHidden="0"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99" w:semiHidden="0" w:name="Date"/>
    <w:lsdException w:qFormat="1" w:unhideWhenUsed="0" w:uiPriority="99" w:semiHidden="0" w:name="Body Text First Indent"/>
    <w:lsdException w:qFormat="1" w:uiPriority="99" w:semiHidden="0" w:name="Body Text First Indent 2"/>
    <w:lsdException w:uiPriority="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nhideWhenUsed="0" w:uiPriority="0" w:semiHidden="0" w:name="HTML Sample"/>
    <w:lsdException w:qFormat="1" w:unhideWhenUsed="0" w:uiPriority="99" w:semiHidden="0" w:name="HTML Typewriter"/>
    <w:lsdException w:uiPriority="0" w:name="HTML Variable"/>
    <w:lsdException w:qFormat="1" w:uiPriority="99" w:semiHidden="0"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lang w:val="en-US" w:eastAsia="zh-CN" w:bidi="ar-SA"/>
    </w:rPr>
  </w:style>
  <w:style w:type="paragraph" w:styleId="4">
    <w:name w:val="heading 1"/>
    <w:basedOn w:val="1"/>
    <w:next w:val="1"/>
    <w:link w:val="57"/>
    <w:qFormat/>
    <w:uiPriority w:val="9"/>
    <w:pPr>
      <w:keepNext/>
      <w:spacing w:line="380" w:lineRule="exact"/>
      <w:jc w:val="center"/>
      <w:outlineLvl w:val="0"/>
    </w:pPr>
    <w:rPr>
      <w:rFonts w:ascii="宋体" w:hAnsi="宋体"/>
      <w:b/>
      <w:kern w:val="44"/>
      <w:sz w:val="44"/>
      <w:szCs w:val="44"/>
    </w:rPr>
  </w:style>
  <w:style w:type="paragraph" w:styleId="5">
    <w:name w:val="heading 2"/>
    <w:basedOn w:val="1"/>
    <w:next w:val="1"/>
    <w:link w:val="58"/>
    <w:qFormat/>
    <w:uiPriority w:val="9"/>
    <w:pPr>
      <w:keepNext/>
      <w:keepLines/>
      <w:tabs>
        <w:tab w:val="left" w:pos="578"/>
      </w:tabs>
      <w:spacing w:beforeLines="50" w:afterLines="50" w:line="360" w:lineRule="auto"/>
      <w:ind w:left="578" w:hanging="578"/>
      <w:outlineLvl w:val="1"/>
    </w:pPr>
    <w:rPr>
      <w:rFonts w:ascii="Cambria" w:hAnsi="Cambria"/>
      <w:szCs w:val="21"/>
    </w:rPr>
  </w:style>
  <w:style w:type="paragraph" w:styleId="6">
    <w:name w:val="heading 3"/>
    <w:basedOn w:val="1"/>
    <w:next w:val="1"/>
    <w:link w:val="59"/>
    <w:qFormat/>
    <w:uiPriority w:val="9"/>
    <w:pPr>
      <w:keepNext/>
      <w:keepLines/>
      <w:tabs>
        <w:tab w:val="left" w:pos="1620"/>
      </w:tabs>
      <w:spacing w:beforeLines="50" w:afterLines="50" w:line="360" w:lineRule="auto"/>
      <w:ind w:left="1620" w:hanging="720"/>
      <w:outlineLvl w:val="2"/>
    </w:pPr>
    <w:rPr>
      <w:rFonts w:ascii="宋体" w:hAnsi="宋体"/>
      <w:b/>
      <w:sz w:val="32"/>
      <w:szCs w:val="32"/>
    </w:rPr>
  </w:style>
  <w:style w:type="paragraph" w:styleId="7">
    <w:name w:val="heading 4"/>
    <w:basedOn w:val="1"/>
    <w:next w:val="1"/>
    <w:link w:val="60"/>
    <w:qFormat/>
    <w:uiPriority w:val="0"/>
    <w:pPr>
      <w:keepNext/>
      <w:keepLines/>
      <w:tabs>
        <w:tab w:val="left" w:pos="864"/>
      </w:tabs>
      <w:spacing w:before="280" w:after="290" w:line="376" w:lineRule="auto"/>
      <w:ind w:left="864" w:hanging="864"/>
      <w:outlineLvl w:val="3"/>
    </w:pPr>
    <w:rPr>
      <w:rFonts w:ascii="Arial" w:hAnsi="Arial" w:eastAsia="黑体"/>
      <w:b/>
      <w:sz w:val="28"/>
    </w:rPr>
  </w:style>
  <w:style w:type="paragraph" w:styleId="8">
    <w:name w:val="heading 5"/>
    <w:basedOn w:val="1"/>
    <w:next w:val="1"/>
    <w:link w:val="61"/>
    <w:qFormat/>
    <w:uiPriority w:val="9"/>
    <w:pPr>
      <w:keepNext/>
      <w:keepLines/>
      <w:tabs>
        <w:tab w:val="left" w:pos="1548"/>
      </w:tabs>
      <w:spacing w:before="280" w:after="290" w:line="376" w:lineRule="auto"/>
      <w:ind w:left="1548" w:hanging="1548"/>
      <w:outlineLvl w:val="4"/>
    </w:pPr>
    <w:rPr>
      <w:b/>
      <w:sz w:val="28"/>
    </w:rPr>
  </w:style>
  <w:style w:type="paragraph" w:styleId="9">
    <w:name w:val="heading 6"/>
    <w:basedOn w:val="1"/>
    <w:next w:val="1"/>
    <w:link w:val="62"/>
    <w:qFormat/>
    <w:uiPriority w:val="9"/>
    <w:pPr>
      <w:keepNext/>
      <w:keepLines/>
      <w:spacing w:before="240" w:after="64" w:line="320" w:lineRule="auto"/>
      <w:outlineLvl w:val="5"/>
    </w:pPr>
    <w:rPr>
      <w:rFonts w:ascii="Cambria" w:hAnsi="Cambria"/>
      <w:b/>
      <w:sz w:val="24"/>
    </w:rPr>
  </w:style>
  <w:style w:type="paragraph" w:styleId="10">
    <w:name w:val="heading 7"/>
    <w:basedOn w:val="1"/>
    <w:next w:val="1"/>
    <w:link w:val="63"/>
    <w:qFormat/>
    <w:uiPriority w:val="9"/>
    <w:pPr>
      <w:keepNext/>
      <w:keepLines/>
      <w:tabs>
        <w:tab w:val="left" w:pos="1296"/>
      </w:tabs>
      <w:spacing w:before="240" w:after="64" w:line="317" w:lineRule="auto"/>
      <w:ind w:left="2940" w:hanging="420"/>
      <w:outlineLvl w:val="6"/>
    </w:pPr>
    <w:rPr>
      <w:b/>
      <w:sz w:val="24"/>
    </w:rPr>
  </w:style>
  <w:style w:type="paragraph" w:styleId="11">
    <w:name w:val="heading 8"/>
    <w:basedOn w:val="1"/>
    <w:next w:val="1"/>
    <w:link w:val="64"/>
    <w:qFormat/>
    <w:uiPriority w:val="9"/>
    <w:pPr>
      <w:keepNext/>
      <w:keepLines/>
      <w:tabs>
        <w:tab w:val="left" w:pos="1440"/>
      </w:tabs>
      <w:spacing w:before="240" w:after="64" w:line="317" w:lineRule="auto"/>
      <w:ind w:left="3360" w:hanging="420"/>
      <w:outlineLvl w:val="7"/>
    </w:pPr>
    <w:rPr>
      <w:rFonts w:ascii="Arial" w:hAnsi="Arial" w:eastAsia="黑体"/>
      <w:sz w:val="24"/>
    </w:rPr>
  </w:style>
  <w:style w:type="paragraph" w:styleId="12">
    <w:name w:val="heading 9"/>
    <w:basedOn w:val="1"/>
    <w:next w:val="1"/>
    <w:link w:val="65"/>
    <w:qFormat/>
    <w:uiPriority w:val="9"/>
    <w:pPr>
      <w:keepNext/>
      <w:keepLines/>
      <w:tabs>
        <w:tab w:val="left" w:pos="1584"/>
      </w:tabs>
      <w:spacing w:before="240" w:after="64" w:line="317" w:lineRule="auto"/>
      <w:ind w:left="3780" w:hanging="420"/>
      <w:outlineLvl w:val="8"/>
    </w:pPr>
    <w:rPr>
      <w:rFonts w:ascii="Arial" w:hAnsi="Arial" w:eastAsia="黑体"/>
    </w:rPr>
  </w:style>
  <w:style w:type="character" w:default="1" w:styleId="46">
    <w:name w:val="Default Paragraph Font"/>
    <w:unhideWhenUsed/>
    <w:uiPriority w:val="1"/>
    <w:rPr>
      <w:rFonts w:ascii="宋体" w:hAnsi="宋体"/>
      <w:i/>
      <w:sz w:val="24"/>
      <w:szCs w:val="24"/>
    </w:rPr>
  </w:style>
  <w:style w:type="table" w:default="1" w:styleId="44">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Style w:val="44"/>
      <w:tblCellMar>
        <w:top w:w="0" w:type="dxa"/>
        <w:left w:w="108" w:type="dxa"/>
        <w:bottom w:w="0" w:type="dxa"/>
        <w:right w:w="108" w:type="dxa"/>
      </w:tblCellMar>
    </w:tblPr>
  </w:style>
  <w:style w:type="paragraph" w:styleId="2">
    <w:name w:val="Body Text"/>
    <w:basedOn w:val="1"/>
    <w:next w:val="3"/>
    <w:link w:val="55"/>
    <w:qFormat/>
    <w:uiPriority w:val="99"/>
    <w:rPr>
      <w:rFonts w:ascii="宋体" w:hAnsi="宋体"/>
      <w:kern w:val="0"/>
      <w:sz w:val="20"/>
    </w:rPr>
  </w:style>
  <w:style w:type="paragraph" w:styleId="3">
    <w:name w:val="Body Text First Indent"/>
    <w:basedOn w:val="2"/>
    <w:next w:val="1"/>
    <w:link w:val="56"/>
    <w:qFormat/>
    <w:uiPriority w:val="99"/>
    <w:pPr>
      <w:spacing w:after="120"/>
      <w:ind w:firstLine="420" w:firstLineChars="100"/>
    </w:pPr>
    <w:rPr>
      <w:i/>
      <w:kern w:val="2"/>
      <w:sz w:val="24"/>
    </w:rPr>
  </w:style>
  <w:style w:type="paragraph" w:styleId="13">
    <w:name w:val="toc 7"/>
    <w:basedOn w:val="1"/>
    <w:next w:val="1"/>
    <w:qFormat/>
    <w:uiPriority w:val="39"/>
    <w:pPr>
      <w:ind w:left="1260"/>
      <w:jc w:val="left"/>
    </w:pPr>
    <w:rPr>
      <w:sz w:val="18"/>
      <w:szCs w:val="18"/>
    </w:rPr>
  </w:style>
  <w:style w:type="paragraph" w:styleId="14">
    <w:name w:val="Normal Indent"/>
    <w:basedOn w:val="1"/>
    <w:link w:val="66"/>
    <w:qFormat/>
    <w:uiPriority w:val="0"/>
    <w:pPr>
      <w:ind w:firstLine="420" w:firstLineChars="200"/>
    </w:pPr>
    <w:rPr>
      <w:rFonts w:ascii="宋体" w:hAnsi="宋体"/>
      <w:spacing w:val="14"/>
      <w:kern w:val="24"/>
      <w:sz w:val="24"/>
      <w:szCs w:val="24"/>
    </w:rPr>
  </w:style>
  <w:style w:type="paragraph" w:styleId="15">
    <w:name w:val="Document Map"/>
    <w:basedOn w:val="1"/>
    <w:link w:val="67"/>
    <w:semiHidden/>
    <w:qFormat/>
    <w:uiPriority w:val="99"/>
    <w:pPr>
      <w:shd w:val="clear" w:color="auto" w:fill="000080"/>
    </w:pPr>
  </w:style>
  <w:style w:type="paragraph" w:styleId="16">
    <w:name w:val="annotation text"/>
    <w:basedOn w:val="1"/>
    <w:link w:val="68"/>
    <w:qFormat/>
    <w:uiPriority w:val="99"/>
    <w:pPr>
      <w:jc w:val="left"/>
    </w:pPr>
    <w:rPr>
      <w:rFonts w:ascii="宋体" w:hAnsi="宋体"/>
      <w:szCs w:val="21"/>
    </w:rPr>
  </w:style>
  <w:style w:type="paragraph" w:styleId="17">
    <w:name w:val="Body Text 3"/>
    <w:basedOn w:val="1"/>
    <w:link w:val="69"/>
    <w:qFormat/>
    <w:uiPriority w:val="99"/>
    <w:pPr>
      <w:spacing w:after="120" w:line="360" w:lineRule="auto"/>
    </w:pPr>
    <w:rPr>
      <w:kern w:val="0"/>
      <w:sz w:val="16"/>
    </w:rPr>
  </w:style>
  <w:style w:type="paragraph" w:styleId="18">
    <w:name w:val="Body Text Indent"/>
    <w:basedOn w:val="1"/>
    <w:next w:val="19"/>
    <w:link w:val="70"/>
    <w:qFormat/>
    <w:uiPriority w:val="99"/>
    <w:pPr>
      <w:spacing w:line="380" w:lineRule="exact"/>
      <w:ind w:firstLine="480"/>
    </w:pPr>
    <w:rPr>
      <w:rFonts w:eastAsia="方正书宋简体"/>
      <w:sz w:val="24"/>
    </w:rPr>
  </w:style>
  <w:style w:type="paragraph" w:styleId="19">
    <w:name w:val="Body Text First Indent 2"/>
    <w:basedOn w:val="18"/>
    <w:next w:val="1"/>
    <w:unhideWhenUsed/>
    <w:qFormat/>
    <w:uiPriority w:val="99"/>
    <w:pPr>
      <w:spacing w:after="120"/>
      <w:ind w:left="420" w:leftChars="200" w:firstLine="420"/>
    </w:pPr>
    <w:rPr>
      <w:rFonts w:hint="default"/>
      <w:sz w:val="24"/>
    </w:rPr>
  </w:style>
  <w:style w:type="paragraph" w:styleId="20">
    <w:name w:val="List Number 3"/>
    <w:basedOn w:val="1"/>
    <w:qFormat/>
    <w:uiPriority w:val="99"/>
    <w:pPr>
      <w:widowControl/>
      <w:tabs>
        <w:tab w:val="left" w:pos="482"/>
      </w:tabs>
      <w:spacing w:afterLines="50"/>
      <w:ind w:left="482" w:hanging="340"/>
      <w:jc w:val="left"/>
    </w:pPr>
    <w:rPr>
      <w:kern w:val="0"/>
      <w:sz w:val="24"/>
    </w:rPr>
  </w:style>
  <w:style w:type="paragraph" w:styleId="21">
    <w:name w:val="toc 5"/>
    <w:basedOn w:val="1"/>
    <w:next w:val="1"/>
    <w:qFormat/>
    <w:uiPriority w:val="39"/>
    <w:pPr>
      <w:ind w:left="840"/>
      <w:jc w:val="left"/>
    </w:pPr>
    <w:rPr>
      <w:sz w:val="18"/>
      <w:szCs w:val="18"/>
    </w:rPr>
  </w:style>
  <w:style w:type="paragraph" w:styleId="22">
    <w:name w:val="toc 3"/>
    <w:basedOn w:val="1"/>
    <w:next w:val="1"/>
    <w:qFormat/>
    <w:uiPriority w:val="39"/>
    <w:pPr>
      <w:ind w:left="420"/>
      <w:jc w:val="left"/>
    </w:pPr>
    <w:rPr>
      <w:i/>
      <w:iCs/>
      <w:sz w:val="20"/>
    </w:rPr>
  </w:style>
  <w:style w:type="paragraph" w:styleId="23">
    <w:name w:val="Plain Text"/>
    <w:basedOn w:val="1"/>
    <w:next w:val="1"/>
    <w:link w:val="71"/>
    <w:qFormat/>
    <w:uiPriority w:val="99"/>
    <w:pPr>
      <w:widowControl/>
      <w:spacing w:before="100" w:beforeAutospacing="1" w:after="100" w:afterAutospacing="1"/>
      <w:jc w:val="left"/>
    </w:pPr>
    <w:rPr>
      <w:rFonts w:ascii="宋体" w:hAnsi="Courier New"/>
      <w:kern w:val="0"/>
      <w:sz w:val="20"/>
    </w:rPr>
  </w:style>
  <w:style w:type="paragraph" w:styleId="24">
    <w:name w:val="toc 8"/>
    <w:basedOn w:val="1"/>
    <w:next w:val="1"/>
    <w:qFormat/>
    <w:uiPriority w:val="39"/>
    <w:pPr>
      <w:ind w:left="1470"/>
      <w:jc w:val="left"/>
    </w:pPr>
    <w:rPr>
      <w:sz w:val="18"/>
      <w:szCs w:val="18"/>
    </w:rPr>
  </w:style>
  <w:style w:type="paragraph" w:styleId="25">
    <w:name w:val="Date"/>
    <w:basedOn w:val="1"/>
    <w:next w:val="1"/>
    <w:link w:val="72"/>
    <w:qFormat/>
    <w:uiPriority w:val="99"/>
    <w:pPr>
      <w:adjustRightInd w:val="0"/>
      <w:spacing w:line="312" w:lineRule="atLeast"/>
      <w:jc w:val="right"/>
      <w:textAlignment w:val="baseline"/>
    </w:pPr>
    <w:rPr>
      <w:rFonts w:ascii="宋体"/>
      <w:kern w:val="0"/>
      <w:sz w:val="24"/>
    </w:rPr>
  </w:style>
  <w:style w:type="paragraph" w:styleId="26">
    <w:name w:val="Body Text Indent 2"/>
    <w:basedOn w:val="1"/>
    <w:link w:val="73"/>
    <w:qFormat/>
    <w:uiPriority w:val="99"/>
    <w:pPr>
      <w:spacing w:line="380" w:lineRule="exact"/>
      <w:ind w:left="840" w:hanging="45"/>
    </w:pPr>
    <w:rPr>
      <w:rFonts w:ascii="宋体"/>
      <w:sz w:val="24"/>
    </w:rPr>
  </w:style>
  <w:style w:type="paragraph" w:styleId="27">
    <w:name w:val="Balloon Text"/>
    <w:basedOn w:val="1"/>
    <w:link w:val="74"/>
    <w:semiHidden/>
    <w:qFormat/>
    <w:uiPriority w:val="99"/>
    <w:rPr>
      <w:rFonts w:ascii="宋体" w:hAnsi="宋体"/>
      <w:sz w:val="18"/>
      <w:szCs w:val="18"/>
    </w:rPr>
  </w:style>
  <w:style w:type="paragraph" w:styleId="28">
    <w:name w:val="footer"/>
    <w:basedOn w:val="1"/>
    <w:link w:val="75"/>
    <w:qFormat/>
    <w:uiPriority w:val="99"/>
    <w:pPr>
      <w:tabs>
        <w:tab w:val="center" w:pos="4153"/>
        <w:tab w:val="right" w:pos="8306"/>
      </w:tabs>
      <w:snapToGrid w:val="0"/>
      <w:jc w:val="left"/>
    </w:pPr>
    <w:rPr>
      <w:rFonts w:ascii="宋体" w:hAnsi="宋体"/>
      <w:sz w:val="18"/>
      <w:szCs w:val="18"/>
    </w:rPr>
  </w:style>
  <w:style w:type="paragraph" w:styleId="29">
    <w:name w:val="header"/>
    <w:basedOn w:val="1"/>
    <w:link w:val="76"/>
    <w:qFormat/>
    <w:uiPriority w:val="99"/>
    <w:pPr>
      <w:pBdr>
        <w:bottom w:val="single" w:color="auto" w:sz="6" w:space="1"/>
      </w:pBdr>
      <w:tabs>
        <w:tab w:val="center" w:pos="4153"/>
        <w:tab w:val="right" w:pos="8306"/>
      </w:tabs>
      <w:snapToGrid w:val="0"/>
      <w:jc w:val="center"/>
    </w:pPr>
    <w:rPr>
      <w:rFonts w:ascii="宋体" w:hAnsi="宋体"/>
      <w:sz w:val="18"/>
      <w:szCs w:val="18"/>
    </w:rPr>
  </w:style>
  <w:style w:type="paragraph" w:styleId="30">
    <w:name w:val="toc 1"/>
    <w:basedOn w:val="1"/>
    <w:next w:val="1"/>
    <w:qFormat/>
    <w:uiPriority w:val="39"/>
    <w:pPr>
      <w:tabs>
        <w:tab w:val="right" w:leader="dot" w:pos="8721"/>
      </w:tabs>
      <w:spacing w:line="480" w:lineRule="auto"/>
    </w:pPr>
    <w:rPr>
      <w:rFonts w:ascii="宋体" w:hAnsi="宋体"/>
      <w:color w:val="000000"/>
      <w:sz w:val="32"/>
      <w:szCs w:val="32"/>
    </w:rPr>
  </w:style>
  <w:style w:type="paragraph" w:styleId="31">
    <w:name w:val="toc 4"/>
    <w:basedOn w:val="1"/>
    <w:next w:val="1"/>
    <w:qFormat/>
    <w:uiPriority w:val="39"/>
    <w:pPr>
      <w:ind w:left="630"/>
      <w:jc w:val="left"/>
    </w:pPr>
    <w:rPr>
      <w:sz w:val="18"/>
      <w:szCs w:val="18"/>
    </w:rPr>
  </w:style>
  <w:style w:type="paragraph" w:styleId="32">
    <w:name w:val="List Number 5"/>
    <w:basedOn w:val="1"/>
    <w:qFormat/>
    <w:uiPriority w:val="99"/>
    <w:pPr>
      <w:tabs>
        <w:tab w:val="left" w:pos="2608"/>
      </w:tabs>
      <w:spacing w:line="360" w:lineRule="auto"/>
      <w:ind w:left="840" w:hanging="360"/>
    </w:pPr>
    <w:rPr>
      <w:sz w:val="24"/>
      <w:szCs w:val="24"/>
    </w:rPr>
  </w:style>
  <w:style w:type="paragraph" w:styleId="33">
    <w:name w:val="toc 6"/>
    <w:basedOn w:val="1"/>
    <w:next w:val="1"/>
    <w:qFormat/>
    <w:uiPriority w:val="39"/>
    <w:pPr>
      <w:ind w:left="1050"/>
      <w:jc w:val="left"/>
    </w:pPr>
    <w:rPr>
      <w:sz w:val="18"/>
      <w:szCs w:val="18"/>
    </w:rPr>
  </w:style>
  <w:style w:type="paragraph" w:styleId="34">
    <w:name w:val="Body Text Indent 3"/>
    <w:basedOn w:val="1"/>
    <w:link w:val="77"/>
    <w:qFormat/>
    <w:uiPriority w:val="99"/>
    <w:pPr>
      <w:spacing w:line="380" w:lineRule="exact"/>
      <w:ind w:left="525"/>
    </w:pPr>
    <w:rPr>
      <w:rFonts w:ascii="宋体" w:hAnsi="宋体"/>
      <w:b/>
      <w:sz w:val="24"/>
      <w:szCs w:val="24"/>
    </w:rPr>
  </w:style>
  <w:style w:type="paragraph" w:styleId="35">
    <w:name w:val="table of figures"/>
    <w:basedOn w:val="1"/>
    <w:next w:val="1"/>
    <w:qFormat/>
    <w:uiPriority w:val="99"/>
    <w:pPr>
      <w:ind w:left="420" w:hanging="420"/>
      <w:jc w:val="left"/>
    </w:pPr>
    <w:rPr>
      <w:smallCaps/>
      <w:sz w:val="20"/>
    </w:rPr>
  </w:style>
  <w:style w:type="paragraph" w:styleId="36">
    <w:name w:val="toc 2"/>
    <w:basedOn w:val="1"/>
    <w:next w:val="1"/>
    <w:qFormat/>
    <w:uiPriority w:val="39"/>
    <w:pPr>
      <w:ind w:left="210"/>
      <w:jc w:val="left"/>
    </w:pPr>
    <w:rPr>
      <w:smallCaps/>
      <w:sz w:val="20"/>
    </w:rPr>
  </w:style>
  <w:style w:type="paragraph" w:styleId="37">
    <w:name w:val="toc 9"/>
    <w:basedOn w:val="1"/>
    <w:next w:val="1"/>
    <w:qFormat/>
    <w:uiPriority w:val="39"/>
    <w:pPr>
      <w:ind w:left="1680"/>
      <w:jc w:val="left"/>
    </w:pPr>
    <w:rPr>
      <w:sz w:val="18"/>
      <w:szCs w:val="18"/>
    </w:rPr>
  </w:style>
  <w:style w:type="paragraph" w:styleId="38">
    <w:name w:val="Body Text 2"/>
    <w:basedOn w:val="1"/>
    <w:link w:val="78"/>
    <w:qFormat/>
    <w:uiPriority w:val="99"/>
    <w:pPr>
      <w:spacing w:after="120" w:line="480" w:lineRule="auto"/>
    </w:pPr>
    <w:rPr>
      <w:kern w:val="0"/>
      <w:sz w:val="24"/>
    </w:rPr>
  </w:style>
  <w:style w:type="paragraph" w:styleId="39">
    <w:name w:val="HTML Preformatted"/>
    <w:basedOn w:val="1"/>
    <w:link w:val="79"/>
    <w:qFormat/>
    <w:uiPriority w:val="99"/>
    <w:rPr>
      <w:rFonts w:ascii="Courier New" w:hAnsi="Courier New"/>
      <w:sz w:val="20"/>
    </w:rPr>
  </w:style>
  <w:style w:type="paragraph" w:styleId="40">
    <w:name w:val="Normal (Web)"/>
    <w:basedOn w:val="1"/>
    <w:qFormat/>
    <w:uiPriority w:val="0"/>
    <w:pPr>
      <w:widowControl/>
      <w:spacing w:before="100" w:beforeAutospacing="1" w:after="100" w:afterAutospacing="1" w:line="300" w:lineRule="atLeast"/>
      <w:jc w:val="left"/>
    </w:pPr>
    <w:rPr>
      <w:rFonts w:ascii="宋体" w:hAnsi="宋体" w:cs="宋体"/>
      <w:kern w:val="0"/>
      <w:sz w:val="24"/>
      <w:szCs w:val="24"/>
    </w:rPr>
  </w:style>
  <w:style w:type="paragraph" w:styleId="41">
    <w:name w:val="index 1"/>
    <w:basedOn w:val="1"/>
    <w:next w:val="1"/>
    <w:semiHidden/>
    <w:qFormat/>
    <w:uiPriority w:val="99"/>
  </w:style>
  <w:style w:type="paragraph" w:styleId="42">
    <w:name w:val="Title"/>
    <w:basedOn w:val="1"/>
    <w:next w:val="1"/>
    <w:qFormat/>
    <w:uiPriority w:val="99"/>
    <w:pPr>
      <w:autoSpaceDE w:val="0"/>
      <w:autoSpaceDN w:val="0"/>
      <w:adjustRightInd w:val="0"/>
      <w:spacing w:before="240" w:after="60"/>
      <w:jc w:val="center"/>
      <w:outlineLvl w:val="0"/>
    </w:pPr>
    <w:rPr>
      <w:rFonts w:ascii="Cambria" w:hAnsi="Cambria"/>
      <w:b/>
      <w:color w:val="000000"/>
      <w:kern w:val="0"/>
      <w:sz w:val="32"/>
      <w:szCs w:val="32"/>
    </w:rPr>
  </w:style>
  <w:style w:type="paragraph" w:styleId="43">
    <w:name w:val="annotation subject"/>
    <w:basedOn w:val="16"/>
    <w:next w:val="16"/>
    <w:link w:val="80"/>
    <w:semiHidden/>
    <w:qFormat/>
    <w:uiPriority w:val="99"/>
    <w:rPr>
      <w:b/>
    </w:rPr>
  </w:style>
  <w:style w:type="table" w:styleId="45">
    <w:name w:val="Table Grid"/>
    <w:basedOn w:val="44"/>
    <w:qFormat/>
    <w:uiPriority w:val="39"/>
    <w:pPr>
      <w:keepNext w:val="0"/>
      <w:keepLines w:val="0"/>
      <w:widowControl/>
      <w:suppressLineNumbers w:val="0"/>
      <w:spacing w:before="0" w:beforeAutospacing="0" w:after="0" w:afterAutospacing="0"/>
      <w:ind w:left="0" w:right="0"/>
    </w:pPr>
    <w:rPr>
      <w:rFonts w:hint="default" w:ascii="Times New Roman" w:hAnsi="Times New Roman" w:cs="Times New Roman"/>
      <w:kern w:val="2"/>
      <w:sz w:val="21"/>
      <w:szCs w:val="21"/>
    </w:rPr>
    <w:tblPr>
      <w:tblStyle w:val="4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7">
    <w:name w:val="Strong"/>
    <w:basedOn w:val="46"/>
    <w:qFormat/>
    <w:uiPriority w:val="22"/>
    <w:rPr>
      <w:b/>
    </w:rPr>
  </w:style>
  <w:style w:type="character" w:styleId="48">
    <w:name w:val="page number"/>
    <w:qFormat/>
    <w:uiPriority w:val="99"/>
    <w:rPr>
      <w:rFonts w:cs="Times New Roman"/>
    </w:rPr>
  </w:style>
  <w:style w:type="character" w:styleId="49">
    <w:name w:val="FollowedHyperlink"/>
    <w:qFormat/>
    <w:uiPriority w:val="99"/>
    <w:rPr>
      <w:color w:val="800080"/>
      <w:u w:val="single"/>
    </w:rPr>
  </w:style>
  <w:style w:type="character" w:styleId="50">
    <w:name w:val="Emphasis"/>
    <w:qFormat/>
    <w:uiPriority w:val="20"/>
    <w:rPr>
      <w:i/>
    </w:rPr>
  </w:style>
  <w:style w:type="character" w:styleId="51">
    <w:name w:val="HTML Typewriter"/>
    <w:qFormat/>
    <w:uiPriority w:val="99"/>
    <w:rPr>
      <w:rFonts w:ascii="Courier New" w:hAnsi="Courier New"/>
      <w:sz w:val="20"/>
    </w:rPr>
  </w:style>
  <w:style w:type="character" w:styleId="52">
    <w:name w:val="Hyperlink"/>
    <w:qFormat/>
    <w:uiPriority w:val="99"/>
    <w:rPr>
      <w:rFonts w:ascii="宋体" w:hAnsi="宋体"/>
      <w:i/>
      <w:color w:val="0000FF"/>
      <w:sz w:val="24"/>
      <w:szCs w:val="24"/>
      <w:u w:val="single"/>
    </w:rPr>
  </w:style>
  <w:style w:type="character" w:styleId="53">
    <w:name w:val="annotation reference"/>
    <w:semiHidden/>
    <w:qFormat/>
    <w:uiPriority w:val="99"/>
    <w:rPr>
      <w:sz w:val="21"/>
    </w:rPr>
  </w:style>
  <w:style w:type="character" w:styleId="54">
    <w:name w:val="HTML Sample"/>
    <w:basedOn w:val="46"/>
    <w:uiPriority w:val="0"/>
    <w:rPr>
      <w:rFonts w:ascii="Courier New" w:hAnsi="Courier New"/>
    </w:rPr>
  </w:style>
  <w:style w:type="character" w:customStyle="1" w:styleId="55">
    <w:name w:val="正文文本 Char2"/>
    <w:link w:val="2"/>
    <w:locked/>
    <w:uiPriority w:val="99"/>
    <w:rPr>
      <w:rFonts w:ascii="宋体" w:hAnsi="宋体" w:eastAsia="宋体" w:cs="宋体"/>
      <w:lang w:val="en-US" w:eastAsia="zh-CN"/>
    </w:rPr>
  </w:style>
  <w:style w:type="character" w:customStyle="1" w:styleId="56">
    <w:name w:val="正文首行缩进 Char"/>
    <w:link w:val="3"/>
    <w:qFormat/>
    <w:locked/>
    <w:uiPriority w:val="99"/>
    <w:rPr>
      <w:rFonts w:ascii="宋体" w:hAnsi="宋体" w:eastAsia="宋体" w:cs="宋体"/>
      <w:i/>
      <w:kern w:val="2"/>
      <w:sz w:val="24"/>
      <w:lang w:val="en-US" w:eastAsia="zh-CN"/>
    </w:rPr>
  </w:style>
  <w:style w:type="character" w:customStyle="1" w:styleId="57">
    <w:name w:val="标题 1 Char1"/>
    <w:link w:val="4"/>
    <w:locked/>
    <w:uiPriority w:val="9"/>
    <w:rPr>
      <w:rFonts w:ascii="宋体" w:hAnsi="宋体" w:eastAsia="宋体" w:cs="宋体"/>
      <w:b/>
      <w:kern w:val="44"/>
      <w:sz w:val="44"/>
      <w:szCs w:val="44"/>
      <w:lang w:val="en-US" w:eastAsia="zh-CN"/>
    </w:rPr>
  </w:style>
  <w:style w:type="character" w:customStyle="1" w:styleId="58">
    <w:name w:val="标题 2 Char1"/>
    <w:link w:val="5"/>
    <w:locked/>
    <w:uiPriority w:val="9"/>
    <w:rPr>
      <w:rFonts w:ascii="Cambria" w:hAnsi="Cambria" w:eastAsia="宋体" w:cs="Cambria"/>
      <w:kern w:val="2"/>
      <w:sz w:val="21"/>
      <w:szCs w:val="21"/>
      <w:lang w:val="en-US" w:eastAsia="zh-CN"/>
    </w:rPr>
  </w:style>
  <w:style w:type="character" w:customStyle="1" w:styleId="59">
    <w:name w:val="标题 3 Char1"/>
    <w:link w:val="6"/>
    <w:locked/>
    <w:uiPriority w:val="9"/>
    <w:rPr>
      <w:rFonts w:ascii="宋体" w:hAnsi="宋体" w:eastAsia="宋体" w:cs="宋体"/>
      <w:b/>
      <w:kern w:val="2"/>
      <w:sz w:val="32"/>
      <w:szCs w:val="32"/>
      <w:lang w:val="en-US" w:eastAsia="zh-CN"/>
    </w:rPr>
  </w:style>
  <w:style w:type="character" w:customStyle="1" w:styleId="60">
    <w:name w:val="标题 4 Char"/>
    <w:link w:val="7"/>
    <w:qFormat/>
    <w:locked/>
    <w:uiPriority w:val="0"/>
    <w:rPr>
      <w:rFonts w:ascii="Arial" w:hAnsi="Arial" w:eastAsia="黑体"/>
      <w:b/>
      <w:kern w:val="2"/>
      <w:sz w:val="28"/>
      <w:lang w:val="en-US" w:eastAsia="zh-CN"/>
    </w:rPr>
  </w:style>
  <w:style w:type="character" w:customStyle="1" w:styleId="61">
    <w:name w:val="标题 5 Char"/>
    <w:link w:val="8"/>
    <w:qFormat/>
    <w:locked/>
    <w:uiPriority w:val="9"/>
    <w:rPr>
      <w:rFonts w:eastAsia="宋体"/>
      <w:b/>
      <w:kern w:val="2"/>
      <w:sz w:val="28"/>
      <w:lang w:val="en-US" w:eastAsia="zh-CN"/>
    </w:rPr>
  </w:style>
  <w:style w:type="character" w:customStyle="1" w:styleId="62">
    <w:name w:val="标题 6 Char"/>
    <w:link w:val="9"/>
    <w:qFormat/>
    <w:locked/>
    <w:uiPriority w:val="9"/>
    <w:rPr>
      <w:rFonts w:ascii="Cambria" w:hAnsi="Cambria" w:eastAsia="宋体"/>
      <w:b/>
      <w:kern w:val="2"/>
      <w:sz w:val="24"/>
      <w:lang w:val="en-US" w:eastAsia="zh-CN"/>
    </w:rPr>
  </w:style>
  <w:style w:type="character" w:customStyle="1" w:styleId="63">
    <w:name w:val="标题 7 Char"/>
    <w:link w:val="10"/>
    <w:qFormat/>
    <w:locked/>
    <w:uiPriority w:val="9"/>
    <w:rPr>
      <w:b/>
      <w:kern w:val="2"/>
      <w:sz w:val="24"/>
    </w:rPr>
  </w:style>
  <w:style w:type="character" w:customStyle="1" w:styleId="64">
    <w:name w:val="标题 8 Char"/>
    <w:link w:val="11"/>
    <w:qFormat/>
    <w:locked/>
    <w:uiPriority w:val="9"/>
    <w:rPr>
      <w:rFonts w:ascii="Arial" w:hAnsi="Arial" w:eastAsia="黑体"/>
      <w:kern w:val="2"/>
      <w:sz w:val="24"/>
    </w:rPr>
  </w:style>
  <w:style w:type="character" w:customStyle="1" w:styleId="65">
    <w:name w:val="标题 9 Char"/>
    <w:link w:val="12"/>
    <w:qFormat/>
    <w:locked/>
    <w:uiPriority w:val="9"/>
    <w:rPr>
      <w:rFonts w:ascii="Arial" w:hAnsi="Arial" w:eastAsia="黑体"/>
      <w:kern w:val="2"/>
      <w:sz w:val="21"/>
    </w:rPr>
  </w:style>
  <w:style w:type="character" w:customStyle="1" w:styleId="66">
    <w:name w:val="正文缩进 Char1"/>
    <w:link w:val="14"/>
    <w:locked/>
    <w:uiPriority w:val="0"/>
    <w:rPr>
      <w:rFonts w:ascii="宋体" w:hAnsi="宋体" w:eastAsia="宋体" w:cs="宋体"/>
      <w:spacing w:val="14"/>
      <w:kern w:val="24"/>
      <w:sz w:val="24"/>
      <w:szCs w:val="24"/>
      <w:lang w:val="en-US" w:eastAsia="zh-CN"/>
    </w:rPr>
  </w:style>
  <w:style w:type="character" w:customStyle="1" w:styleId="67">
    <w:name w:val="文档结构图 Char"/>
    <w:link w:val="15"/>
    <w:qFormat/>
    <w:locked/>
    <w:uiPriority w:val="99"/>
    <w:rPr>
      <w:rFonts w:eastAsia="宋体"/>
      <w:kern w:val="2"/>
      <w:sz w:val="21"/>
      <w:lang w:val="en-US" w:eastAsia="zh-CN"/>
    </w:rPr>
  </w:style>
  <w:style w:type="character" w:customStyle="1" w:styleId="68">
    <w:name w:val="批注文字 Char1"/>
    <w:link w:val="16"/>
    <w:locked/>
    <w:uiPriority w:val="99"/>
    <w:rPr>
      <w:rFonts w:ascii="宋体" w:hAnsi="宋体" w:eastAsia="宋体" w:cs="宋体"/>
      <w:kern w:val="2"/>
      <w:sz w:val="21"/>
      <w:szCs w:val="21"/>
      <w:lang w:val="en-US" w:eastAsia="zh-CN"/>
    </w:rPr>
  </w:style>
  <w:style w:type="character" w:customStyle="1" w:styleId="69">
    <w:name w:val="正文文本 3 Char"/>
    <w:link w:val="17"/>
    <w:qFormat/>
    <w:locked/>
    <w:uiPriority w:val="99"/>
    <w:rPr>
      <w:rFonts w:eastAsia="宋体"/>
      <w:sz w:val="16"/>
    </w:rPr>
  </w:style>
  <w:style w:type="character" w:customStyle="1" w:styleId="70">
    <w:name w:val="正文文本缩进 Char"/>
    <w:link w:val="18"/>
    <w:qFormat/>
    <w:locked/>
    <w:uiPriority w:val="99"/>
    <w:rPr>
      <w:rFonts w:eastAsia="方正书宋简体"/>
      <w:kern w:val="2"/>
      <w:sz w:val="24"/>
      <w:lang w:val="en-US" w:eastAsia="zh-CN"/>
    </w:rPr>
  </w:style>
  <w:style w:type="character" w:customStyle="1" w:styleId="71">
    <w:name w:val="纯文本 Char1"/>
    <w:link w:val="23"/>
    <w:locked/>
    <w:uiPriority w:val="99"/>
    <w:rPr>
      <w:rFonts w:ascii="宋体" w:hAnsi="Courier New" w:eastAsia="宋体" w:cs="宋体"/>
      <w:lang w:val="en-US" w:eastAsia="zh-CN"/>
    </w:rPr>
  </w:style>
  <w:style w:type="character" w:customStyle="1" w:styleId="72">
    <w:name w:val="日期 Char"/>
    <w:link w:val="25"/>
    <w:qFormat/>
    <w:locked/>
    <w:uiPriority w:val="99"/>
    <w:rPr>
      <w:rFonts w:ascii="宋体" w:cs="Times New Roman"/>
      <w:sz w:val="24"/>
    </w:rPr>
  </w:style>
  <w:style w:type="character" w:customStyle="1" w:styleId="73">
    <w:name w:val="正文文本缩进 2 Char"/>
    <w:link w:val="26"/>
    <w:qFormat/>
    <w:locked/>
    <w:uiPriority w:val="99"/>
    <w:rPr>
      <w:rFonts w:ascii="宋体" w:eastAsia="宋体"/>
      <w:kern w:val="2"/>
      <w:sz w:val="24"/>
      <w:lang w:val="en-US" w:eastAsia="zh-CN"/>
    </w:rPr>
  </w:style>
  <w:style w:type="character" w:customStyle="1" w:styleId="74">
    <w:name w:val="批注框文本 Char1"/>
    <w:link w:val="27"/>
    <w:locked/>
    <w:uiPriority w:val="99"/>
    <w:rPr>
      <w:rFonts w:ascii="宋体" w:hAnsi="宋体" w:eastAsia="宋体" w:cs="宋体"/>
      <w:kern w:val="2"/>
      <w:sz w:val="18"/>
      <w:szCs w:val="18"/>
      <w:lang w:val="en-US" w:eastAsia="zh-CN"/>
    </w:rPr>
  </w:style>
  <w:style w:type="character" w:customStyle="1" w:styleId="75">
    <w:name w:val="页脚 Char1"/>
    <w:link w:val="28"/>
    <w:locked/>
    <w:uiPriority w:val="99"/>
    <w:rPr>
      <w:rFonts w:ascii="宋体" w:hAnsi="宋体" w:eastAsia="宋体" w:cs="宋体"/>
      <w:kern w:val="2"/>
      <w:sz w:val="18"/>
      <w:szCs w:val="18"/>
      <w:lang w:val="en-US" w:eastAsia="zh-CN"/>
    </w:rPr>
  </w:style>
  <w:style w:type="character" w:customStyle="1" w:styleId="76">
    <w:name w:val="页眉 Char1"/>
    <w:link w:val="29"/>
    <w:locked/>
    <w:uiPriority w:val="99"/>
    <w:rPr>
      <w:rFonts w:ascii="宋体" w:hAnsi="宋体" w:eastAsia="宋体" w:cs="宋体"/>
      <w:kern w:val="2"/>
      <w:sz w:val="18"/>
      <w:szCs w:val="18"/>
      <w:lang w:val="en-US" w:eastAsia="zh-CN"/>
    </w:rPr>
  </w:style>
  <w:style w:type="character" w:customStyle="1" w:styleId="77">
    <w:name w:val="正文文本缩进 3 Char1"/>
    <w:link w:val="34"/>
    <w:locked/>
    <w:uiPriority w:val="99"/>
    <w:rPr>
      <w:rFonts w:ascii="宋体" w:hAnsi="宋体" w:eastAsia="宋体" w:cs="宋体"/>
      <w:b/>
      <w:kern w:val="2"/>
      <w:sz w:val="24"/>
      <w:szCs w:val="24"/>
      <w:lang w:val="en-US" w:eastAsia="zh-CN"/>
    </w:rPr>
  </w:style>
  <w:style w:type="character" w:customStyle="1" w:styleId="78">
    <w:name w:val="正文文本 2 Char"/>
    <w:link w:val="38"/>
    <w:qFormat/>
    <w:locked/>
    <w:uiPriority w:val="99"/>
    <w:rPr>
      <w:rFonts w:eastAsia="宋体"/>
      <w:sz w:val="24"/>
    </w:rPr>
  </w:style>
  <w:style w:type="character" w:customStyle="1" w:styleId="79">
    <w:name w:val="HTML 预设格式 Char"/>
    <w:link w:val="39"/>
    <w:qFormat/>
    <w:locked/>
    <w:uiPriority w:val="99"/>
    <w:rPr>
      <w:rFonts w:ascii="Courier New" w:hAnsi="Courier New"/>
      <w:kern w:val="2"/>
    </w:rPr>
  </w:style>
  <w:style w:type="character" w:customStyle="1" w:styleId="80">
    <w:name w:val="批注主题 Char1"/>
    <w:link w:val="43"/>
    <w:locked/>
    <w:uiPriority w:val="99"/>
    <w:rPr>
      <w:rFonts w:ascii="宋体" w:hAnsi="宋体" w:eastAsia="宋体" w:cs="宋体"/>
      <w:b/>
      <w:kern w:val="2"/>
      <w:sz w:val="21"/>
      <w:szCs w:val="21"/>
      <w:lang w:val="en-US" w:eastAsia="zh-CN"/>
    </w:rPr>
  </w:style>
  <w:style w:type="character" w:customStyle="1" w:styleId="81">
    <w:name w:val="font11"/>
    <w:qFormat/>
    <w:uiPriority w:val="0"/>
    <w:rPr>
      <w:rFonts w:ascii="Times New Roman" w:hAnsi="Times New Roman"/>
      <w:color w:val="000000"/>
      <w:sz w:val="24"/>
      <w:u w:val="none"/>
    </w:rPr>
  </w:style>
  <w:style w:type="character" w:customStyle="1" w:styleId="82">
    <w:name w:val="标题 5 字符"/>
    <w:qFormat/>
    <w:locked/>
    <w:uiPriority w:val="9"/>
    <w:rPr>
      <w:rFonts w:eastAsia="宋体"/>
      <w:b/>
      <w:kern w:val="2"/>
      <w:sz w:val="28"/>
      <w:lang w:val="en-US" w:eastAsia="zh-CN"/>
    </w:rPr>
  </w:style>
  <w:style w:type="character" w:customStyle="1" w:styleId="83">
    <w:name w:val="标题 2 Char"/>
    <w:aliases w:val="H2 Char,标题 1.1 Char,Title2 Char,h2 Char,Underrubrik1 Char,prop2 Char,标题二 Char,H21 Char,Heading 2 Hidden Char,Heading 2 CCBS Char,heading 2 Char,Level 2 Topic Heading Char,Second Level Topic Char,- Para Char,sect 1.2 Char,sect 1.21 Char,2 Char"/>
    <w:qFormat/>
    <w:uiPriority w:val="0"/>
    <w:rPr>
      <w:rFonts w:ascii="Arial" w:hAnsi="Arial" w:eastAsia="黑体"/>
      <w:b/>
      <w:kern w:val="2"/>
      <w:sz w:val="32"/>
      <w:lang w:val="en-US" w:eastAsia="zh-CN"/>
    </w:rPr>
  </w:style>
  <w:style w:type="character" w:customStyle="1" w:styleId="84">
    <w:name w:val="标题 7 字符"/>
    <w:qFormat/>
    <w:locked/>
    <w:uiPriority w:val="9"/>
    <w:rPr>
      <w:b/>
      <w:kern w:val="2"/>
      <w:sz w:val="24"/>
    </w:rPr>
  </w:style>
  <w:style w:type="character" w:customStyle="1" w:styleId="85">
    <w:name w:val="正文文本 3 字符"/>
    <w:qFormat/>
    <w:locked/>
    <w:uiPriority w:val="99"/>
    <w:rPr>
      <w:rFonts w:eastAsia="宋体"/>
      <w:sz w:val="16"/>
    </w:rPr>
  </w:style>
  <w:style w:type="character" w:customStyle="1" w:styleId="86">
    <w:name w:val="font01"/>
    <w:qFormat/>
    <w:uiPriority w:val="0"/>
    <w:rPr>
      <w:rFonts w:ascii="宋体" w:hAnsi="宋体" w:eastAsia="宋体"/>
      <w:color w:val="000000"/>
      <w:sz w:val="24"/>
      <w:u w:val="none"/>
    </w:rPr>
  </w:style>
  <w:style w:type="character" w:customStyle="1" w:styleId="87">
    <w:name w:val="页脚 字符"/>
    <w:locked/>
    <w:uiPriority w:val="99"/>
    <w:rPr>
      <w:rFonts w:ascii="宋体" w:hAnsi="宋体" w:eastAsia="宋体" w:cs="宋体"/>
      <w:kern w:val="2"/>
      <w:sz w:val="18"/>
      <w:szCs w:val="18"/>
      <w:lang w:val="en-US" w:eastAsia="zh-CN"/>
    </w:rPr>
  </w:style>
  <w:style w:type="character" w:customStyle="1" w:styleId="88">
    <w:name w:val="金保标题3 Char"/>
    <w:link w:val="89"/>
    <w:qFormat/>
    <w:locked/>
    <w:uiPriority w:val="0"/>
    <w:rPr>
      <w:rFonts w:ascii="楷体" w:hAnsi="楷体" w:eastAsia="楷体"/>
      <w:b/>
      <w:sz w:val="28"/>
    </w:rPr>
  </w:style>
  <w:style w:type="paragraph" w:customStyle="1" w:styleId="89">
    <w:name w:val="金保标题3"/>
    <w:basedOn w:val="6"/>
    <w:next w:val="1"/>
    <w:link w:val="88"/>
    <w:qFormat/>
    <w:uiPriority w:val="0"/>
    <w:pPr>
      <w:tabs>
        <w:tab w:val="left" w:pos="0"/>
        <w:tab w:val="clear" w:pos="1620"/>
      </w:tabs>
      <w:spacing w:beforeLines="0" w:afterLines="0" w:line="240" w:lineRule="auto"/>
      <w:ind w:left="0" w:firstLine="0"/>
      <w:jc w:val="left"/>
    </w:pPr>
    <w:rPr>
      <w:rFonts w:ascii="楷体" w:hAnsi="楷体" w:eastAsia="楷体"/>
      <w:kern w:val="0"/>
      <w:sz w:val="28"/>
      <w:szCs w:val="20"/>
    </w:rPr>
  </w:style>
  <w:style w:type="character" w:customStyle="1" w:styleId="90">
    <w:name w:val="正文文本 3 字符1"/>
    <w:semiHidden/>
    <w:uiPriority w:val="99"/>
    <w:rPr>
      <w:kern w:val="2"/>
      <w:sz w:val="16"/>
      <w:szCs w:val="16"/>
    </w:rPr>
  </w:style>
  <w:style w:type="character" w:customStyle="1" w:styleId="91">
    <w:name w:val="日期 字符1"/>
    <w:semiHidden/>
    <w:uiPriority w:val="99"/>
    <w:rPr>
      <w:kern w:val="2"/>
      <w:sz w:val="21"/>
    </w:rPr>
  </w:style>
  <w:style w:type="character" w:customStyle="1" w:styleId="92">
    <w:name w:val="标题 8 字符"/>
    <w:qFormat/>
    <w:locked/>
    <w:uiPriority w:val="9"/>
    <w:rPr>
      <w:rFonts w:ascii="Arial" w:hAnsi="Arial" w:eastAsia="黑体"/>
      <w:kern w:val="2"/>
      <w:sz w:val="24"/>
    </w:rPr>
  </w:style>
  <w:style w:type="character" w:customStyle="1" w:styleId="93">
    <w:name w:val="正文文本缩进 2 字符1"/>
    <w:semiHidden/>
    <w:uiPriority w:val="99"/>
    <w:rPr>
      <w:kern w:val="2"/>
      <w:sz w:val="21"/>
    </w:rPr>
  </w:style>
  <w:style w:type="character" w:customStyle="1" w:styleId="94">
    <w:name w:val="未处理的提及"/>
    <w:unhideWhenUsed/>
    <w:uiPriority w:val="99"/>
    <w:rPr>
      <w:color w:val="605E5C"/>
      <w:shd w:val="clear" w:color="auto" w:fill="E1DFDD"/>
    </w:rPr>
  </w:style>
  <w:style w:type="character" w:customStyle="1" w:styleId="95">
    <w:name w:val="批注主题 字符1"/>
    <w:semiHidden/>
    <w:uiPriority w:val="99"/>
    <w:rPr>
      <w:b/>
      <w:bCs/>
      <w:kern w:val="2"/>
      <w:sz w:val="21"/>
    </w:rPr>
  </w:style>
  <w:style w:type="character" w:customStyle="1" w:styleId="96">
    <w:name w:val="批注框文本 字符"/>
    <w:locked/>
    <w:uiPriority w:val="99"/>
    <w:rPr>
      <w:rFonts w:ascii="宋体" w:hAnsi="宋体" w:eastAsia="宋体" w:cs="宋体"/>
      <w:kern w:val="2"/>
      <w:sz w:val="18"/>
      <w:szCs w:val="18"/>
      <w:lang w:val="en-US" w:eastAsia="zh-CN"/>
    </w:rPr>
  </w:style>
  <w:style w:type="character" w:customStyle="1" w:styleId="97">
    <w:name w:val="标题 1 Char"/>
    <w:aliases w:val="卷标题 Char,合同标题 Char,featurehead Char,Title1 Char,LN Char,H1 Char,H11 Char,H12 Char,H13 Char,H14 Char,H15 Char,H16 Char,H17 Char,H111 Char,H121 Char,H131 Char,H141 Char,H151 Char,H161 Char,H18 Char,H112 Char,H122 Char,H132 Char,H142 Char,l1 Char"/>
    <w:qFormat/>
    <w:uiPriority w:val="9"/>
    <w:rPr>
      <w:rFonts w:ascii="宋体" w:eastAsia="宋体"/>
      <w:b/>
      <w:kern w:val="2"/>
      <w:sz w:val="28"/>
      <w:lang w:val="en-US" w:eastAsia="zh-CN"/>
    </w:rPr>
  </w:style>
  <w:style w:type="character" w:customStyle="1" w:styleId="98">
    <w:name w:val="正文缩进 Char"/>
    <w:qFormat/>
    <w:uiPriority w:val="0"/>
    <w:rPr>
      <w:rFonts w:eastAsia="宋体"/>
      <w:kern w:val="2"/>
      <w:sz w:val="24"/>
      <w:lang w:val="en-US" w:eastAsia="zh-CN"/>
    </w:rPr>
  </w:style>
  <w:style w:type="character" w:customStyle="1" w:styleId="99">
    <w:name w:val="页眉 字符1"/>
    <w:semiHidden/>
    <w:uiPriority w:val="99"/>
    <w:rPr>
      <w:kern w:val="2"/>
      <w:sz w:val="18"/>
      <w:szCs w:val="18"/>
    </w:rPr>
  </w:style>
  <w:style w:type="character" w:customStyle="1" w:styleId="100">
    <w:name w:val="纯文本 字符"/>
    <w:locked/>
    <w:uiPriority w:val="99"/>
    <w:rPr>
      <w:rFonts w:ascii="宋体" w:hAnsi="Courier New" w:eastAsia="宋体" w:cs="宋体"/>
      <w:lang w:val="en-US" w:eastAsia="zh-CN"/>
    </w:rPr>
  </w:style>
  <w:style w:type="character" w:customStyle="1" w:styleId="101">
    <w:name w:val="正文文本缩进 Char1"/>
    <w:qFormat/>
    <w:uiPriority w:val="0"/>
    <w:rPr>
      <w:rFonts w:eastAsia="方正书宋简体"/>
      <w:kern w:val="2"/>
      <w:sz w:val="24"/>
      <w:lang w:val="en-US" w:eastAsia="zh-CN"/>
    </w:rPr>
  </w:style>
  <w:style w:type="character" w:customStyle="1" w:styleId="102">
    <w:name w:val="HTML 预设格式 字符1"/>
    <w:semiHidden/>
    <w:uiPriority w:val="99"/>
    <w:rPr>
      <w:rFonts w:ascii="Courier New" w:hAnsi="Courier New" w:cs="Courier New"/>
      <w:kern w:val="2"/>
    </w:rPr>
  </w:style>
  <w:style w:type="character" w:customStyle="1" w:styleId="103">
    <w:name w:val="font31"/>
    <w:basedOn w:val="46"/>
    <w:uiPriority w:val="0"/>
    <w:rPr>
      <w:rFonts w:hint="eastAsia" w:ascii="宋体" w:hAnsi="宋体" w:eastAsia="宋体" w:cs="宋体"/>
      <w:i w:val="0"/>
      <w:color w:val="000000"/>
      <w:sz w:val="22"/>
      <w:szCs w:val="22"/>
      <w:u w:val="none"/>
    </w:rPr>
  </w:style>
  <w:style w:type="character" w:customStyle="1" w:styleId="104">
    <w:name w:val="font61"/>
    <w:qFormat/>
    <w:uiPriority w:val="0"/>
    <w:rPr>
      <w:rFonts w:ascii="Times New Roman" w:hAnsi="Times New Roman"/>
      <w:color w:val="000000"/>
      <w:sz w:val="20"/>
      <w:u w:val="none"/>
    </w:rPr>
  </w:style>
  <w:style w:type="character" w:customStyle="1" w:styleId="105">
    <w:name w:val="批注框文本 字符1"/>
    <w:semiHidden/>
    <w:uiPriority w:val="99"/>
    <w:rPr>
      <w:kern w:val="2"/>
      <w:sz w:val="18"/>
      <w:szCs w:val="18"/>
    </w:rPr>
  </w:style>
  <w:style w:type="character" w:customStyle="1" w:styleId="106">
    <w:name w:val="样式5 Char"/>
    <w:link w:val="107"/>
    <w:qFormat/>
    <w:locked/>
    <w:uiPriority w:val="0"/>
    <w:rPr>
      <w:rFonts w:eastAsia="宋体"/>
      <w:b/>
      <w:kern w:val="2"/>
      <w:sz w:val="28"/>
      <w:lang w:val="en-US" w:eastAsia="zh-CN"/>
    </w:rPr>
  </w:style>
  <w:style w:type="paragraph" w:customStyle="1" w:styleId="107">
    <w:name w:val="样式5"/>
    <w:basedOn w:val="1"/>
    <w:link w:val="106"/>
    <w:qFormat/>
    <w:uiPriority w:val="0"/>
    <w:pPr>
      <w:keepNext/>
      <w:keepLines/>
      <w:spacing w:before="280" w:after="290" w:line="376" w:lineRule="auto"/>
      <w:ind w:left="210" w:leftChars="100" w:right="210" w:rightChars="100"/>
      <w:outlineLvl w:val="4"/>
    </w:pPr>
    <w:rPr>
      <w:b/>
      <w:sz w:val="28"/>
    </w:rPr>
  </w:style>
  <w:style w:type="character" w:customStyle="1" w:styleId="108">
    <w:name w:val="页脚 字符1"/>
    <w:semiHidden/>
    <w:uiPriority w:val="99"/>
    <w:rPr>
      <w:kern w:val="2"/>
      <w:sz w:val="18"/>
      <w:szCs w:val="18"/>
    </w:rPr>
  </w:style>
  <w:style w:type="character" w:customStyle="1" w:styleId="109">
    <w:name w:val="标题 4 字符"/>
    <w:qFormat/>
    <w:locked/>
    <w:uiPriority w:val="9"/>
    <w:rPr>
      <w:rFonts w:ascii="Arial" w:hAnsi="Arial" w:eastAsia="黑体"/>
      <w:b/>
      <w:kern w:val="2"/>
      <w:sz w:val="28"/>
      <w:lang w:val="en-US" w:eastAsia="zh-CN"/>
    </w:rPr>
  </w:style>
  <w:style w:type="character" w:customStyle="1" w:styleId="110">
    <w:name w:val="apple-converted-space"/>
    <w:qFormat/>
    <w:uiPriority w:val="0"/>
    <w:rPr>
      <w:rFonts w:cs="Times New Roman"/>
    </w:rPr>
  </w:style>
  <w:style w:type="character" w:customStyle="1" w:styleId="111">
    <w:name w:val="标题 1 字符"/>
    <w:locked/>
    <w:uiPriority w:val="9"/>
    <w:rPr>
      <w:rFonts w:ascii="宋体" w:hAnsi="宋体" w:eastAsia="宋体" w:cs="宋体"/>
      <w:b/>
      <w:kern w:val="44"/>
      <w:sz w:val="44"/>
      <w:szCs w:val="44"/>
      <w:lang w:val="en-US" w:eastAsia="zh-CN"/>
    </w:rPr>
  </w:style>
  <w:style w:type="character" w:customStyle="1" w:styleId="112">
    <w:name w:val="正文文本 字符1"/>
    <w:semiHidden/>
    <w:uiPriority w:val="99"/>
    <w:rPr>
      <w:kern w:val="2"/>
      <w:sz w:val="21"/>
    </w:rPr>
  </w:style>
  <w:style w:type="character" w:customStyle="1" w:styleId="113">
    <w:name w:val="批注文字 Char"/>
    <w:qFormat/>
    <w:locked/>
    <w:uiPriority w:val="0"/>
    <w:rPr>
      <w:rFonts w:cs="Times New Roman"/>
      <w:kern w:val="2"/>
      <w:sz w:val="21"/>
    </w:rPr>
  </w:style>
  <w:style w:type="character" w:customStyle="1" w:styleId="114">
    <w:name w:val="标题 1 Char Char"/>
    <w:qFormat/>
    <w:uiPriority w:val="0"/>
    <w:rPr>
      <w:rFonts w:eastAsia="宋体"/>
      <w:b/>
      <w:spacing w:val="-2"/>
      <w:sz w:val="24"/>
      <w:lang w:val="en-US" w:eastAsia="zh-CN"/>
    </w:rPr>
  </w:style>
  <w:style w:type="character" w:customStyle="1" w:styleId="115">
    <w:name w:val="正文文本 字符"/>
    <w:locked/>
    <w:uiPriority w:val="99"/>
    <w:rPr>
      <w:rFonts w:ascii="宋体" w:hAnsi="宋体" w:eastAsia="宋体" w:cs="宋体"/>
      <w:lang w:val="en-US" w:eastAsia="zh-CN"/>
    </w:rPr>
  </w:style>
  <w:style w:type="character" w:customStyle="1" w:styleId="116">
    <w:name w:val="纯文本 Char"/>
    <w:qFormat/>
    <w:uiPriority w:val="0"/>
    <w:rPr>
      <w:rFonts w:ascii="宋体" w:hAnsi="宋体" w:eastAsia="宋体"/>
      <w:color w:val="000000"/>
      <w:sz w:val="24"/>
      <w:lang w:val="en-US" w:eastAsia="zh-CN"/>
    </w:rPr>
  </w:style>
  <w:style w:type="character" w:customStyle="1" w:styleId="117">
    <w:name w:val="批注文字 字符"/>
    <w:locked/>
    <w:uiPriority w:val="99"/>
    <w:rPr>
      <w:rFonts w:ascii="宋体" w:hAnsi="宋体" w:eastAsia="宋体" w:cs="宋体"/>
      <w:kern w:val="2"/>
      <w:sz w:val="21"/>
      <w:szCs w:val="21"/>
      <w:lang w:val="en-US" w:eastAsia="zh-CN"/>
    </w:rPr>
  </w:style>
  <w:style w:type="character" w:customStyle="1" w:styleId="118">
    <w:name w:val="正文首行缩进 字符"/>
    <w:qFormat/>
    <w:locked/>
    <w:uiPriority w:val="99"/>
    <w:rPr>
      <w:rFonts w:ascii="宋体" w:hAnsi="宋体" w:eastAsia="宋体" w:cs="宋体"/>
      <w:i/>
      <w:kern w:val="2"/>
      <w:sz w:val="24"/>
      <w:lang w:val="en-US" w:eastAsia="zh-CN"/>
    </w:rPr>
  </w:style>
  <w:style w:type="character" w:customStyle="1" w:styleId="119">
    <w:name w:val="hui3"/>
    <w:qFormat/>
    <w:uiPriority w:val="0"/>
    <w:rPr>
      <w:color w:val="333333"/>
    </w:rPr>
  </w:style>
  <w:style w:type="character" w:customStyle="1" w:styleId="120">
    <w:name w:val="文档结构图 字符1"/>
    <w:semiHidden/>
    <w:uiPriority w:val="99"/>
    <w:rPr>
      <w:rFonts w:ascii="Microsoft YaHei UI" w:eastAsia="Microsoft YaHei UI"/>
      <w:kern w:val="2"/>
      <w:sz w:val="18"/>
      <w:szCs w:val="18"/>
    </w:rPr>
  </w:style>
  <w:style w:type="character" w:customStyle="1" w:styleId="121">
    <w:name w:val="正文文本缩进 3 字符1"/>
    <w:semiHidden/>
    <w:uiPriority w:val="99"/>
    <w:rPr>
      <w:kern w:val="2"/>
      <w:sz w:val="16"/>
      <w:szCs w:val="16"/>
    </w:rPr>
  </w:style>
  <w:style w:type="character" w:customStyle="1" w:styleId="122">
    <w:name w:val="标题 6 字符"/>
    <w:qFormat/>
    <w:locked/>
    <w:uiPriority w:val="9"/>
    <w:rPr>
      <w:rFonts w:ascii="Cambria" w:hAnsi="Cambria" w:eastAsia="宋体"/>
      <w:b/>
      <w:kern w:val="2"/>
      <w:sz w:val="24"/>
      <w:lang w:val="en-US" w:eastAsia="zh-CN"/>
    </w:rPr>
  </w:style>
  <w:style w:type="character" w:customStyle="1" w:styleId="123">
    <w:name w:val="标题 2 字符"/>
    <w:locked/>
    <w:uiPriority w:val="9"/>
    <w:rPr>
      <w:rFonts w:ascii="Cambria" w:hAnsi="Cambria" w:eastAsia="宋体" w:cs="Cambria"/>
      <w:kern w:val="2"/>
      <w:sz w:val="21"/>
      <w:szCs w:val="21"/>
      <w:lang w:val="en-US" w:eastAsia="zh-CN"/>
    </w:rPr>
  </w:style>
  <w:style w:type="character" w:customStyle="1" w:styleId="124">
    <w:name w:val="页眉 Char"/>
    <w:qFormat/>
    <w:uiPriority w:val="99"/>
    <w:rPr>
      <w:rFonts w:eastAsia="宋体"/>
      <w:kern w:val="2"/>
      <w:sz w:val="18"/>
      <w:lang w:val="en-US" w:eastAsia="zh-CN"/>
    </w:rPr>
  </w:style>
  <w:style w:type="character" w:customStyle="1" w:styleId="125">
    <w:name w:val="批注主题 Char"/>
    <w:semiHidden/>
    <w:qFormat/>
    <w:locked/>
    <w:uiPriority w:val="0"/>
    <w:rPr>
      <w:rFonts w:cs="Times New Roman"/>
      <w:b/>
      <w:bCs/>
      <w:kern w:val="2"/>
      <w:sz w:val="21"/>
    </w:rPr>
  </w:style>
  <w:style w:type="character" w:customStyle="1" w:styleId="126">
    <w:name w:val="中等深浅网格 1 - 强调文字颜色 2 Char"/>
    <w:link w:val="127"/>
    <w:qFormat/>
    <w:locked/>
    <w:uiPriority w:val="34"/>
    <w:rPr>
      <w:rFonts w:ascii="Calibri" w:hAnsi="Calibri"/>
      <w:kern w:val="2"/>
      <w:sz w:val="22"/>
    </w:rPr>
  </w:style>
  <w:style w:type="paragraph" w:customStyle="1" w:styleId="127">
    <w:name w:val="中等深浅网格 1 - 强调文字颜色 21"/>
    <w:basedOn w:val="1"/>
    <w:link w:val="126"/>
    <w:qFormat/>
    <w:uiPriority w:val="34"/>
    <w:pPr>
      <w:ind w:firstLine="420" w:firstLineChars="200"/>
    </w:pPr>
    <w:rPr>
      <w:rFonts w:ascii="Calibri" w:hAnsi="Calibri"/>
      <w:sz w:val="22"/>
    </w:rPr>
  </w:style>
  <w:style w:type="character" w:customStyle="1" w:styleId="128">
    <w:name w:val="纯文本 Char2"/>
    <w:qFormat/>
    <w:uiPriority w:val="0"/>
    <w:rPr>
      <w:rFonts w:ascii="宋体" w:hAnsi="宋体" w:eastAsia="宋体"/>
      <w:color w:val="000000"/>
      <w:sz w:val="24"/>
      <w:lang w:val="en-US" w:eastAsia="zh-CN"/>
    </w:rPr>
  </w:style>
  <w:style w:type="character" w:customStyle="1" w:styleId="129">
    <w:name w:val="列出段落 字符"/>
    <w:qFormat/>
    <w:locked/>
    <w:uiPriority w:val="34"/>
    <w:rPr>
      <w:rFonts w:eastAsia="宋体"/>
      <w:kern w:val="2"/>
      <w:sz w:val="24"/>
      <w:lang w:val="en-US" w:eastAsia="zh-CN"/>
    </w:rPr>
  </w:style>
  <w:style w:type="character" w:customStyle="1" w:styleId="130">
    <w:name w:val="标题 3 字符"/>
    <w:locked/>
    <w:uiPriority w:val="9"/>
    <w:rPr>
      <w:rFonts w:ascii="宋体" w:hAnsi="宋体" w:eastAsia="宋体" w:cs="宋体"/>
      <w:b/>
      <w:kern w:val="2"/>
      <w:sz w:val="32"/>
      <w:szCs w:val="32"/>
      <w:lang w:val="en-US" w:eastAsia="zh-CN"/>
    </w:rPr>
  </w:style>
  <w:style w:type="character" w:customStyle="1" w:styleId="131">
    <w:name w:val="纯文本 Char Char"/>
    <w:link w:val="132"/>
    <w:uiPriority w:val="0"/>
    <w:rPr>
      <w:rFonts w:ascii="宋体" w:hAnsi="Courier New"/>
      <w:kern w:val="2"/>
      <w:sz w:val="21"/>
    </w:rPr>
  </w:style>
  <w:style w:type="paragraph" w:customStyle="1" w:styleId="132">
    <w:name w:val="纯文本1"/>
    <w:basedOn w:val="1"/>
    <w:link w:val="131"/>
    <w:qFormat/>
    <w:uiPriority w:val="0"/>
    <w:rPr>
      <w:rFonts w:ascii="宋体" w:hAnsi="Courier New"/>
    </w:rPr>
  </w:style>
  <w:style w:type="character" w:customStyle="1" w:styleId="133">
    <w:name w:val="font81"/>
    <w:basedOn w:val="46"/>
    <w:qFormat/>
    <w:uiPriority w:val="0"/>
    <w:rPr>
      <w:rFonts w:hint="eastAsia" w:ascii="宋体" w:hAnsi="宋体" w:eastAsia="宋体" w:cs="宋体"/>
      <w:color w:val="000000"/>
      <w:sz w:val="20"/>
      <w:szCs w:val="20"/>
      <w:u w:val="none"/>
    </w:rPr>
  </w:style>
  <w:style w:type="character" w:customStyle="1" w:styleId="134">
    <w:name w:val="方案－正文 Char"/>
    <w:link w:val="135"/>
    <w:qFormat/>
    <w:locked/>
    <w:uiPriority w:val="0"/>
    <w:rPr>
      <w:rFonts w:ascii="仿宋_GB2312" w:hAnsi="宋体"/>
      <w:sz w:val="24"/>
    </w:rPr>
  </w:style>
  <w:style w:type="paragraph" w:customStyle="1" w:styleId="135">
    <w:name w:val="方案－正文"/>
    <w:basedOn w:val="1"/>
    <w:link w:val="134"/>
    <w:qFormat/>
    <w:uiPriority w:val="0"/>
    <w:pPr>
      <w:spacing w:line="360" w:lineRule="auto"/>
      <w:ind w:firstLine="480" w:firstLineChars="200"/>
    </w:pPr>
    <w:rPr>
      <w:rFonts w:ascii="仿宋_GB2312" w:hAnsi="宋体"/>
      <w:kern w:val="0"/>
      <w:sz w:val="24"/>
    </w:rPr>
  </w:style>
  <w:style w:type="character" w:customStyle="1" w:styleId="136">
    <w:name w:val="正文文本 Char1"/>
    <w:uiPriority w:val="0"/>
    <w:rPr>
      <w:rFonts w:ascii="Times New Roman" w:hAnsi="Times New Roman" w:eastAsia="宋体" w:cs="Times New Roman"/>
      <w:sz w:val="24"/>
      <w:szCs w:val="24"/>
    </w:rPr>
  </w:style>
  <w:style w:type="character" w:customStyle="1" w:styleId="137">
    <w:name w:val="纯文本 字符1"/>
    <w:semiHidden/>
    <w:uiPriority w:val="99"/>
    <w:rPr>
      <w:rFonts w:ascii="等线" w:hAnsi="Courier New" w:eastAsia="等线" w:cs="Courier New"/>
      <w:kern w:val="2"/>
      <w:sz w:val="21"/>
    </w:rPr>
  </w:style>
  <w:style w:type="character" w:customStyle="1" w:styleId="138">
    <w:name w:val="正文文本缩进 2 字符"/>
    <w:qFormat/>
    <w:locked/>
    <w:uiPriority w:val="99"/>
    <w:rPr>
      <w:rFonts w:ascii="宋体" w:eastAsia="宋体"/>
      <w:kern w:val="2"/>
      <w:sz w:val="24"/>
      <w:lang w:val="en-US" w:eastAsia="zh-CN"/>
    </w:rPr>
  </w:style>
  <w:style w:type="character" w:customStyle="1" w:styleId="139">
    <w:name w:val="批注主题 字符"/>
    <w:locked/>
    <w:uiPriority w:val="99"/>
    <w:rPr>
      <w:rFonts w:ascii="宋体" w:hAnsi="宋体" w:eastAsia="宋体" w:cs="宋体"/>
      <w:b/>
      <w:kern w:val="2"/>
      <w:sz w:val="21"/>
      <w:szCs w:val="21"/>
      <w:lang w:val="en-US" w:eastAsia="zh-CN"/>
    </w:rPr>
  </w:style>
  <w:style w:type="character" w:customStyle="1" w:styleId="140">
    <w:name w:val="正文文本缩进 3 Char"/>
    <w:qFormat/>
    <w:uiPriority w:val="0"/>
    <w:rPr>
      <w:rFonts w:ascii="宋体" w:eastAsia="宋体"/>
      <w:kern w:val="2"/>
      <w:sz w:val="24"/>
      <w:lang w:val="en-US" w:eastAsia="zh-CN"/>
    </w:rPr>
  </w:style>
  <w:style w:type="character" w:customStyle="1" w:styleId="141">
    <w:name w:val="正文文本缩进 字符1"/>
    <w:qFormat/>
    <w:locked/>
    <w:uiPriority w:val="99"/>
    <w:rPr>
      <w:rFonts w:eastAsia="方正书宋简体"/>
      <w:kern w:val="2"/>
      <w:sz w:val="24"/>
      <w:lang w:val="en-US" w:eastAsia="zh-CN"/>
    </w:rPr>
  </w:style>
  <w:style w:type="character" w:customStyle="1" w:styleId="142">
    <w:name w:val="正文文本首行缩进 字符"/>
    <w:semiHidden/>
    <w:uiPriority w:val="99"/>
  </w:style>
  <w:style w:type="character" w:customStyle="1" w:styleId="143">
    <w:name w:val="apple-style-span"/>
    <w:qFormat/>
    <w:uiPriority w:val="0"/>
    <w:rPr>
      <w:rFonts w:cs="Times New Roman"/>
    </w:rPr>
  </w:style>
  <w:style w:type="character" w:customStyle="1" w:styleId="144">
    <w:name w:val="批注框文本 Char"/>
    <w:semiHidden/>
    <w:qFormat/>
    <w:locked/>
    <w:uiPriority w:val="99"/>
    <w:rPr>
      <w:rFonts w:cs="Times New Roman"/>
      <w:kern w:val="2"/>
      <w:sz w:val="18"/>
      <w:szCs w:val="18"/>
    </w:rPr>
  </w:style>
  <w:style w:type="character" w:customStyle="1" w:styleId="145">
    <w:name w:val="标题 3 Char"/>
    <w:aliases w:val="H3 Char,h3 Char,3rd level Char,Level 3 Head Char,l3 Char,CT Char,Heading 3 - old Char,ISO2 Char,L3 Char,sect1.2.3 Char,sect1.2.31 Char,sect1.2.32 Char,sect1.2.311 Char,sect1.2.33 Char,sect1.2.312 Char,3 Char,sl3 Char,Heading 3under Char"/>
    <w:qFormat/>
    <w:uiPriority w:val="0"/>
    <w:rPr>
      <w:rFonts w:ascii="Arial" w:hAnsi="Arial" w:eastAsia="黑体"/>
      <w:b/>
      <w:kern w:val="2"/>
      <w:sz w:val="32"/>
      <w:lang w:val="en-US" w:eastAsia="zh-CN"/>
    </w:rPr>
  </w:style>
  <w:style w:type="character" w:customStyle="1" w:styleId="146">
    <w:name w:val="页脚 Char"/>
    <w:qFormat/>
    <w:uiPriority w:val="99"/>
    <w:rPr>
      <w:rFonts w:eastAsia="宋体"/>
      <w:kern w:val="2"/>
      <w:sz w:val="18"/>
      <w:lang w:val="en-US" w:eastAsia="zh-CN"/>
    </w:rPr>
  </w:style>
  <w:style w:type="character" w:customStyle="1" w:styleId="147">
    <w:name w:val="哈哈正文 Char"/>
    <w:link w:val="148"/>
    <w:qFormat/>
    <w:locked/>
    <w:uiPriority w:val="0"/>
    <w:rPr>
      <w:rFonts w:ascii="宋体" w:hAnsi="宋体" w:eastAsia="宋体"/>
      <w:kern w:val="2"/>
      <w:sz w:val="24"/>
      <w:lang w:val="en-US" w:eastAsia="zh-CN"/>
    </w:rPr>
  </w:style>
  <w:style w:type="paragraph" w:customStyle="1" w:styleId="148">
    <w:name w:val="哈哈正文"/>
    <w:basedOn w:val="1"/>
    <w:link w:val="147"/>
    <w:qFormat/>
    <w:uiPriority w:val="0"/>
    <w:pPr>
      <w:spacing w:line="360" w:lineRule="auto"/>
      <w:ind w:firstLine="200" w:firstLineChars="200"/>
    </w:pPr>
    <w:rPr>
      <w:rFonts w:ascii="宋体" w:hAnsi="宋体"/>
      <w:sz w:val="24"/>
    </w:rPr>
  </w:style>
  <w:style w:type="character" w:customStyle="1" w:styleId="149">
    <w:name w:val="正文文本 2 字符1"/>
    <w:semiHidden/>
    <w:uiPriority w:val="99"/>
    <w:rPr>
      <w:kern w:val="2"/>
      <w:sz w:val="21"/>
    </w:rPr>
  </w:style>
  <w:style w:type="character" w:customStyle="1" w:styleId="150">
    <w:name w:val="h6 Char"/>
    <w:qFormat/>
    <w:uiPriority w:val="0"/>
    <w:rPr>
      <w:rFonts w:ascii="Arial" w:hAnsi="Arial" w:eastAsia="宋体"/>
      <w:b/>
      <w:kern w:val="2"/>
      <w:sz w:val="24"/>
      <w:lang w:val="en-US" w:eastAsia="zh-CN"/>
    </w:rPr>
  </w:style>
  <w:style w:type="character" w:customStyle="1" w:styleId="151">
    <w:name w:val="无间距字符"/>
    <w:link w:val="152"/>
    <w:qFormat/>
    <w:locked/>
    <w:uiPriority w:val="0"/>
    <w:rPr>
      <w:sz w:val="22"/>
      <w:lang w:val="en-US" w:eastAsia="zh-CN" w:bidi="ar-SA"/>
    </w:rPr>
  </w:style>
  <w:style w:type="paragraph" w:customStyle="1" w:styleId="152">
    <w:name w:val="无间距"/>
    <w:link w:val="151"/>
    <w:qFormat/>
    <w:uiPriority w:val="0"/>
    <w:rPr>
      <w:sz w:val="22"/>
      <w:lang w:val="en-US" w:eastAsia="zh-CN" w:bidi="ar-SA"/>
    </w:rPr>
  </w:style>
  <w:style w:type="character" w:customStyle="1" w:styleId="153">
    <w:name w:val="正文文本 2 字符"/>
    <w:qFormat/>
    <w:locked/>
    <w:uiPriority w:val="99"/>
    <w:rPr>
      <w:rFonts w:eastAsia="宋体"/>
      <w:sz w:val="24"/>
    </w:rPr>
  </w:style>
  <w:style w:type="character" w:customStyle="1" w:styleId="154">
    <w:name w:val="标题 9 字符"/>
    <w:qFormat/>
    <w:locked/>
    <w:uiPriority w:val="9"/>
    <w:rPr>
      <w:rFonts w:ascii="Arial" w:hAnsi="Arial" w:eastAsia="黑体"/>
      <w:kern w:val="2"/>
      <w:sz w:val="21"/>
    </w:rPr>
  </w:style>
  <w:style w:type="character" w:customStyle="1" w:styleId="155">
    <w:name w:val="正文缩进 字符"/>
    <w:locked/>
    <w:uiPriority w:val="0"/>
    <w:rPr>
      <w:rFonts w:ascii="宋体" w:hAnsi="宋体" w:eastAsia="宋体" w:cs="宋体"/>
      <w:spacing w:val="14"/>
      <w:kern w:val="24"/>
      <w:sz w:val="24"/>
      <w:szCs w:val="24"/>
      <w:lang w:val="en-US" w:eastAsia="zh-CN"/>
    </w:rPr>
  </w:style>
  <w:style w:type="character" w:customStyle="1" w:styleId="156">
    <w:name w:val="表格用 Char Char"/>
    <w:link w:val="157"/>
    <w:qFormat/>
    <w:locked/>
    <w:uiPriority w:val="0"/>
    <w:rPr>
      <w:rFonts w:ascii="宋体" w:hAnsi="宋体" w:cs="宋体"/>
      <w:szCs w:val="24"/>
    </w:rPr>
  </w:style>
  <w:style w:type="paragraph" w:customStyle="1" w:styleId="157">
    <w:name w:val="表格用"/>
    <w:basedOn w:val="1"/>
    <w:link w:val="156"/>
    <w:qFormat/>
    <w:uiPriority w:val="0"/>
    <w:pPr>
      <w:widowControl/>
      <w:spacing w:line="360" w:lineRule="auto"/>
      <w:jc w:val="left"/>
    </w:pPr>
    <w:rPr>
      <w:rFonts w:ascii="宋体" w:hAnsi="宋体"/>
      <w:kern w:val="0"/>
      <w:sz w:val="20"/>
      <w:szCs w:val="24"/>
    </w:rPr>
  </w:style>
  <w:style w:type="character" w:customStyle="1" w:styleId="158">
    <w:name w:val="样式2 Char"/>
    <w:link w:val="159"/>
    <w:qFormat/>
    <w:locked/>
    <w:uiPriority w:val="0"/>
    <w:rPr>
      <w:rFonts w:ascii="黑体" w:hAnsi="黑体" w:eastAsia="黑体"/>
      <w:color w:val="FF0000"/>
      <w:kern w:val="2"/>
      <w:sz w:val="32"/>
      <w:lang w:val="en-US" w:eastAsia="zh-CN"/>
    </w:rPr>
  </w:style>
  <w:style w:type="paragraph" w:customStyle="1" w:styleId="159">
    <w:name w:val="样式2"/>
    <w:basedOn w:val="6"/>
    <w:link w:val="158"/>
    <w:qFormat/>
    <w:uiPriority w:val="0"/>
    <w:pPr>
      <w:adjustRightInd w:val="0"/>
      <w:spacing w:beforeLines="0" w:afterLines="0"/>
      <w:ind w:left="0" w:firstLine="0"/>
      <w:textAlignment w:val="baseline"/>
    </w:pPr>
    <w:rPr>
      <w:rFonts w:ascii="黑体" w:hAnsi="黑体" w:eastAsia="黑体"/>
      <w:b w:val="0"/>
      <w:color w:val="FF0000"/>
      <w:szCs w:val="20"/>
    </w:rPr>
  </w:style>
  <w:style w:type="character" w:customStyle="1" w:styleId="160">
    <w:name w:val="HTML 预设格式 字符"/>
    <w:qFormat/>
    <w:locked/>
    <w:uiPriority w:val="99"/>
    <w:rPr>
      <w:rFonts w:ascii="Courier New" w:hAnsi="Courier New"/>
      <w:kern w:val="2"/>
    </w:rPr>
  </w:style>
  <w:style w:type="character" w:customStyle="1" w:styleId="161">
    <w:name w:val="页眉 字符"/>
    <w:locked/>
    <w:uiPriority w:val="99"/>
    <w:rPr>
      <w:rFonts w:ascii="宋体" w:hAnsi="宋体" w:eastAsia="宋体" w:cs="宋体"/>
      <w:kern w:val="2"/>
      <w:sz w:val="18"/>
      <w:szCs w:val="18"/>
      <w:lang w:val="en-US" w:eastAsia="zh-CN"/>
    </w:rPr>
  </w:style>
  <w:style w:type="character" w:customStyle="1" w:styleId="162">
    <w:name w:val="正文文本缩进 3 字符"/>
    <w:locked/>
    <w:uiPriority w:val="99"/>
    <w:rPr>
      <w:rFonts w:ascii="宋体" w:hAnsi="宋体" w:eastAsia="宋体" w:cs="宋体"/>
      <w:b/>
      <w:kern w:val="2"/>
      <w:sz w:val="24"/>
      <w:szCs w:val="24"/>
      <w:lang w:val="en-US" w:eastAsia="zh-CN"/>
    </w:rPr>
  </w:style>
  <w:style w:type="character" w:customStyle="1" w:styleId="163">
    <w:name w:val="List Paragraph Char"/>
    <w:link w:val="164"/>
    <w:qFormat/>
    <w:locked/>
    <w:uiPriority w:val="0"/>
    <w:rPr>
      <w:rFonts w:ascii="Calibri" w:hAnsi="Calibri" w:eastAsia="宋体"/>
      <w:kern w:val="2"/>
      <w:sz w:val="22"/>
      <w:lang w:val="en-US" w:eastAsia="zh-CN"/>
    </w:rPr>
  </w:style>
  <w:style w:type="paragraph" w:customStyle="1" w:styleId="164">
    <w:name w:val="列出段落1"/>
    <w:basedOn w:val="1"/>
    <w:link w:val="163"/>
    <w:qFormat/>
    <w:uiPriority w:val="0"/>
    <w:pPr>
      <w:ind w:firstLine="420" w:firstLineChars="200"/>
    </w:pPr>
    <w:rPr>
      <w:rFonts w:ascii="Calibri" w:hAnsi="Calibri"/>
      <w:sz w:val="22"/>
    </w:rPr>
  </w:style>
  <w:style w:type="character" w:customStyle="1" w:styleId="165">
    <w:name w:val="标题2正文 Char Char"/>
    <w:link w:val="166"/>
    <w:qFormat/>
    <w:locked/>
    <w:uiPriority w:val="0"/>
    <w:rPr>
      <w:rFonts w:eastAsia="宋体"/>
      <w:sz w:val="24"/>
    </w:rPr>
  </w:style>
  <w:style w:type="paragraph" w:customStyle="1" w:styleId="166">
    <w:name w:val="标题2正文 Char"/>
    <w:basedOn w:val="1"/>
    <w:link w:val="165"/>
    <w:qFormat/>
    <w:uiPriority w:val="0"/>
    <w:pPr>
      <w:spacing w:beforeLines="50" w:afterLines="50"/>
      <w:ind w:right="38" w:rightChars="18" w:firstLine="420"/>
    </w:pPr>
    <w:rPr>
      <w:kern w:val="0"/>
      <w:sz w:val="24"/>
    </w:rPr>
  </w:style>
  <w:style w:type="character" w:customStyle="1" w:styleId="167">
    <w:name w:val="样式1 Char"/>
    <w:link w:val="168"/>
    <w:qFormat/>
    <w:locked/>
    <w:uiPriority w:val="0"/>
    <w:rPr>
      <w:rFonts w:ascii="黑体" w:hAnsi="黑体" w:eastAsia="黑体"/>
      <w:b/>
      <w:kern w:val="2"/>
      <w:sz w:val="32"/>
    </w:rPr>
  </w:style>
  <w:style w:type="paragraph" w:customStyle="1" w:styleId="168">
    <w:name w:val="样式1"/>
    <w:basedOn w:val="5"/>
    <w:link w:val="167"/>
    <w:qFormat/>
    <w:uiPriority w:val="0"/>
    <w:pPr>
      <w:tabs>
        <w:tab w:val="clear" w:pos="578"/>
      </w:tabs>
      <w:spacing w:beforeLines="0" w:afterLines="0"/>
      <w:ind w:left="0" w:firstLine="0"/>
    </w:pPr>
    <w:rPr>
      <w:rFonts w:ascii="黑体" w:hAnsi="黑体" w:eastAsia="黑体"/>
      <w:b/>
      <w:sz w:val="32"/>
      <w:szCs w:val="20"/>
    </w:rPr>
  </w:style>
  <w:style w:type="character" w:customStyle="1" w:styleId="169">
    <w:name w:val="正文文本 Char"/>
    <w:qFormat/>
    <w:uiPriority w:val="0"/>
    <w:rPr>
      <w:rFonts w:eastAsia="宋体"/>
      <w:i/>
      <w:kern w:val="2"/>
      <w:sz w:val="18"/>
      <w:lang w:val="en-US" w:eastAsia="zh-CN"/>
    </w:rPr>
  </w:style>
  <w:style w:type="character" w:customStyle="1" w:styleId="170">
    <w:name w:val="正文文本缩进 字符"/>
    <w:uiPriority w:val="0"/>
    <w:rPr>
      <w:rFonts w:ascii="Calibri" w:hAnsi="Calibri" w:cs="Calibri"/>
    </w:rPr>
  </w:style>
  <w:style w:type="character" w:customStyle="1" w:styleId="171">
    <w:name w:val="font41"/>
    <w:basedOn w:val="46"/>
    <w:uiPriority w:val="0"/>
    <w:rPr>
      <w:rFonts w:hint="eastAsia" w:ascii="宋体" w:hAnsi="宋体" w:eastAsia="宋体" w:cs="宋体"/>
      <w:i w:val="0"/>
      <w:color w:val="000000"/>
      <w:sz w:val="22"/>
      <w:szCs w:val="22"/>
      <w:u w:val="none"/>
    </w:rPr>
  </w:style>
  <w:style w:type="character" w:customStyle="1" w:styleId="172">
    <w:name w:val="批注文字 字符1"/>
    <w:semiHidden/>
    <w:uiPriority w:val="99"/>
    <w:rPr>
      <w:kern w:val="2"/>
      <w:sz w:val="21"/>
    </w:rPr>
  </w:style>
  <w:style w:type="character" w:customStyle="1" w:styleId="173">
    <w:name w:val="正文文本缩进 字符2"/>
    <w:semiHidden/>
    <w:uiPriority w:val="99"/>
    <w:rPr>
      <w:kern w:val="2"/>
      <w:sz w:val="21"/>
    </w:rPr>
  </w:style>
  <w:style w:type="character" w:customStyle="1" w:styleId="174">
    <w:name w:val="样式4 Char"/>
    <w:link w:val="175"/>
    <w:qFormat/>
    <w:locked/>
    <w:uiPriority w:val="0"/>
    <w:rPr>
      <w:rFonts w:ascii="黑体" w:hAnsi="黑体" w:eastAsia="黑体"/>
      <w:kern w:val="44"/>
      <w:sz w:val="44"/>
      <w:lang w:val="en-US" w:eastAsia="zh-CN"/>
    </w:rPr>
  </w:style>
  <w:style w:type="paragraph" w:customStyle="1" w:styleId="175">
    <w:name w:val="样式4"/>
    <w:basedOn w:val="4"/>
    <w:link w:val="174"/>
    <w:qFormat/>
    <w:uiPriority w:val="0"/>
    <w:pPr>
      <w:keepLines/>
      <w:spacing w:line="360" w:lineRule="auto"/>
    </w:pPr>
    <w:rPr>
      <w:rFonts w:ascii="黑体" w:hAnsi="黑体" w:eastAsia="黑体"/>
      <w:b w:val="0"/>
      <w:szCs w:val="20"/>
    </w:rPr>
  </w:style>
  <w:style w:type="character" w:customStyle="1" w:styleId="176">
    <w:name w:val="文档结构图 字符"/>
    <w:qFormat/>
    <w:locked/>
    <w:uiPriority w:val="99"/>
    <w:rPr>
      <w:rFonts w:eastAsia="宋体"/>
      <w:kern w:val="2"/>
      <w:sz w:val="21"/>
      <w:lang w:val="en-US" w:eastAsia="zh-CN"/>
    </w:rPr>
  </w:style>
  <w:style w:type="character" w:customStyle="1" w:styleId="177">
    <w:name w:val="日期 字符"/>
    <w:qFormat/>
    <w:locked/>
    <w:uiPriority w:val="99"/>
    <w:rPr>
      <w:rFonts w:ascii="宋体" w:cs="Times New Roman"/>
      <w:sz w:val="24"/>
    </w:rPr>
  </w:style>
  <w:style w:type="character" w:customStyle="1" w:styleId="178">
    <w:name w:val="列出段落 Char"/>
    <w:link w:val="179"/>
    <w:qFormat/>
    <w:locked/>
    <w:uiPriority w:val="34"/>
    <w:rPr>
      <w:rFonts w:eastAsia="宋体"/>
      <w:kern w:val="2"/>
      <w:sz w:val="24"/>
      <w:lang w:val="en-US" w:eastAsia="zh-CN"/>
    </w:rPr>
  </w:style>
  <w:style w:type="paragraph" w:styleId="179">
    <w:name w:val="List Paragraph"/>
    <w:basedOn w:val="1"/>
    <w:link w:val="178"/>
    <w:qFormat/>
    <w:uiPriority w:val="34"/>
    <w:pPr>
      <w:spacing w:line="360" w:lineRule="auto"/>
      <w:ind w:firstLine="420" w:firstLineChars="200"/>
    </w:pPr>
    <w:rPr>
      <w:sz w:val="24"/>
    </w:rPr>
  </w:style>
  <w:style w:type="paragraph" w:customStyle="1" w:styleId="180">
    <w:name w:val="表"/>
    <w:basedOn w:val="1"/>
    <w:qFormat/>
    <w:uiPriority w:val="0"/>
    <w:pPr>
      <w:autoSpaceDE w:val="0"/>
      <w:autoSpaceDN w:val="0"/>
      <w:adjustRightInd w:val="0"/>
      <w:spacing w:before="60" w:after="60"/>
      <w:ind w:left="-57" w:right="-57"/>
      <w:jc w:val="center"/>
    </w:pPr>
    <w:rPr>
      <w:rFonts w:ascii="Calibri" w:hAnsi="Calibri" w:eastAsia="宋体" w:cs="Times New Roman"/>
      <w:color w:val="000000"/>
      <w:kern w:val="2"/>
      <w:sz w:val="21"/>
      <w:szCs w:val="22"/>
    </w:rPr>
  </w:style>
  <w:style w:type="paragraph" w:customStyle="1" w:styleId="181">
    <w:name w:val="xl28"/>
    <w:basedOn w:val="1"/>
    <w:qFormat/>
    <w:uiPriority w:val="0"/>
    <w:pPr>
      <w:widowControl/>
      <w:pBdr>
        <w:left w:val="single" w:color="auto" w:sz="8" w:space="0"/>
        <w:bottom w:val="single" w:color="auto" w:sz="4" w:space="0"/>
        <w:right w:val="single" w:color="auto" w:sz="4" w:space="0"/>
      </w:pBdr>
      <w:spacing w:beforeAutospacing="1" w:afterAutospacing="1"/>
      <w:jc w:val="center"/>
    </w:pPr>
    <w:rPr>
      <w:rFonts w:ascii="Arial Unicode MS" w:hAnsi="Arial Unicode MS" w:eastAsia="Arial Unicode MS"/>
      <w:kern w:val="0"/>
      <w:sz w:val="24"/>
    </w:rPr>
  </w:style>
  <w:style w:type="paragraph" w:customStyle="1" w:styleId="182">
    <w:name w:val="符号 2"/>
    <w:basedOn w:val="183"/>
    <w:qFormat/>
    <w:uiPriority w:val="0"/>
    <w:pPr>
      <w:tabs>
        <w:tab w:val="left" w:pos="1320"/>
      </w:tabs>
      <w:ind w:left="1320" w:hanging="420"/>
    </w:pPr>
  </w:style>
  <w:style w:type="paragraph" w:customStyle="1" w:styleId="183">
    <w:name w:val="符号 1"/>
    <w:basedOn w:val="18"/>
    <w:qFormat/>
    <w:uiPriority w:val="0"/>
    <w:pPr>
      <w:tabs>
        <w:tab w:val="left" w:pos="900"/>
      </w:tabs>
      <w:spacing w:line="360" w:lineRule="auto"/>
      <w:ind w:left="1200" w:hanging="720"/>
    </w:pPr>
    <w:rPr>
      <w:rFonts w:eastAsia="宋体"/>
      <w:kern w:val="28"/>
      <w:szCs w:val="24"/>
    </w:rPr>
  </w:style>
  <w:style w:type="paragraph" w:customStyle="1" w:styleId="184">
    <w:name w:val="Table Text"/>
    <w:basedOn w:val="1"/>
    <w:qFormat/>
    <w:uiPriority w:val="0"/>
    <w:pPr>
      <w:widowControl/>
      <w:jc w:val="left"/>
    </w:pPr>
    <w:rPr>
      <w:rFonts w:ascii="Arial" w:hAnsi="Arial"/>
      <w:kern w:val="0"/>
      <w:szCs w:val="21"/>
    </w:rPr>
  </w:style>
  <w:style w:type="paragraph" w:customStyle="1" w:styleId="185">
    <w:name w:val="正文文本缩进 + 四号"/>
    <w:basedOn w:val="18"/>
    <w:qFormat/>
    <w:uiPriority w:val="0"/>
    <w:pPr>
      <w:spacing w:line="360" w:lineRule="auto"/>
      <w:ind w:firstLine="560" w:firstLineChars="200"/>
    </w:pPr>
    <w:rPr>
      <w:rFonts w:ascii="仿宋_GB2312" w:eastAsia="仿宋_GB2312"/>
      <w:color w:val="000000"/>
      <w:sz w:val="28"/>
      <w:szCs w:val="28"/>
    </w:rPr>
  </w:style>
  <w:style w:type="paragraph" w:customStyle="1" w:styleId="186">
    <w:name w:val="默认段落字体 Para Char Char Char Char Char Char Char Char Char1 Char Char Char Char"/>
    <w:basedOn w:val="1"/>
    <w:qFormat/>
    <w:uiPriority w:val="0"/>
    <w:rPr>
      <w:rFonts w:ascii="Tahoma" w:hAnsi="Tahoma"/>
      <w:sz w:val="24"/>
    </w:rPr>
  </w:style>
  <w:style w:type="paragraph" w:customStyle="1" w:styleId="187">
    <w:name w:val="Char Char Char"/>
    <w:basedOn w:val="1"/>
    <w:qFormat/>
    <w:uiPriority w:val="0"/>
    <w:pPr>
      <w:spacing w:before="120" w:after="120" w:line="360" w:lineRule="auto"/>
      <w:ind w:firstLine="200" w:firstLineChars="200"/>
    </w:pPr>
    <w:rPr>
      <w:rFonts w:ascii="Tahoma" w:hAnsi="Tahoma"/>
      <w:sz w:val="24"/>
    </w:rPr>
  </w:style>
  <w:style w:type="paragraph" w:customStyle="1" w:styleId="188">
    <w:name w:val="Char2"/>
    <w:basedOn w:val="1"/>
    <w:qFormat/>
    <w:uiPriority w:val="0"/>
    <w:pPr>
      <w:tabs>
        <w:tab w:val="left" w:pos="1200"/>
      </w:tabs>
      <w:ind w:left="1200" w:hanging="720"/>
    </w:pPr>
    <w:rPr>
      <w:sz w:val="24"/>
      <w:szCs w:val="24"/>
    </w:rPr>
  </w:style>
  <w:style w:type="paragraph" w:customStyle="1" w:styleId="189">
    <w:name w:val="WPSOffice手动目录 1"/>
    <w:uiPriority w:val="0"/>
    <w:rPr>
      <w:lang w:val="en-US" w:eastAsia="zh-CN" w:bidi="ar-SA"/>
    </w:rPr>
  </w:style>
  <w:style w:type="paragraph" w:customStyle="1" w:styleId="190">
    <w:name w:val="Body Text Indent"/>
    <w:basedOn w:val="1"/>
    <w:uiPriority w:val="0"/>
    <w:pPr>
      <w:spacing w:after="120"/>
      <w:ind w:left="420" w:leftChars="200"/>
    </w:pPr>
    <w:rPr>
      <w:szCs w:val="24"/>
    </w:rPr>
  </w:style>
  <w:style w:type="paragraph" w:customStyle="1" w:styleId="191">
    <w:name w:val="List Paragraph"/>
    <w:basedOn w:val="1"/>
    <w:uiPriority w:val="0"/>
    <w:pPr>
      <w:ind w:firstLine="420" w:firstLineChars="200"/>
    </w:pPr>
    <w:rPr>
      <w:rFonts w:ascii="Calibri" w:hAnsi="Calibri"/>
      <w:szCs w:val="22"/>
    </w:rPr>
  </w:style>
  <w:style w:type="paragraph" w:customStyle="1" w:styleId="192">
    <w:name w:val="正文编码"/>
    <w:basedOn w:val="3"/>
    <w:qFormat/>
    <w:uiPriority w:val="0"/>
    <w:pPr>
      <w:tabs>
        <w:tab w:val="center" w:pos="2185"/>
      </w:tabs>
      <w:spacing w:after="0" w:line="360" w:lineRule="auto"/>
      <w:ind w:left="1200" w:hanging="720" w:firstLineChars="0"/>
    </w:pPr>
    <w:rPr>
      <w:rFonts w:ascii="仿宋_GB2312" w:hAnsi="宋体" w:eastAsia="仿宋_GB2312"/>
      <w:kern w:val="0"/>
      <w:sz w:val="24"/>
      <w:szCs w:val="20"/>
    </w:rPr>
  </w:style>
  <w:style w:type="paragraph" w:customStyle="1" w:styleId="193">
    <w:name w:val="Item List in Table"/>
    <w:basedOn w:val="1"/>
    <w:qFormat/>
    <w:uiPriority w:val="0"/>
    <w:pPr>
      <w:widowControl/>
      <w:numPr>
        <w:ilvl w:val="0"/>
        <w:numId w:val="1"/>
      </w:numPr>
      <w:tabs>
        <w:tab w:val="left" w:pos="284"/>
      </w:tabs>
      <w:topLinePunct/>
      <w:adjustRightInd w:val="0"/>
      <w:snapToGrid w:val="0"/>
      <w:spacing w:before="80" w:after="80" w:line="240" w:lineRule="atLeast"/>
      <w:jc w:val="left"/>
    </w:pPr>
    <w:rPr>
      <w:rFonts w:cs="Arial"/>
      <w:kern w:val="0"/>
      <w:szCs w:val="21"/>
    </w:rPr>
  </w:style>
  <w:style w:type="paragraph" w:customStyle="1" w:styleId="194">
    <w:name w:val="Char"/>
    <w:basedOn w:val="1"/>
    <w:qFormat/>
    <w:uiPriority w:val="0"/>
    <w:pPr>
      <w:widowControl/>
      <w:spacing w:after="160" w:line="240" w:lineRule="exact"/>
      <w:ind w:left="-62" w:right="36" w:rightChars="15"/>
      <w:jc w:val="left"/>
    </w:pPr>
    <w:rPr>
      <w:rFonts w:ascii="Arial" w:hAnsi="Arial"/>
      <w:kern w:val="0"/>
      <w:sz w:val="20"/>
      <w:lang w:eastAsia="en-US"/>
    </w:rPr>
  </w:style>
  <w:style w:type="paragraph" w:customStyle="1" w:styleId="195">
    <w:name w:val="标题3"/>
    <w:basedOn w:val="6"/>
    <w:qFormat/>
    <w:uiPriority w:val="0"/>
    <w:pPr>
      <w:tabs>
        <w:tab w:val="left" w:pos="113"/>
        <w:tab w:val="left" w:pos="840"/>
        <w:tab w:val="clear" w:pos="1620"/>
      </w:tabs>
      <w:spacing w:beforeLines="0" w:beforeAutospacing="1" w:afterLines="0" w:line="300" w:lineRule="auto"/>
      <w:ind w:left="1180" w:hanging="340"/>
    </w:pPr>
    <w:rPr>
      <w:rFonts w:ascii="Times New Roman" w:hAnsi="Times New Roman" w:cs="Times New Roman"/>
      <w:b w:val="0"/>
      <w:bCs/>
      <w:spacing w:val="6"/>
      <w:kern w:val="44"/>
      <w:sz w:val="28"/>
      <w:szCs w:val="20"/>
      <w:lang w:val="ru-RU"/>
    </w:rPr>
  </w:style>
  <w:style w:type="paragraph" w:customStyle="1" w:styleId="196">
    <w:name w:val="正文格式"/>
    <w:basedOn w:val="1"/>
    <w:qFormat/>
    <w:uiPriority w:val="0"/>
    <w:pPr>
      <w:topLinePunct/>
      <w:ind w:firstLine="420" w:firstLineChars="200"/>
    </w:pPr>
    <w:rPr>
      <w:rFonts w:ascii="宋体" w:hAnsi="宋体"/>
      <w:bCs/>
      <w:szCs w:val="21"/>
    </w:rPr>
  </w:style>
  <w:style w:type="paragraph" w:customStyle="1" w:styleId="197">
    <w:name w:val="Char1"/>
    <w:basedOn w:val="1"/>
    <w:qFormat/>
    <w:uiPriority w:val="0"/>
    <w:rPr>
      <w:rFonts w:ascii="仿宋_GB2312" w:eastAsia="仿宋_GB2312"/>
      <w:b/>
      <w:sz w:val="32"/>
      <w:szCs w:val="32"/>
    </w:rPr>
  </w:style>
  <w:style w:type="paragraph" w:customStyle="1" w:styleId="198">
    <w:name w:val="大标题"/>
    <w:basedOn w:val="1"/>
    <w:qFormat/>
    <w:uiPriority w:val="0"/>
    <w:pPr>
      <w:autoSpaceDE w:val="0"/>
      <w:autoSpaceDN w:val="0"/>
      <w:adjustRightInd w:val="0"/>
      <w:spacing w:after="560"/>
      <w:jc w:val="center"/>
    </w:pPr>
    <w:rPr>
      <w:rFonts w:ascii="Arial Black" w:hAnsi="Arial Black"/>
      <w:b/>
      <w:kern w:val="0"/>
      <w:sz w:val="56"/>
    </w:rPr>
  </w:style>
  <w:style w:type="paragraph" w:customStyle="1" w:styleId="199">
    <w:name w:val="首行缩进"/>
    <w:basedOn w:val="1"/>
    <w:qFormat/>
    <w:uiPriority w:val="0"/>
    <w:pPr>
      <w:spacing w:line="360" w:lineRule="auto"/>
      <w:ind w:firstLine="480" w:firstLineChars="200"/>
      <w:jc w:val="left"/>
    </w:pPr>
    <w:rPr>
      <w:rFonts w:ascii="宋体" w:hAnsi="宋体"/>
      <w:sz w:val="24"/>
    </w:rPr>
  </w:style>
  <w:style w:type="paragraph" w:customStyle="1" w:styleId="200">
    <w:name w:val="Char Char Char Char Char Char Char"/>
    <w:basedOn w:val="1"/>
    <w:qFormat/>
    <w:uiPriority w:val="0"/>
    <w:pPr>
      <w:tabs>
        <w:tab w:val="left" w:pos="432"/>
      </w:tabs>
      <w:ind w:left="432" w:hanging="432"/>
    </w:pPr>
    <w:rPr>
      <w:rFonts w:ascii="Tahoma" w:hAnsi="Tahoma"/>
      <w:sz w:val="24"/>
    </w:rPr>
  </w:style>
  <w:style w:type="paragraph" w:customStyle="1" w:styleId="201">
    <w:name w:val="Default"/>
    <w:next w:val="202"/>
    <w:qFormat/>
    <w:uiPriority w:val="0"/>
    <w:pPr>
      <w:widowControl w:val="0"/>
      <w:autoSpaceDE w:val="0"/>
      <w:autoSpaceDN w:val="0"/>
      <w:adjustRightInd w:val="0"/>
      <w:ind w:left="425"/>
    </w:pPr>
    <w:rPr>
      <w:rFonts w:ascii="黑体" w:eastAsia="黑体" w:cs="黑体"/>
      <w:color w:val="000000"/>
      <w:sz w:val="24"/>
      <w:szCs w:val="24"/>
      <w:lang w:val="en-US" w:eastAsia="zh-CN" w:bidi="ar-SA"/>
    </w:rPr>
  </w:style>
  <w:style w:type="paragraph" w:customStyle="1" w:styleId="202">
    <w:name w:val="TOC 71"/>
    <w:next w:val="1"/>
    <w:qFormat/>
    <w:uiPriority w:val="0"/>
    <w:pPr>
      <w:wordWrap w:val="0"/>
      <w:ind w:left="2550"/>
      <w:jc w:val="both"/>
    </w:pPr>
    <w:rPr>
      <w:sz w:val="21"/>
      <w:szCs w:val="22"/>
      <w:lang w:val="en-US" w:eastAsia="zh-CN" w:bidi="ar-SA"/>
    </w:rPr>
  </w:style>
  <w:style w:type="paragraph" w:customStyle="1" w:styleId="203">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204">
    <w:name w:val="font13"/>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05">
    <w:name w:val="Char11"/>
    <w:basedOn w:val="1"/>
    <w:qFormat/>
    <w:uiPriority w:val="0"/>
    <w:rPr>
      <w:szCs w:val="24"/>
    </w:rPr>
  </w:style>
  <w:style w:type="paragraph" w:customStyle="1" w:styleId="206">
    <w:name w:val="标准正文"/>
    <w:basedOn w:val="1"/>
    <w:qFormat/>
    <w:uiPriority w:val="0"/>
    <w:pPr>
      <w:adjustRightInd w:val="0"/>
      <w:spacing w:line="360" w:lineRule="auto"/>
      <w:ind w:firstLine="480" w:firstLineChars="200"/>
    </w:pPr>
    <w:rPr>
      <w:kern w:val="0"/>
      <w:sz w:val="24"/>
    </w:rPr>
  </w:style>
  <w:style w:type="paragraph" w:customStyle="1" w:styleId="207">
    <w:name w:val=" Char"/>
    <w:basedOn w:val="1"/>
    <w:qFormat/>
    <w:uiPriority w:val="0"/>
    <w:rPr>
      <w:rFonts w:ascii="宋体" w:hAnsi="宋体"/>
      <w:i/>
      <w:sz w:val="24"/>
      <w:szCs w:val="24"/>
    </w:rPr>
  </w:style>
  <w:style w:type="paragraph" w:customStyle="1" w:styleId="208">
    <w:name w:val="_Style 5"/>
    <w:basedOn w:val="1"/>
    <w:qFormat/>
    <w:uiPriority w:val="0"/>
    <w:pPr>
      <w:widowControl/>
      <w:spacing w:after="160" w:line="360" w:lineRule="auto"/>
      <w:ind w:firstLine="200" w:firstLineChars="200"/>
      <w:jc w:val="left"/>
    </w:pPr>
    <w:rPr>
      <w:rFonts w:ascii="宋体" w:hAnsi="宋体"/>
      <w:sz w:val="24"/>
    </w:rPr>
  </w:style>
  <w:style w:type="paragraph" w:customStyle="1" w:styleId="209">
    <w:name w:val="Body"/>
    <w:qFormat/>
    <w:uiPriority w:val="0"/>
    <w:pPr>
      <w:spacing w:before="130" w:after="130" w:line="260" w:lineRule="exact"/>
    </w:pPr>
    <w:rPr>
      <w:rFonts w:ascii="Univers" w:hAnsi="Univers"/>
      <w:color w:val="000000"/>
      <w:sz w:val="22"/>
      <w:lang w:val="en-US" w:eastAsia="en-US" w:bidi="ar-SA"/>
    </w:rPr>
  </w:style>
  <w:style w:type="paragraph" w:customStyle="1" w:styleId="210">
    <w:name w:val="标题1"/>
    <w:basedOn w:val="4"/>
    <w:qFormat/>
    <w:uiPriority w:val="0"/>
    <w:pPr>
      <w:keepLines/>
      <w:tabs>
        <w:tab w:val="left" w:pos="397"/>
      </w:tabs>
      <w:spacing w:before="120" w:after="120" w:line="300" w:lineRule="auto"/>
      <w:ind w:firstLine="340"/>
    </w:pPr>
    <w:rPr>
      <w:rFonts w:ascii="黑体" w:hAnsi="宋体" w:eastAsia="黑体"/>
      <w:b w:val="0"/>
      <w:bCs/>
      <w:spacing w:val="6"/>
      <w:kern w:val="44"/>
      <w:sz w:val="36"/>
    </w:rPr>
  </w:style>
  <w:style w:type="paragraph" w:customStyle="1" w:styleId="211">
    <w:name w:val="彩色列表 - 强调文字颜色 11"/>
    <w:basedOn w:val="1"/>
    <w:qFormat/>
    <w:uiPriority w:val="0"/>
    <w:pPr>
      <w:ind w:firstLine="420" w:firstLineChars="200"/>
    </w:pPr>
    <w:rPr>
      <w:rFonts w:ascii="Calibri" w:hAnsi="Calibri"/>
      <w:szCs w:val="22"/>
    </w:rPr>
  </w:style>
  <w:style w:type="paragraph" w:customStyle="1" w:styleId="212">
    <w:name w:val="表 靠左"/>
    <w:basedOn w:val="180"/>
    <w:qFormat/>
    <w:uiPriority w:val="0"/>
    <w:pPr>
      <w:widowControl w:val="0"/>
    </w:pPr>
    <w:rPr>
      <w:rFonts w:ascii="宋体" w:hAnsi="宋体" w:eastAsia="宋体" w:cs="Times New Roman"/>
      <w:kern w:val="2"/>
      <w:sz w:val="21"/>
      <w:szCs w:val="21"/>
      <w:lang w:val="en-US" w:eastAsia="zh-CN"/>
    </w:rPr>
  </w:style>
  <w:style w:type="paragraph" w:customStyle="1" w:styleId="213">
    <w:name w:val="Char Char Char Char"/>
    <w:basedOn w:val="1"/>
    <w:qFormat/>
    <w:uiPriority w:val="0"/>
    <w:pPr>
      <w:widowControl/>
      <w:spacing w:line="400" w:lineRule="exact"/>
      <w:jc w:val="center"/>
    </w:pPr>
    <w:rPr>
      <w:rFonts w:ascii="Verdana" w:hAnsi="Verdana"/>
      <w:kern w:val="0"/>
      <w:lang w:eastAsia="en-US"/>
    </w:rPr>
  </w:style>
  <w:style w:type="paragraph" w:customStyle="1" w:styleId="214">
    <w:name w:val="段"/>
    <w:qFormat/>
    <w:uiPriority w:val="0"/>
    <w:pPr>
      <w:autoSpaceDE w:val="0"/>
      <w:autoSpaceDN w:val="0"/>
      <w:ind w:firstLine="200" w:firstLineChars="200"/>
      <w:jc w:val="both"/>
    </w:pPr>
    <w:rPr>
      <w:rFonts w:ascii="宋体"/>
      <w:sz w:val="21"/>
      <w:lang w:val="en-US" w:eastAsia="zh-CN" w:bidi="ar-SA"/>
    </w:rPr>
  </w:style>
  <w:style w:type="paragraph" w:customStyle="1" w:styleId="215">
    <w:name w:val="font5"/>
    <w:basedOn w:val="1"/>
    <w:qFormat/>
    <w:uiPriority w:val="0"/>
    <w:pPr>
      <w:widowControl/>
      <w:spacing w:before="100" w:beforeAutospacing="1" w:after="100" w:afterAutospacing="1"/>
      <w:jc w:val="left"/>
    </w:pPr>
    <w:rPr>
      <w:rFonts w:hint="eastAsia" w:ascii="宋体" w:hAnsi="宋体"/>
      <w:kern w:val="0"/>
      <w:sz w:val="18"/>
    </w:rPr>
  </w:style>
  <w:style w:type="paragraph" w:customStyle="1" w:styleId="216">
    <w:name w:val="pa-52"/>
    <w:basedOn w:val="1"/>
    <w:qFormat/>
    <w:uiPriority w:val="0"/>
    <w:pPr>
      <w:widowControl/>
      <w:spacing w:line="280" w:lineRule="atLeast"/>
      <w:jc w:val="center"/>
    </w:pPr>
    <w:rPr>
      <w:rFonts w:ascii="宋体" w:hAnsi="宋体" w:cs="宋体"/>
      <w:kern w:val="0"/>
      <w:sz w:val="24"/>
      <w:szCs w:val="24"/>
    </w:rPr>
  </w:style>
  <w:style w:type="paragraph" w:customStyle="1" w:styleId="217">
    <w:name w:val="无间隔1"/>
    <w:qFormat/>
    <w:uiPriority w:val="0"/>
    <w:rPr>
      <w:sz w:val="21"/>
      <w:lang w:val="en-US" w:eastAsia="zh-CN" w:bidi="ar-SA"/>
    </w:rPr>
  </w:style>
  <w:style w:type="paragraph" w:customStyle="1" w:styleId="218">
    <w:name w:val="xl25"/>
    <w:basedOn w:val="1"/>
    <w:qFormat/>
    <w:uiPriority w:val="0"/>
    <w:pPr>
      <w:widowControl/>
      <w:spacing w:before="100" w:beforeAutospacing="1" w:after="100" w:afterAutospacing="1"/>
      <w:jc w:val="center"/>
      <w:textAlignment w:val="center"/>
    </w:pPr>
    <w:rPr>
      <w:rFonts w:ascii="宋体" w:hAnsi="宋体"/>
      <w:kern w:val="0"/>
      <w:sz w:val="20"/>
    </w:rPr>
  </w:style>
  <w:style w:type="paragraph" w:customStyle="1" w:styleId="219">
    <w:name w:val="正文无缩进"/>
    <w:basedOn w:val="1"/>
    <w:qFormat/>
    <w:uiPriority w:val="0"/>
    <w:pPr>
      <w:widowControl/>
      <w:autoSpaceDE w:val="0"/>
      <w:autoSpaceDN w:val="0"/>
      <w:spacing w:line="300" w:lineRule="auto"/>
      <w:textAlignment w:val="bottom"/>
    </w:pPr>
    <w:rPr>
      <w:rFonts w:eastAsia="楷体_GB2312"/>
    </w:rPr>
  </w:style>
  <w:style w:type="paragraph" w:customStyle="1" w:styleId="220">
    <w:name w:val="表格正文"/>
    <w:basedOn w:val="1"/>
    <w:qFormat/>
    <w:uiPriority w:val="0"/>
    <w:rPr>
      <w:rFonts w:eastAsia="黑体"/>
    </w:rPr>
  </w:style>
  <w:style w:type="paragraph" w:customStyle="1" w:styleId="221">
    <w:name w:val="tabletext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22">
    <w:name w:val="样式 10 磅31114"/>
    <w:qFormat/>
    <w:uiPriority w:val="0"/>
    <w:pPr>
      <w:widowControl w:val="0"/>
      <w:jc w:val="both"/>
    </w:pPr>
    <w:rPr>
      <w:kern w:val="2"/>
      <w:sz w:val="21"/>
      <w:szCs w:val="24"/>
      <w:lang w:val="en-US" w:eastAsia="zh-CN" w:bidi="ar-SA"/>
    </w:rPr>
  </w:style>
  <w:style w:type="paragraph" w:customStyle="1" w:styleId="223">
    <w:name w:val="l正文"/>
    <w:basedOn w:val="1"/>
    <w:qFormat/>
    <w:uiPriority w:val="0"/>
    <w:pPr>
      <w:spacing w:line="300" w:lineRule="auto"/>
      <w:ind w:firstLine="200" w:firstLineChars="200"/>
      <w:jc w:val="left"/>
    </w:pPr>
    <w:rPr>
      <w:rFonts w:ascii="楷体_GB2312" w:hAnsi="Times" w:eastAsia="楷体_GB2312" w:cs="等线"/>
      <w:kern w:val="2"/>
      <w:sz w:val="24"/>
      <w:szCs w:val="24"/>
    </w:rPr>
  </w:style>
  <w:style w:type="paragraph" w:customStyle="1" w:styleId="224">
    <w:name w:val="正文 居中"/>
    <w:basedOn w:val="1"/>
    <w:qFormat/>
    <w:uiPriority w:val="0"/>
    <w:pPr>
      <w:spacing w:line="360" w:lineRule="auto"/>
      <w:jc w:val="center"/>
    </w:pPr>
    <w:rPr>
      <w:rFonts w:cs="宋体"/>
      <w:sz w:val="24"/>
    </w:rPr>
  </w:style>
  <w:style w:type="paragraph" w:customStyle="1" w:styleId="225">
    <w:name w:val="p0"/>
    <w:basedOn w:val="1"/>
    <w:qFormat/>
    <w:uiPriority w:val="0"/>
    <w:pPr>
      <w:widowControl/>
    </w:pPr>
    <w:rPr>
      <w:kern w:val="0"/>
      <w:szCs w:val="21"/>
    </w:rPr>
  </w:style>
  <w:style w:type="paragraph" w:customStyle="1" w:styleId="226">
    <w:name w:val="Proposals body"/>
    <w:basedOn w:val="1"/>
    <w:next w:val="1"/>
    <w:qFormat/>
    <w:uiPriority w:val="0"/>
    <w:pPr>
      <w:widowControl/>
      <w:spacing w:line="360" w:lineRule="auto"/>
      <w:jc w:val="left"/>
    </w:pPr>
    <w:rPr>
      <w:rFonts w:ascii="宋体"/>
      <w:color w:val="000000"/>
      <w:kern w:val="0"/>
      <w:sz w:val="24"/>
    </w:rPr>
  </w:style>
  <w:style w:type="paragraph" w:customStyle="1" w:styleId="227">
    <w:name w:val="正文段"/>
    <w:basedOn w:val="1"/>
    <w:qFormat/>
    <w:uiPriority w:val="0"/>
    <w:pPr>
      <w:widowControl/>
      <w:snapToGrid w:val="0"/>
      <w:spacing w:afterLines="50"/>
      <w:ind w:firstLine="200" w:firstLineChars="200"/>
    </w:pPr>
    <w:rPr>
      <w:kern w:val="0"/>
      <w:sz w:val="24"/>
    </w:rPr>
  </w:style>
  <w:style w:type="paragraph" w:customStyle="1" w:styleId="228">
    <w:name w:val="正文1"/>
    <w:qFormat/>
    <w:uiPriority w:val="0"/>
    <w:pPr>
      <w:widowControl w:val="0"/>
      <w:jc w:val="both"/>
    </w:pPr>
    <w:rPr>
      <w:kern w:val="2"/>
      <w:sz w:val="21"/>
      <w:lang w:val="en-US" w:eastAsia="zh-CN" w:bidi="ar-SA"/>
    </w:rPr>
  </w:style>
  <w:style w:type="paragraph" w:customStyle="1" w:styleId="229">
    <w:name w:val="itemlistintab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0">
    <w:name w:val="默认段落字体 Para Char Char Char Char Char Char Char Char Char Char"/>
    <w:basedOn w:val="1"/>
    <w:qFormat/>
    <w:uiPriority w:val="0"/>
    <w:rPr>
      <w:rFonts w:ascii="Tahoma" w:hAnsi="Tahoma"/>
      <w:sz w:val="24"/>
    </w:rPr>
  </w:style>
  <w:style w:type="paragraph" w:customStyle="1" w:styleId="231">
    <w:name w:val="Char Char Char1 Char"/>
    <w:basedOn w:val="1"/>
    <w:qFormat/>
    <w:uiPriority w:val="0"/>
    <w:pPr>
      <w:spacing w:line="360" w:lineRule="auto"/>
      <w:ind w:firstLine="200" w:firstLineChars="200"/>
    </w:pPr>
  </w:style>
  <w:style w:type="paragraph" w:customStyle="1" w:styleId="232">
    <w:name w:val="Normal 2"/>
    <w:basedOn w:val="1"/>
    <w:qFormat/>
    <w:uiPriority w:val="0"/>
    <w:pPr>
      <w:keepLines/>
      <w:widowControl/>
      <w:autoSpaceDE w:val="0"/>
      <w:autoSpaceDN w:val="0"/>
      <w:adjustRightInd w:val="0"/>
      <w:spacing w:before="240"/>
      <w:ind w:left="360" w:right="900"/>
      <w:jc w:val="left"/>
    </w:pPr>
    <w:rPr>
      <w:rFonts w:ascii="Arial" w:hAnsi="Arial"/>
      <w:kern w:val="0"/>
      <w:sz w:val="22"/>
      <w:lang w:eastAsia="en-US"/>
    </w:rPr>
  </w:style>
  <w:style w:type="paragraph" w:customStyle="1" w:styleId="233">
    <w:name w:val="此正文"/>
    <w:basedOn w:val="1"/>
    <w:uiPriority w:val="0"/>
    <w:pPr>
      <w:spacing w:line="360" w:lineRule="auto"/>
      <w:ind w:firstLine="200" w:firstLineChars="200"/>
    </w:pPr>
    <w:rPr>
      <w:sz w:val="24"/>
      <w:szCs w:val="24"/>
    </w:rPr>
  </w:style>
  <w:style w:type="paragraph" w:customStyle="1" w:styleId="234">
    <w:name w:val="列出段落2"/>
    <w:basedOn w:val="1"/>
    <w:uiPriority w:val="0"/>
    <w:pPr>
      <w:widowControl/>
      <w:spacing w:after="200" w:line="276" w:lineRule="auto"/>
      <w:ind w:left="720"/>
      <w:contextualSpacing/>
      <w:jc w:val="left"/>
    </w:pPr>
    <w:rPr>
      <w:rFonts w:ascii="Calibri" w:hAnsi="Calibri"/>
      <w:kern w:val="0"/>
      <w:sz w:val="22"/>
      <w:szCs w:val="22"/>
    </w:rPr>
  </w:style>
  <w:style w:type="paragraph" w:customStyle="1" w:styleId="235">
    <w:name w:val="Normal"/>
    <w:qFormat/>
    <w:uiPriority w:val="0"/>
    <w:pPr>
      <w:widowControl w:val="0"/>
      <w:jc w:val="both"/>
    </w:pPr>
    <w:rPr>
      <w:rFonts w:hint="eastAsia"/>
      <w:kern w:val="2"/>
      <w:sz w:val="21"/>
      <w:szCs w:val="22"/>
      <w:lang w:val="en-US" w:eastAsia="zh-CN" w:bidi="ar-SA"/>
    </w:rPr>
  </w:style>
  <w:style w:type="paragraph" w:customStyle="1" w:styleId="236">
    <w:name w:val="列出段落11"/>
    <w:basedOn w:val="1"/>
    <w:qFormat/>
    <w:uiPriority w:val="0"/>
    <w:pPr>
      <w:ind w:firstLine="420" w:firstLineChars="200"/>
    </w:pPr>
    <w:rPr>
      <w:szCs w:val="24"/>
    </w:rPr>
  </w:style>
  <w:style w:type="paragraph" w:customStyle="1" w:styleId="237">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8">
    <w:name w:val="Char Char1 Char Char Char Char"/>
    <w:basedOn w:val="1"/>
    <w:qFormat/>
    <w:uiPriority w:val="0"/>
    <w:rPr>
      <w:rFonts w:ascii="Tahoma" w:hAnsi="Tahoma"/>
      <w:sz w:val="24"/>
    </w:rPr>
  </w:style>
  <w:style w:type="paragraph" w:customStyle="1" w:styleId="239">
    <w:name w:val="正文2"/>
    <w:basedOn w:val="1"/>
    <w:qFormat/>
    <w:uiPriority w:val="0"/>
    <w:pPr>
      <w:spacing w:beforeLines="50" w:afterLines="50" w:line="360" w:lineRule="auto"/>
      <w:ind w:firstLine="480" w:firstLineChars="200"/>
    </w:pPr>
    <w:rPr>
      <w:rFonts w:ascii="宋体" w:hAnsi="宋体"/>
      <w:sz w:val="24"/>
      <w:szCs w:val="24"/>
    </w:rPr>
  </w:style>
  <w:style w:type="paragraph" w:styleId="240">
    <w:name w:val="No Spacing"/>
    <w:qFormat/>
    <w:uiPriority w:val="1"/>
    <w:pPr>
      <w:widowControl w:val="0"/>
      <w:jc w:val="both"/>
    </w:pPr>
    <w:rPr>
      <w:kern w:val="2"/>
      <w:sz w:val="21"/>
      <w:lang w:val="en-US" w:eastAsia="zh-CN" w:bidi="ar-SA"/>
    </w:rPr>
  </w:style>
  <w:style w:type="paragraph" w:customStyle="1" w:styleId="241">
    <w:name w:val="标准小四"/>
    <w:basedOn w:val="1"/>
    <w:qFormat/>
    <w:uiPriority w:val="0"/>
    <w:pPr>
      <w:spacing w:line="360" w:lineRule="auto"/>
      <w:ind w:firstLine="480" w:firstLineChars="200"/>
    </w:pPr>
    <w:rPr>
      <w:rFonts w:ascii="Arial" w:hAnsi="Arial"/>
      <w:sz w:val="24"/>
      <w:szCs w:val="21"/>
    </w:rPr>
  </w:style>
  <w:style w:type="paragraph" w:customStyle="1" w:styleId="242">
    <w:name w:val="tabletext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43">
    <w:name w:val="TOAHeading"/>
    <w:basedOn w:val="1"/>
    <w:next w:val="1"/>
    <w:qFormat/>
    <w:uiPriority w:val="0"/>
    <w:pPr>
      <w:spacing w:before="120" w:line="240" w:lineRule="auto"/>
      <w:jc w:val="both"/>
      <w:textAlignment w:val="baseline"/>
    </w:pPr>
    <w:rPr>
      <w:rFonts w:ascii="Arial" w:hAnsi="Arial"/>
      <w:kern w:val="2"/>
      <w:sz w:val="24"/>
      <w:szCs w:val="24"/>
      <w:lang w:val="en-US" w:eastAsia="zh-CN" w:bidi="ar-SA"/>
    </w:rPr>
  </w:style>
  <w:style w:type="paragraph" w:customStyle="1" w:styleId="244">
    <w:name w:val="样式3"/>
    <w:basedOn w:val="23"/>
    <w:qFormat/>
    <w:uiPriority w:val="0"/>
    <w:pPr>
      <w:spacing w:line="0" w:lineRule="atLeast"/>
      <w:outlineLvl w:val="0"/>
    </w:pPr>
    <w:rPr>
      <w:sz w:val="28"/>
    </w:rPr>
  </w:style>
  <w:style w:type="paragraph" w:customStyle="1" w:styleId="245">
    <w:name w:val="默认段落字体11"/>
    <w:basedOn w:val="1"/>
    <w:uiPriority w:val="0"/>
    <w:pPr>
      <w:widowControl/>
      <w:spacing w:before="100" w:beforeAutospacing="1" w:after="100" w:afterAutospacing="1"/>
      <w:jc w:val="left"/>
    </w:pPr>
    <w:rPr>
      <w:szCs w:val="22"/>
    </w:rPr>
  </w:style>
  <w:style w:type="paragraph" w:customStyle="1" w:styleId="246">
    <w:name w:val="表内文字"/>
    <w:basedOn w:val="1"/>
    <w:qFormat/>
    <w:uiPriority w:val="0"/>
    <w:pPr>
      <w:tabs>
        <w:tab w:val="left" w:pos="1418"/>
      </w:tabs>
      <w:spacing w:line="360" w:lineRule="auto"/>
      <w:jc w:val="center"/>
    </w:pPr>
    <w:rPr>
      <w:rFonts w:ascii="仿宋_GB2312" w:eastAsia="仿宋_GB2312"/>
      <w:spacing w:val="-20"/>
      <w:kern w:val="0"/>
      <w:sz w:val="24"/>
      <w:szCs w:val="24"/>
    </w:rPr>
  </w:style>
  <w:style w:type="paragraph" w:customStyle="1" w:styleId="247">
    <w:name w:val="标题 5（有编号）（绿盟科技）"/>
    <w:basedOn w:val="1"/>
    <w:next w:val="248"/>
    <w:qFormat/>
    <w:uiPriority w:val="0"/>
    <w:pPr>
      <w:keepNext/>
      <w:keepLines/>
      <w:numPr>
        <w:ilvl w:val="4"/>
        <w:numId w:val="2"/>
      </w:numPr>
      <w:spacing w:before="280" w:after="156" w:line="377" w:lineRule="auto"/>
      <w:jc w:val="left"/>
      <w:outlineLvl w:val="4"/>
    </w:pPr>
    <w:rPr>
      <w:rFonts w:ascii="Arial" w:hAnsi="Arial" w:eastAsia="黑体"/>
      <w:b/>
      <w:kern w:val="0"/>
      <w:sz w:val="24"/>
      <w:szCs w:val="28"/>
    </w:rPr>
  </w:style>
  <w:style w:type="paragraph" w:customStyle="1" w:styleId="248">
    <w:name w:val="正文（绿盟科技）"/>
    <w:qFormat/>
    <w:uiPriority w:val="0"/>
    <w:pPr>
      <w:spacing w:line="300" w:lineRule="auto"/>
    </w:pPr>
    <w:rPr>
      <w:rFonts w:ascii="Arial" w:hAnsi="Arial"/>
      <w:sz w:val="21"/>
      <w:szCs w:val="21"/>
      <w:lang w:val="en-US" w:eastAsia="zh-CN" w:bidi="ar-SA"/>
    </w:rPr>
  </w:style>
  <w:style w:type="paragraph" w:customStyle="1" w:styleId="249">
    <w:name w:val="_Style 25"/>
    <w:basedOn w:val="18"/>
    <w:next w:val="1"/>
    <w:qFormat/>
    <w:uiPriority w:val="0"/>
    <w:pPr>
      <w:ind w:firstLine="420" w:firstLineChars="200"/>
    </w:pPr>
  </w:style>
  <w:style w:type="paragraph" w:customStyle="1" w:styleId="250">
    <w:name w:val="Plain Text"/>
    <w:basedOn w:val="235"/>
    <w:qFormat/>
    <w:uiPriority w:val="0"/>
    <w:pPr>
      <w:widowControl/>
      <w:jc w:val="left"/>
    </w:pPr>
    <w:rPr>
      <w:rFonts w:ascii="宋体" w:hAnsi="Courier New"/>
    </w:rPr>
  </w:style>
  <w:style w:type="paragraph" w:customStyle="1" w:styleId="251">
    <w:name w:val="_Style 3"/>
    <w:qFormat/>
    <w:uiPriority w:val="0"/>
    <w:pPr>
      <w:widowControl w:val="0"/>
      <w:jc w:val="both"/>
    </w:pPr>
    <w:rPr>
      <w:kern w:val="2"/>
      <w:sz w:val="21"/>
      <w:szCs w:val="22"/>
      <w:lang w:val="en-US" w:eastAsia="zh-CN" w:bidi="ar-SA"/>
    </w:rPr>
  </w:style>
  <w:style w:type="paragraph" w:customStyle="1" w:styleId="252">
    <w:name w:val="xl35"/>
    <w:basedOn w:val="1"/>
    <w:uiPriority w:val="0"/>
    <w:pPr>
      <w:widowControl/>
      <w:spacing w:before="100" w:beforeAutospacing="1" w:after="100" w:afterAutospacing="1"/>
      <w:jc w:val="right"/>
      <w:textAlignment w:val="center"/>
    </w:pPr>
    <w:rPr>
      <w:rFonts w:ascii="宋体" w:hAnsi="宋体"/>
      <w:kern w:val="0"/>
      <w:sz w:val="18"/>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media/image1.png" Type="http://schemas.openxmlformats.org/officeDocument/2006/relationships/image"/><Relationship Id="rId11" Target="../customXml/item1.xml" Type="http://schemas.openxmlformats.org/officeDocument/2006/relationships/customXml"/><Relationship Id="rId12" Target="numbering.xml" Type="http://schemas.openxmlformats.org/officeDocument/2006/relationships/numbering"/><Relationship Id="rId13"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header2.xml" Type="http://schemas.openxmlformats.org/officeDocument/2006/relationships/header"/><Relationship Id="rId7" Target="header3.xml" Type="http://schemas.openxmlformats.org/officeDocument/2006/relationships/header"/><Relationship Id="rId8" Target="footer3.xml" Type="http://schemas.openxmlformats.org/officeDocument/2006/relationships/footer"/><Relationship Id="rId9" Target="theme/theme1.xml" Type="http://schemas.openxmlformats.org/officeDocument/2006/relationships/them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Unknown Organization</Company>
  <Pages>63</Pages>
  <Words>5909</Words>
  <Characters>33686</Characters>
  <Lines>280</Lines>
  <Paragraphs>79</Paragraphs>
  <TotalTime>2</TotalTime>
  <ScaleCrop>false</ScaleCrop>
  <LinksUpToDate>false</LinksUpToDate>
  <CharactersWithSpaces>39516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2021-06-28T10:41:00Z</dcterms:created>
  <dc:creator>dyp</dc:creator>
  <cp:lastModifiedBy>WPS_1701756769</cp:lastModifiedBy>
  <cp:lastPrinted>2020-07-01T01:04:00Z</cp:lastPrinted>
  <dcterms:modified xsi:type="dcterms:W3CDTF">2024-02-23T01:17:33Z</dcterms:modified>
  <cp:revision>2</cp:revision>
  <dc:title>第一部分  投标方须知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114B7A55B631431BA51531FD1FE8796F_13</vt:lpwstr>
  </property>
</Properties>
</file>