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E8466">
      <w:pPr>
        <w:adjustRightInd/>
        <w:spacing w:line="360" w:lineRule="auto"/>
        <w:jc w:val="center"/>
        <w:rPr>
          <w:rFonts w:hint="eastAsia" w:ascii="楷体_GB2312" w:eastAsia="楷体_GB2312"/>
          <w:b/>
          <w:sz w:val="52"/>
          <w:szCs w:val="52"/>
          <w:lang w:eastAsia="zh-CN"/>
        </w:rPr>
      </w:pPr>
      <w:bookmarkStart w:id="0" w:name="OLE_LINK8"/>
      <w:r>
        <w:rPr>
          <w:rFonts w:hint="eastAsia" w:ascii="楷体_GB2312" w:eastAsia="楷体_GB2312"/>
          <w:b/>
          <w:sz w:val="52"/>
          <w:szCs w:val="52"/>
          <w:lang w:eastAsia="zh-CN"/>
        </w:rPr>
        <w:t>衢州市柯城区姜家山乡中心小学IPV6新一代校园网络改造</w:t>
      </w:r>
    </w:p>
    <w:bookmarkEnd w:id="0"/>
    <w:p w14:paraId="6CAAC499">
      <w:pPr>
        <w:jc w:val="center"/>
        <w:outlineLvl w:val="0"/>
        <w:rPr>
          <w:rFonts w:hint="eastAsia" w:ascii="仿宋" w:hAnsi="仿宋" w:eastAsia="仿宋" w:cs="仿宋"/>
          <w:b/>
          <w:color w:val="auto"/>
          <w:sz w:val="72"/>
          <w:szCs w:val="72"/>
          <w:highlight w:val="none"/>
        </w:rPr>
      </w:pPr>
    </w:p>
    <w:p w14:paraId="4650A557">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59C70B39">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214B64BC">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4472110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3E75853B">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0248C984">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46668EF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（电子招投标） </w:t>
      </w:r>
    </w:p>
    <w:p w14:paraId="149E1312">
      <w:pPr>
        <w:jc w:val="center"/>
        <w:rPr>
          <w:rFonts w:hint="eastAsia" w:ascii="楷体_GB2312" w:hAnsi="宋体" w:eastAsia="楷体_GB2312" w:cs="宋体"/>
          <w:b/>
          <w:bCs/>
          <w:color w:val="auto"/>
          <w:sz w:val="28"/>
          <w:szCs w:val="28"/>
          <w:highlight w:val="none"/>
          <w:lang w:val="zh-TW"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ZJLD-C2025020</w:t>
      </w:r>
    </w:p>
    <w:p w14:paraId="2AC87A20">
      <w:pPr>
        <w:pStyle w:val="624"/>
        <w:rPr>
          <w:rFonts w:hint="eastAsia"/>
          <w:lang w:val="en-US" w:eastAsia="zh-CN"/>
        </w:rPr>
      </w:pPr>
    </w:p>
    <w:p w14:paraId="4685BCEE">
      <w:pPr>
        <w:spacing w:line="840" w:lineRule="auto"/>
        <w:jc w:val="center"/>
        <w:rPr>
          <w:rFonts w:hint="eastAsia" w:ascii="仿宋" w:hAnsi="仿宋" w:eastAsia="仿宋" w:cs="仿宋"/>
          <w:b/>
          <w:color w:val="000000"/>
          <w:sz w:val="30"/>
        </w:rPr>
      </w:pPr>
    </w:p>
    <w:p w14:paraId="6F66BEA6">
      <w:pPr>
        <w:spacing w:line="480" w:lineRule="auto"/>
        <w:ind w:firstLine="1506" w:firstLineChars="500"/>
        <w:jc w:val="both"/>
        <w:rPr>
          <w:rFonts w:hint="eastAsia" w:ascii="仿宋" w:hAnsi="仿宋" w:eastAsia="仿宋" w:cs="仿宋"/>
        </w:rPr>
      </w:pPr>
      <w:r>
        <w:rPr>
          <w:rFonts w:hint="eastAsia" w:ascii="仿宋" w:hAnsi="仿宋" w:eastAsia="仿宋" w:cs="仿宋"/>
          <w:b/>
          <w:color w:val="000000"/>
          <w:sz w:val="30"/>
        </w:rPr>
        <w:t>采</w:t>
      </w:r>
      <w:r>
        <w:rPr>
          <w:rFonts w:hint="eastAsia" w:ascii="仿宋" w:hAnsi="仿宋" w:eastAsia="仿宋" w:cs="仿宋"/>
          <w:b/>
          <w:color w:val="000000"/>
          <w:sz w:val="30"/>
          <w:lang w:val="en-US" w:eastAsia="zh-CN"/>
        </w:rPr>
        <w:t xml:space="preserve">   </w:t>
      </w:r>
      <w:r>
        <w:rPr>
          <w:rFonts w:hint="eastAsia" w:ascii="仿宋" w:hAnsi="仿宋" w:eastAsia="仿宋" w:cs="仿宋"/>
          <w:b/>
          <w:color w:val="000000"/>
          <w:sz w:val="30"/>
        </w:rPr>
        <w:t>购</w:t>
      </w:r>
      <w:r>
        <w:rPr>
          <w:rFonts w:hint="eastAsia" w:ascii="仿宋" w:hAnsi="仿宋" w:eastAsia="仿宋" w:cs="仿宋"/>
          <w:b/>
          <w:color w:val="000000"/>
          <w:sz w:val="30"/>
          <w:lang w:val="en-US" w:eastAsia="zh-CN"/>
        </w:rPr>
        <w:t xml:space="preserve">   </w:t>
      </w:r>
      <w:r>
        <w:rPr>
          <w:rFonts w:hint="eastAsia" w:ascii="仿宋" w:hAnsi="仿宋" w:eastAsia="仿宋" w:cs="仿宋"/>
          <w:b/>
          <w:color w:val="000000"/>
          <w:sz w:val="30"/>
        </w:rPr>
        <w:t>人：</w:t>
      </w:r>
      <w:r>
        <w:rPr>
          <w:rFonts w:hint="eastAsia" w:ascii="仿宋" w:hAnsi="仿宋" w:eastAsia="仿宋" w:cs="仿宋"/>
          <w:b/>
          <w:color w:val="000000"/>
          <w:sz w:val="30"/>
          <w:lang w:eastAsia="zh-CN"/>
        </w:rPr>
        <w:t>衢州市柯城区姜家山乡中心小学</w:t>
      </w:r>
    </w:p>
    <w:p w14:paraId="13A5B24A">
      <w:pPr>
        <w:spacing w:line="480" w:lineRule="auto"/>
        <w:ind w:firstLine="1506" w:firstLineChars="500"/>
        <w:jc w:val="both"/>
        <w:rPr>
          <w:rFonts w:hint="eastAsia" w:ascii="仿宋" w:hAnsi="仿宋" w:eastAsia="仿宋" w:cs="仿宋"/>
          <w:lang w:eastAsia="zh-CN"/>
        </w:rPr>
      </w:pPr>
      <w:r>
        <w:rPr>
          <w:rFonts w:hint="eastAsia" w:ascii="仿宋" w:hAnsi="仿宋" w:eastAsia="仿宋" w:cs="仿宋"/>
          <w:b/>
          <w:color w:val="000000"/>
          <w:sz w:val="30"/>
        </w:rPr>
        <w:t>采购代理单位：</w:t>
      </w:r>
      <w:r>
        <w:rPr>
          <w:rFonts w:hint="eastAsia" w:ascii="仿宋" w:hAnsi="仿宋" w:eastAsia="仿宋" w:cs="仿宋"/>
          <w:b/>
          <w:color w:val="000000"/>
          <w:sz w:val="30"/>
          <w:lang w:eastAsia="zh-CN"/>
        </w:rPr>
        <w:t>浙江联达工程项目管理有限公司</w:t>
      </w:r>
    </w:p>
    <w:p w14:paraId="41646298">
      <w:pPr>
        <w:spacing w:line="840" w:lineRule="auto"/>
        <w:jc w:val="center"/>
        <w:rPr>
          <w:rFonts w:hint="eastAsia" w:ascii="仿宋" w:hAnsi="仿宋" w:eastAsia="仿宋" w:cs="仿宋"/>
          <w:b/>
          <w:color w:val="000000"/>
          <w:sz w:val="30"/>
        </w:rPr>
        <w:sectPr>
          <w:headerReference r:id="rId3" w:type="first"/>
          <w:footerReference r:id="rId4" w:type="even"/>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b/>
          <w:color w:val="000000"/>
          <w:sz w:val="30"/>
        </w:rPr>
        <w:t>二○二</w:t>
      </w:r>
      <w:r>
        <w:rPr>
          <w:rFonts w:hint="eastAsia" w:ascii="仿宋" w:hAnsi="仿宋" w:eastAsia="仿宋" w:cs="仿宋"/>
          <w:b/>
          <w:color w:val="000000"/>
          <w:sz w:val="30"/>
          <w:lang w:val="en-US" w:eastAsia="zh-CN"/>
        </w:rPr>
        <w:t>五</w:t>
      </w:r>
      <w:r>
        <w:rPr>
          <w:rFonts w:hint="eastAsia" w:ascii="仿宋" w:hAnsi="仿宋" w:eastAsia="仿宋" w:cs="仿宋"/>
          <w:b/>
          <w:color w:val="000000"/>
          <w:sz w:val="30"/>
        </w:rPr>
        <w:t>年</w:t>
      </w:r>
      <w:r>
        <w:rPr>
          <w:rFonts w:hint="eastAsia" w:ascii="仿宋" w:hAnsi="仿宋" w:eastAsia="仿宋" w:cs="仿宋"/>
          <w:b/>
          <w:color w:val="000000"/>
          <w:sz w:val="30"/>
          <w:lang w:eastAsia="zh-CN"/>
        </w:rPr>
        <w:t>六</w:t>
      </w:r>
      <w:r>
        <w:rPr>
          <w:rFonts w:hint="eastAsia" w:ascii="仿宋" w:hAnsi="仿宋" w:eastAsia="仿宋" w:cs="仿宋"/>
          <w:b/>
          <w:color w:val="000000"/>
          <w:sz w:val="30"/>
        </w:rPr>
        <w:t>月</w:t>
      </w:r>
    </w:p>
    <w:p w14:paraId="19AFF8FB">
      <w:pPr>
        <w:pStyle w:val="54"/>
        <w:spacing w:before="24" w:beforeLines="10" w:line="360" w:lineRule="auto"/>
        <w:ind w:firstLine="281" w:firstLineChars="100"/>
        <w:jc w:val="left"/>
        <w:rPr>
          <w:rFonts w:hint="eastAsia" w:ascii="仿宋" w:hAnsi="仿宋" w:eastAsia="仿宋" w:cs="仿宋"/>
          <w:highlight w:val="none"/>
        </w:rPr>
      </w:pPr>
    </w:p>
    <w:p w14:paraId="2FF8E93C">
      <w:pPr>
        <w:pStyle w:val="54"/>
        <w:spacing w:before="24" w:beforeLines="10" w:line="360" w:lineRule="auto"/>
        <w:ind w:firstLine="361" w:firstLineChars="100"/>
        <w:jc w:val="center"/>
        <w:rPr>
          <w:rFonts w:hint="eastAsia" w:ascii="仿宋" w:hAnsi="仿宋" w:eastAsia="仿宋" w:cs="仿宋"/>
          <w:b/>
          <w:bCs/>
          <w:sz w:val="36"/>
          <w:highlight w:val="none"/>
        </w:rPr>
      </w:pPr>
      <w:r>
        <w:rPr>
          <w:rFonts w:hint="eastAsia" w:ascii="仿宋" w:hAnsi="仿宋" w:eastAsia="仿宋" w:cs="仿宋"/>
          <w:b/>
          <w:bCs/>
          <w:sz w:val="36"/>
          <w:highlight w:val="none"/>
        </w:rPr>
        <w:t>目  录</w:t>
      </w:r>
    </w:p>
    <w:p w14:paraId="31D34D5A">
      <w:pPr>
        <w:rPr>
          <w:rFonts w:hint="eastAsia" w:ascii="仿宋" w:hAnsi="仿宋" w:eastAsia="仿宋" w:cs="仿宋"/>
          <w:highlight w:val="none"/>
        </w:rPr>
      </w:pPr>
    </w:p>
    <w:p w14:paraId="7EB19A0D">
      <w:pPr>
        <w:pStyle w:val="62"/>
        <w:tabs>
          <w:tab w:val="right" w:leader="dot" w:pos="9026"/>
          <w:tab w:val="clear" w:pos="8364"/>
        </w:tabs>
        <w:rPr>
          <w:rFonts w:hint="eastAsia" w:ascii="仿宋" w:hAnsi="仿宋" w:eastAsia="仿宋" w:cs="仿宋"/>
          <w:sz w:val="24"/>
          <w:szCs w:val="24"/>
          <w:highlight w:val="none"/>
        </w:rPr>
      </w:pPr>
      <w:r>
        <w:rPr>
          <w:rFonts w:hint="eastAsia" w:ascii="仿宋" w:hAnsi="仿宋" w:eastAsia="仿宋" w:cs="仿宋"/>
          <w:b w:val="0"/>
          <w:sz w:val="24"/>
          <w:szCs w:val="24"/>
          <w:highlight w:val="none"/>
        </w:rPr>
        <w:fldChar w:fldCharType="begin"/>
      </w:r>
      <w:r>
        <w:rPr>
          <w:rFonts w:hint="eastAsia" w:ascii="仿宋" w:hAnsi="仿宋" w:eastAsia="仿宋" w:cs="仿宋"/>
          <w:b w:val="0"/>
          <w:sz w:val="24"/>
          <w:szCs w:val="24"/>
          <w:highlight w:val="none"/>
        </w:rPr>
        <w:instrText xml:space="preserve">TOC \o "1-2" \h \z \u</w:instrText>
      </w:r>
      <w:r>
        <w:rPr>
          <w:rFonts w:hint="eastAsia" w:ascii="仿宋" w:hAnsi="仿宋" w:eastAsia="仿宋" w:cs="仿宋"/>
          <w:b w:val="0"/>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"_Toc32624"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第一部分  招标公告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_Toc32624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526C131">
      <w:pPr>
        <w:pStyle w:val="62"/>
        <w:tabs>
          <w:tab w:val="right" w:leader="dot" w:pos="9026"/>
          <w:tab w:val="clear" w:pos="8364"/>
        </w:tabs>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"_Toc31506"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第二部分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fldChar w:fldCharType="end"/>
      </w:r>
    </w:p>
    <w:p w14:paraId="28051A89">
      <w:pPr>
        <w:pStyle w:val="62"/>
        <w:tabs>
          <w:tab w:val="right" w:leader="dot" w:pos="9026"/>
          <w:tab w:val="clear" w:pos="8364"/>
        </w:tabs>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"_Toc4895"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第三部分  采购内容及</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需求</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fldChar w:fldCharType="end"/>
      </w:r>
    </w:p>
    <w:p w14:paraId="4D4A4DED">
      <w:pPr>
        <w:pStyle w:val="62"/>
        <w:tabs>
          <w:tab w:val="right" w:leader="dot" w:pos="9026"/>
          <w:tab w:val="clear" w:pos="8364"/>
        </w:tabs>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"_Toc1203"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 xml:space="preserve">第四部分  </w:t>
      </w:r>
      <w:r>
        <w:rPr>
          <w:rFonts w:hint="eastAsia" w:ascii="仿宋" w:hAnsi="仿宋" w:eastAsia="仿宋" w:cs="仿宋"/>
          <w:sz w:val="24"/>
          <w:szCs w:val="24"/>
          <w:highlight w:val="none"/>
          <w:lang w:eastAsia="zh-CN"/>
        </w:rPr>
        <w:t>政府采购</w:t>
      </w:r>
      <w:r>
        <w:rPr>
          <w:rFonts w:hint="eastAsia" w:ascii="仿宋" w:hAnsi="仿宋" w:eastAsia="仿宋" w:cs="仿宋"/>
          <w:sz w:val="24"/>
          <w:szCs w:val="24"/>
          <w:highlight w:val="none"/>
        </w:rPr>
        <w:t>合同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37</w:t>
      </w:r>
      <w:r>
        <w:rPr>
          <w:rFonts w:hint="eastAsia" w:ascii="仿宋" w:hAnsi="仿宋" w:eastAsia="仿宋" w:cs="仿宋"/>
          <w:sz w:val="24"/>
          <w:szCs w:val="24"/>
          <w:highlight w:val="none"/>
        </w:rPr>
        <w:fldChar w:fldCharType="end"/>
      </w:r>
    </w:p>
    <w:p w14:paraId="10A607EE">
      <w:pPr>
        <w:pStyle w:val="76"/>
        <w:tabs>
          <w:tab w:val="right" w:leader="dot" w:pos="9026"/>
          <w:tab w:val="clear" w:pos="8364"/>
        </w:tabs>
        <w:ind w:left="0"/>
        <w:rPr>
          <w:rFonts w:hint="default" w:ascii="仿宋" w:hAnsi="仿宋" w:eastAsia="仿宋" w:cs="仿宋"/>
          <w:szCs w:val="24"/>
          <w:highlight w:val="none"/>
          <w:lang w:val="en-US" w:eastAsia="zh-CN"/>
        </w:rPr>
      </w:pPr>
      <w:r>
        <w:rPr>
          <w:rFonts w:hint="eastAsia" w:ascii="仿宋" w:hAnsi="仿宋" w:eastAsia="仿宋" w:cs="仿宋"/>
          <w:caps/>
          <w:smallCaps w:val="0"/>
          <w:szCs w:val="24"/>
          <w:highlight w:val="none"/>
        </w:rPr>
        <w:t xml:space="preserve">第五部分  </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"_Toc2553" </w:instrText>
      </w:r>
      <w:r>
        <w:rPr>
          <w:rFonts w:hint="eastAsia" w:ascii="仿宋" w:hAnsi="仿宋" w:eastAsia="仿宋" w:cs="仿宋"/>
          <w:highlight w:val="none"/>
        </w:rPr>
        <w:fldChar w:fldCharType="separate"/>
      </w:r>
      <w:r>
        <w:rPr>
          <w:rFonts w:hint="eastAsia" w:ascii="仿宋" w:hAnsi="仿宋" w:eastAsia="仿宋" w:cs="仿宋"/>
          <w:caps/>
          <w:smallCaps w:val="0"/>
          <w:szCs w:val="24"/>
          <w:highlight w:val="none"/>
        </w:rPr>
        <w:t>投标文件部分格式文件</w:t>
      </w:r>
      <w:r>
        <w:rPr>
          <w:rFonts w:hint="eastAsia" w:ascii="仿宋" w:hAnsi="仿宋" w:eastAsia="仿宋" w:cs="仿宋"/>
          <w:caps/>
          <w:smallCaps w:val="0"/>
          <w:szCs w:val="24"/>
          <w:highlight w:val="none"/>
        </w:rPr>
        <w:tab/>
      </w:r>
      <w:r>
        <w:rPr>
          <w:rFonts w:hint="eastAsia" w:ascii="仿宋" w:hAnsi="仿宋" w:eastAsia="仿宋" w:cs="仿宋"/>
          <w:caps/>
          <w:smallCaps w:val="0"/>
          <w:szCs w:val="24"/>
          <w:highlight w:val="none"/>
        </w:rPr>
        <w:fldChar w:fldCharType="end"/>
      </w:r>
      <w:r>
        <w:rPr>
          <w:rFonts w:hint="eastAsia" w:cs="仿宋"/>
          <w:caps/>
          <w:smallCaps w:val="0"/>
          <w:szCs w:val="24"/>
          <w:highlight w:val="none"/>
          <w:lang w:val="en-US" w:eastAsia="zh-CN"/>
        </w:rPr>
        <w:t>45</w:t>
      </w:r>
    </w:p>
    <w:p w14:paraId="05FF7C18">
      <w:pPr>
        <w:pStyle w:val="62"/>
        <w:tabs>
          <w:tab w:val="right" w:leader="dot" w:pos="9026"/>
          <w:tab w:val="clear" w:pos="8364"/>
        </w:tabs>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"_Toc15453"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第六部分  评分办法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64</w:t>
      </w:r>
    </w:p>
    <w:p w14:paraId="4F067067">
      <w:pPr>
        <w:rPr>
          <w:rFonts w:hint="eastAsia" w:ascii="仿宋" w:hAnsi="仿宋" w:eastAsia="仿宋" w:cs="仿宋"/>
          <w:sz w:val="24"/>
          <w:szCs w:val="24"/>
          <w:highlight w:val="none"/>
        </w:rPr>
      </w:pPr>
    </w:p>
    <w:p w14:paraId="27C1E544">
      <w:pPr>
        <w:tabs>
          <w:tab w:val="left" w:pos="1806"/>
        </w:tabs>
        <w:jc w:val="left"/>
        <w:rPr>
          <w:rFonts w:hint="eastAsia" w:ascii="仿宋" w:hAnsi="仿宋" w:eastAsia="仿宋" w:cs="仿宋"/>
          <w:highlight w:val="none"/>
        </w:rPr>
      </w:pPr>
      <w:r>
        <w:rPr>
          <w:rFonts w:hint="eastAsia" w:ascii="仿宋" w:hAnsi="仿宋" w:eastAsia="仿宋" w:cs="仿宋"/>
          <w:highlight w:val="none"/>
        </w:rPr>
        <w:tab/>
      </w:r>
    </w:p>
    <w:p w14:paraId="42797FB1">
      <w:pPr>
        <w:pStyle w:val="48"/>
        <w:pageBreakBefore/>
        <w:adjustRightInd w:val="0"/>
        <w:snapToGrid w:val="0"/>
        <w:spacing w:line="360" w:lineRule="auto"/>
        <w:jc w:val="center"/>
        <w:outlineLvl w:val="0"/>
        <w:rPr>
          <w:rFonts w:hint="eastAsia" w:ascii="仿宋" w:hAnsi="仿宋" w:eastAsia="仿宋" w:cs="仿宋"/>
          <w:b/>
          <w:sz w:val="36"/>
          <w:highlight w:val="none"/>
        </w:rPr>
      </w:pPr>
      <w:r>
        <w:rPr>
          <w:rFonts w:hint="eastAsia" w:ascii="仿宋" w:hAnsi="仿宋" w:eastAsia="仿宋" w:cs="仿宋"/>
          <w:sz w:val="24"/>
          <w:szCs w:val="24"/>
          <w:highlight w:val="none"/>
        </w:rPr>
        <w:fldChar w:fldCharType="end"/>
      </w:r>
      <w:bookmarkStart w:id="1" w:name="_Toc32624"/>
      <w:r>
        <w:rPr>
          <w:rFonts w:hint="eastAsia" w:ascii="仿宋" w:hAnsi="仿宋" w:eastAsia="仿宋" w:cs="仿宋"/>
          <w:b/>
          <w:sz w:val="36"/>
          <w:highlight w:val="none"/>
        </w:rPr>
        <w:t xml:space="preserve"> 第一部分  招标公告</w:t>
      </w:r>
    </w:p>
    <w:tbl>
      <w:tblPr>
        <w:tblStyle w:val="91"/>
        <w:tblW w:w="988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14:paraId="0225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885" w:type="dxa"/>
          </w:tcPr>
          <w:p w14:paraId="1E912211">
            <w:pPr>
              <w:pStyle w:val="83"/>
              <w:spacing w:before="0" w:beforeAutospacing="0" w:after="0" w:afterAutospacing="0" w:line="420" w:lineRule="exact"/>
              <w:ind w:firstLine="480" w:firstLineChars="200"/>
              <w:rPr>
                <w:rFonts w:hint="eastAsia" w:ascii="仿宋" w:hAnsi="仿宋" w:eastAsia="仿宋" w:cs="仿宋"/>
                <w:szCs w:val="24"/>
                <w:highlight w:val="none"/>
              </w:rPr>
            </w:pPr>
            <w:r>
              <w:rPr>
                <w:rFonts w:hint="eastAsia" w:ascii="仿宋" w:hAnsi="仿宋" w:eastAsia="仿宋" w:cs="仿宋"/>
                <w:color w:val="000000"/>
                <w:szCs w:val="24"/>
                <w:highlight w:val="none"/>
              </w:rPr>
              <w:t>项目概况</w:t>
            </w:r>
          </w:p>
          <w:p w14:paraId="10C21133">
            <w:pPr>
              <w:pStyle w:val="83"/>
              <w:spacing w:before="0" w:beforeAutospacing="0" w:after="0" w:afterAutospacing="0" w:line="420" w:lineRule="exact"/>
              <w:ind w:firstLine="480" w:firstLineChars="200"/>
              <w:rPr>
                <w:rFonts w:hint="eastAsia" w:ascii="仿宋" w:hAnsi="仿宋" w:eastAsia="仿宋" w:cs="仿宋"/>
                <w:color w:val="000000"/>
                <w:szCs w:val="24"/>
                <w:highlight w:val="none"/>
              </w:rPr>
            </w:pPr>
            <w:r>
              <w:rPr>
                <w:rFonts w:hint="eastAsia" w:ascii="仿宋" w:hAnsi="仿宋" w:eastAsia="仿宋" w:cs="仿宋"/>
                <w:szCs w:val="24"/>
                <w:highlight w:val="none"/>
                <w:u w:val="single"/>
                <w:lang w:eastAsia="zh-CN"/>
              </w:rPr>
              <w:t>衢州市柯城区姜家山乡中心小学IPV6新一代校园网络改造</w:t>
            </w:r>
            <w:r>
              <w:rPr>
                <w:rFonts w:hint="eastAsia" w:ascii="仿宋" w:hAnsi="仿宋" w:eastAsia="仿宋" w:cs="仿宋"/>
                <w:szCs w:val="24"/>
                <w:highlight w:val="none"/>
              </w:rPr>
              <w:t>的潜在</w:t>
            </w:r>
            <w:r>
              <w:rPr>
                <w:rFonts w:hint="eastAsia" w:ascii="仿宋" w:hAnsi="仿宋" w:eastAsia="仿宋" w:cs="仿宋"/>
                <w:color w:val="000000"/>
                <w:szCs w:val="24"/>
                <w:highlight w:val="none"/>
              </w:rPr>
              <w:t>投标人应在</w:t>
            </w:r>
            <w:r>
              <w:rPr>
                <w:rFonts w:hint="eastAsia" w:ascii="仿宋" w:hAnsi="仿宋" w:eastAsia="仿宋" w:cs="仿宋"/>
                <w:color w:val="000000"/>
                <w:szCs w:val="24"/>
                <w:highlight w:val="none"/>
                <w:u w:val="single"/>
              </w:rPr>
              <w:t>http://www.zcygov.cn/</w:t>
            </w:r>
            <w:r>
              <w:rPr>
                <w:rFonts w:hint="eastAsia" w:ascii="仿宋" w:hAnsi="仿宋" w:eastAsia="仿宋" w:cs="仿宋"/>
                <w:color w:val="000000"/>
                <w:szCs w:val="24"/>
                <w:highlight w:val="none"/>
                <w:u w:val="single"/>
                <w:lang w:val="en-US" w:eastAsia="zh-CN"/>
              </w:rPr>
              <w:t xml:space="preserve"> </w:t>
            </w:r>
            <w:r>
              <w:rPr>
                <w:rFonts w:hint="eastAsia" w:ascii="仿宋" w:hAnsi="仿宋" w:eastAsia="仿宋" w:cs="仿宋"/>
                <w:color w:val="000000"/>
                <w:szCs w:val="24"/>
                <w:highlight w:val="none"/>
              </w:rPr>
              <w:t>获取（下载）招标文件，并于</w:t>
            </w:r>
            <w:r>
              <w:rPr>
                <w:rFonts w:hint="eastAsia" w:ascii="仿宋" w:hAnsi="仿宋" w:eastAsia="仿宋" w:cs="仿宋"/>
                <w:color w:val="000000"/>
                <w:szCs w:val="24"/>
                <w:highlight w:val="none"/>
                <w:u w:val="single"/>
                <w:lang w:eastAsia="zh-CN"/>
              </w:rPr>
              <w:t>2025</w:t>
            </w:r>
            <w:r>
              <w:rPr>
                <w:rFonts w:hint="eastAsia" w:ascii="仿宋" w:hAnsi="仿宋" w:eastAsia="仿宋" w:cs="仿宋"/>
                <w:color w:val="000000"/>
                <w:szCs w:val="24"/>
                <w:highlight w:val="none"/>
                <w:u w:val="single"/>
              </w:rPr>
              <w:t>年</w:t>
            </w:r>
            <w:r>
              <w:rPr>
                <w:rFonts w:hint="eastAsia" w:ascii="仿宋" w:hAnsi="仿宋" w:eastAsia="仿宋" w:cs="仿宋"/>
                <w:color w:val="000000"/>
                <w:szCs w:val="24"/>
                <w:highlight w:val="none"/>
                <w:u w:val="single"/>
                <w:lang w:val="en-US" w:eastAsia="zh-CN"/>
              </w:rPr>
              <w:t xml:space="preserve"> 7 月 16 日 14 : 00 :00</w:t>
            </w:r>
            <w:r>
              <w:rPr>
                <w:rFonts w:hint="eastAsia" w:ascii="仿宋" w:hAnsi="仿宋" w:eastAsia="仿宋" w:cs="仿宋"/>
                <w:color w:val="000000"/>
                <w:szCs w:val="24"/>
                <w:highlight w:val="none"/>
                <w:u w:val="single"/>
              </w:rPr>
              <w:t>秒</w:t>
            </w:r>
            <w:r>
              <w:rPr>
                <w:rFonts w:hint="eastAsia" w:ascii="仿宋" w:hAnsi="仿宋" w:eastAsia="仿宋" w:cs="仿宋"/>
                <w:color w:val="000000"/>
                <w:szCs w:val="24"/>
                <w:highlight w:val="none"/>
              </w:rPr>
              <w:t>（北京时间）前递交（上传）投标文件。</w:t>
            </w:r>
          </w:p>
        </w:tc>
      </w:tr>
    </w:tbl>
    <w:p w14:paraId="7A9A10AA">
      <w:pPr>
        <w:keepNext w:val="0"/>
        <w:keepLines w:val="0"/>
        <w:pageBreakBefore w:val="0"/>
        <w:widowControl w:val="0"/>
        <w:kinsoku/>
        <w:wordWrap/>
        <w:overflowPunct/>
        <w:topLinePunct w:val="0"/>
        <w:bidi w:val="0"/>
        <w:snapToGrid w:val="0"/>
        <w:spacing w:line="440" w:lineRule="exact"/>
        <w:ind w:right="0"/>
        <w:jc w:val="left"/>
        <w:textAlignment w:val="auto"/>
        <w:outlineLvl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p>
    <w:p w14:paraId="7C81C2E3">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rPr>
        <w:t>项目编号：</w:t>
      </w:r>
      <w:r>
        <w:rPr>
          <w:rFonts w:hint="eastAsia" w:ascii="仿宋" w:hAnsi="仿宋" w:eastAsia="仿宋" w:cs="仿宋"/>
          <w:i w:val="0"/>
          <w:caps w:val="0"/>
          <w:color w:val="auto"/>
          <w:spacing w:val="0"/>
          <w:sz w:val="24"/>
          <w:szCs w:val="24"/>
          <w:highlight w:val="none"/>
          <w:lang w:eastAsia="zh-CN"/>
        </w:rPr>
        <w:t>ZJLD-C2025020</w:t>
      </w:r>
    </w:p>
    <w:p w14:paraId="7FE89CB5">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i w:val="0"/>
          <w:caps w:val="0"/>
          <w:color w:val="auto"/>
          <w:spacing w:val="0"/>
          <w:sz w:val="24"/>
          <w:szCs w:val="24"/>
          <w:highlight w:val="none"/>
          <w:lang w:eastAsia="zh-CN"/>
        </w:rPr>
      </w:pPr>
      <w:r>
        <w:rPr>
          <w:rFonts w:hint="eastAsia" w:ascii="仿宋" w:hAnsi="仿宋" w:eastAsia="仿宋" w:cs="仿宋"/>
          <w:i w:val="0"/>
          <w:caps w:val="0"/>
          <w:color w:val="auto"/>
          <w:spacing w:val="0"/>
          <w:sz w:val="24"/>
          <w:szCs w:val="24"/>
          <w:highlight w:val="none"/>
        </w:rPr>
        <w:t>项目名称：</w:t>
      </w:r>
      <w:r>
        <w:rPr>
          <w:rFonts w:hint="eastAsia" w:ascii="仿宋" w:hAnsi="仿宋" w:eastAsia="仿宋" w:cs="仿宋"/>
          <w:i w:val="0"/>
          <w:caps w:val="0"/>
          <w:color w:val="auto"/>
          <w:spacing w:val="0"/>
          <w:sz w:val="24"/>
          <w:szCs w:val="24"/>
          <w:highlight w:val="none"/>
          <w:lang w:eastAsia="zh-CN"/>
        </w:rPr>
        <w:t>衢州市柯城区姜家山乡中心小学IPV6新一代校园网络改造</w:t>
      </w:r>
    </w:p>
    <w:p w14:paraId="70A09F07">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rPr>
        <w:t>预算金额（元）：</w:t>
      </w:r>
      <w:r>
        <w:rPr>
          <w:rFonts w:hint="eastAsia" w:ascii="仿宋" w:hAnsi="仿宋" w:eastAsia="仿宋" w:cs="仿宋"/>
          <w:i w:val="0"/>
          <w:caps w:val="0"/>
          <w:color w:val="auto"/>
          <w:spacing w:val="0"/>
          <w:sz w:val="24"/>
          <w:szCs w:val="24"/>
          <w:highlight w:val="none"/>
          <w:lang w:val="en-US" w:eastAsia="zh-CN"/>
        </w:rPr>
        <w:t xml:space="preserve">320139 </w:t>
      </w:r>
    </w:p>
    <w:p w14:paraId="3AFA322A">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rPr>
        <w:t>最高限价（元）：</w:t>
      </w:r>
      <w:r>
        <w:rPr>
          <w:rFonts w:hint="eastAsia" w:ascii="仿宋" w:hAnsi="仿宋" w:eastAsia="仿宋" w:cs="仿宋"/>
          <w:i w:val="0"/>
          <w:caps w:val="0"/>
          <w:color w:val="auto"/>
          <w:spacing w:val="0"/>
          <w:sz w:val="24"/>
          <w:szCs w:val="24"/>
          <w:highlight w:val="none"/>
          <w:lang w:val="en-US" w:eastAsia="zh-CN"/>
        </w:rPr>
        <w:t xml:space="preserve">294528 </w:t>
      </w:r>
    </w:p>
    <w:p w14:paraId="6CCA4C11">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rPr>
        <w:t>采购需</w:t>
      </w:r>
      <w:r>
        <w:rPr>
          <w:rFonts w:hint="eastAsia" w:ascii="仿宋" w:hAnsi="仿宋" w:eastAsia="仿宋" w:cs="仿宋"/>
          <w:i w:val="0"/>
          <w:caps w:val="0"/>
          <w:color w:val="auto"/>
          <w:spacing w:val="0"/>
          <w:sz w:val="24"/>
          <w:szCs w:val="24"/>
          <w:highlight w:val="none"/>
          <w:lang w:val="en-US" w:eastAsia="zh-CN"/>
        </w:rPr>
        <w:t>求：</w:t>
      </w:r>
    </w:p>
    <w:p w14:paraId="2AC7AEA6">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lang w:val="en-US" w:eastAsia="zh-CN"/>
        </w:rPr>
        <w:t>标项一:</w:t>
      </w:r>
    </w:p>
    <w:p w14:paraId="1B9CD377">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i w:val="0"/>
          <w:caps w:val="0"/>
          <w:color w:val="auto"/>
          <w:spacing w:val="0"/>
          <w:sz w:val="24"/>
          <w:szCs w:val="24"/>
          <w:highlight w:val="none"/>
          <w:lang w:val="en-US" w:eastAsia="zh-CN"/>
        </w:rPr>
        <w:t>标项</w:t>
      </w:r>
      <w:r>
        <w:rPr>
          <w:rFonts w:hint="eastAsia" w:ascii="仿宋" w:hAnsi="仿宋" w:eastAsia="仿宋" w:cs="仿宋"/>
          <w:color w:val="auto"/>
          <w:sz w:val="24"/>
          <w:szCs w:val="22"/>
          <w:highlight w:val="none"/>
          <w:lang w:val="en-US" w:eastAsia="zh-CN"/>
        </w:rPr>
        <w:t>名称:</w:t>
      </w:r>
      <w:r>
        <w:rPr>
          <w:rFonts w:hint="eastAsia" w:ascii="仿宋" w:hAnsi="仿宋" w:eastAsia="仿宋" w:cs="仿宋"/>
          <w:i w:val="0"/>
          <w:caps w:val="0"/>
          <w:color w:val="auto"/>
          <w:spacing w:val="0"/>
          <w:sz w:val="24"/>
          <w:szCs w:val="24"/>
          <w:highlight w:val="none"/>
          <w:lang w:eastAsia="zh-CN"/>
        </w:rPr>
        <w:t>衢州市柯城区姜家山乡中心小学IPV6新一代校园网络改造</w:t>
      </w:r>
      <w:r>
        <w:rPr>
          <w:rFonts w:hint="eastAsia" w:ascii="仿宋" w:hAnsi="仿宋" w:eastAsia="仿宋" w:cs="仿宋"/>
          <w:color w:val="auto"/>
          <w:sz w:val="24"/>
          <w:szCs w:val="22"/>
          <w:highlight w:val="none"/>
          <w:lang w:val="en-US" w:eastAsia="zh-CN"/>
        </w:rPr>
        <w:t> </w:t>
      </w:r>
    </w:p>
    <w:p w14:paraId="1FFA8D3B">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数量:1  </w:t>
      </w:r>
    </w:p>
    <w:p w14:paraId="41DA6EAE">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预算金额（元）：320139</w:t>
      </w:r>
    </w:p>
    <w:p w14:paraId="5F07E45B">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简要规格描述或项目基本概况介绍、用途：衢州市柯城区姜家山乡中心小学IPV6新一代校园网络改造，</w:t>
      </w:r>
      <w:r>
        <w:rPr>
          <w:rFonts w:hint="eastAsia" w:ascii="仿宋" w:hAnsi="仿宋" w:eastAsia="仿宋" w:cs="仿宋"/>
          <w:color w:val="auto"/>
          <w:sz w:val="24"/>
          <w:szCs w:val="22"/>
          <w:highlight w:val="none"/>
        </w:rPr>
        <w:t>详见采购文件《第三部分 项目技术及服务要求》</w:t>
      </w:r>
      <w:r>
        <w:rPr>
          <w:rFonts w:hint="eastAsia" w:ascii="仿宋" w:hAnsi="仿宋" w:eastAsia="仿宋" w:cs="仿宋"/>
          <w:color w:val="auto"/>
          <w:sz w:val="24"/>
          <w:szCs w:val="22"/>
          <w:highlight w:val="none"/>
          <w:lang w:eastAsia="zh-CN"/>
        </w:rPr>
        <w:t>。</w:t>
      </w:r>
    </w:p>
    <w:p w14:paraId="145CB376">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合同履约期</w:t>
      </w:r>
      <w:r>
        <w:rPr>
          <w:rFonts w:hint="eastAsia" w:ascii="仿宋" w:hAnsi="仿宋" w:eastAsia="仿宋" w:cs="仿宋"/>
          <w:color w:val="auto"/>
          <w:sz w:val="24"/>
          <w:szCs w:val="22"/>
          <w:highlight w:val="none"/>
          <w:lang w:val="en-US" w:eastAsia="zh-CN"/>
        </w:rPr>
        <w:t>限：合同签订之日起30天内完成供货、安装调试及验收。</w:t>
      </w:r>
    </w:p>
    <w:p w14:paraId="03220BE3">
      <w:pPr>
        <w:keepNext w:val="0"/>
        <w:keepLines w:val="0"/>
        <w:pageBreakBefore w:val="0"/>
        <w:widowControl w:val="0"/>
        <w:kinsoku/>
        <w:wordWrap/>
        <w:overflowPunct/>
        <w:topLinePunct w:val="0"/>
        <w:autoSpaceDE w:val="0"/>
        <w:autoSpaceDN w:val="0"/>
        <w:bidi w:val="0"/>
        <w:adjustRightInd w:val="0"/>
        <w:spacing w:line="440" w:lineRule="exact"/>
        <w:ind w:right="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二、申请人的资格要求：</w:t>
      </w:r>
    </w:p>
    <w:p w14:paraId="7C83B9AA">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1．基本条件：</w:t>
      </w:r>
    </w:p>
    <w:p w14:paraId="173665A6">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（1）符合《中华人民共和国政府采购法》第二十二条规定的合格投标人。</w:t>
      </w:r>
    </w:p>
    <w:p w14:paraId="479AF492">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（2）投标人未被列入失信被执行人名单、重大税收违法案件当事人名单、政府采购严重违法失信行为记录名单，信用信息以信用中国网站（www.creditchina.gov.cn）、中国政府采购网（www.ccgp.gov.cn）公布为准。</w:t>
      </w:r>
    </w:p>
    <w:p w14:paraId="5C436546">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（3）单位负责人为同一人或者存在直接控股、管理关系的不同投标人，不得参加同一合同项下的政府采购活动</w:t>
      </w:r>
    </w:p>
    <w:p w14:paraId="7A87B1C3">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）落实政府采购政策需满足的资格要求：</w:t>
      </w:r>
      <w:r>
        <w:rPr>
          <w:rFonts w:hint="eastAsia" w:ascii="仿宋" w:hAnsi="仿宋" w:eastAsia="仿宋" w:cs="仿宋"/>
          <w:sz w:val="24"/>
          <w:szCs w:val="24"/>
          <w:highlight w:val="none"/>
          <w:lang w:eastAsia="zh-CN"/>
        </w:rPr>
        <w:t>无。</w:t>
      </w:r>
    </w:p>
    <w:p w14:paraId="4BA7BF3D">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本项目的特定资格要求：</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lang w:val="en-US" w:eastAsia="zh-CN"/>
        </w:rPr>
        <w:t>。</w:t>
      </w:r>
    </w:p>
    <w:p w14:paraId="0850953F">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.本项目不接受联合体投标。</w:t>
      </w:r>
    </w:p>
    <w:p w14:paraId="72448416">
      <w:pPr>
        <w:pStyle w:val="5"/>
        <w:pageBreakBefore w:val="0"/>
        <w:kinsoku/>
        <w:wordWrap/>
        <w:overflowPunct/>
        <w:topLinePunct w:val="0"/>
        <w:bidi w:val="0"/>
        <w:adjustRightInd w:val="0"/>
        <w:snapToGrid w:val="0"/>
        <w:spacing w:line="440" w:lineRule="exact"/>
        <w:ind w:left="0" w:firstLine="0"/>
        <w:jc w:val="both"/>
        <w:textAlignment w:val="auto"/>
        <w:rPr>
          <w:rFonts w:hint="eastAsia" w:ascii="仿宋" w:hAnsi="仿宋" w:eastAsia="仿宋" w:cs="仿宋"/>
          <w:b/>
          <w:bCs/>
          <w:sz w:val="24"/>
          <w:szCs w:val="24"/>
          <w:highlight w:val="none"/>
        </w:rPr>
      </w:pPr>
      <w:bookmarkStart w:id="2" w:name="_Toc35393792"/>
      <w:bookmarkStart w:id="3" w:name="_Toc35393623"/>
      <w:r>
        <w:rPr>
          <w:rFonts w:hint="eastAsia" w:ascii="仿宋" w:hAnsi="仿宋" w:eastAsia="仿宋" w:cs="仿宋"/>
          <w:b/>
          <w:bCs/>
          <w:sz w:val="24"/>
          <w:szCs w:val="24"/>
          <w:highlight w:val="none"/>
        </w:rPr>
        <w:t>三、获取招标文件</w:t>
      </w:r>
      <w:bookmarkEnd w:id="2"/>
      <w:bookmarkEnd w:id="3"/>
    </w:p>
    <w:p w14:paraId="3B6C6249">
      <w:pPr>
        <w:pStyle w:val="83"/>
        <w:pageBreakBefore w:val="0"/>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rPr>
        <w:t>时间：/至</w:t>
      </w:r>
      <w:r>
        <w:rPr>
          <w:rFonts w:hint="eastAsia" w:ascii="仿宋" w:hAnsi="仿宋" w:eastAsia="仿宋" w:cs="仿宋"/>
          <w:bCs/>
          <w:szCs w:val="24"/>
          <w:highlight w:val="none"/>
          <w:lang w:val="zh-CN"/>
        </w:rPr>
        <w:t>2025年</w:t>
      </w:r>
      <w:r>
        <w:rPr>
          <w:rFonts w:hint="eastAsia" w:ascii="仿宋" w:hAnsi="仿宋" w:eastAsia="仿宋" w:cs="仿宋"/>
          <w:bCs/>
          <w:szCs w:val="24"/>
          <w:highlight w:val="none"/>
          <w:lang w:val="en-US" w:eastAsia="zh-CN"/>
        </w:rPr>
        <w:t>7月16日</w:t>
      </w:r>
      <w:r>
        <w:rPr>
          <w:rFonts w:hint="eastAsia" w:ascii="仿宋" w:hAnsi="仿宋" w:eastAsia="仿宋" w:cs="仿宋"/>
          <w:bCs/>
          <w:szCs w:val="24"/>
          <w:highlight w:val="none"/>
        </w:rPr>
        <w:t>，每天上午00:00至12:00 ，下午12:00至23:59（北京时间，线上获取法定节假日均可，线下获取文件法定节假日除外）</w:t>
      </w:r>
    </w:p>
    <w:p w14:paraId="30967391">
      <w:pPr>
        <w:pStyle w:val="83"/>
        <w:pageBreakBefore w:val="0"/>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rPr>
        <w:t xml:space="preserve">地点（网址）：政采云平台（http://zfcg.czt.zj.gov.cn） </w:t>
      </w:r>
    </w:p>
    <w:p w14:paraId="7C6E2947">
      <w:pPr>
        <w:pStyle w:val="83"/>
        <w:pageBreakBefore w:val="0"/>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2CF643CF">
      <w:pPr>
        <w:pStyle w:val="83"/>
        <w:pageBreakBefore w:val="0"/>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rPr>
        <w:t>售价（元）：0</w:t>
      </w:r>
    </w:p>
    <w:p w14:paraId="0DBAB576">
      <w:pPr>
        <w:pageBreakBefore w:val="0"/>
        <w:kinsoku/>
        <w:wordWrap/>
        <w:overflowPunct/>
        <w:topLinePunct w:val="0"/>
        <w:bidi w:val="0"/>
        <w:snapToGrid w:val="0"/>
        <w:spacing w:line="440" w:lineRule="exact"/>
        <w:textAlignment w:val="auto"/>
        <w:rPr>
          <w:rFonts w:hint="eastAsia" w:ascii="仿宋" w:hAnsi="仿宋" w:eastAsia="仿宋" w:cs="仿宋"/>
          <w:b/>
          <w:bCs/>
          <w:color w:val="000000"/>
          <w:sz w:val="24"/>
          <w:szCs w:val="24"/>
          <w:highlight w:val="none"/>
        </w:rPr>
      </w:pPr>
      <w:bookmarkStart w:id="4" w:name="_Toc28359007"/>
      <w:bookmarkStart w:id="5" w:name="_Toc35393625"/>
      <w:bookmarkStart w:id="6" w:name="_Toc35393794"/>
      <w:bookmarkStart w:id="7" w:name="_Toc28359084"/>
      <w:r>
        <w:rPr>
          <w:rFonts w:hint="eastAsia" w:ascii="仿宋" w:hAnsi="仿宋" w:eastAsia="仿宋" w:cs="仿宋"/>
          <w:b/>
          <w:bCs/>
          <w:color w:val="000000"/>
          <w:sz w:val="24"/>
          <w:szCs w:val="24"/>
          <w:highlight w:val="none"/>
        </w:rPr>
        <w:t>四、提交投标文件截止时间、开标时间和地点</w:t>
      </w:r>
    </w:p>
    <w:p w14:paraId="42A2A7E0">
      <w:pPr>
        <w:pageBreakBefore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提交投标文件截止时间：2025年</w:t>
      </w:r>
      <w:r>
        <w:rPr>
          <w:rFonts w:hint="eastAsia" w:ascii="仿宋" w:hAnsi="仿宋" w:eastAsia="仿宋" w:cs="仿宋"/>
          <w:sz w:val="24"/>
          <w:szCs w:val="24"/>
          <w:highlight w:val="none"/>
          <w:lang w:val="en-US" w:eastAsia="zh-CN"/>
        </w:rPr>
        <w:t>7月 16 日14 :00 :00</w:t>
      </w:r>
      <w:r>
        <w:rPr>
          <w:rFonts w:hint="eastAsia" w:ascii="仿宋" w:hAnsi="仿宋" w:eastAsia="仿宋" w:cs="仿宋"/>
          <w:sz w:val="24"/>
          <w:szCs w:val="24"/>
          <w:highlight w:val="none"/>
          <w:lang w:val="zh-CN"/>
        </w:rPr>
        <w:t>（北京时间）</w:t>
      </w:r>
    </w:p>
    <w:p w14:paraId="32DAE1A6">
      <w:pPr>
        <w:pageBreakBefore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61206A47">
      <w:pPr>
        <w:pageBreakBefore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投标地点（网址）：</w:t>
      </w:r>
      <w:r>
        <w:rPr>
          <w:rFonts w:hint="eastAsia" w:ascii="仿宋" w:hAnsi="仿宋" w:eastAsia="仿宋" w:cs="仿宋"/>
          <w:b/>
          <w:bCs/>
          <w:sz w:val="24"/>
          <w:szCs w:val="24"/>
          <w:highlight w:val="none"/>
          <w:lang w:val="zh-CN"/>
        </w:rPr>
        <w:t>通过“政采云平台（http://zfcg.czt.zj.gov.cn） ”在线投标响应。未按采购公告规定获取采购文件的潜在供应商，其投标将被拒绝。</w:t>
      </w:r>
    </w:p>
    <w:p w14:paraId="66A46A8D">
      <w:pPr>
        <w:pageBreakBefore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开标时间：2025年</w:t>
      </w:r>
      <w:r>
        <w:rPr>
          <w:rFonts w:hint="eastAsia" w:ascii="仿宋" w:hAnsi="仿宋" w:eastAsia="仿宋" w:cs="仿宋"/>
          <w:sz w:val="24"/>
          <w:szCs w:val="24"/>
          <w:highlight w:val="none"/>
          <w:lang w:val="en-US" w:eastAsia="zh-CN"/>
        </w:rPr>
        <w:t xml:space="preserve"> 7 月 16 日 14 : 00 :00</w:t>
      </w:r>
      <w:r>
        <w:rPr>
          <w:rFonts w:hint="eastAsia" w:ascii="仿宋" w:hAnsi="仿宋" w:eastAsia="仿宋" w:cs="仿宋"/>
          <w:sz w:val="24"/>
          <w:szCs w:val="24"/>
          <w:highlight w:val="none"/>
          <w:lang w:val="zh-CN"/>
        </w:rPr>
        <w:t xml:space="preserve">（北京时间） </w:t>
      </w:r>
    </w:p>
    <w:p w14:paraId="093E5BC4">
      <w:pPr>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开标地点（网址）：</w:t>
      </w:r>
      <w:r>
        <w:rPr>
          <w:rFonts w:hint="eastAsia" w:ascii="仿宋" w:hAnsi="仿宋" w:eastAsia="仿宋" w:cs="仿宋"/>
          <w:color w:val="auto"/>
          <w:sz w:val="24"/>
          <w:highlight w:val="none"/>
        </w:rPr>
        <w:t>政采云平台（https://www.zcygov.cn/）</w:t>
      </w:r>
    </w:p>
    <w:p w14:paraId="236754C1">
      <w:pPr>
        <w:pageBreakBefore w:val="0"/>
        <w:kinsoku/>
        <w:wordWrap/>
        <w:overflowPunct/>
        <w:topLinePunct w:val="0"/>
        <w:bidi w:val="0"/>
        <w:snapToGrid w:val="0"/>
        <w:spacing w:line="44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五、公告期限</w:t>
      </w:r>
      <w:bookmarkEnd w:id="4"/>
      <w:bookmarkEnd w:id="5"/>
      <w:bookmarkEnd w:id="6"/>
      <w:bookmarkEnd w:id="7"/>
    </w:p>
    <w:p w14:paraId="32D6199B">
      <w:pPr>
        <w:pStyle w:val="83"/>
        <w:pageBreakBefore w:val="0"/>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rPr>
        <w:t>自本公告发布之日起5个工作日。</w:t>
      </w:r>
    </w:p>
    <w:p w14:paraId="3F49F021">
      <w:pPr>
        <w:pageBreakBefore w:val="0"/>
        <w:kinsoku/>
        <w:wordWrap/>
        <w:overflowPunct/>
        <w:topLinePunct w:val="0"/>
        <w:bidi w:val="0"/>
        <w:snapToGrid w:val="0"/>
        <w:spacing w:line="440" w:lineRule="exact"/>
        <w:textAlignment w:val="auto"/>
        <w:rPr>
          <w:rFonts w:hint="eastAsia" w:ascii="仿宋" w:hAnsi="仿宋" w:eastAsia="仿宋" w:cs="仿宋"/>
          <w:b/>
          <w:bCs/>
          <w:color w:val="000000"/>
          <w:sz w:val="24"/>
          <w:szCs w:val="24"/>
          <w:highlight w:val="none"/>
        </w:rPr>
      </w:pPr>
      <w:bookmarkStart w:id="8" w:name="_Toc35393624"/>
      <w:bookmarkStart w:id="9" w:name="_Toc28359082"/>
      <w:bookmarkStart w:id="10" w:name="_Toc28359005"/>
      <w:bookmarkStart w:id="11" w:name="_Toc35393793"/>
      <w:r>
        <w:rPr>
          <w:rFonts w:hint="eastAsia" w:ascii="仿宋" w:hAnsi="仿宋" w:eastAsia="仿宋" w:cs="仿宋"/>
          <w:b/>
          <w:bCs/>
          <w:color w:val="000000"/>
          <w:sz w:val="24"/>
          <w:szCs w:val="24"/>
          <w:highlight w:val="none"/>
        </w:rPr>
        <w:t>六、</w:t>
      </w:r>
      <w:bookmarkEnd w:id="8"/>
      <w:bookmarkEnd w:id="9"/>
      <w:bookmarkEnd w:id="10"/>
      <w:bookmarkEnd w:id="11"/>
      <w:r>
        <w:rPr>
          <w:rFonts w:hint="eastAsia" w:ascii="仿宋" w:hAnsi="仿宋" w:eastAsia="仿宋" w:cs="仿宋"/>
          <w:b/>
          <w:bCs/>
          <w:color w:val="000000"/>
          <w:sz w:val="24"/>
          <w:szCs w:val="24"/>
          <w:highlight w:val="none"/>
        </w:rPr>
        <w:t>其他补充事宜</w:t>
      </w:r>
    </w:p>
    <w:p w14:paraId="7922FCFA">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1E58062">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75BEA4">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9A3C2A">
      <w:pPr>
        <w:pageBreakBefore w:val="0"/>
        <w:widowControl/>
        <w:kinsoku/>
        <w:wordWrap/>
        <w:overflowPunct/>
        <w:topLinePunct w:val="0"/>
        <w:bidi w:val="0"/>
        <w:adjustRightInd w:val="0"/>
        <w:snapToGrid w:val="0"/>
        <w:spacing w:line="440" w:lineRule="exact"/>
        <w:ind w:firstLine="401"/>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.其他事项：</w:t>
      </w:r>
    </w:p>
    <w:p w14:paraId="31EF008C">
      <w:pPr>
        <w:pageBreakBefore w:val="0"/>
        <w:widowControl/>
        <w:kinsoku/>
        <w:wordWrap/>
        <w:overflowPunct/>
        <w:topLinePunct w:val="0"/>
        <w:bidi w:val="0"/>
        <w:adjustRightInd w:val="0"/>
        <w:snapToGrid w:val="0"/>
        <w:spacing w:line="440" w:lineRule="exact"/>
        <w:ind w:firstLine="401"/>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（1）包括节约资源、保护环境、支持创新、促进中小企业发展等。 详见招标文件的第二部分前附表。</w:t>
      </w:r>
    </w:p>
    <w:p w14:paraId="7946023B">
      <w:pPr>
        <w:pageBreakBefore w:val="0"/>
        <w:widowControl/>
        <w:kinsoku/>
        <w:wordWrap/>
        <w:overflowPunct/>
        <w:topLinePunct w:val="0"/>
        <w:bidi w:val="0"/>
        <w:adjustRightInd w:val="0"/>
        <w:snapToGrid w:val="0"/>
        <w:spacing w:line="440" w:lineRule="exact"/>
        <w:ind w:firstLine="401"/>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（2）在线投标响应（电子投标）说明：</w:t>
      </w:r>
    </w:p>
    <w:p w14:paraId="1D1BA590">
      <w:pPr>
        <w:pageBreakBefore w:val="0"/>
        <w:widowControl/>
        <w:kinsoku/>
        <w:wordWrap/>
        <w:overflowPunct/>
        <w:topLinePunct w:val="0"/>
        <w:bidi w:val="0"/>
        <w:adjustRightInd w:val="0"/>
        <w:snapToGrid w:val="0"/>
        <w:spacing w:line="440" w:lineRule="exact"/>
        <w:ind w:firstLine="401"/>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11F96073">
      <w:pPr>
        <w:pageBreakBefore w:val="0"/>
        <w:widowControl/>
        <w:kinsoku/>
        <w:wordWrap/>
        <w:overflowPunct/>
        <w:topLinePunct w:val="0"/>
        <w:bidi w:val="0"/>
        <w:adjustRightInd w:val="0"/>
        <w:snapToGrid w:val="0"/>
        <w:spacing w:line="440" w:lineRule="exact"/>
        <w:ind w:firstLine="401"/>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（3）融资政策，企业质押融资：取得政府采购合同的供应商，均可通过浙江政府采购 网（https://zfcg.czt.zj.gov.cn/） 首页的“浙江政采贷”模块进入申请贷款或通过 政府采购云平台（</w:t>
      </w:r>
      <w:r>
        <w:rPr>
          <w:rFonts w:hint="eastAsia" w:ascii="仿宋" w:hAnsi="仿宋" w:eastAsia="仿宋" w:cs="仿宋"/>
          <w:b w:val="0"/>
          <w:bCs w:val="0"/>
          <w:sz w:val="24"/>
          <w:highlight w:val="none"/>
          <w:lang w:val="en-US" w:eastAsia="zh-CN"/>
        </w:rPr>
        <w:fldChar w:fldCharType="begin"/>
      </w:r>
      <w:r>
        <w:rPr>
          <w:rFonts w:hint="eastAsia" w:ascii="仿宋" w:hAnsi="仿宋" w:eastAsia="仿宋" w:cs="仿宋"/>
          <w:b w:val="0"/>
          <w:bCs w:val="0"/>
          <w:sz w:val="24"/>
          <w:highlight w:val="none"/>
          <w:lang w:val="en-US" w:eastAsia="zh-CN"/>
        </w:rPr>
        <w:instrText xml:space="preserve"> HYPERLINK "https://www.zcygov.cn/%EF%BC%89%E9%A6%96%E9%A1%B5%E7%9A%84%E2%80%9C%E9%87%91%E8%9E%8D%E6%9C%8D%E5%8A%A1%E2%80%9D%E6%A8%A1%E5%9D%97%E8%BF%9B%E5%85%A5%E7%94%B3%E8%AF%B7" </w:instrText>
      </w:r>
      <w:r>
        <w:rPr>
          <w:rFonts w:hint="eastAsia" w:ascii="仿宋" w:hAnsi="仿宋" w:eastAsia="仿宋" w:cs="仿宋"/>
          <w:b w:val="0"/>
          <w:bCs w:val="0"/>
          <w:sz w:val="24"/>
          <w:highlight w:val="none"/>
          <w:lang w:val="en-US" w:eastAsia="zh-CN"/>
        </w:rPr>
        <w:fldChar w:fldCharType="separate"/>
      </w:r>
      <w:r>
        <w:rPr>
          <w:rFonts w:hint="eastAsia" w:ascii="仿宋" w:hAnsi="仿宋" w:eastAsia="仿宋" w:cs="仿宋"/>
          <w:b w:val="0"/>
          <w:bCs w:val="0"/>
          <w:sz w:val="24"/>
          <w:highlight w:val="none"/>
          <w:lang w:val="en-US" w:eastAsia="zh-CN"/>
        </w:rPr>
        <w:t>https://www.zcygov.cn/） 首页的“金融服务”模块进入申请</w:t>
      </w:r>
      <w:r>
        <w:rPr>
          <w:rFonts w:hint="eastAsia" w:ascii="仿宋" w:hAnsi="仿宋" w:eastAsia="仿宋" w:cs="仿宋"/>
          <w:b w:val="0"/>
          <w:bCs w:val="0"/>
          <w:sz w:val="24"/>
          <w:highlight w:val="none"/>
          <w:lang w:val="en-US" w:eastAsia="zh-CN"/>
        </w:rPr>
        <w:fldChar w:fldCharType="end"/>
      </w:r>
      <w:r>
        <w:rPr>
          <w:rFonts w:hint="eastAsia" w:ascii="仿宋" w:hAnsi="仿宋" w:eastAsia="仿宋" w:cs="仿宋"/>
          <w:b w:val="0"/>
          <w:bCs w:val="0"/>
          <w:sz w:val="24"/>
          <w:highlight w:val="none"/>
          <w:lang w:val="en-US" w:eastAsia="zh-CN"/>
        </w:rPr>
        <w:t>贷款。 也可通过“浙江政务网”登录到“衢融通”平台，发起政府采购质押融资申请。</w:t>
      </w:r>
    </w:p>
    <w:p w14:paraId="1E92291B">
      <w:pPr>
        <w:pageBreakBefore w:val="0"/>
        <w:widowControl/>
        <w:kinsoku/>
        <w:wordWrap/>
        <w:overflowPunct/>
        <w:topLinePunct w:val="0"/>
        <w:bidi w:val="0"/>
        <w:adjustRightInd w:val="0"/>
        <w:snapToGrid w:val="0"/>
        <w:spacing w:line="440" w:lineRule="exact"/>
        <w:ind w:firstLine="401"/>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（4）本项目相关公告（包括招标公告、中标公告及更正公告等）均以浙江政府采购网（http://zfcg.czt.zj.gov.cn/）发布的为准。</w:t>
      </w:r>
    </w:p>
    <w:p w14:paraId="2BEF7B0A">
      <w:pPr>
        <w:pStyle w:val="5"/>
        <w:pageBreakBefore w:val="0"/>
        <w:kinsoku/>
        <w:wordWrap/>
        <w:overflowPunct/>
        <w:topLinePunct w:val="0"/>
        <w:bidi w:val="0"/>
        <w:adjustRightInd w:val="0"/>
        <w:snapToGrid w:val="0"/>
        <w:spacing w:line="440" w:lineRule="exact"/>
        <w:ind w:left="0" w:firstLine="0"/>
        <w:jc w:val="both"/>
        <w:textAlignment w:val="auto"/>
        <w:rPr>
          <w:rFonts w:hint="eastAsia" w:ascii="仿宋" w:hAnsi="仿宋" w:eastAsia="仿宋" w:cs="仿宋"/>
          <w:bCs/>
          <w:sz w:val="24"/>
          <w:szCs w:val="24"/>
          <w:highlight w:val="none"/>
        </w:rPr>
      </w:pPr>
      <w:bookmarkStart w:id="12" w:name="_Toc28359085"/>
      <w:bookmarkStart w:id="13" w:name="_Toc28359008"/>
      <w:bookmarkStart w:id="14" w:name="_Toc35393796"/>
      <w:bookmarkStart w:id="15" w:name="_Toc35393627"/>
      <w:r>
        <w:rPr>
          <w:rFonts w:hint="eastAsia" w:ascii="仿宋" w:hAnsi="仿宋" w:eastAsia="仿宋" w:cs="仿宋"/>
          <w:b/>
          <w:bCs w:val="0"/>
          <w:sz w:val="24"/>
          <w:szCs w:val="24"/>
          <w:highlight w:val="none"/>
        </w:rPr>
        <w:t>七、</w:t>
      </w:r>
      <w:bookmarkEnd w:id="12"/>
      <w:bookmarkEnd w:id="13"/>
      <w:bookmarkEnd w:id="14"/>
      <w:bookmarkEnd w:id="15"/>
      <w:r>
        <w:rPr>
          <w:rFonts w:hint="eastAsia" w:ascii="仿宋" w:hAnsi="仿宋" w:eastAsia="仿宋" w:cs="仿宋"/>
          <w:b/>
          <w:bCs w:val="0"/>
          <w:sz w:val="24"/>
          <w:szCs w:val="24"/>
          <w:highlight w:val="none"/>
        </w:rPr>
        <w:t>对本次采购提出询问、质疑、投诉，请按以下方式联系</w:t>
      </w:r>
    </w:p>
    <w:p w14:paraId="2381BDEF">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lang w:eastAsia="zh-CN"/>
        </w:rPr>
      </w:pPr>
      <w:r>
        <w:rPr>
          <w:rFonts w:hint="eastAsia" w:ascii="仿宋" w:hAnsi="仿宋" w:eastAsia="仿宋" w:cs="仿宋"/>
          <w:color w:val="000000"/>
          <w:szCs w:val="24"/>
          <w:highlight w:val="none"/>
        </w:rPr>
        <w:t>1.采购人信息：</w:t>
      </w:r>
      <w:bookmarkStart w:id="16" w:name="OLE_LINK14"/>
      <w:r>
        <w:rPr>
          <w:rFonts w:hint="eastAsia" w:ascii="仿宋" w:hAnsi="仿宋" w:eastAsia="仿宋" w:cs="仿宋"/>
          <w:color w:val="000000"/>
          <w:szCs w:val="24"/>
          <w:highlight w:val="none"/>
          <w:lang w:eastAsia="zh-CN"/>
        </w:rPr>
        <w:t>衢州市柯城区姜家山乡中心小学</w:t>
      </w:r>
      <w:bookmarkEnd w:id="16"/>
    </w:p>
    <w:p w14:paraId="444BE33C">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eastAsia="zh-CN"/>
        </w:rPr>
        <w:t>：衢州市柯城区姜家山乡姜家山村诚信路78号</w:t>
      </w:r>
      <w:r>
        <w:rPr>
          <w:rFonts w:hint="eastAsia" w:ascii="仿宋" w:hAnsi="仿宋" w:eastAsia="仿宋" w:cs="仿宋"/>
          <w:color w:val="000000"/>
          <w:sz w:val="24"/>
          <w:szCs w:val="24"/>
          <w:highlight w:val="none"/>
        </w:rPr>
        <w:t> </w:t>
      </w:r>
    </w:p>
    <w:p w14:paraId="7F489C63">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联系</w:t>
      </w:r>
      <w:r>
        <w:rPr>
          <w:rFonts w:hint="eastAsia" w:ascii="仿宋" w:hAnsi="仿宋" w:eastAsia="仿宋" w:cs="仿宋"/>
          <w:color w:val="000000"/>
          <w:sz w:val="24"/>
          <w:szCs w:val="24"/>
          <w:highlight w:val="none"/>
          <w:lang w:eastAsia="zh-CN"/>
        </w:rPr>
        <w:t xml:space="preserve">人（询问）：徐老师 </w:t>
      </w:r>
    </w:p>
    <w:p w14:paraId="7BC39B48">
      <w:pPr>
        <w:pageBreakBefore w:val="0"/>
        <w:kinsoku/>
        <w:wordWrap/>
        <w:overflowPunct/>
        <w:topLinePunct w:val="0"/>
        <w:autoSpaceDE w:val="0"/>
        <w:autoSpaceDN w:val="0"/>
        <w:bidi w:val="0"/>
        <w:adjustRightInd w:val="0"/>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联系方式（询问）：</w:t>
      </w:r>
      <w:r>
        <w:rPr>
          <w:rFonts w:hint="eastAsia" w:ascii="仿宋" w:hAnsi="仿宋" w:eastAsia="仿宋" w:cs="仿宋"/>
          <w:color w:val="000000"/>
          <w:sz w:val="24"/>
          <w:szCs w:val="24"/>
          <w:highlight w:val="none"/>
          <w:lang w:val="en-US" w:eastAsia="zh-CN"/>
        </w:rPr>
        <w:t xml:space="preserve">15306705581      </w:t>
      </w:r>
    </w:p>
    <w:p w14:paraId="3177FB79">
      <w:pPr>
        <w:pageBreakBefore w:val="0"/>
        <w:kinsoku/>
        <w:wordWrap/>
        <w:overflowPunct/>
        <w:topLinePunct w:val="0"/>
        <w:autoSpaceDE w:val="0"/>
        <w:autoSpaceDN w:val="0"/>
        <w:bidi w:val="0"/>
        <w:adjustRightInd w:val="0"/>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质疑联系人：祝老师</w:t>
      </w:r>
      <w:r>
        <w:rPr>
          <w:rFonts w:hint="eastAsia" w:ascii="仿宋" w:hAnsi="仿宋" w:eastAsia="仿宋" w:cs="仿宋"/>
          <w:color w:val="000000"/>
          <w:sz w:val="24"/>
          <w:szCs w:val="24"/>
          <w:highlight w:val="none"/>
          <w:lang w:val="en-US" w:eastAsia="zh-CN"/>
        </w:rPr>
        <w:t xml:space="preserve">    </w:t>
      </w:r>
      <w:bookmarkStart w:id="141" w:name="_GoBack"/>
      <w:bookmarkEnd w:id="141"/>
    </w:p>
    <w:p w14:paraId="57CA287C">
      <w:pPr>
        <w:pageBreakBefore w:val="0"/>
        <w:kinsoku/>
        <w:wordWrap/>
        <w:overflowPunct/>
        <w:topLinePunct w:val="0"/>
        <w:autoSpaceDE w:val="0"/>
        <w:autoSpaceDN w:val="0"/>
        <w:bidi w:val="0"/>
        <w:adjustRightInd w:val="0"/>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联系电话：18057011312</w:t>
      </w:r>
      <w:r>
        <w:rPr>
          <w:rFonts w:hint="eastAsia" w:ascii="仿宋" w:hAnsi="仿宋" w:eastAsia="仿宋" w:cs="仿宋"/>
          <w:color w:val="000000"/>
          <w:sz w:val="24"/>
          <w:szCs w:val="24"/>
          <w:highlight w:val="none"/>
          <w:lang w:val="en-US" w:eastAsia="zh-CN"/>
        </w:rPr>
        <w:t xml:space="preserve">     </w:t>
      </w:r>
    </w:p>
    <w:p w14:paraId="45661EC6">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rPr>
      </w:pPr>
    </w:p>
    <w:p w14:paraId="3BD1E67E">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lang w:eastAsia="zh-CN"/>
        </w:rPr>
      </w:pPr>
      <w:r>
        <w:rPr>
          <w:rFonts w:hint="eastAsia" w:ascii="仿宋" w:hAnsi="仿宋" w:eastAsia="仿宋" w:cs="仿宋"/>
          <w:color w:val="000000"/>
          <w:szCs w:val="24"/>
          <w:highlight w:val="none"/>
        </w:rPr>
        <w:t>2.采购代理机构名称：</w:t>
      </w:r>
      <w:r>
        <w:rPr>
          <w:rFonts w:hint="eastAsia" w:ascii="仿宋" w:hAnsi="仿宋" w:eastAsia="仿宋" w:cs="仿宋"/>
          <w:color w:val="000000"/>
          <w:szCs w:val="24"/>
          <w:highlight w:val="none"/>
          <w:lang w:eastAsia="zh-CN"/>
        </w:rPr>
        <w:t>浙江联达工程项目管理有限公司</w:t>
      </w:r>
    </w:p>
    <w:p w14:paraId="1A8139FA">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lang w:eastAsia="zh-CN"/>
        </w:rPr>
      </w:pPr>
      <w:r>
        <w:rPr>
          <w:rFonts w:hint="eastAsia" w:ascii="仿宋" w:hAnsi="仿宋" w:eastAsia="仿宋" w:cs="仿宋"/>
          <w:color w:val="000000"/>
          <w:szCs w:val="24"/>
          <w:highlight w:val="none"/>
        </w:rPr>
        <w:t>地点：</w:t>
      </w:r>
      <w:r>
        <w:rPr>
          <w:rFonts w:hint="eastAsia" w:ascii="仿宋" w:hAnsi="仿宋" w:eastAsia="仿宋" w:cs="仿宋"/>
          <w:szCs w:val="24"/>
          <w:highlight w:val="none"/>
          <w:lang w:eastAsia="zh-CN"/>
        </w:rPr>
        <w:t>衢州市柯城区万田乡弈古文体城二区19-3幢</w:t>
      </w:r>
    </w:p>
    <w:p w14:paraId="3C3597DC">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lang w:eastAsia="zh-CN"/>
        </w:rPr>
      </w:pPr>
      <w:r>
        <w:rPr>
          <w:rFonts w:hint="eastAsia" w:ascii="仿宋" w:hAnsi="仿宋" w:eastAsia="仿宋" w:cs="仿宋"/>
          <w:color w:val="000000"/>
          <w:szCs w:val="24"/>
          <w:highlight w:val="none"/>
        </w:rPr>
        <w:t>项目联系人（询问）：</w:t>
      </w:r>
      <w:r>
        <w:rPr>
          <w:rFonts w:hint="eastAsia" w:ascii="仿宋" w:hAnsi="仿宋" w:eastAsia="仿宋" w:cs="仿宋"/>
          <w:color w:val="000000"/>
          <w:szCs w:val="24"/>
          <w:highlight w:val="none"/>
          <w:lang w:eastAsia="zh-CN"/>
        </w:rPr>
        <w:t>郑女士</w:t>
      </w:r>
    </w:p>
    <w:p w14:paraId="3312C8C5">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lang w:eastAsia="zh-CN"/>
        </w:rPr>
      </w:pPr>
      <w:r>
        <w:rPr>
          <w:rFonts w:hint="eastAsia" w:ascii="仿宋" w:hAnsi="仿宋" w:eastAsia="仿宋" w:cs="仿宋"/>
          <w:color w:val="000000"/>
          <w:szCs w:val="24"/>
          <w:highlight w:val="none"/>
        </w:rPr>
        <w:t>项目联系方式（询问）：</w:t>
      </w:r>
      <w:r>
        <w:rPr>
          <w:rFonts w:hint="eastAsia" w:ascii="仿宋" w:hAnsi="仿宋" w:eastAsia="仿宋" w:cs="仿宋"/>
          <w:color w:val="000000"/>
          <w:szCs w:val="24"/>
          <w:highlight w:val="none"/>
          <w:lang w:eastAsia="zh-CN"/>
        </w:rPr>
        <w:t>15858229670</w:t>
      </w:r>
    </w:p>
    <w:p w14:paraId="7A976BD5">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质疑联系人：</w:t>
      </w:r>
      <w:r>
        <w:rPr>
          <w:rFonts w:hint="eastAsia" w:ascii="仿宋" w:hAnsi="仿宋" w:eastAsia="仿宋" w:cs="仿宋"/>
          <w:color w:val="000000"/>
          <w:szCs w:val="24"/>
          <w:highlight w:val="none"/>
          <w:lang w:val="en-US" w:eastAsia="zh-CN"/>
        </w:rPr>
        <w:t>宋先生</w:t>
      </w:r>
    </w:p>
    <w:p w14:paraId="162F8FBE">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rPr>
        <w:t>质疑联系方式：</w:t>
      </w:r>
      <w:r>
        <w:rPr>
          <w:rFonts w:hint="eastAsia" w:ascii="仿宋" w:hAnsi="仿宋" w:eastAsia="仿宋" w:cs="仿宋"/>
          <w:color w:val="000000"/>
          <w:szCs w:val="24"/>
          <w:highlight w:val="none"/>
          <w:lang w:eastAsia="zh-CN"/>
        </w:rPr>
        <w:t>0570-3025836</w:t>
      </w:r>
    </w:p>
    <w:p w14:paraId="57E0F60D">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rPr>
      </w:pPr>
    </w:p>
    <w:p w14:paraId="057C5271">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 xml:space="preserve">3.同级政府采购监督管理部门 </w:t>
      </w:r>
    </w:p>
    <w:p w14:paraId="6D656DBE">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szCs w:val="24"/>
          <w:highlight w:val="none"/>
        </w:rPr>
      </w:pPr>
      <w:r>
        <w:rPr>
          <w:rFonts w:hint="eastAsia" w:ascii="仿宋" w:hAnsi="仿宋" w:eastAsia="仿宋" w:cs="仿宋"/>
          <w:szCs w:val="24"/>
          <w:highlight w:val="none"/>
        </w:rPr>
        <w:t>名    称：</w:t>
      </w:r>
      <w:bookmarkStart w:id="17" w:name="OLE_LINK13"/>
      <w:r>
        <w:rPr>
          <w:rFonts w:hint="eastAsia" w:ascii="仿宋" w:hAnsi="仿宋" w:eastAsia="仿宋" w:cs="仿宋"/>
          <w:szCs w:val="24"/>
          <w:highlight w:val="none"/>
        </w:rPr>
        <w:t>衢州市柯城区财政局</w:t>
      </w:r>
      <w:bookmarkEnd w:id="17"/>
    </w:p>
    <w:p w14:paraId="32DA201C">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地    址：衢州市荷三路行政中心9号楼</w:t>
      </w:r>
      <w:r>
        <w:rPr>
          <w:rFonts w:hint="eastAsia" w:ascii="仿宋" w:hAnsi="仿宋" w:eastAsia="仿宋" w:cs="仿宋"/>
          <w:szCs w:val="24"/>
          <w:highlight w:val="none"/>
          <w:lang w:val="en-US" w:eastAsia="zh-CN"/>
        </w:rPr>
        <w:t xml:space="preserve"> </w:t>
      </w:r>
    </w:p>
    <w:p w14:paraId="222085F3">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rPr>
        <w:t>联系人 ：</w:t>
      </w:r>
      <w:r>
        <w:rPr>
          <w:rFonts w:hint="eastAsia" w:ascii="仿宋" w:hAnsi="仿宋" w:eastAsia="仿宋" w:cs="仿宋"/>
          <w:szCs w:val="24"/>
          <w:highlight w:val="none"/>
          <w:lang w:val="en-US" w:eastAsia="zh-CN"/>
        </w:rPr>
        <w:t>蒋先生</w:t>
      </w:r>
    </w:p>
    <w:p w14:paraId="19567026">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rPr>
        <w:t>监督投诉电话：0570-302</w:t>
      </w:r>
      <w:r>
        <w:rPr>
          <w:rFonts w:hint="eastAsia" w:ascii="仿宋" w:hAnsi="仿宋" w:eastAsia="仿宋" w:cs="仿宋"/>
          <w:szCs w:val="24"/>
          <w:highlight w:val="none"/>
          <w:lang w:val="en-US" w:eastAsia="zh-CN"/>
        </w:rPr>
        <w:t>0829</w:t>
      </w:r>
    </w:p>
    <w:p w14:paraId="386EA344">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szCs w:val="24"/>
          <w:highlight w:val="none"/>
        </w:rPr>
      </w:pPr>
    </w:p>
    <w:p w14:paraId="3A7F364A">
      <w:pPr>
        <w:pStyle w:val="83"/>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szCs w:val="24"/>
          <w:highlight w:val="none"/>
        </w:rPr>
      </w:pPr>
      <w:r>
        <w:rPr>
          <w:rFonts w:hint="eastAsia" w:ascii="仿宋" w:hAnsi="仿宋" w:eastAsia="仿宋" w:cs="仿宋"/>
          <w:szCs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bookmarkEnd w:id="1"/>
    <w:p w14:paraId="25767DB7">
      <w:pPr>
        <w:pStyle w:val="48"/>
        <w:pageBreakBefore/>
        <w:adjustRightInd w:val="0"/>
        <w:snapToGrid w:val="0"/>
        <w:spacing w:line="360" w:lineRule="auto"/>
        <w:jc w:val="center"/>
        <w:outlineLvl w:val="0"/>
        <w:rPr>
          <w:rFonts w:hint="eastAsia" w:ascii="仿宋" w:hAnsi="仿宋" w:eastAsia="仿宋" w:cs="仿宋"/>
          <w:b/>
          <w:sz w:val="36"/>
          <w:highlight w:val="none"/>
        </w:rPr>
      </w:pPr>
      <w:bookmarkStart w:id="18" w:name="_Toc31506"/>
      <w:bookmarkStart w:id="19" w:name="_Toc225840107"/>
      <w:r>
        <w:rPr>
          <w:rFonts w:hint="eastAsia" w:ascii="仿宋" w:hAnsi="仿宋" w:eastAsia="仿宋" w:cs="仿宋"/>
          <w:b/>
          <w:sz w:val="36"/>
          <w:highlight w:val="none"/>
        </w:rPr>
        <w:t>第二部分  投标人须知</w:t>
      </w:r>
      <w:bookmarkEnd w:id="18"/>
    </w:p>
    <w:p w14:paraId="50B3009A">
      <w:pPr>
        <w:pStyle w:val="5"/>
        <w:ind w:left="560" w:firstLine="0"/>
        <w:jc w:val="center"/>
        <w:rPr>
          <w:rFonts w:hint="eastAsia" w:ascii="仿宋" w:hAnsi="仿宋" w:eastAsia="仿宋" w:cs="仿宋"/>
          <w:sz w:val="32"/>
          <w:highlight w:val="none"/>
        </w:rPr>
      </w:pPr>
      <w:bookmarkStart w:id="20" w:name="_Toc522530040"/>
      <w:bookmarkStart w:id="21" w:name="_Toc16117"/>
      <w:bookmarkStart w:id="22" w:name="_Toc519670190"/>
      <w:r>
        <w:rPr>
          <w:rFonts w:hint="eastAsia" w:ascii="仿宋" w:hAnsi="仿宋" w:eastAsia="仿宋" w:cs="仿宋"/>
          <w:sz w:val="32"/>
          <w:highlight w:val="none"/>
        </w:rPr>
        <w:t>前 附 表</w:t>
      </w:r>
      <w:bookmarkEnd w:id="20"/>
      <w:bookmarkEnd w:id="21"/>
      <w:bookmarkEnd w:id="22"/>
    </w:p>
    <w:tbl>
      <w:tblPr>
        <w:tblStyle w:val="90"/>
        <w:tblW w:w="972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15"/>
        <w:gridCol w:w="7680"/>
      </w:tblGrid>
      <w:tr w14:paraId="6058B5D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14:paraId="177921CF">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215" w:type="dxa"/>
            <w:vAlign w:val="center"/>
          </w:tcPr>
          <w:p w14:paraId="213EFD05">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7680" w:type="dxa"/>
            <w:vAlign w:val="center"/>
          </w:tcPr>
          <w:p w14:paraId="6742DA2F">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内容</w:t>
            </w:r>
          </w:p>
        </w:tc>
      </w:tr>
      <w:tr w14:paraId="28B26C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083524FD">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1215" w:type="dxa"/>
            <w:vAlign w:val="center"/>
          </w:tcPr>
          <w:p w14:paraId="4441D59F">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是否允许分包</w:t>
            </w:r>
          </w:p>
        </w:tc>
        <w:tc>
          <w:tcPr>
            <w:tcW w:w="7680" w:type="dxa"/>
            <w:vAlign w:val="center"/>
          </w:tcPr>
          <w:p w14:paraId="63765237">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☑不允许</w:t>
            </w:r>
          </w:p>
          <w:p w14:paraId="0923C514">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允许  分包内容要求：      分包金额要求：</w:t>
            </w:r>
          </w:p>
          <w:p w14:paraId="6091794A">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接受分包的第三人资质要求：</w:t>
            </w:r>
          </w:p>
        </w:tc>
      </w:tr>
      <w:tr w14:paraId="4FFA3B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14:paraId="73ED19A4">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215" w:type="dxa"/>
            <w:vAlign w:val="center"/>
          </w:tcPr>
          <w:p w14:paraId="15866DF3">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pacing w:val="-2"/>
                <w:kern w:val="0"/>
                <w:position w:val="-3"/>
                <w:sz w:val="24"/>
                <w:highlight w:val="none"/>
              </w:rPr>
            </w:pPr>
            <w:r>
              <w:rPr>
                <w:rFonts w:hint="eastAsia" w:ascii="仿宋" w:hAnsi="仿宋" w:eastAsia="仿宋" w:cs="仿宋"/>
                <w:spacing w:val="-2"/>
                <w:kern w:val="0"/>
                <w:position w:val="-3"/>
                <w:sz w:val="24"/>
                <w:highlight w:val="none"/>
              </w:rPr>
              <w:t>踏勘现场</w:t>
            </w:r>
          </w:p>
        </w:tc>
        <w:tc>
          <w:tcPr>
            <w:tcW w:w="7680" w:type="dxa"/>
            <w:vAlign w:val="center"/>
          </w:tcPr>
          <w:p w14:paraId="54BF80E3">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pacing w:val="-2"/>
                <w:kern w:val="0"/>
                <w:position w:val="-3"/>
                <w:sz w:val="24"/>
                <w:highlight w:val="none"/>
              </w:rPr>
            </w:pPr>
            <w:r>
              <w:rPr>
                <w:rFonts w:hint="eastAsia" w:ascii="仿宋" w:hAnsi="仿宋" w:eastAsia="仿宋" w:cs="仿宋"/>
                <w:spacing w:val="-2"/>
                <w:kern w:val="0"/>
                <w:position w:val="-3"/>
                <w:sz w:val="24"/>
                <w:highlight w:val="none"/>
              </w:rPr>
              <w:sym w:font="Wingdings" w:char="F0FE"/>
            </w:r>
            <w:r>
              <w:rPr>
                <w:rFonts w:hint="eastAsia" w:ascii="仿宋" w:hAnsi="仿宋" w:eastAsia="仿宋" w:cs="仿宋"/>
                <w:spacing w:val="-2"/>
                <w:kern w:val="0"/>
                <w:position w:val="-3"/>
                <w:sz w:val="24"/>
                <w:highlight w:val="none"/>
              </w:rPr>
              <w:t>不组织    投标人如有需要可自行前往踏勘，联系方式见招标公告。</w:t>
            </w:r>
          </w:p>
          <w:p w14:paraId="01629192">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pacing w:val="-2"/>
                <w:kern w:val="0"/>
                <w:position w:val="-3"/>
                <w:sz w:val="24"/>
                <w:highlight w:val="none"/>
              </w:rPr>
            </w:pPr>
            <w:r>
              <w:rPr>
                <w:rFonts w:hint="eastAsia" w:ascii="仿宋" w:hAnsi="仿宋" w:eastAsia="仿宋" w:cs="仿宋"/>
                <w:spacing w:val="-2"/>
                <w:kern w:val="0"/>
                <w:position w:val="-3"/>
                <w:sz w:val="24"/>
                <w:highlight w:val="none"/>
              </w:rPr>
              <w:t xml:space="preserve">□统一组织踏勘时间：踏勘集中地点： </w:t>
            </w:r>
          </w:p>
        </w:tc>
      </w:tr>
      <w:tr w14:paraId="19EFDF9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14:paraId="75AE912D">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1215" w:type="dxa"/>
            <w:vAlign w:val="center"/>
          </w:tcPr>
          <w:p w14:paraId="6993607B">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pacing w:val="-2"/>
                <w:kern w:val="0"/>
                <w:position w:val="-3"/>
                <w:sz w:val="24"/>
                <w:highlight w:val="none"/>
              </w:rPr>
            </w:pPr>
            <w:r>
              <w:rPr>
                <w:rFonts w:hint="eastAsia" w:ascii="仿宋" w:hAnsi="仿宋" w:eastAsia="仿宋" w:cs="仿宋"/>
                <w:spacing w:val="-2"/>
                <w:kern w:val="0"/>
                <w:position w:val="-3"/>
                <w:sz w:val="24"/>
                <w:highlight w:val="none"/>
              </w:rPr>
              <w:t>投标预备答疑会</w:t>
            </w:r>
          </w:p>
        </w:tc>
        <w:tc>
          <w:tcPr>
            <w:tcW w:w="7680" w:type="dxa"/>
            <w:vAlign w:val="center"/>
          </w:tcPr>
          <w:p w14:paraId="49070200">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pacing w:val="-2"/>
                <w:kern w:val="0"/>
                <w:position w:val="-3"/>
                <w:sz w:val="24"/>
                <w:highlight w:val="none"/>
              </w:rPr>
            </w:pPr>
            <w:r>
              <w:rPr>
                <w:rFonts w:hint="eastAsia" w:ascii="仿宋" w:hAnsi="仿宋" w:eastAsia="仿宋" w:cs="仿宋"/>
                <w:spacing w:val="-2"/>
                <w:kern w:val="0"/>
                <w:position w:val="-3"/>
                <w:sz w:val="24"/>
                <w:highlight w:val="none"/>
              </w:rPr>
              <w:sym w:font="Wingdings" w:char="F0FE"/>
            </w:r>
            <w:r>
              <w:rPr>
                <w:rFonts w:hint="eastAsia" w:ascii="仿宋" w:hAnsi="仿宋" w:eastAsia="仿宋" w:cs="仿宋"/>
                <w:spacing w:val="-2"/>
                <w:kern w:val="0"/>
                <w:position w:val="-3"/>
                <w:sz w:val="24"/>
                <w:highlight w:val="none"/>
              </w:rPr>
              <w:t>不召开</w:t>
            </w:r>
          </w:p>
          <w:p w14:paraId="542DA5E3">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pacing w:val="-2"/>
                <w:kern w:val="0"/>
                <w:position w:val="-3"/>
                <w:sz w:val="24"/>
                <w:highlight w:val="none"/>
              </w:rPr>
            </w:pPr>
            <w:r>
              <w:rPr>
                <w:rFonts w:hint="eastAsia" w:ascii="仿宋" w:hAnsi="仿宋" w:eastAsia="仿宋" w:cs="仿宋"/>
                <w:spacing w:val="-2"/>
                <w:kern w:val="0"/>
                <w:position w:val="-3"/>
                <w:sz w:val="24"/>
                <w:highlight w:val="none"/>
              </w:rPr>
              <w:t>□召开召开时间：召开地点：</w:t>
            </w:r>
          </w:p>
        </w:tc>
      </w:tr>
      <w:tr w14:paraId="4141C44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14:paraId="0C3609EE">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1215" w:type="dxa"/>
            <w:vAlign w:val="center"/>
          </w:tcPr>
          <w:p w14:paraId="6035C707">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r>
              <w:rPr>
                <w:rFonts w:hint="eastAsia" w:ascii="仿宋" w:hAnsi="仿宋" w:eastAsia="仿宋" w:cs="仿宋"/>
                <w:kern w:val="0"/>
                <w:position w:val="-3"/>
                <w:sz w:val="24"/>
                <w:highlight w:val="none"/>
              </w:rPr>
              <w:t>是否</w:t>
            </w:r>
            <w:r>
              <w:rPr>
                <w:rFonts w:hint="eastAsia" w:ascii="仿宋" w:hAnsi="仿宋" w:eastAsia="仿宋" w:cs="仿宋"/>
                <w:spacing w:val="-2"/>
                <w:kern w:val="0"/>
                <w:position w:val="-3"/>
                <w:sz w:val="24"/>
                <w:highlight w:val="none"/>
              </w:rPr>
              <w:t>接</w:t>
            </w:r>
            <w:r>
              <w:rPr>
                <w:rFonts w:hint="eastAsia" w:ascii="仿宋" w:hAnsi="仿宋" w:eastAsia="仿宋" w:cs="仿宋"/>
                <w:kern w:val="0"/>
                <w:position w:val="-3"/>
                <w:sz w:val="24"/>
                <w:highlight w:val="none"/>
              </w:rPr>
              <w:t>受</w:t>
            </w:r>
            <w:r>
              <w:rPr>
                <w:rFonts w:hint="eastAsia" w:ascii="仿宋" w:hAnsi="仿宋" w:eastAsia="仿宋" w:cs="仿宋"/>
                <w:spacing w:val="-2"/>
                <w:kern w:val="0"/>
                <w:position w:val="-3"/>
                <w:sz w:val="24"/>
                <w:highlight w:val="none"/>
              </w:rPr>
              <w:t>联</w:t>
            </w:r>
            <w:r>
              <w:rPr>
                <w:rFonts w:hint="eastAsia" w:ascii="仿宋" w:hAnsi="仿宋" w:eastAsia="仿宋" w:cs="仿宋"/>
                <w:kern w:val="0"/>
                <w:position w:val="-3"/>
                <w:sz w:val="24"/>
                <w:highlight w:val="none"/>
              </w:rPr>
              <w:t>合</w:t>
            </w:r>
            <w:r>
              <w:rPr>
                <w:rFonts w:hint="eastAsia" w:ascii="仿宋" w:hAnsi="仿宋" w:eastAsia="仿宋" w:cs="仿宋"/>
                <w:spacing w:val="-2"/>
                <w:kern w:val="0"/>
                <w:position w:val="-3"/>
                <w:sz w:val="24"/>
                <w:highlight w:val="none"/>
              </w:rPr>
              <w:t>体</w:t>
            </w:r>
            <w:r>
              <w:rPr>
                <w:rFonts w:hint="eastAsia" w:ascii="仿宋" w:hAnsi="仿宋" w:eastAsia="仿宋" w:cs="仿宋"/>
                <w:kern w:val="0"/>
                <w:position w:val="-3"/>
                <w:sz w:val="24"/>
                <w:highlight w:val="none"/>
              </w:rPr>
              <w:t>投标</w:t>
            </w:r>
          </w:p>
        </w:tc>
        <w:tc>
          <w:tcPr>
            <w:tcW w:w="7680" w:type="dxa"/>
            <w:vAlign w:val="center"/>
          </w:tcPr>
          <w:p w14:paraId="61AFE733">
            <w:pPr>
              <w:keepNext w:val="0"/>
              <w:keepLines w:val="0"/>
              <w:pageBreakBefore w:val="0"/>
              <w:widowControl w:val="0"/>
              <w:kinsoku/>
              <w:wordWrap/>
              <w:overflowPunct/>
              <w:topLinePunct w:val="0"/>
              <w:autoSpaceDE w:val="0"/>
              <w:autoSpaceDN w:val="0"/>
              <w:bidi w:val="0"/>
              <w:adjustRightInd w:val="0"/>
              <w:spacing w:line="400" w:lineRule="exact"/>
              <w:ind w:right="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sym w:font="Wingdings" w:char="F0FE"/>
            </w:r>
            <w:r>
              <w:rPr>
                <w:rFonts w:hint="eastAsia" w:ascii="仿宋" w:hAnsi="仿宋" w:eastAsia="仿宋" w:cs="仿宋"/>
                <w:sz w:val="24"/>
                <w:highlight w:val="none"/>
                <w:lang w:val="zh-CN"/>
              </w:rPr>
              <w:t>否。</w:t>
            </w:r>
          </w:p>
          <w:p w14:paraId="4DAF94D5">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□是。</w:t>
            </w:r>
          </w:p>
        </w:tc>
      </w:tr>
      <w:tr w14:paraId="615E8B4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14:paraId="52AEFC80">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1215" w:type="dxa"/>
            <w:vAlign w:val="center"/>
          </w:tcPr>
          <w:p w14:paraId="1007CF82">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kern w:val="0"/>
                <w:position w:val="-3"/>
                <w:sz w:val="24"/>
                <w:highlight w:val="none"/>
                <w:lang w:val="en-US" w:eastAsia="zh-CN"/>
              </w:rPr>
            </w:pPr>
            <w:r>
              <w:rPr>
                <w:rFonts w:hint="eastAsia" w:ascii="仿宋" w:hAnsi="仿宋" w:eastAsia="仿宋" w:cs="仿宋"/>
                <w:kern w:val="0"/>
                <w:position w:val="-3"/>
                <w:sz w:val="24"/>
                <w:highlight w:val="none"/>
              </w:rPr>
              <w:t>是否允许进口产品投标</w:t>
            </w:r>
          </w:p>
        </w:tc>
        <w:tc>
          <w:tcPr>
            <w:tcW w:w="7680" w:type="dxa"/>
            <w:vAlign w:val="center"/>
          </w:tcPr>
          <w:p w14:paraId="69045E0F">
            <w:pPr>
              <w:keepNext w:val="0"/>
              <w:keepLines w:val="0"/>
              <w:pageBreakBefore w:val="0"/>
              <w:widowControl w:val="0"/>
              <w:kinsoku/>
              <w:wordWrap/>
              <w:overflowPunct/>
              <w:topLinePunct w:val="0"/>
              <w:bidi w:val="0"/>
              <w:spacing w:line="400" w:lineRule="exact"/>
              <w:ind w:right="0"/>
              <w:jc w:val="left"/>
              <w:textAlignment w:val="auto"/>
              <w:rPr>
                <w:rFonts w:hint="eastAsia" w:ascii="仿宋" w:hAnsi="仿宋" w:eastAsia="仿宋" w:cs="仿宋"/>
                <w:kern w:val="0"/>
                <w:position w:val="-3"/>
                <w:sz w:val="24"/>
                <w:highlight w:val="none"/>
                <w:lang w:val="zh-CN"/>
              </w:rPr>
            </w:pPr>
            <w:r>
              <w:rPr>
                <w:rFonts w:hint="eastAsia" w:ascii="仿宋" w:hAnsi="仿宋" w:eastAsia="仿宋" w:cs="仿宋"/>
                <w:kern w:val="0"/>
                <w:position w:val="-3"/>
                <w:sz w:val="24"/>
                <w:highlight w:val="none"/>
              </w:rPr>
              <w:sym w:font="Wingdings" w:char="F0FE"/>
            </w:r>
            <w:r>
              <w:rPr>
                <w:rFonts w:hint="eastAsia" w:ascii="仿宋" w:hAnsi="仿宋" w:eastAsia="仿宋" w:cs="仿宋"/>
                <w:kern w:val="0"/>
                <w:position w:val="-3"/>
                <w:sz w:val="24"/>
                <w:highlight w:val="none"/>
                <w:lang w:val="zh-CN"/>
              </w:rPr>
              <w:t>不允许。</w:t>
            </w:r>
          </w:p>
          <w:p w14:paraId="242106D8">
            <w:pPr>
              <w:keepNext w:val="0"/>
              <w:keepLines w:val="0"/>
              <w:pageBreakBefore w:val="0"/>
              <w:widowControl w:val="0"/>
              <w:kinsoku/>
              <w:wordWrap/>
              <w:overflowPunct/>
              <w:topLinePunct w:val="0"/>
              <w:bidi w:val="0"/>
              <w:spacing w:line="400" w:lineRule="exact"/>
              <w:ind w:right="0"/>
              <w:jc w:val="left"/>
              <w:textAlignment w:val="auto"/>
              <w:rPr>
                <w:rFonts w:hint="eastAsia" w:ascii="仿宋" w:hAnsi="仿宋" w:eastAsia="仿宋" w:cs="仿宋"/>
                <w:kern w:val="0"/>
                <w:position w:val="-3"/>
                <w:sz w:val="24"/>
                <w:highlight w:val="none"/>
              </w:rPr>
            </w:pPr>
            <w:r>
              <w:rPr>
                <w:rFonts w:hint="eastAsia" w:ascii="仿宋" w:hAnsi="仿宋" w:eastAsia="仿宋" w:cs="仿宋"/>
                <w:kern w:val="0"/>
                <w:position w:val="-3"/>
                <w:sz w:val="24"/>
                <w:highlight w:val="none"/>
              </w:rPr>
              <w:t>□允许，详见招标文件第三部分 采购需求。</w:t>
            </w:r>
          </w:p>
          <w:p w14:paraId="436F39A6">
            <w:pPr>
              <w:keepNext w:val="0"/>
              <w:keepLines w:val="0"/>
              <w:pageBreakBefore w:val="0"/>
              <w:widowControl w:val="0"/>
              <w:kinsoku/>
              <w:wordWrap/>
              <w:overflowPunct/>
              <w:topLinePunct w:val="0"/>
              <w:bidi w:val="0"/>
              <w:spacing w:line="400" w:lineRule="exact"/>
              <w:ind w:right="0"/>
              <w:jc w:val="left"/>
              <w:textAlignment w:val="auto"/>
              <w:rPr>
                <w:rFonts w:hint="eastAsia" w:ascii="仿宋" w:hAnsi="仿宋" w:eastAsia="仿宋" w:cs="仿宋"/>
                <w:kern w:val="0"/>
                <w:position w:val="-3"/>
                <w:sz w:val="24"/>
                <w:highlight w:val="none"/>
              </w:rPr>
            </w:pPr>
            <w:r>
              <w:rPr>
                <w:rFonts w:hint="eastAsia" w:ascii="仿宋" w:hAnsi="仿宋" w:eastAsia="仿宋" w:cs="仿宋"/>
                <w:kern w:val="0"/>
                <w:position w:val="-3"/>
                <w:sz w:val="24"/>
                <w:highlight w:val="none"/>
              </w:rPr>
              <w:t>□部分允许，详见招标文件第三部分 采购需求。</w:t>
            </w:r>
          </w:p>
          <w:p w14:paraId="7F94A122">
            <w:pPr>
              <w:keepNext w:val="0"/>
              <w:keepLines w:val="0"/>
              <w:pageBreakBefore w:val="0"/>
              <w:widowControl w:val="0"/>
              <w:kinsoku/>
              <w:wordWrap/>
              <w:overflowPunct/>
              <w:topLinePunct w:val="0"/>
              <w:bidi w:val="0"/>
              <w:spacing w:line="400" w:lineRule="exact"/>
              <w:ind w:right="0"/>
              <w:jc w:val="left"/>
              <w:textAlignment w:val="auto"/>
              <w:rPr>
                <w:rFonts w:hint="eastAsia" w:ascii="仿宋" w:hAnsi="仿宋" w:eastAsia="仿宋" w:cs="仿宋"/>
                <w:kern w:val="0"/>
                <w:position w:val="-3"/>
                <w:sz w:val="24"/>
                <w:highlight w:val="none"/>
                <w:lang w:val="en-US" w:eastAsia="zh-CN"/>
              </w:rPr>
            </w:pPr>
            <w:r>
              <w:rPr>
                <w:rFonts w:hint="eastAsia" w:ascii="仿宋" w:hAnsi="仿宋" w:eastAsia="仿宋" w:cs="仿宋"/>
                <w:kern w:val="0"/>
                <w:position w:val="-3"/>
                <w:sz w:val="24"/>
                <w:highlight w:val="none"/>
              </w:rPr>
              <w:t>报价及交货方式：□CIP</w:t>
            </w:r>
            <w:r>
              <w:rPr>
                <w:rFonts w:hint="eastAsia" w:ascii="仿宋" w:hAnsi="仿宋" w:eastAsia="仿宋" w:cs="仿宋"/>
                <w:kern w:val="0"/>
                <w:position w:val="-3"/>
                <w:sz w:val="24"/>
                <w:highlight w:val="none"/>
                <w:lang w:val="zh-CN"/>
              </w:rPr>
              <w:t>/</w:t>
            </w:r>
            <w:r>
              <w:rPr>
                <w:rFonts w:hint="eastAsia" w:ascii="仿宋" w:hAnsi="仿宋" w:eastAsia="仿宋" w:cs="仿宋"/>
                <w:kern w:val="0"/>
                <w:position w:val="-3"/>
                <w:sz w:val="24"/>
                <w:highlight w:val="none"/>
              </w:rPr>
              <w:t>□CIF。</w:t>
            </w:r>
          </w:p>
        </w:tc>
      </w:tr>
      <w:tr w14:paraId="108A8B1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544479CB">
            <w:pPr>
              <w:keepNext w:val="0"/>
              <w:keepLines w:val="0"/>
              <w:pageBreakBefore w:val="0"/>
              <w:widowControl w:val="0"/>
              <w:kinsoku/>
              <w:wordWrap/>
              <w:overflowPunct/>
              <w:topLinePunct w:val="0"/>
              <w:bidi w:val="0"/>
              <w:spacing w:line="400" w:lineRule="exact"/>
              <w:ind w:right="0" w:rightChars="0"/>
              <w:jc w:val="center"/>
              <w:textAlignment w:val="auto"/>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6</w:t>
            </w:r>
          </w:p>
        </w:tc>
        <w:tc>
          <w:tcPr>
            <w:tcW w:w="1215" w:type="dxa"/>
            <w:vAlign w:val="center"/>
          </w:tcPr>
          <w:p w14:paraId="46D7E9EE">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r>
              <w:rPr>
                <w:rFonts w:hint="eastAsia" w:ascii="仿宋" w:hAnsi="仿宋" w:eastAsia="仿宋" w:cs="仿宋"/>
                <w:kern w:val="0"/>
                <w:position w:val="-5"/>
                <w:sz w:val="24"/>
                <w:highlight w:val="none"/>
              </w:rPr>
              <w:t>投标</w:t>
            </w:r>
            <w:r>
              <w:rPr>
                <w:rFonts w:hint="eastAsia" w:ascii="仿宋" w:hAnsi="仿宋" w:eastAsia="仿宋" w:cs="仿宋"/>
                <w:spacing w:val="-2"/>
                <w:kern w:val="0"/>
                <w:position w:val="-5"/>
                <w:sz w:val="24"/>
                <w:highlight w:val="none"/>
              </w:rPr>
              <w:t>文</w:t>
            </w:r>
            <w:r>
              <w:rPr>
                <w:rFonts w:hint="eastAsia" w:ascii="仿宋" w:hAnsi="仿宋" w:eastAsia="仿宋" w:cs="仿宋"/>
                <w:kern w:val="0"/>
                <w:position w:val="-5"/>
                <w:sz w:val="24"/>
                <w:highlight w:val="none"/>
              </w:rPr>
              <w:t>件</w:t>
            </w:r>
            <w:r>
              <w:rPr>
                <w:rFonts w:hint="eastAsia" w:ascii="仿宋" w:hAnsi="仿宋" w:eastAsia="仿宋" w:cs="仿宋"/>
                <w:spacing w:val="-2"/>
                <w:kern w:val="0"/>
                <w:position w:val="-5"/>
                <w:sz w:val="24"/>
                <w:highlight w:val="none"/>
              </w:rPr>
              <w:t>份</w:t>
            </w:r>
            <w:r>
              <w:rPr>
                <w:rFonts w:hint="eastAsia" w:ascii="仿宋" w:hAnsi="仿宋" w:eastAsia="仿宋" w:cs="仿宋"/>
                <w:kern w:val="0"/>
                <w:position w:val="-5"/>
                <w:sz w:val="24"/>
                <w:highlight w:val="none"/>
              </w:rPr>
              <w:t>数</w:t>
            </w:r>
          </w:p>
        </w:tc>
        <w:tc>
          <w:tcPr>
            <w:tcW w:w="7680" w:type="dxa"/>
            <w:vAlign w:val="center"/>
          </w:tcPr>
          <w:p w14:paraId="0EDEC06C">
            <w:pPr>
              <w:keepNext w:val="0"/>
              <w:keepLines w:val="0"/>
              <w:pageBreakBefore w:val="0"/>
              <w:widowControl w:val="0"/>
              <w:numPr>
                <w:ilvl w:val="0"/>
                <w:numId w:val="1"/>
              </w:numPr>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“电子加密投标文件”：在线上传递交、一份。</w:t>
            </w:r>
          </w:p>
          <w:p w14:paraId="44443B4F">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（2）“备份投标文件”：密封包装后（建议顺丰邮寄形式）投标截止时间前递交一份，邮寄地址：</w:t>
            </w:r>
            <w:r>
              <w:rPr>
                <w:rFonts w:hint="eastAsia" w:ascii="仿宋" w:hAnsi="仿宋" w:eastAsia="仿宋" w:cs="仿宋"/>
                <w:sz w:val="24"/>
                <w:highlight w:val="none"/>
                <w:lang w:eastAsia="zh-CN"/>
              </w:rPr>
              <w:t>衢州市柯城区万田乡弈古文体城二区19-3幢</w:t>
            </w:r>
            <w:r>
              <w:rPr>
                <w:rFonts w:hint="eastAsia" w:ascii="仿宋" w:hAnsi="仿宋" w:eastAsia="仿宋" w:cs="仿宋"/>
                <w:sz w:val="24"/>
                <w:highlight w:val="none"/>
              </w:rPr>
              <w:t>。</w:t>
            </w:r>
          </w:p>
        </w:tc>
      </w:tr>
      <w:tr w14:paraId="7EB088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37B55555">
            <w:pPr>
              <w:keepNext w:val="0"/>
              <w:keepLines w:val="0"/>
              <w:pageBreakBefore w:val="0"/>
              <w:widowControl w:val="0"/>
              <w:kinsoku/>
              <w:wordWrap/>
              <w:overflowPunct/>
              <w:topLinePunct w:val="0"/>
              <w:bidi w:val="0"/>
              <w:spacing w:line="400" w:lineRule="exact"/>
              <w:ind w:right="0" w:rightChars="0"/>
              <w:jc w:val="center"/>
              <w:textAlignment w:val="auto"/>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7</w:t>
            </w:r>
          </w:p>
        </w:tc>
        <w:tc>
          <w:tcPr>
            <w:tcW w:w="1215" w:type="dxa"/>
            <w:vAlign w:val="center"/>
          </w:tcPr>
          <w:p w14:paraId="1D386C37">
            <w:pPr>
              <w:keepNext w:val="0"/>
              <w:keepLines w:val="0"/>
              <w:pageBreakBefore w:val="0"/>
              <w:widowControl w:val="0"/>
              <w:kinsoku/>
              <w:wordWrap/>
              <w:overflowPunct/>
              <w:topLinePunct w:val="0"/>
              <w:autoSpaceDE w:val="0"/>
              <w:autoSpaceDN w:val="0"/>
              <w:bidi w:val="0"/>
              <w:adjustRightInd w:val="0"/>
              <w:spacing w:line="400" w:lineRule="exact"/>
              <w:ind w:right="0"/>
              <w:jc w:val="center"/>
              <w:textAlignment w:val="auto"/>
              <w:rPr>
                <w:rFonts w:hint="eastAsia" w:ascii="仿宋" w:hAnsi="仿宋" w:eastAsia="仿宋" w:cs="仿宋"/>
                <w:kern w:val="0"/>
                <w:sz w:val="24"/>
                <w:highlight w:val="none"/>
              </w:rPr>
            </w:pPr>
            <w:r>
              <w:rPr>
                <w:rFonts w:hint="eastAsia" w:ascii="仿宋" w:hAnsi="仿宋" w:eastAsia="仿宋" w:cs="仿宋"/>
                <w:kern w:val="0"/>
                <w:position w:val="-5"/>
                <w:sz w:val="24"/>
                <w:szCs w:val="22"/>
                <w:highlight w:val="none"/>
              </w:rPr>
              <w:t>投标文件的组成和编制</w:t>
            </w:r>
          </w:p>
        </w:tc>
        <w:tc>
          <w:tcPr>
            <w:tcW w:w="7680" w:type="dxa"/>
            <w:vAlign w:val="center"/>
          </w:tcPr>
          <w:p w14:paraId="79183832">
            <w:pPr>
              <w:keepNext w:val="0"/>
              <w:keepLines w:val="0"/>
              <w:pageBreakBefore w:val="0"/>
              <w:widowControl w:val="0"/>
              <w:kinsoku/>
              <w:wordWrap/>
              <w:overflowPunct/>
              <w:topLinePunct w:val="0"/>
              <w:autoSpaceDE w:val="0"/>
              <w:autoSpaceDN w:val="0"/>
              <w:bidi w:val="0"/>
              <w:adjustRightInd w:val="0"/>
              <w:spacing w:line="400" w:lineRule="exact"/>
              <w:ind w:right="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本项目的《投标文件》由“资格文件”、“商务技术文件”和“报价文件”三个部分组成。</w:t>
            </w:r>
          </w:p>
          <w:p w14:paraId="47C33EDE">
            <w:pPr>
              <w:keepNext w:val="0"/>
              <w:keepLines w:val="0"/>
              <w:pageBreakBefore w:val="0"/>
              <w:widowControl w:val="0"/>
              <w:kinsoku/>
              <w:wordWrap/>
              <w:overflowPunct/>
              <w:topLinePunct w:val="0"/>
              <w:autoSpaceDE w:val="0"/>
              <w:autoSpaceDN w:val="0"/>
              <w:bidi w:val="0"/>
              <w:adjustRightInd w:val="0"/>
              <w:spacing w:line="400" w:lineRule="exact"/>
              <w:ind w:right="0"/>
              <w:textAlignment w:val="auto"/>
              <w:rPr>
                <w:rFonts w:hint="eastAsia" w:ascii="仿宋" w:hAnsi="仿宋" w:eastAsia="仿宋" w:cs="仿宋"/>
                <w:kern w:val="0"/>
                <w:sz w:val="24"/>
                <w:highlight w:val="none"/>
              </w:rPr>
            </w:pPr>
            <w:r>
              <w:rPr>
                <w:rFonts w:hint="eastAsia" w:ascii="仿宋" w:hAnsi="仿宋" w:eastAsia="仿宋" w:cs="仿宋"/>
                <w:sz w:val="24"/>
                <w:highlight w:val="none"/>
              </w:rPr>
              <w:t>投标人应先安装“政采云电子交易客户端”，并按照本招标文件和“政府采购云平台”的要求，通过“政采云电子交易客户端”编制并加密投标文件。</w:t>
            </w:r>
          </w:p>
        </w:tc>
      </w:tr>
      <w:tr w14:paraId="42FA7A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30" w:type="dxa"/>
            <w:vAlign w:val="center"/>
          </w:tcPr>
          <w:p w14:paraId="68ECD3C9">
            <w:pPr>
              <w:keepNext w:val="0"/>
              <w:keepLines w:val="0"/>
              <w:pageBreakBefore w:val="0"/>
              <w:widowControl w:val="0"/>
              <w:kinsoku/>
              <w:wordWrap/>
              <w:overflowPunct/>
              <w:topLinePunct w:val="0"/>
              <w:bidi w:val="0"/>
              <w:spacing w:line="400" w:lineRule="exact"/>
              <w:ind w:right="0" w:rightChars="0"/>
              <w:jc w:val="center"/>
              <w:textAlignment w:val="auto"/>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8</w:t>
            </w:r>
          </w:p>
        </w:tc>
        <w:tc>
          <w:tcPr>
            <w:tcW w:w="1215" w:type="dxa"/>
            <w:vAlign w:val="center"/>
          </w:tcPr>
          <w:p w14:paraId="389C5CAB">
            <w:pPr>
              <w:keepNext w:val="0"/>
              <w:keepLines w:val="0"/>
              <w:pageBreakBefore w:val="0"/>
              <w:widowControl w:val="0"/>
              <w:kinsoku/>
              <w:wordWrap/>
              <w:overflowPunct/>
              <w:topLinePunct w:val="0"/>
              <w:autoSpaceDE w:val="0"/>
              <w:autoSpaceDN w:val="0"/>
              <w:bidi w:val="0"/>
              <w:adjustRightInd w:val="0"/>
              <w:spacing w:line="400" w:lineRule="exact"/>
              <w:ind w:right="0"/>
              <w:jc w:val="center"/>
              <w:textAlignment w:val="auto"/>
              <w:rPr>
                <w:rFonts w:hint="eastAsia" w:ascii="仿宋" w:hAnsi="仿宋" w:eastAsia="仿宋" w:cs="仿宋"/>
                <w:kern w:val="0"/>
                <w:position w:val="-3"/>
                <w:sz w:val="24"/>
                <w:highlight w:val="none"/>
              </w:rPr>
            </w:pPr>
            <w:r>
              <w:rPr>
                <w:rFonts w:hint="eastAsia" w:ascii="仿宋" w:hAnsi="仿宋" w:eastAsia="仿宋" w:cs="仿宋"/>
                <w:kern w:val="0"/>
                <w:position w:val="-5"/>
                <w:sz w:val="24"/>
                <w:szCs w:val="22"/>
                <w:highlight w:val="none"/>
              </w:rPr>
              <w:t>投标文件的签章</w:t>
            </w:r>
          </w:p>
        </w:tc>
        <w:tc>
          <w:tcPr>
            <w:tcW w:w="7680" w:type="dxa"/>
            <w:vAlign w:val="center"/>
          </w:tcPr>
          <w:p w14:paraId="0DD5E2EE">
            <w:pPr>
              <w:keepNext w:val="0"/>
              <w:keepLines w:val="0"/>
              <w:pageBreakBefore w:val="0"/>
              <w:widowControl w:val="0"/>
              <w:kinsoku/>
              <w:wordWrap/>
              <w:overflowPunct/>
              <w:topLinePunct w:val="0"/>
              <w:autoSpaceDE w:val="0"/>
              <w:autoSpaceDN w:val="0"/>
              <w:bidi w:val="0"/>
              <w:adjustRightInd w:val="0"/>
              <w:spacing w:line="400" w:lineRule="exact"/>
              <w:ind w:right="0"/>
              <w:textAlignment w:val="auto"/>
              <w:rPr>
                <w:rFonts w:hint="eastAsia" w:ascii="仿宋" w:hAnsi="仿宋" w:eastAsia="仿宋" w:cs="仿宋"/>
                <w:kern w:val="0"/>
                <w:position w:val="-2"/>
                <w:sz w:val="24"/>
                <w:highlight w:val="none"/>
              </w:rPr>
            </w:pPr>
            <w:r>
              <w:rPr>
                <w:rFonts w:hint="eastAsia" w:ascii="仿宋" w:hAnsi="仿宋" w:eastAsia="仿宋" w:cs="仿宋"/>
                <w:sz w:val="24"/>
                <w:highlight w:val="none"/>
              </w:rPr>
              <w:t>电子签章（</w:t>
            </w:r>
            <w:r>
              <w:rPr>
                <w:rFonts w:hint="eastAsia" w:ascii="仿宋" w:hAnsi="仿宋" w:eastAsia="仿宋" w:cs="仿宋"/>
                <w:b/>
                <w:sz w:val="24"/>
                <w:highlight w:val="none"/>
              </w:rPr>
              <w:t>注：</w:t>
            </w:r>
            <w:r>
              <w:rPr>
                <w:rFonts w:hint="eastAsia" w:ascii="仿宋" w:hAnsi="仿宋" w:eastAsia="仿宋" w:cs="仿宋"/>
                <w:b/>
                <w:sz w:val="24"/>
                <w:highlight w:val="none"/>
                <w:u w:val="single"/>
              </w:rPr>
              <w:t>CA签章上没有法人或授权代表签章信息的，投标文件中涉及到法人或授权代表签章的可线下签好字然后扫描成PDF格式</w:t>
            </w:r>
            <w:r>
              <w:rPr>
                <w:rFonts w:hint="eastAsia" w:ascii="仿宋" w:hAnsi="仿宋" w:eastAsia="仿宋" w:cs="仿宋"/>
                <w:sz w:val="24"/>
                <w:highlight w:val="none"/>
              </w:rPr>
              <w:t>）</w:t>
            </w:r>
          </w:p>
        </w:tc>
      </w:tr>
      <w:tr w14:paraId="231D7D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0" w:type="dxa"/>
            <w:vAlign w:val="center"/>
          </w:tcPr>
          <w:p w14:paraId="7AC70A03">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1215" w:type="dxa"/>
            <w:vAlign w:val="center"/>
          </w:tcPr>
          <w:p w14:paraId="3E433575">
            <w:pPr>
              <w:keepNext w:val="0"/>
              <w:keepLines w:val="0"/>
              <w:pageBreakBefore w:val="0"/>
              <w:widowControl w:val="0"/>
              <w:kinsoku/>
              <w:wordWrap/>
              <w:overflowPunct/>
              <w:topLinePunct w:val="0"/>
              <w:autoSpaceDE w:val="0"/>
              <w:autoSpaceDN w:val="0"/>
              <w:bidi w:val="0"/>
              <w:adjustRightInd w:val="0"/>
              <w:spacing w:line="400" w:lineRule="exact"/>
              <w:ind w:right="0"/>
              <w:jc w:val="center"/>
              <w:textAlignment w:val="auto"/>
              <w:rPr>
                <w:rFonts w:hint="eastAsia" w:ascii="仿宋" w:hAnsi="仿宋" w:eastAsia="仿宋" w:cs="仿宋"/>
                <w:kern w:val="0"/>
                <w:sz w:val="24"/>
                <w:highlight w:val="none"/>
              </w:rPr>
            </w:pPr>
            <w:r>
              <w:rPr>
                <w:rFonts w:hint="eastAsia" w:ascii="仿宋" w:hAnsi="仿宋" w:eastAsia="仿宋" w:cs="仿宋"/>
                <w:kern w:val="0"/>
                <w:position w:val="-3"/>
                <w:sz w:val="24"/>
                <w:highlight w:val="none"/>
              </w:rPr>
              <w:t>投标</w:t>
            </w:r>
            <w:r>
              <w:rPr>
                <w:rFonts w:hint="eastAsia" w:ascii="仿宋" w:hAnsi="仿宋" w:eastAsia="仿宋" w:cs="仿宋"/>
                <w:spacing w:val="-2"/>
                <w:kern w:val="0"/>
                <w:position w:val="-3"/>
                <w:sz w:val="24"/>
                <w:highlight w:val="none"/>
              </w:rPr>
              <w:t>文</w:t>
            </w:r>
            <w:r>
              <w:rPr>
                <w:rFonts w:hint="eastAsia" w:ascii="仿宋" w:hAnsi="仿宋" w:eastAsia="仿宋" w:cs="仿宋"/>
                <w:kern w:val="0"/>
                <w:position w:val="-3"/>
                <w:sz w:val="24"/>
                <w:highlight w:val="none"/>
              </w:rPr>
              <w:t>件</w:t>
            </w:r>
            <w:r>
              <w:rPr>
                <w:rFonts w:hint="eastAsia" w:ascii="仿宋" w:hAnsi="仿宋" w:eastAsia="仿宋" w:cs="仿宋"/>
                <w:spacing w:val="-2"/>
                <w:kern w:val="0"/>
                <w:position w:val="-3"/>
                <w:sz w:val="24"/>
                <w:highlight w:val="none"/>
              </w:rPr>
              <w:t>有</w:t>
            </w:r>
            <w:r>
              <w:rPr>
                <w:rFonts w:hint="eastAsia" w:ascii="仿宋" w:hAnsi="仿宋" w:eastAsia="仿宋" w:cs="仿宋"/>
                <w:kern w:val="0"/>
                <w:position w:val="-3"/>
                <w:sz w:val="24"/>
                <w:highlight w:val="none"/>
              </w:rPr>
              <w:t>效期</w:t>
            </w:r>
          </w:p>
        </w:tc>
        <w:tc>
          <w:tcPr>
            <w:tcW w:w="7680" w:type="dxa"/>
            <w:vAlign w:val="center"/>
          </w:tcPr>
          <w:p w14:paraId="6ADEB32F">
            <w:pPr>
              <w:keepNext w:val="0"/>
              <w:keepLines w:val="0"/>
              <w:pageBreakBefore w:val="0"/>
              <w:widowControl w:val="0"/>
              <w:kinsoku/>
              <w:wordWrap/>
              <w:overflowPunct/>
              <w:topLinePunct w:val="0"/>
              <w:autoSpaceDE w:val="0"/>
              <w:autoSpaceDN w:val="0"/>
              <w:bidi w:val="0"/>
              <w:adjustRightInd w:val="0"/>
              <w:spacing w:line="400" w:lineRule="exact"/>
              <w:ind w:right="0"/>
              <w:textAlignment w:val="auto"/>
              <w:rPr>
                <w:rFonts w:hint="eastAsia" w:ascii="仿宋" w:hAnsi="仿宋" w:eastAsia="仿宋" w:cs="仿宋"/>
                <w:kern w:val="0"/>
                <w:sz w:val="24"/>
                <w:highlight w:val="none"/>
              </w:rPr>
            </w:pPr>
            <w:r>
              <w:rPr>
                <w:rFonts w:hint="eastAsia" w:ascii="仿宋" w:hAnsi="仿宋" w:eastAsia="仿宋" w:cs="仿宋"/>
                <w:kern w:val="0"/>
                <w:position w:val="-2"/>
                <w:sz w:val="24"/>
                <w:highlight w:val="none"/>
              </w:rPr>
              <w:t>自投</w:t>
            </w:r>
            <w:r>
              <w:rPr>
                <w:rFonts w:hint="eastAsia" w:ascii="仿宋" w:hAnsi="仿宋" w:eastAsia="仿宋" w:cs="仿宋"/>
                <w:spacing w:val="-2"/>
                <w:kern w:val="0"/>
                <w:position w:val="-2"/>
                <w:sz w:val="24"/>
                <w:highlight w:val="none"/>
              </w:rPr>
              <w:t>标</w:t>
            </w:r>
            <w:r>
              <w:rPr>
                <w:rFonts w:hint="eastAsia" w:ascii="仿宋" w:hAnsi="仿宋" w:eastAsia="仿宋" w:cs="仿宋"/>
                <w:kern w:val="0"/>
                <w:position w:val="-2"/>
                <w:sz w:val="24"/>
                <w:highlight w:val="none"/>
              </w:rPr>
              <w:t>截</w:t>
            </w:r>
            <w:r>
              <w:rPr>
                <w:rFonts w:hint="eastAsia" w:ascii="仿宋" w:hAnsi="仿宋" w:eastAsia="仿宋" w:cs="仿宋"/>
                <w:spacing w:val="-2"/>
                <w:kern w:val="0"/>
                <w:position w:val="-2"/>
                <w:sz w:val="24"/>
                <w:highlight w:val="none"/>
              </w:rPr>
              <w:t>止</w:t>
            </w:r>
            <w:r>
              <w:rPr>
                <w:rFonts w:hint="eastAsia" w:ascii="仿宋" w:hAnsi="仿宋" w:eastAsia="仿宋" w:cs="仿宋"/>
                <w:kern w:val="0"/>
                <w:position w:val="-2"/>
                <w:sz w:val="24"/>
                <w:highlight w:val="none"/>
              </w:rPr>
              <w:t>时</w:t>
            </w:r>
            <w:r>
              <w:rPr>
                <w:rFonts w:hint="eastAsia" w:ascii="仿宋" w:hAnsi="仿宋" w:eastAsia="仿宋" w:cs="仿宋"/>
                <w:spacing w:val="-2"/>
                <w:kern w:val="0"/>
                <w:position w:val="-2"/>
                <w:sz w:val="24"/>
                <w:highlight w:val="none"/>
              </w:rPr>
              <w:t>间</w:t>
            </w:r>
            <w:r>
              <w:rPr>
                <w:rFonts w:hint="eastAsia" w:ascii="仿宋" w:hAnsi="仿宋" w:eastAsia="仿宋" w:cs="仿宋"/>
                <w:kern w:val="0"/>
                <w:position w:val="-2"/>
                <w:sz w:val="24"/>
                <w:highlight w:val="none"/>
              </w:rPr>
              <w:t>起不少于</w:t>
            </w:r>
            <w:r>
              <w:rPr>
                <w:rFonts w:hint="eastAsia" w:ascii="仿宋" w:hAnsi="仿宋" w:eastAsia="仿宋" w:cs="仿宋"/>
                <w:spacing w:val="-2"/>
                <w:kern w:val="0"/>
                <w:position w:val="-2"/>
                <w:sz w:val="24"/>
                <w:highlight w:val="none"/>
              </w:rPr>
              <w:t>90天。</w:t>
            </w:r>
          </w:p>
        </w:tc>
      </w:tr>
      <w:tr w14:paraId="1C207F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830" w:type="dxa"/>
            <w:vAlign w:val="center"/>
          </w:tcPr>
          <w:p w14:paraId="1F26A5D1">
            <w:pPr>
              <w:keepNext w:val="0"/>
              <w:keepLines w:val="0"/>
              <w:pageBreakBefore w:val="0"/>
              <w:widowControl w:val="0"/>
              <w:kinsoku/>
              <w:wordWrap/>
              <w:overflowPunct/>
              <w:topLinePunct w:val="0"/>
              <w:bidi w:val="0"/>
              <w:spacing w:line="400" w:lineRule="exact"/>
              <w:ind w:right="0" w:rightChars="0"/>
              <w:jc w:val="center"/>
              <w:textAlignment w:val="auto"/>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10</w:t>
            </w:r>
          </w:p>
        </w:tc>
        <w:tc>
          <w:tcPr>
            <w:tcW w:w="1215" w:type="dxa"/>
            <w:vAlign w:val="center"/>
          </w:tcPr>
          <w:p w14:paraId="402AF21B">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kern w:val="0"/>
                <w:sz w:val="24"/>
                <w:highlight w:val="none"/>
              </w:rPr>
            </w:pPr>
            <w:r>
              <w:rPr>
                <w:rFonts w:hint="eastAsia" w:ascii="仿宋" w:hAnsi="仿宋" w:eastAsia="仿宋" w:cs="仿宋"/>
                <w:kern w:val="0"/>
                <w:position w:val="-3"/>
                <w:sz w:val="24"/>
                <w:highlight w:val="none"/>
              </w:rPr>
              <w:t>投标文件的形式</w:t>
            </w:r>
          </w:p>
        </w:tc>
        <w:tc>
          <w:tcPr>
            <w:tcW w:w="7680" w:type="dxa"/>
            <w:vAlign w:val="center"/>
          </w:tcPr>
          <w:p w14:paraId="13EA9A2A">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☑电子投标文件（包括“电子加密投标文件”和“备份投标文件”，在投标文件编制完成后同时生成）；</w:t>
            </w:r>
          </w:p>
          <w:p w14:paraId="72271130">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（1）“电子加密投标文件”是指通过“政采云电子交易客户端”完成投标文件编制后生成并加密的数据电文形式的投标文件。</w:t>
            </w:r>
          </w:p>
          <w:p w14:paraId="0C3B0971">
            <w:pPr>
              <w:keepNext w:val="0"/>
              <w:keepLines w:val="0"/>
              <w:pageBreakBefore w:val="0"/>
              <w:widowControl w:val="0"/>
              <w:kinsoku/>
              <w:wordWrap/>
              <w:overflowPunct/>
              <w:topLinePunct w:val="0"/>
              <w:autoSpaceDE w:val="0"/>
              <w:autoSpaceDN w:val="0"/>
              <w:bidi w:val="0"/>
              <w:adjustRightInd w:val="0"/>
              <w:spacing w:line="400" w:lineRule="exact"/>
              <w:ind w:right="0"/>
              <w:textAlignment w:val="auto"/>
              <w:rPr>
                <w:rFonts w:hint="eastAsia" w:ascii="仿宋" w:hAnsi="仿宋" w:eastAsia="仿宋" w:cs="仿宋"/>
                <w:kern w:val="0"/>
                <w:sz w:val="24"/>
                <w:highlight w:val="none"/>
              </w:rPr>
            </w:pPr>
            <w:r>
              <w:rPr>
                <w:rFonts w:hint="eastAsia" w:ascii="仿宋" w:hAnsi="仿宋" w:eastAsia="仿宋" w:cs="仿宋"/>
                <w:sz w:val="24"/>
                <w:highlight w:val="none"/>
              </w:rPr>
              <w:t>（2）“备份投标文件”是指与“电子加密投标文件”同时生成的数据电文形式的电子文件（备份标书），其他方式编制的备份投标文件视为无效备份投标文件。</w:t>
            </w:r>
          </w:p>
        </w:tc>
      </w:tr>
      <w:tr w14:paraId="17AEB2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830" w:type="dxa"/>
            <w:vAlign w:val="center"/>
          </w:tcPr>
          <w:p w14:paraId="2417A80F">
            <w:pPr>
              <w:keepNext w:val="0"/>
              <w:keepLines w:val="0"/>
              <w:pageBreakBefore w:val="0"/>
              <w:widowControl w:val="0"/>
              <w:kinsoku/>
              <w:wordWrap/>
              <w:overflowPunct/>
              <w:topLinePunct w:val="0"/>
              <w:bidi w:val="0"/>
              <w:spacing w:line="400" w:lineRule="exact"/>
              <w:ind w:right="0" w:rightChars="0"/>
              <w:jc w:val="center"/>
              <w:textAlignment w:val="auto"/>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lang w:val="en-US" w:eastAsia="zh-CN"/>
              </w:rPr>
              <w:t>11</w:t>
            </w:r>
          </w:p>
        </w:tc>
        <w:tc>
          <w:tcPr>
            <w:tcW w:w="1215" w:type="dxa"/>
            <w:vAlign w:val="center"/>
          </w:tcPr>
          <w:p w14:paraId="395202D3">
            <w:pPr>
              <w:autoSpaceDE w:val="0"/>
              <w:autoSpaceDN w:val="0"/>
              <w:adjustRightInd w:val="0"/>
              <w:spacing w:line="360" w:lineRule="auto"/>
              <w:ind w:right="-20" w:rightChars="0"/>
              <w:jc w:val="center"/>
              <w:rPr>
                <w:rFonts w:hint="eastAsia" w:ascii="宋体" w:hAnsi="宋体" w:eastAsia="宋体" w:cs="宋体"/>
                <w:color w:val="auto"/>
                <w:kern w:val="0"/>
                <w:position w:val="-3"/>
                <w:sz w:val="24"/>
                <w:highlight w:val="none"/>
                <w:lang w:val="en-US" w:eastAsia="zh-CN" w:bidi="ar-SA"/>
              </w:rPr>
            </w:pPr>
            <w:r>
              <w:rPr>
                <w:rFonts w:hint="eastAsia" w:ascii="仿宋" w:hAnsi="仿宋" w:eastAsia="仿宋" w:cs="仿宋"/>
                <w:kern w:val="0"/>
                <w:position w:val="-3"/>
                <w:sz w:val="24"/>
                <w:highlight w:val="none"/>
              </w:rPr>
              <w:t>投标样品</w:t>
            </w:r>
          </w:p>
        </w:tc>
        <w:tc>
          <w:tcPr>
            <w:tcW w:w="7680" w:type="dxa"/>
            <w:vAlign w:val="center"/>
          </w:tcPr>
          <w:p w14:paraId="482BDB8E">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eastAsia="zh-CN"/>
              </w:rPr>
              <w:t>（</w:t>
            </w:r>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本项目是否需要样品：</w:t>
            </w:r>
            <w:r>
              <w:rPr>
                <w:rFonts w:hint="eastAsia" w:ascii="仿宋" w:hAnsi="仿宋" w:eastAsia="仿宋" w:cs="仿宋"/>
                <w:sz w:val="24"/>
                <w:highlight w:val="none"/>
              </w:rPr>
              <w:sym w:font="Wingdings" w:char="F0FE"/>
            </w:r>
            <w:r>
              <w:rPr>
                <w:rFonts w:hint="eastAsia" w:ascii="仿宋" w:hAnsi="仿宋" w:eastAsia="仿宋" w:cs="仿宋"/>
                <w:sz w:val="24"/>
                <w:highlight w:val="none"/>
                <w:lang w:val="zh-CN"/>
              </w:rPr>
              <w:t>否；</w:t>
            </w:r>
            <w:r>
              <w:rPr>
                <w:rFonts w:hint="eastAsia" w:ascii="仿宋" w:hAnsi="仿宋" w:eastAsia="仿宋" w:cs="仿宋"/>
                <w:sz w:val="24"/>
                <w:highlight w:val="none"/>
              </w:rPr>
              <w:t>□是，详见第三部分要求。</w:t>
            </w:r>
          </w:p>
          <w:p w14:paraId="1D380CA3">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样品标识：□</w:t>
            </w:r>
            <w:r>
              <w:rPr>
                <w:rFonts w:hint="eastAsia" w:ascii="仿宋" w:hAnsi="仿宋" w:eastAsia="仿宋" w:cs="仿宋"/>
                <w:sz w:val="24"/>
                <w:highlight w:val="none"/>
                <w:lang w:val="zh-CN"/>
              </w:rPr>
              <w:t>明标；</w:t>
            </w:r>
            <w:r>
              <w:rPr>
                <w:rFonts w:hint="eastAsia" w:ascii="仿宋" w:hAnsi="仿宋" w:eastAsia="仿宋" w:cs="仿宋"/>
                <w:sz w:val="24"/>
                <w:highlight w:val="none"/>
              </w:rPr>
              <w:t>□暗标。</w:t>
            </w:r>
          </w:p>
          <w:p w14:paraId="313693A6">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样品送至地点：</w:t>
            </w:r>
            <w:r>
              <w:rPr>
                <w:rFonts w:hint="eastAsia" w:ascii="仿宋" w:hAnsi="仿宋" w:eastAsia="仿宋" w:cs="仿宋"/>
                <w:sz w:val="24"/>
                <w:highlight w:val="none"/>
                <w:u w:val="single"/>
              </w:rPr>
              <w:t>______________________________</w:t>
            </w:r>
          </w:p>
          <w:p w14:paraId="62F525C8">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中标人样品处理：□退还；□封存至验收；□抵扣采购数量。</w:t>
            </w:r>
          </w:p>
          <w:p w14:paraId="29D77880">
            <w:pPr>
              <w:keepNext w:val="0"/>
              <w:keepLines w:val="0"/>
              <w:pageBreakBefore w:val="0"/>
              <w:widowControl w:val="0"/>
              <w:kinsoku/>
              <w:wordWrap/>
              <w:overflowPunct/>
              <w:topLinePunct w:val="0"/>
              <w:bidi w:val="0"/>
              <w:spacing w:line="400" w:lineRule="exact"/>
              <w:ind w:right="0"/>
              <w:textAlignment w:val="auto"/>
              <w:rPr>
                <w:rFonts w:hint="eastAsia" w:ascii="宋体" w:hAnsi="宋体" w:eastAsia="宋体" w:cs="宋体"/>
                <w:snapToGrid w:val="0"/>
                <w:color w:val="auto"/>
                <w:kern w:val="10"/>
                <w:sz w:val="24"/>
                <w:highlight w:val="none"/>
                <w:lang w:val="en-US" w:eastAsia="zh-CN" w:bidi="ar-SA"/>
              </w:rPr>
            </w:pPr>
            <w:r>
              <w:rPr>
                <w:rFonts w:hint="eastAsia" w:ascii="仿宋" w:hAnsi="仿宋" w:eastAsia="仿宋" w:cs="仿宋"/>
                <w:sz w:val="24"/>
                <w:highlight w:val="none"/>
                <w:lang w:eastAsia="zh-CN"/>
              </w:rPr>
              <w:t>（</w:t>
            </w:r>
            <w:r>
              <w:rPr>
                <w:rFonts w:hint="eastAsia" w:ascii="仿宋" w:hAnsi="仿宋" w:eastAsia="仿宋" w:cs="仿宋"/>
                <w:sz w:val="24"/>
                <w:highlight w:val="none"/>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样品退还时间：</w:t>
            </w:r>
            <w:r>
              <w:rPr>
                <w:rFonts w:hint="eastAsia" w:ascii="仿宋" w:hAnsi="仿宋" w:eastAsia="仿宋" w:cs="仿宋"/>
                <w:sz w:val="24"/>
                <w:highlight w:val="none"/>
                <w:u w:val="single"/>
              </w:rPr>
              <w:t xml:space="preserve">（另行通知）  </w:t>
            </w:r>
            <w:r>
              <w:rPr>
                <w:rFonts w:hint="eastAsia" w:ascii="仿宋" w:hAnsi="仿宋" w:eastAsia="仿宋" w:cs="仿宋"/>
                <w:sz w:val="24"/>
                <w:highlight w:val="none"/>
              </w:rPr>
              <w:t xml:space="preserve">                 </w:t>
            </w:r>
          </w:p>
        </w:tc>
      </w:tr>
      <w:tr w14:paraId="5A7E4BA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30" w:type="dxa"/>
            <w:vAlign w:val="center"/>
          </w:tcPr>
          <w:p w14:paraId="50038620">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p>
        </w:tc>
        <w:tc>
          <w:tcPr>
            <w:tcW w:w="1215" w:type="dxa"/>
            <w:vAlign w:val="center"/>
          </w:tcPr>
          <w:p w14:paraId="4131F4A6">
            <w:pPr>
              <w:pStyle w:val="48"/>
              <w:keepNext w:val="0"/>
              <w:keepLines w:val="0"/>
              <w:pageBreakBefore w:val="0"/>
              <w:widowControl w:val="0"/>
              <w:kinsoku/>
              <w:wordWrap/>
              <w:overflowPunct/>
              <w:topLinePunct w:val="0"/>
              <w:bidi w:val="0"/>
              <w:snapToGrid w:val="0"/>
              <w:spacing w:line="400" w:lineRule="exact"/>
              <w:ind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签订合同</w:t>
            </w:r>
          </w:p>
        </w:tc>
        <w:tc>
          <w:tcPr>
            <w:tcW w:w="7680" w:type="dxa"/>
            <w:vAlign w:val="center"/>
          </w:tcPr>
          <w:p w14:paraId="171151B7">
            <w:pPr>
              <w:pStyle w:val="48"/>
              <w:keepNext w:val="0"/>
              <w:keepLines w:val="0"/>
              <w:pageBreakBefore w:val="0"/>
              <w:widowControl w:val="0"/>
              <w:kinsoku/>
              <w:wordWrap/>
              <w:overflowPunct/>
              <w:topLinePunct w:val="0"/>
              <w:bidi w:val="0"/>
              <w:snapToGrid w:val="0"/>
              <w:spacing w:line="400" w:lineRule="exact"/>
              <w:ind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中标通知书发出后三十天内签订合同。 </w:t>
            </w:r>
          </w:p>
        </w:tc>
      </w:tr>
      <w:tr w14:paraId="4BB6F1B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30" w:type="dxa"/>
            <w:vMerge w:val="restart"/>
            <w:vAlign w:val="center"/>
          </w:tcPr>
          <w:p w14:paraId="5EE89C97">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lang w:val="en-US" w:eastAsia="zh-CN"/>
              </w:rPr>
            </w:pPr>
          </w:p>
        </w:tc>
        <w:tc>
          <w:tcPr>
            <w:tcW w:w="1215" w:type="dxa"/>
            <w:vMerge w:val="restart"/>
            <w:vAlign w:val="center"/>
          </w:tcPr>
          <w:p w14:paraId="339930AB">
            <w:pPr>
              <w:keepNext w:val="0"/>
              <w:keepLines w:val="0"/>
              <w:pageBreakBefore w:val="0"/>
              <w:widowControl w:val="0"/>
              <w:kinsoku/>
              <w:wordWrap/>
              <w:overflowPunct/>
              <w:topLinePunct w:val="0"/>
              <w:bidi w:val="0"/>
              <w:adjustRightInd w:val="0"/>
              <w:snapToGrid w:val="0"/>
              <w:spacing w:line="400" w:lineRule="exact"/>
              <w:ind w:righ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其他注意事项</w:t>
            </w:r>
          </w:p>
        </w:tc>
        <w:tc>
          <w:tcPr>
            <w:tcW w:w="7680" w:type="dxa"/>
            <w:vAlign w:val="center"/>
          </w:tcPr>
          <w:p w14:paraId="5535CA99">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77165E4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30" w:type="dxa"/>
            <w:vMerge w:val="continue"/>
            <w:vAlign w:val="center"/>
          </w:tcPr>
          <w:p w14:paraId="4724E9DF">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p>
        </w:tc>
        <w:tc>
          <w:tcPr>
            <w:tcW w:w="1215" w:type="dxa"/>
            <w:vMerge w:val="continue"/>
            <w:vAlign w:val="center"/>
          </w:tcPr>
          <w:p w14:paraId="7B446EF5">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p>
        </w:tc>
        <w:tc>
          <w:tcPr>
            <w:tcW w:w="7680" w:type="dxa"/>
            <w:vAlign w:val="center"/>
          </w:tcPr>
          <w:p w14:paraId="68155263">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以上内容如有变化将另行通知，如通知其中某一项内容发生变化，其余未提及的内容将不作变动。</w:t>
            </w:r>
          </w:p>
        </w:tc>
      </w:tr>
      <w:tr w14:paraId="7D8664D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30" w:type="dxa"/>
            <w:vMerge w:val="continue"/>
            <w:vAlign w:val="center"/>
          </w:tcPr>
          <w:p w14:paraId="061DC153">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p>
        </w:tc>
        <w:tc>
          <w:tcPr>
            <w:tcW w:w="1215" w:type="dxa"/>
            <w:vMerge w:val="continue"/>
            <w:vAlign w:val="center"/>
          </w:tcPr>
          <w:p w14:paraId="304B1FC6">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p>
        </w:tc>
        <w:tc>
          <w:tcPr>
            <w:tcW w:w="7680" w:type="dxa"/>
            <w:vAlign w:val="center"/>
          </w:tcPr>
          <w:p w14:paraId="264CC691">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根据浙江省财政厅文件浙财采监[2015]13号文件《关于印发浙江省政府采购活动现场组织管理办法的通知》要求，本项目按浙江省政府采购活动现场组织管理办法实施。</w:t>
            </w:r>
          </w:p>
        </w:tc>
      </w:tr>
      <w:tr w14:paraId="302D78D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30" w:type="dxa"/>
            <w:vMerge w:val="continue"/>
            <w:vAlign w:val="center"/>
          </w:tcPr>
          <w:p w14:paraId="32EE2A19">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p>
        </w:tc>
        <w:tc>
          <w:tcPr>
            <w:tcW w:w="1215" w:type="dxa"/>
            <w:vMerge w:val="continue"/>
            <w:vAlign w:val="center"/>
          </w:tcPr>
          <w:p w14:paraId="5605D2D2">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p>
        </w:tc>
        <w:tc>
          <w:tcPr>
            <w:tcW w:w="7680" w:type="dxa"/>
            <w:vAlign w:val="center"/>
          </w:tcPr>
          <w:p w14:paraId="0264E5E3">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1803F663">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14:paraId="6D0FCF4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830" w:type="dxa"/>
            <w:vMerge w:val="continue"/>
            <w:vAlign w:val="center"/>
          </w:tcPr>
          <w:p w14:paraId="5949F87A">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p>
        </w:tc>
        <w:tc>
          <w:tcPr>
            <w:tcW w:w="1215" w:type="dxa"/>
            <w:vMerge w:val="continue"/>
            <w:vAlign w:val="center"/>
          </w:tcPr>
          <w:p w14:paraId="79A283E3">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p>
        </w:tc>
        <w:tc>
          <w:tcPr>
            <w:tcW w:w="7680" w:type="dxa"/>
            <w:vAlign w:val="center"/>
          </w:tcPr>
          <w:p w14:paraId="64C9CD1C">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根据《关于在政府采购活动中查询及使用信用记录有关问题的通知》财库[2016]125号的规定：</w:t>
            </w:r>
          </w:p>
          <w:p w14:paraId="5A9BB5BB">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1）采购人或采购代理机构将对本项目投标人的信用记录进行查询。查询渠道为信用中国网站（www.creditchina.gov.cn）、中国政府采购网（www.ccgp.gov.cn）；</w:t>
            </w:r>
          </w:p>
          <w:p w14:paraId="6D31ABC9">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2）截止时点：提交投标文件（响应文件）截止时间前3年内；</w:t>
            </w:r>
          </w:p>
          <w:p w14:paraId="259EAB70">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3）查询记录和证据的留存：信用信息查询记录和证据以网页截图等方式留存。</w:t>
            </w:r>
          </w:p>
          <w:p w14:paraId="65987402">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DC8DD17">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highlight w:val="none"/>
              </w:rPr>
              <w:t>5）联合体成员任意一方存在不良信用记录的，视同联合体存在不良信用记录。</w:t>
            </w:r>
          </w:p>
        </w:tc>
      </w:tr>
      <w:tr w14:paraId="60BDA84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830" w:type="dxa"/>
            <w:vMerge w:val="continue"/>
            <w:vAlign w:val="center"/>
          </w:tcPr>
          <w:p w14:paraId="1D4A78CF">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p>
        </w:tc>
        <w:tc>
          <w:tcPr>
            <w:tcW w:w="1215" w:type="dxa"/>
            <w:vMerge w:val="continue"/>
            <w:vAlign w:val="center"/>
          </w:tcPr>
          <w:p w14:paraId="1539F576">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p>
        </w:tc>
        <w:tc>
          <w:tcPr>
            <w:tcW w:w="7680" w:type="dxa"/>
            <w:vAlign w:val="center"/>
          </w:tcPr>
          <w:p w14:paraId="6CDBC88A">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szCs w:val="24"/>
              </w:rPr>
            </w:pPr>
            <w:r>
              <w:rPr>
                <w:rFonts w:hint="eastAsia" w:ascii="仿宋" w:hAnsi="仿宋" w:eastAsia="仿宋" w:cs="仿宋"/>
                <w:sz w:val="24"/>
                <w:szCs w:val="24"/>
              </w:rPr>
              <w:t>本项目需要落实的政府采购政策：</w:t>
            </w:r>
          </w:p>
          <w:p w14:paraId="420B4512">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szCs w:val="24"/>
              </w:rPr>
            </w:pPr>
            <w:r>
              <w:rPr>
                <w:rFonts w:hint="eastAsia" w:ascii="仿宋" w:hAnsi="仿宋" w:eastAsia="仿宋" w:cs="仿宋"/>
                <w:sz w:val="24"/>
                <w:szCs w:val="24"/>
              </w:rPr>
              <w:t>（1）《财政部发展改革委 生态环境部 市场监管总局关于调整优化节能产品、环境标志产品政府采购执行机制的通知》（财库〔2019〕9号）；</w:t>
            </w:r>
          </w:p>
          <w:p w14:paraId="353294FF">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sz w:val="24"/>
                <w:szCs w:val="24"/>
              </w:rPr>
              <w:t>（2）《政府采购促进中小企业发展管理办法》（财库[2020]46号）</w:t>
            </w:r>
          </w:p>
        </w:tc>
      </w:tr>
      <w:tr w14:paraId="1173FC9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0" w:type="dxa"/>
            <w:vMerge w:val="continue"/>
            <w:vAlign w:val="center"/>
          </w:tcPr>
          <w:p w14:paraId="25BC2AE7">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p>
        </w:tc>
        <w:tc>
          <w:tcPr>
            <w:tcW w:w="1215" w:type="dxa"/>
            <w:vMerge w:val="continue"/>
            <w:vAlign w:val="center"/>
          </w:tcPr>
          <w:p w14:paraId="08B399DC">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p>
        </w:tc>
        <w:tc>
          <w:tcPr>
            <w:tcW w:w="7680" w:type="dxa"/>
            <w:vAlign w:val="center"/>
          </w:tcPr>
          <w:p w14:paraId="3A415815">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本项目所属行业</w:t>
            </w:r>
            <w:r>
              <w:rPr>
                <w:rFonts w:hint="eastAsia" w:ascii="仿宋" w:hAnsi="仿宋" w:eastAsia="仿宋" w:cs="仿宋"/>
                <w:b/>
                <w:bCs/>
                <w:sz w:val="24"/>
                <w:szCs w:val="24"/>
                <w:u w:val="single"/>
                <w:lang w:val="en-US" w:eastAsia="zh-CN"/>
              </w:rPr>
              <w:t xml:space="preserve"> 其他未列明行业 </w:t>
            </w:r>
            <w:r>
              <w:rPr>
                <w:rFonts w:hint="eastAsia" w:ascii="仿宋" w:hAnsi="仿宋" w:eastAsia="仿宋" w:cs="仿宋"/>
                <w:sz w:val="24"/>
                <w:szCs w:val="24"/>
                <w:lang w:val="en-US" w:eastAsia="zh-CN"/>
              </w:rPr>
              <w:t xml:space="preserve"> 。</w:t>
            </w:r>
          </w:p>
          <w:p w14:paraId="3D373DA2">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浙江省财政厅关于进一步发挥政府采购政策功能全力推进经济稳进提质的通知》浙财采监【2022】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接受分包的小微企业与分包企业之间存在直接控股、管理关系的，不享受价格扣除优惠政策。中小企业参加政府采购活动，应当出具财库〔2020〕46号规定的《中小企业声明函》，否则不得享受相关中小企业扶持政策。</w:t>
            </w:r>
          </w:p>
          <w:p w14:paraId="5A12D33F">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14:paraId="71F0CBF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30" w:type="dxa"/>
            <w:vMerge w:val="continue"/>
            <w:vAlign w:val="center"/>
          </w:tcPr>
          <w:p w14:paraId="4590A038">
            <w:pPr>
              <w:keepNext w:val="0"/>
              <w:keepLines w:val="0"/>
              <w:pageBreakBefore w:val="0"/>
              <w:widowControl w:val="0"/>
              <w:kinsoku/>
              <w:wordWrap/>
              <w:overflowPunct/>
              <w:topLinePunct w:val="0"/>
              <w:bidi w:val="0"/>
              <w:spacing w:line="400" w:lineRule="exact"/>
              <w:ind w:right="0"/>
              <w:jc w:val="center"/>
              <w:textAlignment w:val="auto"/>
              <w:rPr>
                <w:rFonts w:hint="eastAsia" w:ascii="仿宋" w:hAnsi="仿宋" w:eastAsia="仿宋" w:cs="仿宋"/>
                <w:sz w:val="24"/>
                <w:highlight w:val="none"/>
              </w:rPr>
            </w:pPr>
          </w:p>
        </w:tc>
        <w:tc>
          <w:tcPr>
            <w:tcW w:w="1215" w:type="dxa"/>
            <w:vMerge w:val="continue"/>
            <w:vAlign w:val="center"/>
          </w:tcPr>
          <w:p w14:paraId="1BF2154E">
            <w:pPr>
              <w:keepNext w:val="0"/>
              <w:keepLines w:val="0"/>
              <w:pageBreakBefore w:val="0"/>
              <w:widowControl w:val="0"/>
              <w:kinsoku/>
              <w:wordWrap/>
              <w:overflowPunct/>
              <w:topLinePunct w:val="0"/>
              <w:bidi w:val="0"/>
              <w:spacing w:line="400" w:lineRule="exact"/>
              <w:ind w:right="0"/>
              <w:textAlignment w:val="auto"/>
              <w:rPr>
                <w:rFonts w:hint="eastAsia" w:ascii="仿宋" w:hAnsi="仿宋" w:eastAsia="仿宋" w:cs="仿宋"/>
                <w:sz w:val="24"/>
                <w:highlight w:val="none"/>
              </w:rPr>
            </w:pPr>
          </w:p>
        </w:tc>
        <w:tc>
          <w:tcPr>
            <w:tcW w:w="7680" w:type="dxa"/>
            <w:vAlign w:val="center"/>
          </w:tcPr>
          <w:p w14:paraId="2AB16E5F">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b/>
                <w:color w:val="auto"/>
                <w:sz w:val="24"/>
                <w:szCs w:val="24"/>
                <w:highlight w:val="none"/>
              </w:rPr>
            </w:pPr>
            <w:r>
              <w:rPr>
                <w:rStyle w:val="611"/>
                <w:rFonts w:hint="eastAsia" w:ascii="仿宋" w:hAnsi="仿宋" w:eastAsia="仿宋" w:cs="仿宋"/>
                <w:b/>
                <w:bCs/>
                <w:color w:val="auto"/>
                <w:kern w:val="0"/>
                <w:sz w:val="24"/>
                <w:szCs w:val="24"/>
                <w:highlight w:val="none"/>
              </w:rPr>
              <w:t>投标截止时间后投标人凭CA数字证书完成投标解密等事宜。</w:t>
            </w:r>
            <w:r>
              <w:rPr>
                <w:rFonts w:hint="eastAsia" w:ascii="仿宋" w:hAnsi="仿宋" w:eastAsia="仿宋" w:cs="仿宋"/>
                <w:b/>
                <w:color w:val="auto"/>
                <w:sz w:val="24"/>
                <w:szCs w:val="24"/>
                <w:highlight w:val="none"/>
              </w:rPr>
              <w:t>投标人的联系电话在投标当天保持通信畅通，因通信问题无法联系到投标人造成的后果由投标人自行承担。</w:t>
            </w:r>
          </w:p>
          <w:p w14:paraId="1D4323F6">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所有询标流程，均在线上完成，请各投标人务必不要离开电脑太久，并留意手机短信。（请提前检查“政采云”内，关于“项目采购”的岗位权限是否已勾选上。如有问题，请致电</w:t>
            </w:r>
            <w:r>
              <w:rPr>
                <w:rFonts w:hint="eastAsia" w:ascii="仿宋" w:hAnsi="仿宋" w:eastAsia="仿宋" w:cs="仿宋"/>
                <w:b/>
                <w:color w:val="auto"/>
                <w:sz w:val="24"/>
                <w:szCs w:val="24"/>
                <w:highlight w:val="none"/>
                <w:lang w:eastAsia="zh-CN"/>
              </w:rPr>
              <w:t>95763</w:t>
            </w:r>
            <w:r>
              <w:rPr>
                <w:rFonts w:hint="eastAsia" w:ascii="仿宋" w:hAnsi="仿宋" w:eastAsia="仿宋" w:cs="仿宋"/>
                <w:b/>
                <w:color w:val="auto"/>
                <w:sz w:val="24"/>
                <w:szCs w:val="24"/>
                <w:highlight w:val="none"/>
              </w:rPr>
              <w:t>）</w:t>
            </w:r>
          </w:p>
          <w:p w14:paraId="6D009490">
            <w:pPr>
              <w:keepNext w:val="0"/>
              <w:keepLines w:val="0"/>
              <w:pageBreakBefore w:val="0"/>
              <w:widowControl w:val="0"/>
              <w:kinsoku/>
              <w:wordWrap/>
              <w:overflowPunct/>
              <w:topLinePunct w:val="0"/>
              <w:bidi w:val="0"/>
              <w:adjustRightInd w:val="0"/>
              <w:snapToGrid w:val="0"/>
              <w:spacing w:line="400" w:lineRule="exact"/>
              <w:ind w:right="0"/>
              <w:textAlignment w:val="auto"/>
              <w:rPr>
                <w:rFonts w:hint="eastAsia" w:ascii="仿宋" w:hAnsi="仿宋" w:eastAsia="仿宋" w:cs="仿宋"/>
                <w:sz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投标人无须到开标现场，只需自备电脑在规定时间前进行在线解密文件即可。</w:t>
            </w:r>
          </w:p>
        </w:tc>
      </w:tr>
      <w:bookmarkEnd w:id="19"/>
    </w:tbl>
    <w:p w14:paraId="77479AD7">
      <w:pPr>
        <w:adjustRightInd w:val="0"/>
        <w:snapToGrid w:val="0"/>
        <w:spacing w:line="360" w:lineRule="auto"/>
        <w:jc w:val="center"/>
        <w:outlineLvl w:val="1"/>
        <w:rPr>
          <w:rFonts w:hint="eastAsia" w:ascii="仿宋" w:hAnsi="仿宋" w:eastAsia="仿宋" w:cs="仿宋"/>
          <w:b/>
          <w:sz w:val="32"/>
          <w:highlight w:val="none"/>
        </w:rPr>
      </w:pPr>
      <w:bookmarkStart w:id="23" w:name="_Toc233618972"/>
      <w:bookmarkStart w:id="24" w:name="_Toc994"/>
      <w:bookmarkStart w:id="25" w:name="_Toc522530041"/>
      <w:bookmarkStart w:id="26" w:name="_Toc226106467"/>
      <w:bookmarkStart w:id="27" w:name="_Toc226106516"/>
      <w:bookmarkStart w:id="28" w:name="_Toc226521904"/>
      <w:bookmarkStart w:id="29" w:name="_Toc225840109"/>
    </w:p>
    <w:p w14:paraId="0B296C51">
      <w:pPr>
        <w:adjustRightInd w:val="0"/>
        <w:snapToGrid w:val="0"/>
        <w:spacing w:line="360" w:lineRule="auto"/>
        <w:jc w:val="center"/>
        <w:outlineLvl w:val="1"/>
        <w:rPr>
          <w:rFonts w:hint="eastAsia" w:ascii="仿宋" w:hAnsi="仿宋" w:eastAsia="仿宋" w:cs="仿宋"/>
          <w:b/>
          <w:sz w:val="32"/>
          <w:highlight w:val="none"/>
        </w:rPr>
      </w:pPr>
      <w:r>
        <w:rPr>
          <w:rFonts w:hint="eastAsia" w:ascii="仿宋" w:hAnsi="仿宋" w:eastAsia="仿宋" w:cs="仿宋"/>
          <w:b/>
          <w:sz w:val="32"/>
          <w:highlight w:val="none"/>
        </w:rPr>
        <w:t>一、总 则</w:t>
      </w:r>
      <w:bookmarkEnd w:id="23"/>
      <w:bookmarkEnd w:id="24"/>
      <w:bookmarkEnd w:id="25"/>
    </w:p>
    <w:p w14:paraId="414A5336">
      <w:pPr>
        <w:pStyle w:val="48"/>
        <w:adjustRightInd w:val="0"/>
        <w:snapToGrid w:val="0"/>
        <w:spacing w:line="420" w:lineRule="exact"/>
        <w:rPr>
          <w:rFonts w:hint="eastAsia" w:ascii="仿宋" w:hAnsi="仿宋" w:eastAsia="仿宋" w:cs="仿宋"/>
          <w:b/>
          <w:sz w:val="24"/>
          <w:highlight w:val="none"/>
        </w:rPr>
      </w:pPr>
      <w:bookmarkStart w:id="30" w:name="_Hlt74714665"/>
      <w:bookmarkEnd w:id="30"/>
      <w:bookmarkStart w:id="31" w:name="_Hlt74730295"/>
      <w:bookmarkEnd w:id="31"/>
      <w:bookmarkStart w:id="32" w:name="_Hlt74730208"/>
      <w:bookmarkStart w:id="33" w:name="_Hlt74730112"/>
      <w:r>
        <w:rPr>
          <w:rFonts w:hint="eastAsia" w:ascii="仿宋" w:hAnsi="仿宋" w:eastAsia="仿宋" w:cs="仿宋"/>
          <w:b/>
          <w:sz w:val="24"/>
          <w:highlight w:val="none"/>
        </w:rPr>
        <w:t>（一）实施依据</w:t>
      </w:r>
    </w:p>
    <w:p w14:paraId="433306A5">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本次招标工作按照《中华人民共和国政府采购法》等政府采购有关法律、法规、规章、文件的规定组织和实施。</w:t>
      </w:r>
    </w:p>
    <w:p w14:paraId="6012E8CD">
      <w:pPr>
        <w:pStyle w:val="48"/>
        <w:adjustRightInd w:val="0"/>
        <w:snapToGrid w:val="0"/>
        <w:spacing w:line="420" w:lineRule="exact"/>
        <w:rPr>
          <w:rFonts w:hint="eastAsia" w:ascii="仿宋" w:hAnsi="仿宋" w:eastAsia="仿宋" w:cs="仿宋"/>
          <w:b/>
          <w:sz w:val="24"/>
          <w:highlight w:val="none"/>
        </w:rPr>
      </w:pPr>
      <w:bookmarkStart w:id="34" w:name="_Toc91899873"/>
      <w:r>
        <w:rPr>
          <w:rFonts w:hint="eastAsia" w:ascii="仿宋" w:hAnsi="仿宋" w:eastAsia="仿宋" w:cs="仿宋"/>
          <w:b/>
          <w:sz w:val="24"/>
          <w:highlight w:val="none"/>
        </w:rPr>
        <w:t>（二）采购方式</w:t>
      </w:r>
      <w:bookmarkEnd w:id="34"/>
    </w:p>
    <w:p w14:paraId="0A1C4C06">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公开招标。</w:t>
      </w:r>
      <w:bookmarkEnd w:id="32"/>
      <w:bookmarkEnd w:id="33"/>
      <w:bookmarkStart w:id="35" w:name="_Hlt74388212"/>
      <w:bookmarkEnd w:id="35"/>
      <w:bookmarkStart w:id="36" w:name="_Hlt68516771"/>
      <w:bookmarkEnd w:id="36"/>
    </w:p>
    <w:p w14:paraId="59D647B2">
      <w:pPr>
        <w:adjustRightInd w:val="0"/>
        <w:snapToGrid w:val="0"/>
        <w:spacing w:line="420" w:lineRule="exact"/>
        <w:rPr>
          <w:rFonts w:hint="eastAsia" w:ascii="仿宋" w:hAnsi="仿宋" w:eastAsia="仿宋" w:cs="仿宋"/>
          <w:b/>
          <w:kern w:val="0"/>
          <w:sz w:val="24"/>
          <w:highlight w:val="none"/>
          <w:lang w:val="zh-CN"/>
        </w:rPr>
      </w:pPr>
      <w:bookmarkStart w:id="37" w:name="_Toc91899877"/>
      <w:bookmarkStart w:id="38" w:name="_Hlt74730303"/>
      <w:r>
        <w:rPr>
          <w:rFonts w:hint="eastAsia" w:ascii="仿宋" w:hAnsi="仿宋" w:eastAsia="仿宋" w:cs="仿宋"/>
          <w:b/>
          <w:sz w:val="24"/>
          <w:highlight w:val="none"/>
        </w:rPr>
        <w:t>（三）</w:t>
      </w:r>
      <w:r>
        <w:rPr>
          <w:rFonts w:hint="eastAsia" w:ascii="仿宋" w:hAnsi="仿宋" w:eastAsia="仿宋" w:cs="仿宋"/>
          <w:b/>
          <w:kern w:val="0"/>
          <w:sz w:val="24"/>
          <w:highlight w:val="none"/>
          <w:lang w:val="zh-CN"/>
        </w:rPr>
        <w:t>定义</w:t>
      </w:r>
    </w:p>
    <w:p w14:paraId="2B9DA8A0">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招标（采购）人：是指依法进行政府采购的国家机关、事业单位、团体组织，见本项目“招标公告”；</w:t>
      </w:r>
    </w:p>
    <w:p w14:paraId="3038A29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招标（采购）代理机构：受招标人委托，在委托的范围内办理政府采购事宜并组织招标活动的机构，见本项目“招标公告”；</w:t>
      </w:r>
    </w:p>
    <w:p w14:paraId="4E57874E">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投标人：是指参加本政府采购项目投标的投标人；</w:t>
      </w:r>
    </w:p>
    <w:p w14:paraId="52363F75">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中标人：是指经评审获得本项目最终合同签订资格的投标人。</w:t>
      </w:r>
    </w:p>
    <w:p w14:paraId="354D9950">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发包人（甲方）：是指合同签订的一方，一般与招标人、用户相同；</w:t>
      </w:r>
    </w:p>
    <w:p w14:paraId="4B9A0F4D">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承包人（乙方）：是指合同签订的另一方，一般与中标人相同；</w:t>
      </w:r>
    </w:p>
    <w:p w14:paraId="5BDFC738">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招标文件中中小企业政策功能的投标人：是指监狱企业或符合中小企业划分标准（详见《关于印发中小企业划型标准规定的通知》工信部联企业〔2011〕300号）的小、微企业，同时该企业提供的货物、承担的工程或者服务是由本企业制造或者由其他小、微企业（监狱企业）制造（提供），本项所称货物不包括使用大型企业注册商标的货物；</w:t>
      </w:r>
    </w:p>
    <w:p w14:paraId="4A9B0A33">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监狱企业：是指由司法部认定的为罪犯、戒毒人员提供生产项目和劳动对象，且全部产权属于司法 部监狱管理局、戒毒管理局、直属煤矿管理局，各省、自治区、直辖市监狱管理局、戒毒管理局，各地 （设区的市）监狱、强制隔离戒毒所、戒毒康复所，以及新疆生产建设兵团监狱管理局、戒毒管理局的 企业。监狱企业参加政府采购活动时，应当提供由省级以上监狱管理局、戒毒管理局（含新疆生产建设 兵团）出具的属于监狱企业的证明文件；</w:t>
      </w:r>
    </w:p>
    <w:p w14:paraId="0737ACCF">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残疾人福利性单位：符合《财政部 民政部 中国残疾人联合会关于促进残疾人就业政府采购政策的 通知》（财库〔2017〕 141 号）的规定单位；</w:t>
      </w:r>
    </w:p>
    <w:p w14:paraId="4840FF34">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政府采购监管部门：衢州市柯城区财政局；</w:t>
      </w:r>
    </w:p>
    <w:p w14:paraId="791676A4">
      <w:pPr>
        <w:adjustRightInd w:val="0"/>
        <w:snapToGrid w:val="0"/>
        <w:spacing w:line="42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产品（货物）：系指按招标文件规定，须向招标人提供的一切设备及配套备品备件、工具、手册及其他有关技术资料和材料；</w:t>
      </w:r>
    </w:p>
    <w:p w14:paraId="650AB79E">
      <w:pPr>
        <w:adjustRightInd w:val="0"/>
        <w:snapToGrid w:val="0"/>
        <w:spacing w:line="42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1342CC75">
      <w:pPr>
        <w:tabs>
          <w:tab w:val="left" w:pos="0"/>
        </w:tabs>
        <w:autoSpaceDE w:val="0"/>
        <w:autoSpaceDN w:val="0"/>
        <w:adjustRightInd w:val="0"/>
        <w:spacing w:line="42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服务：</w:t>
      </w:r>
      <w:r>
        <w:rPr>
          <w:rFonts w:hint="eastAsia" w:ascii="仿宋" w:hAnsi="仿宋" w:eastAsia="仿宋" w:cs="仿宋"/>
          <w:kern w:val="0"/>
          <w:sz w:val="24"/>
          <w:highlight w:val="none"/>
          <w:lang w:val="zh-CN"/>
        </w:rPr>
        <w:t>系指按招标文件规定，须向招标人提供</w:t>
      </w:r>
      <w:r>
        <w:rPr>
          <w:rFonts w:hint="eastAsia" w:ascii="仿宋" w:hAnsi="仿宋" w:eastAsia="仿宋" w:cs="仿宋"/>
          <w:sz w:val="24"/>
          <w:highlight w:val="none"/>
          <w:lang w:val="zh-CN"/>
        </w:rPr>
        <w:t xml:space="preserve">的与供货有关的辅助服务，如运输、保险、培训安装、调试、验收、技术支持和交付使用后质保期内应履行的售后服务等义务； </w:t>
      </w:r>
    </w:p>
    <w:p w14:paraId="6DB6447A">
      <w:pPr>
        <w:tabs>
          <w:tab w:val="left" w:pos="0"/>
        </w:tabs>
        <w:autoSpaceDE w:val="0"/>
        <w:autoSpaceDN w:val="0"/>
        <w:adjustRightInd w:val="0"/>
        <w:spacing w:line="42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培训：系指按招标文件规定，向招标人提供操作使用培训、系统管理培训和其他相关培训等。</w:t>
      </w:r>
    </w:p>
    <w:p w14:paraId="664DEDA5">
      <w:pPr>
        <w:tabs>
          <w:tab w:val="left" w:pos="0"/>
        </w:tabs>
        <w:autoSpaceDE w:val="0"/>
        <w:autoSpaceDN w:val="0"/>
        <w:adjustRightInd w:val="0"/>
        <w:spacing w:line="42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书面形式：包括纸质文件、电子邮件、传真、信函、电报等。</w:t>
      </w:r>
    </w:p>
    <w:p w14:paraId="6D055217">
      <w:pPr>
        <w:adjustRightInd w:val="0"/>
        <w:snapToGrid w:val="0"/>
        <w:spacing w:line="42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实质性响应:系指投标文件符合招标文件规定的实质性内容、条件和规定。</w:t>
      </w:r>
    </w:p>
    <w:p w14:paraId="798B8AB1">
      <w:pPr>
        <w:adjustRightInd w:val="0"/>
        <w:snapToGrid w:val="0"/>
        <w:spacing w:line="42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71DB8A86">
      <w:pPr>
        <w:tabs>
          <w:tab w:val="left" w:pos="0"/>
        </w:tabs>
        <w:autoSpaceDE w:val="0"/>
        <w:autoSpaceDN w:val="0"/>
        <w:adjustRightInd w:val="0"/>
        <w:spacing w:line="420" w:lineRule="exac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lang w:val="zh-CN"/>
        </w:rPr>
        <w:t>细微偏离：系指投标文件对招标文件的非实质性内容存在不完全响应或不响应。</w:t>
      </w:r>
    </w:p>
    <w:p w14:paraId="47451AAB">
      <w:pPr>
        <w:pStyle w:val="48"/>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（四）投标费用</w:t>
      </w:r>
    </w:p>
    <w:p w14:paraId="05B566A0">
      <w:pPr>
        <w:adjustRightInd w:val="0"/>
        <w:snapToGrid w:val="0"/>
        <w:spacing w:line="420" w:lineRule="exact"/>
        <w:ind w:firstLine="523" w:firstLineChars="218"/>
        <w:rPr>
          <w:rFonts w:hint="eastAsia" w:ascii="仿宋" w:hAnsi="仿宋" w:eastAsia="仿宋" w:cs="仿宋"/>
          <w:kern w:val="0"/>
          <w:position w:val="-5"/>
          <w:sz w:val="24"/>
          <w:highlight w:val="none"/>
          <w:lang w:val="zh-TW" w:eastAsia="zh-TW"/>
        </w:rPr>
      </w:pPr>
      <w:r>
        <w:rPr>
          <w:rFonts w:hint="eastAsia" w:ascii="仿宋" w:hAnsi="仿宋" w:eastAsia="仿宋" w:cs="仿宋"/>
          <w:kern w:val="0"/>
          <w:position w:val="-5"/>
          <w:sz w:val="24"/>
          <w:highlight w:val="none"/>
          <w:lang w:val="en-US" w:eastAsia="zh-CN"/>
        </w:rPr>
        <w:t>1、</w:t>
      </w:r>
      <w:r>
        <w:rPr>
          <w:rFonts w:hint="eastAsia" w:ascii="仿宋" w:hAnsi="仿宋" w:eastAsia="仿宋" w:cs="仿宋"/>
          <w:kern w:val="0"/>
          <w:position w:val="-5"/>
          <w:sz w:val="24"/>
          <w:highlight w:val="none"/>
          <w:lang w:val="zh-TW" w:eastAsia="zh-TW"/>
        </w:rPr>
        <w:t>投标人应承担参加本次投标有关的全部费用，无论结果如何，采购人和招标方在任何情况下均无义务和责任承担这些费用。</w:t>
      </w:r>
    </w:p>
    <w:p w14:paraId="3407EB2E">
      <w:pPr>
        <w:adjustRightInd w:val="0"/>
        <w:snapToGrid w:val="0"/>
        <w:spacing w:line="420" w:lineRule="exact"/>
        <w:ind w:firstLine="523" w:firstLineChars="218"/>
        <w:rPr>
          <w:rFonts w:hint="eastAsia" w:ascii="仿宋" w:hAnsi="仿宋" w:eastAsia="仿宋" w:cs="仿宋"/>
          <w:kern w:val="0"/>
          <w:position w:val="-5"/>
          <w:sz w:val="24"/>
          <w:highlight w:val="none"/>
          <w:lang w:val="zh-CN"/>
        </w:rPr>
      </w:pPr>
      <w:r>
        <w:rPr>
          <w:rFonts w:hint="eastAsia" w:ascii="仿宋" w:hAnsi="仿宋" w:eastAsia="仿宋" w:cs="仿宋"/>
          <w:kern w:val="0"/>
          <w:position w:val="-5"/>
          <w:sz w:val="24"/>
          <w:highlight w:val="none"/>
          <w:lang w:val="en-US" w:eastAsia="zh-CN"/>
        </w:rPr>
        <w:t>2、本项目招标代理服务费以招标项目中标价作为计费基数，参照原国家计委关于印发《招标代理服务收费管理暂行办法》的通知（计价格[2002]1980号）的收费标准的55%向中标(或成交)供应商收取，代理服务费不足2000元按2000元计取。</w:t>
      </w:r>
      <w:r>
        <w:rPr>
          <w:rFonts w:hint="eastAsia" w:ascii="仿宋" w:hAnsi="仿宋" w:eastAsia="仿宋" w:cs="仿宋"/>
          <w:kern w:val="0"/>
          <w:position w:val="-5"/>
          <w:sz w:val="24"/>
          <w:highlight w:val="none"/>
        </w:rPr>
        <w:t>评标相关服务费等按实收取（详情咨询代理机构），由中标</w:t>
      </w:r>
      <w:r>
        <w:rPr>
          <w:rFonts w:hint="eastAsia" w:ascii="仿宋" w:hAnsi="仿宋" w:eastAsia="仿宋" w:cs="仿宋"/>
          <w:kern w:val="0"/>
          <w:position w:val="-5"/>
          <w:sz w:val="24"/>
          <w:highlight w:val="none"/>
          <w:lang w:eastAsia="zh-CN"/>
        </w:rPr>
        <w:t>（或成交）供应商</w:t>
      </w:r>
      <w:r>
        <w:rPr>
          <w:rFonts w:hint="eastAsia" w:ascii="仿宋" w:hAnsi="仿宋" w:eastAsia="仿宋" w:cs="仿宋"/>
          <w:kern w:val="0"/>
          <w:position w:val="-5"/>
          <w:sz w:val="24"/>
          <w:highlight w:val="none"/>
        </w:rPr>
        <w:t>支付，投标报价时综合考虑。</w:t>
      </w:r>
    </w:p>
    <w:p w14:paraId="764D8AE0">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（五）语言文字</w:t>
      </w:r>
    </w:p>
    <w:bookmarkEnd w:id="37"/>
    <w:bookmarkEnd w:id="38"/>
    <w:p w14:paraId="27F89D6D">
      <w:pPr>
        <w:adjustRightInd w:val="0"/>
        <w:snapToGrid w:val="0"/>
        <w:spacing w:line="420" w:lineRule="exact"/>
        <w:ind w:firstLine="523" w:firstLineChars="218"/>
        <w:rPr>
          <w:rFonts w:hint="eastAsia" w:ascii="仿宋" w:hAnsi="仿宋" w:eastAsia="仿宋" w:cs="仿宋"/>
          <w:sz w:val="24"/>
          <w:highlight w:val="none"/>
        </w:rPr>
      </w:pPr>
      <w:bookmarkStart w:id="39" w:name="_Hlt74729768"/>
      <w:bookmarkEnd w:id="39"/>
      <w:bookmarkStart w:id="40" w:name="_Hlt74707468"/>
      <w:bookmarkEnd w:id="40"/>
      <w:bookmarkStart w:id="41" w:name="_Hlt68072990"/>
      <w:bookmarkEnd w:id="41"/>
      <w:bookmarkStart w:id="42" w:name="_Hlt75236290"/>
      <w:bookmarkEnd w:id="42"/>
      <w:bookmarkStart w:id="43" w:name="_Hlt68057669"/>
      <w:bookmarkEnd w:id="43"/>
      <w:bookmarkStart w:id="44" w:name="_Toc91899879"/>
      <w:r>
        <w:rPr>
          <w:rFonts w:hint="eastAsia" w:ascii="仿宋" w:hAnsi="仿宋" w:eastAsia="仿宋" w:cs="仿宋"/>
          <w:sz w:val="24"/>
          <w:highlight w:val="none"/>
        </w:rPr>
        <w:t>1、招标投标有关的语言使用中文。</w:t>
      </w:r>
    </w:p>
    <w:p w14:paraId="468A958B">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0001F379">
      <w:pPr>
        <w:adjustRightInd w:val="0"/>
        <w:snapToGrid w:val="0"/>
        <w:spacing w:line="420" w:lineRule="exact"/>
        <w:rPr>
          <w:rFonts w:hint="eastAsia" w:ascii="仿宋" w:hAnsi="仿宋" w:eastAsia="仿宋" w:cs="仿宋"/>
          <w:sz w:val="24"/>
          <w:highlight w:val="none"/>
        </w:rPr>
      </w:pPr>
      <w:r>
        <w:rPr>
          <w:rFonts w:hint="eastAsia" w:ascii="仿宋" w:hAnsi="仿宋" w:eastAsia="仿宋" w:cs="仿宋"/>
          <w:b/>
          <w:sz w:val="24"/>
          <w:highlight w:val="none"/>
        </w:rPr>
        <w:t>（六）计量单位</w:t>
      </w:r>
    </w:p>
    <w:p w14:paraId="1C1C5665">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招标文件有明确规定的，适用招标文件规定的计量单位；招标文件没有规定的，应采用中华人民共和国法定计量单位，否则视同未响应。</w:t>
      </w:r>
    </w:p>
    <w:p w14:paraId="50124602">
      <w:pPr>
        <w:adjustRightInd w:val="0"/>
        <w:snapToGrid w:val="0"/>
        <w:spacing w:line="420" w:lineRule="exact"/>
        <w:rPr>
          <w:rFonts w:hint="eastAsia" w:ascii="仿宋" w:hAnsi="仿宋" w:eastAsia="仿宋" w:cs="仿宋"/>
          <w:sz w:val="24"/>
          <w:highlight w:val="none"/>
        </w:rPr>
      </w:pPr>
      <w:r>
        <w:rPr>
          <w:rFonts w:hint="eastAsia" w:ascii="仿宋" w:hAnsi="仿宋" w:eastAsia="仿宋" w:cs="仿宋"/>
          <w:b/>
          <w:sz w:val="24"/>
          <w:highlight w:val="none"/>
        </w:rPr>
        <w:t>（七）转包与分包</w:t>
      </w:r>
    </w:p>
    <w:p w14:paraId="772B27F6">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54B19D0F">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（八）踏勘现场</w:t>
      </w:r>
    </w:p>
    <w:p w14:paraId="065928D7">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1、若本须知“前附表”规定统一组织的，投标人应按规定的时间、地点准时出席，否则将不予单独安排；</w:t>
      </w:r>
    </w:p>
    <w:p w14:paraId="0B44A625">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2、投标人踏勘现场发生的费用自理。</w:t>
      </w:r>
    </w:p>
    <w:p w14:paraId="51AF7E46">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3、除招标人的原因外，投标人自行负责在踏勘现场中可能发生的人员伤亡和财产损失。</w:t>
      </w:r>
    </w:p>
    <w:p w14:paraId="6D40E01D">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4、招标人在踏勘现场中介绍的场地和相关的周边环境情况，投标人在编制投标文件时参考，招标人不对投标人据此作出的判断和决策负责。</w:t>
      </w:r>
    </w:p>
    <w:p w14:paraId="184807BD">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（九）投标预备会（答疑会）</w:t>
      </w:r>
    </w:p>
    <w:p w14:paraId="60ACDFC1">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1、若本须知“前附表”规定召开答疑会的，招标人将按规定的时间、地点准时召开答疑会，澄清投标人提出的问题，投标人应按规定准时出席，否则将不予单独安排答疑。</w:t>
      </w:r>
    </w:p>
    <w:p w14:paraId="7DC77089">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2、投标人应在答疑会时间的前一天，以书面形式将提出的问题送达招标人，以便招标人在会议期间澄清。</w:t>
      </w:r>
    </w:p>
    <w:p w14:paraId="39E8B706">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3、答疑会后，招标人将按规定对投标人所提问题进行书面澄清答复。</w:t>
      </w:r>
    </w:p>
    <w:p w14:paraId="222AE376">
      <w:pPr>
        <w:adjustRightInd w:val="0"/>
        <w:snapToGrid w:val="0"/>
        <w:spacing w:line="420" w:lineRule="exact"/>
        <w:rPr>
          <w:rFonts w:hint="eastAsia" w:ascii="仿宋" w:hAnsi="仿宋" w:eastAsia="仿宋" w:cs="仿宋"/>
          <w:sz w:val="24"/>
          <w:highlight w:val="none"/>
        </w:rPr>
      </w:pPr>
      <w:r>
        <w:rPr>
          <w:rFonts w:hint="eastAsia" w:ascii="仿宋" w:hAnsi="仿宋" w:eastAsia="仿宋" w:cs="仿宋"/>
          <w:b/>
          <w:sz w:val="24"/>
          <w:highlight w:val="none"/>
        </w:rPr>
        <w:t>（十）对投标人的限制</w:t>
      </w:r>
    </w:p>
    <w:p w14:paraId="6D8E4121">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051AAF7E">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1D69661D">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3、以联合体形式参加政府采购活动的，联合体各方不得再单独参加或者与其他投标人另外组成联合体参加同一合同项下的政府采购活动；</w:t>
      </w:r>
    </w:p>
    <w:p w14:paraId="72A86040">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4、为证明投标人拥有的业绩、荣誉、知识产权、项目案例等而在投标文件中提供的证明材料必须为投标人自身所有。不同法人、其他组织的资料与投标人无关。</w:t>
      </w:r>
    </w:p>
    <w:p w14:paraId="688B65A2">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5、投标人之间的利害关系：</w:t>
      </w:r>
    </w:p>
    <w:p w14:paraId="5CD8696B">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（1）法定代表人或负责人或实际控制人是夫妻关系；</w:t>
      </w:r>
    </w:p>
    <w:p w14:paraId="49FE091D">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（2）法定代表人或负责人或实际控制人是直系血亲关系；</w:t>
      </w:r>
    </w:p>
    <w:p w14:paraId="4B429687">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（3）法定代表人或负责人或实际控制人存在三代以内旁系血亲关系；</w:t>
      </w:r>
    </w:p>
    <w:p w14:paraId="6E45BBD2">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（4）法定代表人或负责人或实际控制人存在近姻亲关系；</w:t>
      </w:r>
    </w:p>
    <w:p w14:paraId="733D65EE">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（5）法定代表人或负责人或实际控制人存在股份控制或实际控制关系；</w:t>
      </w:r>
    </w:p>
    <w:p w14:paraId="31636CB1">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（6）存在共同直接或间接投资设立子公司、联营企业和合营企业情况；</w:t>
      </w:r>
    </w:p>
    <w:p w14:paraId="34F8C70A">
      <w:pPr>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（7）存在分级代理或代销关系、同一生产制造商关系、管理关系、重要业务（占主营业务收入 50%以 上）或重要财务往来关系（如融资）等其他实质性控制关系； 如投标人之间存在以上利害关系并且存在影响政府采购公平竞争的行为的相关投标人的投标均无效。 </w:t>
      </w:r>
    </w:p>
    <w:p w14:paraId="37C54199">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6、采购人若有核心产品，请根据采购项目实际需求确定核心产品，并在采购文件第三部分“采购需求”中明确标注，若没有则不需要确定及注明。</w:t>
      </w:r>
    </w:p>
    <w:p w14:paraId="0A4EB5F0">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5F299801">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5987782E">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37817444">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8、招标公告中明确专门面向中小微企业采购的项目，只能由中小企业或微型企业参加。</w:t>
      </w:r>
    </w:p>
    <w:p w14:paraId="100DBDB3">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9、投标截止前被“信用中国”网站(</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"http://www.creditchina.gov.cn"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www.creditchina.gov.cn</w:t>
      </w:r>
      <w:r>
        <w:rPr>
          <w:rFonts w:hint="eastAsia" w:ascii="仿宋" w:hAnsi="仿宋" w:eastAsia="仿宋" w:cs="仿宋"/>
          <w:sz w:val="24"/>
          <w:highlight w:val="none"/>
        </w:rPr>
        <w:fldChar w:fldCharType="end"/>
      </w:r>
      <w:r>
        <w:rPr>
          <w:rFonts w:hint="eastAsia" w:ascii="仿宋" w:hAnsi="仿宋" w:eastAsia="仿宋" w:cs="仿宋"/>
          <w:sz w:val="24"/>
          <w:highlight w:val="none"/>
        </w:rPr>
        <w:t>)列入失信被执行人、重大税收违法案件当事人名单或被“中国政府采购网”(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"http://www.ccgp.gov.cn"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www.ccgp.gov.cn</w:t>
      </w:r>
      <w:r>
        <w:rPr>
          <w:rFonts w:hint="eastAsia" w:ascii="仿宋" w:hAnsi="仿宋" w:eastAsia="仿宋" w:cs="仿宋"/>
          <w:sz w:val="24"/>
          <w:highlight w:val="none"/>
        </w:rPr>
        <w:fldChar w:fldCharType="end"/>
      </w:r>
      <w:r>
        <w:rPr>
          <w:rFonts w:hint="eastAsia" w:ascii="仿宋" w:hAnsi="仿宋" w:eastAsia="仿宋" w:cs="仿宋"/>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2F24C423">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75943337">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（十一）质疑与投诉</w:t>
      </w:r>
    </w:p>
    <w:p w14:paraId="5AA387C5">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694241B0">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（1）对招标文件提出质疑的，为招标公告期限届满之日（公告期限为公告发布后5个工作日，不含发布当日）；</w:t>
      </w:r>
    </w:p>
    <w:p w14:paraId="01CFF73B">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（2）对采购过程提出质疑的，为各招标程序环节结束之日；</w:t>
      </w:r>
    </w:p>
    <w:p w14:paraId="6B65FCB4">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（3）对评标结果提出质疑的，为中标结果公告期限届满之日（公告期限为公告发布后1个工作日，不含发布当日）。</w:t>
      </w:r>
    </w:p>
    <w:p w14:paraId="7854F2E9">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74A85ADB">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24E825F2">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4、质疑、投诉函以电子邮件或传真形式提交的，还须在提交后以邮寄的方式提交质疑书纸质原件，以实际收到原件之日作为收到质疑之日。</w:t>
      </w:r>
    </w:p>
    <w:p w14:paraId="4D3B66F5">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5、未按上述要求提供的质疑（投诉）函，采购组织机构有权不予受理。</w:t>
      </w:r>
    </w:p>
    <w:p w14:paraId="305C03A9">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6、质疑投标人对招标人、招标代理机构的答复不满意或者招标人、招标代理机构未在规定时间内作出答复的，可以在答复期满后十五个工作日内向同级采购监管部门投诉。</w:t>
      </w:r>
    </w:p>
    <w:p w14:paraId="7572A241">
      <w:pPr>
        <w:adjustRightInd w:val="0"/>
        <w:snapToGrid w:val="0"/>
        <w:spacing w:line="420" w:lineRule="exact"/>
        <w:rPr>
          <w:rFonts w:hint="eastAsia" w:ascii="仿宋" w:hAnsi="仿宋" w:eastAsia="仿宋" w:cs="仿宋"/>
          <w:sz w:val="24"/>
          <w:highlight w:val="none"/>
        </w:rPr>
      </w:pPr>
      <w:r>
        <w:rPr>
          <w:rFonts w:hint="eastAsia" w:ascii="仿宋" w:hAnsi="仿宋" w:eastAsia="仿宋" w:cs="仿宋"/>
          <w:b/>
          <w:sz w:val="24"/>
          <w:highlight w:val="none"/>
        </w:rPr>
        <w:t>（十二）其他注意事项</w:t>
      </w:r>
    </w:p>
    <w:p w14:paraId="5150D049">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见本须知“前附表”，同时还需注意以下事项：</w:t>
      </w:r>
    </w:p>
    <w:p w14:paraId="268BBBCF">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1、法定代表人授权代表须为投标人</w:t>
      </w:r>
      <w:r>
        <w:rPr>
          <w:rFonts w:hint="eastAsia" w:ascii="仿宋" w:hAnsi="仿宋" w:eastAsia="仿宋" w:cs="仿宋"/>
          <w:b/>
          <w:sz w:val="24"/>
          <w:highlight w:val="none"/>
        </w:rPr>
        <w:t>在职职工</w:t>
      </w:r>
      <w:r>
        <w:rPr>
          <w:rFonts w:hint="eastAsia" w:ascii="仿宋" w:hAnsi="仿宋" w:eastAsia="仿宋" w:cs="仿宋"/>
          <w:sz w:val="24"/>
          <w:highlight w:val="none"/>
        </w:rPr>
        <w:t>，投标人须在投标文件中提供</w:t>
      </w:r>
      <w:r>
        <w:rPr>
          <w:rFonts w:hint="eastAsia" w:ascii="仿宋" w:hAnsi="仿宋" w:eastAsia="仿宋" w:cs="仿宋"/>
          <w:b/>
          <w:sz w:val="24"/>
          <w:highlight w:val="none"/>
        </w:rPr>
        <w:t>投标人为该员工缴纳的社保</w:t>
      </w:r>
      <w:r>
        <w:rPr>
          <w:rFonts w:hint="eastAsia" w:ascii="仿宋" w:hAnsi="仿宋" w:eastAsia="仿宋" w:cs="仿宋"/>
          <w:b/>
          <w:sz w:val="24"/>
          <w:highlight w:val="none"/>
          <w:lang w:val="en-US" w:eastAsia="zh-CN"/>
        </w:rPr>
        <w:t>证明及</w:t>
      </w:r>
      <w:r>
        <w:rPr>
          <w:rFonts w:hint="eastAsia" w:ascii="仿宋" w:hAnsi="仿宋" w:eastAsia="仿宋" w:cs="仿宋"/>
          <w:sz w:val="24"/>
          <w:highlight w:val="none"/>
        </w:rPr>
        <w:t>《法定代表人授权书》。</w:t>
      </w:r>
    </w:p>
    <w:p w14:paraId="06BA776E">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53440DF4">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3、▲投标人对所投标项内的采购内容必须全部进行投标。</w:t>
      </w:r>
    </w:p>
    <w:p w14:paraId="1F2AA93D">
      <w:pPr>
        <w:adjustRightInd w:val="0"/>
        <w:snapToGrid w:val="0"/>
        <w:spacing w:line="420" w:lineRule="exact"/>
        <w:ind w:firstLine="523" w:firstLineChars="218"/>
        <w:rPr>
          <w:rFonts w:hint="eastAsia" w:ascii="仿宋" w:hAnsi="仿宋" w:eastAsia="仿宋" w:cs="仿宋"/>
          <w:sz w:val="24"/>
          <w:highlight w:val="none"/>
        </w:rPr>
      </w:pPr>
      <w:r>
        <w:rPr>
          <w:rFonts w:hint="eastAsia" w:ascii="仿宋" w:hAnsi="仿宋" w:eastAsia="仿宋" w:cs="仿宋"/>
          <w:sz w:val="24"/>
          <w:highlight w:val="none"/>
        </w:rPr>
        <w:t>4、不论招标人、招标代理机构向投标人发送的资料文件，还是投标人提出的问题，均采用书面形式，任何口头提问及答复一律无效。</w:t>
      </w:r>
    </w:p>
    <w:p w14:paraId="1A44AF9A">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（十三）保密</w:t>
      </w:r>
    </w:p>
    <w:p w14:paraId="5FB1C662">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参与招标投标活动的各方应对招标文件和投标文件中的商业和技术等秘密保密，违者应对此造成的后果承担法律责任。</w:t>
      </w:r>
    </w:p>
    <w:p w14:paraId="0E1415FC">
      <w:pPr>
        <w:pStyle w:val="35"/>
        <w:rPr>
          <w:rFonts w:hint="eastAsia" w:ascii="仿宋" w:hAnsi="仿宋" w:eastAsia="仿宋" w:cs="仿宋"/>
        </w:rPr>
      </w:pPr>
    </w:p>
    <w:bookmarkEnd w:id="44"/>
    <w:p w14:paraId="3499E4D3">
      <w:pPr>
        <w:adjustRightInd w:val="0"/>
        <w:snapToGrid w:val="0"/>
        <w:spacing w:line="420" w:lineRule="exact"/>
        <w:jc w:val="center"/>
        <w:outlineLvl w:val="1"/>
        <w:rPr>
          <w:rFonts w:hint="eastAsia" w:ascii="仿宋" w:hAnsi="仿宋" w:eastAsia="仿宋" w:cs="仿宋"/>
          <w:b/>
          <w:sz w:val="32"/>
          <w:highlight w:val="none"/>
        </w:rPr>
      </w:pPr>
      <w:bookmarkStart w:id="45" w:name="_Toc233618973"/>
      <w:bookmarkStart w:id="46" w:name="_Toc9352"/>
      <w:bookmarkStart w:id="47" w:name="_Toc522530042"/>
      <w:r>
        <w:rPr>
          <w:rFonts w:hint="eastAsia" w:ascii="仿宋" w:hAnsi="仿宋" w:eastAsia="仿宋" w:cs="仿宋"/>
          <w:b/>
          <w:sz w:val="32"/>
          <w:highlight w:val="none"/>
        </w:rPr>
        <w:t>二、招标文件</w:t>
      </w:r>
      <w:bookmarkEnd w:id="45"/>
      <w:bookmarkEnd w:id="46"/>
      <w:bookmarkEnd w:id="47"/>
    </w:p>
    <w:p w14:paraId="52A6F6EB">
      <w:pPr>
        <w:pStyle w:val="48"/>
        <w:adjustRightInd w:val="0"/>
        <w:snapToGrid w:val="0"/>
        <w:spacing w:line="420" w:lineRule="exact"/>
        <w:rPr>
          <w:rFonts w:hint="eastAsia" w:ascii="仿宋" w:hAnsi="仿宋" w:eastAsia="仿宋" w:cs="仿宋"/>
          <w:b/>
          <w:sz w:val="24"/>
          <w:highlight w:val="none"/>
        </w:rPr>
      </w:pPr>
      <w:bookmarkStart w:id="48" w:name="_Toc91899880"/>
      <w:bookmarkStart w:id="49" w:name="_Hlt74730307"/>
      <w:r>
        <w:rPr>
          <w:rFonts w:hint="eastAsia" w:ascii="仿宋" w:hAnsi="仿宋" w:eastAsia="仿宋" w:cs="仿宋"/>
          <w:b/>
          <w:sz w:val="24"/>
          <w:highlight w:val="none"/>
        </w:rPr>
        <w:t>（一）招标文件的</w:t>
      </w:r>
      <w:bookmarkEnd w:id="48"/>
      <w:r>
        <w:rPr>
          <w:rFonts w:hint="eastAsia" w:ascii="仿宋" w:hAnsi="仿宋" w:eastAsia="仿宋" w:cs="仿宋"/>
          <w:b/>
          <w:sz w:val="24"/>
          <w:highlight w:val="none"/>
        </w:rPr>
        <w:t>组成</w:t>
      </w:r>
    </w:p>
    <w:bookmarkEnd w:id="49"/>
    <w:p w14:paraId="313DB131">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招标文件包括下列文件及附件</w:t>
      </w:r>
    </w:p>
    <w:p w14:paraId="4CA394C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第一部分  招标公告</w:t>
      </w:r>
    </w:p>
    <w:p w14:paraId="0966F61F">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第二部分  投标人须知</w:t>
      </w:r>
    </w:p>
    <w:p w14:paraId="1E9D9CF1">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第三部分  采购内容及需求</w:t>
      </w:r>
    </w:p>
    <w:p w14:paraId="120BFEF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第四部分  合同文本</w:t>
      </w:r>
    </w:p>
    <w:p w14:paraId="2D77E227">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第五部分  投标文件部分格式文件</w:t>
      </w:r>
    </w:p>
    <w:p w14:paraId="29FFAC8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第六部分  评分办法</w:t>
      </w:r>
    </w:p>
    <w:p w14:paraId="6BF1FD13">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补充文件（如果有，包括相关的补充、更正、澄清公告和文件）</w:t>
      </w:r>
    </w:p>
    <w:p w14:paraId="2FB3EC1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其他附件（如果有，如图纸等）</w:t>
      </w:r>
    </w:p>
    <w:p w14:paraId="70CB40B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2、投标人应认真审阅上述招标文件组成中所有的内容。如果投标人编制的投标文件没有从实质上响应招标文件的要求，其投标文件将被拒绝。</w:t>
      </w:r>
    </w:p>
    <w:p w14:paraId="2B9B1DD6">
      <w:pPr>
        <w:pStyle w:val="48"/>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（二）招标文件的解释</w:t>
      </w:r>
    </w:p>
    <w:p w14:paraId="14BA1419">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1、投标人一旦参与本次招标活动，即被视为接受了本招标文件的所有内容，如有任何异议，均应在答疑截止时间前提出。</w:t>
      </w:r>
    </w:p>
    <w:p w14:paraId="4D751AAD">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25DD6A2E">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3、招标文件的解释权归招标人、招标代理机构所有。</w:t>
      </w:r>
    </w:p>
    <w:p w14:paraId="1B847B04">
      <w:pPr>
        <w:tabs>
          <w:tab w:val="left" w:pos="3780"/>
        </w:tabs>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（三）招标文件的澄清</w:t>
      </w:r>
    </w:p>
    <w:p w14:paraId="6984F3AA">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339274DA">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2、投标人要求澄清的资料应写明投标人全称、地址、邮编、传真、联系人、联系电话、电子邮箱、询疑日期并加盖投标人公章。</w:t>
      </w:r>
    </w:p>
    <w:p w14:paraId="47D5027D">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 如有必要，招标人和招标代理机构对投标人所有要求澄清的问题都予以书面解答，澄清答复的文件为招标补充文件，作为招标文件的组成部分。</w:t>
      </w:r>
    </w:p>
    <w:p w14:paraId="5BF86595">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4、 投标人在招标文件规定的询疑截止时间前内未对招标文件提出疑问的，招标代理机构将视其对招标文件无异议。</w:t>
      </w:r>
    </w:p>
    <w:p w14:paraId="50FFD48B">
      <w:pPr>
        <w:pStyle w:val="48"/>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（四）招标文件的修改</w:t>
      </w:r>
    </w:p>
    <w:p w14:paraId="03D244F3">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1、由于各种原因招标人可能在投标截止时间前以澄清、答复、修改、补充文件的形式修改完善招标文件。</w:t>
      </w:r>
    </w:p>
    <w:p w14:paraId="3D44CA10">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7A852D8B">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43EA0A94">
      <w:pPr>
        <w:pStyle w:val="35"/>
        <w:rPr>
          <w:rFonts w:hint="eastAsia" w:ascii="仿宋" w:hAnsi="仿宋" w:eastAsia="仿宋" w:cs="仿宋"/>
        </w:rPr>
      </w:pPr>
    </w:p>
    <w:p w14:paraId="349D6CB0">
      <w:pPr>
        <w:adjustRightInd w:val="0"/>
        <w:snapToGrid w:val="0"/>
        <w:spacing w:line="420" w:lineRule="exact"/>
        <w:jc w:val="center"/>
        <w:outlineLvl w:val="1"/>
        <w:rPr>
          <w:rFonts w:hint="eastAsia" w:ascii="仿宋" w:hAnsi="仿宋" w:eastAsia="仿宋" w:cs="仿宋"/>
          <w:b/>
          <w:sz w:val="32"/>
          <w:highlight w:val="none"/>
        </w:rPr>
      </w:pPr>
      <w:bookmarkStart w:id="50" w:name="_Toc20674"/>
      <w:bookmarkStart w:id="51" w:name="_Toc522530043"/>
      <w:bookmarkStart w:id="52" w:name="_Toc233618974"/>
      <w:bookmarkStart w:id="53" w:name="_Toc91899884"/>
      <w:r>
        <w:rPr>
          <w:rFonts w:hint="eastAsia" w:ascii="仿宋" w:hAnsi="仿宋" w:eastAsia="仿宋" w:cs="仿宋"/>
          <w:b/>
          <w:sz w:val="32"/>
          <w:highlight w:val="none"/>
        </w:rPr>
        <w:t>三、投标文件</w:t>
      </w:r>
      <w:bookmarkEnd w:id="50"/>
      <w:bookmarkEnd w:id="51"/>
      <w:bookmarkEnd w:id="52"/>
      <w:bookmarkEnd w:id="53"/>
    </w:p>
    <w:p w14:paraId="4F418F27">
      <w:pPr>
        <w:pStyle w:val="313"/>
        <w:adjustRightInd w:val="0"/>
        <w:snapToGrid w:val="0"/>
        <w:spacing w:before="0" w:line="420" w:lineRule="exact"/>
        <w:ind w:firstLine="0" w:firstLineChars="0"/>
        <w:rPr>
          <w:rFonts w:hint="eastAsia" w:ascii="仿宋" w:hAnsi="仿宋" w:eastAsia="仿宋" w:cs="仿宋"/>
          <w:kern w:val="0"/>
          <w:highlight w:val="none"/>
          <w:lang w:val="zh-CN"/>
        </w:rPr>
      </w:pPr>
      <w:r>
        <w:rPr>
          <w:rFonts w:hint="eastAsia" w:ascii="仿宋" w:hAnsi="仿宋" w:eastAsia="仿宋" w:cs="仿宋"/>
          <w:b/>
          <w:highlight w:val="none"/>
        </w:rPr>
        <w:t>（一）投标文件的编制</w:t>
      </w:r>
    </w:p>
    <w:p w14:paraId="790CF43D">
      <w:pPr>
        <w:spacing w:line="420" w:lineRule="exact"/>
        <w:ind w:firstLine="482" w:firstLineChars="200"/>
        <w:rPr>
          <w:rFonts w:hint="eastAsia" w:ascii="仿宋" w:hAnsi="仿宋" w:eastAsia="仿宋" w:cs="仿宋"/>
          <w:b/>
          <w:sz w:val="24"/>
          <w:highlight w:val="none"/>
        </w:rPr>
      </w:pPr>
      <w:r>
        <w:rPr>
          <w:rFonts w:hint="eastAsia" w:ascii="仿宋" w:hAnsi="仿宋" w:eastAsia="仿宋" w:cs="仿宋"/>
          <w:b/>
          <w:kern w:val="0"/>
          <w:sz w:val="24"/>
          <w:highlight w:val="none"/>
        </w:rPr>
        <w:t>1、</w:t>
      </w:r>
      <w:r>
        <w:rPr>
          <w:rFonts w:hint="eastAsia" w:ascii="仿宋" w:hAnsi="仿宋" w:eastAsia="仿宋" w:cs="仿宋"/>
          <w:b/>
          <w:sz w:val="24"/>
          <w:highlight w:val="none"/>
        </w:rPr>
        <w:t>本项目通过“政府采购云平台（www.zcygov.cn）”实行在线投标响应（电子投标）。投标人应通过“政采云电子交易客户端”，并按照本招标文件和“政府采购云平台”的要求编制并加密投标文件并进行关联定位。</w:t>
      </w:r>
    </w:p>
    <w:p w14:paraId="75AA0DC8">
      <w:pPr>
        <w:spacing w:line="420" w:lineRule="exact"/>
        <w:ind w:firstLine="422" w:firstLineChars="175"/>
        <w:rPr>
          <w:rFonts w:hint="eastAsia" w:ascii="仿宋" w:hAnsi="仿宋" w:eastAsia="仿宋" w:cs="仿宋"/>
          <w:b/>
          <w:kern w:val="0"/>
          <w:sz w:val="24"/>
          <w:highlight w:val="none"/>
        </w:rPr>
      </w:pPr>
      <w:r>
        <w:rPr>
          <w:rFonts w:hint="eastAsia" w:ascii="仿宋" w:hAnsi="仿宋" w:eastAsia="仿宋" w:cs="仿宋"/>
          <w:b/>
          <w:kern w:val="0"/>
          <w:sz w:val="24"/>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00BC3684">
      <w:pPr>
        <w:spacing w:line="420" w:lineRule="exact"/>
        <w:ind w:firstLine="422" w:firstLineChars="175"/>
        <w:rPr>
          <w:rFonts w:hint="eastAsia" w:ascii="仿宋" w:hAnsi="仿宋" w:eastAsia="仿宋" w:cs="仿宋"/>
          <w:b/>
          <w:sz w:val="24"/>
          <w:highlight w:val="none"/>
        </w:rPr>
      </w:pPr>
      <w:r>
        <w:rPr>
          <w:rFonts w:hint="eastAsia" w:ascii="仿宋" w:hAnsi="仿宋" w:eastAsia="仿宋" w:cs="仿宋"/>
          <w:b/>
          <w:sz w:val="24"/>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52475A48">
      <w:pPr>
        <w:spacing w:line="420" w:lineRule="exact"/>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4、《投标文件》内容不完整、编排混乱导致《投标文件》被误读、漏读或者查找不到相关内容的，是投标人的责任。</w:t>
      </w:r>
    </w:p>
    <w:p w14:paraId="218E5E9E">
      <w:pPr>
        <w:spacing w:line="42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5、《投标文件》因字迹潦草或表达不清所引起的后果由投标人负责。</w:t>
      </w:r>
    </w:p>
    <w:p w14:paraId="74D0CFA4">
      <w:pPr>
        <w:tabs>
          <w:tab w:val="left" w:pos="3780"/>
        </w:tabs>
        <w:spacing w:line="42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761F04A1">
      <w:pPr>
        <w:tabs>
          <w:tab w:val="left" w:pos="3780"/>
        </w:tabs>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7、投标文件必须按招标文件提供的格式签字或盖章。授权代表签字的，投标文件应附法定代表人签署的授权委托书。</w:t>
      </w:r>
    </w:p>
    <w:p w14:paraId="373165D3">
      <w:pPr>
        <w:pStyle w:val="6"/>
        <w:spacing w:before="0" w:after="0" w:line="420" w:lineRule="exact"/>
        <w:ind w:left="616" w:leftChars="85" w:hanging="378" w:hangingChars="157"/>
        <w:jc w:val="both"/>
        <w:rPr>
          <w:rFonts w:hint="eastAsia" w:ascii="仿宋" w:hAnsi="仿宋" w:eastAsia="仿宋" w:cs="仿宋"/>
          <w:sz w:val="24"/>
          <w:szCs w:val="24"/>
          <w:highlight w:val="none"/>
        </w:rPr>
      </w:pPr>
      <w:r>
        <w:rPr>
          <w:rFonts w:hint="eastAsia" w:ascii="仿宋" w:hAnsi="仿宋" w:eastAsia="仿宋" w:cs="仿宋"/>
          <w:sz w:val="24"/>
          <w:highlight w:val="none"/>
        </w:rPr>
        <w:t>（二）</w:t>
      </w:r>
      <w:r>
        <w:rPr>
          <w:rFonts w:hint="eastAsia" w:ascii="仿宋" w:hAnsi="仿宋" w:eastAsia="仿宋" w:cs="仿宋"/>
          <w:sz w:val="24"/>
          <w:szCs w:val="24"/>
          <w:highlight w:val="none"/>
        </w:rPr>
        <w:t>投标文件的签章</w:t>
      </w:r>
    </w:p>
    <w:p w14:paraId="03CC17B6">
      <w:pPr>
        <w:spacing w:line="420" w:lineRule="exact"/>
        <w:ind w:firstLine="482" w:firstLineChars="200"/>
        <w:rPr>
          <w:rFonts w:hint="eastAsia" w:ascii="仿宋" w:hAnsi="仿宋" w:eastAsia="仿宋" w:cs="仿宋"/>
          <w:b/>
          <w:sz w:val="24"/>
          <w:szCs w:val="22"/>
          <w:highlight w:val="none"/>
        </w:rPr>
      </w:pPr>
      <w:r>
        <w:rPr>
          <w:rFonts w:hint="eastAsia" w:ascii="仿宋" w:hAnsi="仿宋" w:eastAsia="仿宋" w:cs="仿宋"/>
          <w:b/>
          <w:sz w:val="24"/>
          <w:szCs w:val="22"/>
          <w:highlight w:val="none"/>
        </w:rPr>
        <w:t>1、《投标文件》的签章：见《前附表》；</w:t>
      </w:r>
    </w:p>
    <w:p w14:paraId="30F69156">
      <w:pPr>
        <w:spacing w:line="420" w:lineRule="exact"/>
        <w:ind w:firstLine="482" w:firstLineChars="200"/>
        <w:rPr>
          <w:rFonts w:hint="eastAsia" w:ascii="仿宋" w:hAnsi="仿宋" w:eastAsia="仿宋" w:cs="仿宋"/>
          <w:b/>
          <w:sz w:val="24"/>
          <w:szCs w:val="22"/>
          <w:highlight w:val="none"/>
        </w:rPr>
      </w:pPr>
      <w:r>
        <w:rPr>
          <w:rFonts w:hint="eastAsia" w:ascii="仿宋" w:hAnsi="仿宋" w:eastAsia="仿宋" w:cs="仿宋"/>
          <w:b/>
          <w:sz w:val="24"/>
          <w:szCs w:val="22"/>
          <w:highlight w:val="none"/>
        </w:rPr>
        <w:t>2、《投标文件》应由投标人法定代表人或其授权代表签字（或盖章），并时加盖投标人公章。</w:t>
      </w:r>
    </w:p>
    <w:p w14:paraId="2C7A1380">
      <w:pPr>
        <w:spacing w:line="420" w:lineRule="exact"/>
        <w:ind w:firstLine="482" w:firstLineChars="200"/>
        <w:rPr>
          <w:rFonts w:hint="eastAsia" w:ascii="仿宋" w:hAnsi="仿宋" w:eastAsia="仿宋" w:cs="仿宋"/>
          <w:b/>
          <w:sz w:val="24"/>
          <w:szCs w:val="22"/>
          <w:highlight w:val="none"/>
        </w:rPr>
      </w:pPr>
      <w:r>
        <w:rPr>
          <w:rFonts w:hint="eastAsia" w:ascii="仿宋" w:hAnsi="仿宋" w:eastAsia="仿宋" w:cs="仿宋"/>
          <w:b/>
          <w:sz w:val="24"/>
          <w:szCs w:val="22"/>
          <w:highlight w:val="none"/>
        </w:rPr>
        <w:t>3、电子签章操作指南详见采购公告附件《供应商项目采购-电子招投标操作指南》。</w:t>
      </w:r>
    </w:p>
    <w:p w14:paraId="2EB2B951">
      <w:pPr>
        <w:pStyle w:val="48"/>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（三）各标项投标文件的组成</w:t>
      </w:r>
    </w:p>
    <w:p w14:paraId="503AA06B">
      <w:pPr>
        <w:pStyle w:val="48"/>
        <w:adjustRightInd w:val="0"/>
        <w:snapToGrid w:val="0"/>
        <w:spacing w:line="42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1、资格文件</w:t>
      </w:r>
    </w:p>
    <w:p w14:paraId="4F1F3263">
      <w:pPr>
        <w:tabs>
          <w:tab w:val="left" w:pos="3780"/>
        </w:tabs>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szCs w:val="22"/>
          <w:highlight w:val="none"/>
        </w:rPr>
        <w:t>（1）</w:t>
      </w:r>
      <w:r>
        <w:rPr>
          <w:rFonts w:hint="eastAsia" w:ascii="仿宋" w:hAnsi="仿宋" w:eastAsia="仿宋" w:cs="仿宋"/>
          <w:color w:val="auto"/>
          <w:sz w:val="24"/>
          <w:szCs w:val="24"/>
          <w:highlight w:val="none"/>
        </w:rPr>
        <w:t>▲</w:t>
      </w:r>
      <w:r>
        <w:rPr>
          <w:rFonts w:hint="eastAsia" w:ascii="仿宋" w:hAnsi="仿宋" w:eastAsia="仿宋" w:cs="仿宋"/>
          <w:sz w:val="24"/>
          <w:szCs w:val="22"/>
          <w:highlight w:val="none"/>
        </w:rPr>
        <w:t>资格审查材料（按第五部分格式要求提供）；</w:t>
      </w:r>
    </w:p>
    <w:p w14:paraId="7D98DC5C">
      <w:pPr>
        <w:pStyle w:val="48"/>
        <w:adjustRightInd w:val="0"/>
        <w:snapToGrid w:val="0"/>
        <w:spacing w:line="42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2、商务技术文件</w:t>
      </w:r>
    </w:p>
    <w:p w14:paraId="335E6BCD">
      <w:pPr>
        <w:pStyle w:val="48"/>
        <w:adjustRightInd w:val="0"/>
        <w:snapToGrid w:val="0"/>
        <w:spacing w:line="42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【商务技术文件】根据评分标准自行编制，</w:t>
      </w:r>
      <w:r>
        <w:rPr>
          <w:rFonts w:hint="eastAsia" w:ascii="仿宋" w:hAnsi="仿宋" w:eastAsia="仿宋" w:cs="仿宋"/>
          <w:b/>
          <w:sz w:val="24"/>
          <w:highlight w:val="none"/>
          <w:lang w:val="zh-CN"/>
        </w:rPr>
        <w:t>至少应包括以下内容：</w:t>
      </w:r>
    </w:p>
    <w:p w14:paraId="540D38CF">
      <w:pPr>
        <w:tabs>
          <w:tab w:val="left" w:pos="3780"/>
        </w:tabs>
        <w:spacing w:line="420" w:lineRule="exact"/>
        <w:ind w:firstLine="480" w:firstLineChars="200"/>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rPr>
        <w:t>（1）投标函（格式见第五部分）</w:t>
      </w:r>
      <w:r>
        <w:rPr>
          <w:rFonts w:hint="eastAsia" w:ascii="仿宋" w:hAnsi="仿宋" w:eastAsia="仿宋" w:cs="仿宋"/>
          <w:sz w:val="24"/>
          <w:szCs w:val="22"/>
          <w:highlight w:val="none"/>
          <w:lang w:eastAsia="zh-CN"/>
        </w:rPr>
        <w:t>；</w:t>
      </w:r>
    </w:p>
    <w:p w14:paraId="4D605A5B">
      <w:pPr>
        <w:tabs>
          <w:tab w:val="left" w:pos="3780"/>
        </w:tabs>
        <w:spacing w:line="420" w:lineRule="exact"/>
        <w:ind w:firstLine="480" w:firstLineChars="200"/>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rPr>
        <w:t>（2</w:t>
      </w:r>
      <w:r>
        <w:rPr>
          <w:rFonts w:hint="eastAsia" w:ascii="仿宋" w:hAnsi="仿宋" w:eastAsia="仿宋" w:cs="仿宋"/>
          <w:sz w:val="24"/>
          <w:szCs w:val="22"/>
          <w:highlight w:val="none"/>
          <w:lang w:eastAsia="zh-CN"/>
        </w:rPr>
        <w:t>）</w:t>
      </w:r>
      <w:r>
        <w:rPr>
          <w:rFonts w:hint="eastAsia" w:ascii="仿宋" w:hAnsi="仿宋" w:eastAsia="仿宋" w:cs="仿宋"/>
          <w:sz w:val="24"/>
          <w:szCs w:val="22"/>
          <w:highlight w:val="none"/>
        </w:rPr>
        <w:t>法定代表人身份证明及法定代表人授权书（格式见第五部分格式）</w:t>
      </w:r>
      <w:r>
        <w:rPr>
          <w:rFonts w:hint="eastAsia" w:ascii="仿宋" w:hAnsi="仿宋" w:eastAsia="仿宋" w:cs="仿宋"/>
          <w:sz w:val="24"/>
          <w:szCs w:val="22"/>
          <w:highlight w:val="none"/>
          <w:lang w:eastAsia="zh-CN"/>
        </w:rPr>
        <w:t>；</w:t>
      </w:r>
    </w:p>
    <w:p w14:paraId="2340B51D">
      <w:pPr>
        <w:tabs>
          <w:tab w:val="left" w:pos="3780"/>
        </w:tabs>
        <w:spacing w:line="420" w:lineRule="exact"/>
        <w:ind w:firstLine="480" w:firstLineChars="200"/>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rPr>
        <w:t>（3）</w:t>
      </w:r>
      <w:r>
        <w:rPr>
          <w:rFonts w:hint="eastAsia" w:ascii="仿宋" w:hAnsi="仿宋" w:eastAsia="仿宋" w:cs="仿宋"/>
          <w:sz w:val="24"/>
          <w:szCs w:val="22"/>
          <w:highlight w:val="none"/>
          <w:lang w:val="en-US" w:eastAsia="zh-CN"/>
        </w:rPr>
        <w:t>业绩情况表</w:t>
      </w:r>
      <w:r>
        <w:rPr>
          <w:rFonts w:hint="eastAsia" w:ascii="仿宋" w:hAnsi="仿宋" w:eastAsia="仿宋" w:cs="仿宋"/>
          <w:sz w:val="24"/>
          <w:szCs w:val="22"/>
          <w:highlight w:val="none"/>
        </w:rPr>
        <w:t>（格式见第五部分格式</w:t>
      </w:r>
      <w:r>
        <w:rPr>
          <w:rFonts w:hint="eastAsia" w:ascii="仿宋" w:hAnsi="仿宋" w:eastAsia="仿宋" w:cs="仿宋"/>
          <w:sz w:val="24"/>
          <w:szCs w:val="22"/>
          <w:highlight w:val="none"/>
          <w:lang w:eastAsia="zh-CN"/>
        </w:rPr>
        <w:t>）；</w:t>
      </w:r>
    </w:p>
    <w:p w14:paraId="66B9E1C1">
      <w:pPr>
        <w:tabs>
          <w:tab w:val="left" w:pos="3780"/>
        </w:tabs>
        <w:spacing w:line="420" w:lineRule="exact"/>
        <w:ind w:firstLine="458" w:firstLineChars="191"/>
        <w:jc w:val="left"/>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rPr>
        <w:t>（4）</w:t>
      </w:r>
      <w:r>
        <w:rPr>
          <w:rFonts w:hint="eastAsia" w:ascii="仿宋" w:hAnsi="仿宋" w:eastAsia="仿宋" w:cs="仿宋"/>
          <w:sz w:val="24"/>
          <w:szCs w:val="22"/>
          <w:highlight w:val="none"/>
          <w:lang w:eastAsia="zh-CN"/>
        </w:rPr>
        <w:t>拟派的项目组人员</w:t>
      </w:r>
      <w:r>
        <w:rPr>
          <w:rFonts w:hint="eastAsia" w:ascii="仿宋" w:hAnsi="仿宋" w:eastAsia="仿宋" w:cs="仿宋"/>
          <w:sz w:val="24"/>
          <w:szCs w:val="22"/>
          <w:highlight w:val="none"/>
        </w:rPr>
        <w:t>情况（格式见第五部分格式）</w:t>
      </w:r>
      <w:r>
        <w:rPr>
          <w:rFonts w:hint="eastAsia" w:ascii="仿宋" w:hAnsi="仿宋" w:eastAsia="仿宋" w:cs="仿宋"/>
          <w:sz w:val="24"/>
          <w:szCs w:val="22"/>
          <w:highlight w:val="none"/>
          <w:lang w:eastAsia="zh-CN"/>
        </w:rPr>
        <w:t>；</w:t>
      </w:r>
    </w:p>
    <w:p w14:paraId="45D8A06E">
      <w:pPr>
        <w:tabs>
          <w:tab w:val="left" w:pos="3780"/>
        </w:tabs>
        <w:spacing w:line="420" w:lineRule="exact"/>
        <w:ind w:firstLine="458" w:firstLineChars="191"/>
        <w:jc w:val="left"/>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rPr>
        <w:t>（</w:t>
      </w:r>
      <w:r>
        <w:rPr>
          <w:rFonts w:hint="eastAsia" w:ascii="仿宋" w:hAnsi="仿宋" w:eastAsia="仿宋" w:cs="仿宋"/>
          <w:sz w:val="24"/>
          <w:szCs w:val="22"/>
          <w:highlight w:val="none"/>
          <w:lang w:val="en-US" w:eastAsia="zh-CN"/>
        </w:rPr>
        <w:t>5</w:t>
      </w:r>
      <w:r>
        <w:rPr>
          <w:rFonts w:hint="eastAsia" w:ascii="仿宋" w:hAnsi="仿宋" w:eastAsia="仿宋" w:cs="仿宋"/>
          <w:sz w:val="24"/>
          <w:szCs w:val="22"/>
          <w:highlight w:val="none"/>
        </w:rPr>
        <w:t>）商务/技术偏离表（格式见第五部分格式）</w:t>
      </w:r>
      <w:r>
        <w:rPr>
          <w:rFonts w:hint="eastAsia" w:ascii="仿宋" w:hAnsi="仿宋" w:eastAsia="仿宋" w:cs="仿宋"/>
          <w:sz w:val="24"/>
          <w:szCs w:val="22"/>
          <w:highlight w:val="none"/>
          <w:lang w:eastAsia="zh-CN"/>
        </w:rPr>
        <w:t>；</w:t>
      </w:r>
    </w:p>
    <w:p w14:paraId="11BEAE7D">
      <w:pPr>
        <w:tabs>
          <w:tab w:val="left" w:pos="3780"/>
        </w:tabs>
        <w:spacing w:line="420" w:lineRule="exact"/>
        <w:ind w:firstLine="480" w:firstLineChars="200"/>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rPr>
        <w:t>（6）</w:t>
      </w:r>
      <w:r>
        <w:rPr>
          <w:rFonts w:hint="eastAsia" w:ascii="仿宋" w:hAnsi="仿宋" w:eastAsia="仿宋" w:cs="仿宋"/>
          <w:color w:val="auto"/>
          <w:sz w:val="24"/>
          <w:highlight w:val="none"/>
          <w:lang w:eastAsia="zh-CN"/>
        </w:rPr>
        <w:t>商务技术文</w:t>
      </w:r>
      <w:r>
        <w:rPr>
          <w:rFonts w:hint="eastAsia" w:ascii="仿宋" w:hAnsi="仿宋" w:eastAsia="仿宋" w:cs="仿宋"/>
          <w:color w:val="auto"/>
          <w:sz w:val="24"/>
          <w:highlight w:val="none"/>
          <w:lang w:val="en-US" w:eastAsia="zh-CN"/>
        </w:rPr>
        <w:t>件其他内容（根据评分标准制作）</w:t>
      </w:r>
      <w:r>
        <w:rPr>
          <w:rFonts w:hint="eastAsia" w:ascii="仿宋" w:hAnsi="仿宋" w:eastAsia="仿宋" w:cs="仿宋"/>
          <w:sz w:val="24"/>
          <w:szCs w:val="22"/>
          <w:highlight w:val="none"/>
          <w:lang w:eastAsia="zh-CN"/>
        </w:rPr>
        <w:t>；</w:t>
      </w:r>
    </w:p>
    <w:p w14:paraId="765F0A36">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（7）投标人需要说明的其他内容。</w:t>
      </w:r>
    </w:p>
    <w:p w14:paraId="04FB680E">
      <w:pPr>
        <w:pStyle w:val="48"/>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3、报价文件</w:t>
      </w:r>
    </w:p>
    <w:p w14:paraId="50D30EA5">
      <w:pPr>
        <w:tabs>
          <w:tab w:val="left" w:pos="3780"/>
        </w:tabs>
        <w:spacing w:line="420" w:lineRule="exact"/>
        <w:ind w:firstLine="480" w:firstLineChars="200"/>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rPr>
        <w:t>（1）</w:t>
      </w:r>
      <w:r>
        <w:rPr>
          <w:rFonts w:hint="eastAsia" w:ascii="仿宋" w:hAnsi="仿宋" w:eastAsia="仿宋" w:cs="仿宋"/>
          <w:color w:val="auto"/>
          <w:sz w:val="24"/>
          <w:szCs w:val="24"/>
          <w:highlight w:val="none"/>
        </w:rPr>
        <w:t>▲</w:t>
      </w:r>
      <w:r>
        <w:rPr>
          <w:rFonts w:hint="eastAsia" w:ascii="仿宋" w:hAnsi="仿宋" w:eastAsia="仿宋" w:cs="仿宋"/>
          <w:sz w:val="24"/>
          <w:szCs w:val="22"/>
          <w:highlight w:val="none"/>
        </w:rPr>
        <w:t>开标一览表（格式见第五部分格式）</w:t>
      </w:r>
      <w:r>
        <w:rPr>
          <w:rFonts w:hint="eastAsia" w:ascii="仿宋" w:hAnsi="仿宋" w:eastAsia="仿宋" w:cs="仿宋"/>
          <w:sz w:val="24"/>
          <w:szCs w:val="22"/>
          <w:highlight w:val="none"/>
          <w:lang w:eastAsia="zh-CN"/>
        </w:rPr>
        <w:t>。</w:t>
      </w:r>
    </w:p>
    <w:p w14:paraId="3CCD2101">
      <w:pPr>
        <w:tabs>
          <w:tab w:val="left" w:pos="3780"/>
        </w:tabs>
        <w:spacing w:line="420" w:lineRule="exact"/>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rPr>
        <w:t>（2）</w:t>
      </w:r>
      <w:r>
        <w:rPr>
          <w:rFonts w:hint="eastAsia" w:ascii="仿宋" w:hAnsi="仿宋" w:eastAsia="仿宋" w:cs="仿宋"/>
          <w:color w:val="auto"/>
          <w:sz w:val="24"/>
          <w:szCs w:val="24"/>
          <w:highlight w:val="none"/>
        </w:rPr>
        <w:t>▲</w:t>
      </w:r>
      <w:r>
        <w:rPr>
          <w:rFonts w:hint="eastAsia" w:ascii="仿宋" w:hAnsi="仿宋" w:eastAsia="仿宋" w:cs="仿宋"/>
          <w:sz w:val="24"/>
          <w:szCs w:val="22"/>
          <w:highlight w:val="none"/>
          <w:lang w:val="en-US" w:eastAsia="zh-CN"/>
        </w:rPr>
        <w:t>报价明细表</w:t>
      </w:r>
      <w:r>
        <w:rPr>
          <w:rFonts w:hint="eastAsia" w:ascii="仿宋" w:hAnsi="仿宋" w:eastAsia="仿宋" w:cs="仿宋"/>
          <w:sz w:val="24"/>
          <w:szCs w:val="22"/>
          <w:highlight w:val="none"/>
        </w:rPr>
        <w:t>（格式见第五部分格式）</w:t>
      </w:r>
      <w:r>
        <w:rPr>
          <w:rFonts w:hint="eastAsia" w:ascii="仿宋" w:hAnsi="仿宋" w:eastAsia="仿宋" w:cs="仿宋"/>
          <w:sz w:val="24"/>
          <w:szCs w:val="22"/>
          <w:highlight w:val="none"/>
          <w:lang w:val="en-US" w:eastAsia="zh-CN"/>
        </w:rPr>
        <w:t>。</w:t>
      </w:r>
    </w:p>
    <w:p w14:paraId="70D464E6">
      <w:pPr>
        <w:tabs>
          <w:tab w:val="left" w:pos="3780"/>
        </w:tabs>
        <w:spacing w:line="420" w:lineRule="exact"/>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（3）《中小企业声明函》。</w:t>
      </w:r>
    </w:p>
    <w:p w14:paraId="7CEA1278">
      <w:pPr>
        <w:tabs>
          <w:tab w:val="left" w:pos="3780"/>
        </w:tabs>
        <w:spacing w:line="420" w:lineRule="exact"/>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（4）监狱和戒毒企业应提供由省级以上监狱管理局、戒毒管理局（含新疆生产建设兵团）出具的属于监狱企业的证明文件；《产品适用监狱和戒毒企业政策情况表》；</w:t>
      </w:r>
    </w:p>
    <w:p w14:paraId="540BD20F">
      <w:pPr>
        <w:tabs>
          <w:tab w:val="left" w:pos="3780"/>
        </w:tabs>
        <w:spacing w:line="420" w:lineRule="exact"/>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（5）残疾人福利性单位应提供残疾人福利性单位声明函；《产品适用残疾人福利性单位政策情况表》。</w:t>
      </w:r>
    </w:p>
    <w:p w14:paraId="7CA9BA1A">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（6）</w:t>
      </w:r>
      <w:r>
        <w:rPr>
          <w:rFonts w:hint="eastAsia" w:ascii="仿宋" w:hAnsi="仿宋" w:eastAsia="仿宋" w:cs="仿宋"/>
          <w:sz w:val="24"/>
          <w:szCs w:val="22"/>
          <w:highlight w:val="none"/>
        </w:rPr>
        <w:t>投标人认为需要的其他资料。</w:t>
      </w:r>
    </w:p>
    <w:p w14:paraId="7A0B78F1">
      <w:pPr>
        <w:pStyle w:val="313"/>
        <w:adjustRightInd w:val="0"/>
        <w:snapToGrid w:val="0"/>
        <w:spacing w:before="0" w:line="420" w:lineRule="exact"/>
        <w:ind w:firstLine="0" w:firstLineChars="0"/>
        <w:rPr>
          <w:rFonts w:hint="eastAsia" w:ascii="仿宋" w:hAnsi="仿宋" w:eastAsia="仿宋" w:cs="仿宋"/>
          <w:b/>
          <w:highlight w:val="none"/>
        </w:rPr>
      </w:pPr>
      <w:r>
        <w:rPr>
          <w:rFonts w:hint="eastAsia" w:ascii="仿宋" w:hAnsi="仿宋" w:eastAsia="仿宋" w:cs="仿宋"/>
          <w:b/>
          <w:highlight w:val="none"/>
        </w:rPr>
        <w:t>（三）投标报价</w:t>
      </w:r>
    </w:p>
    <w:p w14:paraId="68E02D2F">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highlight w:val="none"/>
        </w:rPr>
        <w:t>1、</w:t>
      </w:r>
      <w:r>
        <w:rPr>
          <w:rFonts w:hint="eastAsia" w:ascii="仿宋" w:hAnsi="仿宋" w:eastAsia="仿宋" w:cs="仿宋"/>
          <w:sz w:val="24"/>
          <w:szCs w:val="22"/>
          <w:highlight w:val="none"/>
        </w:rPr>
        <w:t>投标人应根据《开标一览表》填写相关内容。《开标一览表》是报价的唯一载体。</w:t>
      </w:r>
    </w:p>
    <w:p w14:paraId="60C53E24">
      <w:pPr>
        <w:tabs>
          <w:tab w:val="left" w:pos="3780"/>
        </w:tabs>
        <w:spacing w:line="420" w:lineRule="exact"/>
        <w:ind w:firstLine="480" w:firstLineChars="200"/>
        <w:rPr>
          <w:rFonts w:hint="eastAsia" w:ascii="仿宋" w:hAnsi="仿宋" w:eastAsia="仿宋" w:cs="仿宋"/>
          <w:sz w:val="24"/>
          <w:szCs w:val="22"/>
          <w:highlight w:val="none"/>
          <w:lang w:val="zh-CN"/>
        </w:rPr>
      </w:pPr>
      <w:r>
        <w:rPr>
          <w:rFonts w:hint="eastAsia" w:ascii="仿宋" w:hAnsi="仿宋" w:eastAsia="仿宋" w:cs="仿宋"/>
          <w:sz w:val="24"/>
          <w:szCs w:val="22"/>
          <w:highlight w:val="none"/>
          <w:lang w:val="en-US" w:eastAsia="zh-CN"/>
        </w:rPr>
        <w:t>2、</w:t>
      </w:r>
      <w:r>
        <w:rPr>
          <w:rFonts w:hint="eastAsia" w:ascii="仿宋" w:hAnsi="仿宋" w:eastAsia="仿宋" w:cs="仿宋"/>
          <w:sz w:val="24"/>
          <w:szCs w:val="22"/>
          <w:highlight w:val="none"/>
        </w:rPr>
        <w:t>投标人的投标报价是履行合同的最终价格，</w:t>
      </w:r>
      <w:r>
        <w:rPr>
          <w:rFonts w:hint="eastAsia" w:ascii="仿宋" w:hAnsi="仿宋" w:eastAsia="仿宋" w:cs="仿宋"/>
          <w:sz w:val="24"/>
          <w:szCs w:val="22"/>
          <w:highlight w:val="none"/>
          <w:lang w:val="zh-CN"/>
        </w:rPr>
        <w:t>报价中必须包含完成本项目的所有费用如调研、软件设计、系统开发、系统集成、测试、实施部署、硬件（货物）、硬件（货物）运输、安装、调试、人工费（包括工人工资、奖金、社保、工伤费、教育培训费、暂住费及处理一切伤亡事故等费用）、工具材料费、培训、维护、税费等所有费用。</w:t>
      </w:r>
    </w:p>
    <w:p w14:paraId="70D16758">
      <w:pPr>
        <w:tabs>
          <w:tab w:val="left" w:pos="3780"/>
        </w:tabs>
        <w:spacing w:line="420" w:lineRule="exact"/>
        <w:ind w:firstLine="480" w:firstLineChars="200"/>
        <w:rPr>
          <w:rFonts w:hint="eastAsia" w:ascii="仿宋" w:hAnsi="仿宋" w:eastAsia="仿宋" w:cs="仿宋"/>
          <w:sz w:val="24"/>
          <w:szCs w:val="22"/>
          <w:highlight w:val="none"/>
          <w:lang w:val="zh-CN"/>
        </w:rPr>
      </w:pPr>
      <w:r>
        <w:rPr>
          <w:rFonts w:hint="eastAsia" w:ascii="仿宋" w:hAnsi="仿宋" w:eastAsia="仿宋" w:cs="仿宋"/>
          <w:sz w:val="24"/>
          <w:szCs w:val="22"/>
          <w:highlight w:val="none"/>
          <w:lang w:val="en-US" w:eastAsia="zh-CN"/>
        </w:rPr>
        <w:t>3、投标人</w:t>
      </w:r>
      <w:r>
        <w:rPr>
          <w:rFonts w:hint="eastAsia" w:ascii="仿宋" w:hAnsi="仿宋" w:eastAsia="仿宋" w:cs="仿宋"/>
          <w:sz w:val="24"/>
          <w:szCs w:val="22"/>
          <w:highlight w:val="none"/>
          <w:lang w:val="zh-CN"/>
        </w:rPr>
        <w:t>应根据要求报价，报价单中不得漏填项目。</w:t>
      </w:r>
    </w:p>
    <w:p w14:paraId="57A5B660">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4</w:t>
      </w:r>
      <w:r>
        <w:rPr>
          <w:rFonts w:hint="eastAsia" w:ascii="仿宋" w:hAnsi="仿宋" w:eastAsia="仿宋" w:cs="仿宋"/>
          <w:sz w:val="24"/>
          <w:szCs w:val="22"/>
          <w:highlight w:val="none"/>
        </w:rPr>
        <w:t>、其它费用处理</w:t>
      </w:r>
    </w:p>
    <w:p w14:paraId="4D5FD506">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招标文件未列明，而投标人认为必需的费用也需列入报价。投标人在投标报价中应充分考虑所有可能发生的费用，否则招标人将视投标总价中已包括所有费用。</w:t>
      </w:r>
    </w:p>
    <w:p w14:paraId="2077F3BC">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5</w:t>
      </w:r>
      <w:r>
        <w:rPr>
          <w:rFonts w:hint="eastAsia" w:ascii="仿宋" w:hAnsi="仿宋" w:eastAsia="仿宋" w:cs="仿宋"/>
          <w:sz w:val="24"/>
          <w:szCs w:val="22"/>
          <w:highlight w:val="none"/>
        </w:rPr>
        <w:t>、投标货币</w:t>
      </w:r>
    </w:p>
    <w:p w14:paraId="5E73BFEE">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投标文件中价格全部采用人民币报价。报价应是唯一的，不接受有选择的报价。</w:t>
      </w:r>
    </w:p>
    <w:p w14:paraId="2E82FFBE">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6</w:t>
      </w:r>
      <w:r>
        <w:rPr>
          <w:rFonts w:hint="eastAsia" w:ascii="仿宋" w:hAnsi="仿宋" w:eastAsia="仿宋" w:cs="仿宋"/>
          <w:sz w:val="24"/>
          <w:szCs w:val="22"/>
          <w:highlight w:val="none"/>
        </w:rPr>
        <w:t>、投标人对在合同执行中，除上述费用及招标文件规定的由中标人负责的工作范围以外需要招标人协调或提供便利的工作应当在投标文件中说明。</w:t>
      </w:r>
      <w:bookmarkStart w:id="54" w:name="_Hlt75236011"/>
      <w:bookmarkEnd w:id="54"/>
    </w:p>
    <w:p w14:paraId="3CF80DDA">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lang w:val="en-US" w:eastAsia="zh-CN"/>
        </w:rPr>
        <w:t>7</w:t>
      </w:r>
      <w:r>
        <w:rPr>
          <w:rFonts w:hint="eastAsia" w:ascii="仿宋" w:hAnsi="仿宋" w:eastAsia="仿宋" w:cs="仿宋"/>
          <w:sz w:val="24"/>
          <w:szCs w:val="22"/>
          <w:highlight w:val="none"/>
        </w:rPr>
        <w:t>、报价是中标的一个重要因素，但最低报价不是中标的唯一依据。</w:t>
      </w:r>
    </w:p>
    <w:p w14:paraId="6B61EEFD">
      <w:pPr>
        <w:pStyle w:val="313"/>
        <w:adjustRightInd w:val="0"/>
        <w:snapToGrid w:val="0"/>
        <w:spacing w:before="0" w:line="420" w:lineRule="exact"/>
        <w:ind w:firstLine="0" w:firstLineChars="0"/>
        <w:rPr>
          <w:rFonts w:hint="eastAsia" w:ascii="仿宋" w:hAnsi="仿宋" w:eastAsia="仿宋" w:cs="仿宋"/>
          <w:b/>
          <w:highlight w:val="none"/>
        </w:rPr>
      </w:pPr>
      <w:bookmarkStart w:id="55" w:name="_Toc91899887"/>
      <w:r>
        <w:rPr>
          <w:rFonts w:hint="eastAsia" w:ascii="仿宋" w:hAnsi="仿宋" w:eastAsia="仿宋" w:cs="仿宋"/>
          <w:b/>
          <w:highlight w:val="none"/>
        </w:rPr>
        <w:t>（四）投标有效期</w:t>
      </w:r>
    </w:p>
    <w:p w14:paraId="7A4AB7E2">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1、投标文件合格投递后，自投标截止日期起，至前附表规定的日期内有效。合同签订后，投标文件作为合同附件，投标文件有效期同合同有效期。</w:t>
      </w:r>
    </w:p>
    <w:p w14:paraId="5F05FF0F">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6EE68964">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3、投标人可拒绝接受延期要求。同意延长有效期的投标人不能修改投标文件。</w:t>
      </w:r>
    </w:p>
    <w:p w14:paraId="2DD04736">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4、投标截止后，在投标有效期内，投标人不能撤销投标文件。投标人强行撤销投标文件的，应按采购预算金额的2%赔偿对采购组织机构造成的损失。</w:t>
      </w:r>
    </w:p>
    <w:bookmarkEnd w:id="55"/>
    <w:p w14:paraId="098C6D42">
      <w:pPr>
        <w:adjustRightInd w:val="0"/>
        <w:snapToGrid w:val="0"/>
        <w:spacing w:line="420" w:lineRule="exact"/>
        <w:jc w:val="center"/>
        <w:outlineLvl w:val="1"/>
        <w:rPr>
          <w:rFonts w:hint="eastAsia" w:ascii="仿宋" w:hAnsi="仿宋" w:eastAsia="仿宋" w:cs="仿宋"/>
          <w:b/>
          <w:sz w:val="32"/>
          <w:highlight w:val="none"/>
        </w:rPr>
      </w:pPr>
      <w:bookmarkStart w:id="56" w:name="_Toc19525"/>
      <w:bookmarkStart w:id="57" w:name="_Toc522530044"/>
      <w:bookmarkStart w:id="58" w:name="_Toc91899892"/>
      <w:r>
        <w:rPr>
          <w:rFonts w:hint="eastAsia" w:ascii="仿宋" w:hAnsi="仿宋" w:eastAsia="仿宋" w:cs="仿宋"/>
          <w:b/>
          <w:sz w:val="32"/>
          <w:highlight w:val="none"/>
        </w:rPr>
        <w:t>四、投 标</w:t>
      </w:r>
      <w:bookmarkEnd w:id="56"/>
      <w:bookmarkEnd w:id="57"/>
    </w:p>
    <w:p w14:paraId="466CEAFB">
      <w:pPr>
        <w:pStyle w:val="313"/>
        <w:adjustRightInd w:val="0"/>
        <w:snapToGrid w:val="0"/>
        <w:spacing w:before="0" w:line="420" w:lineRule="exact"/>
        <w:ind w:firstLine="0" w:firstLineChars="0"/>
        <w:rPr>
          <w:rFonts w:hint="eastAsia" w:ascii="仿宋" w:hAnsi="仿宋" w:eastAsia="仿宋" w:cs="仿宋"/>
          <w:b/>
          <w:bCs/>
          <w:highlight w:val="none"/>
        </w:rPr>
      </w:pPr>
      <w:r>
        <w:rPr>
          <w:rFonts w:hint="eastAsia" w:ascii="仿宋" w:hAnsi="仿宋" w:eastAsia="仿宋" w:cs="仿宋"/>
          <w:b/>
          <w:bCs/>
          <w:highlight w:val="none"/>
        </w:rPr>
        <w:t>（一）投标文件的上传和递交</w:t>
      </w:r>
    </w:p>
    <w:p w14:paraId="72EDCF37">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1、“电子加密投标文件”的上传、递交：</w:t>
      </w:r>
    </w:p>
    <w:p w14:paraId="6F557E94">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a.投标人应在投标截止时间前将“电子加密投标文件”成功上传递交至“政府采购云平台”，否则投标无效。</w:t>
      </w:r>
    </w:p>
    <w:p w14:paraId="75C211FC">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b.“电子加密投标文件”成功上传递交后，投标人可自行打印投标文件接收回执。</w:t>
      </w:r>
    </w:p>
    <w:p w14:paraId="2A03FBA1">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2、“备份投标文件”的密封包装、递交：</w:t>
      </w:r>
    </w:p>
    <w:p w14:paraId="09A1734F">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a.投标人在“政府采购云平台”完成“电子加密投标文件”的上传递交后，还可以（建议顺丰邮寄形式）在投标截止时间前递交以介质（U盘）存储的 “备份投标文件”（一份）；</w:t>
      </w:r>
    </w:p>
    <w:p w14:paraId="40713156">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b.“备份投标文件”应当密封包装，并在包装上标注投标项目名称、投标单位名称并加盖公章。没有密封包装或者逾期邮寄送达至投标地点的“备份投标文件”将不予接收；</w:t>
      </w:r>
    </w:p>
    <w:p w14:paraId="0AD059CB">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1A9F4B80">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d.电子备份投标文件，由投标人决定是否递交，并自行承担不递交电子备份投标文件的风险。</w:t>
      </w:r>
    </w:p>
    <w:p w14:paraId="4D694BB3">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14:paraId="1F6C9C3D">
      <w:pPr>
        <w:pStyle w:val="313"/>
        <w:adjustRightInd w:val="0"/>
        <w:snapToGrid w:val="0"/>
        <w:spacing w:before="0" w:line="420" w:lineRule="exact"/>
        <w:ind w:firstLine="0" w:firstLineChars="0"/>
        <w:rPr>
          <w:rFonts w:hint="eastAsia" w:ascii="仿宋" w:hAnsi="仿宋" w:eastAsia="仿宋" w:cs="仿宋"/>
          <w:b/>
          <w:bCs/>
          <w:highlight w:val="none"/>
        </w:rPr>
      </w:pPr>
      <w:r>
        <w:rPr>
          <w:rFonts w:hint="eastAsia" w:ascii="仿宋" w:hAnsi="仿宋" w:eastAsia="仿宋" w:cs="仿宋"/>
          <w:b/>
          <w:bCs/>
          <w:highlight w:val="none"/>
        </w:rPr>
        <w:t>（二）“电子加密投标文件”解密和异常情况处理</w:t>
      </w:r>
    </w:p>
    <w:p w14:paraId="283C9329">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（1）开标后，采购组织机构将向各投标人发出“电子加密投标文件”的解密通知，各投标人代表应当在接到解密通知后30分钟内自行完成“电子加密投标文件”的在线解密。</w:t>
      </w:r>
    </w:p>
    <w:p w14:paraId="2FB05FFE">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394F6AF">
      <w:pPr>
        <w:tabs>
          <w:tab w:val="left" w:pos="3780"/>
        </w:tabs>
        <w:spacing w:line="420" w:lineRule="exact"/>
        <w:ind w:firstLine="480" w:firstLineChars="200"/>
        <w:rPr>
          <w:rFonts w:hint="eastAsia" w:ascii="仿宋" w:hAnsi="仿宋" w:eastAsia="仿宋" w:cs="仿宋"/>
          <w:b/>
          <w:bCs/>
          <w:sz w:val="24"/>
          <w:szCs w:val="22"/>
          <w:highlight w:val="none"/>
        </w:rPr>
      </w:pPr>
      <w:r>
        <w:rPr>
          <w:rFonts w:hint="eastAsia" w:ascii="仿宋" w:hAnsi="仿宋" w:eastAsia="仿宋" w:cs="仿宋"/>
          <w:sz w:val="24"/>
          <w:szCs w:val="22"/>
          <w:highlight w:val="none"/>
        </w:rPr>
        <w:t>（3）投标截止时间前，投标人仅递交了“备份投标文件”而未将电子加密投标文件上传至“政府采购云平台”的，投标无效。</w:t>
      </w:r>
    </w:p>
    <w:p w14:paraId="7A694120">
      <w:pPr>
        <w:pStyle w:val="313"/>
        <w:adjustRightInd w:val="0"/>
        <w:snapToGrid w:val="0"/>
        <w:spacing w:before="0" w:line="420" w:lineRule="exact"/>
        <w:ind w:firstLine="0" w:firstLineChars="0"/>
        <w:rPr>
          <w:rFonts w:hint="eastAsia" w:ascii="仿宋" w:hAnsi="仿宋" w:eastAsia="仿宋" w:cs="仿宋"/>
          <w:b/>
          <w:bCs/>
          <w:highlight w:val="none"/>
        </w:rPr>
      </w:pPr>
      <w:r>
        <w:rPr>
          <w:rFonts w:hint="eastAsia" w:ascii="仿宋" w:hAnsi="仿宋" w:eastAsia="仿宋" w:cs="仿宋"/>
          <w:b/>
          <w:bCs/>
          <w:highlight w:val="none"/>
        </w:rPr>
        <w:t>（三）投标文件的修改与撤回</w:t>
      </w:r>
    </w:p>
    <w:p w14:paraId="037F4212">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B01E1EF">
      <w:pPr>
        <w:tabs>
          <w:tab w:val="left" w:pos="3780"/>
        </w:tabs>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2、投标截止时间后，投标人不得撤回、修改《投标文件》。</w:t>
      </w:r>
    </w:p>
    <w:p w14:paraId="1236649B">
      <w:pPr>
        <w:pStyle w:val="35"/>
        <w:rPr>
          <w:rFonts w:hint="eastAsia" w:ascii="仿宋" w:hAnsi="仿宋" w:eastAsia="仿宋" w:cs="仿宋"/>
        </w:rPr>
      </w:pPr>
    </w:p>
    <w:bookmarkEnd w:id="58"/>
    <w:p w14:paraId="680C387D">
      <w:pPr>
        <w:adjustRightInd w:val="0"/>
        <w:snapToGrid w:val="0"/>
        <w:spacing w:line="420" w:lineRule="exact"/>
        <w:jc w:val="center"/>
        <w:outlineLvl w:val="1"/>
        <w:rPr>
          <w:rFonts w:hint="eastAsia" w:ascii="仿宋" w:hAnsi="仿宋" w:eastAsia="仿宋" w:cs="仿宋"/>
          <w:b/>
          <w:sz w:val="32"/>
          <w:highlight w:val="none"/>
        </w:rPr>
      </w:pPr>
      <w:bookmarkStart w:id="59" w:name="_Toc233618976"/>
      <w:bookmarkStart w:id="60" w:name="_Toc522530045"/>
      <w:bookmarkStart w:id="61" w:name="_Toc91899897"/>
      <w:bookmarkStart w:id="62" w:name="_Toc6430"/>
      <w:r>
        <w:rPr>
          <w:rFonts w:hint="eastAsia" w:ascii="仿宋" w:hAnsi="仿宋" w:eastAsia="仿宋" w:cs="仿宋"/>
          <w:b/>
          <w:sz w:val="32"/>
          <w:highlight w:val="none"/>
        </w:rPr>
        <w:t>五、开 标</w:t>
      </w:r>
      <w:bookmarkEnd w:id="59"/>
      <w:bookmarkEnd w:id="60"/>
      <w:bookmarkEnd w:id="61"/>
      <w:bookmarkEnd w:id="62"/>
    </w:p>
    <w:p w14:paraId="08D24BBC">
      <w:pPr>
        <w:pStyle w:val="6"/>
        <w:spacing w:before="0" w:after="0" w:line="420" w:lineRule="exact"/>
        <w:ind w:left="378" w:hanging="378" w:hangingChars="157"/>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（一）开标形式</w:t>
      </w:r>
    </w:p>
    <w:p w14:paraId="4CA9761C">
      <w:pPr>
        <w:spacing w:line="420" w:lineRule="exact"/>
        <w:ind w:firstLine="426" w:firstLineChars="177"/>
        <w:rPr>
          <w:rFonts w:hint="eastAsia" w:ascii="仿宋" w:hAnsi="仿宋" w:eastAsia="仿宋" w:cs="仿宋"/>
          <w:b/>
          <w:sz w:val="24"/>
          <w:highlight w:val="none"/>
        </w:rPr>
      </w:pPr>
      <w:r>
        <w:rPr>
          <w:rFonts w:hint="eastAsia" w:ascii="仿宋" w:hAnsi="仿宋" w:eastAsia="仿宋" w:cs="仿宋"/>
          <w:b/>
          <w:sz w:val="24"/>
          <w:highlight w:val="none"/>
        </w:rPr>
        <w:t>1、 采购组织机构将按照招标文件规定的时间通过“政府采购云平台”组织开标、开启投标文件，所有投标人均应当准时在线参加。</w:t>
      </w:r>
    </w:p>
    <w:p w14:paraId="41CB6EF4">
      <w:pPr>
        <w:pStyle w:val="6"/>
        <w:spacing w:before="0" w:after="0" w:line="420" w:lineRule="exact"/>
        <w:ind w:left="378" w:hanging="378" w:hangingChars="157"/>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（二）开标准备</w:t>
      </w:r>
    </w:p>
    <w:p w14:paraId="045A6662">
      <w:pPr>
        <w:spacing w:line="420" w:lineRule="exact"/>
        <w:ind w:firstLine="422" w:firstLineChars="176"/>
        <w:rPr>
          <w:rFonts w:hint="eastAsia" w:ascii="仿宋" w:hAnsi="仿宋" w:eastAsia="仿宋" w:cs="仿宋"/>
          <w:kern w:val="0"/>
          <w:sz w:val="24"/>
          <w:highlight w:val="none"/>
        </w:rPr>
      </w:pPr>
      <w:r>
        <w:rPr>
          <w:rFonts w:hint="eastAsia" w:ascii="仿宋" w:hAnsi="仿宋" w:eastAsia="仿宋" w:cs="仿宋"/>
          <w:kern w:val="0"/>
          <w:sz w:val="24"/>
          <w:highlight w:val="none"/>
        </w:rPr>
        <w:t>1、开标的准备工作由采购组织机构负责落实；</w:t>
      </w:r>
    </w:p>
    <w:p w14:paraId="7D45842B">
      <w:pPr>
        <w:spacing w:line="420" w:lineRule="exact"/>
        <w:ind w:firstLine="422" w:firstLineChars="176"/>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b/>
          <w:sz w:val="24"/>
          <w:highlight w:val="none"/>
        </w:rPr>
        <w:t>采购组织机构将按照招标文件规定的时间通过“政府采购云平台”组织开标、开启投标文件，所有投标人均应当准时在线参加。</w:t>
      </w:r>
      <w:r>
        <w:rPr>
          <w:rFonts w:hint="eastAsia" w:ascii="仿宋" w:hAnsi="仿宋" w:eastAsia="仿宋" w:cs="仿宋"/>
          <w:b/>
          <w:kern w:val="0"/>
          <w:sz w:val="24"/>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4B1DEAC">
      <w:pPr>
        <w:pStyle w:val="6"/>
        <w:spacing w:before="0" w:after="0" w:line="420" w:lineRule="exact"/>
        <w:ind w:left="378" w:hanging="378" w:hangingChars="157"/>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（三）开标流程（两阶段）</w:t>
      </w:r>
    </w:p>
    <w:p w14:paraId="1FC91904">
      <w:pPr>
        <w:spacing w:line="420" w:lineRule="exact"/>
        <w:ind w:firstLine="426" w:firstLineChars="177"/>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1、开标第一阶段</w:t>
      </w:r>
    </w:p>
    <w:p w14:paraId="7236349C">
      <w:pPr>
        <w:spacing w:line="420" w:lineRule="exact"/>
        <w:ind w:firstLine="424" w:firstLineChars="177"/>
        <w:jc w:val="left"/>
        <w:rPr>
          <w:rFonts w:hint="eastAsia" w:ascii="仿宋" w:hAnsi="仿宋" w:eastAsia="仿宋" w:cs="仿宋"/>
          <w:kern w:val="0"/>
          <w:sz w:val="24"/>
          <w:highlight w:val="none"/>
        </w:rPr>
      </w:pPr>
      <w:r>
        <w:rPr>
          <w:rFonts w:hint="eastAsia" w:ascii="仿宋" w:hAnsi="仿宋" w:eastAsia="仿宋" w:cs="仿宋"/>
          <w:kern w:val="0"/>
          <w:sz w:val="24"/>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3ABFD3D">
      <w:pPr>
        <w:spacing w:line="420" w:lineRule="exact"/>
        <w:ind w:firstLine="424" w:firstLineChars="177"/>
        <w:jc w:val="left"/>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b/>
          <w:bCs/>
          <w:kern w:val="0"/>
          <w:sz w:val="24"/>
          <w:highlight w:val="none"/>
        </w:rPr>
        <w:t>投标文件解密结束，通过邮件形式发送各投标人组织签署《政府采购活动现场确认声明书》；</w:t>
      </w:r>
    </w:p>
    <w:p w14:paraId="63256980">
      <w:pPr>
        <w:spacing w:line="420" w:lineRule="exact"/>
        <w:ind w:firstLine="424" w:firstLineChars="177"/>
        <w:jc w:val="left"/>
        <w:rPr>
          <w:rFonts w:hint="eastAsia" w:ascii="仿宋" w:hAnsi="仿宋" w:eastAsia="仿宋" w:cs="仿宋"/>
          <w:kern w:val="0"/>
          <w:sz w:val="24"/>
          <w:highlight w:val="none"/>
        </w:rPr>
      </w:pPr>
      <w:r>
        <w:rPr>
          <w:rFonts w:hint="eastAsia" w:ascii="仿宋" w:hAnsi="仿宋" w:eastAsia="仿宋" w:cs="仿宋"/>
          <w:kern w:val="0"/>
          <w:sz w:val="24"/>
          <w:highlight w:val="none"/>
        </w:rPr>
        <w:t>（3）开启投标文件，进入资格审查；</w:t>
      </w:r>
    </w:p>
    <w:p w14:paraId="0CAC1A4F">
      <w:pPr>
        <w:spacing w:line="420" w:lineRule="exact"/>
        <w:ind w:firstLine="424" w:firstLineChars="177"/>
        <w:jc w:val="left"/>
        <w:rPr>
          <w:rFonts w:hint="eastAsia" w:ascii="仿宋" w:hAnsi="仿宋" w:eastAsia="仿宋" w:cs="仿宋"/>
          <w:kern w:val="0"/>
          <w:sz w:val="24"/>
          <w:highlight w:val="none"/>
        </w:rPr>
      </w:pPr>
      <w:r>
        <w:rPr>
          <w:rFonts w:hint="eastAsia" w:ascii="仿宋" w:hAnsi="仿宋" w:eastAsia="仿宋" w:cs="仿宋"/>
          <w:kern w:val="0"/>
          <w:sz w:val="24"/>
          <w:highlight w:val="none"/>
        </w:rPr>
        <w:t>（4）开启资格审查通过的投标人的商务技术文件进入符合性审查、商务技术评审；</w:t>
      </w:r>
    </w:p>
    <w:p w14:paraId="2F4E5B6D">
      <w:pPr>
        <w:spacing w:line="420" w:lineRule="exact"/>
        <w:ind w:firstLine="424" w:firstLineChars="177"/>
        <w:jc w:val="left"/>
        <w:rPr>
          <w:rFonts w:hint="eastAsia" w:ascii="仿宋" w:hAnsi="仿宋" w:eastAsia="仿宋" w:cs="仿宋"/>
          <w:kern w:val="0"/>
          <w:sz w:val="24"/>
          <w:highlight w:val="none"/>
        </w:rPr>
      </w:pPr>
      <w:r>
        <w:rPr>
          <w:rFonts w:hint="eastAsia" w:ascii="仿宋" w:hAnsi="仿宋" w:eastAsia="仿宋" w:cs="仿宋"/>
          <w:kern w:val="0"/>
          <w:sz w:val="24"/>
          <w:highlight w:val="none"/>
        </w:rPr>
        <w:t>（5）第一阶段开标结束。</w:t>
      </w:r>
    </w:p>
    <w:p w14:paraId="3FA6943F">
      <w:pPr>
        <w:spacing w:line="420" w:lineRule="exact"/>
        <w:ind w:firstLine="426" w:firstLineChars="177"/>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43EDDA33">
      <w:pPr>
        <w:spacing w:line="420" w:lineRule="exact"/>
        <w:ind w:firstLine="426" w:firstLineChars="177"/>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2、开标大会第二阶段</w:t>
      </w:r>
    </w:p>
    <w:p w14:paraId="5D05DEB7">
      <w:pPr>
        <w:spacing w:line="420" w:lineRule="exact"/>
        <w:ind w:firstLine="424" w:firstLineChars="177"/>
        <w:jc w:val="left"/>
        <w:rPr>
          <w:rFonts w:hint="eastAsia" w:ascii="仿宋" w:hAnsi="仿宋" w:eastAsia="仿宋" w:cs="仿宋"/>
          <w:kern w:val="0"/>
          <w:sz w:val="24"/>
          <w:highlight w:val="none"/>
        </w:rPr>
      </w:pPr>
      <w:r>
        <w:rPr>
          <w:rFonts w:hint="eastAsia" w:ascii="仿宋" w:hAnsi="仿宋" w:eastAsia="仿宋" w:cs="仿宋"/>
          <w:kern w:val="0"/>
          <w:sz w:val="24"/>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784784ED">
      <w:pPr>
        <w:spacing w:line="420" w:lineRule="exact"/>
        <w:ind w:firstLine="424" w:firstLineChars="177"/>
        <w:jc w:val="left"/>
        <w:rPr>
          <w:rFonts w:hint="eastAsia" w:ascii="仿宋" w:hAnsi="仿宋" w:eastAsia="仿宋" w:cs="仿宋"/>
          <w:kern w:val="0"/>
          <w:sz w:val="24"/>
          <w:highlight w:val="none"/>
        </w:rPr>
      </w:pPr>
      <w:r>
        <w:rPr>
          <w:rFonts w:hint="eastAsia" w:ascii="仿宋" w:hAnsi="仿宋" w:eastAsia="仿宋" w:cs="仿宋"/>
          <w:kern w:val="0"/>
          <w:sz w:val="24"/>
          <w:highlight w:val="none"/>
        </w:rPr>
        <w:t>（2）开启符合性审查、商务技术评审有效投标人的《报价文件》，通过发送邮件形式公布开标一览表有关内容，同时当场制作开标记录表，投标人通过发送邮件形式签字确认（不予确认的应说明理由，否则视为无异议）。唱标结束后，由评标委员会对报价的合理性、准确性等进行审查核实。</w:t>
      </w:r>
    </w:p>
    <w:p w14:paraId="651E0DC8">
      <w:pPr>
        <w:spacing w:line="420" w:lineRule="exact"/>
        <w:ind w:firstLine="424" w:firstLineChars="177"/>
        <w:jc w:val="left"/>
        <w:rPr>
          <w:rFonts w:hint="eastAsia" w:ascii="仿宋" w:hAnsi="仿宋" w:eastAsia="仿宋" w:cs="仿宋"/>
          <w:kern w:val="0"/>
          <w:sz w:val="24"/>
          <w:highlight w:val="none"/>
        </w:rPr>
      </w:pPr>
      <w:r>
        <w:rPr>
          <w:rFonts w:hint="eastAsia" w:ascii="仿宋" w:hAnsi="仿宋" w:eastAsia="仿宋" w:cs="仿宋"/>
          <w:kern w:val="0"/>
          <w:sz w:val="24"/>
          <w:highlight w:val="none"/>
        </w:rPr>
        <w:t>（3）评审结束后，通过发送邮件形式公布中标候选人名单，及采购人最终确定中标人名单的时间和公告方式等。</w:t>
      </w:r>
    </w:p>
    <w:p w14:paraId="222CFC9C">
      <w:pPr>
        <w:spacing w:line="420" w:lineRule="exact"/>
        <w:ind w:firstLine="426" w:firstLineChars="177"/>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特别说明：如遇“政府采购云平台”电子化开标或评审程序调整的，按调整后程序执行。</w:t>
      </w:r>
    </w:p>
    <w:p w14:paraId="23BD14AB">
      <w:pPr>
        <w:pStyle w:val="5"/>
        <w:spacing w:line="420" w:lineRule="exact"/>
        <w:ind w:left="0" w:firstLine="0"/>
        <w:rPr>
          <w:rFonts w:hint="eastAsia" w:ascii="仿宋" w:hAnsi="仿宋" w:eastAsia="仿宋" w:cs="仿宋"/>
          <w:sz w:val="24"/>
          <w:szCs w:val="24"/>
          <w:highlight w:val="none"/>
        </w:rPr>
      </w:pPr>
      <w:bookmarkStart w:id="63" w:name="_Toc24550037"/>
      <w:bookmarkStart w:id="64" w:name="_Toc33194393"/>
      <w:r>
        <w:rPr>
          <w:rFonts w:hint="eastAsia" w:ascii="仿宋" w:hAnsi="仿宋" w:eastAsia="仿宋" w:cs="仿宋"/>
          <w:sz w:val="24"/>
          <w:szCs w:val="24"/>
          <w:highlight w:val="none"/>
        </w:rPr>
        <w:t>（四）投标人资格审查</w:t>
      </w:r>
      <w:bookmarkEnd w:id="63"/>
      <w:bookmarkEnd w:id="64"/>
    </w:p>
    <w:p w14:paraId="615B79EC">
      <w:pPr>
        <w:spacing w:line="420" w:lineRule="exact"/>
        <w:ind w:firstLine="426" w:firstLineChars="177"/>
        <w:rPr>
          <w:rFonts w:hint="eastAsia" w:ascii="仿宋" w:hAnsi="仿宋" w:eastAsia="仿宋" w:cs="仿宋"/>
          <w:sz w:val="24"/>
          <w:highlight w:val="none"/>
        </w:rPr>
      </w:pPr>
      <w:r>
        <w:rPr>
          <w:rFonts w:hint="eastAsia" w:ascii="仿宋" w:hAnsi="仿宋" w:eastAsia="仿宋" w:cs="仿宋"/>
          <w:b/>
          <w:sz w:val="24"/>
          <w:highlight w:val="none"/>
        </w:rPr>
        <w:t>1、开标大会第一阶段结束后，采购人或采购代理机构首先依法对各投标人的资格进行审查，审查各投标人的资格是否满足招标文件的要求。</w:t>
      </w:r>
      <w:r>
        <w:rPr>
          <w:rFonts w:hint="eastAsia" w:ascii="仿宋" w:hAnsi="仿宋" w:eastAsia="仿宋" w:cs="仿宋"/>
          <w:sz w:val="24"/>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2204606C">
      <w:pPr>
        <w:spacing w:line="420" w:lineRule="exact"/>
        <w:ind w:firstLine="426" w:firstLineChars="177"/>
        <w:rPr>
          <w:rFonts w:hint="eastAsia" w:ascii="仿宋" w:hAnsi="仿宋" w:eastAsia="仿宋" w:cs="仿宋"/>
          <w:b/>
          <w:kern w:val="0"/>
          <w:sz w:val="24"/>
          <w:highlight w:val="none"/>
        </w:rPr>
      </w:pPr>
      <w:r>
        <w:rPr>
          <w:rFonts w:hint="eastAsia" w:ascii="仿宋" w:hAnsi="仿宋" w:eastAsia="仿宋" w:cs="仿宋"/>
          <w:b/>
          <w:sz w:val="24"/>
          <w:highlight w:val="none"/>
        </w:rPr>
        <w:t>2、投标人提交的资格证明材料无法证明其符合招标文件规定的“投标人资格要求”的，采购人或采购代理机构</w:t>
      </w:r>
      <w:r>
        <w:rPr>
          <w:rFonts w:hint="eastAsia" w:ascii="仿宋" w:hAnsi="仿宋" w:eastAsia="仿宋" w:cs="仿宋"/>
          <w:b/>
          <w:kern w:val="0"/>
          <w:sz w:val="24"/>
          <w:highlight w:val="none"/>
        </w:rPr>
        <w:t>将对其作资格审查不通过处理（无效投标），并不再将其投标提交评标委员会进行后续评审。</w:t>
      </w:r>
    </w:p>
    <w:p w14:paraId="0F8756EB">
      <w:pPr>
        <w:spacing w:line="420" w:lineRule="exact"/>
        <w:ind w:firstLine="426" w:firstLineChars="177"/>
        <w:rPr>
          <w:rFonts w:hint="eastAsia" w:ascii="仿宋" w:hAnsi="仿宋" w:eastAsia="仿宋" w:cs="仿宋"/>
          <w:b/>
          <w:kern w:val="0"/>
          <w:sz w:val="24"/>
          <w:highlight w:val="none"/>
        </w:rPr>
      </w:pPr>
      <w:r>
        <w:rPr>
          <w:rFonts w:hint="eastAsia" w:ascii="仿宋" w:hAnsi="仿宋" w:eastAsia="仿宋" w:cs="仿宋"/>
          <w:b/>
          <w:kern w:val="0"/>
          <w:sz w:val="24"/>
          <w:highlight w:val="none"/>
        </w:rPr>
        <w:t>3、单位负责人为同一人或者存在直接控股、管理关系的不同投标人参加同一合同项下的政府采购活动的，相关投标人均作资格无效处理。</w:t>
      </w:r>
    </w:p>
    <w:p w14:paraId="06ADEF63">
      <w:pPr>
        <w:pStyle w:val="35"/>
        <w:rPr>
          <w:rFonts w:hint="eastAsia" w:ascii="仿宋" w:hAnsi="仿宋" w:eastAsia="仿宋" w:cs="仿宋"/>
        </w:rPr>
      </w:pPr>
    </w:p>
    <w:p w14:paraId="78FAB8FB">
      <w:pPr>
        <w:adjustRightInd w:val="0"/>
        <w:snapToGrid w:val="0"/>
        <w:spacing w:line="420" w:lineRule="exact"/>
        <w:jc w:val="center"/>
        <w:outlineLvl w:val="1"/>
        <w:rPr>
          <w:rFonts w:hint="eastAsia" w:ascii="仿宋" w:hAnsi="仿宋" w:eastAsia="仿宋" w:cs="仿宋"/>
          <w:b/>
          <w:sz w:val="32"/>
          <w:highlight w:val="none"/>
        </w:rPr>
      </w:pPr>
      <w:bookmarkStart w:id="65" w:name="_Hlt75236101"/>
      <w:bookmarkEnd w:id="65"/>
      <w:bookmarkStart w:id="66" w:name="_Toc233618977"/>
      <w:bookmarkStart w:id="67" w:name="_Toc91899902"/>
      <w:bookmarkStart w:id="68" w:name="_Toc522530046"/>
      <w:bookmarkStart w:id="69" w:name="_Toc29851"/>
      <w:r>
        <w:rPr>
          <w:rFonts w:hint="eastAsia" w:ascii="仿宋" w:hAnsi="仿宋" w:eastAsia="仿宋" w:cs="仿宋"/>
          <w:b/>
          <w:sz w:val="32"/>
          <w:highlight w:val="none"/>
        </w:rPr>
        <w:t>六、评 标</w:t>
      </w:r>
      <w:bookmarkEnd w:id="66"/>
      <w:bookmarkEnd w:id="67"/>
      <w:bookmarkEnd w:id="68"/>
      <w:bookmarkEnd w:id="69"/>
    </w:p>
    <w:p w14:paraId="1754B0F2">
      <w:pPr>
        <w:pStyle w:val="48"/>
        <w:adjustRightInd w:val="0"/>
        <w:snapToGrid w:val="0"/>
        <w:spacing w:line="420" w:lineRule="exact"/>
        <w:rPr>
          <w:rFonts w:hint="eastAsia" w:ascii="仿宋" w:hAnsi="仿宋" w:eastAsia="仿宋" w:cs="仿宋"/>
          <w:b/>
          <w:sz w:val="24"/>
          <w:highlight w:val="none"/>
        </w:rPr>
      </w:pPr>
      <w:bookmarkStart w:id="70" w:name="_Toc91899903"/>
      <w:r>
        <w:rPr>
          <w:rFonts w:hint="eastAsia" w:ascii="仿宋" w:hAnsi="仿宋" w:eastAsia="仿宋" w:cs="仿宋"/>
          <w:b/>
          <w:sz w:val="24"/>
          <w:highlight w:val="none"/>
        </w:rPr>
        <w:t>（一）评标组织</w:t>
      </w:r>
    </w:p>
    <w:p w14:paraId="276449C9">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仿宋" w:hAnsi="仿宋" w:eastAsia="仿宋" w:cs="仿宋"/>
          <w:kern w:val="0"/>
          <w:sz w:val="24"/>
          <w:highlight w:val="none"/>
        </w:rPr>
        <w:t>评标委员会成员名单在评审结果（采购结果）公告前保密。</w:t>
      </w:r>
    </w:p>
    <w:p w14:paraId="616FD26D">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（二）评标原则</w:t>
      </w:r>
    </w:p>
    <w:p w14:paraId="622D7E61">
      <w:pPr>
        <w:pStyle w:val="48"/>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1、竞争优选；</w:t>
      </w:r>
    </w:p>
    <w:p w14:paraId="0B9A57A0">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2、公平、公正、科学合理</w:t>
      </w:r>
      <w:r>
        <w:rPr>
          <w:rFonts w:hint="eastAsia" w:ascii="仿宋" w:hAnsi="仿宋" w:eastAsia="仿宋" w:cs="仿宋"/>
          <w:sz w:val="24"/>
          <w:highlight w:val="none"/>
          <w:lang w:val="zh-CN"/>
        </w:rPr>
        <w:t>；</w:t>
      </w:r>
    </w:p>
    <w:p w14:paraId="0DB9A12B">
      <w:pPr>
        <w:adjustRightInd w:val="0"/>
        <w:snapToGrid w:val="0"/>
        <w:spacing w:line="42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w:t>
      </w:r>
      <w:r>
        <w:rPr>
          <w:rFonts w:hint="eastAsia" w:ascii="仿宋" w:hAnsi="仿宋" w:eastAsia="仿宋" w:cs="仿宋"/>
          <w:sz w:val="24"/>
          <w:highlight w:val="none"/>
        </w:rPr>
        <w:t>价格合理，方案、产品先进可行；</w:t>
      </w:r>
    </w:p>
    <w:p w14:paraId="7EF27D00">
      <w:pPr>
        <w:adjustRightInd w:val="0"/>
        <w:snapToGrid w:val="0"/>
        <w:spacing w:line="42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4、反对不正当竞争。</w:t>
      </w:r>
    </w:p>
    <w:p w14:paraId="6E631B39">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（三）评标纪律</w:t>
      </w:r>
    </w:p>
    <w:p w14:paraId="6C275ACD">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评标委员会成员要严格遵守评标纪律、保密、回避等相关规定，依法独立履行评标职责，客观、公正、审慎参与评标工作；</w:t>
      </w:r>
    </w:p>
    <w:p w14:paraId="54213887">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1、严格遵守评标时间，因突发情况确实不能按时参加评标的，应事先告知招标组织机构；</w:t>
      </w:r>
    </w:p>
    <w:p w14:paraId="67621D0D">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2、服从招标组织机构的现场管理，主动出示身份证明，进入评标区域后应主动寄存移动通讯工具，按要求佩戴工作牌；</w:t>
      </w:r>
    </w:p>
    <w:p w14:paraId="055C0257">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3、与投标人或评标委员会其他成员存在利害关系的，要主动回避，自觉签订《政府采购评审人员廉洁自律承诺书》；</w:t>
      </w:r>
    </w:p>
    <w:p w14:paraId="2045821D">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58617179">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5、自觉遵守职业道德，尊重招标人代表和投标人代表，配合招标组织机构回答投标人代表提出的有关异议；</w:t>
      </w:r>
    </w:p>
    <w:p w14:paraId="210DACA9">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6、不得将评标过程、结果和投标人的商业秘密透露给任何单位和个人。未公告评标结果前不准泄露评标结果，不准将评标资料带出会场；</w:t>
      </w:r>
    </w:p>
    <w:p w14:paraId="36EE57A9">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7、评标过程中，涉及到相关法律法规不清楚之处的，由招标人监管部门或请示权威部门作出法定解释，涉及到招标文件的由编制招标文件的机构和部门负责解释；</w:t>
      </w:r>
    </w:p>
    <w:p w14:paraId="72DE4AAA">
      <w:pPr>
        <w:adjustRightInd w:val="0"/>
        <w:snapToGrid w:val="0"/>
        <w:spacing w:line="42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8、如实行暗标评审的，其投标文件和产品样品的评审编号和编号保管，由监督人员负责；在评标委员评分完成后，再将投标人的投标文件和提供的产品样品编号交评委。</w:t>
      </w:r>
    </w:p>
    <w:p w14:paraId="797A914D">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（四） 评标程序</w:t>
      </w:r>
    </w:p>
    <w:p w14:paraId="0D91AAC1">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1、在评标专家中推选评标委员会组长，优先推选资深专家为组长；</w:t>
      </w:r>
    </w:p>
    <w:p w14:paraId="0A78038A">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38F7851E">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b/>
          <w:sz w:val="24"/>
          <w:highlight w:val="none"/>
          <w:u w:val="single"/>
        </w:rPr>
        <w:t>资格审查</w:t>
      </w:r>
      <w:r>
        <w:rPr>
          <w:rFonts w:hint="eastAsia" w:ascii="仿宋" w:hAnsi="仿宋" w:eastAsia="仿宋" w:cs="仿宋"/>
          <w:sz w:val="24"/>
          <w:highlight w:val="none"/>
        </w:rPr>
        <w:t>，经其书面授权的招标人代表或经其书面授权的招标代理机构代表采购代理机构按照招标文件要求对投标人逐一进行资格审查；</w:t>
      </w:r>
    </w:p>
    <w:p w14:paraId="530B682D">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b/>
          <w:sz w:val="24"/>
          <w:highlight w:val="none"/>
          <w:u w:val="single"/>
        </w:rPr>
        <w:t>商务技术文件的符合性审查</w:t>
      </w:r>
      <w:r>
        <w:rPr>
          <w:rFonts w:hint="eastAsia" w:ascii="仿宋" w:hAnsi="仿宋" w:eastAsia="仿宋" w:cs="仿宋"/>
          <w:sz w:val="24"/>
          <w:highlight w:val="none"/>
        </w:rPr>
        <w:t>，评标人员对通过资格审查的各投标文件商务、技术部分的有效性、完整性和响应程度等进行审查，确定是否对招标文件作出实质性响应；</w:t>
      </w:r>
    </w:p>
    <w:p w14:paraId="3492DB94">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b/>
          <w:sz w:val="24"/>
          <w:highlight w:val="none"/>
          <w:u w:val="single"/>
        </w:rPr>
        <w:t>商务技术评分</w:t>
      </w:r>
      <w:r>
        <w:rPr>
          <w:rFonts w:hint="eastAsia" w:ascii="仿宋" w:hAnsi="仿宋" w:eastAsia="仿宋" w:cs="仿宋"/>
          <w:sz w:val="24"/>
          <w:highlight w:val="none"/>
        </w:rPr>
        <w:t>，评标人员按招标文件规定的评标方法和评标标准，依法独立对投标文件商务、技术部分进行评估、比较，并给予评价或打分，不受任何单位和个人的干预；</w:t>
      </w:r>
    </w:p>
    <w:p w14:paraId="1F5BDA0F">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仿宋" w:hAnsi="仿宋" w:eastAsia="仿宋" w:cs="仿宋"/>
          <w:kern w:val="0"/>
          <w:sz w:val="24"/>
          <w:highlight w:val="none"/>
        </w:rPr>
        <w:t>（或通过“政府采购云平台”在线答复）</w:t>
      </w:r>
      <w:r>
        <w:rPr>
          <w:rFonts w:hint="eastAsia" w:ascii="仿宋" w:hAnsi="仿宋" w:eastAsia="仿宋" w:cs="仿宋"/>
          <w:sz w:val="24"/>
          <w:highlight w:val="none"/>
        </w:rPr>
        <w:t>形式作出澄清或说明，</w:t>
      </w:r>
      <w:r>
        <w:rPr>
          <w:rFonts w:hint="eastAsia" w:ascii="仿宋" w:hAnsi="仿宋" w:eastAsia="仿宋" w:cs="仿宋"/>
          <w:kern w:val="0"/>
          <w:sz w:val="24"/>
          <w:highlight w:val="none"/>
        </w:rPr>
        <w:t>投标人的澄清、说明或者补正不得超出投标文件的范围或者改变投标文件的实质性内容</w:t>
      </w:r>
      <w:r>
        <w:rPr>
          <w:rFonts w:hint="eastAsia" w:ascii="仿宋" w:hAnsi="仿宋" w:eastAsia="仿宋" w:cs="仿宋"/>
          <w:sz w:val="24"/>
          <w:highlight w:val="none"/>
        </w:rPr>
        <w:t>；</w:t>
      </w:r>
    </w:p>
    <w:p w14:paraId="4085C7BB">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5B36AD55">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b/>
          <w:sz w:val="24"/>
          <w:highlight w:val="none"/>
          <w:u w:val="single"/>
        </w:rPr>
        <w:t>报价文件的符合性审查</w:t>
      </w:r>
      <w:r>
        <w:rPr>
          <w:rFonts w:hint="eastAsia" w:ascii="仿宋" w:hAnsi="仿宋" w:eastAsia="仿宋" w:cs="仿宋"/>
          <w:sz w:val="24"/>
          <w:highlight w:val="none"/>
        </w:rPr>
        <w:t>，对开启的投标文件报价部分的进行有效性、完整性和响应程度等进行审查，确定是否对招标文件作出实质性响应。</w:t>
      </w:r>
    </w:p>
    <w:p w14:paraId="4759BC11">
      <w:pPr>
        <w:adjustRightInd w:val="0"/>
        <w:snapToGrid w:val="0"/>
        <w:spacing w:line="420" w:lineRule="exact"/>
        <w:rPr>
          <w:rFonts w:hint="eastAsia" w:ascii="仿宋" w:hAnsi="仿宋" w:eastAsia="仿宋" w:cs="仿宋"/>
          <w:b/>
          <w:sz w:val="24"/>
          <w:highlight w:val="none"/>
          <w:lang w:val="zh-CN"/>
        </w:rPr>
      </w:pPr>
      <w:r>
        <w:rPr>
          <w:rFonts w:hint="eastAsia" w:ascii="仿宋" w:hAnsi="仿宋" w:eastAsia="仿宋" w:cs="仿宋"/>
          <w:b/>
          <w:sz w:val="24"/>
          <w:highlight w:val="none"/>
        </w:rPr>
        <w:t>（五）</w:t>
      </w:r>
      <w:r>
        <w:rPr>
          <w:rFonts w:hint="eastAsia" w:ascii="仿宋" w:hAnsi="仿宋" w:eastAsia="仿宋" w:cs="仿宋"/>
          <w:b/>
          <w:sz w:val="24"/>
          <w:highlight w:val="none"/>
          <w:lang w:val="zh-CN"/>
        </w:rPr>
        <w:t>投标文件的鉴定</w:t>
      </w:r>
    </w:p>
    <w:p w14:paraId="0F704421">
      <w:pPr>
        <w:adjustRightInd w:val="0"/>
        <w:snapToGrid w:val="0"/>
        <w:spacing w:line="42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3FCAE5DA">
      <w:pPr>
        <w:pStyle w:val="48"/>
        <w:adjustRightInd w:val="0"/>
        <w:snapToGrid w:val="0"/>
        <w:spacing w:line="420" w:lineRule="exact"/>
        <w:ind w:firstLine="482" w:firstLineChars="200"/>
        <w:jc w:val="left"/>
        <w:rPr>
          <w:rFonts w:hint="eastAsia" w:ascii="仿宋" w:hAnsi="仿宋" w:eastAsia="仿宋" w:cs="仿宋"/>
          <w:sz w:val="24"/>
          <w:highlight w:val="none"/>
        </w:rPr>
      </w:pPr>
      <w:r>
        <w:rPr>
          <w:rFonts w:hint="eastAsia" w:ascii="仿宋" w:hAnsi="仿宋" w:eastAsia="仿宋" w:cs="仿宋"/>
          <w:b/>
          <w:sz w:val="24"/>
          <w:highlight w:val="none"/>
        </w:rPr>
        <w:t>2、无效标情形</w:t>
      </w:r>
    </w:p>
    <w:p w14:paraId="6E51227A">
      <w:pPr>
        <w:adjustRightInd w:val="0"/>
        <w:snapToGrid w:val="0"/>
        <w:spacing w:line="420" w:lineRule="exact"/>
        <w:rPr>
          <w:rFonts w:hint="eastAsia" w:ascii="仿宋" w:hAnsi="仿宋" w:eastAsia="仿宋" w:cs="仿宋"/>
          <w:sz w:val="24"/>
          <w:szCs w:val="22"/>
          <w:highlight w:val="none"/>
        </w:rPr>
      </w:pPr>
      <w:bookmarkStart w:id="71" w:name="_Hlk33211013"/>
      <w:r>
        <w:rPr>
          <w:rFonts w:hint="eastAsia" w:ascii="仿宋" w:hAnsi="仿宋" w:eastAsia="仿宋" w:cs="仿宋"/>
          <w:sz w:val="24"/>
          <w:szCs w:val="22"/>
          <w:highlight w:val="none"/>
        </w:rPr>
        <w:t>（一）商务、技术文件符合性审查中，存在下列情形之一的，经评标委员会按少数服从多数原则认定后作无效标处理：</w:t>
      </w:r>
    </w:p>
    <w:p w14:paraId="3016AFDA">
      <w:pPr>
        <w:adjustRightInd w:val="0"/>
        <w:snapToGrid w:val="0"/>
        <w:spacing w:line="420" w:lineRule="exact"/>
        <w:ind w:firstLine="480" w:firstLineChars="200"/>
        <w:rPr>
          <w:rFonts w:hint="eastAsia" w:ascii="仿宋" w:hAnsi="仿宋" w:eastAsia="仿宋" w:cs="仿宋"/>
          <w:sz w:val="24"/>
          <w:szCs w:val="22"/>
          <w:highlight w:val="none"/>
        </w:rPr>
      </w:pPr>
      <w:bookmarkStart w:id="72" w:name="_Toc33194396"/>
      <w:r>
        <w:rPr>
          <w:rFonts w:hint="eastAsia" w:ascii="仿宋" w:hAnsi="仿宋" w:eastAsia="仿宋" w:cs="仿宋"/>
          <w:sz w:val="24"/>
          <w:szCs w:val="22"/>
          <w:highlight w:val="none"/>
        </w:rPr>
        <w:t>（1）投标文件未有效授权，法定代表人授权委托书等填写不完整或有涂改的；</w:t>
      </w:r>
      <w:bookmarkEnd w:id="72"/>
    </w:p>
    <w:p w14:paraId="23301C5F">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（2）投标文件没有对本招标文件作出实质性响应的，或不满足（不响应）本招标文件中标注“▲”的实质性要求条款的，或存在招标文件中明确规定的其他无效标情形的；</w:t>
      </w:r>
    </w:p>
    <w:p w14:paraId="5535FE10">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（3）投标文件存在一个或一个以上备选（替代）投标方案的；</w:t>
      </w:r>
    </w:p>
    <w:p w14:paraId="2E88E73F">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（4）仅提交“备份投标文件”的；</w:t>
      </w:r>
    </w:p>
    <w:p w14:paraId="69618692">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（5）文件组成内容不齐全，本招标文件规定必须提供而未提供的（属于资格审查范围的除外）；</w:t>
      </w:r>
    </w:p>
    <w:p w14:paraId="5937E461">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（6）投标文件标注的响应或偏离情况与事实不符，或提供了虚假材料的；</w:t>
      </w:r>
    </w:p>
    <w:p w14:paraId="28D73579">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（7）不响应或擅自改变本招标文件要求或投标文件有采购人不能接受的附加条件的；</w:t>
      </w:r>
    </w:p>
    <w:p w14:paraId="090AC792">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（8）参加同一合同项下政府采购活动的不同投标人之间存在利害关系并且存在影响政府采购公平竞争行为的；</w:t>
      </w:r>
    </w:p>
    <w:p w14:paraId="6DECC611">
      <w:pPr>
        <w:adjustRightInd w:val="0"/>
        <w:snapToGrid w:val="0"/>
        <w:spacing w:line="420" w:lineRule="exact"/>
        <w:ind w:firstLine="480" w:firstLineChars="200"/>
        <w:rPr>
          <w:rFonts w:hint="eastAsia" w:ascii="仿宋" w:hAnsi="仿宋" w:eastAsia="仿宋" w:cs="仿宋"/>
          <w:sz w:val="24"/>
          <w:szCs w:val="22"/>
          <w:highlight w:val="none"/>
        </w:rPr>
      </w:pPr>
      <w:bookmarkStart w:id="73" w:name="_Toc33194397"/>
      <w:r>
        <w:rPr>
          <w:rFonts w:hint="eastAsia" w:ascii="仿宋" w:hAnsi="仿宋" w:eastAsia="仿宋" w:cs="仿宋"/>
          <w:sz w:val="24"/>
          <w:szCs w:val="22"/>
          <w:highlight w:val="none"/>
        </w:rPr>
        <w:t>（9）</w:t>
      </w:r>
      <w:bookmarkEnd w:id="73"/>
      <w:r>
        <w:rPr>
          <w:rFonts w:hint="eastAsia" w:ascii="仿宋" w:hAnsi="仿宋" w:eastAsia="仿宋" w:cs="仿宋"/>
          <w:sz w:val="24"/>
          <w:szCs w:val="22"/>
          <w:highlight w:val="none"/>
        </w:rPr>
        <w:t>违反国家或政府部门相关法律、法规、文件规定的。</w:t>
      </w:r>
      <w:bookmarkEnd w:id="71"/>
    </w:p>
    <w:p w14:paraId="606FF741">
      <w:pPr>
        <w:adjustRightInd w:val="0"/>
        <w:snapToGrid w:val="0"/>
        <w:spacing w:line="420" w:lineRule="exact"/>
        <w:rPr>
          <w:rFonts w:hint="eastAsia" w:ascii="仿宋" w:hAnsi="仿宋" w:eastAsia="仿宋" w:cs="仿宋"/>
          <w:sz w:val="24"/>
          <w:szCs w:val="22"/>
          <w:highlight w:val="none"/>
        </w:rPr>
      </w:pPr>
      <w:r>
        <w:rPr>
          <w:rFonts w:hint="eastAsia" w:ascii="仿宋" w:hAnsi="仿宋" w:eastAsia="仿宋" w:cs="仿宋"/>
          <w:sz w:val="24"/>
          <w:szCs w:val="22"/>
          <w:highlight w:val="none"/>
        </w:rPr>
        <w:t>（二）报价文件符合性审查中，存在下列情形之一的，经评标委员会认定后作无效标处理：</w:t>
      </w:r>
    </w:p>
    <w:p w14:paraId="49E4FC4D">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（1）投标文件没有对本招标文件作出实质性响应的，或不满足（不响应）本招标文件中标注“▲”的实质性要求条款的，或存在招标文件中明确规定的其他无效标情形的；</w:t>
      </w:r>
    </w:p>
    <w:p w14:paraId="56E1DE9C">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（2）投标文件存在一个或一个以上备选（替代）投标方案的；</w:t>
      </w:r>
    </w:p>
    <w:p w14:paraId="517FADFB">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 xml:space="preserve">（3）未按照招标文件标明的币种报价的，或者投标报价涵盖的内容不符合招标文件要求的；       </w:t>
      </w:r>
    </w:p>
    <w:p w14:paraId="143E2F15">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（4）《开标一览表》内容与《投标报价明细表》内容不一致且拒不接受修正的；</w:t>
      </w:r>
    </w:p>
    <w:p w14:paraId="17A3AB6F">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（5）投标报价具有选择性，唱标价格与《投标文件》承诺的优惠（折扣）后价格不一致的；</w:t>
      </w:r>
    </w:p>
    <w:p w14:paraId="57E40FC6">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（6）投标报价超过采购预算（或最高限价）的；</w:t>
      </w:r>
    </w:p>
    <w:p w14:paraId="27AF6719">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（7）仅提交“备份投标文件”的；</w:t>
      </w:r>
    </w:p>
    <w:p w14:paraId="612B13ED">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（8）投标文件组成内容不齐全，本招标文件规定必须提供而未提供的（属于资格审查范围的除外）；</w:t>
      </w:r>
    </w:p>
    <w:p w14:paraId="2FA750F1">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（9）投标文件标注的响应或偏离情况与事实不符，或提供了虚假材料的；</w:t>
      </w:r>
    </w:p>
    <w:p w14:paraId="566E497D">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（10）不响应或擅自改变本招标文件要求或投标文件有采购人不能接受的附加条件的；</w:t>
      </w:r>
    </w:p>
    <w:p w14:paraId="6F193623">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14:paraId="45D20933">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（12）违反国家或政府部门相关法律、法规、文件规定的。</w:t>
      </w:r>
    </w:p>
    <w:p w14:paraId="34E55AF1">
      <w:pPr>
        <w:adjustRightInd w:val="0"/>
        <w:snapToGrid w:val="0"/>
        <w:spacing w:line="420" w:lineRule="exact"/>
        <w:rPr>
          <w:rFonts w:hint="eastAsia" w:ascii="仿宋" w:hAnsi="仿宋" w:eastAsia="仿宋" w:cs="仿宋"/>
          <w:sz w:val="24"/>
          <w:highlight w:val="none"/>
        </w:rPr>
      </w:pPr>
      <w:r>
        <w:rPr>
          <w:rFonts w:hint="eastAsia" w:ascii="仿宋" w:hAnsi="仿宋" w:eastAsia="仿宋" w:cs="仿宋"/>
          <w:b/>
          <w:sz w:val="24"/>
          <w:highlight w:val="none"/>
        </w:rPr>
        <w:t>3、投标报价的错误修正</w:t>
      </w:r>
    </w:p>
    <w:p w14:paraId="7313A79E">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评标委员会将对确定为实质上响应招标文件要求的投标文件报价部分进行校核，看其在投标报价方面是否有计算、累计或表达上的错误，修正错误的原则及顺序如下：</w:t>
      </w:r>
    </w:p>
    <w:p w14:paraId="4B4898DD">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（1）投标文件中开标一览表(报价表)内容与投标文件中明细表内容不一致的，以开标一览表为准；</w:t>
      </w:r>
    </w:p>
    <w:p w14:paraId="4A801264">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（2）投标文件的大写金额和小写金额不一致的，以大写金额为准；</w:t>
      </w:r>
    </w:p>
    <w:p w14:paraId="1895BA86">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（3）如分项价格或单价有遗报，应视作已含在投标总价中；其投标总价不予调整。其分项价或单价由评标委员会在投标总价不变的前提下根据合理的原则对其予以确定；</w:t>
      </w:r>
    </w:p>
    <w:p w14:paraId="05E87D2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（4）如有多报、重报，其投标总价在评标过程中不予调整。如其中标，其合同价按其投标单价予以调整；</w:t>
      </w:r>
    </w:p>
    <w:p w14:paraId="099CDD0A">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（5）单价金额小数点有明显错位的，应以总价为准，并修改单价。</w:t>
      </w:r>
    </w:p>
    <w:p w14:paraId="1D527D2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76849E35">
      <w:pPr>
        <w:adjustRightInd w:val="0"/>
        <w:snapToGrid w:val="0"/>
        <w:spacing w:line="420" w:lineRule="exact"/>
        <w:rPr>
          <w:rFonts w:hint="eastAsia" w:ascii="仿宋" w:hAnsi="仿宋" w:eastAsia="仿宋" w:cs="仿宋"/>
          <w:b/>
          <w:sz w:val="24"/>
          <w:szCs w:val="22"/>
          <w:highlight w:val="none"/>
        </w:rPr>
      </w:pPr>
      <w:r>
        <w:rPr>
          <w:rFonts w:hint="eastAsia" w:ascii="仿宋" w:hAnsi="仿宋" w:eastAsia="仿宋" w:cs="仿宋"/>
          <w:b/>
          <w:sz w:val="24"/>
          <w:szCs w:val="22"/>
          <w:highlight w:val="none"/>
        </w:rPr>
        <w:t>4、废标</w:t>
      </w:r>
    </w:p>
    <w:p w14:paraId="7017D249">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在招标采购中，出现下列情形之一的，本项目废标：</w:t>
      </w:r>
    </w:p>
    <w:p w14:paraId="49B2302C">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（1）符合专业条件的投标人或者对招标文件作实质响应的投标人不足三家的；</w:t>
      </w:r>
    </w:p>
    <w:p w14:paraId="27D03DE5">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（2）出现影响采购公正的违法、违规行为的；</w:t>
      </w:r>
    </w:p>
    <w:p w14:paraId="01EAB75D">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（3）投标人的报价均超过了采购预算，采购人不能支付的；</w:t>
      </w:r>
    </w:p>
    <w:p w14:paraId="1B91911B">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（4）因重大变故，采购任务取消的。</w:t>
      </w:r>
    </w:p>
    <w:p w14:paraId="4FFFA5D5">
      <w:pPr>
        <w:adjustRightInd w:val="0"/>
        <w:snapToGrid w:val="0"/>
        <w:spacing w:line="420" w:lineRule="exact"/>
        <w:rPr>
          <w:rFonts w:hint="eastAsia" w:ascii="仿宋" w:hAnsi="仿宋" w:eastAsia="仿宋" w:cs="仿宋"/>
          <w:b/>
          <w:sz w:val="24"/>
          <w:szCs w:val="22"/>
          <w:highlight w:val="none"/>
        </w:rPr>
      </w:pPr>
      <w:r>
        <w:rPr>
          <w:rFonts w:hint="eastAsia" w:ascii="仿宋" w:hAnsi="仿宋" w:eastAsia="仿宋" w:cs="仿宋"/>
          <w:b/>
          <w:sz w:val="24"/>
          <w:szCs w:val="22"/>
          <w:highlight w:val="none"/>
        </w:rPr>
        <w:t>5、可中止电子交易活动的情形</w:t>
      </w:r>
    </w:p>
    <w:p w14:paraId="7C29A0F1">
      <w:pPr>
        <w:adjustRightInd w:val="0"/>
        <w:snapToGrid w:val="0"/>
        <w:spacing w:line="420" w:lineRule="exact"/>
        <w:ind w:firstLine="482" w:firstLineChars="200"/>
        <w:rPr>
          <w:rFonts w:hint="eastAsia" w:ascii="仿宋" w:hAnsi="仿宋" w:eastAsia="仿宋" w:cs="仿宋"/>
          <w:b/>
          <w:bCs/>
          <w:sz w:val="24"/>
          <w:szCs w:val="22"/>
          <w:highlight w:val="none"/>
        </w:rPr>
      </w:pPr>
      <w:r>
        <w:rPr>
          <w:rFonts w:hint="eastAsia" w:ascii="仿宋" w:hAnsi="仿宋" w:eastAsia="仿宋" w:cs="仿宋"/>
          <w:b/>
          <w:bCs/>
          <w:sz w:val="24"/>
          <w:szCs w:val="22"/>
          <w:highlight w:val="none"/>
        </w:rPr>
        <w:t>采购过程中出现以下情形，导致电子交易平台无法正常运行，或者无法保证电子交易的公平、公正和安全时，采购组织机构可中止电子交易活动：</w:t>
      </w:r>
    </w:p>
    <w:p w14:paraId="0F95E1DB">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（1）电子交易平台发生故障而无法登录访问的；</w:t>
      </w:r>
    </w:p>
    <w:p w14:paraId="67CF8B5B">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（2）电子交易平台应用或数据库出现错误，不能进行正常操作的；</w:t>
      </w:r>
    </w:p>
    <w:p w14:paraId="11524F52">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（3）电子交易平台发现严重安全漏洞，有潜在泄密危险的；</w:t>
      </w:r>
    </w:p>
    <w:p w14:paraId="341F67A4">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（4）病毒发作导致不能进行正常操作的；</w:t>
      </w:r>
    </w:p>
    <w:p w14:paraId="0E19A06B">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（5）其他无法保证电子交易的公平、公正和安全的情况。</w:t>
      </w:r>
    </w:p>
    <w:p w14:paraId="2E56598A">
      <w:pPr>
        <w:adjustRightInd w:val="0"/>
        <w:snapToGrid w:val="0"/>
        <w:spacing w:line="420" w:lineRule="exact"/>
        <w:ind w:firstLine="482" w:firstLineChars="200"/>
        <w:rPr>
          <w:rFonts w:hint="eastAsia" w:ascii="仿宋" w:hAnsi="仿宋" w:eastAsia="仿宋" w:cs="仿宋"/>
          <w:b/>
          <w:bCs/>
          <w:highlight w:val="none"/>
        </w:rPr>
      </w:pPr>
      <w:r>
        <w:rPr>
          <w:rFonts w:hint="eastAsia" w:ascii="仿宋" w:hAnsi="仿宋" w:eastAsia="仿宋" w:cs="仿宋"/>
          <w:b/>
          <w:bCs/>
          <w:sz w:val="24"/>
          <w:szCs w:val="22"/>
          <w:highlight w:val="none"/>
        </w:rPr>
        <w:t>出现前款规定情形，不影响采购公平、公正性的，采购组织机构可以待上述情形消除后继续组织电子交易活动；影响或可能影响采购公平、公正性的，应当重新采购。</w:t>
      </w:r>
    </w:p>
    <w:p w14:paraId="2E5FE132">
      <w:pPr>
        <w:pStyle w:val="313"/>
        <w:adjustRightInd w:val="0"/>
        <w:snapToGrid w:val="0"/>
        <w:spacing w:before="0" w:line="420" w:lineRule="exact"/>
        <w:ind w:firstLine="0" w:firstLineChars="0"/>
        <w:rPr>
          <w:rFonts w:hint="eastAsia" w:ascii="仿宋" w:hAnsi="仿宋" w:eastAsia="仿宋" w:cs="仿宋"/>
          <w:szCs w:val="24"/>
          <w:highlight w:val="none"/>
        </w:rPr>
      </w:pPr>
      <w:r>
        <w:rPr>
          <w:rFonts w:hint="eastAsia" w:ascii="仿宋" w:hAnsi="仿宋" w:eastAsia="仿宋" w:cs="仿宋"/>
          <w:b/>
          <w:highlight w:val="none"/>
        </w:rPr>
        <w:t>（六）投标文件的澄清、说明或补正</w:t>
      </w:r>
    </w:p>
    <w:p w14:paraId="759F95A5">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0F4A14EA">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472F702A">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（七）评标办法</w:t>
      </w:r>
    </w:p>
    <w:bookmarkEnd w:id="70"/>
    <w:p w14:paraId="54198AE1">
      <w:pPr>
        <w:adjustRightInd w:val="0"/>
        <w:snapToGrid w:val="0"/>
        <w:spacing w:line="420" w:lineRule="exact"/>
        <w:ind w:firstLine="480" w:firstLineChars="200"/>
        <w:rPr>
          <w:rFonts w:hint="eastAsia" w:ascii="仿宋" w:hAnsi="仿宋" w:eastAsia="仿宋" w:cs="仿宋"/>
          <w:sz w:val="24"/>
          <w:highlight w:val="none"/>
        </w:rPr>
      </w:pPr>
      <w:bookmarkStart w:id="74" w:name="_Toc86216994"/>
      <w:r>
        <w:rPr>
          <w:rFonts w:hint="eastAsia" w:ascii="仿宋" w:hAnsi="仿宋" w:eastAsia="仿宋" w:cs="仿宋"/>
          <w:sz w:val="24"/>
          <w:highlight w:val="none"/>
        </w:rPr>
        <w:t>详见“第六部分  评标办法”。</w:t>
      </w:r>
    </w:p>
    <w:p w14:paraId="0920EB29">
      <w:pPr>
        <w:pStyle w:val="313"/>
        <w:adjustRightInd w:val="0"/>
        <w:snapToGrid w:val="0"/>
        <w:spacing w:before="0" w:line="420" w:lineRule="exact"/>
        <w:ind w:firstLine="0" w:firstLineChars="0"/>
        <w:rPr>
          <w:rFonts w:hint="eastAsia" w:ascii="仿宋" w:hAnsi="仿宋" w:eastAsia="仿宋" w:cs="仿宋"/>
          <w:b/>
          <w:highlight w:val="none"/>
        </w:rPr>
      </w:pPr>
      <w:r>
        <w:rPr>
          <w:rFonts w:hint="eastAsia" w:ascii="仿宋" w:hAnsi="仿宋" w:eastAsia="仿宋" w:cs="仿宋"/>
          <w:b/>
          <w:highlight w:val="none"/>
        </w:rPr>
        <w:t>（八）评标内容的保密</w:t>
      </w:r>
    </w:p>
    <w:p w14:paraId="2F73A6D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1、公开开标后，直到公告中标单位止，凡属于审查、澄清、评价和比较投标的所有资料，都不向投标人或与评标无关的其他人泄露。</w:t>
      </w:r>
    </w:p>
    <w:p w14:paraId="55981DEA">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在投标文件的审查、澄清、评价和比较以及确定中标人过程中，投标人对招标人、招标代理机构和评标委员会施加影响的任何行为，都将导致取消资格。</w:t>
      </w:r>
    </w:p>
    <w:p w14:paraId="5F35F45B">
      <w:pPr>
        <w:pStyle w:val="35"/>
        <w:rPr>
          <w:rFonts w:hint="eastAsia" w:ascii="仿宋" w:hAnsi="仿宋" w:eastAsia="仿宋" w:cs="仿宋"/>
        </w:rPr>
      </w:pPr>
    </w:p>
    <w:p w14:paraId="19DD10F2">
      <w:pPr>
        <w:adjustRightInd w:val="0"/>
        <w:snapToGrid w:val="0"/>
        <w:spacing w:line="420" w:lineRule="exact"/>
        <w:jc w:val="center"/>
        <w:outlineLvl w:val="1"/>
        <w:rPr>
          <w:rFonts w:hint="eastAsia" w:ascii="仿宋" w:hAnsi="仿宋" w:eastAsia="仿宋" w:cs="仿宋"/>
          <w:b/>
          <w:sz w:val="32"/>
          <w:highlight w:val="none"/>
        </w:rPr>
      </w:pPr>
      <w:bookmarkStart w:id="75" w:name="_Toc522530047"/>
      <w:bookmarkStart w:id="76" w:name="_Toc23416"/>
      <w:bookmarkStart w:id="77" w:name="_Toc233618978"/>
      <w:r>
        <w:rPr>
          <w:rFonts w:hint="eastAsia" w:ascii="仿宋" w:hAnsi="仿宋" w:eastAsia="仿宋" w:cs="仿宋"/>
          <w:b/>
          <w:sz w:val="32"/>
          <w:highlight w:val="none"/>
        </w:rPr>
        <w:t>七、定 标</w:t>
      </w:r>
      <w:bookmarkEnd w:id="74"/>
      <w:bookmarkEnd w:id="75"/>
      <w:bookmarkEnd w:id="76"/>
      <w:bookmarkEnd w:id="77"/>
    </w:p>
    <w:p w14:paraId="5B05B5EA">
      <w:pPr>
        <w:pStyle w:val="38"/>
        <w:tabs>
          <w:tab w:val="left" w:pos="1440"/>
        </w:tabs>
        <w:adjustRightInd w:val="0"/>
        <w:snapToGrid w:val="0"/>
        <w:spacing w:after="0" w:line="420" w:lineRule="exact"/>
        <w:ind w:left="0" w:leftChars="0"/>
        <w:rPr>
          <w:rFonts w:hint="eastAsia" w:ascii="仿宋" w:hAnsi="仿宋" w:eastAsia="仿宋" w:cs="仿宋"/>
          <w:b/>
          <w:sz w:val="24"/>
          <w:highlight w:val="none"/>
        </w:rPr>
      </w:pPr>
      <w:r>
        <w:rPr>
          <w:rFonts w:hint="eastAsia" w:ascii="仿宋" w:hAnsi="仿宋" w:eastAsia="仿宋" w:cs="仿宋"/>
          <w:b/>
          <w:sz w:val="24"/>
          <w:highlight w:val="none"/>
        </w:rPr>
        <w:t>（一）定标</w:t>
      </w:r>
      <w:r>
        <w:rPr>
          <w:rFonts w:hint="eastAsia" w:ascii="仿宋" w:hAnsi="仿宋" w:eastAsia="仿宋" w:cs="仿宋"/>
          <w:b/>
          <w:sz w:val="24"/>
          <w:highlight w:val="none"/>
        </w:rPr>
        <w:tab/>
      </w:r>
    </w:p>
    <w:p w14:paraId="0CA0FC8F">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评标委员会根据以下规定确定投标人排名并推荐中标候选人。</w:t>
      </w:r>
    </w:p>
    <w:p w14:paraId="6A8EBF23">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1、评标委员会根据各投标人的综合得分（商务技术分与报价得分之和）从高到低依次进行排名排序。特殊情形按以下原则处理：</w:t>
      </w:r>
    </w:p>
    <w:p w14:paraId="7DAF1F95">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（1）综合得分相同的，按投标报价低的优先原则确定排名；</w:t>
      </w:r>
    </w:p>
    <w:p w14:paraId="4B201BF0">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（2）综合得分</w:t>
      </w:r>
      <w:r>
        <w:rPr>
          <w:rFonts w:hint="eastAsia" w:ascii="仿宋" w:hAnsi="仿宋" w:eastAsia="仿宋" w:cs="仿宋"/>
          <w:sz w:val="24"/>
          <w:szCs w:val="22"/>
          <w:highlight w:val="none"/>
          <w:lang w:val="en-US" w:eastAsia="zh-CN"/>
        </w:rPr>
        <w:t>和投标</w:t>
      </w:r>
      <w:r>
        <w:rPr>
          <w:rFonts w:hint="eastAsia" w:ascii="仿宋" w:hAnsi="仿宋" w:eastAsia="仿宋" w:cs="仿宋"/>
          <w:sz w:val="24"/>
          <w:szCs w:val="22"/>
          <w:highlight w:val="none"/>
        </w:rPr>
        <w:t>报价</w:t>
      </w:r>
      <w:r>
        <w:rPr>
          <w:rFonts w:hint="eastAsia" w:ascii="仿宋" w:hAnsi="仿宋" w:eastAsia="仿宋" w:cs="仿宋"/>
          <w:sz w:val="24"/>
          <w:szCs w:val="22"/>
          <w:highlight w:val="none"/>
          <w:lang w:val="en-US" w:eastAsia="zh-CN"/>
        </w:rPr>
        <w:t>均</w:t>
      </w:r>
      <w:r>
        <w:rPr>
          <w:rFonts w:hint="eastAsia" w:ascii="仿宋" w:hAnsi="仿宋" w:eastAsia="仿宋" w:cs="仿宋"/>
          <w:sz w:val="24"/>
          <w:szCs w:val="22"/>
          <w:highlight w:val="none"/>
        </w:rPr>
        <w:t>相同的，</w:t>
      </w:r>
      <w:r>
        <w:rPr>
          <w:rFonts w:hint="eastAsia" w:ascii="仿宋" w:hAnsi="仿宋" w:eastAsia="仿宋" w:cs="仿宋"/>
          <w:sz w:val="24"/>
          <w:szCs w:val="22"/>
          <w:highlight w:val="none"/>
          <w:lang w:val="en-US" w:eastAsia="zh-CN"/>
        </w:rPr>
        <w:t>按</w:t>
      </w:r>
      <w:r>
        <w:rPr>
          <w:rFonts w:hint="eastAsia" w:ascii="仿宋" w:hAnsi="仿宋" w:eastAsia="仿宋" w:cs="仿宋"/>
          <w:sz w:val="24"/>
          <w:szCs w:val="22"/>
          <w:highlight w:val="none"/>
        </w:rPr>
        <w:t>商务部分指标优先原则确定排名；</w:t>
      </w:r>
    </w:p>
    <w:p w14:paraId="56A531B4">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（3）如综合得分、投标报价和商务技术中的商务部分得分均相同的，则抽签决定排名。</w:t>
      </w:r>
    </w:p>
    <w:p w14:paraId="1CA831D6">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2、根据最终得分排序，通过书面评审报告的形式，向采购人推荐排名第一的投标人为中标候选人。</w:t>
      </w:r>
    </w:p>
    <w:p w14:paraId="0DEDB855">
      <w:pPr>
        <w:adjustRightInd w:val="0"/>
        <w:snapToGrid w:val="0"/>
        <w:spacing w:line="4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39AFAA0F">
      <w:pPr>
        <w:pStyle w:val="38"/>
        <w:tabs>
          <w:tab w:val="left" w:pos="1440"/>
        </w:tabs>
        <w:adjustRightInd w:val="0"/>
        <w:snapToGrid w:val="0"/>
        <w:spacing w:after="0" w:line="420" w:lineRule="exact"/>
        <w:ind w:left="0" w:leftChars="0"/>
        <w:rPr>
          <w:rFonts w:hint="eastAsia" w:ascii="仿宋" w:hAnsi="仿宋" w:eastAsia="仿宋" w:cs="仿宋"/>
          <w:b/>
          <w:sz w:val="24"/>
          <w:highlight w:val="none"/>
        </w:rPr>
      </w:pPr>
      <w:r>
        <w:rPr>
          <w:rFonts w:hint="eastAsia" w:ascii="仿宋" w:hAnsi="仿宋" w:eastAsia="仿宋" w:cs="仿宋"/>
          <w:b/>
          <w:sz w:val="24"/>
          <w:highlight w:val="none"/>
        </w:rPr>
        <w:t>（二）招标结果公告</w:t>
      </w:r>
    </w:p>
    <w:p w14:paraId="26F884AA">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37BFDEB6">
      <w:pPr>
        <w:pStyle w:val="38"/>
        <w:tabs>
          <w:tab w:val="left" w:pos="1440"/>
        </w:tabs>
        <w:adjustRightInd w:val="0"/>
        <w:snapToGrid w:val="0"/>
        <w:spacing w:after="0" w:line="420" w:lineRule="exact"/>
        <w:ind w:left="0" w:leftChars="0"/>
        <w:rPr>
          <w:rFonts w:hint="eastAsia" w:ascii="仿宋" w:hAnsi="仿宋" w:eastAsia="仿宋" w:cs="仿宋"/>
          <w:b/>
          <w:sz w:val="24"/>
          <w:highlight w:val="none"/>
        </w:rPr>
      </w:pPr>
      <w:bookmarkStart w:id="78" w:name="_Hlt75236103"/>
      <w:bookmarkEnd w:id="78"/>
      <w:bookmarkStart w:id="79" w:name="_Toc86216995"/>
      <w:bookmarkStart w:id="80" w:name="_Toc91899910"/>
      <w:r>
        <w:rPr>
          <w:rFonts w:hint="eastAsia" w:ascii="仿宋" w:hAnsi="仿宋" w:eastAsia="仿宋" w:cs="仿宋"/>
          <w:b/>
          <w:sz w:val="24"/>
          <w:highlight w:val="none"/>
        </w:rPr>
        <w:t>（三）中标通知书</w:t>
      </w:r>
      <w:r>
        <w:rPr>
          <w:rFonts w:hint="eastAsia" w:ascii="仿宋" w:hAnsi="仿宋" w:eastAsia="仿宋" w:cs="仿宋"/>
          <w:b/>
          <w:sz w:val="24"/>
          <w:highlight w:val="none"/>
        </w:rPr>
        <w:tab/>
      </w:r>
    </w:p>
    <w:p w14:paraId="4CE8220E">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在公告中标结果的同时，招标人或者招标代理机构应当向中标人发出中标通知书。</w:t>
      </w:r>
    </w:p>
    <w:p w14:paraId="3A00191F">
      <w:pPr>
        <w:pStyle w:val="35"/>
        <w:rPr>
          <w:rFonts w:hint="eastAsia" w:ascii="仿宋" w:hAnsi="仿宋" w:eastAsia="仿宋" w:cs="仿宋"/>
        </w:rPr>
      </w:pPr>
    </w:p>
    <w:p w14:paraId="7E18C7F7">
      <w:pPr>
        <w:adjustRightInd w:val="0"/>
        <w:snapToGrid w:val="0"/>
        <w:spacing w:line="420" w:lineRule="exact"/>
        <w:jc w:val="center"/>
        <w:outlineLvl w:val="1"/>
        <w:rPr>
          <w:rFonts w:hint="eastAsia" w:ascii="仿宋" w:hAnsi="仿宋" w:eastAsia="仿宋" w:cs="仿宋"/>
          <w:b/>
          <w:sz w:val="32"/>
          <w:highlight w:val="none"/>
        </w:rPr>
      </w:pPr>
      <w:bookmarkStart w:id="81" w:name="_Toc233618979"/>
      <w:bookmarkStart w:id="82" w:name="_Toc15506"/>
      <w:bookmarkStart w:id="83" w:name="_Toc522530048"/>
      <w:r>
        <w:rPr>
          <w:rFonts w:hint="eastAsia" w:ascii="仿宋" w:hAnsi="仿宋" w:eastAsia="仿宋" w:cs="仿宋"/>
          <w:b/>
          <w:sz w:val="32"/>
          <w:highlight w:val="none"/>
        </w:rPr>
        <w:t>八、</w:t>
      </w:r>
      <w:bookmarkEnd w:id="79"/>
      <w:r>
        <w:rPr>
          <w:rFonts w:hint="eastAsia" w:ascii="仿宋" w:hAnsi="仿宋" w:eastAsia="仿宋" w:cs="仿宋"/>
          <w:b/>
          <w:sz w:val="32"/>
          <w:highlight w:val="none"/>
        </w:rPr>
        <w:t>合同签订及其他</w:t>
      </w:r>
      <w:bookmarkEnd w:id="81"/>
      <w:bookmarkEnd w:id="82"/>
      <w:bookmarkEnd w:id="83"/>
    </w:p>
    <w:bookmarkEnd w:id="80"/>
    <w:p w14:paraId="3AE2BD49">
      <w:pPr>
        <w:adjustRightInd w:val="0"/>
        <w:snapToGrid w:val="0"/>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（一）合同的签订</w:t>
      </w:r>
    </w:p>
    <w:p w14:paraId="15711DCC">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中标人接到中标通知书后按规定的日期、时间、地点，由法定代表人或其授权代表与招标人代表按照“第四部分 合同文本”内容签订《采购合同》。</w:t>
      </w:r>
    </w:p>
    <w:p w14:paraId="4497E5C1">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45461098">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招标文件及补充文件、中标人的投标文件及投标修改文件、评标过程中有关澄清文件和中标通知书均作为合同附件。</w:t>
      </w:r>
    </w:p>
    <w:p w14:paraId="2329AACD">
      <w:pPr>
        <w:tabs>
          <w:tab w:val="left" w:pos="3780"/>
        </w:tabs>
        <w:spacing w:line="420" w:lineRule="exact"/>
        <w:ind w:firstLine="482" w:firstLineChars="200"/>
        <w:rPr>
          <w:rFonts w:hint="eastAsia" w:ascii="仿宋" w:hAnsi="仿宋" w:eastAsia="仿宋" w:cs="仿宋"/>
          <w:b/>
          <w:sz w:val="24"/>
          <w:szCs w:val="22"/>
          <w:highlight w:val="none"/>
        </w:rPr>
      </w:pPr>
      <w:r>
        <w:rPr>
          <w:rFonts w:hint="eastAsia" w:ascii="仿宋" w:hAnsi="仿宋" w:eastAsia="仿宋" w:cs="仿宋"/>
          <w:b/>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210C9167">
      <w:pPr>
        <w:tabs>
          <w:tab w:val="left" w:pos="3780"/>
        </w:tabs>
        <w:spacing w:line="420" w:lineRule="exact"/>
        <w:ind w:firstLine="482" w:firstLineChars="200"/>
        <w:rPr>
          <w:rFonts w:hint="eastAsia" w:ascii="仿宋" w:hAnsi="仿宋" w:eastAsia="仿宋" w:cs="仿宋"/>
          <w:b/>
          <w:sz w:val="24"/>
          <w:szCs w:val="22"/>
          <w:highlight w:val="none"/>
        </w:rPr>
      </w:pPr>
      <w:r>
        <w:rPr>
          <w:rFonts w:hint="eastAsia" w:ascii="仿宋" w:hAnsi="仿宋" w:eastAsia="仿宋" w:cs="仿宋"/>
          <w:b/>
          <w:sz w:val="24"/>
          <w:szCs w:val="22"/>
          <w:highlight w:val="none"/>
        </w:rPr>
        <w:t>存在下列行为的，采购代理机构将其失信行为上报政府采购主管部门，由主管部门按有关规定对其违法失信行为记录进行公开：</w:t>
      </w:r>
    </w:p>
    <w:p w14:paraId="36C9D483">
      <w:pPr>
        <w:tabs>
          <w:tab w:val="left" w:pos="3780"/>
        </w:tabs>
        <w:spacing w:line="420" w:lineRule="exact"/>
        <w:ind w:firstLine="482" w:firstLineChars="200"/>
        <w:rPr>
          <w:rFonts w:hint="eastAsia" w:ascii="仿宋" w:hAnsi="仿宋" w:eastAsia="仿宋" w:cs="仿宋"/>
          <w:b/>
          <w:sz w:val="24"/>
          <w:szCs w:val="22"/>
          <w:highlight w:val="none"/>
        </w:rPr>
      </w:pPr>
      <w:r>
        <w:rPr>
          <w:rFonts w:hint="eastAsia" w:ascii="仿宋" w:hAnsi="仿宋" w:eastAsia="仿宋" w:cs="仿宋"/>
          <w:b/>
          <w:sz w:val="24"/>
          <w:szCs w:val="22"/>
          <w:highlight w:val="none"/>
        </w:rPr>
        <w:t>（1）中标或者成交后，拒绝签订政府采购合同的；</w:t>
      </w:r>
    </w:p>
    <w:p w14:paraId="61D2A17A">
      <w:pPr>
        <w:tabs>
          <w:tab w:val="left" w:pos="3780"/>
        </w:tabs>
        <w:spacing w:line="420" w:lineRule="exact"/>
        <w:ind w:firstLine="482" w:firstLineChars="200"/>
        <w:rPr>
          <w:rFonts w:hint="eastAsia" w:ascii="仿宋" w:hAnsi="仿宋" w:eastAsia="仿宋" w:cs="仿宋"/>
          <w:b/>
          <w:sz w:val="24"/>
          <w:szCs w:val="22"/>
          <w:highlight w:val="none"/>
        </w:rPr>
      </w:pPr>
      <w:r>
        <w:rPr>
          <w:rFonts w:hint="eastAsia" w:ascii="仿宋" w:hAnsi="仿宋" w:eastAsia="仿宋" w:cs="仿宋"/>
          <w:b/>
          <w:sz w:val="24"/>
          <w:szCs w:val="22"/>
          <w:highlight w:val="none"/>
        </w:rPr>
        <w:t>（2）投标有效期内撤销投标文件的。</w:t>
      </w:r>
    </w:p>
    <w:p w14:paraId="5281C0B1">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如签订合同并生效后，投标人无故拒绝或延期合格交货的，除按照合同条款处罚外，列入不良行为记录一次，并给予通报。</w:t>
      </w:r>
    </w:p>
    <w:p w14:paraId="637A0B4F">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中标人因制造商原因无法供货导致无法签订合同的视为“中标后无正当理由不与招标人签订合同”。 </w:t>
      </w:r>
    </w:p>
    <w:p w14:paraId="2DAD95A9">
      <w:pPr>
        <w:tabs>
          <w:tab w:val="left" w:pos="0"/>
        </w:tabs>
        <w:spacing w:line="420" w:lineRule="exact"/>
        <w:rPr>
          <w:rFonts w:hint="eastAsia" w:ascii="仿宋" w:hAnsi="仿宋" w:eastAsia="仿宋" w:cs="仿宋"/>
          <w:b/>
          <w:sz w:val="24"/>
          <w:highlight w:val="none"/>
        </w:rPr>
      </w:pPr>
      <w:r>
        <w:rPr>
          <w:rFonts w:hint="eastAsia" w:ascii="仿宋" w:hAnsi="仿宋" w:eastAsia="仿宋" w:cs="仿宋"/>
          <w:b/>
          <w:sz w:val="24"/>
          <w:highlight w:val="none"/>
        </w:rPr>
        <w:t>（二）售后服务考核</w:t>
      </w:r>
    </w:p>
    <w:p w14:paraId="77BC6D85">
      <w:pPr>
        <w:adjustRightInd w:val="0"/>
        <w:snapToGrid w:val="0"/>
        <w:spacing w:line="4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将参照有关法律法规，对投标人进行考核，发现弄虚作假，偷工减料，以次充好，达不到国家、行业有关标准和技术文件规定的，一经查实，招标人将视情况终止合同。</w:t>
      </w:r>
    </w:p>
    <w:p w14:paraId="366FBD71">
      <w:pPr>
        <w:pStyle w:val="88"/>
        <w:rPr>
          <w:rFonts w:hint="eastAsia" w:ascii="仿宋" w:hAnsi="仿宋" w:eastAsia="仿宋" w:cs="仿宋"/>
          <w:sz w:val="24"/>
          <w:highlight w:val="none"/>
        </w:rPr>
      </w:pPr>
    </w:p>
    <w:p w14:paraId="1D66E227">
      <w:pPr>
        <w:pStyle w:val="35"/>
        <w:rPr>
          <w:rFonts w:hint="eastAsia" w:ascii="仿宋" w:hAnsi="仿宋" w:eastAsia="仿宋" w:cs="仿宋"/>
          <w:sz w:val="24"/>
          <w:highlight w:val="none"/>
        </w:rPr>
      </w:pPr>
    </w:p>
    <w:p w14:paraId="4A420278">
      <w:pPr>
        <w:pStyle w:val="36"/>
        <w:rPr>
          <w:rFonts w:hint="eastAsia" w:ascii="仿宋" w:hAnsi="仿宋" w:eastAsia="仿宋" w:cs="仿宋"/>
          <w:sz w:val="24"/>
          <w:highlight w:val="none"/>
        </w:rPr>
      </w:pPr>
    </w:p>
    <w:p w14:paraId="1C1CEEF7">
      <w:pPr>
        <w:pStyle w:val="103"/>
        <w:rPr>
          <w:rFonts w:hint="eastAsia" w:ascii="仿宋" w:hAnsi="仿宋" w:eastAsia="仿宋" w:cs="仿宋"/>
          <w:sz w:val="24"/>
          <w:highlight w:val="none"/>
        </w:rPr>
      </w:pPr>
    </w:p>
    <w:p w14:paraId="03AB50E9">
      <w:pPr>
        <w:rPr>
          <w:rFonts w:hint="eastAsia" w:ascii="仿宋" w:hAnsi="仿宋" w:eastAsia="仿宋" w:cs="仿宋"/>
          <w:sz w:val="24"/>
          <w:highlight w:val="none"/>
        </w:rPr>
      </w:pPr>
    </w:p>
    <w:p w14:paraId="334C74D8">
      <w:pPr>
        <w:pStyle w:val="36"/>
        <w:rPr>
          <w:rFonts w:hint="eastAsia" w:ascii="仿宋" w:hAnsi="仿宋" w:eastAsia="仿宋" w:cs="仿宋"/>
          <w:sz w:val="24"/>
          <w:highlight w:val="none"/>
        </w:rPr>
      </w:pPr>
    </w:p>
    <w:p w14:paraId="06AD5B19">
      <w:pPr>
        <w:rPr>
          <w:rFonts w:hint="eastAsia" w:ascii="仿宋" w:hAnsi="仿宋" w:eastAsia="仿宋" w:cs="仿宋"/>
          <w:sz w:val="24"/>
          <w:highlight w:val="none"/>
        </w:rPr>
      </w:pPr>
    </w:p>
    <w:p w14:paraId="356C2771">
      <w:pPr>
        <w:pStyle w:val="88"/>
        <w:rPr>
          <w:rFonts w:hint="eastAsia" w:ascii="仿宋" w:hAnsi="仿宋" w:eastAsia="仿宋" w:cs="仿宋"/>
          <w:sz w:val="24"/>
          <w:highlight w:val="none"/>
        </w:rPr>
      </w:pPr>
    </w:p>
    <w:p w14:paraId="6084549D">
      <w:pPr>
        <w:pStyle w:val="89"/>
        <w:rPr>
          <w:rFonts w:hint="eastAsia" w:ascii="仿宋" w:hAnsi="仿宋" w:eastAsia="仿宋" w:cs="仿宋"/>
          <w:sz w:val="24"/>
          <w:highlight w:val="none"/>
        </w:rPr>
      </w:pPr>
    </w:p>
    <w:p w14:paraId="7C12C1D9">
      <w:pPr>
        <w:pStyle w:val="89"/>
        <w:rPr>
          <w:rFonts w:hint="eastAsia" w:ascii="仿宋" w:hAnsi="仿宋" w:eastAsia="仿宋" w:cs="仿宋"/>
          <w:sz w:val="24"/>
          <w:highlight w:val="none"/>
        </w:rPr>
      </w:pPr>
    </w:p>
    <w:p w14:paraId="41CF9AAF">
      <w:pPr>
        <w:pStyle w:val="89"/>
        <w:rPr>
          <w:rFonts w:hint="eastAsia" w:ascii="仿宋" w:hAnsi="仿宋" w:eastAsia="仿宋" w:cs="仿宋"/>
          <w:sz w:val="24"/>
          <w:highlight w:val="none"/>
        </w:rPr>
      </w:pPr>
    </w:p>
    <w:p w14:paraId="3CF7D615">
      <w:pPr>
        <w:pStyle w:val="103"/>
        <w:rPr>
          <w:rFonts w:hint="eastAsia" w:ascii="仿宋" w:hAnsi="仿宋" w:eastAsia="仿宋" w:cs="仿宋"/>
          <w:sz w:val="24"/>
          <w:highlight w:val="none"/>
        </w:rPr>
      </w:pPr>
    </w:p>
    <w:p w14:paraId="61707F78">
      <w:pPr>
        <w:rPr>
          <w:rFonts w:hint="eastAsia" w:ascii="仿宋" w:hAnsi="仿宋" w:eastAsia="仿宋" w:cs="仿宋"/>
          <w:sz w:val="24"/>
          <w:highlight w:val="none"/>
        </w:rPr>
      </w:pPr>
    </w:p>
    <w:p w14:paraId="359BC2C0">
      <w:pPr>
        <w:pStyle w:val="4"/>
        <w:rPr>
          <w:rFonts w:hint="eastAsia" w:ascii="仿宋" w:hAnsi="仿宋" w:eastAsia="仿宋" w:cs="仿宋"/>
          <w:sz w:val="24"/>
          <w:highlight w:val="none"/>
        </w:rPr>
      </w:pPr>
    </w:p>
    <w:p w14:paraId="40E3866E">
      <w:pPr>
        <w:rPr>
          <w:rFonts w:hint="eastAsia"/>
        </w:rPr>
      </w:pPr>
    </w:p>
    <w:p w14:paraId="772C4EE3">
      <w:pPr>
        <w:pStyle w:val="313"/>
        <w:numPr>
          <w:ilvl w:val="0"/>
          <w:numId w:val="2"/>
        </w:numPr>
        <w:spacing w:before="0" w:line="276" w:lineRule="auto"/>
        <w:ind w:firstLine="0" w:firstLineChars="0"/>
        <w:jc w:val="center"/>
        <w:outlineLvl w:val="0"/>
        <w:rPr>
          <w:rFonts w:hint="eastAsia" w:ascii="仿宋" w:hAnsi="仿宋" w:eastAsia="仿宋" w:cs="仿宋"/>
          <w:b/>
          <w:color w:val="auto"/>
          <w:sz w:val="36"/>
          <w:highlight w:val="none"/>
        </w:rPr>
      </w:pPr>
      <w:bookmarkStart w:id="84" w:name="_Toc4895"/>
      <w:r>
        <w:rPr>
          <w:rFonts w:hint="eastAsia" w:ascii="仿宋" w:hAnsi="仿宋" w:eastAsia="仿宋" w:cs="仿宋"/>
          <w:b/>
          <w:color w:val="auto"/>
          <w:sz w:val="36"/>
          <w:highlight w:val="none"/>
        </w:rPr>
        <w:t>采购内容及</w:t>
      </w:r>
      <w:r>
        <w:rPr>
          <w:rFonts w:hint="eastAsia" w:ascii="仿宋" w:hAnsi="仿宋" w:eastAsia="仿宋" w:cs="仿宋"/>
          <w:b/>
          <w:color w:val="auto"/>
          <w:sz w:val="36"/>
          <w:highlight w:val="none"/>
          <w:lang w:eastAsia="zh-CN"/>
        </w:rPr>
        <w:t>服务</w:t>
      </w:r>
      <w:r>
        <w:rPr>
          <w:rFonts w:hint="eastAsia" w:ascii="仿宋" w:hAnsi="仿宋" w:eastAsia="仿宋" w:cs="仿宋"/>
          <w:b/>
          <w:color w:val="auto"/>
          <w:sz w:val="36"/>
          <w:highlight w:val="none"/>
        </w:rPr>
        <w:t>需求</w:t>
      </w:r>
      <w:bookmarkEnd w:id="84"/>
    </w:p>
    <w:p w14:paraId="7F52D6E1">
      <w:pPr>
        <w:rPr>
          <w:rFonts w:hint="eastAsia" w:ascii="仿宋" w:hAnsi="仿宋" w:eastAsia="仿宋" w:cs="仿宋"/>
        </w:rPr>
      </w:pPr>
      <w:bookmarkStart w:id="85" w:name="_Toc454364282"/>
      <w:bookmarkStart w:id="86" w:name="_Toc1203"/>
      <w:bookmarkStart w:id="87" w:name="_Toc492733886"/>
      <w:bookmarkStart w:id="88" w:name="_Toc86217003"/>
      <w:bookmarkStart w:id="89" w:name="_Toc233618986"/>
    </w:p>
    <w:bookmarkEnd w:id="85"/>
    <w:p w14:paraId="14BA9A9C">
      <w:pPr>
        <w:numPr>
          <w:ilvl w:val="0"/>
          <w:numId w:val="0"/>
        </w:numPr>
        <w:adjustRightInd w:val="0"/>
        <w:rPr>
          <w:rFonts w:hint="eastAsia" w:ascii="仿宋" w:hAnsi="仿宋" w:eastAsia="仿宋" w:cs="宋体"/>
          <w:b/>
          <w:color w:val="auto"/>
          <w:kern w:val="0"/>
          <w:sz w:val="24"/>
          <w:highlight w:val="none"/>
        </w:rPr>
      </w:pPr>
      <w:r>
        <w:rPr>
          <w:rFonts w:hint="eastAsia"/>
          <w:bCs w:val="0"/>
          <w:sz w:val="28"/>
          <w:szCs w:val="28"/>
        </w:rPr>
        <w:t>一</w:t>
      </w:r>
      <w:r>
        <w:rPr>
          <w:rFonts w:hint="eastAsia"/>
          <w:bCs w:val="0"/>
          <w:sz w:val="28"/>
          <w:szCs w:val="28"/>
          <w:lang w:eastAsia="zh-CN"/>
        </w:rPr>
        <w:t>、</w:t>
      </w:r>
      <w:r>
        <w:rPr>
          <w:rFonts w:hint="eastAsia" w:ascii="仿宋" w:hAnsi="仿宋" w:eastAsia="仿宋" w:cs="宋体"/>
          <w:b/>
          <w:color w:val="auto"/>
          <w:kern w:val="0"/>
          <w:sz w:val="24"/>
          <w:szCs w:val="24"/>
          <w:highlight w:val="none"/>
        </w:rPr>
        <w:t>详细技术参数</w:t>
      </w:r>
      <w:r>
        <w:rPr>
          <w:rFonts w:hint="eastAsia" w:ascii="仿宋" w:hAnsi="仿宋" w:eastAsia="仿宋" w:cs="宋体"/>
          <w:b/>
          <w:color w:val="auto"/>
          <w:kern w:val="0"/>
          <w:sz w:val="24"/>
          <w:highlight w:val="none"/>
        </w:rPr>
        <w:t>（▲本项目为包工包料交钥匙工程，中标人需提供完成本项目所需的所有设备、材料、配件、附件、备品备件等并完成所有设备的安装调试等，如有需要各投标人可在联系采购人并征得同意后前往踏勘现场，报价时综合考虑。以下参数中如涉及品牌仅供参考，不作要求。）</w:t>
      </w:r>
    </w:p>
    <w:p w14:paraId="632942A5">
      <w:pPr>
        <w:pStyle w:val="37"/>
        <w:ind w:left="0" w:leftChars="0" w:firstLine="0" w:firstLineChars="0"/>
        <w:rPr>
          <w:rFonts w:hint="eastAsia"/>
        </w:rPr>
      </w:pPr>
    </w:p>
    <w:tbl>
      <w:tblPr>
        <w:tblStyle w:val="627"/>
        <w:tblW w:w="9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21"/>
        <w:gridCol w:w="756"/>
        <w:gridCol w:w="158"/>
        <w:gridCol w:w="6438"/>
        <w:gridCol w:w="575"/>
        <w:gridCol w:w="966"/>
      </w:tblGrid>
      <w:tr w14:paraId="0B622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00" w:type="dxa"/>
            <w:gridSpan w:val="7"/>
            <w:vAlign w:val="top"/>
          </w:tcPr>
          <w:p w14:paraId="4DEBEE70">
            <w:pPr>
              <w:pStyle w:val="626"/>
              <w:spacing w:before="203" w:line="220" w:lineRule="auto"/>
              <w:jc w:val="center"/>
              <w:rPr>
                <w:rFonts w:hint="eastAsia" w:ascii="宋体" w:hAnsi="宋体" w:eastAsia="宋体" w:cs="宋体"/>
                <w:sz w:val="21"/>
                <w:szCs w:val="21"/>
              </w:rPr>
            </w:pP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val="en-US" w:eastAsia="en-US"/>
              </w:rPr>
              <w:t>IPV6新一代校园网络改造</w:t>
            </w:r>
            <w:r>
              <w:rPr>
                <w:rFonts w:hint="eastAsia" w:ascii="宋体" w:hAnsi="宋体" w:eastAsia="宋体" w:cs="宋体"/>
                <w:spacing w:val="-1"/>
                <w:sz w:val="21"/>
                <w:szCs w:val="21"/>
              </w:rPr>
              <w:t>清单</w:t>
            </w:r>
          </w:p>
        </w:tc>
      </w:tr>
      <w:tr w14:paraId="0F444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0651A085">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777" w:type="dxa"/>
            <w:gridSpan w:val="2"/>
            <w:vAlign w:val="center"/>
          </w:tcPr>
          <w:p w14:paraId="1FA46226">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6596" w:type="dxa"/>
            <w:gridSpan w:val="2"/>
            <w:vAlign w:val="center"/>
          </w:tcPr>
          <w:p w14:paraId="4477EE36">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技术规格参数</w:t>
            </w:r>
          </w:p>
        </w:tc>
        <w:tc>
          <w:tcPr>
            <w:tcW w:w="575" w:type="dxa"/>
            <w:vAlign w:val="center"/>
          </w:tcPr>
          <w:p w14:paraId="42AEB3CF">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966" w:type="dxa"/>
            <w:vAlign w:val="center"/>
          </w:tcPr>
          <w:p w14:paraId="444E2FB7">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数量</w:t>
            </w:r>
          </w:p>
        </w:tc>
      </w:tr>
      <w:tr w14:paraId="39AB9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686" w:type="dxa"/>
            <w:vAlign w:val="center"/>
          </w:tcPr>
          <w:p w14:paraId="40B81F60">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77" w:type="dxa"/>
            <w:gridSpan w:val="2"/>
            <w:vAlign w:val="center"/>
          </w:tcPr>
          <w:p w14:paraId="444ED617">
            <w:pPr>
              <w:pStyle w:val="626"/>
              <w:spacing w:before="71" w:line="221" w:lineRule="auto"/>
              <w:jc w:val="center"/>
              <w:rPr>
                <w:rFonts w:hint="eastAsia" w:ascii="宋体" w:hAnsi="宋体" w:eastAsia="宋体" w:cs="宋体"/>
                <w:sz w:val="21"/>
                <w:szCs w:val="21"/>
              </w:rPr>
            </w:pPr>
            <w:r>
              <w:rPr>
                <w:rFonts w:hint="eastAsia" w:ascii="宋体" w:hAnsi="宋体" w:eastAsia="宋体" w:cs="宋体"/>
                <w:spacing w:val="-4"/>
                <w:sz w:val="21"/>
                <w:szCs w:val="21"/>
              </w:rPr>
              <w:t>汇聚</w:t>
            </w:r>
            <w:r>
              <w:rPr>
                <w:rFonts w:hint="eastAsia" w:ascii="宋体" w:hAnsi="宋体" w:eastAsia="宋体" w:cs="宋体"/>
                <w:spacing w:val="-6"/>
                <w:sz w:val="21"/>
                <w:szCs w:val="21"/>
              </w:rPr>
              <w:t>交换</w:t>
            </w:r>
            <w:r>
              <w:rPr>
                <w:rFonts w:hint="eastAsia" w:ascii="宋体" w:hAnsi="宋体" w:eastAsia="宋体" w:cs="宋体"/>
                <w:sz w:val="21"/>
                <w:szCs w:val="21"/>
              </w:rPr>
              <w:t>机</w:t>
            </w:r>
          </w:p>
        </w:tc>
        <w:tc>
          <w:tcPr>
            <w:tcW w:w="6596" w:type="dxa"/>
            <w:gridSpan w:val="2"/>
            <w:vAlign w:val="top"/>
          </w:tcPr>
          <w:p w14:paraId="17C3F2A4">
            <w:pPr>
              <w:pStyle w:val="626"/>
              <w:spacing w:before="24" w:line="206" w:lineRule="auto"/>
              <w:ind w:left="130"/>
              <w:rPr>
                <w:rFonts w:hint="eastAsia" w:ascii="宋体" w:hAnsi="宋体" w:eastAsia="宋体" w:cs="宋体"/>
                <w:sz w:val="21"/>
                <w:szCs w:val="21"/>
              </w:rPr>
            </w:pPr>
            <w:r>
              <w:rPr>
                <w:rFonts w:hint="eastAsia" w:ascii="宋体" w:hAnsi="宋体" w:eastAsia="宋体" w:cs="宋体"/>
                <w:i w:val="0"/>
                <w:iCs w:val="0"/>
                <w:snapToGrid w:val="0"/>
                <w:color w:val="000000"/>
                <w:kern w:val="0"/>
                <w:sz w:val="22"/>
                <w:szCs w:val="22"/>
                <w:u w:val="none"/>
                <w:lang w:val="en-US" w:eastAsia="zh-CN" w:bidi="ar"/>
              </w:rPr>
              <w:t>1、交换容量≥48Tbps，包转发率≥9600Mpps；</w:t>
            </w:r>
            <w:r>
              <w:rPr>
                <w:rFonts w:hint="eastAsia" w:ascii="宋体" w:hAnsi="宋体" w:eastAsia="宋体" w:cs="宋体"/>
                <w:b/>
                <w:bCs/>
                <w:i w:val="0"/>
                <w:iCs w:val="0"/>
                <w:snapToGrid w:val="0"/>
                <w:color w:val="000000"/>
                <w:kern w:val="0"/>
                <w:sz w:val="22"/>
                <w:szCs w:val="22"/>
                <w:u w:val="none"/>
                <w:lang w:val="en-US" w:eastAsia="zh-CN" w:bidi="ar"/>
              </w:rPr>
              <w:t>以官网所列最低参数为准提供官网截图及官网链接；</w:t>
            </w:r>
            <w:r>
              <w:rPr>
                <w:rFonts w:hint="eastAsia" w:ascii="宋体" w:hAnsi="宋体" w:eastAsia="宋体" w:cs="宋体"/>
                <w:b/>
                <w:bCs/>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2、配置要求：6个CFP2 PEN中心端口≥6，25GE SFP28端口≥4，100GE QSFP28端口≥2，扩展插槽≥1，冗余电源；</w:t>
            </w:r>
            <w:r>
              <w:rPr>
                <w:rFonts w:hint="eastAsia" w:ascii="宋体" w:hAnsi="宋体" w:eastAsia="宋体" w:cs="宋体"/>
                <w:b/>
                <w:bCs/>
                <w:i w:val="0"/>
                <w:iCs w:val="0"/>
                <w:snapToGrid w:val="0"/>
                <w:color w:val="000000"/>
                <w:kern w:val="0"/>
                <w:sz w:val="22"/>
                <w:szCs w:val="22"/>
                <w:u w:val="none"/>
                <w:lang w:val="en-US" w:eastAsia="zh-CN" w:bidi="ar"/>
              </w:rPr>
              <w:t>提供官网截图证明（附链接）；</w:t>
            </w:r>
            <w:r>
              <w:rPr>
                <w:rFonts w:hint="eastAsia" w:ascii="宋体" w:hAnsi="宋体" w:eastAsia="宋体" w:cs="宋体"/>
                <w:b/>
                <w:bCs/>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3、支持 MAC 地址自动学习和老化；</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4、具备随板AC功能，可最大管理1K AP；</w:t>
            </w:r>
            <w:r>
              <w:rPr>
                <w:rFonts w:hint="eastAsia" w:ascii="宋体" w:hAnsi="宋体" w:eastAsia="宋体" w:cs="宋体"/>
                <w:b/>
                <w:bCs/>
                <w:color w:val="auto"/>
                <w:sz w:val="21"/>
                <w:szCs w:val="21"/>
              </w:rPr>
              <w:t>提供官网截图及官网链接</w:t>
            </w:r>
            <w:r>
              <w:rPr>
                <w:rFonts w:hint="eastAsia" w:ascii="宋体" w:hAnsi="宋体" w:eastAsia="宋体" w:cs="宋体"/>
                <w:b/>
                <w:bCs/>
                <w:color w:val="auto"/>
                <w:sz w:val="21"/>
                <w:szCs w:val="21"/>
                <w:lang w:eastAsia="zh-CN"/>
              </w:rPr>
              <w:t>；</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5、支持MAC表项≥384K；</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6、支持静态、动态、黑洞 MAC 表项；</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7、支持源 MAC 地址过滤；</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8、支持 VXLAN 分布式网关，集中式网关；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9、支持 ERPS 以太环保护协议（G.8032）；</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10、支持 M-LAG；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11、要求提供原厂三年维保服务；</w:t>
            </w:r>
          </w:p>
        </w:tc>
        <w:tc>
          <w:tcPr>
            <w:tcW w:w="575" w:type="dxa"/>
            <w:vAlign w:val="center"/>
          </w:tcPr>
          <w:p w14:paraId="1A0390CF">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66" w:type="dxa"/>
            <w:vAlign w:val="center"/>
          </w:tcPr>
          <w:p w14:paraId="0D170C0D">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580CB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06D266CD">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777" w:type="dxa"/>
            <w:gridSpan w:val="2"/>
            <w:vAlign w:val="center"/>
          </w:tcPr>
          <w:p w14:paraId="7223202B">
            <w:pPr>
              <w:pStyle w:val="626"/>
              <w:spacing w:before="34" w:line="221" w:lineRule="auto"/>
              <w:jc w:val="center"/>
              <w:rPr>
                <w:rFonts w:hint="eastAsia" w:ascii="宋体" w:hAnsi="宋体" w:eastAsia="宋体" w:cs="宋体"/>
                <w:sz w:val="21"/>
                <w:szCs w:val="21"/>
              </w:rPr>
            </w:pPr>
            <w:r>
              <w:rPr>
                <w:rFonts w:hint="eastAsia" w:ascii="宋体" w:hAnsi="宋体" w:eastAsia="宋体" w:cs="宋体"/>
                <w:spacing w:val="-5"/>
                <w:sz w:val="21"/>
                <w:szCs w:val="21"/>
              </w:rPr>
              <w:t>核心</w:t>
            </w:r>
            <w:r>
              <w:rPr>
                <w:rFonts w:hint="eastAsia" w:ascii="宋体" w:hAnsi="宋体" w:eastAsia="宋体" w:cs="宋体"/>
                <w:spacing w:val="-7"/>
                <w:sz w:val="21"/>
                <w:szCs w:val="21"/>
              </w:rPr>
              <w:t>万兆</w:t>
            </w:r>
            <w:r>
              <w:rPr>
                <w:rFonts w:hint="eastAsia" w:ascii="宋体" w:hAnsi="宋体" w:eastAsia="宋体" w:cs="宋体"/>
                <w:spacing w:val="-3"/>
                <w:sz w:val="21"/>
                <w:szCs w:val="21"/>
              </w:rPr>
              <w:t>模块</w:t>
            </w:r>
          </w:p>
        </w:tc>
        <w:tc>
          <w:tcPr>
            <w:tcW w:w="6596" w:type="dxa"/>
            <w:gridSpan w:val="2"/>
            <w:vAlign w:val="center"/>
          </w:tcPr>
          <w:p w14:paraId="1153631A">
            <w:pPr>
              <w:pStyle w:val="626"/>
              <w:spacing w:before="71" w:line="217" w:lineRule="auto"/>
              <w:ind w:left="112"/>
              <w:jc w:val="both"/>
              <w:rPr>
                <w:rFonts w:hint="eastAsia" w:ascii="宋体" w:hAnsi="宋体" w:eastAsia="宋体" w:cs="宋体"/>
                <w:sz w:val="21"/>
                <w:szCs w:val="21"/>
              </w:rPr>
            </w:pPr>
            <w:r>
              <w:rPr>
                <w:rFonts w:hint="eastAsia" w:ascii="宋体" w:hAnsi="宋体" w:eastAsia="宋体" w:cs="宋体"/>
                <w:i w:val="0"/>
                <w:iCs w:val="0"/>
                <w:snapToGrid w:val="0"/>
                <w:color w:val="000000"/>
                <w:kern w:val="0"/>
                <w:sz w:val="22"/>
                <w:szCs w:val="22"/>
                <w:u w:val="none"/>
                <w:lang w:val="en-US" w:eastAsia="zh-CN" w:bidi="ar"/>
              </w:rPr>
              <w:t>CFP2-16*10G/2.5G-PEN万兆光模块(10km,LC)</w:t>
            </w:r>
          </w:p>
        </w:tc>
        <w:tc>
          <w:tcPr>
            <w:tcW w:w="575" w:type="dxa"/>
            <w:vAlign w:val="center"/>
          </w:tcPr>
          <w:p w14:paraId="1988C21E">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966" w:type="dxa"/>
            <w:vAlign w:val="center"/>
          </w:tcPr>
          <w:p w14:paraId="0BE17D40">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3</w:t>
            </w:r>
          </w:p>
        </w:tc>
      </w:tr>
      <w:tr w14:paraId="24662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7E6F9246">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777" w:type="dxa"/>
            <w:gridSpan w:val="2"/>
            <w:vAlign w:val="center"/>
          </w:tcPr>
          <w:p w14:paraId="0D244941">
            <w:pPr>
              <w:pStyle w:val="626"/>
              <w:spacing w:before="35" w:line="222" w:lineRule="auto"/>
              <w:jc w:val="center"/>
              <w:rPr>
                <w:rFonts w:hint="eastAsia" w:ascii="宋体" w:hAnsi="宋体" w:eastAsia="宋体" w:cs="宋体"/>
                <w:sz w:val="21"/>
                <w:szCs w:val="21"/>
              </w:rPr>
            </w:pPr>
            <w:r>
              <w:rPr>
                <w:rFonts w:hint="eastAsia" w:ascii="宋体" w:hAnsi="宋体" w:eastAsia="宋体" w:cs="宋体"/>
                <w:spacing w:val="-3"/>
                <w:sz w:val="21"/>
                <w:szCs w:val="21"/>
              </w:rPr>
              <w:t>接入</w:t>
            </w:r>
            <w:r>
              <w:rPr>
                <w:rFonts w:hint="eastAsia" w:ascii="宋体" w:hAnsi="宋体" w:eastAsia="宋体" w:cs="宋体"/>
                <w:spacing w:val="-5"/>
                <w:sz w:val="21"/>
                <w:szCs w:val="21"/>
              </w:rPr>
              <w:t>光模</w:t>
            </w:r>
            <w:r>
              <w:rPr>
                <w:rFonts w:hint="eastAsia" w:ascii="宋体" w:hAnsi="宋体" w:eastAsia="宋体" w:cs="宋体"/>
                <w:sz w:val="21"/>
                <w:szCs w:val="21"/>
              </w:rPr>
              <w:t>块</w:t>
            </w:r>
          </w:p>
        </w:tc>
        <w:tc>
          <w:tcPr>
            <w:tcW w:w="6596" w:type="dxa"/>
            <w:gridSpan w:val="2"/>
            <w:vAlign w:val="top"/>
          </w:tcPr>
          <w:p w14:paraId="67FA4998">
            <w:pPr>
              <w:pStyle w:val="626"/>
              <w:spacing w:before="176" w:line="242" w:lineRule="auto"/>
              <w:ind w:left="129" w:right="123" w:hanging="14"/>
              <w:rPr>
                <w:rFonts w:hint="eastAsia" w:ascii="宋体" w:hAnsi="宋体" w:eastAsia="宋体" w:cs="宋体"/>
                <w:sz w:val="21"/>
                <w:szCs w:val="21"/>
              </w:rPr>
            </w:pPr>
            <w:r>
              <w:rPr>
                <w:rFonts w:hint="eastAsia" w:ascii="宋体" w:hAnsi="宋体" w:eastAsia="宋体" w:cs="宋体"/>
                <w:sz w:val="21"/>
                <w:szCs w:val="21"/>
              </w:rPr>
              <w:t>光模块组合(含SFP+-10G/2.5G-PEN远端光</w:t>
            </w:r>
            <w:r>
              <w:rPr>
                <w:rFonts w:hint="eastAsia" w:ascii="宋体" w:hAnsi="宋体" w:eastAsia="宋体" w:cs="宋体"/>
                <w:spacing w:val="-1"/>
                <w:sz w:val="21"/>
                <w:szCs w:val="21"/>
              </w:rPr>
              <w:t>模块-A1~SFP+-</w:t>
            </w:r>
            <w:r>
              <w:rPr>
                <w:rFonts w:hint="eastAsia" w:ascii="宋体" w:hAnsi="宋体" w:eastAsia="宋体" w:cs="宋体"/>
                <w:sz w:val="21"/>
                <w:szCs w:val="21"/>
              </w:rPr>
              <w:t xml:space="preserve"> </w:t>
            </w:r>
            <w:r>
              <w:rPr>
                <w:rFonts w:hint="eastAsia" w:ascii="宋体" w:hAnsi="宋体" w:eastAsia="宋体" w:cs="宋体"/>
                <w:spacing w:val="-1"/>
                <w:sz w:val="21"/>
                <w:szCs w:val="21"/>
              </w:rPr>
              <w:t>10G/2.5G-PEN光模块-A8 8个光模块)</w:t>
            </w:r>
          </w:p>
        </w:tc>
        <w:tc>
          <w:tcPr>
            <w:tcW w:w="575" w:type="dxa"/>
            <w:vAlign w:val="center"/>
          </w:tcPr>
          <w:p w14:paraId="21AEE567">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组</w:t>
            </w:r>
          </w:p>
        </w:tc>
        <w:tc>
          <w:tcPr>
            <w:tcW w:w="966" w:type="dxa"/>
            <w:vAlign w:val="center"/>
          </w:tcPr>
          <w:p w14:paraId="171C2FE8">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3</w:t>
            </w:r>
          </w:p>
        </w:tc>
      </w:tr>
      <w:tr w14:paraId="13258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36CB1226">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777" w:type="dxa"/>
            <w:gridSpan w:val="2"/>
            <w:vAlign w:val="center"/>
          </w:tcPr>
          <w:p w14:paraId="7960EBEA">
            <w:pPr>
              <w:pStyle w:val="626"/>
              <w:spacing w:before="37" w:line="220" w:lineRule="auto"/>
              <w:jc w:val="center"/>
              <w:rPr>
                <w:rFonts w:hint="eastAsia" w:ascii="宋体" w:hAnsi="宋体" w:eastAsia="宋体" w:cs="宋体"/>
                <w:sz w:val="21"/>
                <w:szCs w:val="21"/>
              </w:rPr>
            </w:pPr>
            <w:r>
              <w:rPr>
                <w:rFonts w:hint="eastAsia" w:ascii="宋体" w:hAnsi="宋体" w:eastAsia="宋体" w:cs="宋体"/>
                <w:spacing w:val="-5"/>
                <w:sz w:val="21"/>
                <w:szCs w:val="21"/>
              </w:rPr>
              <w:t>光无</w:t>
            </w:r>
            <w:r>
              <w:rPr>
                <w:rFonts w:hint="eastAsia" w:ascii="宋体" w:hAnsi="宋体" w:eastAsia="宋体" w:cs="宋体"/>
                <w:spacing w:val="-3"/>
                <w:sz w:val="21"/>
                <w:szCs w:val="21"/>
              </w:rPr>
              <w:t>源汇</w:t>
            </w:r>
            <w:r>
              <w:rPr>
                <w:rFonts w:hint="eastAsia" w:ascii="宋体" w:hAnsi="宋体" w:eastAsia="宋体" w:cs="宋体"/>
                <w:sz w:val="21"/>
                <w:szCs w:val="21"/>
              </w:rPr>
              <w:t>聚</w:t>
            </w:r>
          </w:p>
        </w:tc>
        <w:tc>
          <w:tcPr>
            <w:tcW w:w="6596" w:type="dxa"/>
            <w:gridSpan w:val="2"/>
            <w:vAlign w:val="top"/>
          </w:tcPr>
          <w:p w14:paraId="16A500FB">
            <w:pPr>
              <w:pStyle w:val="626"/>
              <w:spacing w:before="177" w:line="242" w:lineRule="auto"/>
              <w:ind w:left="115" w:right="124"/>
              <w:rPr>
                <w:rFonts w:hint="eastAsia" w:ascii="宋体" w:hAnsi="宋体" w:eastAsia="宋体" w:cs="宋体"/>
                <w:sz w:val="21"/>
                <w:szCs w:val="21"/>
              </w:rPr>
            </w:pPr>
            <w:r>
              <w:rPr>
                <w:rFonts w:hint="eastAsia" w:ascii="宋体" w:hAnsi="宋体" w:eastAsia="宋体" w:cs="宋体"/>
                <w:sz w:val="21"/>
                <w:szCs w:val="21"/>
              </w:rPr>
              <w:t>盒式封装光分路器-2:8-均分-SC/UPC-110m</w:t>
            </w:r>
            <w:r>
              <w:rPr>
                <w:rFonts w:hint="eastAsia" w:ascii="宋体" w:hAnsi="宋体" w:eastAsia="宋体" w:cs="宋体"/>
                <w:spacing w:val="-1"/>
                <w:sz w:val="21"/>
                <w:szCs w:val="21"/>
              </w:rPr>
              <w:t>m*60mm*10mm-</w:t>
            </w:r>
            <w:r>
              <w:rPr>
                <w:rFonts w:hint="eastAsia" w:ascii="宋体" w:hAnsi="宋体" w:eastAsia="宋体" w:cs="宋体"/>
                <w:sz w:val="21"/>
                <w:szCs w:val="21"/>
              </w:rPr>
              <w:t xml:space="preserve"> SPL2605-PLC-甩尾纤-G.657A1</w:t>
            </w:r>
            <w:r>
              <w:rPr>
                <w:rFonts w:hint="eastAsia" w:ascii="宋体" w:hAnsi="宋体" w:eastAsia="宋体" w:cs="宋体"/>
                <w:spacing w:val="-1"/>
                <w:sz w:val="21"/>
                <w:szCs w:val="21"/>
              </w:rPr>
              <w:t>-2mm-1.5m</w:t>
            </w:r>
          </w:p>
        </w:tc>
        <w:tc>
          <w:tcPr>
            <w:tcW w:w="575" w:type="dxa"/>
            <w:vAlign w:val="center"/>
          </w:tcPr>
          <w:p w14:paraId="39BB527A">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66" w:type="dxa"/>
            <w:vAlign w:val="center"/>
          </w:tcPr>
          <w:p w14:paraId="40B7F61C">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3</w:t>
            </w:r>
          </w:p>
        </w:tc>
      </w:tr>
      <w:tr w14:paraId="45151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trPr>
        <w:tc>
          <w:tcPr>
            <w:tcW w:w="686" w:type="dxa"/>
            <w:vAlign w:val="center"/>
          </w:tcPr>
          <w:p w14:paraId="25F5EF31">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777" w:type="dxa"/>
            <w:gridSpan w:val="2"/>
            <w:vAlign w:val="center"/>
          </w:tcPr>
          <w:p w14:paraId="58060E81">
            <w:pPr>
              <w:pStyle w:val="626"/>
              <w:spacing w:before="71" w:line="239" w:lineRule="auto"/>
              <w:ind w:right="148" w:rightChars="0"/>
              <w:jc w:val="center"/>
              <w:rPr>
                <w:rFonts w:hint="eastAsia" w:ascii="宋体" w:hAnsi="宋体" w:eastAsia="宋体" w:cs="宋体"/>
                <w:spacing w:val="-3"/>
                <w:sz w:val="21"/>
                <w:szCs w:val="21"/>
              </w:rPr>
            </w:pPr>
            <w:r>
              <w:rPr>
                <w:rFonts w:hint="eastAsia" w:ascii="宋体" w:hAnsi="宋体" w:eastAsia="宋体" w:cs="宋体"/>
                <w:spacing w:val="-3"/>
                <w:sz w:val="21"/>
                <w:szCs w:val="21"/>
              </w:rPr>
              <w:t>8口交</w:t>
            </w:r>
            <w:r>
              <w:rPr>
                <w:rFonts w:hint="eastAsia" w:ascii="宋体" w:hAnsi="宋体" w:eastAsia="宋体" w:cs="宋体"/>
                <w:spacing w:val="-5"/>
                <w:sz w:val="21"/>
                <w:szCs w:val="21"/>
              </w:rPr>
              <w:t>换机</w:t>
            </w:r>
          </w:p>
        </w:tc>
        <w:tc>
          <w:tcPr>
            <w:tcW w:w="6596" w:type="dxa"/>
            <w:gridSpan w:val="2"/>
            <w:vAlign w:val="top"/>
          </w:tcPr>
          <w:p w14:paraId="02CEEF0B">
            <w:pPr>
              <w:pStyle w:val="626"/>
              <w:spacing w:before="35" w:line="215" w:lineRule="auto"/>
              <w:ind w:left="130"/>
              <w:rPr>
                <w:rFonts w:hint="eastAsia" w:ascii="宋体" w:hAnsi="宋体" w:eastAsia="宋体" w:cs="宋体"/>
                <w:sz w:val="21"/>
                <w:szCs w:val="21"/>
              </w:rPr>
            </w:pPr>
            <w:r>
              <w:rPr>
                <w:rFonts w:hint="eastAsia" w:ascii="宋体" w:hAnsi="宋体" w:eastAsia="宋体" w:cs="宋体"/>
                <w:spacing w:val="-1"/>
                <w:sz w:val="21"/>
                <w:szCs w:val="21"/>
              </w:rPr>
              <w:t>1、交换容量≥432Gbps，包转发率≥129 Mpps；</w:t>
            </w:r>
          </w:p>
          <w:p w14:paraId="7CF096BD">
            <w:pPr>
              <w:pStyle w:val="626"/>
              <w:spacing w:before="29" w:line="230" w:lineRule="auto"/>
              <w:ind w:left="129" w:right="565" w:hanging="13"/>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79"/>
                <w:sz w:val="21"/>
                <w:szCs w:val="21"/>
              </w:rPr>
              <w:t xml:space="preserve"> </w:t>
            </w:r>
            <w:r>
              <w:rPr>
                <w:rFonts w:hint="eastAsia" w:ascii="宋体" w:hAnsi="宋体" w:eastAsia="宋体" w:cs="宋体"/>
                <w:spacing w:val="-2"/>
                <w:sz w:val="21"/>
                <w:szCs w:val="21"/>
              </w:rPr>
              <w:t>≥2个 100M/1/2.5/10GE</w:t>
            </w:r>
            <w:r>
              <w:rPr>
                <w:rFonts w:hint="eastAsia" w:ascii="宋体" w:hAnsi="宋体" w:eastAsia="宋体" w:cs="宋体"/>
                <w:spacing w:val="-3"/>
                <w:sz w:val="21"/>
                <w:szCs w:val="21"/>
              </w:rPr>
              <w:t>SFP+端口上行，</w:t>
            </w:r>
            <w:r>
              <w:rPr>
                <w:rFonts w:hint="eastAsia" w:ascii="宋体" w:hAnsi="宋体" w:eastAsia="宋体" w:cs="宋体"/>
                <w:spacing w:val="-81"/>
                <w:sz w:val="21"/>
                <w:szCs w:val="21"/>
              </w:rPr>
              <w:t xml:space="preserve"> </w:t>
            </w:r>
            <w:r>
              <w:rPr>
                <w:rFonts w:hint="eastAsia" w:ascii="宋体" w:hAnsi="宋体" w:eastAsia="宋体" w:cs="宋体"/>
                <w:spacing w:val="-3"/>
                <w:sz w:val="21"/>
                <w:szCs w:val="21"/>
              </w:rPr>
              <w:t>≥8个</w:t>
            </w:r>
            <w:r>
              <w:rPr>
                <w:rFonts w:hint="eastAsia" w:ascii="宋体" w:hAnsi="宋体" w:eastAsia="宋体" w:cs="宋体"/>
                <w:sz w:val="21"/>
                <w:szCs w:val="21"/>
              </w:rPr>
              <w:t xml:space="preserve"> </w:t>
            </w:r>
            <w:r>
              <w:rPr>
                <w:rFonts w:hint="eastAsia" w:ascii="宋体" w:hAnsi="宋体" w:eastAsia="宋体" w:cs="宋体"/>
                <w:spacing w:val="-2"/>
                <w:sz w:val="21"/>
                <w:szCs w:val="21"/>
              </w:rPr>
              <w:t>10/100/1000Base-T</w:t>
            </w:r>
            <w:r>
              <w:rPr>
                <w:rFonts w:hint="eastAsia" w:ascii="宋体" w:hAnsi="宋体" w:eastAsia="宋体" w:cs="宋体"/>
                <w:spacing w:val="38"/>
                <w:sz w:val="21"/>
                <w:szCs w:val="21"/>
              </w:rPr>
              <w:t xml:space="preserve"> </w:t>
            </w:r>
            <w:r>
              <w:rPr>
                <w:rFonts w:hint="eastAsia" w:ascii="宋体" w:hAnsi="宋体" w:eastAsia="宋体" w:cs="宋体"/>
                <w:spacing w:val="-2"/>
                <w:sz w:val="21"/>
                <w:szCs w:val="21"/>
              </w:rPr>
              <w:t>以太网端口下行，支持POE+；</w:t>
            </w:r>
          </w:p>
          <w:p w14:paraId="1921107C">
            <w:pPr>
              <w:pStyle w:val="626"/>
              <w:spacing w:before="23" w:line="220" w:lineRule="auto"/>
              <w:ind w:left="118"/>
              <w:rPr>
                <w:rFonts w:hint="eastAsia" w:ascii="宋体" w:hAnsi="宋体" w:eastAsia="宋体" w:cs="宋体"/>
                <w:sz w:val="21"/>
                <w:szCs w:val="21"/>
              </w:rPr>
            </w:pPr>
            <w:r>
              <w:rPr>
                <w:rFonts w:hint="eastAsia" w:ascii="宋体" w:hAnsi="宋体" w:eastAsia="宋体" w:cs="宋体"/>
                <w:spacing w:val="-2"/>
                <w:sz w:val="21"/>
                <w:szCs w:val="21"/>
              </w:rPr>
              <w:t>3、支持光模块智能校验</w:t>
            </w:r>
            <w:r>
              <w:rPr>
                <w:rFonts w:hint="eastAsia" w:ascii="宋体" w:hAnsi="宋体" w:eastAsia="宋体" w:cs="宋体"/>
                <w:b/>
                <w:bCs/>
                <w:spacing w:val="-2"/>
                <w:sz w:val="21"/>
                <w:szCs w:val="21"/>
              </w:rPr>
              <w:t>；提供第三方检测报告；</w:t>
            </w:r>
          </w:p>
          <w:p w14:paraId="64922B45">
            <w:pPr>
              <w:pStyle w:val="626"/>
              <w:spacing w:before="23" w:line="219" w:lineRule="auto"/>
              <w:ind w:left="113"/>
              <w:rPr>
                <w:rFonts w:hint="eastAsia" w:ascii="宋体" w:hAnsi="宋体" w:eastAsia="宋体" w:cs="宋体"/>
                <w:sz w:val="21"/>
                <w:szCs w:val="21"/>
              </w:rPr>
            </w:pPr>
            <w:r>
              <w:rPr>
                <w:rFonts w:hint="eastAsia" w:ascii="宋体" w:hAnsi="宋体" w:eastAsia="宋体" w:cs="宋体"/>
                <w:spacing w:val="-1"/>
                <w:sz w:val="21"/>
                <w:szCs w:val="21"/>
              </w:rPr>
              <w:t>4、支持电源适配器供电方式；</w:t>
            </w:r>
          </w:p>
          <w:p w14:paraId="28AC62F0">
            <w:pPr>
              <w:pStyle w:val="626"/>
              <w:spacing w:before="24" w:line="220" w:lineRule="auto"/>
              <w:ind w:left="118"/>
              <w:rPr>
                <w:rFonts w:hint="eastAsia" w:ascii="宋体" w:hAnsi="宋体" w:eastAsia="宋体" w:cs="宋体"/>
                <w:sz w:val="21"/>
                <w:szCs w:val="21"/>
              </w:rPr>
            </w:pPr>
            <w:r>
              <w:rPr>
                <w:rFonts w:hint="eastAsia" w:ascii="宋体" w:hAnsi="宋体" w:eastAsia="宋体" w:cs="宋体"/>
                <w:spacing w:val="-2"/>
                <w:sz w:val="21"/>
                <w:szCs w:val="21"/>
              </w:rPr>
              <w:t>5、无风扇，自然散热；</w:t>
            </w:r>
          </w:p>
          <w:p w14:paraId="11826922">
            <w:pPr>
              <w:pStyle w:val="626"/>
              <w:spacing w:before="21" w:line="220" w:lineRule="auto"/>
              <w:ind w:left="115"/>
              <w:rPr>
                <w:rFonts w:hint="eastAsia" w:ascii="宋体" w:hAnsi="宋体" w:eastAsia="宋体" w:cs="宋体"/>
                <w:b/>
                <w:bCs/>
                <w:sz w:val="21"/>
                <w:szCs w:val="21"/>
              </w:rPr>
            </w:pPr>
            <w:r>
              <w:rPr>
                <w:rFonts w:hint="eastAsia" w:ascii="宋体" w:hAnsi="宋体" w:eastAsia="宋体" w:cs="宋体"/>
                <w:spacing w:val="-1"/>
                <w:sz w:val="21"/>
                <w:szCs w:val="21"/>
              </w:rPr>
              <w:t>6、CPU和LSW要求国产化；</w:t>
            </w:r>
            <w:r>
              <w:rPr>
                <w:rFonts w:hint="eastAsia" w:ascii="宋体" w:hAnsi="宋体" w:eastAsia="宋体" w:cs="宋体"/>
                <w:b/>
                <w:bCs/>
                <w:spacing w:val="-1"/>
                <w:sz w:val="21"/>
                <w:szCs w:val="21"/>
              </w:rPr>
              <w:t>提供第三方检测报告证明；</w:t>
            </w:r>
          </w:p>
          <w:p w14:paraId="4F6C8D21">
            <w:pPr>
              <w:pStyle w:val="626"/>
              <w:spacing w:before="23" w:line="207" w:lineRule="auto"/>
              <w:ind w:left="119" w:leftChars="0"/>
              <w:rPr>
                <w:rFonts w:hint="eastAsia" w:ascii="宋体" w:hAnsi="宋体" w:eastAsia="宋体" w:cs="宋体"/>
                <w:sz w:val="21"/>
                <w:szCs w:val="21"/>
              </w:rPr>
            </w:pPr>
            <w:r>
              <w:rPr>
                <w:rFonts w:hint="eastAsia" w:ascii="宋体" w:hAnsi="宋体" w:eastAsia="宋体" w:cs="宋体"/>
                <w:spacing w:val="-1"/>
                <w:sz w:val="21"/>
                <w:szCs w:val="21"/>
              </w:rPr>
              <w:t>7、要求提供原厂三年维保服务。</w:t>
            </w:r>
          </w:p>
        </w:tc>
        <w:tc>
          <w:tcPr>
            <w:tcW w:w="575" w:type="dxa"/>
            <w:vAlign w:val="center"/>
          </w:tcPr>
          <w:p w14:paraId="7BE1CE01">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66" w:type="dxa"/>
            <w:vAlign w:val="center"/>
          </w:tcPr>
          <w:p w14:paraId="1AFF7957">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24</w:t>
            </w:r>
          </w:p>
        </w:tc>
      </w:tr>
      <w:tr w14:paraId="28EE8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686" w:type="dxa"/>
            <w:vAlign w:val="center"/>
          </w:tcPr>
          <w:p w14:paraId="031356F7">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777" w:type="dxa"/>
            <w:gridSpan w:val="2"/>
            <w:vAlign w:val="center"/>
          </w:tcPr>
          <w:p w14:paraId="3CA97025">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24口交换机</w:t>
            </w:r>
          </w:p>
        </w:tc>
        <w:tc>
          <w:tcPr>
            <w:tcW w:w="6596" w:type="dxa"/>
            <w:gridSpan w:val="2"/>
            <w:vAlign w:val="top"/>
          </w:tcPr>
          <w:p w14:paraId="4F621674">
            <w:pPr>
              <w:pStyle w:val="626"/>
              <w:spacing w:before="46" w:line="215" w:lineRule="auto"/>
              <w:ind w:left="130"/>
              <w:rPr>
                <w:rFonts w:hint="eastAsia" w:ascii="宋体" w:hAnsi="宋体" w:eastAsia="宋体" w:cs="宋体"/>
                <w:sz w:val="21"/>
                <w:szCs w:val="21"/>
              </w:rPr>
            </w:pPr>
            <w:r>
              <w:rPr>
                <w:rFonts w:hint="eastAsia" w:ascii="宋体" w:hAnsi="宋体" w:eastAsia="宋体" w:cs="宋体"/>
                <w:spacing w:val="-1"/>
                <w:sz w:val="21"/>
                <w:szCs w:val="21"/>
              </w:rPr>
              <w:t>1、交换容量≥432Gbps，包转发率≥177 Mpps；</w:t>
            </w:r>
          </w:p>
          <w:p w14:paraId="644D67D1">
            <w:pPr>
              <w:pStyle w:val="626"/>
              <w:spacing w:before="26" w:line="230" w:lineRule="auto"/>
              <w:ind w:left="129" w:right="234" w:hanging="13"/>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79"/>
                <w:sz w:val="21"/>
                <w:szCs w:val="21"/>
              </w:rPr>
              <w:t xml:space="preserve"> </w:t>
            </w:r>
            <w:r>
              <w:rPr>
                <w:rFonts w:hint="eastAsia" w:ascii="宋体" w:hAnsi="宋体" w:eastAsia="宋体" w:cs="宋体"/>
                <w:spacing w:val="-2"/>
                <w:sz w:val="21"/>
                <w:szCs w:val="21"/>
              </w:rPr>
              <w:t>≥2 个 100M/1/2.5/10GESFP</w:t>
            </w:r>
            <w:r>
              <w:rPr>
                <w:rFonts w:hint="eastAsia" w:ascii="宋体" w:hAnsi="宋体" w:eastAsia="宋体" w:cs="宋体"/>
                <w:spacing w:val="-3"/>
                <w:sz w:val="21"/>
                <w:szCs w:val="21"/>
              </w:rPr>
              <w:t>+端口上行，</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≥24个</w:t>
            </w:r>
            <w:r>
              <w:rPr>
                <w:rFonts w:hint="eastAsia" w:ascii="宋体" w:hAnsi="宋体" w:eastAsia="宋体" w:cs="宋体"/>
                <w:sz w:val="21"/>
                <w:szCs w:val="21"/>
              </w:rPr>
              <w:t xml:space="preserve"> </w:t>
            </w:r>
            <w:r>
              <w:rPr>
                <w:rFonts w:hint="eastAsia" w:ascii="宋体" w:hAnsi="宋体" w:eastAsia="宋体" w:cs="宋体"/>
                <w:spacing w:val="-2"/>
                <w:sz w:val="21"/>
                <w:szCs w:val="21"/>
              </w:rPr>
              <w:t>10/100/1000Base-T</w:t>
            </w:r>
            <w:r>
              <w:rPr>
                <w:rFonts w:hint="eastAsia" w:ascii="宋体" w:hAnsi="宋体" w:eastAsia="宋体" w:cs="宋体"/>
                <w:spacing w:val="38"/>
                <w:sz w:val="21"/>
                <w:szCs w:val="21"/>
              </w:rPr>
              <w:t xml:space="preserve"> </w:t>
            </w:r>
            <w:r>
              <w:rPr>
                <w:rFonts w:hint="eastAsia" w:ascii="宋体" w:hAnsi="宋体" w:eastAsia="宋体" w:cs="宋体"/>
                <w:spacing w:val="-2"/>
                <w:sz w:val="21"/>
                <w:szCs w:val="21"/>
              </w:rPr>
              <w:t>以太网端口下行，支持POE+；</w:t>
            </w:r>
          </w:p>
          <w:p w14:paraId="59A3D5A8">
            <w:pPr>
              <w:pStyle w:val="626"/>
              <w:spacing w:before="23" w:line="220" w:lineRule="auto"/>
              <w:ind w:left="118"/>
              <w:rPr>
                <w:rFonts w:hint="eastAsia" w:ascii="宋体" w:hAnsi="宋体" w:eastAsia="宋体" w:cs="宋体"/>
                <w:sz w:val="21"/>
                <w:szCs w:val="21"/>
              </w:rPr>
            </w:pPr>
            <w:r>
              <w:rPr>
                <w:rFonts w:hint="eastAsia" w:ascii="宋体" w:hAnsi="宋体" w:eastAsia="宋体" w:cs="宋体"/>
                <w:spacing w:val="-2"/>
                <w:sz w:val="21"/>
                <w:szCs w:val="21"/>
              </w:rPr>
              <w:t>3、支持光模块智能校验；</w:t>
            </w:r>
          </w:p>
          <w:p w14:paraId="0BEEF598">
            <w:pPr>
              <w:pStyle w:val="626"/>
              <w:spacing w:before="23" w:line="219" w:lineRule="auto"/>
              <w:ind w:left="113"/>
              <w:rPr>
                <w:rFonts w:hint="eastAsia" w:ascii="宋体" w:hAnsi="宋体" w:eastAsia="宋体" w:cs="宋体"/>
                <w:sz w:val="21"/>
                <w:szCs w:val="21"/>
              </w:rPr>
            </w:pPr>
            <w:r>
              <w:rPr>
                <w:rFonts w:hint="eastAsia" w:ascii="宋体" w:hAnsi="宋体" w:eastAsia="宋体" w:cs="宋体"/>
                <w:spacing w:val="-1"/>
                <w:sz w:val="21"/>
                <w:szCs w:val="21"/>
              </w:rPr>
              <w:t>4、支持电源适配器供电方式；</w:t>
            </w:r>
          </w:p>
          <w:p w14:paraId="40216007">
            <w:pPr>
              <w:pStyle w:val="626"/>
              <w:spacing w:before="24" w:line="220" w:lineRule="auto"/>
              <w:ind w:left="118"/>
              <w:rPr>
                <w:rFonts w:hint="eastAsia" w:ascii="宋体" w:hAnsi="宋体" w:cs="宋体"/>
                <w:sz w:val="21"/>
                <w:szCs w:val="21"/>
                <w:lang w:eastAsia="zh-CN"/>
              </w:rPr>
            </w:pPr>
            <w:r>
              <w:rPr>
                <w:rFonts w:hint="eastAsia" w:ascii="宋体" w:hAnsi="宋体" w:eastAsia="宋体" w:cs="宋体"/>
                <w:spacing w:val="-2"/>
                <w:sz w:val="21"/>
                <w:szCs w:val="21"/>
              </w:rPr>
              <w:t>5、无风扇，自然散热</w:t>
            </w:r>
            <w:r>
              <w:rPr>
                <w:rFonts w:hint="eastAsia" w:ascii="宋体" w:hAnsi="宋体" w:cs="宋体"/>
                <w:sz w:val="21"/>
                <w:szCs w:val="21"/>
                <w:lang w:eastAsia="zh-CN"/>
              </w:rPr>
              <w:t>；</w:t>
            </w:r>
          </w:p>
          <w:p w14:paraId="01FF9194">
            <w:pPr>
              <w:pStyle w:val="626"/>
              <w:spacing w:before="24" w:line="220" w:lineRule="auto"/>
              <w:ind w:left="118"/>
              <w:rPr>
                <w:rFonts w:hint="eastAsia" w:ascii="宋体" w:hAnsi="宋体" w:eastAsia="宋体" w:cs="宋体"/>
                <w:spacing w:val="-1"/>
                <w:sz w:val="21"/>
                <w:szCs w:val="21"/>
              </w:rPr>
            </w:pPr>
            <w:r>
              <w:rPr>
                <w:rFonts w:hint="eastAsia" w:ascii="宋体" w:hAnsi="宋体" w:eastAsia="宋体" w:cs="宋体"/>
                <w:spacing w:val="-1"/>
                <w:sz w:val="21"/>
                <w:szCs w:val="21"/>
              </w:rPr>
              <w:t>6、CPU和LSW要求国产化；</w:t>
            </w:r>
            <w:r>
              <w:rPr>
                <w:rFonts w:hint="eastAsia" w:ascii="宋体" w:hAnsi="宋体" w:eastAsia="宋体" w:cs="宋体"/>
                <w:b/>
                <w:bCs/>
                <w:spacing w:val="-1"/>
                <w:sz w:val="21"/>
                <w:szCs w:val="21"/>
              </w:rPr>
              <w:t>提供第三方检测报告证明；</w:t>
            </w:r>
          </w:p>
          <w:p w14:paraId="5C975A11">
            <w:pPr>
              <w:pStyle w:val="626"/>
              <w:spacing w:before="25" w:line="215"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7、要求提供原厂三年维保服务。</w:t>
            </w:r>
          </w:p>
        </w:tc>
        <w:tc>
          <w:tcPr>
            <w:tcW w:w="575" w:type="dxa"/>
            <w:vAlign w:val="center"/>
          </w:tcPr>
          <w:p w14:paraId="0052556B">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66" w:type="dxa"/>
            <w:vAlign w:val="center"/>
          </w:tcPr>
          <w:p w14:paraId="7E1C35A9">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2</w:t>
            </w:r>
          </w:p>
        </w:tc>
      </w:tr>
      <w:tr w14:paraId="22286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trPr>
        <w:tc>
          <w:tcPr>
            <w:tcW w:w="686" w:type="dxa"/>
            <w:vAlign w:val="center"/>
          </w:tcPr>
          <w:p w14:paraId="455BBC8F">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777" w:type="dxa"/>
            <w:gridSpan w:val="2"/>
            <w:vAlign w:val="center"/>
          </w:tcPr>
          <w:p w14:paraId="466B3DAA">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24口交换机</w:t>
            </w:r>
          </w:p>
        </w:tc>
        <w:tc>
          <w:tcPr>
            <w:tcW w:w="6596" w:type="dxa"/>
            <w:gridSpan w:val="2"/>
            <w:vAlign w:val="top"/>
          </w:tcPr>
          <w:p w14:paraId="4D0FC079">
            <w:pPr>
              <w:pStyle w:val="626"/>
              <w:spacing w:before="33" w:line="215" w:lineRule="auto"/>
              <w:ind w:left="130"/>
              <w:rPr>
                <w:rFonts w:hint="eastAsia" w:ascii="宋体" w:hAnsi="宋体" w:eastAsia="宋体" w:cs="宋体"/>
                <w:sz w:val="21"/>
                <w:szCs w:val="21"/>
              </w:rPr>
            </w:pPr>
            <w:r>
              <w:rPr>
                <w:rFonts w:hint="eastAsia" w:ascii="宋体" w:hAnsi="宋体" w:eastAsia="宋体" w:cs="宋体"/>
                <w:spacing w:val="-1"/>
                <w:sz w:val="21"/>
                <w:szCs w:val="21"/>
              </w:rPr>
              <w:t>1、交换容量≥432Gbps，包转发率≥177 Mpps；</w:t>
            </w:r>
          </w:p>
          <w:p w14:paraId="63015988">
            <w:pPr>
              <w:pStyle w:val="626"/>
              <w:spacing w:before="26" w:line="230" w:lineRule="auto"/>
              <w:ind w:left="129" w:right="1383" w:hanging="13"/>
              <w:rPr>
                <w:rFonts w:hint="eastAsia" w:ascii="宋体" w:hAnsi="宋体" w:eastAsia="宋体" w:cs="宋体"/>
                <w:sz w:val="21"/>
                <w:szCs w:val="21"/>
              </w:rPr>
            </w:pPr>
            <w:r>
              <w:rPr>
                <w:rFonts w:hint="eastAsia" w:ascii="宋体" w:hAnsi="宋体" w:eastAsia="宋体" w:cs="宋体"/>
                <w:spacing w:val="-3"/>
                <w:sz w:val="21"/>
                <w:szCs w:val="21"/>
              </w:rPr>
              <w:t>2、100M/1/2.5/10GESFP+端口上行≥2个，</w:t>
            </w:r>
            <w:r>
              <w:rPr>
                <w:rFonts w:hint="eastAsia" w:ascii="宋体" w:hAnsi="宋体" w:eastAsia="宋体" w:cs="宋体"/>
                <w:spacing w:val="-2"/>
                <w:sz w:val="21"/>
                <w:szCs w:val="21"/>
              </w:rPr>
              <w:t>10/100/1000Base-T</w:t>
            </w:r>
            <w:r>
              <w:rPr>
                <w:rFonts w:hint="eastAsia" w:ascii="宋体" w:hAnsi="宋体" w:eastAsia="宋体" w:cs="宋体"/>
                <w:spacing w:val="34"/>
                <w:sz w:val="21"/>
                <w:szCs w:val="21"/>
              </w:rPr>
              <w:t xml:space="preserve"> </w:t>
            </w:r>
            <w:r>
              <w:rPr>
                <w:rFonts w:hint="eastAsia" w:ascii="宋体" w:hAnsi="宋体" w:eastAsia="宋体" w:cs="宋体"/>
                <w:spacing w:val="-2"/>
                <w:sz w:val="21"/>
                <w:szCs w:val="21"/>
              </w:rPr>
              <w:t>以太</w:t>
            </w:r>
            <w:r>
              <w:rPr>
                <w:rFonts w:hint="eastAsia" w:ascii="宋体" w:hAnsi="宋体" w:eastAsia="宋体" w:cs="宋体"/>
                <w:spacing w:val="-3"/>
                <w:sz w:val="21"/>
                <w:szCs w:val="21"/>
              </w:rPr>
              <w:t>网口≥24个；</w:t>
            </w:r>
          </w:p>
          <w:p w14:paraId="236C612D">
            <w:pPr>
              <w:pStyle w:val="626"/>
              <w:spacing w:before="23" w:line="220" w:lineRule="auto"/>
              <w:ind w:left="118"/>
              <w:rPr>
                <w:rFonts w:hint="eastAsia" w:ascii="宋体" w:hAnsi="宋体" w:eastAsia="宋体" w:cs="宋体"/>
                <w:sz w:val="21"/>
                <w:szCs w:val="21"/>
              </w:rPr>
            </w:pPr>
            <w:r>
              <w:rPr>
                <w:rFonts w:hint="eastAsia" w:ascii="宋体" w:hAnsi="宋体" w:eastAsia="宋体" w:cs="宋体"/>
                <w:spacing w:val="-2"/>
                <w:sz w:val="21"/>
                <w:szCs w:val="21"/>
              </w:rPr>
              <w:t>3、支持光模块智能校验；</w:t>
            </w:r>
          </w:p>
          <w:p w14:paraId="7F3E432E">
            <w:pPr>
              <w:pStyle w:val="626"/>
              <w:spacing w:before="23" w:line="219" w:lineRule="auto"/>
              <w:ind w:left="113"/>
              <w:rPr>
                <w:rFonts w:hint="eastAsia" w:ascii="宋体" w:hAnsi="宋体" w:eastAsia="宋体" w:cs="宋体"/>
                <w:sz w:val="21"/>
                <w:szCs w:val="21"/>
              </w:rPr>
            </w:pPr>
            <w:r>
              <w:rPr>
                <w:rFonts w:hint="eastAsia" w:ascii="宋体" w:hAnsi="宋体" w:eastAsia="宋体" w:cs="宋体"/>
                <w:spacing w:val="-1"/>
                <w:sz w:val="21"/>
                <w:szCs w:val="21"/>
              </w:rPr>
              <w:t>4、支持电源适配器供电方式；</w:t>
            </w:r>
          </w:p>
          <w:p w14:paraId="3CAB75A2">
            <w:pPr>
              <w:pStyle w:val="626"/>
              <w:spacing w:before="25" w:line="220" w:lineRule="auto"/>
              <w:ind w:left="118"/>
              <w:rPr>
                <w:rFonts w:hint="eastAsia" w:ascii="宋体" w:hAnsi="宋体" w:eastAsia="宋体" w:cs="宋体"/>
                <w:sz w:val="21"/>
                <w:szCs w:val="21"/>
                <w:lang w:eastAsia="zh-CN"/>
              </w:rPr>
            </w:pPr>
            <w:r>
              <w:rPr>
                <w:rFonts w:hint="eastAsia" w:ascii="宋体" w:hAnsi="宋体" w:eastAsia="宋体" w:cs="宋体"/>
                <w:spacing w:val="-2"/>
                <w:sz w:val="21"/>
                <w:szCs w:val="21"/>
              </w:rPr>
              <w:t>5、无风扇，自然散热</w:t>
            </w:r>
            <w:r>
              <w:rPr>
                <w:rFonts w:hint="eastAsia" w:ascii="宋体" w:hAnsi="宋体" w:cs="宋体"/>
                <w:spacing w:val="-2"/>
                <w:sz w:val="21"/>
                <w:szCs w:val="21"/>
                <w:lang w:eastAsia="zh-CN"/>
              </w:rPr>
              <w:t>；</w:t>
            </w:r>
          </w:p>
          <w:p w14:paraId="308DD2A7">
            <w:pPr>
              <w:pStyle w:val="626"/>
              <w:spacing w:before="23" w:line="220" w:lineRule="auto"/>
              <w:ind w:left="115"/>
              <w:rPr>
                <w:rFonts w:hint="eastAsia" w:ascii="宋体" w:hAnsi="宋体" w:eastAsia="宋体" w:cs="宋体"/>
                <w:sz w:val="21"/>
                <w:szCs w:val="21"/>
              </w:rPr>
            </w:pPr>
            <w:r>
              <w:rPr>
                <w:rFonts w:hint="eastAsia" w:ascii="宋体" w:hAnsi="宋体" w:eastAsia="宋体" w:cs="宋体"/>
                <w:spacing w:val="-1"/>
                <w:sz w:val="21"/>
                <w:szCs w:val="21"/>
              </w:rPr>
              <w:t>6、CPU和LSW要求国产化；</w:t>
            </w:r>
            <w:r>
              <w:rPr>
                <w:rFonts w:hint="eastAsia" w:ascii="宋体" w:hAnsi="宋体" w:eastAsia="宋体" w:cs="宋体"/>
                <w:b/>
                <w:bCs/>
                <w:spacing w:val="-1"/>
                <w:sz w:val="21"/>
                <w:szCs w:val="21"/>
              </w:rPr>
              <w:t>提供第三方检测报告证明；</w:t>
            </w:r>
          </w:p>
          <w:p w14:paraId="5472C220">
            <w:pPr>
              <w:pStyle w:val="626"/>
              <w:spacing w:before="23" w:line="207"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7、要求提供原厂三年维保服务。</w:t>
            </w:r>
          </w:p>
        </w:tc>
        <w:tc>
          <w:tcPr>
            <w:tcW w:w="575" w:type="dxa"/>
            <w:vAlign w:val="center"/>
          </w:tcPr>
          <w:p w14:paraId="0A9CCACD">
            <w:pPr>
              <w:pStyle w:val="626"/>
              <w:spacing w:before="71" w:line="222"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66" w:type="dxa"/>
            <w:vAlign w:val="center"/>
          </w:tcPr>
          <w:p w14:paraId="6132A009">
            <w:pPr>
              <w:pStyle w:val="626"/>
              <w:spacing w:before="71"/>
              <w:ind w:left="272" w:leftChars="0"/>
              <w:jc w:val="center"/>
              <w:rPr>
                <w:rFonts w:hint="eastAsia" w:ascii="宋体" w:hAnsi="宋体" w:eastAsia="宋体" w:cs="宋体"/>
                <w:spacing w:val="-2"/>
                <w:sz w:val="21"/>
                <w:szCs w:val="21"/>
              </w:rPr>
            </w:pPr>
            <w:r>
              <w:rPr>
                <w:rFonts w:hint="eastAsia" w:ascii="宋体" w:hAnsi="宋体" w:eastAsia="宋体" w:cs="宋体"/>
                <w:sz w:val="21"/>
                <w:szCs w:val="21"/>
              </w:rPr>
              <w:t>4</w:t>
            </w:r>
          </w:p>
        </w:tc>
      </w:tr>
      <w:tr w14:paraId="2D905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686" w:type="dxa"/>
            <w:vAlign w:val="center"/>
          </w:tcPr>
          <w:p w14:paraId="6C42F90E">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777" w:type="dxa"/>
            <w:gridSpan w:val="2"/>
            <w:vAlign w:val="center"/>
          </w:tcPr>
          <w:p w14:paraId="105C96F2">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面板</w:t>
            </w:r>
          </w:p>
          <w:p w14:paraId="47AE8CAC">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AP</w:t>
            </w:r>
          </w:p>
        </w:tc>
        <w:tc>
          <w:tcPr>
            <w:tcW w:w="6596" w:type="dxa"/>
            <w:gridSpan w:val="2"/>
            <w:vAlign w:val="top"/>
          </w:tcPr>
          <w:p w14:paraId="459C3424">
            <w:pPr>
              <w:pStyle w:val="626"/>
              <w:spacing w:before="21" w:line="208"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 xml:space="preserve">1、端口要求：10M/100M/1GE电口≥1个； </w:t>
            </w:r>
          </w:p>
          <w:p w14:paraId="39213133">
            <w:pPr>
              <w:pStyle w:val="626"/>
              <w:spacing w:before="21" w:line="208"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2、支持2.4GHz/5GHz双频段，支持双射频 2.4GHz(2x2)+5GHz（2x2）同时工作；</w:t>
            </w:r>
          </w:p>
          <w:p w14:paraId="21F5BF77">
            <w:pPr>
              <w:pStyle w:val="626"/>
              <w:spacing w:before="21" w:line="208"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3、要求整机4条空间流，整机速率≥2.9Gbps；</w:t>
            </w:r>
          </w:p>
          <w:p w14:paraId="726401BA">
            <w:pPr>
              <w:pStyle w:val="626"/>
              <w:spacing w:before="21" w:line="208"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4、支持802.11a/b/g/n/ac/ac Wave 2/ax标准；</w:t>
            </w:r>
          </w:p>
          <w:p w14:paraId="056E2AF4">
            <w:pPr>
              <w:pStyle w:val="626"/>
              <w:spacing w:before="21" w:line="208"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5、内置智能天线，基于智能切换算法自动调节覆盖方向和信号强度，以适应应用环境变化；</w:t>
            </w:r>
          </w:p>
          <w:p w14:paraId="3AFA0C00">
            <w:pPr>
              <w:pStyle w:val="626"/>
              <w:spacing w:before="21" w:line="208"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6、使用国产化Wi-Fi芯片；</w:t>
            </w:r>
            <w:r>
              <w:rPr>
                <w:rFonts w:hint="eastAsia" w:ascii="宋体" w:hAnsi="宋体" w:eastAsia="宋体" w:cs="宋体"/>
                <w:b/>
                <w:bCs/>
                <w:spacing w:val="-1"/>
                <w:sz w:val="21"/>
                <w:szCs w:val="21"/>
              </w:rPr>
              <w:t>提供第三方检测报告证明；</w:t>
            </w:r>
          </w:p>
          <w:p w14:paraId="5E7972C0">
            <w:pPr>
              <w:pStyle w:val="626"/>
              <w:spacing w:before="21" w:line="208"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7、支持AP自动上线功能，并自动加载配置，可即插即用；</w:t>
            </w:r>
          </w:p>
          <w:p w14:paraId="5EAE2D4A">
            <w:pPr>
              <w:pStyle w:val="626"/>
              <w:spacing w:before="21" w:line="208"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8、支持802.1X认证、MAC地址认证、Portal认证等；</w:t>
            </w:r>
          </w:p>
          <w:p w14:paraId="061D8FF6">
            <w:pPr>
              <w:pStyle w:val="626"/>
              <w:spacing w:before="21" w:line="208"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9、要求提供三年原厂维保服务。</w:t>
            </w:r>
          </w:p>
        </w:tc>
        <w:tc>
          <w:tcPr>
            <w:tcW w:w="575" w:type="dxa"/>
            <w:vAlign w:val="center"/>
          </w:tcPr>
          <w:p w14:paraId="45AE5C1E">
            <w:pPr>
              <w:pStyle w:val="626"/>
              <w:spacing w:before="71" w:line="22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66" w:type="dxa"/>
            <w:vAlign w:val="center"/>
          </w:tcPr>
          <w:p w14:paraId="4D872CF9">
            <w:pPr>
              <w:pStyle w:val="626"/>
              <w:spacing w:before="72"/>
              <w:ind w:left="220" w:leftChars="0"/>
              <w:jc w:val="center"/>
              <w:rPr>
                <w:rFonts w:hint="eastAsia" w:ascii="宋体" w:hAnsi="宋体" w:eastAsia="宋体" w:cs="宋体"/>
                <w:spacing w:val="-2"/>
                <w:sz w:val="21"/>
                <w:szCs w:val="21"/>
              </w:rPr>
            </w:pPr>
            <w:r>
              <w:rPr>
                <w:rFonts w:hint="eastAsia" w:ascii="宋体" w:hAnsi="宋体" w:eastAsia="宋体" w:cs="宋体"/>
                <w:spacing w:val="-6"/>
                <w:sz w:val="21"/>
                <w:szCs w:val="21"/>
              </w:rPr>
              <w:t>28</w:t>
            </w:r>
          </w:p>
        </w:tc>
      </w:tr>
      <w:tr w14:paraId="354B6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686" w:type="dxa"/>
            <w:vAlign w:val="center"/>
          </w:tcPr>
          <w:p w14:paraId="369A7BD9">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777" w:type="dxa"/>
            <w:gridSpan w:val="2"/>
            <w:vAlign w:val="center"/>
          </w:tcPr>
          <w:p w14:paraId="4AF777E7">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吸顶AP</w:t>
            </w:r>
          </w:p>
        </w:tc>
        <w:tc>
          <w:tcPr>
            <w:tcW w:w="6596" w:type="dxa"/>
            <w:gridSpan w:val="2"/>
            <w:vAlign w:val="top"/>
          </w:tcPr>
          <w:p w14:paraId="072EDDFD">
            <w:pPr>
              <w:pStyle w:val="626"/>
              <w:spacing w:before="23" w:line="220" w:lineRule="auto"/>
              <w:ind w:left="115"/>
              <w:rPr>
                <w:rFonts w:hint="eastAsia" w:ascii="宋体" w:hAnsi="宋体" w:eastAsia="宋体" w:cs="宋体"/>
                <w:spacing w:val="-1"/>
                <w:sz w:val="21"/>
                <w:szCs w:val="21"/>
              </w:rPr>
            </w:pPr>
            <w:r>
              <w:rPr>
                <w:rFonts w:hint="eastAsia" w:ascii="宋体" w:hAnsi="宋体" w:eastAsia="宋体" w:cs="宋体"/>
                <w:spacing w:val="-1"/>
                <w:sz w:val="21"/>
                <w:szCs w:val="21"/>
              </w:rPr>
              <w:t xml:space="preserve">1、端口要求：10M/100M/1GE电口≥1个； </w:t>
            </w:r>
          </w:p>
          <w:p w14:paraId="647F4F0E">
            <w:pPr>
              <w:pStyle w:val="626"/>
              <w:spacing w:before="23" w:line="220" w:lineRule="auto"/>
              <w:ind w:left="115"/>
              <w:rPr>
                <w:rFonts w:hint="eastAsia" w:ascii="宋体" w:hAnsi="宋体" w:eastAsia="宋体" w:cs="宋体"/>
                <w:spacing w:val="-1"/>
                <w:sz w:val="21"/>
                <w:szCs w:val="21"/>
              </w:rPr>
            </w:pPr>
            <w:r>
              <w:rPr>
                <w:rFonts w:hint="eastAsia" w:ascii="宋体" w:hAnsi="宋体" w:eastAsia="宋体" w:cs="宋体"/>
                <w:spacing w:val="-1"/>
                <w:sz w:val="21"/>
                <w:szCs w:val="21"/>
              </w:rPr>
              <w:t>2、支持2.4GHz/5GHz双频段，支持双射频 2.4GHz(2x2)+5GHz（2x2）同时工作；</w:t>
            </w:r>
          </w:p>
          <w:p w14:paraId="4E2262A1">
            <w:pPr>
              <w:pStyle w:val="626"/>
              <w:spacing w:before="23" w:line="220" w:lineRule="auto"/>
              <w:ind w:left="115"/>
              <w:rPr>
                <w:rFonts w:hint="eastAsia" w:ascii="宋体" w:hAnsi="宋体" w:eastAsia="宋体" w:cs="宋体"/>
                <w:spacing w:val="-1"/>
                <w:sz w:val="21"/>
                <w:szCs w:val="21"/>
              </w:rPr>
            </w:pPr>
            <w:r>
              <w:rPr>
                <w:rFonts w:hint="eastAsia" w:ascii="宋体" w:hAnsi="宋体" w:eastAsia="宋体" w:cs="宋体"/>
                <w:spacing w:val="-1"/>
                <w:sz w:val="21"/>
                <w:szCs w:val="21"/>
              </w:rPr>
              <w:t>3、要求整机4条空间流，整机速率≥2.9Gbps；</w:t>
            </w:r>
          </w:p>
          <w:p w14:paraId="66B0545C">
            <w:pPr>
              <w:pStyle w:val="626"/>
              <w:spacing w:before="23" w:line="220" w:lineRule="auto"/>
              <w:ind w:left="115"/>
              <w:rPr>
                <w:rFonts w:hint="eastAsia" w:ascii="宋体" w:hAnsi="宋体" w:eastAsia="宋体" w:cs="宋体"/>
                <w:spacing w:val="-1"/>
                <w:sz w:val="21"/>
                <w:szCs w:val="21"/>
              </w:rPr>
            </w:pPr>
            <w:r>
              <w:rPr>
                <w:rFonts w:hint="eastAsia" w:ascii="宋体" w:hAnsi="宋体" w:eastAsia="宋体" w:cs="宋体"/>
                <w:spacing w:val="-1"/>
                <w:sz w:val="21"/>
                <w:szCs w:val="21"/>
              </w:rPr>
              <w:t>4、支持802.11a/b/g/n/ac/ac Wave 2/ax标准；</w:t>
            </w:r>
          </w:p>
          <w:p w14:paraId="74659594">
            <w:pPr>
              <w:pStyle w:val="626"/>
              <w:spacing w:before="23" w:line="220" w:lineRule="auto"/>
              <w:ind w:left="115"/>
              <w:rPr>
                <w:rFonts w:hint="eastAsia" w:ascii="宋体" w:hAnsi="宋体" w:eastAsia="宋体" w:cs="宋体"/>
                <w:spacing w:val="-1"/>
                <w:sz w:val="21"/>
                <w:szCs w:val="21"/>
              </w:rPr>
            </w:pPr>
            <w:r>
              <w:rPr>
                <w:rFonts w:hint="eastAsia" w:ascii="宋体" w:hAnsi="宋体" w:eastAsia="宋体" w:cs="宋体"/>
                <w:spacing w:val="-1"/>
                <w:sz w:val="21"/>
                <w:szCs w:val="21"/>
              </w:rPr>
              <w:t>5、内置智能天线，基于智能切换算法自动调节覆盖方向和信号强度，；</w:t>
            </w:r>
          </w:p>
          <w:p w14:paraId="25A472B0">
            <w:pPr>
              <w:pStyle w:val="626"/>
              <w:spacing w:before="23" w:line="220" w:lineRule="auto"/>
              <w:ind w:left="115"/>
              <w:rPr>
                <w:rFonts w:hint="eastAsia" w:ascii="宋体" w:hAnsi="宋体" w:eastAsia="宋体" w:cs="宋体"/>
                <w:spacing w:val="-1"/>
                <w:sz w:val="21"/>
                <w:szCs w:val="21"/>
              </w:rPr>
            </w:pPr>
            <w:r>
              <w:rPr>
                <w:rFonts w:hint="eastAsia" w:ascii="宋体" w:hAnsi="宋体" w:eastAsia="宋体" w:cs="宋体"/>
                <w:spacing w:val="-1"/>
                <w:sz w:val="21"/>
                <w:szCs w:val="21"/>
              </w:rPr>
              <w:t>6、使用国产化Wi-Fi芯片</w:t>
            </w:r>
            <w:r>
              <w:rPr>
                <w:rFonts w:hint="eastAsia" w:ascii="宋体" w:hAnsi="宋体" w:eastAsia="宋体" w:cs="宋体"/>
                <w:color w:val="auto"/>
                <w:spacing w:val="-1"/>
                <w:sz w:val="21"/>
                <w:szCs w:val="21"/>
              </w:rPr>
              <w:t>；</w:t>
            </w:r>
            <w:r>
              <w:rPr>
                <w:rFonts w:hint="eastAsia" w:ascii="宋体" w:hAnsi="宋体" w:eastAsia="宋体" w:cs="宋体"/>
                <w:b/>
                <w:bCs/>
                <w:spacing w:val="-1"/>
                <w:sz w:val="21"/>
                <w:szCs w:val="21"/>
              </w:rPr>
              <w:t>提供第三方检测报告证明；</w:t>
            </w:r>
          </w:p>
          <w:p w14:paraId="0C798A35">
            <w:pPr>
              <w:pStyle w:val="626"/>
              <w:spacing w:before="23" w:line="220" w:lineRule="auto"/>
              <w:ind w:left="115"/>
              <w:rPr>
                <w:rFonts w:hint="eastAsia" w:ascii="宋体" w:hAnsi="宋体" w:eastAsia="宋体" w:cs="宋体"/>
                <w:spacing w:val="-1"/>
                <w:sz w:val="21"/>
                <w:szCs w:val="21"/>
              </w:rPr>
            </w:pPr>
            <w:r>
              <w:rPr>
                <w:rFonts w:hint="eastAsia" w:ascii="宋体" w:hAnsi="宋体" w:eastAsia="宋体" w:cs="宋体"/>
                <w:spacing w:val="-1"/>
                <w:sz w:val="21"/>
                <w:szCs w:val="21"/>
              </w:rPr>
              <w:t>7、支持AP自动上线功能，并自动加载配置，可即插即用；</w:t>
            </w:r>
          </w:p>
          <w:p w14:paraId="64E4AF76">
            <w:pPr>
              <w:pStyle w:val="626"/>
              <w:spacing w:before="23" w:line="220" w:lineRule="auto"/>
              <w:ind w:left="115"/>
              <w:rPr>
                <w:rFonts w:hint="eastAsia" w:ascii="宋体" w:hAnsi="宋体" w:eastAsia="宋体" w:cs="宋体"/>
                <w:spacing w:val="-1"/>
                <w:sz w:val="21"/>
                <w:szCs w:val="21"/>
              </w:rPr>
            </w:pPr>
            <w:r>
              <w:rPr>
                <w:rFonts w:hint="eastAsia" w:ascii="宋体" w:hAnsi="宋体" w:eastAsia="宋体" w:cs="宋体"/>
                <w:spacing w:val="-1"/>
                <w:sz w:val="21"/>
                <w:szCs w:val="21"/>
              </w:rPr>
              <w:t>8、支持802.1X认证、MAC地址认证、Portal认证等；</w:t>
            </w:r>
          </w:p>
          <w:p w14:paraId="7445828D">
            <w:pPr>
              <w:pStyle w:val="626"/>
              <w:spacing w:before="23" w:line="205" w:lineRule="auto"/>
              <w:ind w:left="115" w:leftChars="0"/>
              <w:rPr>
                <w:rFonts w:hint="eastAsia" w:ascii="宋体" w:hAnsi="宋体" w:eastAsia="宋体" w:cs="宋体"/>
                <w:spacing w:val="-1"/>
                <w:sz w:val="21"/>
                <w:szCs w:val="21"/>
              </w:rPr>
            </w:pPr>
            <w:r>
              <w:rPr>
                <w:rFonts w:hint="eastAsia" w:ascii="宋体" w:hAnsi="宋体" w:eastAsia="宋体" w:cs="宋体"/>
                <w:spacing w:val="-1"/>
                <w:sz w:val="21"/>
                <w:szCs w:val="21"/>
              </w:rPr>
              <w:t>9、要求提供三年原厂维保服务。</w:t>
            </w:r>
          </w:p>
        </w:tc>
        <w:tc>
          <w:tcPr>
            <w:tcW w:w="575" w:type="dxa"/>
            <w:vAlign w:val="center"/>
          </w:tcPr>
          <w:p w14:paraId="692796B2">
            <w:pPr>
              <w:pStyle w:val="626"/>
              <w:spacing w:before="72" w:line="222"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66" w:type="dxa"/>
            <w:vAlign w:val="center"/>
          </w:tcPr>
          <w:p w14:paraId="0CFEDACE">
            <w:pPr>
              <w:pStyle w:val="626"/>
              <w:spacing w:before="72"/>
              <w:ind w:left="215" w:leftChars="0"/>
              <w:jc w:val="center"/>
              <w:rPr>
                <w:rFonts w:hint="eastAsia" w:ascii="宋体" w:hAnsi="宋体" w:eastAsia="宋体" w:cs="宋体"/>
                <w:spacing w:val="-2"/>
                <w:sz w:val="21"/>
                <w:szCs w:val="21"/>
              </w:rPr>
            </w:pPr>
            <w:r>
              <w:rPr>
                <w:rFonts w:hint="eastAsia" w:ascii="宋体" w:hAnsi="宋体" w:eastAsia="宋体" w:cs="宋体"/>
                <w:spacing w:val="-6"/>
                <w:sz w:val="21"/>
                <w:szCs w:val="21"/>
              </w:rPr>
              <w:t>26</w:t>
            </w:r>
          </w:p>
        </w:tc>
      </w:tr>
      <w:tr w14:paraId="6DD81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86" w:type="dxa"/>
            <w:vAlign w:val="center"/>
          </w:tcPr>
          <w:p w14:paraId="1E311D1B">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777" w:type="dxa"/>
            <w:gridSpan w:val="2"/>
            <w:vAlign w:val="center"/>
          </w:tcPr>
          <w:p w14:paraId="2F97B6D0">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室外AP</w:t>
            </w:r>
          </w:p>
        </w:tc>
        <w:tc>
          <w:tcPr>
            <w:tcW w:w="6596" w:type="dxa"/>
            <w:gridSpan w:val="2"/>
            <w:vAlign w:val="top"/>
          </w:tcPr>
          <w:p w14:paraId="03F9041B">
            <w:pPr>
              <w:pStyle w:val="626"/>
              <w:spacing w:before="24" w:line="207"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1、支持2.4GHz/5GHz双频段，其中5G射频支持802.11ax 2x2 MU-MIMO@80MHz，2.4G射频支持802.11ax 2x2 MU-MIMO；端口要求：</w:t>
            </w:r>
          </w:p>
          <w:p w14:paraId="1FD56117">
            <w:pPr>
              <w:pStyle w:val="626"/>
              <w:spacing w:before="24" w:line="207"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2、端口要求：GE电口≥1个，GE光口≥1个；</w:t>
            </w:r>
            <w:r>
              <w:rPr>
                <w:rFonts w:hint="eastAsia" w:ascii="宋体" w:hAnsi="宋体" w:eastAsia="宋体" w:cs="宋体"/>
                <w:b/>
                <w:bCs/>
                <w:spacing w:val="-1"/>
                <w:sz w:val="21"/>
                <w:szCs w:val="21"/>
              </w:rPr>
              <w:t>提供官网截图材料证明；</w:t>
            </w:r>
          </w:p>
          <w:p w14:paraId="4D86D674">
            <w:pPr>
              <w:pStyle w:val="626"/>
              <w:spacing w:before="24" w:line="207"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3、要求整机4条空间流，整机速率≥1.775Gbps；</w:t>
            </w:r>
          </w:p>
          <w:p w14:paraId="1569F976">
            <w:pPr>
              <w:pStyle w:val="626"/>
              <w:spacing w:before="24" w:line="207"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4、支持802.11a/b/g/n/ac/ac Wave 2/ax标准，支持云管理模式，在不更换硬件的情况下，可支持切换到云模式；</w:t>
            </w:r>
          </w:p>
          <w:p w14:paraId="456048DC">
            <w:pPr>
              <w:pStyle w:val="626"/>
              <w:spacing w:before="24" w:line="207"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5、内置定向天线，内置蓝牙5.0，可实现蓝牙终端精确定位，提供官网截图材料证明；</w:t>
            </w:r>
          </w:p>
          <w:p w14:paraId="6920E342">
            <w:pPr>
              <w:pStyle w:val="626"/>
              <w:spacing w:before="24" w:line="207"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6、支持AP零配置，AP可以通过DHCP、DNS方式自动注册到无线控制器AC；</w:t>
            </w:r>
          </w:p>
          <w:p w14:paraId="29EF0CF0">
            <w:pPr>
              <w:pStyle w:val="626"/>
              <w:spacing w:before="24" w:line="207"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7、支持频谱分析功能，对婴儿监视器BabyMonitor、蓝牙设备、数字无绳电话、无线音频发射器、游戏手柄和微波炉等干扰源进行识别；</w:t>
            </w:r>
          </w:p>
          <w:p w14:paraId="4B17083F">
            <w:pPr>
              <w:pStyle w:val="626"/>
              <w:spacing w:before="24" w:line="207" w:lineRule="auto"/>
              <w:ind w:left="119" w:leftChars="0"/>
              <w:rPr>
                <w:rFonts w:hint="eastAsia" w:ascii="宋体" w:hAnsi="宋体" w:eastAsia="宋体" w:cs="宋体"/>
                <w:spacing w:val="-1"/>
                <w:sz w:val="21"/>
                <w:szCs w:val="21"/>
              </w:rPr>
            </w:pPr>
            <w:r>
              <w:rPr>
                <w:rFonts w:hint="eastAsia" w:ascii="宋体" w:hAnsi="宋体" w:eastAsia="宋体" w:cs="宋体"/>
                <w:spacing w:val="-1"/>
                <w:sz w:val="21"/>
                <w:szCs w:val="21"/>
              </w:rPr>
              <w:t>8、要求提供三年原厂维保服务。</w:t>
            </w:r>
          </w:p>
        </w:tc>
        <w:tc>
          <w:tcPr>
            <w:tcW w:w="575" w:type="dxa"/>
            <w:vAlign w:val="center"/>
          </w:tcPr>
          <w:p w14:paraId="384C93F0">
            <w:pPr>
              <w:pStyle w:val="626"/>
              <w:spacing w:before="71" w:line="222"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66" w:type="dxa"/>
            <w:vAlign w:val="center"/>
          </w:tcPr>
          <w:p w14:paraId="0FB088A6">
            <w:pPr>
              <w:pStyle w:val="626"/>
              <w:spacing w:before="71"/>
              <w:ind w:left="218" w:leftChars="0"/>
              <w:jc w:val="center"/>
              <w:rPr>
                <w:rFonts w:hint="eastAsia" w:ascii="宋体" w:hAnsi="宋体" w:eastAsia="宋体" w:cs="宋体"/>
                <w:spacing w:val="-2"/>
                <w:sz w:val="21"/>
                <w:szCs w:val="21"/>
              </w:rPr>
            </w:pPr>
            <w:r>
              <w:rPr>
                <w:rFonts w:hint="eastAsia" w:ascii="宋体" w:hAnsi="宋体" w:eastAsia="宋体" w:cs="宋体"/>
                <w:sz w:val="21"/>
                <w:szCs w:val="21"/>
              </w:rPr>
              <w:t>6</w:t>
            </w:r>
          </w:p>
        </w:tc>
      </w:tr>
      <w:tr w14:paraId="4C9EE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86" w:type="dxa"/>
            <w:vAlign w:val="center"/>
          </w:tcPr>
          <w:p w14:paraId="3211E07D">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777" w:type="dxa"/>
            <w:gridSpan w:val="2"/>
            <w:vAlign w:val="center"/>
          </w:tcPr>
          <w:p w14:paraId="07AF97D1">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单口面板</w:t>
            </w:r>
          </w:p>
        </w:tc>
        <w:tc>
          <w:tcPr>
            <w:tcW w:w="6596" w:type="dxa"/>
            <w:gridSpan w:val="2"/>
            <w:vAlign w:val="top"/>
          </w:tcPr>
          <w:p w14:paraId="4A9ACCE6">
            <w:pPr>
              <w:pStyle w:val="626"/>
              <w:spacing w:before="20" w:line="234" w:lineRule="auto"/>
              <w:ind w:left="115" w:leftChars="0" w:right="123" w:rightChars="0" w:firstLine="3" w:firstLineChars="0"/>
              <w:rPr>
                <w:rFonts w:hint="eastAsia" w:ascii="宋体" w:hAnsi="宋体" w:eastAsia="宋体" w:cs="宋体"/>
                <w:spacing w:val="-1"/>
                <w:sz w:val="21"/>
                <w:szCs w:val="21"/>
              </w:rPr>
            </w:pPr>
            <w:r>
              <w:rPr>
                <w:rFonts w:hint="eastAsia" w:ascii="宋体" w:hAnsi="宋体" w:eastAsia="宋体" w:cs="宋体"/>
                <w:spacing w:val="-2"/>
                <w:sz w:val="21"/>
                <w:szCs w:val="21"/>
              </w:rPr>
              <w:t>1、</w:t>
            </w:r>
            <w:r>
              <w:rPr>
                <w:rFonts w:hint="eastAsia" w:ascii="宋体" w:hAnsi="宋体" w:eastAsia="宋体" w:cs="宋体"/>
                <w:i w:val="0"/>
                <w:iCs w:val="0"/>
                <w:snapToGrid w:val="0"/>
                <w:color w:val="000000"/>
                <w:kern w:val="0"/>
                <w:sz w:val="22"/>
                <w:szCs w:val="22"/>
                <w:u w:val="none"/>
                <w:lang w:val="en-US" w:eastAsia="zh-CN" w:bidi="ar"/>
              </w:rPr>
              <w:t>规格：86型单口面板（含1个六类模块）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2、模块特点：带LED指示功能，通过设备检测可以根据LED不同的颜色判定面板内模块、配线架模块和交换机的链接状况；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3、标准：系列面板与英式标准尺寸兼容可以支持本系列所有信息模块；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材料：聚碳酸酯；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4、性能特点：抗老化不易变色，采用精抛光或磨砂的饰面，具有更加出色的可靠性、安全性和更加优美的外观；</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结构特点：螺钉内置方式面板带标准的白色边框外观更加美观、要求提供可更换的透明标签夹标示系统高效的进行编码管理，前端半透明式防尘门设计有效的防止灰尘进入和识别,前端提供可供自由更换的网络和语音标示以便在不同的使用环境下任意更换标示做到灵活方便高效</w:t>
            </w:r>
            <w:r>
              <w:rPr>
                <w:rFonts w:hint="eastAsia" w:ascii="宋体" w:hAnsi="宋体" w:eastAsia="宋体" w:cs="宋体"/>
                <w:spacing w:val="-3"/>
                <w:sz w:val="21"/>
                <w:szCs w:val="21"/>
              </w:rPr>
              <w:t>；</w:t>
            </w:r>
          </w:p>
        </w:tc>
        <w:tc>
          <w:tcPr>
            <w:tcW w:w="575" w:type="dxa"/>
            <w:vAlign w:val="center"/>
          </w:tcPr>
          <w:p w14:paraId="4D7061BB">
            <w:pPr>
              <w:pStyle w:val="626"/>
              <w:spacing w:before="72" w:line="22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66" w:type="dxa"/>
            <w:vAlign w:val="center"/>
          </w:tcPr>
          <w:p w14:paraId="7574F282">
            <w:pPr>
              <w:pStyle w:val="626"/>
              <w:spacing w:before="71"/>
              <w:ind w:left="287" w:leftChars="0"/>
              <w:jc w:val="center"/>
              <w:rPr>
                <w:rFonts w:hint="eastAsia" w:ascii="宋体" w:hAnsi="宋体" w:eastAsia="宋体" w:cs="宋体"/>
                <w:spacing w:val="-2"/>
                <w:sz w:val="21"/>
                <w:szCs w:val="21"/>
              </w:rPr>
            </w:pPr>
            <w:r>
              <w:rPr>
                <w:rFonts w:hint="eastAsia" w:ascii="宋体" w:hAnsi="宋体" w:eastAsia="宋体" w:cs="宋体"/>
                <w:spacing w:val="-7"/>
                <w:sz w:val="21"/>
                <w:szCs w:val="21"/>
              </w:rPr>
              <w:t>78</w:t>
            </w:r>
          </w:p>
        </w:tc>
      </w:tr>
      <w:tr w14:paraId="7107D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686" w:type="dxa"/>
            <w:vAlign w:val="center"/>
          </w:tcPr>
          <w:p w14:paraId="47044488">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777" w:type="dxa"/>
            <w:gridSpan w:val="2"/>
            <w:vAlign w:val="center"/>
          </w:tcPr>
          <w:p w14:paraId="3063B38F">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双口面板</w:t>
            </w:r>
          </w:p>
        </w:tc>
        <w:tc>
          <w:tcPr>
            <w:tcW w:w="6596" w:type="dxa"/>
            <w:gridSpan w:val="2"/>
            <w:vAlign w:val="top"/>
          </w:tcPr>
          <w:p w14:paraId="45639DFC">
            <w:pPr>
              <w:pStyle w:val="626"/>
              <w:spacing w:before="34" w:line="219" w:lineRule="auto"/>
              <w:ind w:left="130"/>
              <w:rPr>
                <w:rFonts w:hint="eastAsia" w:ascii="宋体" w:hAnsi="宋体" w:eastAsia="宋体" w:cs="宋体"/>
                <w:sz w:val="21"/>
                <w:szCs w:val="21"/>
              </w:rPr>
            </w:pPr>
            <w:r>
              <w:rPr>
                <w:rFonts w:hint="eastAsia" w:ascii="宋体" w:hAnsi="宋体" w:eastAsia="宋体" w:cs="宋体"/>
                <w:spacing w:val="-2"/>
                <w:sz w:val="21"/>
                <w:szCs w:val="21"/>
              </w:rPr>
              <w:t>1、规格：86型双口面板（含2个六类模块）</w:t>
            </w:r>
          </w:p>
          <w:p w14:paraId="781F4600">
            <w:pPr>
              <w:pStyle w:val="626"/>
              <w:spacing w:before="24" w:line="233" w:lineRule="auto"/>
              <w:ind w:left="112" w:right="123" w:firstLine="4"/>
              <w:rPr>
                <w:rFonts w:hint="eastAsia" w:ascii="宋体" w:hAnsi="宋体" w:eastAsia="宋体" w:cs="宋体"/>
                <w:sz w:val="21"/>
                <w:szCs w:val="21"/>
              </w:rPr>
            </w:pPr>
            <w:r>
              <w:rPr>
                <w:rFonts w:hint="eastAsia" w:ascii="宋体" w:hAnsi="宋体" w:eastAsia="宋体" w:cs="宋体"/>
                <w:spacing w:val="-1"/>
                <w:sz w:val="21"/>
                <w:szCs w:val="21"/>
              </w:rPr>
              <w:t>2、模块特点：带LED指示功能，通过设备检测可以根据LED不同的颜色判定面板内模块、配线架模块和交换机的</w:t>
            </w:r>
            <w:r>
              <w:rPr>
                <w:rFonts w:hint="eastAsia" w:ascii="宋体" w:hAnsi="宋体" w:eastAsia="宋体" w:cs="宋体"/>
                <w:spacing w:val="18"/>
                <w:sz w:val="21"/>
                <w:szCs w:val="21"/>
              </w:rPr>
              <w:t xml:space="preserve"> </w:t>
            </w:r>
            <w:r>
              <w:rPr>
                <w:rFonts w:hint="eastAsia" w:ascii="宋体" w:hAnsi="宋体" w:eastAsia="宋体" w:cs="宋体"/>
                <w:spacing w:val="-2"/>
                <w:sz w:val="21"/>
                <w:szCs w:val="21"/>
              </w:rPr>
              <w:t>链接状况；</w:t>
            </w:r>
          </w:p>
          <w:p w14:paraId="0A0390A9">
            <w:pPr>
              <w:pStyle w:val="626"/>
              <w:spacing w:before="23" w:line="230" w:lineRule="auto"/>
              <w:ind w:left="114" w:right="126" w:firstLine="4"/>
              <w:rPr>
                <w:rFonts w:hint="eastAsia" w:ascii="宋体" w:hAnsi="宋体" w:eastAsia="宋体" w:cs="宋体"/>
                <w:sz w:val="21"/>
                <w:szCs w:val="21"/>
              </w:rPr>
            </w:pPr>
            <w:r>
              <w:rPr>
                <w:rFonts w:hint="eastAsia" w:ascii="宋体" w:hAnsi="宋体" w:eastAsia="宋体" w:cs="宋体"/>
                <w:spacing w:val="-1"/>
                <w:sz w:val="21"/>
                <w:szCs w:val="21"/>
              </w:rPr>
              <w:t>3、标准：系列面板与英式标准尺寸兼容可以支持本系列</w:t>
            </w:r>
            <w:r>
              <w:rPr>
                <w:rFonts w:hint="eastAsia" w:ascii="宋体" w:hAnsi="宋体" w:eastAsia="宋体" w:cs="宋体"/>
                <w:spacing w:val="9"/>
                <w:sz w:val="21"/>
                <w:szCs w:val="21"/>
              </w:rPr>
              <w:t xml:space="preserve"> </w:t>
            </w:r>
            <w:r>
              <w:rPr>
                <w:rFonts w:hint="eastAsia" w:ascii="宋体" w:hAnsi="宋体" w:eastAsia="宋体" w:cs="宋体"/>
                <w:spacing w:val="-2"/>
                <w:sz w:val="21"/>
                <w:szCs w:val="21"/>
              </w:rPr>
              <w:t>所有信息模块；</w:t>
            </w:r>
          </w:p>
          <w:p w14:paraId="47517851">
            <w:pPr>
              <w:pStyle w:val="626"/>
              <w:spacing w:before="21" w:line="219" w:lineRule="auto"/>
              <w:ind w:left="114"/>
              <w:rPr>
                <w:rFonts w:hint="eastAsia" w:ascii="宋体" w:hAnsi="宋体" w:eastAsia="宋体" w:cs="宋体"/>
                <w:sz w:val="21"/>
                <w:szCs w:val="21"/>
              </w:rPr>
            </w:pPr>
            <w:r>
              <w:rPr>
                <w:rFonts w:hint="eastAsia" w:ascii="宋体" w:hAnsi="宋体" w:eastAsia="宋体" w:cs="宋体"/>
                <w:spacing w:val="-1"/>
                <w:sz w:val="21"/>
                <w:szCs w:val="21"/>
              </w:rPr>
              <w:t>材料：聚碳酸酯；</w:t>
            </w:r>
          </w:p>
          <w:p w14:paraId="27482CF1">
            <w:pPr>
              <w:pStyle w:val="626"/>
              <w:spacing w:before="27" w:line="233" w:lineRule="auto"/>
              <w:ind w:left="114" w:right="126" w:hanging="1"/>
              <w:rPr>
                <w:rFonts w:hint="eastAsia" w:ascii="宋体" w:hAnsi="宋体" w:eastAsia="宋体" w:cs="宋体"/>
                <w:sz w:val="21"/>
                <w:szCs w:val="21"/>
                <w:lang w:eastAsia="zh-CN"/>
              </w:rPr>
            </w:pPr>
            <w:r>
              <w:rPr>
                <w:rFonts w:hint="eastAsia" w:ascii="宋体" w:hAnsi="宋体" w:eastAsia="宋体" w:cs="宋体"/>
                <w:spacing w:val="-1"/>
                <w:sz w:val="21"/>
                <w:szCs w:val="21"/>
              </w:rPr>
              <w:t>4、性能特点：抗老化不易变色，采用精抛光或磨砂的饰面，具有更加出色的可靠性、安全性和更加优美的外观</w:t>
            </w:r>
            <w:r>
              <w:rPr>
                <w:rFonts w:hint="eastAsia" w:ascii="宋体" w:hAnsi="宋体" w:eastAsia="宋体" w:cs="宋体"/>
                <w:spacing w:val="6"/>
                <w:sz w:val="21"/>
                <w:szCs w:val="21"/>
                <w:lang w:eastAsia="zh-CN"/>
              </w:rPr>
              <w:t>；</w:t>
            </w:r>
          </w:p>
          <w:p w14:paraId="0FCB10A5">
            <w:pPr>
              <w:pStyle w:val="626"/>
              <w:spacing w:before="17" w:line="234" w:lineRule="auto"/>
              <w:ind w:left="115" w:leftChars="0" w:right="123" w:rightChars="0" w:firstLine="3" w:firstLineChars="0"/>
              <w:rPr>
                <w:rFonts w:hint="eastAsia" w:ascii="宋体" w:hAnsi="宋体" w:eastAsia="宋体" w:cs="宋体"/>
                <w:spacing w:val="-1"/>
                <w:sz w:val="21"/>
                <w:szCs w:val="21"/>
              </w:rPr>
            </w:pPr>
            <w:r>
              <w:rPr>
                <w:rFonts w:hint="eastAsia" w:ascii="宋体" w:hAnsi="宋体" w:eastAsia="宋体" w:cs="宋体"/>
                <w:spacing w:val="-1"/>
                <w:sz w:val="21"/>
                <w:szCs w:val="21"/>
              </w:rPr>
              <w:t>5、结构特点：螺钉内置方式面板带标准的白色边框外观更加美观、要求提供可更换的透明标签夹标示系统高效的进行编码管理，前端半透明式防尘门设计有效的防止灰尘进入和识别,前端提供可供自由更换的网络和语音标示以便在不同的使用环境下任意更换标示做到灵活方便</w:t>
            </w:r>
            <w:r>
              <w:rPr>
                <w:rFonts w:hint="eastAsia" w:ascii="宋体" w:hAnsi="宋体" w:eastAsia="宋体" w:cs="宋体"/>
                <w:spacing w:val="-3"/>
                <w:sz w:val="21"/>
                <w:szCs w:val="21"/>
              </w:rPr>
              <w:t>高效；</w:t>
            </w:r>
          </w:p>
        </w:tc>
        <w:tc>
          <w:tcPr>
            <w:tcW w:w="575" w:type="dxa"/>
            <w:vAlign w:val="center"/>
          </w:tcPr>
          <w:p w14:paraId="6D4C3AE0">
            <w:pPr>
              <w:pStyle w:val="626"/>
              <w:spacing w:before="72" w:line="22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66" w:type="dxa"/>
            <w:vAlign w:val="center"/>
          </w:tcPr>
          <w:p w14:paraId="6F94910A">
            <w:pPr>
              <w:pStyle w:val="626"/>
              <w:spacing w:before="72"/>
              <w:jc w:val="center"/>
              <w:rPr>
                <w:rFonts w:hint="eastAsia" w:ascii="宋体" w:hAnsi="宋体" w:eastAsia="宋体" w:cs="宋体"/>
                <w:spacing w:val="-6"/>
                <w:sz w:val="21"/>
                <w:szCs w:val="21"/>
              </w:rPr>
            </w:pPr>
            <w:r>
              <w:rPr>
                <w:rFonts w:hint="eastAsia" w:ascii="宋体" w:hAnsi="宋体" w:eastAsia="宋体" w:cs="宋体"/>
                <w:spacing w:val="-6"/>
                <w:sz w:val="21"/>
                <w:szCs w:val="21"/>
              </w:rPr>
              <w:t>24</w:t>
            </w:r>
          </w:p>
        </w:tc>
      </w:tr>
      <w:tr w14:paraId="5A4EF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686" w:type="dxa"/>
            <w:vAlign w:val="center"/>
          </w:tcPr>
          <w:p w14:paraId="7D4483B7">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777" w:type="dxa"/>
            <w:gridSpan w:val="2"/>
            <w:vAlign w:val="center"/>
          </w:tcPr>
          <w:p w14:paraId="2B04FBC5">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六类网线</w:t>
            </w:r>
          </w:p>
        </w:tc>
        <w:tc>
          <w:tcPr>
            <w:tcW w:w="6596" w:type="dxa"/>
            <w:gridSpan w:val="2"/>
            <w:vAlign w:val="top"/>
          </w:tcPr>
          <w:p w14:paraId="36CF7C98">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1、依据标准YD/T 1019、同时符合标准ISO/IEC 11801、ANSI/TIA-568.2-D、IEC60332-1</w:t>
            </w:r>
          </w:p>
          <w:p w14:paraId="39EE9EA9">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2.护套材料：低烟无卤</w:t>
            </w:r>
          </w:p>
          <w:p w14:paraId="0FB17E32">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3.绝缘层材料：PE</w:t>
            </w:r>
          </w:p>
          <w:p w14:paraId="0FF8457E">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4.结构：十字骨架</w:t>
            </w:r>
          </w:p>
          <w:p w14:paraId="72FA53C6">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5.铜导体直径：23AWG，</w:t>
            </w:r>
          </w:p>
          <w:p w14:paraId="566442C3">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6.燃烧性能：IEC 60332-1燃烧试验</w:t>
            </w:r>
          </w:p>
          <w:p w14:paraId="4300C77C">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7.单根导体直流电阻：≤9.0Ω/100m at 20℃</w:t>
            </w:r>
          </w:p>
          <w:p w14:paraId="0AABC6E8">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8.直流电阻不平衡：≤2%(线对内两导体间)  ≤4%(线对与线对间)</w:t>
            </w:r>
          </w:p>
          <w:p w14:paraId="37D86284">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9.绝缘电阻：≥5000MΩ·km</w:t>
            </w:r>
          </w:p>
          <w:p w14:paraId="420EDCD0">
            <w:pPr>
              <w:pStyle w:val="626"/>
              <w:spacing w:before="20" w:line="220" w:lineRule="auto"/>
              <w:ind w:left="118" w:leftChars="0"/>
              <w:rPr>
                <w:rFonts w:hint="eastAsia" w:ascii="宋体" w:hAnsi="宋体" w:eastAsia="宋体" w:cs="宋体"/>
                <w:spacing w:val="-2"/>
                <w:sz w:val="21"/>
                <w:szCs w:val="21"/>
                <w:lang w:eastAsia="zh-CN"/>
              </w:rPr>
            </w:pPr>
            <w:r>
              <w:rPr>
                <w:rFonts w:hint="eastAsia" w:ascii="宋体" w:hAnsi="宋体" w:eastAsia="宋体" w:cs="宋体"/>
                <w:spacing w:val="-2"/>
                <w:sz w:val="21"/>
                <w:szCs w:val="21"/>
              </w:rPr>
              <w:t>10.产品性能符合YD/T 1019</w:t>
            </w:r>
            <w:r>
              <w:rPr>
                <w:rFonts w:hint="eastAsia" w:ascii="宋体" w:hAnsi="宋体" w:eastAsia="宋体" w:cs="宋体"/>
                <w:spacing w:val="-2"/>
                <w:sz w:val="21"/>
                <w:szCs w:val="21"/>
                <w:lang w:eastAsia="zh-CN"/>
              </w:rPr>
              <w:t>；</w:t>
            </w:r>
          </w:p>
          <w:p w14:paraId="5B203A8E">
            <w:pPr>
              <w:pStyle w:val="626"/>
              <w:spacing w:before="20" w:line="220" w:lineRule="auto"/>
              <w:ind w:left="118" w:leftChars="0"/>
              <w:rPr>
                <w:rFonts w:hint="eastAsia" w:ascii="宋体" w:hAnsi="宋体" w:eastAsia="宋体" w:cs="宋体"/>
                <w:b/>
                <w:bCs/>
                <w:spacing w:val="-2"/>
                <w:sz w:val="21"/>
                <w:szCs w:val="21"/>
                <w:lang w:eastAsia="zh-CN"/>
              </w:rPr>
            </w:pPr>
            <w:r>
              <w:rPr>
                <w:rFonts w:hint="eastAsia" w:ascii="宋体" w:hAnsi="宋体" w:eastAsia="宋体" w:cs="宋体"/>
                <w:spacing w:val="-2"/>
                <w:sz w:val="21"/>
                <w:szCs w:val="21"/>
              </w:rPr>
              <w:t>11.阻燃符合GB/T 18380.12，烟密度符合GB/T 17651.2，护套材料燃烧时释放气体的PH值和电导率符合标准GB/T 17650.2</w:t>
            </w:r>
            <w:r>
              <w:rPr>
                <w:rFonts w:hint="eastAsia" w:ascii="宋体" w:hAnsi="宋体" w:eastAsia="宋体" w:cs="宋体"/>
                <w:spacing w:val="-2"/>
                <w:sz w:val="21"/>
                <w:szCs w:val="21"/>
                <w:lang w:eastAsia="zh-CN"/>
              </w:rPr>
              <w:t>；</w:t>
            </w:r>
            <w:r>
              <w:rPr>
                <w:rFonts w:hint="eastAsia" w:ascii="宋体" w:hAnsi="宋体" w:eastAsia="宋体" w:cs="宋体"/>
                <w:b/>
                <w:bCs/>
                <w:spacing w:val="-2"/>
                <w:sz w:val="21"/>
                <w:szCs w:val="21"/>
                <w:lang w:eastAsia="zh-CN"/>
              </w:rPr>
              <w:t>可提供带CMA、CNAS认可标志的第三方权威机构出具的产品检测报告；</w:t>
            </w:r>
          </w:p>
          <w:p w14:paraId="5C188257">
            <w:pPr>
              <w:pStyle w:val="626"/>
              <w:spacing w:before="20" w:line="220" w:lineRule="auto"/>
              <w:ind w:left="118" w:leftChars="0"/>
              <w:rPr>
                <w:rFonts w:hint="eastAsia" w:ascii="宋体" w:hAnsi="宋体" w:eastAsia="宋体" w:cs="宋体"/>
                <w:spacing w:val="-2"/>
                <w:sz w:val="21"/>
                <w:szCs w:val="21"/>
                <w:lang w:eastAsia="zh-CN"/>
              </w:rPr>
            </w:pPr>
          </w:p>
          <w:p w14:paraId="77D65E93">
            <w:pPr>
              <w:pStyle w:val="626"/>
              <w:spacing w:before="20" w:line="220" w:lineRule="auto"/>
              <w:ind w:left="118" w:leftChars="0"/>
              <w:rPr>
                <w:rFonts w:hint="eastAsia" w:ascii="宋体" w:hAnsi="宋体" w:eastAsia="宋体" w:cs="宋体"/>
                <w:spacing w:val="-2"/>
                <w:sz w:val="21"/>
                <w:szCs w:val="21"/>
              </w:rPr>
            </w:pPr>
            <w:r>
              <w:rPr>
                <w:rFonts w:hint="eastAsia" w:ascii="宋体" w:hAnsi="宋体" w:eastAsia="宋体" w:cs="宋体"/>
                <w:spacing w:val="-2"/>
                <w:sz w:val="21"/>
                <w:szCs w:val="21"/>
              </w:rPr>
              <w:t>12.产品符合ROHS和REACH标准，可提供相关证明文件</w:t>
            </w:r>
          </w:p>
          <w:p w14:paraId="7112C871">
            <w:pPr>
              <w:pStyle w:val="626"/>
              <w:spacing w:before="20" w:line="220" w:lineRule="auto"/>
              <w:ind w:left="118" w:leftChars="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rPr>
              <w:t>13.可提供带CMA、CNAS认可标志的第三方权威机构出具的90米（2节点）、10米短链路、4节点、6节点永久链路和信道检测报告</w:t>
            </w:r>
            <w:r>
              <w:rPr>
                <w:rFonts w:hint="eastAsia" w:ascii="宋体" w:hAnsi="宋体" w:eastAsia="宋体" w:cs="宋体"/>
                <w:b/>
                <w:bCs/>
                <w:spacing w:val="-2"/>
                <w:sz w:val="21"/>
                <w:szCs w:val="21"/>
                <w:lang w:eastAsia="zh-CN"/>
              </w:rPr>
              <w:t>；</w:t>
            </w:r>
          </w:p>
          <w:p w14:paraId="41586D24">
            <w:pPr>
              <w:pStyle w:val="626"/>
              <w:spacing w:before="20" w:line="220" w:lineRule="auto"/>
              <w:ind w:left="118" w:leftChars="0"/>
              <w:rPr>
                <w:rFonts w:hint="eastAsia" w:ascii="宋体" w:hAnsi="宋体" w:eastAsia="宋体" w:cs="宋体"/>
                <w:spacing w:val="-1"/>
                <w:sz w:val="21"/>
                <w:szCs w:val="21"/>
                <w:lang w:eastAsia="zh-CN"/>
              </w:rPr>
            </w:pPr>
            <w:r>
              <w:rPr>
                <w:rFonts w:hint="eastAsia" w:ascii="宋体" w:hAnsi="宋体" w:eastAsia="宋体" w:cs="宋体"/>
                <w:spacing w:val="-2"/>
                <w:sz w:val="21"/>
                <w:szCs w:val="21"/>
              </w:rPr>
              <w:t>14.六类非屏蔽EMC布线系统符合标准GB/T 9254.2</w:t>
            </w:r>
            <w:r>
              <w:rPr>
                <w:rFonts w:hint="eastAsia" w:ascii="宋体" w:hAnsi="宋体" w:eastAsia="宋体" w:cs="宋体"/>
                <w:spacing w:val="-2"/>
                <w:sz w:val="21"/>
                <w:szCs w:val="21"/>
                <w:lang w:eastAsia="zh-CN"/>
              </w:rPr>
              <w:t>；</w:t>
            </w:r>
          </w:p>
        </w:tc>
        <w:tc>
          <w:tcPr>
            <w:tcW w:w="575" w:type="dxa"/>
            <w:vAlign w:val="center"/>
          </w:tcPr>
          <w:p w14:paraId="52F64FAF">
            <w:pPr>
              <w:pStyle w:val="626"/>
              <w:spacing w:before="71" w:line="22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966" w:type="dxa"/>
            <w:vAlign w:val="center"/>
          </w:tcPr>
          <w:p w14:paraId="3BA0D254">
            <w:pPr>
              <w:pStyle w:val="626"/>
              <w:spacing w:before="71"/>
              <w:ind w:left="232" w:leftChars="0"/>
              <w:jc w:val="center"/>
              <w:rPr>
                <w:rFonts w:hint="eastAsia" w:ascii="宋体" w:hAnsi="宋体" w:eastAsia="宋体" w:cs="宋体"/>
                <w:spacing w:val="-6"/>
                <w:sz w:val="21"/>
                <w:szCs w:val="21"/>
              </w:rPr>
            </w:pPr>
            <w:r>
              <w:rPr>
                <w:rFonts w:hint="eastAsia" w:ascii="宋体" w:hAnsi="宋体" w:eastAsia="宋体" w:cs="宋体"/>
                <w:spacing w:val="-3"/>
                <w:sz w:val="21"/>
                <w:szCs w:val="21"/>
              </w:rPr>
              <w:t>6530</w:t>
            </w:r>
          </w:p>
        </w:tc>
      </w:tr>
      <w:tr w14:paraId="67219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 w:hRule="atLeast"/>
        </w:trPr>
        <w:tc>
          <w:tcPr>
            <w:tcW w:w="686" w:type="dxa"/>
            <w:vAlign w:val="center"/>
          </w:tcPr>
          <w:p w14:paraId="2C2F4F04">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777" w:type="dxa"/>
            <w:gridSpan w:val="2"/>
            <w:vAlign w:val="center"/>
          </w:tcPr>
          <w:p w14:paraId="6EC9F531">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六类水晶头</w:t>
            </w:r>
          </w:p>
        </w:tc>
        <w:tc>
          <w:tcPr>
            <w:tcW w:w="6596" w:type="dxa"/>
            <w:gridSpan w:val="2"/>
            <w:vAlign w:val="top"/>
          </w:tcPr>
          <w:p w14:paraId="051D408A">
            <w:pPr>
              <w:pStyle w:val="626"/>
              <w:spacing w:before="21" w:line="224" w:lineRule="auto"/>
              <w:ind w:left="128" w:leftChars="0" w:right="234" w:rightChars="0" w:hanging="15" w:firstLineChars="0"/>
              <w:rPr>
                <w:rFonts w:hint="eastAsia" w:ascii="宋体" w:hAnsi="宋体" w:eastAsia="宋体" w:cs="宋体"/>
                <w:spacing w:val="-1"/>
                <w:sz w:val="21"/>
                <w:szCs w:val="21"/>
              </w:rPr>
            </w:pPr>
            <w:r>
              <w:rPr>
                <w:rFonts w:hint="eastAsia" w:ascii="宋体" w:hAnsi="宋体" w:eastAsia="宋体" w:cs="宋体"/>
                <w:spacing w:val="-3"/>
                <w:sz w:val="21"/>
                <w:szCs w:val="21"/>
              </w:rPr>
              <w:t>1、</w:t>
            </w:r>
            <w:r>
              <w:rPr>
                <w:rFonts w:hint="eastAsia" w:ascii="宋体" w:hAnsi="宋体" w:eastAsia="宋体" w:cs="宋体"/>
                <w:spacing w:val="-3"/>
                <w:sz w:val="21"/>
                <w:szCs w:val="21"/>
                <w:lang w:val="en-US" w:eastAsia="zh-CN"/>
              </w:rPr>
              <w:t>规格：六类水晶头</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2、标准：UL 444, EIA/TIA 568-B.2和ISO/IEC 11801:2002 Ed2.0；</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3、材料：采用优质PVC聚氯乙烯透明粒子，接触针为磷青铜50um镀金层；</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4、性能：可接线径为22-26AWG(0.4mm-0.64mm),跳线抗阻100欧姆，可插拔1000次以上；</w:t>
            </w:r>
          </w:p>
        </w:tc>
        <w:tc>
          <w:tcPr>
            <w:tcW w:w="575" w:type="dxa"/>
            <w:vAlign w:val="center"/>
          </w:tcPr>
          <w:p w14:paraId="62044554">
            <w:pPr>
              <w:pStyle w:val="626"/>
              <w:spacing w:before="72" w:line="22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66" w:type="dxa"/>
            <w:vAlign w:val="center"/>
          </w:tcPr>
          <w:p w14:paraId="300E775D">
            <w:pPr>
              <w:pStyle w:val="626"/>
              <w:spacing w:before="72"/>
              <w:jc w:val="center"/>
              <w:rPr>
                <w:rFonts w:hint="eastAsia" w:ascii="宋体" w:hAnsi="宋体" w:eastAsia="宋体" w:cs="宋体"/>
                <w:spacing w:val="-5"/>
                <w:sz w:val="21"/>
                <w:szCs w:val="21"/>
              </w:rPr>
            </w:pPr>
            <w:r>
              <w:rPr>
                <w:rFonts w:hint="eastAsia" w:ascii="宋体" w:hAnsi="宋体" w:eastAsia="宋体" w:cs="宋体"/>
                <w:spacing w:val="-4"/>
                <w:sz w:val="21"/>
                <w:szCs w:val="21"/>
              </w:rPr>
              <w:t>300</w:t>
            </w:r>
          </w:p>
        </w:tc>
      </w:tr>
      <w:tr w14:paraId="22328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686" w:type="dxa"/>
            <w:vAlign w:val="center"/>
          </w:tcPr>
          <w:p w14:paraId="3F71ED47">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777" w:type="dxa"/>
            <w:gridSpan w:val="2"/>
            <w:vAlign w:val="center"/>
          </w:tcPr>
          <w:p w14:paraId="62192243">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12芯光电复合单模光缆</w:t>
            </w:r>
          </w:p>
        </w:tc>
        <w:tc>
          <w:tcPr>
            <w:tcW w:w="6596" w:type="dxa"/>
            <w:gridSpan w:val="2"/>
            <w:vAlign w:val="top"/>
          </w:tcPr>
          <w:p w14:paraId="239AC279">
            <w:pPr>
              <w:pStyle w:val="626"/>
              <w:spacing w:before="26" w:line="239" w:lineRule="auto"/>
              <w:ind w:left="113" w:right="234" w:hanging="5"/>
              <w:rPr>
                <w:rFonts w:hint="eastAsia" w:ascii="宋体" w:hAnsi="宋体" w:eastAsia="宋体" w:cs="宋体"/>
                <w:spacing w:val="-1"/>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产品符合YD/T769-2010、YD/T 908-2011、GB/T9771.3-2008、GB/T12357.1-2004等标准；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2、机械性能和温度特性良好，可在-40℃～+70℃环境下使用；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3、松套管材料耐水解性能好和强度高；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4、管内充以特种油膏对光纤进行关键性保护；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5、采用双面涂塑光带提高光缆的抗潮能力；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6、采用两根平行钢丝保证光缆的抗拉强度；</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7、采用PE护套；                                                                                                                                8、8芯、电源线无氧铜2*1.5；</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9、长期的允许拉伸力600N,短期允许拉伸力1500N；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10、长期允许压扁力300N/100mm，短期允许压扁力要求1000N/100mm；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11、动态最小弯曲半径20D mm，静态最小弯曲半径10D mm；                                                                                                                       12、光学特性：1、光缆在@1310nm时衰减≤0.36（ dB/km）；光缆在@1550nm时衰减≤0.22（ dB/km）；光缆在@1300nm时温度附加衰减（-20°~+60°）≤0.05 dB/km；光缆在@1550nm时温度附加衰减（-20°~+60°）≤0.05 dB/km</w:t>
            </w:r>
          </w:p>
        </w:tc>
        <w:tc>
          <w:tcPr>
            <w:tcW w:w="575" w:type="dxa"/>
            <w:vAlign w:val="center"/>
          </w:tcPr>
          <w:p w14:paraId="41489978">
            <w:pPr>
              <w:pStyle w:val="626"/>
              <w:spacing w:before="71" w:line="22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966" w:type="dxa"/>
            <w:vAlign w:val="center"/>
          </w:tcPr>
          <w:p w14:paraId="7926C863">
            <w:pPr>
              <w:pStyle w:val="626"/>
              <w:spacing w:before="72"/>
              <w:jc w:val="center"/>
              <w:rPr>
                <w:rFonts w:hint="eastAsia" w:ascii="宋体" w:hAnsi="宋体" w:eastAsia="宋体" w:cs="宋体"/>
                <w:spacing w:val="-5"/>
                <w:sz w:val="21"/>
                <w:szCs w:val="21"/>
              </w:rPr>
            </w:pPr>
            <w:r>
              <w:rPr>
                <w:rFonts w:hint="eastAsia" w:ascii="宋体" w:hAnsi="宋体" w:eastAsia="宋体" w:cs="宋体"/>
                <w:spacing w:val="-4"/>
                <w:sz w:val="21"/>
                <w:szCs w:val="21"/>
              </w:rPr>
              <w:t>650</w:t>
            </w:r>
          </w:p>
        </w:tc>
      </w:tr>
      <w:tr w14:paraId="77273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686" w:type="dxa"/>
            <w:vAlign w:val="center"/>
          </w:tcPr>
          <w:p w14:paraId="0DD44CF1">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777" w:type="dxa"/>
            <w:gridSpan w:val="2"/>
            <w:vAlign w:val="center"/>
          </w:tcPr>
          <w:p w14:paraId="29F1377D">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4芯光电复合单模光缆</w:t>
            </w:r>
          </w:p>
        </w:tc>
        <w:tc>
          <w:tcPr>
            <w:tcW w:w="6596" w:type="dxa"/>
            <w:gridSpan w:val="2"/>
            <w:vAlign w:val="top"/>
          </w:tcPr>
          <w:p w14:paraId="3A6F9095">
            <w:pPr>
              <w:pStyle w:val="626"/>
              <w:spacing w:before="23" w:line="239" w:lineRule="auto"/>
              <w:ind w:left="113" w:right="234" w:hanging="5"/>
              <w:rPr>
                <w:rFonts w:hint="eastAsia" w:ascii="宋体" w:hAnsi="宋体" w:eastAsia="宋体" w:cs="宋体"/>
                <w:spacing w:val="-1"/>
                <w:sz w:val="21"/>
                <w:szCs w:val="21"/>
              </w:rPr>
            </w:pPr>
            <w:r>
              <w:rPr>
                <w:rFonts w:hint="eastAsia" w:ascii="宋体" w:hAnsi="宋体" w:eastAsia="宋体" w:cs="宋体"/>
                <w:sz w:val="21"/>
                <w:szCs w:val="21"/>
              </w:rPr>
              <w:t>1、</w:t>
            </w:r>
            <w:r>
              <w:rPr>
                <w:rFonts w:hint="eastAsia" w:ascii="宋体" w:hAnsi="宋体" w:eastAsia="宋体" w:cs="宋体"/>
                <w:i w:val="0"/>
                <w:iCs w:val="0"/>
                <w:snapToGrid w:val="0"/>
                <w:color w:val="000000"/>
                <w:kern w:val="0"/>
                <w:sz w:val="22"/>
                <w:szCs w:val="22"/>
                <w:u w:val="none"/>
                <w:lang w:val="en-US" w:eastAsia="zh-CN" w:bidi="ar"/>
              </w:rPr>
              <w:t>产品符合YD/T769-2010、YD/T 908-2011、GB/T9771.3-2008、GB/T12357.1-2004等标准；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2、机械性能和温度特性良好，可在-40℃～+70℃环境下使用；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3、松套管材料耐水解性能好和强度高；</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4、管内充以特种油膏对光纤进行关键性保护；</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5、采用双面涂塑光带提高光缆的抗潮能力；</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6、采用两根平行钢丝保证光缆的抗拉强度；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7、采用PE护套；                                                                                                                                8、4芯、电源线无氧铜2*1；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9、长期的允许拉伸力600N,短期允许拉伸力1500N；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10、长期允许压扁力300N/100mm，短期允许压扁力要求1000N/100mm；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11、动态最小弯曲半径20D mm，静态最小弯曲半径10D mm；                                                                                                                       12、光学特性：1、光缆在@1310nm时衰减≤0.36（ dB/km）；光缆在@1550nm时衰减≤0.22（ dB/km）；光缆在@1300nm时温度附加衰减（-20°~+60°）≤0.05 dB/km；光缆在@1550nm时温度附加衰减（-20°~+60°）≤0.05 dB/km</w:t>
            </w:r>
          </w:p>
        </w:tc>
        <w:tc>
          <w:tcPr>
            <w:tcW w:w="575" w:type="dxa"/>
            <w:vAlign w:val="center"/>
          </w:tcPr>
          <w:p w14:paraId="5D620567">
            <w:pPr>
              <w:pStyle w:val="626"/>
              <w:spacing w:before="72" w:line="22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966" w:type="dxa"/>
            <w:vAlign w:val="center"/>
          </w:tcPr>
          <w:p w14:paraId="1130E0BA">
            <w:pPr>
              <w:pStyle w:val="626"/>
              <w:spacing w:before="72"/>
              <w:jc w:val="center"/>
              <w:rPr>
                <w:rFonts w:hint="eastAsia" w:ascii="宋体" w:hAnsi="宋体" w:eastAsia="宋体" w:cs="宋体"/>
                <w:spacing w:val="-5"/>
                <w:sz w:val="21"/>
                <w:szCs w:val="21"/>
              </w:rPr>
            </w:pPr>
            <w:r>
              <w:rPr>
                <w:rFonts w:hint="eastAsia" w:ascii="宋体" w:hAnsi="宋体" w:eastAsia="宋体" w:cs="宋体"/>
                <w:spacing w:val="-6"/>
                <w:sz w:val="21"/>
                <w:szCs w:val="21"/>
              </w:rPr>
              <w:t>1850</w:t>
            </w:r>
          </w:p>
        </w:tc>
      </w:tr>
      <w:tr w14:paraId="61D21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24390A2F">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777" w:type="dxa"/>
            <w:gridSpan w:val="2"/>
            <w:vAlign w:val="center"/>
          </w:tcPr>
          <w:p w14:paraId="33C50995">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12芯光纤配线架</w:t>
            </w:r>
          </w:p>
        </w:tc>
        <w:tc>
          <w:tcPr>
            <w:tcW w:w="6596" w:type="dxa"/>
            <w:gridSpan w:val="2"/>
            <w:vAlign w:val="top"/>
          </w:tcPr>
          <w:p w14:paraId="2E22E80A">
            <w:pPr>
              <w:pStyle w:val="626"/>
              <w:spacing w:before="72" w:line="219" w:lineRule="auto"/>
              <w:ind w:left="115"/>
              <w:rPr>
                <w:rFonts w:hint="eastAsia" w:ascii="宋体" w:hAnsi="宋体" w:eastAsia="宋体" w:cs="宋体"/>
                <w:sz w:val="21"/>
                <w:szCs w:val="21"/>
              </w:rPr>
            </w:pPr>
            <w:r>
              <w:rPr>
                <w:rFonts w:hint="eastAsia" w:ascii="宋体" w:hAnsi="宋体" w:eastAsia="宋体" w:cs="宋体"/>
                <w:sz w:val="21"/>
                <w:szCs w:val="21"/>
              </w:rPr>
              <w:t>odf光纤配线架：冷轧钢板、坚固耐用、全模块设</w:t>
            </w:r>
            <w:r>
              <w:rPr>
                <w:rFonts w:hint="eastAsia" w:ascii="宋体" w:hAnsi="宋体" w:eastAsia="宋体" w:cs="宋体"/>
                <w:spacing w:val="-1"/>
                <w:sz w:val="21"/>
                <w:szCs w:val="21"/>
              </w:rPr>
              <w:t>计；开</w:t>
            </w:r>
          </w:p>
          <w:p w14:paraId="0D07056E">
            <w:pPr>
              <w:pStyle w:val="626"/>
              <w:spacing w:before="23" w:line="222" w:lineRule="auto"/>
              <w:ind w:left="118" w:leftChars="0"/>
              <w:rPr>
                <w:rFonts w:hint="eastAsia" w:ascii="宋体" w:hAnsi="宋体" w:eastAsia="宋体" w:cs="宋体"/>
                <w:spacing w:val="-3"/>
                <w:sz w:val="21"/>
                <w:szCs w:val="21"/>
              </w:rPr>
            </w:pPr>
            <w:r>
              <w:rPr>
                <w:rFonts w:hint="eastAsia" w:ascii="宋体" w:hAnsi="宋体" w:eastAsia="宋体" w:cs="宋体"/>
                <w:spacing w:val="-2"/>
                <w:sz w:val="21"/>
                <w:szCs w:val="21"/>
              </w:rPr>
              <w:t>启方式：抽拉式开启；</w:t>
            </w:r>
          </w:p>
        </w:tc>
        <w:tc>
          <w:tcPr>
            <w:tcW w:w="575" w:type="dxa"/>
            <w:vAlign w:val="center"/>
          </w:tcPr>
          <w:p w14:paraId="170ADF64">
            <w:pPr>
              <w:pStyle w:val="626"/>
              <w:spacing w:before="72" w:line="221"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966" w:type="dxa"/>
            <w:vAlign w:val="center"/>
          </w:tcPr>
          <w:p w14:paraId="70670613">
            <w:pPr>
              <w:pStyle w:val="626"/>
              <w:spacing w:before="71"/>
              <w:jc w:val="center"/>
              <w:rPr>
                <w:rFonts w:hint="eastAsia" w:ascii="宋体" w:hAnsi="宋体" w:eastAsia="宋体" w:cs="宋体"/>
                <w:spacing w:val="-3"/>
                <w:sz w:val="21"/>
                <w:szCs w:val="21"/>
              </w:rPr>
            </w:pPr>
            <w:r>
              <w:rPr>
                <w:rFonts w:hint="eastAsia" w:ascii="宋体" w:hAnsi="宋体" w:eastAsia="宋体" w:cs="宋体"/>
                <w:sz w:val="21"/>
                <w:szCs w:val="21"/>
              </w:rPr>
              <w:t>6</w:t>
            </w:r>
          </w:p>
        </w:tc>
      </w:tr>
      <w:tr w14:paraId="0945B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02A25852">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777" w:type="dxa"/>
            <w:gridSpan w:val="2"/>
            <w:vAlign w:val="center"/>
          </w:tcPr>
          <w:p w14:paraId="55EE111A">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光缆熔接</w:t>
            </w:r>
          </w:p>
        </w:tc>
        <w:tc>
          <w:tcPr>
            <w:tcW w:w="6596" w:type="dxa"/>
            <w:gridSpan w:val="2"/>
            <w:vAlign w:val="top"/>
          </w:tcPr>
          <w:p w14:paraId="6AAFF651">
            <w:pPr>
              <w:pStyle w:val="626"/>
              <w:spacing w:before="175" w:line="220" w:lineRule="auto"/>
              <w:ind w:left="119" w:leftChars="0"/>
              <w:rPr>
                <w:rFonts w:hint="eastAsia" w:ascii="宋体" w:hAnsi="宋体" w:eastAsia="宋体" w:cs="宋体"/>
                <w:spacing w:val="-3"/>
                <w:sz w:val="21"/>
                <w:szCs w:val="21"/>
              </w:rPr>
            </w:pPr>
            <w:r>
              <w:rPr>
                <w:rFonts w:hint="eastAsia" w:ascii="宋体" w:hAnsi="宋体" w:eastAsia="宋体" w:cs="宋体"/>
                <w:spacing w:val="-3"/>
                <w:sz w:val="21"/>
                <w:szCs w:val="21"/>
              </w:rPr>
              <w:t>定制热熔焊接</w:t>
            </w:r>
          </w:p>
        </w:tc>
        <w:tc>
          <w:tcPr>
            <w:tcW w:w="575" w:type="dxa"/>
            <w:vAlign w:val="center"/>
          </w:tcPr>
          <w:p w14:paraId="552629D5">
            <w:pPr>
              <w:pStyle w:val="626"/>
              <w:spacing w:before="174" w:line="237" w:lineRule="auto"/>
              <w:jc w:val="center"/>
              <w:rPr>
                <w:rFonts w:hint="eastAsia" w:ascii="宋体" w:hAnsi="宋体" w:eastAsia="宋体" w:cs="宋体"/>
                <w:sz w:val="21"/>
                <w:szCs w:val="21"/>
              </w:rPr>
            </w:pPr>
            <w:r>
              <w:rPr>
                <w:rFonts w:hint="eastAsia" w:ascii="宋体" w:hAnsi="宋体" w:eastAsia="宋体" w:cs="宋体"/>
                <w:sz w:val="21"/>
                <w:szCs w:val="21"/>
              </w:rPr>
              <w:t>芯</w:t>
            </w:r>
          </w:p>
        </w:tc>
        <w:tc>
          <w:tcPr>
            <w:tcW w:w="966" w:type="dxa"/>
            <w:vAlign w:val="center"/>
          </w:tcPr>
          <w:p w14:paraId="256C1CF6">
            <w:pPr>
              <w:pStyle w:val="626"/>
              <w:spacing w:before="175"/>
              <w:jc w:val="center"/>
              <w:rPr>
                <w:rFonts w:hint="eastAsia" w:ascii="宋体" w:hAnsi="宋体" w:eastAsia="宋体" w:cs="宋体"/>
                <w:spacing w:val="-3"/>
                <w:sz w:val="21"/>
                <w:szCs w:val="21"/>
              </w:rPr>
            </w:pPr>
            <w:r>
              <w:rPr>
                <w:rFonts w:hint="eastAsia" w:ascii="宋体" w:hAnsi="宋体" w:eastAsia="宋体" w:cs="宋体"/>
                <w:spacing w:val="-4"/>
                <w:sz w:val="21"/>
                <w:szCs w:val="21"/>
              </w:rPr>
              <w:t>204</w:t>
            </w:r>
          </w:p>
        </w:tc>
      </w:tr>
      <w:tr w14:paraId="7CBD7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3D08D67D">
            <w:pPr>
              <w:pStyle w:val="626"/>
              <w:spacing w:before="72" w:line="242"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777" w:type="dxa"/>
            <w:gridSpan w:val="2"/>
            <w:vAlign w:val="center"/>
          </w:tcPr>
          <w:p w14:paraId="2D002A4E">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8芯终端盒</w:t>
            </w:r>
          </w:p>
        </w:tc>
        <w:tc>
          <w:tcPr>
            <w:tcW w:w="6596" w:type="dxa"/>
            <w:gridSpan w:val="2"/>
            <w:vAlign w:val="top"/>
          </w:tcPr>
          <w:p w14:paraId="7B1D041A">
            <w:pPr>
              <w:pStyle w:val="626"/>
              <w:spacing w:before="32" w:line="220" w:lineRule="auto"/>
              <w:ind w:left="130"/>
              <w:rPr>
                <w:rFonts w:hint="eastAsia" w:ascii="宋体" w:hAnsi="宋体" w:eastAsia="宋体" w:cs="宋体"/>
                <w:sz w:val="21"/>
                <w:szCs w:val="21"/>
              </w:rPr>
            </w:pPr>
            <w:r>
              <w:rPr>
                <w:rFonts w:hint="eastAsia" w:ascii="宋体" w:hAnsi="宋体" w:eastAsia="宋体" w:cs="宋体"/>
                <w:spacing w:val="-2"/>
                <w:sz w:val="21"/>
                <w:szCs w:val="21"/>
              </w:rPr>
              <w:t>1、符合YD/T 778-2011标准；</w:t>
            </w:r>
          </w:p>
          <w:p w14:paraId="537BBD9E">
            <w:pPr>
              <w:pStyle w:val="626"/>
              <w:spacing w:before="23" w:line="219" w:lineRule="auto"/>
              <w:ind w:left="116"/>
              <w:rPr>
                <w:rFonts w:hint="eastAsia" w:ascii="宋体" w:hAnsi="宋体" w:eastAsia="宋体" w:cs="宋体"/>
                <w:sz w:val="21"/>
                <w:szCs w:val="21"/>
              </w:rPr>
            </w:pPr>
            <w:r>
              <w:rPr>
                <w:rFonts w:hint="eastAsia" w:ascii="宋体" w:hAnsi="宋体" w:eastAsia="宋体" w:cs="宋体"/>
                <w:spacing w:val="-1"/>
                <w:sz w:val="21"/>
                <w:szCs w:val="21"/>
              </w:rPr>
              <w:t>2、支持SC\FC\LC\ST光纤产品适配器；</w:t>
            </w:r>
          </w:p>
          <w:p w14:paraId="27D99A77">
            <w:pPr>
              <w:pStyle w:val="626"/>
              <w:spacing w:before="24" w:line="207" w:lineRule="auto"/>
              <w:ind w:left="118" w:leftChars="0"/>
              <w:rPr>
                <w:rFonts w:hint="eastAsia" w:ascii="宋体" w:hAnsi="宋体" w:eastAsia="宋体" w:cs="宋体"/>
                <w:spacing w:val="-3"/>
                <w:sz w:val="21"/>
                <w:szCs w:val="21"/>
              </w:rPr>
            </w:pPr>
            <w:r>
              <w:rPr>
                <w:rFonts w:hint="eastAsia" w:ascii="宋体" w:hAnsi="宋体" w:eastAsia="宋体" w:cs="宋体"/>
                <w:spacing w:val="-1"/>
                <w:sz w:val="21"/>
                <w:szCs w:val="21"/>
              </w:rPr>
              <w:t>3、内置绕纤盘，使纤芯有合理的弯曲度；</w:t>
            </w:r>
          </w:p>
        </w:tc>
        <w:tc>
          <w:tcPr>
            <w:tcW w:w="575" w:type="dxa"/>
            <w:vAlign w:val="center"/>
          </w:tcPr>
          <w:p w14:paraId="385B816F">
            <w:pPr>
              <w:pStyle w:val="626"/>
              <w:spacing w:before="72" w:line="22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66" w:type="dxa"/>
            <w:vAlign w:val="center"/>
          </w:tcPr>
          <w:p w14:paraId="26CB4413">
            <w:pPr>
              <w:pStyle w:val="626"/>
              <w:spacing w:before="72"/>
              <w:jc w:val="center"/>
              <w:rPr>
                <w:rFonts w:hint="eastAsia" w:ascii="宋体" w:hAnsi="宋体" w:eastAsia="宋体" w:cs="宋体"/>
                <w:spacing w:val="-3"/>
                <w:sz w:val="21"/>
                <w:szCs w:val="21"/>
              </w:rPr>
            </w:pPr>
            <w:r>
              <w:rPr>
                <w:rFonts w:hint="eastAsia" w:ascii="宋体" w:hAnsi="宋体" w:eastAsia="宋体" w:cs="宋体"/>
                <w:spacing w:val="-13"/>
                <w:sz w:val="21"/>
                <w:szCs w:val="21"/>
              </w:rPr>
              <w:t>18</w:t>
            </w:r>
          </w:p>
        </w:tc>
      </w:tr>
      <w:tr w14:paraId="00974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45EA26E0">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777" w:type="dxa"/>
            <w:gridSpan w:val="2"/>
            <w:vAlign w:val="center"/>
          </w:tcPr>
          <w:p w14:paraId="23898D2D">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光纤跳线</w:t>
            </w:r>
          </w:p>
        </w:tc>
        <w:tc>
          <w:tcPr>
            <w:tcW w:w="6596" w:type="dxa"/>
            <w:gridSpan w:val="2"/>
            <w:vAlign w:val="top"/>
          </w:tcPr>
          <w:p w14:paraId="753029BA">
            <w:pPr>
              <w:pStyle w:val="626"/>
              <w:spacing w:before="175" w:line="220" w:lineRule="auto"/>
              <w:ind w:left="115" w:leftChars="0"/>
              <w:rPr>
                <w:rFonts w:hint="eastAsia" w:ascii="宋体" w:hAnsi="宋体" w:eastAsia="宋体" w:cs="宋体"/>
                <w:spacing w:val="-3"/>
                <w:sz w:val="21"/>
                <w:szCs w:val="21"/>
              </w:rPr>
            </w:pPr>
            <w:r>
              <w:rPr>
                <w:rFonts w:hint="eastAsia" w:ascii="宋体" w:hAnsi="宋体" w:eastAsia="宋体" w:cs="宋体"/>
                <w:spacing w:val="-1"/>
                <w:sz w:val="21"/>
                <w:szCs w:val="21"/>
              </w:rPr>
              <w:t>单模SC-LC，2米、3米</w:t>
            </w:r>
          </w:p>
        </w:tc>
        <w:tc>
          <w:tcPr>
            <w:tcW w:w="575" w:type="dxa"/>
            <w:vAlign w:val="center"/>
          </w:tcPr>
          <w:p w14:paraId="03F580AD">
            <w:pPr>
              <w:pStyle w:val="626"/>
              <w:spacing w:before="175" w:line="220" w:lineRule="auto"/>
              <w:jc w:val="center"/>
              <w:rPr>
                <w:rFonts w:hint="eastAsia" w:ascii="宋体" w:hAnsi="宋体" w:eastAsia="宋体" w:cs="宋体"/>
                <w:sz w:val="21"/>
                <w:szCs w:val="21"/>
              </w:rPr>
            </w:pPr>
            <w:r>
              <w:rPr>
                <w:rFonts w:hint="eastAsia" w:ascii="宋体" w:hAnsi="宋体" w:eastAsia="宋体" w:cs="宋体"/>
                <w:sz w:val="21"/>
                <w:szCs w:val="21"/>
              </w:rPr>
              <w:t>条</w:t>
            </w:r>
          </w:p>
        </w:tc>
        <w:tc>
          <w:tcPr>
            <w:tcW w:w="966" w:type="dxa"/>
            <w:vAlign w:val="center"/>
          </w:tcPr>
          <w:p w14:paraId="6D5756A7">
            <w:pPr>
              <w:pStyle w:val="626"/>
              <w:spacing w:before="175"/>
              <w:jc w:val="center"/>
              <w:rPr>
                <w:rFonts w:hint="eastAsia" w:ascii="宋体" w:hAnsi="宋体" w:eastAsia="宋体" w:cs="宋体"/>
                <w:spacing w:val="-3"/>
                <w:sz w:val="21"/>
                <w:szCs w:val="21"/>
              </w:rPr>
            </w:pPr>
            <w:r>
              <w:rPr>
                <w:rFonts w:hint="eastAsia" w:ascii="宋体" w:hAnsi="宋体" w:eastAsia="宋体" w:cs="宋体"/>
                <w:spacing w:val="-4"/>
                <w:sz w:val="21"/>
                <w:szCs w:val="21"/>
              </w:rPr>
              <w:t>204</w:t>
            </w:r>
          </w:p>
        </w:tc>
      </w:tr>
      <w:tr w14:paraId="48EE6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4DDBC143">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777" w:type="dxa"/>
            <w:gridSpan w:val="2"/>
            <w:vAlign w:val="center"/>
          </w:tcPr>
          <w:p w14:paraId="528CF0F4">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PVC管</w:t>
            </w:r>
          </w:p>
        </w:tc>
        <w:tc>
          <w:tcPr>
            <w:tcW w:w="6596" w:type="dxa"/>
            <w:gridSpan w:val="2"/>
            <w:vAlign w:val="top"/>
          </w:tcPr>
          <w:p w14:paraId="3507AA22">
            <w:pPr>
              <w:pStyle w:val="626"/>
              <w:spacing w:before="123" w:line="220" w:lineRule="auto"/>
              <w:ind w:firstLine="206" w:firstLineChars="100"/>
              <w:rPr>
                <w:rFonts w:hint="eastAsia" w:ascii="宋体" w:hAnsi="宋体" w:eastAsia="宋体" w:cs="宋体"/>
                <w:spacing w:val="-3"/>
                <w:sz w:val="21"/>
                <w:szCs w:val="21"/>
              </w:rPr>
            </w:pPr>
            <w:r>
              <w:rPr>
                <w:rFonts w:hint="eastAsia" w:ascii="宋体" w:hAnsi="宋体" w:eastAsia="宋体" w:cs="宋体"/>
                <w:spacing w:val="-2"/>
                <w:sz w:val="21"/>
                <w:szCs w:val="21"/>
              </w:rPr>
              <w:t>管径25mm</w:t>
            </w:r>
          </w:p>
        </w:tc>
        <w:tc>
          <w:tcPr>
            <w:tcW w:w="575" w:type="dxa"/>
            <w:vAlign w:val="center"/>
          </w:tcPr>
          <w:p w14:paraId="25F97801">
            <w:pPr>
              <w:pStyle w:val="626"/>
              <w:spacing w:before="123" w:line="22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966" w:type="dxa"/>
            <w:vAlign w:val="center"/>
          </w:tcPr>
          <w:p w14:paraId="5B57F1E2">
            <w:pPr>
              <w:pStyle w:val="626"/>
              <w:spacing w:before="123"/>
              <w:jc w:val="center"/>
              <w:rPr>
                <w:rFonts w:hint="eastAsia" w:ascii="宋体" w:hAnsi="宋体" w:eastAsia="宋体" w:cs="宋体"/>
                <w:spacing w:val="-3"/>
                <w:sz w:val="21"/>
                <w:szCs w:val="21"/>
              </w:rPr>
            </w:pPr>
            <w:r>
              <w:rPr>
                <w:rFonts w:hint="eastAsia" w:ascii="宋体" w:hAnsi="宋体" w:eastAsia="宋体" w:cs="宋体"/>
                <w:spacing w:val="-8"/>
                <w:sz w:val="21"/>
                <w:szCs w:val="21"/>
              </w:rPr>
              <w:t>180</w:t>
            </w:r>
          </w:p>
        </w:tc>
      </w:tr>
      <w:tr w14:paraId="6BBAD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643EE39A">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777" w:type="dxa"/>
            <w:gridSpan w:val="2"/>
            <w:vAlign w:val="center"/>
          </w:tcPr>
          <w:p w14:paraId="2C2D398C">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PVC线槽</w:t>
            </w:r>
          </w:p>
        </w:tc>
        <w:tc>
          <w:tcPr>
            <w:tcW w:w="6596" w:type="dxa"/>
            <w:gridSpan w:val="2"/>
            <w:vAlign w:val="top"/>
          </w:tcPr>
          <w:p w14:paraId="251B7BE7">
            <w:pPr>
              <w:pStyle w:val="626"/>
              <w:spacing w:before="176" w:line="219" w:lineRule="auto"/>
              <w:ind w:left="114" w:leftChars="0"/>
              <w:rPr>
                <w:rFonts w:hint="eastAsia" w:ascii="宋体" w:hAnsi="宋体" w:eastAsia="宋体" w:cs="宋体"/>
                <w:spacing w:val="-3"/>
                <w:sz w:val="21"/>
                <w:szCs w:val="21"/>
              </w:rPr>
            </w:pPr>
            <w:r>
              <w:rPr>
                <w:rFonts w:hint="eastAsia" w:ascii="宋体" w:hAnsi="宋体" w:eastAsia="宋体" w:cs="宋体"/>
                <w:spacing w:val="-1"/>
                <w:sz w:val="21"/>
                <w:szCs w:val="21"/>
              </w:rPr>
              <w:t>产品材质：PVC，尺寸：40*15</w:t>
            </w:r>
          </w:p>
        </w:tc>
        <w:tc>
          <w:tcPr>
            <w:tcW w:w="575" w:type="dxa"/>
            <w:vAlign w:val="center"/>
          </w:tcPr>
          <w:p w14:paraId="70FA0B44">
            <w:pPr>
              <w:pStyle w:val="626"/>
              <w:spacing w:before="176" w:line="22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966" w:type="dxa"/>
            <w:vAlign w:val="center"/>
          </w:tcPr>
          <w:p w14:paraId="494DBF4B">
            <w:pPr>
              <w:pStyle w:val="626"/>
              <w:spacing w:before="176"/>
              <w:jc w:val="center"/>
              <w:rPr>
                <w:rFonts w:hint="eastAsia" w:ascii="宋体" w:hAnsi="宋体" w:eastAsia="宋体" w:cs="宋体"/>
                <w:spacing w:val="-3"/>
                <w:sz w:val="21"/>
                <w:szCs w:val="21"/>
              </w:rPr>
            </w:pPr>
            <w:r>
              <w:rPr>
                <w:rFonts w:hint="eastAsia" w:ascii="宋体" w:hAnsi="宋体" w:eastAsia="宋体" w:cs="宋体"/>
                <w:spacing w:val="-4"/>
                <w:sz w:val="21"/>
                <w:szCs w:val="21"/>
              </w:rPr>
              <w:t>560</w:t>
            </w:r>
          </w:p>
        </w:tc>
      </w:tr>
      <w:tr w14:paraId="6795C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60BA7FC3">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c>
          <w:tcPr>
            <w:tcW w:w="777" w:type="dxa"/>
            <w:gridSpan w:val="2"/>
            <w:vAlign w:val="center"/>
          </w:tcPr>
          <w:p w14:paraId="77EED42A">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86型暗盒</w:t>
            </w:r>
          </w:p>
        </w:tc>
        <w:tc>
          <w:tcPr>
            <w:tcW w:w="6596" w:type="dxa"/>
            <w:gridSpan w:val="2"/>
            <w:vAlign w:val="top"/>
          </w:tcPr>
          <w:p w14:paraId="6BCA35D4">
            <w:pPr>
              <w:pStyle w:val="626"/>
              <w:spacing w:before="176" w:line="220" w:lineRule="auto"/>
              <w:ind w:left="134" w:leftChars="0"/>
              <w:rPr>
                <w:rFonts w:hint="eastAsia" w:ascii="宋体" w:hAnsi="宋体" w:eastAsia="宋体" w:cs="宋体"/>
                <w:spacing w:val="-1"/>
                <w:sz w:val="21"/>
                <w:szCs w:val="21"/>
              </w:rPr>
            </w:pPr>
            <w:r>
              <w:rPr>
                <w:rFonts w:hint="eastAsia" w:ascii="宋体" w:hAnsi="宋体" w:eastAsia="宋体" w:cs="宋体"/>
                <w:spacing w:val="-6"/>
                <w:sz w:val="21"/>
                <w:szCs w:val="21"/>
              </w:rPr>
              <w:t>明装86型</w:t>
            </w:r>
          </w:p>
        </w:tc>
        <w:tc>
          <w:tcPr>
            <w:tcW w:w="575" w:type="dxa"/>
            <w:vAlign w:val="center"/>
          </w:tcPr>
          <w:p w14:paraId="2D0CE52D">
            <w:pPr>
              <w:pStyle w:val="626"/>
              <w:spacing w:before="176" w:line="223"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66" w:type="dxa"/>
            <w:vAlign w:val="center"/>
          </w:tcPr>
          <w:p w14:paraId="7190EE40">
            <w:pPr>
              <w:pStyle w:val="626"/>
              <w:spacing w:before="176"/>
              <w:jc w:val="center"/>
              <w:rPr>
                <w:rFonts w:hint="eastAsia" w:ascii="宋体" w:hAnsi="宋体" w:eastAsia="宋体" w:cs="宋体"/>
                <w:spacing w:val="-3"/>
                <w:sz w:val="21"/>
                <w:szCs w:val="21"/>
              </w:rPr>
            </w:pPr>
            <w:r>
              <w:rPr>
                <w:rFonts w:hint="eastAsia" w:ascii="宋体" w:hAnsi="宋体" w:eastAsia="宋体" w:cs="宋体"/>
                <w:spacing w:val="-4"/>
                <w:sz w:val="21"/>
                <w:szCs w:val="21"/>
              </w:rPr>
              <w:t>230</w:t>
            </w:r>
          </w:p>
        </w:tc>
      </w:tr>
      <w:tr w14:paraId="3F304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5DAAE089">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777" w:type="dxa"/>
            <w:gridSpan w:val="2"/>
            <w:vAlign w:val="center"/>
          </w:tcPr>
          <w:p w14:paraId="1FB5C2F0">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PVC杯梳</w:t>
            </w:r>
          </w:p>
        </w:tc>
        <w:tc>
          <w:tcPr>
            <w:tcW w:w="6596" w:type="dxa"/>
            <w:gridSpan w:val="2"/>
            <w:vAlign w:val="top"/>
          </w:tcPr>
          <w:p w14:paraId="3E56A61E">
            <w:pPr>
              <w:pStyle w:val="626"/>
              <w:spacing w:before="176"/>
              <w:ind w:left="116" w:leftChars="0"/>
              <w:rPr>
                <w:rFonts w:hint="eastAsia" w:ascii="宋体" w:hAnsi="宋体" w:eastAsia="宋体" w:cs="宋体"/>
                <w:spacing w:val="-1"/>
                <w:sz w:val="21"/>
                <w:szCs w:val="21"/>
              </w:rPr>
            </w:pPr>
            <w:r>
              <w:rPr>
                <w:rFonts w:hint="eastAsia" w:ascii="宋体" w:hAnsi="宋体" w:eastAsia="宋体" w:cs="宋体"/>
                <w:spacing w:val="-2"/>
                <w:sz w:val="21"/>
                <w:szCs w:val="21"/>
              </w:rPr>
              <w:t>25PVC</w:t>
            </w:r>
          </w:p>
        </w:tc>
        <w:tc>
          <w:tcPr>
            <w:tcW w:w="575" w:type="dxa"/>
            <w:vAlign w:val="center"/>
          </w:tcPr>
          <w:p w14:paraId="06BC70A7">
            <w:pPr>
              <w:pStyle w:val="626"/>
              <w:spacing w:before="175" w:line="221"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966" w:type="dxa"/>
            <w:vAlign w:val="center"/>
          </w:tcPr>
          <w:p w14:paraId="68C3C027">
            <w:pPr>
              <w:pStyle w:val="626"/>
              <w:spacing w:before="176"/>
              <w:jc w:val="center"/>
              <w:rPr>
                <w:rFonts w:hint="eastAsia" w:ascii="宋体" w:hAnsi="宋体" w:eastAsia="宋体" w:cs="宋体"/>
                <w:spacing w:val="-3"/>
                <w:sz w:val="21"/>
                <w:szCs w:val="21"/>
              </w:rPr>
            </w:pPr>
            <w:r>
              <w:rPr>
                <w:rFonts w:hint="eastAsia" w:ascii="宋体" w:hAnsi="宋体" w:eastAsia="宋体" w:cs="宋体"/>
                <w:spacing w:val="-4"/>
                <w:sz w:val="21"/>
                <w:szCs w:val="21"/>
              </w:rPr>
              <w:t>260</w:t>
            </w:r>
          </w:p>
        </w:tc>
      </w:tr>
      <w:tr w14:paraId="55AA8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666FC4D4">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p>
        </w:tc>
        <w:tc>
          <w:tcPr>
            <w:tcW w:w="777" w:type="dxa"/>
            <w:gridSpan w:val="2"/>
            <w:vAlign w:val="center"/>
          </w:tcPr>
          <w:p w14:paraId="02C23DE3">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辅助材料</w:t>
            </w:r>
          </w:p>
        </w:tc>
        <w:tc>
          <w:tcPr>
            <w:tcW w:w="6596" w:type="dxa"/>
            <w:gridSpan w:val="2"/>
            <w:vAlign w:val="top"/>
          </w:tcPr>
          <w:p w14:paraId="78A4CE1A">
            <w:pPr>
              <w:pStyle w:val="626"/>
              <w:spacing w:before="34" w:line="223" w:lineRule="auto"/>
              <w:ind w:left="129" w:leftChars="0" w:right="123" w:rightChars="0" w:hanging="16" w:firstLineChars="0"/>
              <w:rPr>
                <w:rFonts w:hint="eastAsia" w:ascii="宋体" w:hAnsi="宋体" w:eastAsia="宋体" w:cs="宋体"/>
                <w:spacing w:val="-1"/>
                <w:sz w:val="21"/>
                <w:szCs w:val="21"/>
              </w:rPr>
            </w:pPr>
            <w:r>
              <w:rPr>
                <w:rFonts w:hint="eastAsia" w:ascii="宋体" w:hAnsi="宋体" w:eastAsia="宋体" w:cs="宋体"/>
                <w:spacing w:val="-1"/>
                <w:sz w:val="21"/>
                <w:szCs w:val="21"/>
              </w:rPr>
              <w:t>铁膨胀、电工胶带、塑料扎带、自攻螺丝、PVC直接弯头</w:t>
            </w:r>
            <w:r>
              <w:rPr>
                <w:rFonts w:hint="eastAsia" w:ascii="宋体" w:hAnsi="宋体" w:eastAsia="宋体" w:cs="宋体"/>
                <w:spacing w:val="17"/>
                <w:sz w:val="21"/>
                <w:szCs w:val="21"/>
              </w:rPr>
              <w:t xml:space="preserve"> </w:t>
            </w:r>
            <w:r>
              <w:rPr>
                <w:rFonts w:hint="eastAsia" w:ascii="宋体" w:hAnsi="宋体" w:eastAsia="宋体" w:cs="宋体"/>
                <w:spacing w:val="-6"/>
                <w:sz w:val="21"/>
                <w:szCs w:val="21"/>
              </w:rPr>
              <w:t>、三通等</w:t>
            </w:r>
          </w:p>
        </w:tc>
        <w:tc>
          <w:tcPr>
            <w:tcW w:w="575" w:type="dxa"/>
            <w:vAlign w:val="center"/>
          </w:tcPr>
          <w:p w14:paraId="42E8F04E">
            <w:pPr>
              <w:pStyle w:val="626"/>
              <w:spacing w:before="176" w:line="221"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966" w:type="dxa"/>
            <w:vAlign w:val="center"/>
          </w:tcPr>
          <w:p w14:paraId="765361B9">
            <w:pPr>
              <w:pStyle w:val="626"/>
              <w:spacing w:before="176"/>
              <w:jc w:val="center"/>
              <w:rPr>
                <w:rFonts w:hint="eastAsia" w:ascii="宋体" w:hAnsi="宋体" w:eastAsia="宋体" w:cs="宋体"/>
                <w:spacing w:val="-3"/>
                <w:sz w:val="21"/>
                <w:szCs w:val="21"/>
              </w:rPr>
            </w:pPr>
            <w:r>
              <w:rPr>
                <w:rFonts w:hint="eastAsia" w:ascii="宋体" w:hAnsi="宋体" w:eastAsia="宋体" w:cs="宋体"/>
                <w:sz w:val="21"/>
                <w:szCs w:val="21"/>
              </w:rPr>
              <w:t>1</w:t>
            </w:r>
          </w:p>
        </w:tc>
      </w:tr>
      <w:tr w14:paraId="034AA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50BF8523">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p>
        </w:tc>
        <w:tc>
          <w:tcPr>
            <w:tcW w:w="777" w:type="dxa"/>
            <w:gridSpan w:val="2"/>
            <w:vAlign w:val="center"/>
          </w:tcPr>
          <w:p w14:paraId="10F2862F">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室内基业箱</w:t>
            </w:r>
          </w:p>
        </w:tc>
        <w:tc>
          <w:tcPr>
            <w:tcW w:w="6596" w:type="dxa"/>
            <w:gridSpan w:val="2"/>
            <w:vAlign w:val="top"/>
          </w:tcPr>
          <w:p w14:paraId="13C05A0B">
            <w:pPr>
              <w:pStyle w:val="626"/>
              <w:spacing w:before="176" w:line="219" w:lineRule="auto"/>
              <w:ind w:left="115"/>
              <w:rPr>
                <w:rFonts w:hint="eastAsia" w:ascii="宋体" w:hAnsi="宋体" w:eastAsia="宋体" w:cs="宋体"/>
                <w:sz w:val="21"/>
                <w:szCs w:val="21"/>
              </w:rPr>
            </w:pPr>
            <w:r>
              <w:rPr>
                <w:rFonts w:hint="eastAsia" w:ascii="宋体" w:hAnsi="宋体" w:eastAsia="宋体" w:cs="宋体"/>
                <w:spacing w:val="-1"/>
                <w:sz w:val="21"/>
                <w:szCs w:val="21"/>
              </w:rPr>
              <w:t>箱体规格：600*500*200；产品材质： 全钢材质；产品</w:t>
            </w:r>
          </w:p>
          <w:p w14:paraId="4231532B">
            <w:pPr>
              <w:pStyle w:val="626"/>
              <w:spacing w:before="24" w:line="220" w:lineRule="auto"/>
              <w:ind w:left="114" w:leftChars="0"/>
              <w:rPr>
                <w:rFonts w:hint="eastAsia" w:ascii="宋体" w:hAnsi="宋体" w:eastAsia="宋体" w:cs="宋体"/>
                <w:spacing w:val="-1"/>
                <w:sz w:val="21"/>
                <w:szCs w:val="21"/>
              </w:rPr>
            </w:pPr>
            <w:r>
              <w:rPr>
                <w:rFonts w:hint="eastAsia" w:ascii="宋体" w:hAnsi="宋体" w:eastAsia="宋体" w:cs="宋体"/>
                <w:spacing w:val="-1"/>
                <w:sz w:val="21"/>
                <w:szCs w:val="21"/>
              </w:rPr>
              <w:t>特点：防锈、耐腐；带有空开、多功能插座5位；</w:t>
            </w:r>
          </w:p>
        </w:tc>
        <w:tc>
          <w:tcPr>
            <w:tcW w:w="575" w:type="dxa"/>
            <w:vAlign w:val="center"/>
          </w:tcPr>
          <w:p w14:paraId="1296FFF5">
            <w:pPr>
              <w:pStyle w:val="626"/>
              <w:spacing w:before="71" w:line="22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66" w:type="dxa"/>
            <w:vAlign w:val="center"/>
          </w:tcPr>
          <w:p w14:paraId="4A590949">
            <w:pPr>
              <w:pStyle w:val="626"/>
              <w:spacing w:before="71"/>
              <w:jc w:val="center"/>
              <w:rPr>
                <w:rFonts w:hint="eastAsia" w:ascii="宋体" w:hAnsi="宋体" w:eastAsia="宋体" w:cs="宋体"/>
                <w:spacing w:val="-3"/>
                <w:sz w:val="21"/>
                <w:szCs w:val="21"/>
              </w:rPr>
            </w:pPr>
            <w:r>
              <w:rPr>
                <w:rFonts w:hint="eastAsia" w:ascii="宋体" w:hAnsi="宋体" w:eastAsia="宋体" w:cs="宋体"/>
                <w:spacing w:val="-13"/>
                <w:sz w:val="21"/>
                <w:szCs w:val="21"/>
              </w:rPr>
              <w:t>18</w:t>
            </w:r>
          </w:p>
        </w:tc>
      </w:tr>
      <w:tr w14:paraId="4EAE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6" w:type="dxa"/>
            <w:vAlign w:val="center"/>
          </w:tcPr>
          <w:p w14:paraId="49A8863F">
            <w:pPr>
              <w:pStyle w:val="626"/>
              <w:spacing w:before="72" w:line="242"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777" w:type="dxa"/>
            <w:gridSpan w:val="2"/>
            <w:vAlign w:val="center"/>
          </w:tcPr>
          <w:p w14:paraId="61C47BF4">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楼层光纤汇聚机柜</w:t>
            </w:r>
          </w:p>
        </w:tc>
        <w:tc>
          <w:tcPr>
            <w:tcW w:w="6596" w:type="dxa"/>
            <w:gridSpan w:val="2"/>
            <w:vAlign w:val="top"/>
          </w:tcPr>
          <w:p w14:paraId="4663AB8A">
            <w:pPr>
              <w:spacing w:line="245" w:lineRule="auto"/>
              <w:rPr>
                <w:rFonts w:hint="eastAsia" w:ascii="宋体" w:hAnsi="宋体" w:eastAsia="宋体" w:cs="宋体"/>
                <w:sz w:val="21"/>
                <w:szCs w:val="21"/>
              </w:rPr>
            </w:pPr>
          </w:p>
          <w:p w14:paraId="1CED05A4">
            <w:pPr>
              <w:pStyle w:val="626"/>
              <w:spacing w:before="72" w:line="242" w:lineRule="auto"/>
              <w:ind w:left="120" w:leftChars="0" w:right="286" w:rightChars="0" w:hanging="7" w:firstLineChars="0"/>
              <w:rPr>
                <w:rFonts w:hint="eastAsia" w:ascii="宋体" w:hAnsi="宋体" w:eastAsia="宋体" w:cs="宋体"/>
                <w:spacing w:val="-1"/>
                <w:sz w:val="21"/>
                <w:szCs w:val="21"/>
              </w:rPr>
            </w:pPr>
            <w:r>
              <w:rPr>
                <w:rFonts w:hint="eastAsia" w:ascii="宋体" w:hAnsi="宋体" w:eastAsia="宋体" w:cs="宋体"/>
                <w:spacing w:val="-2"/>
                <w:sz w:val="21"/>
                <w:szCs w:val="21"/>
              </w:rPr>
              <w:t>尺寸：600mm*600mm*600mm；材质：镀锌板通体1.2厚；</w:t>
            </w:r>
            <w:r>
              <w:rPr>
                <w:rFonts w:hint="eastAsia" w:ascii="宋体" w:hAnsi="宋体" w:eastAsia="宋体" w:cs="宋体"/>
                <w:spacing w:val="-1"/>
                <w:sz w:val="21"/>
                <w:szCs w:val="21"/>
              </w:rPr>
              <w:t>（含漏保2P、防雷6位多功能插座一个）</w:t>
            </w:r>
          </w:p>
        </w:tc>
        <w:tc>
          <w:tcPr>
            <w:tcW w:w="575" w:type="dxa"/>
            <w:vAlign w:val="center"/>
          </w:tcPr>
          <w:p w14:paraId="6697F8CD">
            <w:pPr>
              <w:pStyle w:val="626"/>
              <w:spacing w:before="71" w:line="22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66" w:type="dxa"/>
            <w:vAlign w:val="center"/>
          </w:tcPr>
          <w:p w14:paraId="366EFF0F">
            <w:pPr>
              <w:pStyle w:val="626"/>
              <w:spacing w:before="72"/>
              <w:jc w:val="center"/>
              <w:rPr>
                <w:rFonts w:hint="eastAsia" w:ascii="宋体" w:hAnsi="宋体" w:eastAsia="宋体" w:cs="宋体"/>
                <w:spacing w:val="-3"/>
                <w:sz w:val="21"/>
                <w:szCs w:val="21"/>
              </w:rPr>
            </w:pPr>
            <w:r>
              <w:rPr>
                <w:rFonts w:hint="eastAsia" w:ascii="宋体" w:hAnsi="宋体" w:eastAsia="宋体" w:cs="宋体"/>
                <w:sz w:val="21"/>
                <w:szCs w:val="21"/>
              </w:rPr>
              <w:t>3</w:t>
            </w:r>
          </w:p>
        </w:tc>
      </w:tr>
      <w:tr w14:paraId="7B6F2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00" w:type="dxa"/>
            <w:gridSpan w:val="7"/>
            <w:vAlign w:val="top"/>
          </w:tcPr>
          <w:p w14:paraId="5B17D34B">
            <w:pPr>
              <w:spacing w:before="91" w:line="217" w:lineRule="auto"/>
              <w:jc w:val="center"/>
            </w:pPr>
            <w:r>
              <w:rPr>
                <w:rFonts w:ascii="宋体" w:hAnsi="宋体" w:eastAsia="宋体" w:cs="宋体"/>
                <w:b/>
                <w:bCs/>
                <w:spacing w:val="-4"/>
                <w:sz w:val="28"/>
                <w:szCs w:val="28"/>
              </w:rPr>
              <w:t>2、增加监控系统</w:t>
            </w:r>
          </w:p>
        </w:tc>
      </w:tr>
      <w:tr w14:paraId="5AC0C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7" w:type="dxa"/>
            <w:gridSpan w:val="2"/>
            <w:shd w:val="clear" w:color="auto" w:fill="auto"/>
            <w:vAlign w:val="top"/>
          </w:tcPr>
          <w:p w14:paraId="55637BDE">
            <w:pPr>
              <w:pStyle w:val="626"/>
              <w:spacing w:before="178" w:line="222" w:lineRule="auto"/>
              <w:ind w:left="115" w:leftChars="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pacing w:val="-6"/>
                <w:sz w:val="21"/>
                <w:szCs w:val="21"/>
              </w:rPr>
              <w:t>序号</w:t>
            </w:r>
          </w:p>
        </w:tc>
        <w:tc>
          <w:tcPr>
            <w:tcW w:w="914" w:type="dxa"/>
            <w:gridSpan w:val="2"/>
            <w:shd w:val="clear" w:color="auto" w:fill="auto"/>
            <w:vAlign w:val="top"/>
          </w:tcPr>
          <w:p w14:paraId="5B9CF208">
            <w:pPr>
              <w:pStyle w:val="626"/>
              <w:spacing w:before="37" w:line="221" w:lineRule="auto"/>
              <w:ind w:left="192"/>
              <w:rPr>
                <w:rFonts w:hint="eastAsia" w:ascii="宋体" w:hAnsi="宋体" w:eastAsia="宋体" w:cs="宋体"/>
                <w:sz w:val="21"/>
                <w:szCs w:val="21"/>
              </w:rPr>
            </w:pPr>
            <w:r>
              <w:rPr>
                <w:rFonts w:hint="eastAsia" w:ascii="宋体" w:hAnsi="宋体" w:eastAsia="宋体" w:cs="宋体"/>
                <w:b/>
                <w:bCs/>
                <w:spacing w:val="-8"/>
                <w:sz w:val="21"/>
                <w:szCs w:val="21"/>
              </w:rPr>
              <w:t>项目</w:t>
            </w:r>
          </w:p>
          <w:p w14:paraId="560ABA8D">
            <w:pPr>
              <w:pStyle w:val="626"/>
              <w:spacing w:before="22" w:line="207" w:lineRule="auto"/>
              <w:ind w:left="191" w:leftChars="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pacing w:val="-8"/>
                <w:sz w:val="21"/>
                <w:szCs w:val="21"/>
              </w:rPr>
              <w:t>名称</w:t>
            </w:r>
          </w:p>
        </w:tc>
        <w:tc>
          <w:tcPr>
            <w:tcW w:w="6438" w:type="dxa"/>
            <w:shd w:val="clear" w:color="auto" w:fill="auto"/>
            <w:vAlign w:val="top"/>
          </w:tcPr>
          <w:p w14:paraId="3A77F3DA">
            <w:pPr>
              <w:pStyle w:val="626"/>
              <w:spacing w:before="178" w:line="220" w:lineRule="auto"/>
              <w:ind w:left="2543" w:leftChars="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pacing w:val="-4"/>
                <w:sz w:val="21"/>
                <w:szCs w:val="21"/>
              </w:rPr>
              <w:t>技术参数</w:t>
            </w:r>
          </w:p>
        </w:tc>
        <w:tc>
          <w:tcPr>
            <w:tcW w:w="575" w:type="dxa"/>
            <w:shd w:val="clear" w:color="auto" w:fill="auto"/>
            <w:vAlign w:val="top"/>
          </w:tcPr>
          <w:p w14:paraId="25D771E7">
            <w:pPr>
              <w:pStyle w:val="626"/>
              <w:spacing w:before="178" w:line="221" w:lineRule="auto"/>
              <w:ind w:left="117" w:leftChars="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pacing w:val="-7"/>
                <w:sz w:val="21"/>
                <w:szCs w:val="21"/>
              </w:rPr>
              <w:t>单位</w:t>
            </w:r>
          </w:p>
        </w:tc>
        <w:tc>
          <w:tcPr>
            <w:tcW w:w="966" w:type="dxa"/>
            <w:shd w:val="clear" w:color="auto" w:fill="auto"/>
            <w:vAlign w:val="top"/>
          </w:tcPr>
          <w:p w14:paraId="5D6B15C7">
            <w:pPr>
              <w:pStyle w:val="626"/>
              <w:spacing w:before="178" w:line="220" w:lineRule="auto"/>
              <w:ind w:left="172" w:leftChars="0"/>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pacing w:val="-7"/>
                <w:sz w:val="21"/>
                <w:szCs w:val="21"/>
              </w:rPr>
              <w:t>数量</w:t>
            </w:r>
          </w:p>
        </w:tc>
      </w:tr>
      <w:tr w14:paraId="502E7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7" w:type="dxa"/>
            <w:gridSpan w:val="2"/>
            <w:vAlign w:val="center"/>
          </w:tcPr>
          <w:p w14:paraId="26C35E2E">
            <w:pPr>
              <w:pStyle w:val="626"/>
              <w:spacing w:before="71" w:line="242"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14" w:type="dxa"/>
            <w:gridSpan w:val="2"/>
            <w:vAlign w:val="center"/>
          </w:tcPr>
          <w:p w14:paraId="228153DC">
            <w:pPr>
              <w:pStyle w:val="626"/>
              <w:spacing w:before="72" w:line="221" w:lineRule="auto"/>
              <w:jc w:val="center"/>
              <w:rPr>
                <w:rFonts w:hint="eastAsia" w:ascii="宋体" w:hAnsi="宋体" w:eastAsia="宋体" w:cs="宋体"/>
                <w:sz w:val="21"/>
                <w:szCs w:val="21"/>
              </w:rPr>
            </w:pPr>
            <w:r>
              <w:rPr>
                <w:rFonts w:hint="eastAsia" w:ascii="宋体" w:hAnsi="宋体" w:eastAsia="宋体" w:cs="宋体"/>
                <w:spacing w:val="-6"/>
                <w:sz w:val="21"/>
                <w:szCs w:val="21"/>
              </w:rPr>
              <w:t>半球</w:t>
            </w:r>
            <w:r>
              <w:rPr>
                <w:rFonts w:hint="eastAsia" w:ascii="宋体" w:hAnsi="宋体" w:eastAsia="宋体" w:cs="宋体"/>
                <w:spacing w:val="-4"/>
                <w:sz w:val="21"/>
                <w:szCs w:val="21"/>
              </w:rPr>
              <w:t>摄像</w:t>
            </w:r>
            <w:r>
              <w:rPr>
                <w:rFonts w:hint="eastAsia" w:ascii="宋体" w:hAnsi="宋体" w:eastAsia="宋体" w:cs="宋体"/>
                <w:sz w:val="21"/>
                <w:szCs w:val="21"/>
              </w:rPr>
              <w:t xml:space="preserve"> 机</w:t>
            </w:r>
          </w:p>
        </w:tc>
        <w:tc>
          <w:tcPr>
            <w:tcW w:w="6438" w:type="dxa"/>
            <w:vAlign w:val="top"/>
          </w:tcPr>
          <w:p w14:paraId="5E2F572D">
            <w:pPr>
              <w:pStyle w:val="626"/>
              <w:spacing w:before="24" w:line="207" w:lineRule="auto"/>
              <w:ind w:left="132"/>
              <w:rPr>
                <w:rFonts w:hint="eastAsia" w:ascii="宋体" w:hAnsi="宋体" w:eastAsia="宋体" w:cs="宋体"/>
                <w:sz w:val="21"/>
                <w:szCs w:val="21"/>
              </w:rPr>
            </w:pPr>
            <w:r>
              <w:rPr>
                <w:rFonts w:hint="eastAsia" w:ascii="宋体" w:hAnsi="宋体" w:eastAsia="宋体" w:cs="宋体"/>
                <w:spacing w:val="-3"/>
                <w:sz w:val="21"/>
                <w:szCs w:val="21"/>
              </w:rPr>
              <w:t xml:space="preserve">• </w:t>
            </w:r>
            <w:r>
              <w:rPr>
                <w:rFonts w:hint="eastAsia" w:ascii="宋体" w:hAnsi="宋体" w:eastAsia="宋体" w:cs="宋体"/>
                <w:spacing w:val="-3"/>
                <w:sz w:val="21"/>
                <w:szCs w:val="21"/>
                <w:lang w:val="en-US" w:eastAsia="zh-CN"/>
              </w:rPr>
              <w:t>最高分辨率可达1920 × 1080 @25 fps，在该分辨率下可输出实时图像</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 支持用户登录锁定机制，及密码复杂度提示</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 支持2项智能侦测：越界侦测，区域入侵侦测</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 支持ROI感兴趣区域增强编码，Smart265/264编码，可根据场景情况自适应调整码率分配，有效节省存储成本</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 支持背光补偿，强光抑制，3D数字降噪，适应不同使用环境</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 支持开放型网络视频接口，ISAPI，SDK，GB28181协议</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 1个内置麦克风</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 采用高效阵列红外灯，使用寿命长，红外照射距离最远可达30 m</w:t>
            </w:r>
            <w:r>
              <w:rPr>
                <w:rFonts w:hint="eastAsia" w:ascii="宋体" w:hAnsi="宋体" w:eastAsia="宋体" w:cs="宋体"/>
                <w:spacing w:val="-3"/>
                <w:sz w:val="21"/>
                <w:szCs w:val="21"/>
                <w:lang w:val="en-US" w:eastAsia="zh-CN"/>
              </w:rPr>
              <w:br w:type="textWrapping"/>
            </w:r>
            <w:r>
              <w:rPr>
                <w:rFonts w:hint="eastAsia" w:ascii="宋体" w:hAnsi="宋体" w:eastAsia="宋体" w:cs="宋体"/>
                <w:spacing w:val="-3"/>
                <w:sz w:val="21"/>
                <w:szCs w:val="21"/>
                <w:lang w:val="en-US" w:eastAsia="zh-CN"/>
              </w:rPr>
              <w:t>• 符合IP66防尘防水设计，可靠性高</w:t>
            </w:r>
          </w:p>
        </w:tc>
        <w:tc>
          <w:tcPr>
            <w:tcW w:w="575" w:type="dxa"/>
            <w:vAlign w:val="center"/>
          </w:tcPr>
          <w:p w14:paraId="1DFEABFD">
            <w:pPr>
              <w:pStyle w:val="626"/>
              <w:spacing w:before="72" w:line="222"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66" w:type="dxa"/>
            <w:vAlign w:val="center"/>
          </w:tcPr>
          <w:p w14:paraId="0DE427F7">
            <w:pPr>
              <w:pStyle w:val="626"/>
              <w:spacing w:before="72"/>
              <w:ind w:left="131"/>
              <w:jc w:val="center"/>
              <w:rPr>
                <w:rFonts w:hint="eastAsia" w:ascii="宋体" w:hAnsi="宋体" w:eastAsia="宋体" w:cs="宋体"/>
                <w:sz w:val="21"/>
                <w:szCs w:val="21"/>
              </w:rPr>
            </w:pPr>
            <w:r>
              <w:rPr>
                <w:rFonts w:hint="eastAsia" w:ascii="宋体" w:hAnsi="宋体" w:eastAsia="宋体" w:cs="宋体"/>
                <w:spacing w:val="-6"/>
                <w:sz w:val="21"/>
                <w:szCs w:val="21"/>
              </w:rPr>
              <w:t>28</w:t>
            </w:r>
          </w:p>
        </w:tc>
      </w:tr>
      <w:tr w14:paraId="057E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707" w:type="dxa"/>
            <w:gridSpan w:val="2"/>
            <w:vAlign w:val="center"/>
          </w:tcPr>
          <w:p w14:paraId="15DF6A09">
            <w:pPr>
              <w:pStyle w:val="626"/>
              <w:spacing w:before="72" w:line="242"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14" w:type="dxa"/>
            <w:gridSpan w:val="2"/>
            <w:vAlign w:val="center"/>
          </w:tcPr>
          <w:p w14:paraId="3D4DECA5">
            <w:pPr>
              <w:pStyle w:val="626"/>
              <w:spacing w:before="72" w:line="220" w:lineRule="auto"/>
              <w:jc w:val="center"/>
              <w:rPr>
                <w:rFonts w:hint="eastAsia" w:ascii="宋体" w:hAnsi="宋体" w:eastAsia="宋体" w:cs="宋体"/>
                <w:spacing w:val="-4"/>
                <w:sz w:val="21"/>
                <w:szCs w:val="21"/>
              </w:rPr>
            </w:pPr>
            <w:r>
              <w:rPr>
                <w:rFonts w:hint="eastAsia" w:ascii="宋体" w:hAnsi="宋体" w:eastAsia="宋体" w:cs="宋体"/>
                <w:spacing w:val="-5"/>
                <w:sz w:val="21"/>
                <w:szCs w:val="21"/>
              </w:rPr>
              <w:t>六类</w:t>
            </w:r>
            <w:r>
              <w:rPr>
                <w:rFonts w:hint="eastAsia" w:ascii="宋体" w:hAnsi="宋体" w:eastAsia="宋体" w:cs="宋体"/>
                <w:spacing w:val="-13"/>
                <w:sz w:val="21"/>
                <w:szCs w:val="21"/>
              </w:rPr>
              <w:t>网线</w:t>
            </w:r>
          </w:p>
        </w:tc>
        <w:tc>
          <w:tcPr>
            <w:tcW w:w="6438" w:type="dxa"/>
            <w:vAlign w:val="top"/>
          </w:tcPr>
          <w:p w14:paraId="54E99875">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1、依据标准YD/T 1019、同时符合标准ISO/IEC 11801、ANSI/TIA-568.2-D、IEC60332-1</w:t>
            </w:r>
          </w:p>
          <w:p w14:paraId="6F7A7D9A">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2.护套材料：低烟无卤</w:t>
            </w:r>
          </w:p>
          <w:p w14:paraId="0478B9E1">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3.绝缘层材料：PE</w:t>
            </w:r>
          </w:p>
          <w:p w14:paraId="2CD42B89">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4.结构：十字骨架</w:t>
            </w:r>
          </w:p>
          <w:p w14:paraId="7B09907F">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5.铜导体直径：23AWG，</w:t>
            </w:r>
          </w:p>
          <w:p w14:paraId="77E6AF1D">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6.燃烧性能：IEC 60332-1燃烧试验</w:t>
            </w:r>
          </w:p>
          <w:p w14:paraId="7736A2DD">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7.单根导体直流电阻：≤9.0Ω/100m at 20℃</w:t>
            </w:r>
          </w:p>
          <w:p w14:paraId="12BD523B">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8.直流电阻不平衡：≤2%(线对内两导体间)  ≤4%(线对与线对间)</w:t>
            </w:r>
          </w:p>
          <w:p w14:paraId="45CE29B7">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9.绝缘电阻：≥5000MΩ·km</w:t>
            </w:r>
          </w:p>
          <w:p w14:paraId="2D9A72D5">
            <w:pPr>
              <w:pStyle w:val="626"/>
              <w:spacing w:before="22" w:line="220" w:lineRule="auto"/>
              <w:ind w:left="117" w:leftChars="0"/>
              <w:rPr>
                <w:rFonts w:hint="eastAsia" w:ascii="宋体" w:hAnsi="宋体" w:eastAsia="宋体" w:cs="宋体"/>
                <w:spacing w:val="-2"/>
                <w:sz w:val="21"/>
                <w:szCs w:val="21"/>
                <w:lang w:eastAsia="zh-CN"/>
              </w:rPr>
            </w:pPr>
            <w:r>
              <w:rPr>
                <w:rFonts w:hint="eastAsia" w:ascii="宋体" w:hAnsi="宋体" w:eastAsia="宋体" w:cs="宋体"/>
                <w:spacing w:val="-2"/>
                <w:sz w:val="21"/>
                <w:szCs w:val="21"/>
              </w:rPr>
              <w:t>10.产品性能符合YD/T 1019</w:t>
            </w:r>
            <w:r>
              <w:rPr>
                <w:rFonts w:hint="eastAsia" w:ascii="宋体" w:hAnsi="宋体" w:eastAsia="宋体" w:cs="宋体"/>
                <w:spacing w:val="-2"/>
                <w:sz w:val="21"/>
                <w:szCs w:val="21"/>
                <w:lang w:eastAsia="zh-CN"/>
              </w:rPr>
              <w:t>；</w:t>
            </w:r>
          </w:p>
          <w:p w14:paraId="6BD1C914">
            <w:pPr>
              <w:pStyle w:val="626"/>
              <w:spacing w:before="22" w:line="220" w:lineRule="auto"/>
              <w:ind w:left="117" w:leftChars="0"/>
              <w:rPr>
                <w:rFonts w:hint="eastAsia" w:ascii="宋体" w:hAnsi="宋体" w:eastAsia="宋体" w:cs="宋体"/>
                <w:spacing w:val="-2"/>
                <w:sz w:val="21"/>
                <w:szCs w:val="21"/>
                <w:lang w:eastAsia="zh-CN"/>
              </w:rPr>
            </w:pPr>
            <w:r>
              <w:rPr>
                <w:rFonts w:hint="eastAsia" w:ascii="宋体" w:hAnsi="宋体" w:eastAsia="宋体" w:cs="宋体"/>
                <w:spacing w:val="-2"/>
                <w:sz w:val="21"/>
                <w:szCs w:val="21"/>
              </w:rPr>
              <w:t>11.阻燃符合GB/T 18380.12，烟密度符合GB/T 17651.2，护套材料燃烧时释放气体的PH值和电导率符合标准GB/T 17650.2</w:t>
            </w:r>
            <w:r>
              <w:rPr>
                <w:rFonts w:hint="eastAsia" w:ascii="宋体" w:hAnsi="宋体" w:eastAsia="宋体" w:cs="宋体"/>
                <w:spacing w:val="-2"/>
                <w:sz w:val="21"/>
                <w:szCs w:val="21"/>
                <w:lang w:eastAsia="zh-CN"/>
              </w:rPr>
              <w:t>；</w:t>
            </w:r>
          </w:p>
          <w:p w14:paraId="6DB66DC5">
            <w:pPr>
              <w:pStyle w:val="626"/>
              <w:spacing w:before="22" w:line="220" w:lineRule="auto"/>
              <w:ind w:left="117" w:leftChars="0"/>
              <w:rPr>
                <w:rFonts w:hint="eastAsia" w:ascii="宋体" w:hAnsi="宋体" w:eastAsia="宋体" w:cs="宋体"/>
                <w:spacing w:val="-2"/>
                <w:sz w:val="21"/>
                <w:szCs w:val="21"/>
              </w:rPr>
            </w:pPr>
            <w:r>
              <w:rPr>
                <w:rFonts w:hint="eastAsia" w:ascii="宋体" w:hAnsi="宋体" w:eastAsia="宋体" w:cs="宋体"/>
                <w:spacing w:val="-2"/>
                <w:sz w:val="21"/>
                <w:szCs w:val="21"/>
              </w:rPr>
              <w:t>12.产品符合ROHS和REACH标准，可提供相关证明文件</w:t>
            </w:r>
          </w:p>
          <w:p w14:paraId="62B99A8C">
            <w:pPr>
              <w:pStyle w:val="626"/>
              <w:spacing w:before="22" w:line="220" w:lineRule="auto"/>
              <w:ind w:left="117" w:leftChars="0"/>
              <w:rPr>
                <w:rFonts w:hint="eastAsia" w:ascii="宋体" w:hAnsi="宋体" w:eastAsia="宋体" w:cs="宋体"/>
                <w:spacing w:val="-2"/>
                <w:sz w:val="21"/>
                <w:szCs w:val="21"/>
                <w:lang w:eastAsia="zh-CN"/>
              </w:rPr>
            </w:pPr>
            <w:r>
              <w:rPr>
                <w:rFonts w:hint="eastAsia" w:ascii="宋体" w:hAnsi="宋体" w:eastAsia="宋体" w:cs="宋体"/>
                <w:spacing w:val="-2"/>
                <w:sz w:val="21"/>
                <w:szCs w:val="21"/>
              </w:rPr>
              <w:t>13.可提供带CMA、CNAS认可标志的第三方权威机构出具的90米（2节点）、10米短链路、4节点、6节点永久链路和信道</w:t>
            </w:r>
            <w:r>
              <w:rPr>
                <w:rFonts w:hint="eastAsia" w:ascii="宋体" w:hAnsi="宋体" w:eastAsia="宋体" w:cs="宋体"/>
                <w:spacing w:val="-2"/>
                <w:sz w:val="21"/>
                <w:szCs w:val="21"/>
                <w:lang w:eastAsia="zh-CN"/>
              </w:rPr>
              <w:t>；</w:t>
            </w:r>
          </w:p>
          <w:p w14:paraId="04DC8306">
            <w:pPr>
              <w:pStyle w:val="626"/>
              <w:spacing w:before="22" w:line="220" w:lineRule="auto"/>
              <w:ind w:left="117" w:leftChars="0"/>
              <w:rPr>
                <w:rFonts w:hint="eastAsia" w:ascii="宋体" w:hAnsi="宋体" w:eastAsia="宋体" w:cs="宋体"/>
                <w:spacing w:val="-1"/>
                <w:sz w:val="21"/>
                <w:szCs w:val="21"/>
                <w:lang w:eastAsia="zh-CN"/>
              </w:rPr>
            </w:pPr>
            <w:r>
              <w:rPr>
                <w:rFonts w:hint="eastAsia" w:ascii="宋体" w:hAnsi="宋体" w:eastAsia="宋体" w:cs="宋体"/>
                <w:spacing w:val="-2"/>
                <w:sz w:val="21"/>
                <w:szCs w:val="21"/>
              </w:rPr>
              <w:t>14.六类非屏蔽EMC布线系统符合标准GB/T 9254.2</w:t>
            </w:r>
            <w:r>
              <w:rPr>
                <w:rFonts w:hint="eastAsia" w:ascii="宋体" w:hAnsi="宋体" w:eastAsia="宋体" w:cs="宋体"/>
                <w:spacing w:val="-2"/>
                <w:sz w:val="21"/>
                <w:szCs w:val="21"/>
                <w:lang w:eastAsia="zh-CN"/>
              </w:rPr>
              <w:t>；</w:t>
            </w:r>
          </w:p>
        </w:tc>
        <w:tc>
          <w:tcPr>
            <w:tcW w:w="575" w:type="dxa"/>
            <w:vAlign w:val="center"/>
          </w:tcPr>
          <w:p w14:paraId="7F22903A">
            <w:pPr>
              <w:pStyle w:val="626"/>
              <w:spacing w:before="71" w:line="22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966" w:type="dxa"/>
            <w:vAlign w:val="center"/>
          </w:tcPr>
          <w:p w14:paraId="4A409BD3">
            <w:pPr>
              <w:pStyle w:val="626"/>
              <w:spacing w:before="72"/>
              <w:ind w:left="169" w:leftChars="0"/>
              <w:jc w:val="center"/>
              <w:rPr>
                <w:rFonts w:hint="eastAsia" w:ascii="宋体" w:hAnsi="宋体" w:eastAsia="宋体" w:cs="宋体"/>
                <w:spacing w:val="-5"/>
                <w:sz w:val="21"/>
                <w:szCs w:val="21"/>
              </w:rPr>
            </w:pPr>
            <w:r>
              <w:rPr>
                <w:rFonts w:hint="eastAsia" w:ascii="宋体" w:hAnsi="宋体" w:eastAsia="宋体" w:cs="宋体"/>
                <w:spacing w:val="-6"/>
                <w:sz w:val="21"/>
                <w:szCs w:val="21"/>
              </w:rPr>
              <w:t>1680</w:t>
            </w:r>
          </w:p>
        </w:tc>
      </w:tr>
      <w:tr w14:paraId="16FBB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7" w:type="dxa"/>
            <w:gridSpan w:val="2"/>
            <w:vAlign w:val="center"/>
          </w:tcPr>
          <w:p w14:paraId="5C48C7C2">
            <w:pPr>
              <w:pStyle w:val="626"/>
              <w:spacing w:before="178"/>
              <w:jc w:val="center"/>
              <w:rPr>
                <w:rFonts w:hint="eastAsia" w:ascii="宋体" w:hAnsi="宋体" w:eastAsia="宋体" w:cs="宋体"/>
                <w:sz w:val="21"/>
                <w:szCs w:val="21"/>
              </w:rPr>
            </w:pPr>
            <w:r>
              <w:rPr>
                <w:rFonts w:hint="eastAsia" w:ascii="宋体" w:hAnsi="宋体" w:eastAsia="宋体" w:cs="宋体"/>
                <w:sz w:val="21"/>
                <w:szCs w:val="21"/>
              </w:rPr>
              <w:t>3</w:t>
            </w:r>
          </w:p>
        </w:tc>
        <w:tc>
          <w:tcPr>
            <w:tcW w:w="914" w:type="dxa"/>
            <w:gridSpan w:val="2"/>
            <w:vAlign w:val="center"/>
          </w:tcPr>
          <w:p w14:paraId="23F2BECE">
            <w:pPr>
              <w:pStyle w:val="626"/>
              <w:spacing w:before="35" w:line="222" w:lineRule="auto"/>
              <w:ind w:right="130" w:rightChars="0"/>
              <w:jc w:val="center"/>
              <w:rPr>
                <w:rFonts w:hint="eastAsia" w:ascii="宋体" w:hAnsi="宋体" w:eastAsia="宋体" w:cs="宋体"/>
                <w:spacing w:val="-4"/>
                <w:sz w:val="21"/>
                <w:szCs w:val="21"/>
              </w:rPr>
            </w:pPr>
            <w:r>
              <w:rPr>
                <w:rFonts w:hint="eastAsia" w:ascii="宋体" w:hAnsi="宋体" w:eastAsia="宋体" w:cs="宋体"/>
                <w:spacing w:val="-2"/>
                <w:sz w:val="21"/>
                <w:szCs w:val="21"/>
              </w:rPr>
              <w:t>PVC线</w:t>
            </w:r>
            <w:r>
              <w:rPr>
                <w:rFonts w:hint="eastAsia" w:ascii="宋体" w:hAnsi="宋体" w:eastAsia="宋体" w:cs="宋体"/>
                <w:sz w:val="21"/>
                <w:szCs w:val="21"/>
              </w:rPr>
              <w:t>槽</w:t>
            </w:r>
          </w:p>
        </w:tc>
        <w:tc>
          <w:tcPr>
            <w:tcW w:w="6438" w:type="dxa"/>
            <w:vAlign w:val="center"/>
          </w:tcPr>
          <w:p w14:paraId="6DFD0ED5">
            <w:pPr>
              <w:pStyle w:val="626"/>
              <w:spacing w:before="179" w:line="219" w:lineRule="auto"/>
              <w:jc w:val="both"/>
              <w:rPr>
                <w:rFonts w:hint="eastAsia" w:ascii="宋体" w:hAnsi="宋体" w:eastAsia="宋体" w:cs="宋体"/>
                <w:spacing w:val="-1"/>
                <w:sz w:val="21"/>
                <w:szCs w:val="21"/>
              </w:rPr>
            </w:pPr>
            <w:r>
              <w:rPr>
                <w:rFonts w:hint="eastAsia" w:ascii="宋体" w:hAnsi="宋体" w:eastAsia="宋体" w:cs="宋体"/>
                <w:spacing w:val="-1"/>
                <w:sz w:val="21"/>
                <w:szCs w:val="21"/>
              </w:rPr>
              <w:t>产品材质：PVC，尺寸：40*15</w:t>
            </w:r>
          </w:p>
        </w:tc>
        <w:tc>
          <w:tcPr>
            <w:tcW w:w="575" w:type="dxa"/>
            <w:vAlign w:val="center"/>
          </w:tcPr>
          <w:p w14:paraId="174C1586">
            <w:pPr>
              <w:pStyle w:val="626"/>
              <w:spacing w:before="178" w:line="22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966" w:type="dxa"/>
            <w:vAlign w:val="center"/>
          </w:tcPr>
          <w:p w14:paraId="6849D805">
            <w:pPr>
              <w:pStyle w:val="626"/>
              <w:spacing w:before="178"/>
              <w:ind w:left="175" w:leftChars="0"/>
              <w:jc w:val="center"/>
              <w:rPr>
                <w:rFonts w:hint="eastAsia" w:ascii="宋体" w:hAnsi="宋体" w:eastAsia="宋体" w:cs="宋体"/>
                <w:spacing w:val="-5"/>
                <w:sz w:val="21"/>
                <w:szCs w:val="21"/>
              </w:rPr>
            </w:pPr>
            <w:r>
              <w:rPr>
                <w:rFonts w:hint="eastAsia" w:ascii="宋体" w:hAnsi="宋体" w:eastAsia="宋体" w:cs="宋体"/>
                <w:spacing w:val="-4"/>
                <w:sz w:val="21"/>
                <w:szCs w:val="21"/>
              </w:rPr>
              <w:t>650</w:t>
            </w:r>
          </w:p>
        </w:tc>
      </w:tr>
      <w:tr w14:paraId="64813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7" w:type="dxa"/>
            <w:gridSpan w:val="2"/>
            <w:vAlign w:val="center"/>
          </w:tcPr>
          <w:p w14:paraId="5106B75D">
            <w:pPr>
              <w:pStyle w:val="626"/>
              <w:spacing w:before="178"/>
              <w:jc w:val="center"/>
              <w:rPr>
                <w:rFonts w:hint="eastAsia" w:ascii="宋体" w:hAnsi="宋体" w:eastAsia="宋体" w:cs="宋体"/>
                <w:sz w:val="21"/>
                <w:szCs w:val="21"/>
              </w:rPr>
            </w:pPr>
            <w:r>
              <w:rPr>
                <w:rFonts w:hint="eastAsia" w:ascii="宋体" w:hAnsi="宋体" w:cs="宋体"/>
                <w:sz w:val="21"/>
                <w:szCs w:val="21"/>
                <w:lang w:val="en-US" w:eastAsia="zh-CN"/>
              </w:rPr>
              <w:t>4</w:t>
            </w:r>
          </w:p>
        </w:tc>
        <w:tc>
          <w:tcPr>
            <w:tcW w:w="914" w:type="dxa"/>
            <w:gridSpan w:val="2"/>
            <w:vAlign w:val="center"/>
          </w:tcPr>
          <w:p w14:paraId="6EE2A4FB">
            <w:pPr>
              <w:pStyle w:val="626"/>
              <w:spacing w:before="179" w:line="219" w:lineRule="auto"/>
              <w:jc w:val="center"/>
              <w:rPr>
                <w:rFonts w:hint="eastAsia" w:ascii="宋体" w:hAnsi="宋体" w:eastAsia="宋体" w:cs="宋体"/>
                <w:spacing w:val="-2"/>
                <w:sz w:val="21"/>
                <w:szCs w:val="21"/>
              </w:rPr>
            </w:pPr>
          </w:p>
        </w:tc>
        <w:tc>
          <w:tcPr>
            <w:tcW w:w="6438" w:type="dxa"/>
            <w:vAlign w:val="center"/>
          </w:tcPr>
          <w:p w14:paraId="19DF90B7">
            <w:pPr>
              <w:pStyle w:val="626"/>
              <w:spacing w:before="178" w:line="220" w:lineRule="auto"/>
              <w:jc w:val="center"/>
              <w:rPr>
                <w:rFonts w:hint="eastAsia" w:ascii="宋体" w:hAnsi="宋体" w:eastAsia="宋体" w:cs="宋体"/>
                <w:spacing w:val="-1"/>
                <w:sz w:val="21"/>
                <w:szCs w:val="21"/>
              </w:rPr>
            </w:pPr>
            <w:r>
              <w:rPr>
                <w:rFonts w:hint="eastAsia" w:ascii="宋体" w:hAnsi="宋体" w:eastAsia="宋体" w:cs="宋体"/>
                <w:b/>
                <w:bCs/>
                <w:spacing w:val="-1"/>
                <w:sz w:val="21"/>
                <w:szCs w:val="21"/>
                <w:lang w:val="en-US" w:eastAsia="zh-CN"/>
              </w:rPr>
              <w:t>现场施工、系统集成</w:t>
            </w:r>
          </w:p>
        </w:tc>
        <w:tc>
          <w:tcPr>
            <w:tcW w:w="575" w:type="dxa"/>
            <w:vAlign w:val="center"/>
          </w:tcPr>
          <w:p w14:paraId="288FFF70">
            <w:pPr>
              <w:pStyle w:val="626"/>
              <w:spacing w:before="178"/>
              <w:ind w:left="175" w:leftChars="0"/>
              <w:jc w:val="center"/>
              <w:rPr>
                <w:rFonts w:hint="eastAsia" w:ascii="宋体" w:hAnsi="宋体" w:eastAsia="宋体" w:cs="宋体"/>
                <w:sz w:val="21"/>
                <w:szCs w:val="21"/>
              </w:rPr>
            </w:pPr>
            <w:r>
              <w:rPr>
                <w:rFonts w:hint="eastAsia" w:ascii="宋体" w:hAnsi="宋体" w:cs="宋体"/>
                <w:sz w:val="21"/>
                <w:szCs w:val="21"/>
                <w:lang w:eastAsia="zh-CN"/>
              </w:rPr>
              <w:t>项</w:t>
            </w:r>
          </w:p>
        </w:tc>
        <w:tc>
          <w:tcPr>
            <w:tcW w:w="966" w:type="dxa"/>
            <w:vAlign w:val="center"/>
          </w:tcPr>
          <w:p w14:paraId="027716AD">
            <w:pPr>
              <w:pStyle w:val="626"/>
              <w:spacing w:before="178"/>
              <w:jc w:val="center"/>
              <w:rPr>
                <w:rFonts w:hint="eastAsia" w:ascii="宋体" w:hAnsi="宋体" w:eastAsia="宋体" w:cs="宋体"/>
                <w:spacing w:val="-4"/>
                <w:sz w:val="21"/>
                <w:szCs w:val="21"/>
              </w:rPr>
            </w:pPr>
            <w:r>
              <w:rPr>
                <w:rFonts w:hint="eastAsia" w:ascii="宋体" w:hAnsi="宋体" w:cs="宋体"/>
                <w:spacing w:val="-4"/>
                <w:sz w:val="21"/>
                <w:szCs w:val="21"/>
                <w:lang w:val="en-US" w:eastAsia="zh-CN"/>
              </w:rPr>
              <w:t>1</w:t>
            </w:r>
          </w:p>
        </w:tc>
      </w:tr>
    </w:tbl>
    <w:p w14:paraId="1B31C78D">
      <w:pPr>
        <w:pStyle w:val="36"/>
        <w:rPr>
          <w:rFonts w:hint="eastAsia" w:ascii="仿宋" w:hAnsi="仿宋" w:eastAsia="仿宋" w:cs="仿宋"/>
          <w:color w:val="auto"/>
          <w:sz w:val="24"/>
          <w:szCs w:val="22"/>
          <w:highlight w:val="none"/>
        </w:rPr>
      </w:pPr>
    </w:p>
    <w:p w14:paraId="079FBB89">
      <w:pPr>
        <w:pStyle w:val="48"/>
        <w:keepNext w:val="0"/>
        <w:keepLines w:val="0"/>
        <w:pageBreakBefore/>
        <w:widowControl w:val="0"/>
        <w:kinsoku/>
        <w:wordWrap/>
        <w:overflowPunct/>
        <w:topLinePunct w:val="0"/>
        <w:autoSpaceDE/>
        <w:autoSpaceDN/>
        <w:bidi w:val="0"/>
        <w:adjustRightInd/>
        <w:snapToGrid w:val="0"/>
        <w:spacing w:line="380" w:lineRule="exact"/>
        <w:ind w:firstLine="723" w:firstLineChars="200"/>
        <w:jc w:val="center"/>
        <w:textAlignment w:val="auto"/>
        <w:rPr>
          <w:rFonts w:hint="eastAsia" w:ascii="仿宋" w:hAnsi="仿宋" w:eastAsia="仿宋" w:cs="仿宋"/>
          <w:b/>
          <w:color w:val="auto"/>
          <w:sz w:val="36"/>
          <w:highlight w:val="none"/>
        </w:rPr>
      </w:pPr>
      <w:r>
        <w:rPr>
          <w:rFonts w:hint="eastAsia" w:ascii="仿宋" w:hAnsi="仿宋" w:eastAsia="仿宋" w:cs="仿宋"/>
          <w:b/>
          <w:color w:val="auto"/>
          <w:sz w:val="36"/>
          <w:highlight w:val="none"/>
        </w:rPr>
        <w:t xml:space="preserve">第四部分  </w:t>
      </w:r>
      <w:bookmarkEnd w:id="86"/>
      <w:bookmarkEnd w:id="87"/>
      <w:r>
        <w:rPr>
          <w:rFonts w:hint="eastAsia" w:ascii="仿宋" w:hAnsi="仿宋" w:eastAsia="仿宋" w:cs="仿宋"/>
          <w:b/>
          <w:color w:val="auto"/>
          <w:sz w:val="36"/>
          <w:highlight w:val="none"/>
        </w:rPr>
        <w:t>政府采购合同（参考）</w:t>
      </w:r>
    </w:p>
    <w:p w14:paraId="46FA74C9">
      <w:pPr>
        <w:keepNext w:val="0"/>
        <w:keepLines w:val="0"/>
        <w:pageBreakBefore w:val="0"/>
        <w:kinsoku/>
        <w:wordWrap/>
        <w:overflowPunct/>
        <w:topLinePunct w:val="0"/>
        <w:bidi w:val="0"/>
        <w:snapToGrid w:val="0"/>
        <w:spacing w:line="440" w:lineRule="exact"/>
        <w:ind w:left="0" w:leftChars="0" w:firstLine="480" w:firstLineChars="200"/>
        <w:rPr>
          <w:rFonts w:hint="eastAsia" w:ascii="仿宋" w:hAnsi="仿宋" w:eastAsia="仿宋" w:cs="仿宋"/>
          <w:sz w:val="24"/>
          <w:szCs w:val="24"/>
        </w:rPr>
      </w:pPr>
      <w:bookmarkStart w:id="90" w:name="_Toc440380879"/>
    </w:p>
    <w:p w14:paraId="3D9D1FD1">
      <w:pPr>
        <w:keepNext w:val="0"/>
        <w:keepLines w:val="0"/>
        <w:pageBreakBefore w:val="0"/>
        <w:kinsoku/>
        <w:wordWrap/>
        <w:overflowPunct/>
        <w:topLinePunct w:val="0"/>
        <w:bidi w:val="0"/>
        <w:snapToGrid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说明：如甲、乙双方同意，合同格式也可以按照其他形式。但合同条款的基本内容应与合同主要条款要求的内容相一致。</w:t>
      </w:r>
    </w:p>
    <w:p w14:paraId="3FD72987">
      <w:pPr>
        <w:pStyle w:val="48"/>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项目名称：                                       </w:t>
      </w:r>
    </w:p>
    <w:p w14:paraId="25E86DB1">
      <w:pPr>
        <w:pStyle w:val="48"/>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项目编号： </w:t>
      </w:r>
    </w:p>
    <w:p w14:paraId="268CDACC">
      <w:pPr>
        <w:pStyle w:val="48"/>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甲方：（采购方）</w:t>
      </w:r>
    </w:p>
    <w:p w14:paraId="228943A2">
      <w:pPr>
        <w:pStyle w:val="48"/>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乙方：（供应方）</w:t>
      </w:r>
    </w:p>
    <w:p w14:paraId="1056EF27">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日项目招标结果和文件的要求，并依照《中华人民共和国民法典》等有关法律、行政法规的规定，同时在平等、公平、诚实和信用的原则下，经双方协商一致，订立本合同。</w:t>
      </w:r>
    </w:p>
    <w:p w14:paraId="37E2520E">
      <w:pPr>
        <w:keepNext w:val="0"/>
        <w:keepLines w:val="0"/>
        <w:pageBreakBefore w:val="0"/>
        <w:kinsoku/>
        <w:wordWrap/>
        <w:overflowPunct/>
        <w:topLinePunct w:val="0"/>
        <w:autoSpaceDE w:val="0"/>
        <w:autoSpaceDN w:val="0"/>
        <w:bidi w:val="0"/>
        <w:adjustRightInd w:val="0"/>
        <w:snapToGrid w:val="0"/>
        <w:spacing w:line="440" w:lineRule="exact"/>
        <w:ind w:left="0" w:leftChars="0" w:firstLine="482" w:firstLineChars="200"/>
        <w:textAlignment w:val="bottom"/>
        <w:rPr>
          <w:rFonts w:hint="eastAsia" w:ascii="仿宋" w:hAnsi="仿宋" w:eastAsia="仿宋" w:cs="仿宋"/>
          <w:b/>
          <w:sz w:val="24"/>
        </w:rPr>
      </w:pPr>
      <w:r>
        <w:rPr>
          <w:rFonts w:hint="eastAsia" w:ascii="仿宋" w:hAnsi="仿宋" w:eastAsia="仿宋" w:cs="仿宋"/>
          <w:b/>
          <w:sz w:val="24"/>
        </w:rPr>
        <w:t>1、组成合同文件及其优先顺序（按顺序号的先后）</w:t>
      </w:r>
    </w:p>
    <w:p w14:paraId="3D8668F3">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组成合同的各项文件应相互解释，互为说明。除合同另有规定外，其优先顺序如下：</w:t>
      </w:r>
    </w:p>
    <w:p w14:paraId="2D903D4A">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（1）合同文本。</w:t>
      </w:r>
    </w:p>
    <w:p w14:paraId="5E45F58C">
      <w:pPr>
        <w:keepNext w:val="0"/>
        <w:keepLines w:val="0"/>
        <w:pageBreakBefore w:val="0"/>
        <w:tabs>
          <w:tab w:val="left" w:pos="5638"/>
        </w:tabs>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中标</w:t>
      </w:r>
      <w:r>
        <w:rPr>
          <w:rFonts w:hint="eastAsia" w:ascii="仿宋" w:hAnsi="仿宋" w:eastAsia="仿宋" w:cs="仿宋"/>
          <w:sz w:val="24"/>
        </w:rPr>
        <w:t>通知书。</w:t>
      </w:r>
      <w:r>
        <w:rPr>
          <w:rFonts w:hint="eastAsia" w:ascii="仿宋" w:hAnsi="仿宋" w:eastAsia="仿宋" w:cs="仿宋"/>
          <w:sz w:val="24"/>
        </w:rPr>
        <w:tab/>
      </w:r>
    </w:p>
    <w:p w14:paraId="695E2A27">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（3）招标文件及其附件（含询标纪要）；【如有负偏离招标文件要求的内容，则无条件按招标文件执行】。</w:t>
      </w:r>
    </w:p>
    <w:p w14:paraId="2F79FAB0">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（4）招标文件（含补充文件、答疑纪要）。</w:t>
      </w:r>
    </w:p>
    <w:p w14:paraId="3515666F">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（5）标准、规范及有关技术文件。</w:t>
      </w:r>
    </w:p>
    <w:p w14:paraId="5D105B3E">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甲乙双方有关项目实施过程中的洽商、变更等书面协议或文件作为本合同的组成部分。</w:t>
      </w:r>
    </w:p>
    <w:p w14:paraId="7961E4D6">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（签订合同时，采购要求、磋商的优惠承诺等均可作为合同条款。）</w:t>
      </w:r>
    </w:p>
    <w:p w14:paraId="257B1A16">
      <w:pPr>
        <w:keepNext w:val="0"/>
        <w:keepLines w:val="0"/>
        <w:pageBreakBefore w:val="0"/>
        <w:kinsoku/>
        <w:wordWrap/>
        <w:overflowPunct/>
        <w:topLinePunct w:val="0"/>
        <w:autoSpaceDE w:val="0"/>
        <w:autoSpaceDN w:val="0"/>
        <w:bidi w:val="0"/>
        <w:adjustRightInd w:val="0"/>
        <w:snapToGrid w:val="0"/>
        <w:spacing w:line="440" w:lineRule="exact"/>
        <w:ind w:left="0" w:leftChars="0" w:firstLine="482" w:firstLineChars="200"/>
        <w:textAlignment w:val="bottom"/>
        <w:rPr>
          <w:rFonts w:hint="eastAsia" w:ascii="仿宋" w:hAnsi="仿宋" w:eastAsia="仿宋" w:cs="仿宋"/>
          <w:b/>
          <w:sz w:val="24"/>
        </w:rPr>
      </w:pPr>
      <w:r>
        <w:rPr>
          <w:rFonts w:hint="eastAsia" w:ascii="仿宋" w:hAnsi="仿宋" w:eastAsia="仿宋" w:cs="仿宋"/>
          <w:b/>
          <w:sz w:val="24"/>
        </w:rPr>
        <w:t>2、实施时间：</w:t>
      </w:r>
    </w:p>
    <w:p w14:paraId="622C6753">
      <w:pPr>
        <w:keepNext w:val="0"/>
        <w:keepLines w:val="0"/>
        <w:pageBreakBefore w:val="0"/>
        <w:kinsoku/>
        <w:wordWrap/>
        <w:overflowPunct/>
        <w:topLinePunct w:val="0"/>
        <w:autoSpaceDE w:val="0"/>
        <w:autoSpaceDN w:val="0"/>
        <w:bidi w:val="0"/>
        <w:adjustRightInd w:val="0"/>
        <w:snapToGrid w:val="0"/>
        <w:spacing w:line="440" w:lineRule="exact"/>
        <w:ind w:left="0" w:leftChars="0" w:firstLine="482" w:firstLineChars="200"/>
        <w:textAlignment w:val="bottom"/>
        <w:rPr>
          <w:rFonts w:hint="eastAsia" w:ascii="仿宋" w:hAnsi="仿宋" w:eastAsia="仿宋" w:cs="仿宋"/>
          <w:b/>
          <w:sz w:val="24"/>
          <w:u w:val="single"/>
        </w:rPr>
      </w:pPr>
      <w:r>
        <w:rPr>
          <w:rFonts w:hint="eastAsia" w:ascii="仿宋" w:hAnsi="仿宋" w:eastAsia="仿宋" w:cs="仿宋"/>
          <w:b/>
          <w:sz w:val="24"/>
          <w:u w:val="single"/>
        </w:rPr>
        <w:t>（最终按采购要求和承诺中的最优情形签订合同）</w:t>
      </w:r>
    </w:p>
    <w:p w14:paraId="2352C563">
      <w:pPr>
        <w:pStyle w:val="9"/>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lang w:val="en-US" w:eastAsia="zh-CN"/>
        </w:rPr>
      </w:pPr>
      <w:r>
        <w:rPr>
          <w:rFonts w:hint="eastAsia" w:ascii="仿宋" w:hAnsi="仿宋" w:eastAsia="仿宋" w:cs="仿宋"/>
        </w:rPr>
        <w:t>（1）合同履约期</w:t>
      </w:r>
      <w:r>
        <w:rPr>
          <w:rFonts w:hint="eastAsia" w:ascii="仿宋" w:hAnsi="仿宋" w:eastAsia="仿宋" w:cs="仿宋"/>
          <w:lang w:val="en-US" w:eastAsia="zh-CN"/>
        </w:rPr>
        <w:t>限：合同签订之日起30天内完成供货、安装调试及验收。</w:t>
      </w:r>
    </w:p>
    <w:p w14:paraId="705E76F9">
      <w:pPr>
        <w:pStyle w:val="9"/>
        <w:keepNext w:val="0"/>
        <w:keepLines w:val="0"/>
        <w:pageBreakBefore w:val="0"/>
        <w:kinsoku/>
        <w:wordWrap/>
        <w:overflowPunct/>
        <w:topLinePunct w:val="0"/>
        <w:bidi w:val="0"/>
        <w:spacing w:line="440" w:lineRule="exact"/>
        <w:rPr>
          <w:rFonts w:hint="eastAsia" w:ascii="仿宋" w:hAnsi="仿宋" w:eastAsia="仿宋" w:cs="仿宋"/>
        </w:rPr>
      </w:pPr>
      <w:r>
        <w:rPr>
          <w:rFonts w:hint="eastAsia" w:ascii="仿宋" w:hAnsi="仿宋" w:eastAsia="仿宋" w:cs="仿宋"/>
        </w:rPr>
        <w:t>本项目实施地点：</w:t>
      </w:r>
      <w:r>
        <w:rPr>
          <w:rFonts w:hint="eastAsia" w:ascii="仿宋" w:hAnsi="仿宋" w:eastAsia="仿宋" w:cs="仿宋"/>
          <w:u w:val="single"/>
        </w:rPr>
        <w:t>甲方指定的地点</w:t>
      </w:r>
      <w:r>
        <w:rPr>
          <w:rFonts w:hint="eastAsia" w:ascii="仿宋" w:hAnsi="仿宋" w:eastAsia="仿宋" w:cs="仿宋"/>
        </w:rPr>
        <w:t>。</w:t>
      </w:r>
    </w:p>
    <w:p w14:paraId="160A1FB9">
      <w:pPr>
        <w:pStyle w:val="9"/>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u w:val="single"/>
        </w:rPr>
      </w:pPr>
      <w:r>
        <w:rPr>
          <w:rFonts w:hint="eastAsia" w:ascii="仿宋" w:hAnsi="仿宋" w:eastAsia="仿宋" w:cs="仿宋"/>
        </w:rPr>
        <w:t>（2）乙方投入本项目开发的技术人员为：</w:t>
      </w:r>
      <w:r>
        <w:rPr>
          <w:rFonts w:hint="eastAsia" w:ascii="仿宋" w:hAnsi="仿宋" w:eastAsia="仿宋" w:cs="仿宋"/>
          <w:u w:val="single"/>
        </w:rPr>
        <w:t xml:space="preserve">                             </w:t>
      </w:r>
    </w:p>
    <w:p w14:paraId="6F311428">
      <w:pPr>
        <w:pStyle w:val="9"/>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rPr>
      </w:pPr>
      <w:r>
        <w:rPr>
          <w:rFonts w:hint="eastAsia" w:ascii="仿宋" w:hAnsi="仿宋" w:eastAsia="仿宋" w:cs="仿宋"/>
        </w:rPr>
        <w:t>（签署合同时，具体人员按响应文件承诺并经甲方认可后列明或附合同后。）</w:t>
      </w:r>
    </w:p>
    <w:p w14:paraId="7BABD08A">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（3）乙方和甲方共同协商开发计划并通过甲方的同意后按此实施。</w:t>
      </w:r>
    </w:p>
    <w:p w14:paraId="7A54940E">
      <w:pPr>
        <w:keepNext w:val="0"/>
        <w:keepLines w:val="0"/>
        <w:pageBreakBefore w:val="0"/>
        <w:kinsoku/>
        <w:wordWrap/>
        <w:overflowPunct/>
        <w:topLinePunct w:val="0"/>
        <w:autoSpaceDE w:val="0"/>
        <w:autoSpaceDN w:val="0"/>
        <w:bidi w:val="0"/>
        <w:adjustRightInd w:val="0"/>
        <w:snapToGrid w:val="0"/>
        <w:spacing w:line="440" w:lineRule="exact"/>
        <w:ind w:left="0" w:leftChars="0" w:firstLine="482" w:firstLineChars="200"/>
        <w:textAlignment w:val="bottom"/>
        <w:rPr>
          <w:rFonts w:hint="eastAsia" w:ascii="仿宋" w:hAnsi="仿宋" w:eastAsia="仿宋" w:cs="仿宋"/>
          <w:b/>
          <w:sz w:val="24"/>
        </w:rPr>
      </w:pPr>
      <w:r>
        <w:rPr>
          <w:rFonts w:hint="eastAsia" w:ascii="仿宋" w:hAnsi="仿宋" w:eastAsia="仿宋" w:cs="仿宋"/>
          <w:b/>
          <w:sz w:val="24"/>
        </w:rPr>
        <w:t>3、质量标准</w:t>
      </w:r>
    </w:p>
    <w:p w14:paraId="7C090436">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达到现行国家和行业规定的技术标准，并满足甲方业务需求。</w:t>
      </w:r>
    </w:p>
    <w:p w14:paraId="677BC116">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技术指标和质量要求包括但不仅限于以下所列：</w:t>
      </w:r>
    </w:p>
    <w:p w14:paraId="3ECC914B">
      <w:pPr>
        <w:keepNext w:val="0"/>
        <w:keepLines w:val="0"/>
        <w:pageBreakBefore w:val="0"/>
        <w:numPr>
          <w:ilvl w:val="0"/>
          <w:numId w:val="3"/>
        </w:numPr>
        <w:suppressAutoHyphens/>
        <w:kinsoku/>
        <w:wordWrap/>
        <w:overflowPunct/>
        <w:topLinePunct w:val="0"/>
        <w:bidi w:val="0"/>
        <w:spacing w:line="44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具有统一、易维护升级的数据标准、接口标准。</w:t>
      </w:r>
    </w:p>
    <w:p w14:paraId="0935D758">
      <w:pPr>
        <w:keepNext w:val="0"/>
        <w:keepLines w:val="0"/>
        <w:pageBreakBefore w:val="0"/>
        <w:numPr>
          <w:ilvl w:val="0"/>
          <w:numId w:val="3"/>
        </w:numPr>
        <w:suppressAutoHyphens/>
        <w:kinsoku/>
        <w:wordWrap/>
        <w:overflowPunct/>
        <w:topLinePunct w:val="0"/>
        <w:bidi w:val="0"/>
        <w:spacing w:line="44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按附件研发方案中的工期如期完成并交付。</w:t>
      </w:r>
    </w:p>
    <w:p w14:paraId="3BAD4E08">
      <w:pPr>
        <w:keepNext w:val="0"/>
        <w:keepLines w:val="0"/>
        <w:pageBreakBefore w:val="0"/>
        <w:suppressAutoHyphens/>
        <w:kinsoku/>
        <w:wordWrap/>
        <w:overflowPunct/>
        <w:topLinePunct w:val="0"/>
        <w:bidi w:val="0"/>
        <w:spacing w:line="44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（3）完成附件研发方案中所要求的功能模块。</w:t>
      </w:r>
    </w:p>
    <w:p w14:paraId="5CFFE3C2">
      <w:pPr>
        <w:keepNext w:val="0"/>
        <w:keepLines w:val="0"/>
        <w:pageBreakBefore w:val="0"/>
        <w:suppressAutoHyphens/>
        <w:kinsoku/>
        <w:wordWrap/>
        <w:overflowPunct/>
        <w:topLinePunct w:val="0"/>
        <w:bidi w:val="0"/>
        <w:spacing w:line="44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（4）产品无重大Bug、无明显技术缺陷。</w:t>
      </w:r>
    </w:p>
    <w:p w14:paraId="69B7E0CA">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kern w:val="0"/>
          <w:sz w:val="24"/>
        </w:rPr>
        <w:t>（5）系统安全可靠。</w:t>
      </w:r>
    </w:p>
    <w:p w14:paraId="0C442192">
      <w:pPr>
        <w:keepNext w:val="0"/>
        <w:keepLines w:val="0"/>
        <w:pageBreakBefore w:val="0"/>
        <w:kinsoku/>
        <w:wordWrap/>
        <w:overflowPunct/>
        <w:topLinePunct w:val="0"/>
        <w:autoSpaceDE w:val="0"/>
        <w:autoSpaceDN w:val="0"/>
        <w:bidi w:val="0"/>
        <w:adjustRightInd w:val="0"/>
        <w:snapToGrid w:val="0"/>
        <w:spacing w:line="440" w:lineRule="exact"/>
        <w:ind w:left="0" w:leftChars="0" w:firstLine="482" w:firstLineChars="200"/>
        <w:textAlignment w:val="bottom"/>
        <w:rPr>
          <w:rFonts w:hint="eastAsia" w:ascii="仿宋" w:hAnsi="仿宋" w:eastAsia="仿宋" w:cs="仿宋"/>
          <w:b/>
          <w:sz w:val="24"/>
        </w:rPr>
      </w:pPr>
      <w:r>
        <w:rPr>
          <w:rFonts w:hint="eastAsia" w:ascii="仿宋" w:hAnsi="仿宋" w:eastAsia="仿宋" w:cs="仿宋"/>
          <w:b/>
          <w:sz w:val="24"/>
        </w:rPr>
        <w:t>免费维护期和服务保证：（按技术要求及响应文件承诺在签订合同时填写）</w:t>
      </w:r>
    </w:p>
    <w:p w14:paraId="70377187">
      <w:pPr>
        <w:keepNext w:val="0"/>
        <w:keepLines w:val="0"/>
        <w:pageBreakBefore w:val="0"/>
        <w:kinsoku/>
        <w:wordWrap/>
        <w:overflowPunct/>
        <w:topLinePunct w:val="0"/>
        <w:autoSpaceDE w:val="0"/>
        <w:autoSpaceDN w:val="0"/>
        <w:bidi w:val="0"/>
        <w:adjustRightInd w:val="0"/>
        <w:snapToGrid w:val="0"/>
        <w:spacing w:line="440" w:lineRule="exact"/>
        <w:ind w:left="0" w:leftChars="0" w:firstLine="482" w:firstLineChars="200"/>
        <w:textAlignment w:val="bottom"/>
        <w:rPr>
          <w:rFonts w:hint="eastAsia" w:ascii="仿宋" w:hAnsi="仿宋" w:eastAsia="仿宋" w:cs="仿宋"/>
          <w:sz w:val="24"/>
        </w:rPr>
      </w:pPr>
      <w:r>
        <w:rPr>
          <w:rFonts w:hint="eastAsia" w:ascii="仿宋" w:hAnsi="仿宋" w:eastAsia="仿宋" w:cs="仿宋"/>
          <w:b/>
          <w:sz w:val="24"/>
        </w:rPr>
        <w:t>从项目经甲方认可合格并交付甲方上线应用后提供不少于3年的免费运维服务（包含软件系统的升级）。</w:t>
      </w:r>
    </w:p>
    <w:p w14:paraId="739B9026">
      <w:pPr>
        <w:keepNext w:val="0"/>
        <w:keepLines w:val="0"/>
        <w:pageBreakBefore w:val="0"/>
        <w:kinsoku/>
        <w:wordWrap/>
        <w:overflowPunct/>
        <w:topLinePunct w:val="0"/>
        <w:autoSpaceDE w:val="0"/>
        <w:autoSpaceDN w:val="0"/>
        <w:bidi w:val="0"/>
        <w:adjustRightInd w:val="0"/>
        <w:snapToGrid w:val="0"/>
        <w:spacing w:line="440" w:lineRule="exact"/>
        <w:ind w:left="0" w:leftChars="0" w:firstLine="482" w:firstLineChars="200"/>
        <w:textAlignment w:val="bottom"/>
        <w:rPr>
          <w:rFonts w:hint="eastAsia" w:ascii="仿宋" w:hAnsi="仿宋" w:eastAsia="仿宋" w:cs="仿宋"/>
          <w:b/>
          <w:sz w:val="24"/>
        </w:rPr>
      </w:pPr>
      <w:r>
        <w:rPr>
          <w:rFonts w:hint="eastAsia" w:ascii="仿宋" w:hAnsi="仿宋" w:eastAsia="仿宋" w:cs="仿宋"/>
          <w:b/>
          <w:sz w:val="24"/>
        </w:rPr>
        <w:t>4、相关定义</w:t>
      </w:r>
    </w:p>
    <w:p w14:paraId="0A54FCAF">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除非本合同另有特别约定，本合同所使用的术语、概念的含义如下：</w:t>
      </w:r>
    </w:p>
    <w:p w14:paraId="6FB41ABA">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lang w:val="zh-TW"/>
        </w:rPr>
      </w:pPr>
      <w:r>
        <w:rPr>
          <w:rFonts w:hint="eastAsia" w:ascii="仿宋" w:hAnsi="仿宋" w:eastAsia="仿宋" w:cs="仿宋"/>
          <w:sz w:val="24"/>
        </w:rPr>
        <w:t>（1）合同：是指三方所签署的合同正文、所有附件、所有补充文件，以及三方在合同履行中所签</w:t>
      </w:r>
      <w:r>
        <w:rPr>
          <w:rFonts w:hint="eastAsia" w:ascii="仿宋" w:hAnsi="仿宋" w:eastAsia="仿宋" w:cs="仿宋"/>
          <w:sz w:val="24"/>
          <w:lang w:val="zh-TW" w:eastAsia="zh-TW"/>
        </w:rPr>
        <w:t>署、确认的其他与双方权利义务相关的所有书面材料、技术文档等文件。也称为</w:t>
      </w:r>
      <w:r>
        <w:rPr>
          <w:rFonts w:hint="eastAsia" w:ascii="仿宋" w:hAnsi="仿宋" w:eastAsia="仿宋" w:cs="仿宋"/>
          <w:sz w:val="24"/>
        </w:rPr>
        <w:t>“</w:t>
      </w:r>
      <w:r>
        <w:rPr>
          <w:rFonts w:hint="eastAsia" w:ascii="仿宋" w:hAnsi="仿宋" w:eastAsia="仿宋" w:cs="仿宋"/>
          <w:sz w:val="24"/>
          <w:lang w:val="zh-TW" w:eastAsia="zh-TW"/>
        </w:rPr>
        <w:t>技术服务合同</w:t>
      </w:r>
      <w:r>
        <w:rPr>
          <w:rFonts w:hint="eastAsia" w:ascii="仿宋" w:hAnsi="仿宋" w:eastAsia="仿宋" w:cs="仿宋"/>
          <w:sz w:val="24"/>
        </w:rPr>
        <w:t>”</w:t>
      </w:r>
      <w:r>
        <w:rPr>
          <w:rFonts w:hint="eastAsia" w:ascii="仿宋" w:hAnsi="仿宋" w:eastAsia="仿宋" w:cs="仿宋"/>
          <w:sz w:val="24"/>
          <w:lang w:val="zh-TW" w:eastAsia="zh-TW"/>
        </w:rPr>
        <w:t>或</w:t>
      </w:r>
      <w:r>
        <w:rPr>
          <w:rFonts w:hint="eastAsia" w:ascii="仿宋" w:hAnsi="仿宋" w:eastAsia="仿宋" w:cs="仿宋"/>
          <w:sz w:val="24"/>
        </w:rPr>
        <w:t>“</w:t>
      </w:r>
      <w:r>
        <w:rPr>
          <w:rFonts w:hint="eastAsia" w:ascii="仿宋" w:hAnsi="仿宋" w:eastAsia="仿宋" w:cs="仿宋"/>
          <w:sz w:val="24"/>
          <w:lang w:val="zh-TW" w:eastAsia="zh-TW"/>
        </w:rPr>
        <w:t>服务合同</w:t>
      </w:r>
      <w:r>
        <w:rPr>
          <w:rFonts w:hint="eastAsia" w:ascii="仿宋" w:hAnsi="仿宋" w:eastAsia="仿宋" w:cs="仿宋"/>
          <w:sz w:val="24"/>
        </w:rPr>
        <w:t>”</w:t>
      </w:r>
      <w:r>
        <w:rPr>
          <w:rFonts w:hint="eastAsia" w:ascii="仿宋" w:hAnsi="仿宋" w:eastAsia="仿宋" w:cs="仿宋"/>
          <w:sz w:val="24"/>
          <w:lang w:val="zh-TW" w:eastAsia="zh-TW"/>
        </w:rPr>
        <w:t>。</w:t>
      </w:r>
    </w:p>
    <w:p w14:paraId="04F4B5CF">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lang w:val="zh-TW" w:eastAsia="zh-TW"/>
        </w:rPr>
      </w:pPr>
      <w:r>
        <w:rPr>
          <w:rFonts w:hint="eastAsia" w:ascii="仿宋" w:hAnsi="仿宋" w:eastAsia="仿宋" w:cs="仿宋"/>
          <w:sz w:val="24"/>
          <w:lang w:val="zh-TW"/>
        </w:rPr>
        <w:t>（2）</w:t>
      </w:r>
      <w:r>
        <w:rPr>
          <w:rFonts w:hint="eastAsia" w:ascii="仿宋" w:hAnsi="仿宋" w:eastAsia="仿宋" w:cs="仿宋"/>
          <w:sz w:val="24"/>
          <w:lang w:val="zh-TW" w:eastAsia="zh-TW"/>
        </w:rPr>
        <w:t>产品：指乙方根据本合同规定须向甲方提供的一切软件和硬件产品。</w:t>
      </w:r>
    </w:p>
    <w:p w14:paraId="1179806F">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（3）服务价款：是指根据本合同约定，乙方在正确地完全履行合同义务后甲方应支付给乙方的全部价款。</w:t>
      </w:r>
    </w:p>
    <w:p w14:paraId="47838903">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（4）工作说明书：是指约定服务的工作内容、范围、质量标准、项目进度、资源管理等特定内容的文件。</w:t>
      </w:r>
    </w:p>
    <w:p w14:paraId="6A47CADC">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（5）技术文档：指乙方向甲丙方提供产品过程中，使用或产生的技术资料、项目文档，文档的形式可以是纸面文件，也可以为电子文档，技术文档包括一般文档和项目专用文档。</w:t>
      </w:r>
    </w:p>
    <w:p w14:paraId="670E4B19">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6）服务成果：是指乙方按照附件一的约定所完成的项目工作成果，包括以纸质、电子磁盘或其他介质体现的服务文档、各种数据、参数，以及乙方为履行本合同所搜集、使用、编制、创作的所有其他技术文档和解决方案。</w:t>
      </w:r>
    </w:p>
    <w:p w14:paraId="4E2213B6">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（7）交付：是指乙方将合同约定的服务成果提交给甲方使用。</w:t>
      </w:r>
    </w:p>
    <w:p w14:paraId="23F9CEA0">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（8）知识产权：指受中国法律及国际公约保护的专利权、商标权、著作权、商业秘密等及其他与之相关的权利。</w:t>
      </w:r>
    </w:p>
    <w:p w14:paraId="1520E177">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（9）不可抗力：本合同各方由于地震、台风、水灾、火灾、战争以及其它不能预见、且对其发生和后果不能防止或不能避免且不可克服的客观情况。</w:t>
      </w:r>
    </w:p>
    <w:p w14:paraId="705DB1FF">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b/>
          <w:kern w:val="0"/>
          <w:sz w:val="24"/>
        </w:rPr>
      </w:pPr>
      <w:bookmarkStart w:id="91" w:name="_Toc472941453"/>
      <w:r>
        <w:rPr>
          <w:rFonts w:hint="eastAsia" w:ascii="仿宋" w:hAnsi="仿宋" w:eastAsia="仿宋" w:cs="仿宋"/>
          <w:b/>
          <w:sz w:val="24"/>
        </w:rPr>
        <w:t>5、</w:t>
      </w:r>
      <w:r>
        <w:rPr>
          <w:rFonts w:hint="eastAsia" w:ascii="仿宋" w:hAnsi="仿宋" w:eastAsia="仿宋" w:cs="仿宋"/>
          <w:b/>
          <w:kern w:val="0"/>
          <w:sz w:val="24"/>
        </w:rPr>
        <w:t>软件开发内容</w:t>
      </w:r>
      <w:bookmarkEnd w:id="91"/>
    </w:p>
    <w:p w14:paraId="398F87CB">
      <w:pPr>
        <w:pStyle w:val="9"/>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rPr>
      </w:pPr>
      <w:r>
        <w:rPr>
          <w:rFonts w:hint="eastAsia" w:ascii="仿宋" w:hAnsi="仿宋" w:eastAsia="仿宋" w:cs="仿宋"/>
        </w:rPr>
        <w:t>本项目采购文件所述的全部采购需求；</w:t>
      </w:r>
    </w:p>
    <w:p w14:paraId="253862F2">
      <w:pPr>
        <w:pStyle w:val="9"/>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rPr>
      </w:pPr>
      <w:r>
        <w:rPr>
          <w:rFonts w:hint="eastAsia" w:ascii="仿宋" w:hAnsi="仿宋" w:eastAsia="仿宋" w:cs="仿宋"/>
        </w:rPr>
        <w:t>甲方在乙方软件开发过程中，有权对开发内容根据实际情况提出适当的弹性修改需求，乙方应予以配合。</w:t>
      </w:r>
    </w:p>
    <w:p w14:paraId="530DB67E">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乙方须提供服务期内本项目全系统的软件设计开发、系统集成、安装及技术服务。</w:t>
      </w:r>
    </w:p>
    <w:p w14:paraId="17F44CA1">
      <w:pPr>
        <w:keepNext w:val="0"/>
        <w:keepLines w:val="0"/>
        <w:pageBreakBefore w:val="0"/>
        <w:kinsoku/>
        <w:wordWrap/>
        <w:overflowPunct/>
        <w:topLinePunct w:val="0"/>
        <w:autoSpaceDE w:val="0"/>
        <w:autoSpaceDN w:val="0"/>
        <w:bidi w:val="0"/>
        <w:adjustRightInd w:val="0"/>
        <w:snapToGrid w:val="0"/>
        <w:spacing w:line="440" w:lineRule="exact"/>
        <w:ind w:left="0" w:leftChars="0" w:firstLine="482" w:firstLineChars="200"/>
        <w:textAlignment w:val="bottom"/>
        <w:rPr>
          <w:rFonts w:hint="eastAsia" w:ascii="仿宋" w:hAnsi="仿宋" w:eastAsia="仿宋" w:cs="仿宋"/>
          <w:b/>
          <w:sz w:val="24"/>
        </w:rPr>
      </w:pPr>
      <w:r>
        <w:rPr>
          <w:rFonts w:hint="eastAsia" w:ascii="仿宋" w:hAnsi="仿宋" w:eastAsia="仿宋" w:cs="仿宋"/>
          <w:b/>
          <w:sz w:val="24"/>
        </w:rPr>
        <w:t>6、合同价款及支付</w:t>
      </w:r>
    </w:p>
    <w:p w14:paraId="371E608E">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bCs/>
          <w:sz w:val="24"/>
        </w:rPr>
      </w:pPr>
      <w:r>
        <w:rPr>
          <w:rFonts w:hint="eastAsia" w:ascii="仿宋" w:hAnsi="仿宋" w:eastAsia="仿宋" w:cs="仿宋"/>
          <w:bCs/>
          <w:sz w:val="24"/>
        </w:rPr>
        <w:t>合同总价为人民币</w:t>
      </w:r>
      <w:r>
        <w:rPr>
          <w:rFonts w:hint="eastAsia" w:ascii="仿宋" w:hAnsi="仿宋" w:eastAsia="仿宋" w:cs="仿宋"/>
          <w:bCs/>
          <w:sz w:val="24"/>
          <w:u w:val="single"/>
        </w:rPr>
        <w:t xml:space="preserve">                  </w:t>
      </w:r>
      <w:r>
        <w:rPr>
          <w:rFonts w:hint="eastAsia" w:ascii="仿宋" w:hAnsi="仿宋" w:eastAsia="仿宋" w:cs="仿宋"/>
          <w:bCs/>
          <w:sz w:val="24"/>
        </w:rPr>
        <w:t>（大写</w:t>
      </w:r>
      <w:r>
        <w:rPr>
          <w:rFonts w:hint="eastAsia" w:ascii="仿宋" w:hAnsi="仿宋" w:eastAsia="仿宋" w:cs="仿宋"/>
          <w:bCs/>
          <w:sz w:val="24"/>
          <w:u w:val="single"/>
        </w:rPr>
        <w:t xml:space="preserve">                 </w:t>
      </w:r>
      <w:r>
        <w:rPr>
          <w:rFonts w:hint="eastAsia" w:ascii="仿宋" w:hAnsi="仿宋" w:eastAsia="仿宋" w:cs="仿宋"/>
          <w:bCs/>
          <w:sz w:val="24"/>
        </w:rPr>
        <w:t>）元整。</w:t>
      </w:r>
    </w:p>
    <w:p w14:paraId="51C8D989">
      <w:pPr>
        <w:keepNext w:val="0"/>
        <w:keepLines w:val="0"/>
        <w:pageBreakBefore w:val="0"/>
        <w:widowControl/>
        <w:tabs>
          <w:tab w:val="left" w:pos="785"/>
        </w:tabs>
        <w:kinsoku/>
        <w:wordWrap/>
        <w:overflowPunct/>
        <w:topLinePunct w:val="0"/>
        <w:autoSpaceDE w:val="0"/>
        <w:autoSpaceDN w:val="0"/>
        <w:bidi w:val="0"/>
        <w:adjustRightInd w:val="0"/>
        <w:snapToGrid w:val="0"/>
        <w:spacing w:line="440" w:lineRule="exact"/>
        <w:ind w:left="0" w:leftChars="0" w:firstLine="480" w:firstLineChars="200"/>
        <w:textAlignment w:val="bottom"/>
        <w:outlineLvl w:val="1"/>
        <w:rPr>
          <w:rFonts w:hint="eastAsia" w:ascii="仿宋" w:hAnsi="仿宋" w:eastAsia="仿宋" w:cs="仿宋"/>
          <w:sz w:val="24"/>
          <w:szCs w:val="24"/>
          <w:highlight w:val="none"/>
        </w:rPr>
      </w:pPr>
      <w:r>
        <w:rPr>
          <w:rFonts w:hint="eastAsia" w:ascii="仿宋" w:hAnsi="仿宋" w:eastAsia="仿宋" w:cs="仿宋"/>
          <w:bCs/>
          <w:sz w:val="24"/>
        </w:rPr>
        <w:t>支付方式</w:t>
      </w:r>
      <w:r>
        <w:rPr>
          <w:rFonts w:hint="eastAsia" w:ascii="仿宋" w:hAnsi="仿宋" w:eastAsia="仿宋" w:cs="仿宋"/>
          <w:bCs/>
          <w:sz w:val="24"/>
          <w:highlight w:val="none"/>
        </w:rPr>
        <w:t>:</w:t>
      </w:r>
      <w:r>
        <w:rPr>
          <w:rFonts w:hint="eastAsia" w:ascii="仿宋" w:hAnsi="仿宋" w:eastAsia="仿宋" w:cs="仿宋"/>
          <w:sz w:val="24"/>
          <w:szCs w:val="24"/>
          <w:highlight w:val="none"/>
        </w:rPr>
        <w:t xml:space="preserve"> 合同签订后15日内采购人向供应商支付合同总价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预付款（采购人可根据项目特点、供应商信用等情况，决定是否要求供应商提交银行、保险公司等金融机构出具的预付款保函或其他担保措施）；项目完成所有货物的安装、调试，经初验合格后15个工作日内，甲方支付乙方合同价款的</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0%（供应商开具正式的税务发票）；经</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个月试运行并终验合格后，凭竣工验收报告，15个工作日内，甲方支付乙方合同价款的30%（供应商开具正式的税务发票）。</w:t>
      </w:r>
    </w:p>
    <w:p w14:paraId="01A1A54D">
      <w:pPr>
        <w:pStyle w:val="9"/>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rPr>
      </w:pPr>
      <w:r>
        <w:rPr>
          <w:rFonts w:hint="eastAsia" w:ascii="仿宋" w:hAnsi="仿宋" w:eastAsia="仿宋" w:cs="仿宋"/>
        </w:rPr>
        <w:t>甲方应付合同价款至以下乙方指定的银行账户：</w:t>
      </w:r>
    </w:p>
    <w:p w14:paraId="1C785330">
      <w:pPr>
        <w:pStyle w:val="9"/>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rPr>
      </w:pPr>
      <w:r>
        <w:rPr>
          <w:rFonts w:hint="eastAsia" w:ascii="仿宋" w:hAnsi="仿宋" w:eastAsia="仿宋" w:cs="仿宋"/>
        </w:rPr>
        <w:t>开户名称：</w:t>
      </w:r>
    </w:p>
    <w:p w14:paraId="002576CC">
      <w:pPr>
        <w:pStyle w:val="9"/>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rPr>
      </w:pPr>
      <w:r>
        <w:rPr>
          <w:rFonts w:hint="eastAsia" w:ascii="仿宋" w:hAnsi="仿宋" w:eastAsia="仿宋" w:cs="仿宋"/>
        </w:rPr>
        <w:t>开户银行：</w:t>
      </w:r>
    </w:p>
    <w:p w14:paraId="3B14C091">
      <w:pPr>
        <w:pStyle w:val="9"/>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rPr>
      </w:pPr>
      <w:r>
        <w:rPr>
          <w:rFonts w:hint="eastAsia" w:ascii="仿宋" w:hAnsi="仿宋" w:eastAsia="仿宋" w:cs="仿宋"/>
        </w:rPr>
        <w:t>账号：</w:t>
      </w:r>
    </w:p>
    <w:p w14:paraId="6475591F">
      <w:pPr>
        <w:keepNext w:val="0"/>
        <w:keepLines w:val="0"/>
        <w:pageBreakBefore w:val="0"/>
        <w:widowControl/>
        <w:kinsoku/>
        <w:wordWrap/>
        <w:overflowPunct/>
        <w:topLinePunct w:val="0"/>
        <w:autoSpaceDE w:val="0"/>
        <w:autoSpaceDN w:val="0"/>
        <w:bidi w:val="0"/>
        <w:spacing w:line="440" w:lineRule="exact"/>
        <w:ind w:left="0" w:leftChars="0" w:firstLine="482" w:firstLineChars="200"/>
        <w:textAlignment w:val="bottom"/>
        <w:rPr>
          <w:rFonts w:hint="eastAsia" w:ascii="仿宋" w:hAnsi="仿宋" w:eastAsia="仿宋" w:cs="仿宋"/>
          <w:b/>
          <w:bCs/>
          <w:sz w:val="24"/>
        </w:rPr>
      </w:pPr>
      <w:r>
        <w:rPr>
          <w:rFonts w:hint="eastAsia" w:ascii="仿宋" w:hAnsi="仿宋" w:eastAsia="仿宋" w:cs="仿宋"/>
          <w:b/>
          <w:bCs/>
          <w:sz w:val="24"/>
        </w:rPr>
        <w:t>7、违约责任</w:t>
      </w:r>
    </w:p>
    <w:p w14:paraId="4018DBA5">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乙方逾期交付产品的，乙方应按逾期产品总额每日千分之六向甲方支付违约金，由甲方从待付货款中扣除。逾期超过约定日期10个工作日不能交货的，甲方可解除本合同。乙方因逾期交货或因其他违约行为导致甲方解除合同的，乙方应向甲方支付合同总金额20%的违约金，如造成甲方损失超过违约金的，超出部分由乙方继续承担赔偿责任。</w:t>
      </w:r>
    </w:p>
    <w:p w14:paraId="68D9B051">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乙方所交的产品品种、型号、规格、技术参数、质量不符合招标采购文件规定标准的，甲方有权拒收该货物，乙方愿意更换货物但逾期交货的，按乙方逾期交货处理。乙方拒绝更换货物的，甲方可单方面解除合同。</w:t>
      </w:r>
    </w:p>
    <w:p w14:paraId="22BD0898">
      <w:pPr>
        <w:keepNext w:val="0"/>
        <w:keepLines w:val="0"/>
        <w:pageBreakBefore w:val="0"/>
        <w:widowControl/>
        <w:kinsoku/>
        <w:wordWrap/>
        <w:overflowPunct/>
        <w:topLinePunct w:val="0"/>
        <w:autoSpaceDE w:val="0"/>
        <w:autoSpaceDN w:val="0"/>
        <w:bidi w:val="0"/>
        <w:spacing w:line="440" w:lineRule="exact"/>
        <w:ind w:left="0" w:leftChars="0" w:firstLine="482" w:firstLineChars="200"/>
        <w:textAlignment w:val="bottom"/>
        <w:rPr>
          <w:rFonts w:hint="eastAsia" w:ascii="仿宋" w:hAnsi="仿宋" w:eastAsia="仿宋" w:cs="仿宋"/>
          <w:b/>
          <w:bCs/>
          <w:sz w:val="24"/>
        </w:rPr>
      </w:pPr>
      <w:r>
        <w:rPr>
          <w:rFonts w:hint="eastAsia" w:ascii="仿宋" w:hAnsi="仿宋" w:eastAsia="仿宋" w:cs="仿宋"/>
          <w:b/>
          <w:bCs/>
          <w:sz w:val="24"/>
        </w:rPr>
        <w:t>8、交付产品</w:t>
      </w:r>
    </w:p>
    <w:p w14:paraId="31FA6E29">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（1）交付地点：甲方指定地点。</w:t>
      </w:r>
    </w:p>
    <w:p w14:paraId="36BF1B0E">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（2）安装调试时间：按甲方要求的时间完成安装和调试，如在甲方规定的时间内由于乙方的原因不能完成安装和调试，乙方应承担由此给用户造成的损失。</w:t>
      </w:r>
    </w:p>
    <w:p w14:paraId="511D2C3A">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安装标准：符合我国国家有关技术规范要求和技术标准。</w:t>
      </w:r>
    </w:p>
    <w:p w14:paraId="57128E28">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（3）安装调试、试运行过程中发生的费用由乙方负责。</w:t>
      </w:r>
    </w:p>
    <w:p w14:paraId="7DE64017">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乙方应在响应文件中提供其安装调试过程中甲方需配合的内容。</w:t>
      </w:r>
    </w:p>
    <w:p w14:paraId="46EAF948">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在项目实施过程中，向甲方提供齐全的电子版和书面的操作说明等文档。</w:t>
      </w:r>
    </w:p>
    <w:p w14:paraId="137305EA">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（4）乙方应对甲方的相关操作和技术人员进行培训，使其能熟练掌握该系统。</w:t>
      </w:r>
    </w:p>
    <w:p w14:paraId="1598F6A1">
      <w:pPr>
        <w:keepNext w:val="0"/>
        <w:keepLines w:val="0"/>
        <w:pageBreakBefore w:val="0"/>
        <w:widowControl/>
        <w:kinsoku/>
        <w:wordWrap/>
        <w:overflowPunct/>
        <w:topLinePunct w:val="0"/>
        <w:autoSpaceDE w:val="0"/>
        <w:autoSpaceDN w:val="0"/>
        <w:bidi w:val="0"/>
        <w:spacing w:line="440" w:lineRule="exact"/>
        <w:ind w:left="0" w:leftChars="0" w:firstLine="482" w:firstLineChars="200"/>
        <w:textAlignment w:val="bottom"/>
        <w:rPr>
          <w:rFonts w:hint="eastAsia" w:ascii="仿宋" w:hAnsi="仿宋" w:eastAsia="仿宋" w:cs="仿宋"/>
          <w:b/>
          <w:sz w:val="24"/>
        </w:rPr>
      </w:pPr>
      <w:r>
        <w:rPr>
          <w:rFonts w:hint="eastAsia" w:ascii="仿宋" w:hAnsi="仿宋" w:eastAsia="仿宋" w:cs="仿宋"/>
          <w:b/>
          <w:sz w:val="24"/>
        </w:rPr>
        <w:t>9、验收</w:t>
      </w:r>
    </w:p>
    <w:p w14:paraId="51D8F03A">
      <w:pPr>
        <w:keepNext w:val="0"/>
        <w:keepLines w:val="0"/>
        <w:pageBreakBefore w:val="0"/>
        <w:suppressAutoHyphens/>
        <w:kinsoku/>
        <w:wordWrap/>
        <w:overflowPunct/>
        <w:topLinePunct w:val="0"/>
        <w:bidi w:val="0"/>
        <w:spacing w:line="440" w:lineRule="exact"/>
        <w:ind w:left="0" w:leftChars="0" w:firstLine="480" w:firstLineChars="200"/>
        <w:jc w:val="left"/>
        <w:rPr>
          <w:rFonts w:hint="eastAsia" w:ascii="仿宋" w:hAnsi="仿宋" w:eastAsia="仿宋" w:cs="仿宋"/>
          <w:sz w:val="24"/>
        </w:rPr>
      </w:pPr>
      <w:r>
        <w:rPr>
          <w:rFonts w:hint="eastAsia" w:ascii="仿宋" w:hAnsi="仿宋" w:eastAsia="仿宋" w:cs="仿宋"/>
          <w:sz w:val="24"/>
        </w:rPr>
        <w:t>9.1 乙方完成全部系统建设任务，向甲方提交项目验收申请，甲方在收到乙方的最终验收申请后15工作日内对项目进行最终验收。</w:t>
      </w:r>
    </w:p>
    <w:p w14:paraId="17565DF8">
      <w:pPr>
        <w:keepNext w:val="0"/>
        <w:keepLines w:val="0"/>
        <w:pageBreakBefore w:val="0"/>
        <w:suppressAutoHyphens/>
        <w:kinsoku/>
        <w:wordWrap/>
        <w:overflowPunct/>
        <w:topLinePunct w:val="0"/>
        <w:bidi w:val="0"/>
        <w:spacing w:line="440" w:lineRule="exact"/>
        <w:ind w:left="0" w:leftChars="0" w:firstLine="480" w:firstLineChars="200"/>
        <w:jc w:val="left"/>
        <w:rPr>
          <w:rFonts w:hint="eastAsia" w:ascii="仿宋" w:hAnsi="仿宋" w:eastAsia="仿宋" w:cs="仿宋"/>
          <w:sz w:val="24"/>
        </w:rPr>
      </w:pPr>
      <w:r>
        <w:rPr>
          <w:rFonts w:hint="eastAsia" w:ascii="仿宋" w:hAnsi="仿宋" w:eastAsia="仿宋" w:cs="仿宋"/>
          <w:sz w:val="24"/>
        </w:rPr>
        <w:t>9.2 验收合格后，甲乙双方共同签署验收报告，一式二份，一份交甲方留存，一份由乙方用作结算凭证。</w:t>
      </w:r>
    </w:p>
    <w:p w14:paraId="44E1045D">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kern w:val="0"/>
          <w:sz w:val="24"/>
        </w:rPr>
      </w:pPr>
      <w:r>
        <w:rPr>
          <w:rFonts w:hint="eastAsia" w:ascii="仿宋" w:hAnsi="仿宋" w:eastAsia="仿宋" w:cs="仿宋"/>
          <w:b/>
          <w:kern w:val="0"/>
          <w:sz w:val="24"/>
        </w:rPr>
        <w:t>10、</w:t>
      </w:r>
      <w:r>
        <w:rPr>
          <w:rFonts w:hint="eastAsia" w:ascii="仿宋" w:hAnsi="仿宋" w:eastAsia="仿宋" w:cs="仿宋"/>
          <w:b/>
          <w:bCs/>
          <w:kern w:val="0"/>
          <w:sz w:val="24"/>
        </w:rPr>
        <w:t>问题处理约定</w:t>
      </w:r>
    </w:p>
    <w:p w14:paraId="731338DB">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如果甲方发现工作成果中存在缺陷，双方应当视问题的严重性给出合适的处理措施。约定如下：</w:t>
      </w:r>
    </w:p>
    <w:p w14:paraId="3FB638FC">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如果工作成果存在严重的缺陷，则退回给乙方。乙方应当给出纠正缺陷，双方协商第二次验收的时间。乙方应当赔偿给甲方造成的损失。</w:t>
      </w:r>
    </w:p>
    <w:p w14:paraId="3D7FFA1D">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如果工作成果存在一些轻微的缺陷，则乙方应当给出纠正缺陷的措施，双方协商是否需要第二次验收。</w:t>
      </w:r>
    </w:p>
    <w:p w14:paraId="147A83AE">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b/>
          <w:kern w:val="0"/>
          <w:sz w:val="24"/>
        </w:rPr>
      </w:pPr>
      <w:r>
        <w:rPr>
          <w:rFonts w:hint="eastAsia" w:ascii="仿宋" w:hAnsi="仿宋" w:eastAsia="仿宋" w:cs="仿宋"/>
          <w:b/>
          <w:kern w:val="0"/>
          <w:sz w:val="24"/>
        </w:rPr>
        <w:t>11、</w:t>
      </w:r>
      <w:r>
        <w:rPr>
          <w:rFonts w:hint="eastAsia" w:ascii="仿宋" w:hAnsi="仿宋" w:eastAsia="仿宋" w:cs="仿宋"/>
          <w:b/>
          <w:bCs/>
          <w:kern w:val="0"/>
          <w:sz w:val="24"/>
        </w:rPr>
        <w:t>禁止转委托开发</w:t>
      </w:r>
    </w:p>
    <w:p w14:paraId="62C13F40">
      <w:pPr>
        <w:keepNext w:val="0"/>
        <w:keepLines w:val="0"/>
        <w:pageBreakBefore w:val="0"/>
        <w:suppressAutoHyphens/>
        <w:kinsoku/>
        <w:wordWrap/>
        <w:overflowPunct/>
        <w:topLinePunct w:val="0"/>
        <w:bidi w:val="0"/>
        <w:spacing w:line="44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在本合同有效期内，乙方必须亲自履行甲方委托的开发项目，未征得甲方的书面同意，不得将其在本合同项下的受托项目部分或全部转让给任何其它方执行。违反本项规定的，乙方将承担全部可能产生的责任。</w:t>
      </w:r>
    </w:p>
    <w:p w14:paraId="269E3AB8">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b/>
          <w:kern w:val="0"/>
          <w:sz w:val="24"/>
        </w:rPr>
      </w:pPr>
      <w:r>
        <w:rPr>
          <w:rFonts w:hint="eastAsia" w:ascii="仿宋" w:hAnsi="仿宋" w:eastAsia="仿宋" w:cs="仿宋"/>
          <w:b/>
          <w:kern w:val="0"/>
          <w:sz w:val="24"/>
        </w:rPr>
        <w:t>12、保密责任和义务</w:t>
      </w:r>
    </w:p>
    <w:p w14:paraId="038DB7F6">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乙方应对本合同所述的技术资料和技术秘密采取保密措施，乙方未经甲方的书面同意，不得将本项目所涉及的技术秘密和资料向与本项目无关的人员或第三方透露，也不能就有关合同内容的任何部分进行新闻的发布、公开的宣称、否认或承认。</w:t>
      </w:r>
    </w:p>
    <w:p w14:paraId="76306C81">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（2）乙方知道违反本条规定将给甲方造成难以弥补的损失，为此同意承担由此产生的经济上和法律上的责任。</w:t>
      </w:r>
    </w:p>
    <w:p w14:paraId="247A8B9C">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（3）乙方承认本合同中的技术资料和技术秘密为甲方所专有，将其对乙方进行披露并不意味着任何所有权、专利权的转让。</w:t>
      </w:r>
    </w:p>
    <w:p w14:paraId="0C91E142">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4）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1A07EE34">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本条规定的义务和权利在本合同期满或终止后将在甲方要求的时间内持续有效，而不受合同履行完毕时间的限制。</w:t>
      </w:r>
    </w:p>
    <w:p w14:paraId="54A76AEA">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b/>
          <w:kern w:val="0"/>
          <w:sz w:val="24"/>
        </w:rPr>
      </w:pPr>
      <w:r>
        <w:rPr>
          <w:rFonts w:hint="eastAsia" w:ascii="仿宋" w:hAnsi="仿宋" w:eastAsia="仿宋" w:cs="仿宋"/>
          <w:b/>
          <w:kern w:val="0"/>
          <w:sz w:val="24"/>
        </w:rPr>
        <w:t>13、知识产权归属</w:t>
      </w:r>
    </w:p>
    <w:p w14:paraId="59430223">
      <w:pPr>
        <w:keepNext w:val="0"/>
        <w:keepLines w:val="0"/>
        <w:pageBreakBefore w:val="0"/>
        <w:suppressAutoHyphens/>
        <w:kinsoku/>
        <w:wordWrap/>
        <w:overflowPunct/>
        <w:topLinePunct w:val="0"/>
        <w:bidi w:val="0"/>
        <w:spacing w:line="440" w:lineRule="exact"/>
        <w:ind w:left="0" w:leftChars="0" w:firstLine="480" w:firstLineChars="200"/>
        <w:jc w:val="left"/>
        <w:rPr>
          <w:rFonts w:hint="eastAsia" w:ascii="仿宋" w:hAnsi="仿宋" w:eastAsia="仿宋" w:cs="仿宋"/>
          <w:sz w:val="24"/>
        </w:rPr>
      </w:pPr>
      <w:r>
        <w:rPr>
          <w:rFonts w:hint="eastAsia" w:ascii="仿宋" w:hAnsi="仿宋" w:eastAsia="仿宋" w:cs="仿宋"/>
          <w:sz w:val="24"/>
        </w:rPr>
        <w:t>（1）本项目定制开发部分的知识产权归甲方所有，甲方授权乙方在全球范围内的、不可撤销的、永久的、免费的、可转让的、可分许可的许可，并授权乙方有权以乙方及/或其关联方的名义进行知识产权登记，并有权开发衍生作品。对甲方所有保密信息、标志和授权称谓，以及由保密信息、标志和授权称谓衍生的、以其为基础或含有其部分内容的相关信息和材料的所有权利、利益均属于甲方，但不包含乙方或第三方合法拥有的信息或材料所拥有的权益。本合同的签署和履行不应被理解为甲方通过明示、暗示或其它方式许可乙方对甲方在现阶段或将来拥有或持有的知识产权享有任何利益。</w:t>
      </w:r>
    </w:p>
    <w:p w14:paraId="72C9DA7A">
      <w:pPr>
        <w:keepNext w:val="0"/>
        <w:keepLines w:val="0"/>
        <w:pageBreakBefore w:val="0"/>
        <w:suppressAutoHyphens/>
        <w:kinsoku/>
        <w:wordWrap/>
        <w:overflowPunct/>
        <w:topLinePunct w:val="0"/>
        <w:bidi w:val="0"/>
        <w:spacing w:line="440" w:lineRule="exact"/>
        <w:ind w:left="0" w:leftChars="0" w:firstLine="480" w:firstLineChars="200"/>
        <w:jc w:val="left"/>
        <w:rPr>
          <w:rFonts w:hint="eastAsia" w:ascii="仿宋" w:hAnsi="仿宋" w:eastAsia="仿宋" w:cs="仿宋"/>
          <w:sz w:val="24"/>
        </w:rPr>
      </w:pPr>
      <w:r>
        <w:rPr>
          <w:rFonts w:hint="eastAsia" w:ascii="仿宋" w:hAnsi="仿宋" w:eastAsia="仿宋" w:cs="仿宋"/>
          <w:sz w:val="24"/>
        </w:rPr>
        <w:t>（2）如乙方发现任何交付成果的知识产权可能有瑕疵，应立即书面通知甲方，并立即采取一切必要措施使交付成果合法化。</w:t>
      </w:r>
    </w:p>
    <w:p w14:paraId="59F814B4">
      <w:pPr>
        <w:keepNext w:val="0"/>
        <w:keepLines w:val="0"/>
        <w:pageBreakBefore w:val="0"/>
        <w:suppressAutoHyphens/>
        <w:kinsoku/>
        <w:wordWrap/>
        <w:overflowPunct/>
        <w:topLinePunct w:val="0"/>
        <w:bidi w:val="0"/>
        <w:spacing w:line="440" w:lineRule="exact"/>
        <w:ind w:left="0" w:leftChars="0" w:firstLine="480" w:firstLineChars="200"/>
        <w:jc w:val="left"/>
        <w:rPr>
          <w:rFonts w:hint="eastAsia" w:ascii="仿宋" w:hAnsi="仿宋" w:eastAsia="仿宋" w:cs="仿宋"/>
          <w:sz w:val="24"/>
        </w:rPr>
      </w:pPr>
      <w:r>
        <w:rPr>
          <w:rFonts w:hint="eastAsia" w:ascii="仿宋" w:hAnsi="仿宋" w:eastAsia="仿宋" w:cs="仿宋"/>
          <w:sz w:val="24"/>
        </w:rPr>
        <w:t>（3）本条规定自本合同生效之日起即应履行，长期有效，并且不受本合同届满、提前终止或本合同中其他条款的无效或履行完毕等情形的影响。</w:t>
      </w:r>
    </w:p>
    <w:p w14:paraId="5F17DA26">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kern w:val="0"/>
          <w:sz w:val="24"/>
        </w:rPr>
      </w:pPr>
      <w:r>
        <w:rPr>
          <w:rFonts w:hint="eastAsia" w:ascii="仿宋" w:hAnsi="仿宋" w:eastAsia="仿宋" w:cs="仿宋"/>
          <w:b/>
          <w:kern w:val="0"/>
          <w:sz w:val="24"/>
        </w:rPr>
        <w:t>14、</w:t>
      </w:r>
      <w:r>
        <w:rPr>
          <w:rFonts w:hint="eastAsia" w:ascii="仿宋" w:hAnsi="仿宋" w:eastAsia="仿宋" w:cs="仿宋"/>
          <w:b/>
          <w:bCs/>
          <w:kern w:val="0"/>
          <w:sz w:val="24"/>
        </w:rPr>
        <w:t>第三方知识产权</w:t>
      </w:r>
    </w:p>
    <w:p w14:paraId="79E19F1C">
      <w:pPr>
        <w:keepNext w:val="0"/>
        <w:keepLines w:val="0"/>
        <w:pageBreakBefore w:val="0"/>
        <w:suppressAutoHyphens/>
        <w:kinsoku/>
        <w:wordWrap/>
        <w:overflowPunct/>
        <w:topLinePunct w:val="0"/>
        <w:bidi w:val="0"/>
        <w:spacing w:line="440" w:lineRule="exact"/>
        <w:ind w:left="0" w:leftChars="0" w:firstLine="480" w:firstLineChars="200"/>
        <w:jc w:val="left"/>
        <w:rPr>
          <w:rFonts w:hint="eastAsia" w:ascii="仿宋" w:hAnsi="仿宋" w:eastAsia="仿宋" w:cs="仿宋"/>
          <w:sz w:val="24"/>
        </w:rPr>
      </w:pPr>
      <w:r>
        <w:rPr>
          <w:rFonts w:hint="eastAsia" w:ascii="仿宋" w:hAnsi="仿宋" w:eastAsia="仿宋" w:cs="仿宋"/>
          <w:sz w:val="24"/>
        </w:rPr>
        <w:t>乙方保证乙方交付的成果不会侵犯甲方及任何第三方的知识产权或合法权益，并保证甲方及甲方利益相关方免于遭受任何第三方基于本合同交付成果而提起任何知识产权诉讼或其他异议。如果任何第三方基于本合同交付成果而针对甲方或甲方利益相关方提起任何知识产权等侵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7643DC03">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kern w:val="0"/>
          <w:sz w:val="24"/>
        </w:rPr>
      </w:pPr>
      <w:r>
        <w:rPr>
          <w:rFonts w:hint="eastAsia" w:ascii="仿宋" w:hAnsi="仿宋" w:eastAsia="仿宋" w:cs="仿宋"/>
          <w:b/>
          <w:kern w:val="0"/>
          <w:sz w:val="24"/>
        </w:rPr>
        <w:t>15、</w:t>
      </w:r>
      <w:r>
        <w:rPr>
          <w:rFonts w:hint="eastAsia" w:ascii="仿宋" w:hAnsi="仿宋" w:eastAsia="仿宋" w:cs="仿宋"/>
          <w:b/>
          <w:bCs/>
          <w:kern w:val="0"/>
          <w:sz w:val="24"/>
        </w:rPr>
        <w:t>风险责任的承担</w:t>
      </w:r>
    </w:p>
    <w:p w14:paraId="5354704C">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乙方在研究开发过程中，由于受现有的科学知识、技术水平或试验条件的限制，发生无法预见、无法防止或无法克服的技术困难，导致研究开发工作全部或部分失败，该风险责任的损失由双方共同承担，即根据损失的金额各自承担50%。</w:t>
      </w:r>
    </w:p>
    <w:p w14:paraId="2C866780">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（2）确定上述风险必须同时具备以下三个条件：</w:t>
      </w:r>
    </w:p>
    <w:p w14:paraId="7F3AA3B1">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研究开发的项目本身在国际和国内现有技术水平下具有足够的难度；</w:t>
      </w:r>
    </w:p>
    <w:p w14:paraId="429C769C">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研究开发方在开发过程中已充分发挥了主观的努力；</w:t>
      </w:r>
    </w:p>
    <w:p w14:paraId="5C5FDAE5">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同领域的专家认为在技术上是属于合理的失败。</w:t>
      </w:r>
    </w:p>
    <w:p w14:paraId="47B507A8">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（3）乙方发现可能致使研究开发失败或部分失败的情形时，应当及时通知甲方并采取适当措施减少损失。没有及时通知并采取适当措施，致使损失扩大的，乙方应当就扩大的损失承担责任。</w:t>
      </w:r>
    </w:p>
    <w:p w14:paraId="635F8C36">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b/>
          <w:kern w:val="0"/>
          <w:sz w:val="24"/>
        </w:rPr>
      </w:pPr>
      <w:r>
        <w:rPr>
          <w:rFonts w:hint="eastAsia" w:ascii="仿宋" w:hAnsi="仿宋" w:eastAsia="仿宋" w:cs="仿宋"/>
          <w:b/>
          <w:kern w:val="0"/>
          <w:sz w:val="24"/>
        </w:rPr>
        <w:t>16、违约与赔偿</w:t>
      </w:r>
    </w:p>
    <w:p w14:paraId="2285D2B8">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（1）甲方未按本合同规定支付第一期研究开发报酬，乙方有权解除合同。</w:t>
      </w:r>
    </w:p>
    <w:p w14:paraId="66ABB175">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（2）甲方逾期支付第二期开发研究报酬的，自逾期的第二天起，每逾期一天支付应付报酬额的0.05%违约金，违约金总额不超过应付款额。</w:t>
      </w:r>
    </w:p>
    <w:p w14:paraId="7EA2E4DC">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乙方未按计划或不实施研究开发工作，甲方有权要求乙方实施研究开发计划并采取补救措施。如乙方逾期一个月仍未按计划或不实施研究开发工作，甲方有权解除本合同，并且乙方应在二周内返还所有甲方提供的研究开发报酬，返还或销毁甲方提供的有关技术资料和文件，并承担本合同报酬总额20%的违约金。</w:t>
      </w:r>
    </w:p>
    <w:p w14:paraId="06F476F9">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4）乙方应按本合同规定的研究开发进程完成开发项目。如乙方逾期完成开发项目，甲方将给予乙方一个月的宽限期，并且不追究乙方的违约责任。但宽限期满后，乙方仍未完成开发项目，其违约责任应追溯到本合同规定的违约的第一天起，每延期一天向甲方支付本合同开发研究报酬总额的0.05%违约金，违约金总额不超过本合同开发研究报酬总额的50%。</w:t>
      </w:r>
    </w:p>
    <w:p w14:paraId="7FB47061">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（5）乙方将甲方支付的研发经费用于履行合同以外的目的，甲方有权制止并要求其纠正。如因此造成本合同研究开发项目停滞、延误或失败的，乙方应当承担给甲方造成的损失赔偿责任。</w:t>
      </w:r>
    </w:p>
    <w:p w14:paraId="29965A1F">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kern w:val="0"/>
          <w:sz w:val="24"/>
        </w:rPr>
      </w:pPr>
      <w:r>
        <w:rPr>
          <w:rFonts w:hint="eastAsia" w:ascii="仿宋" w:hAnsi="仿宋" w:eastAsia="仿宋" w:cs="仿宋"/>
          <w:b/>
          <w:kern w:val="0"/>
          <w:sz w:val="24"/>
        </w:rPr>
        <w:t>17、</w:t>
      </w:r>
      <w:r>
        <w:rPr>
          <w:rFonts w:hint="eastAsia" w:ascii="仿宋" w:hAnsi="仿宋" w:eastAsia="仿宋" w:cs="仿宋"/>
          <w:b/>
          <w:bCs/>
          <w:kern w:val="0"/>
          <w:sz w:val="24"/>
        </w:rPr>
        <w:t>不可抗力</w:t>
      </w:r>
    </w:p>
    <w:p w14:paraId="65C1E6F9">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（1）不可抗力是指本合同生效后，发生不能预见并且对其发生和后果不能防止或避免的事件，如地震、台风、水灾、火灾、战争等，致使直接影响本合同的履行或不能按约定的条件履行。</w:t>
      </w:r>
    </w:p>
    <w:p w14:paraId="74BCD593">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（2）发生不可抗力的一方应立即通知对方，并在十五天内提供不可抗力的详情及将有关证明文件送交对方。</w:t>
      </w:r>
    </w:p>
    <w:p w14:paraId="4972FBF2">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（3）发生不可抗力事件时，甲乙双方应协商以寻找一个合理的解决方法，并尽一切努力减轻不可抗力产生的后果。</w:t>
      </w:r>
    </w:p>
    <w:p w14:paraId="2782D6F7">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（4）如不可抗力事件持续三十天时，甲乙双方应友好协商解决本合同是否继续履行或终止的问题。</w:t>
      </w:r>
    </w:p>
    <w:p w14:paraId="509D5E06">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kern w:val="0"/>
          <w:sz w:val="24"/>
        </w:rPr>
      </w:pPr>
      <w:r>
        <w:rPr>
          <w:rFonts w:hint="eastAsia" w:ascii="仿宋" w:hAnsi="仿宋" w:eastAsia="仿宋" w:cs="仿宋"/>
          <w:b/>
          <w:bCs/>
          <w:kern w:val="0"/>
          <w:sz w:val="24"/>
        </w:rPr>
        <w:t>18、解除合同</w:t>
      </w:r>
    </w:p>
    <w:p w14:paraId="29963CDA">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（1）如果满足以下条件，任一方在通知对方后，都可以解除本合同。</w:t>
      </w:r>
    </w:p>
    <w:p w14:paraId="737C662A">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4A2A1073">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当一方按正常程序停止经营业务、破产、处于付款拖欠、延期偿付、公司重组或倒闭状况，或全部转让利润于债权人、书面承认无力偿还到期债务、委派清算人清算其业务或财产，或参与或接受与破产或债权人权利有关的法律或行政诉讼程序时。</w:t>
      </w:r>
    </w:p>
    <w:p w14:paraId="489CC26F">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（4）当本合同以任何原因终止时，乙方应立即停止使用并销毁包含甲方机密信息的所有物件，并证明该销毁情况；或者将这些物件归还对方。</w:t>
      </w:r>
    </w:p>
    <w:p w14:paraId="70B42BDD">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b/>
          <w:kern w:val="0"/>
          <w:sz w:val="24"/>
        </w:rPr>
      </w:pPr>
      <w:r>
        <w:rPr>
          <w:rFonts w:hint="eastAsia" w:ascii="仿宋" w:hAnsi="仿宋" w:eastAsia="仿宋" w:cs="仿宋"/>
          <w:b/>
          <w:kern w:val="0"/>
          <w:sz w:val="24"/>
        </w:rPr>
        <w:t>19、争议解决</w:t>
      </w:r>
    </w:p>
    <w:p w14:paraId="430B0D51">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（1）本合同及其修订本的有效性、履行和与本合同及其修订本效力有关的所有事宜，将受中华人民共和国法律管辖，任何争议仅适用中华人民共和国法律。</w:t>
      </w:r>
    </w:p>
    <w:p w14:paraId="3CC74207">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（2）甲乙双方因合同的解释或履行发生争议时，首先应争取通过友好协商解决，该协商应在三十天内解决。</w:t>
      </w:r>
    </w:p>
    <w:p w14:paraId="28A329E0">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（3）如协商不能解决时，合同的任何一方可依法向甲方所在地人民法院提起诉讼。</w:t>
      </w:r>
    </w:p>
    <w:p w14:paraId="12FB401E">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（4）争议进行期间，除争议事项外，甲乙双方应继续履行各自本合同中规定的义务和行使权利。</w:t>
      </w:r>
    </w:p>
    <w:p w14:paraId="475460FF">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kern w:val="0"/>
          <w:sz w:val="24"/>
        </w:rPr>
      </w:pPr>
      <w:r>
        <w:rPr>
          <w:rFonts w:hint="eastAsia" w:ascii="仿宋" w:hAnsi="仿宋" w:eastAsia="仿宋" w:cs="仿宋"/>
          <w:b/>
          <w:kern w:val="0"/>
          <w:sz w:val="24"/>
        </w:rPr>
        <w:t>20、</w:t>
      </w:r>
      <w:r>
        <w:rPr>
          <w:rFonts w:hint="eastAsia" w:ascii="仿宋" w:hAnsi="仿宋" w:eastAsia="仿宋" w:cs="仿宋"/>
          <w:b/>
          <w:bCs/>
          <w:kern w:val="0"/>
          <w:sz w:val="24"/>
        </w:rPr>
        <w:t>一般条款</w:t>
      </w:r>
    </w:p>
    <w:p w14:paraId="154CA8D4">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除非本合同另有规定，任何一方对本合同提出的任何弃权、修改或更改须以书面形式提交给对方，并经对方签字认可，否则本合同的任何条款均不得视作已被弃权、修改或更改。本合同的修改或变更，须由双方友好协商并经授权代表签署书面文件方可生效。</w:t>
      </w:r>
    </w:p>
    <w:p w14:paraId="47363D74">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（2）如本合同的一条或者一条以上的条款被适用法律视为无法实施，则：</w:t>
      </w:r>
    </w:p>
    <w:p w14:paraId="75015037">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该无法实施的条款不会影响到本合同中其他任何条款；</w:t>
      </w:r>
    </w:p>
    <w:p w14:paraId="118D515A">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本合同应被视为从未包含该无法实施的条款；</w:t>
      </w:r>
    </w:p>
    <w:p w14:paraId="1C184697">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双方应本着诚信的原则商议，用一条意思最接近的条款替换该无法实施的条款。</w:t>
      </w:r>
    </w:p>
    <w:p w14:paraId="43F3B088">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（3）合同各方在此声明并保证：</w:t>
      </w:r>
    </w:p>
    <w:p w14:paraId="10E83554">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代表各方签署本合同的人员拥有明确的授权，其签字对签约方具有约束力；</w:t>
      </w:r>
    </w:p>
    <w:p w14:paraId="6BB4D3C7">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本合同的执行、递交与履行不会违反各方公司的章程、规定；</w:t>
      </w:r>
    </w:p>
    <w:p w14:paraId="0ECF776B">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本合同的执行、递交与履行已经得到全部所需合作方或公司行为的正式授权；并且本合同已对上述方形成了有效的、具有约束力的同时能按其条款执行的义务。</w:t>
      </w:r>
    </w:p>
    <w:p w14:paraId="7B261384">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（4）双方同意，本合同条款的上下文如果表示出该条款在本合同有效期后仍然有效，则该条款在本合同有效期后应继续保持有效。</w:t>
      </w:r>
    </w:p>
    <w:p w14:paraId="0777B9F1">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（5）本合同与附件构成双方间的完整的合同，并将取代之前所有的书面或口头、执行或未执行的讨论、合同或声明。未经双方授权代表再签定正式合同，本合同将不作变化、增删和修改或其他活动。</w:t>
      </w:r>
    </w:p>
    <w:p w14:paraId="2EC10255">
      <w:pPr>
        <w:keepNext w:val="0"/>
        <w:keepLines w:val="0"/>
        <w:pageBreakBefore w:val="0"/>
        <w:suppressAutoHyphens/>
        <w:kinsoku/>
        <w:wordWrap/>
        <w:overflowPunct/>
        <w:topLinePunct w:val="0"/>
        <w:bidi w:val="0"/>
        <w:spacing w:line="440" w:lineRule="exact"/>
        <w:ind w:left="0" w:leftChars="0" w:firstLine="482" w:firstLineChars="200"/>
        <w:jc w:val="left"/>
        <w:rPr>
          <w:rFonts w:hint="eastAsia" w:ascii="仿宋" w:hAnsi="仿宋" w:eastAsia="仿宋" w:cs="仿宋"/>
          <w:kern w:val="0"/>
          <w:sz w:val="24"/>
        </w:rPr>
      </w:pPr>
      <w:r>
        <w:rPr>
          <w:rFonts w:hint="eastAsia" w:ascii="仿宋" w:hAnsi="仿宋" w:eastAsia="仿宋" w:cs="仿宋"/>
          <w:b/>
          <w:kern w:val="0"/>
          <w:sz w:val="24"/>
        </w:rPr>
        <w:t>21、</w:t>
      </w:r>
      <w:r>
        <w:rPr>
          <w:rFonts w:hint="eastAsia" w:ascii="仿宋" w:hAnsi="仿宋" w:eastAsia="仿宋" w:cs="仿宋"/>
          <w:b/>
          <w:bCs/>
          <w:kern w:val="0"/>
          <w:sz w:val="24"/>
        </w:rPr>
        <w:t>合同确认</w:t>
      </w:r>
    </w:p>
    <w:p w14:paraId="51EA43A7">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（1）本合同一式陆份，甲乙双方各持叁份，自合同各方授权代表签字之日起生效。</w:t>
      </w:r>
    </w:p>
    <w:p w14:paraId="21CDC52E">
      <w:pPr>
        <w:keepNext w:val="0"/>
        <w:keepLines w:val="0"/>
        <w:pageBreakBefore w:val="0"/>
        <w:widowControl/>
        <w:kinsoku/>
        <w:wordWrap/>
        <w:overflowPunct/>
        <w:topLinePunct w:val="0"/>
        <w:autoSpaceDE w:val="0"/>
        <w:autoSpaceDN w:val="0"/>
        <w:bidi w:val="0"/>
        <w:spacing w:line="440" w:lineRule="exact"/>
        <w:ind w:left="0" w:leftChars="0" w:firstLine="480" w:firstLineChars="200"/>
        <w:textAlignment w:val="bottom"/>
        <w:rPr>
          <w:rFonts w:hint="eastAsia" w:ascii="仿宋" w:hAnsi="仿宋" w:eastAsia="仿宋" w:cs="仿宋"/>
          <w:sz w:val="24"/>
        </w:rPr>
      </w:pPr>
      <w:r>
        <w:rPr>
          <w:rFonts w:hint="eastAsia" w:ascii="仿宋" w:hAnsi="仿宋" w:eastAsia="仿宋" w:cs="仿宋"/>
          <w:sz w:val="24"/>
        </w:rPr>
        <w:t>（2）本合同未尽事宜，按中华人民共和国有关法律、法规办理。</w:t>
      </w:r>
    </w:p>
    <w:p w14:paraId="4D260335">
      <w:pPr>
        <w:pStyle w:val="620"/>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szCs w:val="24"/>
          <w:lang w:eastAsia="zh-CN"/>
        </w:rPr>
      </w:pPr>
    </w:p>
    <w:p w14:paraId="62B1CAE2">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 xml:space="preserve">甲方（盖章）：                             乙方（盖章）：        </w:t>
      </w:r>
    </w:p>
    <w:p w14:paraId="6CB2C342">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 xml:space="preserve">法定代表人                                 法定代表人                 </w:t>
      </w:r>
    </w:p>
    <w:p w14:paraId="6926461A">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 xml:space="preserve">或受委托人（签字）：                       或受委托人（签字）：                  </w:t>
      </w:r>
    </w:p>
    <w:p w14:paraId="3DAE9D68">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联系人：                                   联系人：</w:t>
      </w:r>
    </w:p>
    <w:p w14:paraId="49866C87">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 xml:space="preserve">地址：                                     地址： </w:t>
      </w:r>
    </w:p>
    <w:p w14:paraId="6FC44373">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电话：                                     电话：</w:t>
      </w:r>
    </w:p>
    <w:p w14:paraId="28D227F7">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传真：                                     传真：</w:t>
      </w:r>
    </w:p>
    <w:p w14:paraId="5D1F385D">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14:paraId="50EE1A30">
      <w:pPr>
        <w:keepNext w:val="0"/>
        <w:keepLines w:val="0"/>
        <w:pageBreakBefore w:val="0"/>
        <w:kinsoku/>
        <w:wordWrap/>
        <w:overflowPunct/>
        <w:topLinePunct w:val="0"/>
        <w:bidi w:val="0"/>
        <w:adjustRightInd w:val="0"/>
        <w:snapToGri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账号：                                     账号：</w:t>
      </w:r>
    </w:p>
    <w:p w14:paraId="02F51E6A">
      <w:pPr>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szCs w:val="24"/>
        </w:rPr>
        <w:t>签订日期：                                签订日期：</w:t>
      </w:r>
    </w:p>
    <w:p w14:paraId="66225F17">
      <w:pPr>
        <w:keepNext w:val="0"/>
        <w:keepLines w:val="0"/>
        <w:pageBreakBefore w:val="0"/>
        <w:kinsoku/>
        <w:wordWrap/>
        <w:overflowPunct/>
        <w:topLinePunct w:val="0"/>
        <w:bidi w:val="0"/>
        <w:spacing w:line="440" w:lineRule="exact"/>
        <w:ind w:left="0" w:leftChars="0" w:firstLine="480" w:firstLineChars="200"/>
        <w:rPr>
          <w:rFonts w:hint="eastAsia" w:ascii="仿宋" w:hAnsi="仿宋" w:eastAsia="仿宋" w:cs="仿宋"/>
          <w:sz w:val="24"/>
        </w:rPr>
      </w:pPr>
    </w:p>
    <w:p w14:paraId="16B86872">
      <w:pPr>
        <w:keepNext w:val="0"/>
        <w:keepLines w:val="0"/>
        <w:pageBreakBefore w:val="0"/>
        <w:kinsoku/>
        <w:wordWrap/>
        <w:overflowPunct/>
        <w:topLinePunct w:val="0"/>
        <w:bidi w:val="0"/>
        <w:spacing w:line="440" w:lineRule="exact"/>
        <w:ind w:left="0" w:leftChars="0" w:firstLine="482" w:firstLineChars="200"/>
        <w:rPr>
          <w:rFonts w:hint="eastAsia" w:ascii="仿宋" w:hAnsi="仿宋" w:eastAsia="仿宋" w:cs="仿宋"/>
        </w:rPr>
      </w:pPr>
      <w:r>
        <w:rPr>
          <w:rFonts w:hint="eastAsia" w:ascii="仿宋" w:hAnsi="仿宋" w:eastAsia="仿宋" w:cs="仿宋"/>
          <w:b/>
          <w:sz w:val="24"/>
        </w:rPr>
        <w:t>注：本合同作为示范文本，具体以中标供应商与采购人所签订正式合同为准</w:t>
      </w:r>
      <w:r>
        <w:rPr>
          <w:rFonts w:hint="eastAsia" w:ascii="仿宋" w:hAnsi="仿宋" w:eastAsia="仿宋" w:cs="仿宋"/>
          <w:sz w:val="24"/>
        </w:rPr>
        <w:t>。</w:t>
      </w:r>
    </w:p>
    <w:p w14:paraId="757239F3">
      <w:pPr>
        <w:pStyle w:val="86"/>
        <w:rPr>
          <w:rFonts w:hint="eastAsia" w:ascii="仿宋" w:hAnsi="仿宋" w:eastAsia="仿宋" w:cs="仿宋"/>
        </w:rPr>
      </w:pPr>
    </w:p>
    <w:p w14:paraId="6DE2E7EE">
      <w:pPr>
        <w:pStyle w:val="9"/>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rPr>
      </w:pPr>
    </w:p>
    <w:bookmarkEnd w:id="90"/>
    <w:p w14:paraId="52A31FBA">
      <w:pPr>
        <w:pStyle w:val="48"/>
        <w:snapToGrid w:val="0"/>
        <w:spacing w:line="380" w:lineRule="exact"/>
        <w:ind w:firstLine="723" w:firstLineChars="200"/>
        <w:jc w:val="center"/>
        <w:rPr>
          <w:rFonts w:hint="eastAsia" w:ascii="仿宋" w:hAnsi="仿宋" w:eastAsia="仿宋" w:cs="仿宋"/>
          <w:b/>
          <w:sz w:val="36"/>
          <w:highlight w:val="none"/>
        </w:rPr>
      </w:pPr>
    </w:p>
    <w:p w14:paraId="206E033B">
      <w:pPr>
        <w:pStyle w:val="76"/>
        <w:rPr>
          <w:rFonts w:hint="eastAsia" w:ascii="仿宋" w:hAnsi="仿宋" w:eastAsia="仿宋" w:cs="仿宋"/>
          <w:b/>
          <w:sz w:val="36"/>
          <w:highlight w:val="none"/>
        </w:rPr>
      </w:pPr>
    </w:p>
    <w:p w14:paraId="2282946B">
      <w:pPr>
        <w:rPr>
          <w:rFonts w:hint="eastAsia" w:ascii="仿宋" w:hAnsi="仿宋" w:eastAsia="仿宋" w:cs="仿宋"/>
          <w:b/>
          <w:sz w:val="36"/>
          <w:highlight w:val="none"/>
        </w:rPr>
      </w:pPr>
    </w:p>
    <w:p w14:paraId="570125D6">
      <w:pPr>
        <w:pStyle w:val="5"/>
        <w:rPr>
          <w:rFonts w:hint="eastAsia" w:ascii="仿宋" w:hAnsi="仿宋" w:eastAsia="仿宋" w:cs="仿宋"/>
        </w:rPr>
      </w:pPr>
    </w:p>
    <w:p w14:paraId="13532453">
      <w:pPr>
        <w:pStyle w:val="48"/>
        <w:snapToGrid w:val="0"/>
        <w:spacing w:line="380" w:lineRule="exact"/>
        <w:ind w:firstLine="723" w:firstLineChars="200"/>
        <w:jc w:val="center"/>
        <w:rPr>
          <w:rFonts w:hint="eastAsia" w:ascii="仿宋" w:hAnsi="仿宋" w:eastAsia="仿宋" w:cs="仿宋"/>
          <w:b/>
          <w:sz w:val="36"/>
          <w:highlight w:val="none"/>
        </w:rPr>
      </w:pPr>
    </w:p>
    <w:p w14:paraId="1928354C">
      <w:pPr>
        <w:pStyle w:val="49"/>
        <w:rPr>
          <w:rFonts w:hint="eastAsia" w:ascii="仿宋" w:hAnsi="仿宋" w:eastAsia="仿宋" w:cs="仿宋"/>
          <w:b/>
          <w:sz w:val="36"/>
          <w:highlight w:val="none"/>
        </w:rPr>
      </w:pPr>
    </w:p>
    <w:p w14:paraId="2D8739A5">
      <w:pPr>
        <w:pStyle w:val="49"/>
        <w:rPr>
          <w:rFonts w:hint="eastAsia" w:ascii="仿宋" w:hAnsi="仿宋" w:eastAsia="仿宋" w:cs="仿宋"/>
          <w:b/>
          <w:sz w:val="36"/>
          <w:highlight w:val="none"/>
        </w:rPr>
      </w:pPr>
    </w:p>
    <w:p w14:paraId="1F84B8F2">
      <w:pPr>
        <w:pStyle w:val="48"/>
        <w:snapToGrid w:val="0"/>
        <w:spacing w:line="380" w:lineRule="exact"/>
        <w:ind w:firstLine="723" w:firstLineChars="200"/>
        <w:jc w:val="center"/>
        <w:rPr>
          <w:rFonts w:hint="eastAsia" w:ascii="仿宋" w:hAnsi="仿宋" w:eastAsia="仿宋" w:cs="仿宋"/>
          <w:b/>
          <w:sz w:val="24"/>
          <w:highlight w:val="none"/>
        </w:rPr>
      </w:pPr>
      <w:r>
        <w:rPr>
          <w:rFonts w:hint="eastAsia" w:ascii="仿宋" w:hAnsi="仿宋" w:eastAsia="仿宋" w:cs="仿宋"/>
          <w:b/>
          <w:sz w:val="36"/>
          <w:highlight w:val="none"/>
        </w:rPr>
        <w:t xml:space="preserve">第五部分 </w:t>
      </w:r>
      <w:bookmarkEnd w:id="88"/>
      <w:bookmarkEnd w:id="89"/>
      <w:r>
        <w:rPr>
          <w:rFonts w:hint="eastAsia" w:ascii="仿宋" w:hAnsi="仿宋" w:eastAsia="仿宋" w:cs="仿宋"/>
          <w:b/>
          <w:sz w:val="36"/>
          <w:highlight w:val="none"/>
        </w:rPr>
        <w:t>应提交的有关格式</w:t>
      </w:r>
    </w:p>
    <w:p w14:paraId="4D812621">
      <w:pPr>
        <w:pStyle w:val="48"/>
        <w:adjustRightInd w:val="0"/>
        <w:snapToGrid w:val="0"/>
        <w:spacing w:line="360" w:lineRule="auto"/>
        <w:jc w:val="center"/>
        <w:outlineLvl w:val="1"/>
        <w:rPr>
          <w:rFonts w:hint="eastAsia" w:ascii="仿宋" w:hAnsi="仿宋" w:eastAsia="仿宋" w:cs="仿宋"/>
          <w:b/>
          <w:sz w:val="28"/>
          <w:highlight w:val="none"/>
          <w:lang w:val="zh-CN"/>
        </w:rPr>
      </w:pPr>
      <w:bookmarkStart w:id="92" w:name="_Toc519670202"/>
      <w:bookmarkStart w:id="93" w:name="_Toc2553"/>
      <w:bookmarkStart w:id="94" w:name="_Toc233618990"/>
      <w:bookmarkStart w:id="95" w:name="_Toc522530052"/>
      <w:bookmarkStart w:id="96" w:name="_Toc233618989"/>
    </w:p>
    <w:p w14:paraId="79291D48">
      <w:pPr>
        <w:spacing w:line="500" w:lineRule="exact"/>
        <w:jc w:val="center"/>
        <w:rPr>
          <w:rFonts w:hint="eastAsia" w:ascii="仿宋" w:hAnsi="仿宋" w:eastAsia="仿宋" w:cs="仿宋"/>
          <w:b/>
          <w:bCs/>
          <w:color w:val="auto"/>
          <w:sz w:val="28"/>
          <w:szCs w:val="24"/>
        </w:rPr>
      </w:pPr>
      <w:r>
        <w:rPr>
          <w:rFonts w:hint="eastAsia" w:ascii="仿宋" w:hAnsi="仿宋" w:eastAsia="仿宋" w:cs="仿宋"/>
          <w:b/>
          <w:bCs/>
          <w:color w:val="auto"/>
          <w:sz w:val="28"/>
          <w:szCs w:val="28"/>
        </w:rPr>
        <w:t>一、</w:t>
      </w:r>
      <w:r>
        <w:rPr>
          <w:rFonts w:hint="eastAsia" w:ascii="仿宋" w:hAnsi="仿宋" w:eastAsia="仿宋" w:cs="仿宋"/>
          <w:b/>
          <w:bCs/>
          <w:color w:val="auto"/>
          <w:sz w:val="28"/>
          <w:szCs w:val="24"/>
        </w:rPr>
        <w:t>资格审查文件</w:t>
      </w:r>
    </w:p>
    <w:p w14:paraId="213A4841">
      <w:pPr>
        <w:autoSpaceDE w:val="0"/>
        <w:autoSpaceDN w:val="0"/>
        <w:adjustRightInd w:val="0"/>
        <w:spacing w:line="600" w:lineRule="exact"/>
        <w:rPr>
          <w:rFonts w:hint="eastAsia" w:ascii="仿宋" w:hAnsi="仿宋" w:eastAsia="仿宋" w:cs="仿宋"/>
          <w:bCs/>
          <w:color w:val="auto"/>
          <w:sz w:val="30"/>
          <w:szCs w:val="30"/>
          <w:highlight w:val="yellow"/>
          <w:lang w:val="zh-CN"/>
        </w:rPr>
      </w:pPr>
    </w:p>
    <w:p w14:paraId="5948DE99">
      <w:pPr>
        <w:autoSpaceDE w:val="0"/>
        <w:autoSpaceDN w:val="0"/>
        <w:adjustRightInd w:val="0"/>
        <w:spacing w:line="600" w:lineRule="exact"/>
        <w:rPr>
          <w:rFonts w:hint="eastAsia" w:ascii="仿宋" w:hAnsi="仿宋" w:eastAsia="仿宋" w:cs="仿宋"/>
          <w:bCs/>
          <w:color w:val="auto"/>
          <w:sz w:val="30"/>
          <w:szCs w:val="30"/>
          <w:highlight w:val="yellow"/>
          <w:lang w:val="zh-CN"/>
        </w:rPr>
      </w:pPr>
    </w:p>
    <w:p w14:paraId="1F94397C">
      <w:pPr>
        <w:pStyle w:val="442"/>
        <w:rPr>
          <w:rFonts w:hint="eastAsia" w:ascii="仿宋" w:hAnsi="仿宋" w:eastAsia="仿宋" w:cs="仿宋"/>
          <w:color w:val="auto"/>
          <w:lang w:val="zh-CN"/>
        </w:rPr>
      </w:pPr>
    </w:p>
    <w:p w14:paraId="5FC7E298">
      <w:pPr>
        <w:autoSpaceDE w:val="0"/>
        <w:autoSpaceDN w:val="0"/>
        <w:adjustRightInd w:val="0"/>
        <w:spacing w:line="600" w:lineRule="exact"/>
        <w:jc w:val="center"/>
        <w:rPr>
          <w:rFonts w:hint="eastAsia" w:ascii="仿宋" w:hAnsi="仿宋" w:eastAsia="仿宋" w:cs="仿宋"/>
          <w:bCs/>
          <w:color w:val="auto"/>
          <w:sz w:val="52"/>
          <w:szCs w:val="52"/>
          <w:lang w:val="zh-CN"/>
        </w:rPr>
      </w:pPr>
      <w:r>
        <w:rPr>
          <w:rFonts w:hint="eastAsia" w:ascii="仿宋" w:hAnsi="仿宋" w:eastAsia="仿宋" w:cs="仿宋"/>
          <w:bCs/>
          <w:color w:val="auto"/>
          <w:sz w:val="52"/>
          <w:szCs w:val="52"/>
          <w:lang w:val="zh-CN"/>
        </w:rPr>
        <w:t>投标文件</w:t>
      </w:r>
    </w:p>
    <w:p w14:paraId="37FA10AC">
      <w:pPr>
        <w:autoSpaceDE w:val="0"/>
        <w:autoSpaceDN w:val="0"/>
        <w:adjustRightInd w:val="0"/>
        <w:spacing w:line="600" w:lineRule="exact"/>
        <w:rPr>
          <w:rFonts w:hint="eastAsia" w:ascii="仿宋" w:hAnsi="仿宋" w:eastAsia="仿宋" w:cs="仿宋"/>
          <w:bCs/>
          <w:color w:val="auto"/>
          <w:sz w:val="24"/>
          <w:szCs w:val="24"/>
          <w:lang w:val="zh-CN"/>
        </w:rPr>
      </w:pPr>
    </w:p>
    <w:p w14:paraId="68B79C19">
      <w:pPr>
        <w:autoSpaceDE w:val="0"/>
        <w:autoSpaceDN w:val="0"/>
        <w:adjustRightInd w:val="0"/>
        <w:spacing w:line="600" w:lineRule="exact"/>
        <w:rPr>
          <w:rFonts w:hint="eastAsia" w:ascii="仿宋" w:hAnsi="仿宋" w:eastAsia="仿宋" w:cs="仿宋"/>
          <w:bCs/>
          <w:color w:val="auto"/>
          <w:sz w:val="24"/>
          <w:szCs w:val="24"/>
          <w:lang w:val="zh-CN"/>
        </w:rPr>
      </w:pPr>
    </w:p>
    <w:p w14:paraId="00D8C337">
      <w:pPr>
        <w:snapToGrid w:val="0"/>
        <w:spacing w:line="600" w:lineRule="exact"/>
        <w:rPr>
          <w:rFonts w:hint="eastAsia" w:ascii="仿宋" w:hAnsi="仿宋" w:eastAsia="仿宋" w:cs="仿宋"/>
          <w:color w:val="auto"/>
          <w:sz w:val="24"/>
          <w:szCs w:val="24"/>
        </w:rPr>
      </w:pPr>
    </w:p>
    <w:p w14:paraId="077CB417">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0DD20932">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14:paraId="1AF53D94">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投标文件名称：（资格审查文件）</w:t>
      </w:r>
    </w:p>
    <w:p w14:paraId="340BE8DF">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供应商名称（盖章或电子签章）</w:t>
      </w:r>
      <w:r>
        <w:rPr>
          <w:rFonts w:hint="eastAsia" w:ascii="仿宋" w:hAnsi="仿宋" w:eastAsia="仿宋" w:cs="仿宋"/>
          <w:color w:val="auto"/>
          <w:sz w:val="24"/>
          <w:szCs w:val="24"/>
        </w:rPr>
        <w:t>：</w:t>
      </w:r>
    </w:p>
    <w:p w14:paraId="1BBE813B">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法定代表人或其授权代表（签字或盖章或电子签章）：</w:t>
      </w:r>
    </w:p>
    <w:p w14:paraId="76D1AAB2">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投标人地址：</w:t>
      </w:r>
    </w:p>
    <w:p w14:paraId="49D6D239">
      <w:pPr>
        <w:autoSpaceDE w:val="0"/>
        <w:autoSpaceDN w:val="0"/>
        <w:adjustRightInd w:val="0"/>
        <w:spacing w:line="400" w:lineRule="exact"/>
        <w:jc w:val="center"/>
        <w:rPr>
          <w:rFonts w:hint="eastAsia" w:ascii="仿宋" w:hAnsi="仿宋" w:eastAsia="仿宋" w:cs="仿宋"/>
          <w:bCs/>
          <w:color w:val="auto"/>
          <w:sz w:val="30"/>
          <w:szCs w:val="30"/>
          <w:lang w:val="zh-CN"/>
        </w:rPr>
      </w:pPr>
    </w:p>
    <w:p w14:paraId="380B1758">
      <w:pPr>
        <w:pStyle w:val="442"/>
        <w:rPr>
          <w:rFonts w:hint="eastAsia" w:ascii="仿宋" w:hAnsi="仿宋" w:eastAsia="仿宋" w:cs="仿宋"/>
          <w:color w:val="auto"/>
        </w:rPr>
      </w:pPr>
    </w:p>
    <w:p w14:paraId="03A81BE6">
      <w:pPr>
        <w:pStyle w:val="442"/>
        <w:rPr>
          <w:rFonts w:hint="eastAsia" w:ascii="仿宋" w:hAnsi="仿宋" w:eastAsia="仿宋" w:cs="仿宋"/>
          <w:color w:val="auto"/>
        </w:rPr>
      </w:pPr>
    </w:p>
    <w:p w14:paraId="57C2AA6D">
      <w:pPr>
        <w:pStyle w:val="442"/>
        <w:rPr>
          <w:rFonts w:hint="eastAsia" w:ascii="仿宋" w:hAnsi="仿宋" w:eastAsia="仿宋" w:cs="仿宋"/>
          <w:color w:val="auto"/>
        </w:rPr>
      </w:pPr>
    </w:p>
    <w:p w14:paraId="4685639B">
      <w:pPr>
        <w:pStyle w:val="442"/>
        <w:rPr>
          <w:rFonts w:hint="eastAsia" w:ascii="仿宋" w:hAnsi="仿宋" w:eastAsia="仿宋" w:cs="仿宋"/>
          <w:color w:val="auto"/>
        </w:rPr>
      </w:pPr>
    </w:p>
    <w:p w14:paraId="05466290">
      <w:pPr>
        <w:pStyle w:val="442"/>
        <w:rPr>
          <w:rFonts w:hint="eastAsia" w:ascii="仿宋" w:hAnsi="仿宋" w:eastAsia="仿宋" w:cs="仿宋"/>
          <w:color w:val="auto"/>
        </w:rPr>
      </w:pPr>
    </w:p>
    <w:p w14:paraId="07CB0FCB">
      <w:pPr>
        <w:pStyle w:val="442"/>
        <w:rPr>
          <w:rFonts w:hint="eastAsia" w:ascii="仿宋" w:hAnsi="仿宋" w:eastAsia="仿宋" w:cs="仿宋"/>
          <w:color w:val="auto"/>
        </w:rPr>
      </w:pPr>
    </w:p>
    <w:p w14:paraId="7D602B80">
      <w:pPr>
        <w:pStyle w:val="442"/>
        <w:rPr>
          <w:rFonts w:hint="eastAsia" w:ascii="仿宋" w:hAnsi="仿宋" w:eastAsia="仿宋" w:cs="仿宋"/>
          <w:color w:val="auto"/>
        </w:rPr>
      </w:pPr>
    </w:p>
    <w:p w14:paraId="5AAFA9C7">
      <w:pPr>
        <w:keepNext w:val="0"/>
        <w:keepLines w:val="0"/>
        <w:pageBreakBefore/>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符合参加政府采购活动应当具备的一般条件的承诺函</w:t>
      </w:r>
    </w:p>
    <w:p w14:paraId="0441A7A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仿宋" w:hAnsi="仿宋" w:eastAsia="仿宋" w:cs="仿宋"/>
          <w:b/>
          <w:bCs/>
          <w:color w:val="auto"/>
          <w:sz w:val="24"/>
          <w:szCs w:val="24"/>
        </w:rPr>
      </w:pPr>
    </w:p>
    <w:p w14:paraId="3C7E851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符合参加政府采购活动应当具备的一般条件的承诺函</w:t>
      </w:r>
    </w:p>
    <w:p w14:paraId="57695BF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Cs/>
          <w:color w:val="auto"/>
          <w:spacing w:val="-6"/>
          <w:sz w:val="24"/>
          <w:szCs w:val="24"/>
          <w:lang w:eastAsia="zh-CN"/>
        </w:rPr>
      </w:pPr>
    </w:p>
    <w:p w14:paraId="5E81A7B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lang w:eastAsia="zh-CN"/>
        </w:rPr>
        <w:t>衢州市柯城区姜家山乡中心小学</w:t>
      </w:r>
      <w:r>
        <w:rPr>
          <w:rFonts w:hint="eastAsia" w:ascii="仿宋" w:hAnsi="仿宋" w:eastAsia="仿宋" w:cs="仿宋"/>
          <w:bCs/>
          <w:color w:val="auto"/>
          <w:spacing w:val="-6"/>
          <w:sz w:val="24"/>
          <w:szCs w:val="24"/>
        </w:rPr>
        <w:t>：</w:t>
      </w:r>
    </w:p>
    <w:p w14:paraId="7E2AAABE">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我方参与</w:t>
      </w:r>
      <w:r>
        <w:rPr>
          <w:rFonts w:hint="eastAsia" w:ascii="仿宋" w:hAnsi="仿宋" w:eastAsia="仿宋" w:cs="仿宋"/>
          <w:bCs/>
          <w:color w:val="auto"/>
          <w:spacing w:val="-6"/>
          <w:sz w:val="24"/>
          <w:szCs w:val="24"/>
          <w:u w:val="single"/>
        </w:rPr>
        <w:t xml:space="preserve"> </w:t>
      </w:r>
      <w:r>
        <w:rPr>
          <w:rFonts w:hint="eastAsia" w:ascii="仿宋" w:hAnsi="仿宋" w:eastAsia="仿宋" w:cs="仿宋"/>
          <w:color w:val="auto"/>
          <w:kern w:val="0"/>
          <w:sz w:val="24"/>
          <w:szCs w:val="24"/>
          <w:u w:val="single"/>
          <w:lang w:eastAsia="zh-CN"/>
        </w:rPr>
        <w:t>衢州市柯城区姜家山乡中心小学IPV6新一代校园网络改造</w:t>
      </w:r>
      <w:r>
        <w:rPr>
          <w:rFonts w:hint="eastAsia" w:ascii="仿宋" w:hAnsi="仿宋" w:eastAsia="仿宋" w:cs="仿宋"/>
          <w:color w:val="auto"/>
          <w:kern w:val="0"/>
          <w:sz w:val="24"/>
          <w:szCs w:val="24"/>
          <w:u w:val="single"/>
        </w:rPr>
        <w:t>（项目名称）（项目编号:</w:t>
      </w:r>
      <w:r>
        <w:rPr>
          <w:rFonts w:hint="eastAsia" w:ascii="仿宋" w:hAnsi="仿宋" w:eastAsia="仿宋" w:cs="仿宋"/>
          <w:color w:val="auto"/>
          <w:kern w:val="0"/>
          <w:sz w:val="24"/>
          <w:szCs w:val="24"/>
          <w:u w:val="single"/>
          <w:lang w:eastAsia="zh-CN"/>
        </w:rPr>
        <w:t>ZJLD-C2025020</w:t>
      </w:r>
      <w:r>
        <w:rPr>
          <w:rFonts w:hint="eastAsia" w:ascii="仿宋" w:hAnsi="仿宋" w:eastAsia="仿宋" w:cs="仿宋"/>
          <w:color w:val="auto"/>
          <w:kern w:val="0"/>
          <w:sz w:val="24"/>
          <w:szCs w:val="24"/>
          <w:u w:val="single"/>
        </w:rPr>
        <w:t>）</w:t>
      </w:r>
      <w:r>
        <w:rPr>
          <w:rFonts w:hint="eastAsia" w:ascii="仿宋" w:hAnsi="仿宋" w:eastAsia="仿宋" w:cs="仿宋"/>
          <w:bCs/>
          <w:color w:val="auto"/>
          <w:spacing w:val="-6"/>
          <w:sz w:val="24"/>
          <w:szCs w:val="24"/>
        </w:rPr>
        <w:t>政府采购活动，郑重承诺：</w:t>
      </w:r>
    </w:p>
    <w:p w14:paraId="61CF853D">
      <w:pPr>
        <w:keepNext w:val="0"/>
        <w:keepLines w:val="0"/>
        <w:pageBreakBefore w:val="0"/>
        <w:widowControl w:val="0"/>
        <w:kinsoku/>
        <w:wordWrap/>
        <w:overflowPunct/>
        <w:topLinePunct w:val="0"/>
        <w:autoSpaceDE/>
        <w:autoSpaceDN/>
        <w:bidi w:val="0"/>
        <w:adjustRightInd/>
        <w:snapToGrid w:val="0"/>
        <w:spacing w:line="440" w:lineRule="exact"/>
        <w:ind w:firstLine="342" w:firstLineChars="15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（一）具备《中华人民共和国政府采购法》第二十二条第一款规定的条件：</w:t>
      </w:r>
    </w:p>
    <w:p w14:paraId="0FB8223C">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1</w:t>
      </w:r>
      <w:r>
        <w:rPr>
          <w:rFonts w:hint="eastAsia" w:ascii="仿宋" w:hAnsi="仿宋" w:eastAsia="仿宋" w:cs="仿宋"/>
          <w:bCs/>
          <w:color w:val="auto"/>
          <w:spacing w:val="-6"/>
          <w:sz w:val="24"/>
          <w:szCs w:val="24"/>
          <w:lang w:val="en-US" w:eastAsia="zh-CN"/>
        </w:rPr>
        <w:t>.</w:t>
      </w:r>
      <w:r>
        <w:rPr>
          <w:rFonts w:hint="eastAsia" w:ascii="仿宋" w:hAnsi="仿宋" w:eastAsia="仿宋" w:cs="仿宋"/>
          <w:bCs/>
          <w:color w:val="auto"/>
          <w:spacing w:val="-6"/>
          <w:sz w:val="24"/>
          <w:szCs w:val="24"/>
        </w:rPr>
        <w:t>具有独立承担民事责任的能力；</w:t>
      </w:r>
    </w:p>
    <w:p w14:paraId="01537F58">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2</w:t>
      </w:r>
      <w:r>
        <w:rPr>
          <w:rFonts w:hint="eastAsia" w:ascii="仿宋" w:hAnsi="仿宋" w:eastAsia="仿宋" w:cs="仿宋"/>
          <w:bCs/>
          <w:color w:val="auto"/>
          <w:spacing w:val="-6"/>
          <w:sz w:val="24"/>
          <w:szCs w:val="24"/>
          <w:lang w:val="en-US" w:eastAsia="zh-CN"/>
        </w:rPr>
        <w:t>.</w:t>
      </w:r>
      <w:r>
        <w:rPr>
          <w:rFonts w:hint="eastAsia" w:ascii="仿宋" w:hAnsi="仿宋" w:eastAsia="仿宋" w:cs="仿宋"/>
          <w:bCs/>
          <w:color w:val="auto"/>
          <w:spacing w:val="-6"/>
          <w:sz w:val="24"/>
          <w:szCs w:val="24"/>
        </w:rPr>
        <w:t xml:space="preserve">具有良好的商业信誉和健全的财务会计制度； </w:t>
      </w:r>
    </w:p>
    <w:p w14:paraId="5ACC6617">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3</w:t>
      </w:r>
      <w:r>
        <w:rPr>
          <w:rFonts w:hint="eastAsia" w:ascii="仿宋" w:hAnsi="仿宋" w:eastAsia="仿宋" w:cs="仿宋"/>
          <w:bCs/>
          <w:color w:val="auto"/>
          <w:spacing w:val="-6"/>
          <w:sz w:val="24"/>
          <w:szCs w:val="24"/>
          <w:lang w:val="en-US" w:eastAsia="zh-CN"/>
        </w:rPr>
        <w:t>.</w:t>
      </w:r>
      <w:r>
        <w:rPr>
          <w:rFonts w:hint="eastAsia" w:ascii="仿宋" w:hAnsi="仿宋" w:eastAsia="仿宋" w:cs="仿宋"/>
          <w:bCs/>
          <w:color w:val="auto"/>
          <w:spacing w:val="-6"/>
          <w:sz w:val="24"/>
          <w:szCs w:val="24"/>
        </w:rPr>
        <w:t>具有履行合同所必需的设备和专业技术能力；</w:t>
      </w:r>
    </w:p>
    <w:p w14:paraId="6817E3F7">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4</w:t>
      </w:r>
      <w:r>
        <w:rPr>
          <w:rFonts w:hint="eastAsia" w:ascii="仿宋" w:hAnsi="仿宋" w:eastAsia="仿宋" w:cs="仿宋"/>
          <w:bCs/>
          <w:color w:val="auto"/>
          <w:spacing w:val="-6"/>
          <w:sz w:val="24"/>
          <w:szCs w:val="24"/>
          <w:lang w:val="en-US" w:eastAsia="zh-CN"/>
        </w:rPr>
        <w:t>.</w:t>
      </w:r>
      <w:r>
        <w:rPr>
          <w:rFonts w:hint="eastAsia" w:ascii="仿宋" w:hAnsi="仿宋" w:eastAsia="仿宋" w:cs="仿宋"/>
          <w:bCs/>
          <w:color w:val="auto"/>
          <w:spacing w:val="-6"/>
          <w:sz w:val="24"/>
          <w:szCs w:val="24"/>
        </w:rPr>
        <w:t>有依法缴纳税收和社会保障资金的良好记录；</w:t>
      </w:r>
    </w:p>
    <w:p w14:paraId="7ECA14AD">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5</w:t>
      </w:r>
      <w:r>
        <w:rPr>
          <w:rFonts w:hint="eastAsia" w:ascii="仿宋" w:hAnsi="仿宋" w:eastAsia="仿宋" w:cs="仿宋"/>
          <w:bCs/>
          <w:color w:val="auto"/>
          <w:spacing w:val="-6"/>
          <w:sz w:val="24"/>
          <w:szCs w:val="24"/>
          <w:lang w:val="en-US" w:eastAsia="zh-CN"/>
        </w:rPr>
        <w:t>.</w:t>
      </w:r>
      <w:r>
        <w:rPr>
          <w:rFonts w:hint="eastAsia" w:ascii="仿宋" w:hAnsi="仿宋" w:eastAsia="仿宋" w:cs="仿宋"/>
          <w:bCs/>
          <w:color w:val="auto"/>
          <w:spacing w:val="-6"/>
          <w:sz w:val="24"/>
          <w:szCs w:val="24"/>
        </w:rPr>
        <w:t>参加政府采购活动前三年内，在经营活动中没有重大违法记录；</w:t>
      </w:r>
    </w:p>
    <w:p w14:paraId="617DFE9B">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6</w:t>
      </w:r>
      <w:r>
        <w:rPr>
          <w:rFonts w:hint="eastAsia" w:ascii="仿宋" w:hAnsi="仿宋" w:eastAsia="仿宋" w:cs="仿宋"/>
          <w:bCs/>
          <w:color w:val="auto"/>
          <w:spacing w:val="-6"/>
          <w:sz w:val="24"/>
          <w:szCs w:val="24"/>
          <w:lang w:val="en-US" w:eastAsia="zh-CN"/>
        </w:rPr>
        <w:t>.</w:t>
      </w:r>
      <w:r>
        <w:rPr>
          <w:rFonts w:hint="eastAsia" w:ascii="仿宋" w:hAnsi="仿宋" w:eastAsia="仿宋" w:cs="仿宋"/>
          <w:bCs/>
          <w:color w:val="auto"/>
          <w:spacing w:val="-6"/>
          <w:sz w:val="24"/>
          <w:szCs w:val="24"/>
        </w:rPr>
        <w:t>具有法律、行政法规规定的其他条件。</w:t>
      </w:r>
    </w:p>
    <w:p w14:paraId="243C4F37">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（二）</w:t>
      </w:r>
      <w:r>
        <w:rPr>
          <w:rFonts w:hint="eastAsia" w:ascii="仿宋" w:hAnsi="仿宋" w:eastAsia="仿宋" w:cs="仿宋"/>
          <w:color w:val="auto"/>
          <w:sz w:val="24"/>
          <w:szCs w:val="24"/>
        </w:rPr>
        <w:t>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pacing w:val="-6"/>
          <w:sz w:val="24"/>
          <w:szCs w:val="24"/>
        </w:rPr>
        <w:t>。</w:t>
      </w:r>
    </w:p>
    <w:p w14:paraId="1317EA81">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（三）不存在以下情况：</w:t>
      </w:r>
    </w:p>
    <w:p w14:paraId="712EBF8C">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1</w:t>
      </w:r>
      <w:r>
        <w:rPr>
          <w:rFonts w:hint="eastAsia" w:ascii="仿宋" w:hAnsi="仿宋" w:eastAsia="仿宋" w:cs="仿宋"/>
          <w:bCs/>
          <w:color w:val="auto"/>
          <w:spacing w:val="-6"/>
          <w:sz w:val="24"/>
          <w:szCs w:val="24"/>
          <w:lang w:val="en-US" w:eastAsia="zh-CN"/>
        </w:rPr>
        <w:t>.</w:t>
      </w:r>
      <w:r>
        <w:rPr>
          <w:rFonts w:hint="eastAsia" w:ascii="仿宋" w:hAnsi="仿宋" w:eastAsia="仿宋" w:cs="仿宋"/>
          <w:bCs/>
          <w:color w:val="auto"/>
          <w:spacing w:val="-6"/>
          <w:sz w:val="24"/>
          <w:szCs w:val="24"/>
        </w:rPr>
        <w:t>单位负责人为同一人或者存在直接控股、管理关系的不同供应商参加同一合同项下的政府采购活动的；</w:t>
      </w:r>
    </w:p>
    <w:p w14:paraId="276AF4BF">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2</w:t>
      </w:r>
      <w:r>
        <w:rPr>
          <w:rFonts w:hint="eastAsia" w:ascii="仿宋" w:hAnsi="仿宋" w:eastAsia="仿宋" w:cs="仿宋"/>
          <w:bCs/>
          <w:color w:val="auto"/>
          <w:spacing w:val="-6"/>
          <w:sz w:val="24"/>
          <w:szCs w:val="24"/>
          <w:lang w:val="en-US" w:eastAsia="zh-CN"/>
        </w:rPr>
        <w:t>.</w:t>
      </w:r>
      <w:r>
        <w:rPr>
          <w:rFonts w:hint="eastAsia" w:ascii="仿宋" w:hAnsi="仿宋" w:eastAsia="仿宋" w:cs="仿宋"/>
          <w:bCs/>
          <w:color w:val="auto"/>
          <w:spacing w:val="-6"/>
          <w:sz w:val="24"/>
          <w:szCs w:val="24"/>
        </w:rPr>
        <w:t>为采购项目提供整体设计、规范编制或者项目管理、监理、检测等服务后再参加该采购项目的其他采购活动的。</w:t>
      </w:r>
    </w:p>
    <w:p w14:paraId="7E4EDAAC">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（四）如有虚假，采购人可取消我方任何资格（投标/中标/签订合同），我方愿意承担相应责任，对此无任何异议。</w:t>
      </w:r>
    </w:p>
    <w:p w14:paraId="529ED6A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Cs/>
          <w:color w:val="auto"/>
          <w:spacing w:val="-6"/>
          <w:sz w:val="24"/>
          <w:szCs w:val="24"/>
          <w:lang w:val="zh-CN"/>
        </w:rPr>
      </w:pPr>
    </w:p>
    <w:p w14:paraId="2D26A11C">
      <w:pPr>
        <w:keepNext w:val="0"/>
        <w:keepLines w:val="0"/>
        <w:pageBreakBefore w:val="0"/>
        <w:widowControl w:val="0"/>
        <w:kinsoku/>
        <w:wordWrap/>
        <w:overflowPunct/>
        <w:topLinePunct w:val="0"/>
        <w:autoSpaceDE/>
        <w:autoSpaceDN/>
        <w:bidi w:val="0"/>
        <w:adjustRightInd/>
        <w:snapToGrid w:val="0"/>
        <w:spacing w:line="440" w:lineRule="exact"/>
        <w:ind w:firstLine="5244" w:firstLineChars="2300"/>
        <w:textAlignment w:val="auto"/>
        <w:rPr>
          <w:rFonts w:hint="eastAsia" w:ascii="仿宋" w:hAnsi="仿宋" w:eastAsia="仿宋" w:cs="仿宋"/>
          <w:bCs/>
          <w:color w:val="auto"/>
          <w:spacing w:val="-6"/>
          <w:sz w:val="24"/>
          <w:szCs w:val="24"/>
          <w:lang w:val="zh-CN"/>
        </w:rPr>
      </w:pPr>
      <w:r>
        <w:rPr>
          <w:rFonts w:hint="eastAsia" w:ascii="仿宋" w:hAnsi="仿宋" w:eastAsia="仿宋" w:cs="仿宋"/>
          <w:bCs/>
          <w:color w:val="auto"/>
          <w:spacing w:val="-6"/>
          <w:sz w:val="24"/>
          <w:szCs w:val="24"/>
          <w:lang w:val="zh-CN"/>
        </w:rPr>
        <w:t>供应商名称（盖章或电子签章）：</w:t>
      </w:r>
    </w:p>
    <w:p w14:paraId="0ACAEF75">
      <w:pPr>
        <w:keepNext w:val="0"/>
        <w:keepLines w:val="0"/>
        <w:pageBreakBefore w:val="0"/>
        <w:widowControl w:val="0"/>
        <w:kinsoku/>
        <w:wordWrap/>
        <w:overflowPunct/>
        <w:topLinePunct w:val="0"/>
        <w:autoSpaceDE/>
        <w:autoSpaceDN/>
        <w:bidi w:val="0"/>
        <w:adjustRightInd/>
        <w:snapToGrid w:val="0"/>
        <w:spacing w:line="440" w:lineRule="exact"/>
        <w:ind w:firstLine="5244" w:firstLineChars="2300"/>
        <w:textAlignment w:val="auto"/>
        <w:rPr>
          <w:rFonts w:hint="eastAsia" w:ascii="仿宋" w:hAnsi="仿宋" w:eastAsia="仿宋" w:cs="仿宋"/>
          <w:color w:val="auto"/>
          <w:sz w:val="24"/>
          <w:szCs w:val="24"/>
        </w:rPr>
      </w:pPr>
      <w:r>
        <w:rPr>
          <w:rFonts w:hint="eastAsia" w:ascii="仿宋" w:hAnsi="仿宋" w:eastAsia="仿宋" w:cs="仿宋"/>
          <w:bCs/>
          <w:color w:val="auto"/>
          <w:spacing w:val="-6"/>
          <w:sz w:val="24"/>
          <w:szCs w:val="24"/>
          <w:lang w:val="zh-CN"/>
        </w:rPr>
        <w:t>日期</w:t>
      </w:r>
      <w:r>
        <w:rPr>
          <w:rFonts w:hint="eastAsia" w:ascii="仿宋" w:hAnsi="仿宋" w:eastAsia="仿宋" w:cs="仿宋"/>
          <w:bCs/>
          <w:color w:val="auto"/>
          <w:spacing w:val="-6"/>
          <w:sz w:val="24"/>
          <w:szCs w:val="24"/>
        </w:rPr>
        <w:t xml:space="preserve">：  年  </w:t>
      </w:r>
      <w:r>
        <w:rPr>
          <w:rFonts w:hint="eastAsia" w:ascii="仿宋" w:hAnsi="仿宋" w:eastAsia="仿宋" w:cs="仿宋"/>
          <w:bCs/>
          <w:color w:val="auto"/>
          <w:spacing w:val="-6"/>
          <w:sz w:val="24"/>
          <w:szCs w:val="24"/>
          <w:lang w:val="zh-CN"/>
        </w:rPr>
        <w:t>月</w:t>
      </w:r>
      <w:r>
        <w:rPr>
          <w:rFonts w:hint="eastAsia" w:ascii="仿宋" w:hAnsi="仿宋" w:eastAsia="仿宋" w:cs="仿宋"/>
          <w:bCs/>
          <w:color w:val="auto"/>
          <w:spacing w:val="-6"/>
          <w:sz w:val="24"/>
          <w:szCs w:val="24"/>
        </w:rPr>
        <w:t xml:space="preserve">   </w:t>
      </w:r>
      <w:r>
        <w:rPr>
          <w:rFonts w:hint="eastAsia" w:ascii="仿宋" w:hAnsi="仿宋" w:eastAsia="仿宋" w:cs="仿宋"/>
          <w:bCs/>
          <w:color w:val="auto"/>
          <w:spacing w:val="-6"/>
          <w:sz w:val="24"/>
          <w:szCs w:val="24"/>
          <w:lang w:val="zh-CN"/>
        </w:rPr>
        <w:t>日</w:t>
      </w:r>
    </w:p>
    <w:p w14:paraId="35C6E401">
      <w:pPr>
        <w:pStyle w:val="36"/>
        <w:keepNext w:val="0"/>
        <w:keepLines w:val="0"/>
        <w:pageBreakBefore w:val="0"/>
        <w:widowControl w:val="0"/>
        <w:kinsoku/>
        <w:wordWrap/>
        <w:overflowPunct/>
        <w:topLinePunct w:val="0"/>
        <w:autoSpaceDE/>
        <w:autoSpaceDN/>
        <w:bidi w:val="0"/>
        <w:adjustRightInd/>
        <w:spacing w:after="0" w:line="440" w:lineRule="exact"/>
        <w:ind w:firstLine="210"/>
        <w:textAlignment w:val="auto"/>
        <w:rPr>
          <w:rFonts w:hint="eastAsia" w:ascii="仿宋" w:hAnsi="仿宋" w:eastAsia="仿宋" w:cs="仿宋"/>
          <w:color w:val="auto"/>
        </w:rPr>
      </w:pPr>
    </w:p>
    <w:p w14:paraId="0947C1A9">
      <w:pPr>
        <w:rPr>
          <w:rFonts w:hint="eastAsia" w:ascii="仿宋" w:hAnsi="仿宋" w:eastAsia="仿宋" w:cs="仿宋"/>
          <w:color w:val="auto"/>
        </w:rPr>
      </w:pPr>
    </w:p>
    <w:p w14:paraId="36E709E6">
      <w:pPr>
        <w:rPr>
          <w:rFonts w:hint="eastAsia" w:ascii="仿宋" w:hAnsi="仿宋" w:eastAsia="仿宋" w:cs="仿宋"/>
          <w:color w:val="auto"/>
        </w:rPr>
      </w:pPr>
    </w:p>
    <w:p w14:paraId="4940D94D">
      <w:pPr>
        <w:pStyle w:val="442"/>
        <w:rPr>
          <w:rFonts w:hint="eastAsia" w:ascii="仿宋" w:hAnsi="仿宋" w:eastAsia="仿宋" w:cs="仿宋"/>
          <w:color w:val="auto"/>
        </w:rPr>
      </w:pPr>
    </w:p>
    <w:p w14:paraId="07092DD7">
      <w:pPr>
        <w:pStyle w:val="442"/>
        <w:rPr>
          <w:rFonts w:hint="eastAsia" w:ascii="仿宋" w:hAnsi="仿宋" w:eastAsia="仿宋" w:cs="仿宋"/>
          <w:color w:val="auto"/>
        </w:rPr>
      </w:pPr>
    </w:p>
    <w:p w14:paraId="1FCC4D49">
      <w:pPr>
        <w:pStyle w:val="88"/>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具有独立承担民事责任的能力证明材料：</w:t>
      </w:r>
    </w:p>
    <w:p w14:paraId="7DE58D1E">
      <w:pPr>
        <w:pStyle w:val="88"/>
        <w:keepNext w:val="0"/>
        <w:keepLines w:val="0"/>
        <w:pageBreakBefore w:val="0"/>
        <w:widowControl w:val="0"/>
        <w:numPr>
          <w:ilvl w:val="0"/>
          <w:numId w:val="4"/>
        </w:numPr>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如供应商是企业（包括合伙企业），提供在工商部门注册的有效“企业法人营业执照”或“营业执照”；</w:t>
      </w:r>
    </w:p>
    <w:p w14:paraId="478EB3EA">
      <w:pPr>
        <w:pStyle w:val="88"/>
        <w:keepNext w:val="0"/>
        <w:keepLines w:val="0"/>
        <w:pageBreakBefore w:val="0"/>
        <w:widowControl w:val="0"/>
        <w:numPr>
          <w:ilvl w:val="0"/>
          <w:numId w:val="4"/>
        </w:numPr>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如供应商是事业单位，提供有效的“事业单位法人证书”；</w:t>
      </w:r>
    </w:p>
    <w:p w14:paraId="1D77927E">
      <w:pPr>
        <w:pStyle w:val="88"/>
        <w:keepNext w:val="0"/>
        <w:keepLines w:val="0"/>
        <w:pageBreakBefore w:val="0"/>
        <w:widowControl w:val="0"/>
        <w:numPr>
          <w:ilvl w:val="0"/>
          <w:numId w:val="4"/>
        </w:numPr>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如供应商是非企业专业服务机构的，提供执业许可证等证明文件；</w:t>
      </w:r>
    </w:p>
    <w:p w14:paraId="74E12B6C">
      <w:pPr>
        <w:pStyle w:val="88"/>
        <w:keepNext w:val="0"/>
        <w:keepLines w:val="0"/>
        <w:pageBreakBefore w:val="0"/>
        <w:widowControl w:val="0"/>
        <w:numPr>
          <w:ilvl w:val="0"/>
          <w:numId w:val="4"/>
        </w:numPr>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如供应商是个体工商户，提供有效的“个体工商户营业执照”；</w:t>
      </w:r>
    </w:p>
    <w:p w14:paraId="55E657CE">
      <w:pPr>
        <w:pStyle w:val="88"/>
        <w:keepNext w:val="0"/>
        <w:keepLines w:val="0"/>
        <w:pageBreakBefore w:val="0"/>
        <w:widowControl w:val="0"/>
        <w:numPr>
          <w:ilvl w:val="0"/>
          <w:numId w:val="4"/>
        </w:numPr>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如供应商是自然人，提供有效的自然人身份证明（居民身份证正反面或公安机关出具的临时居民身份证正反面或港澳台胞证或护照）。</w:t>
      </w:r>
    </w:p>
    <w:p w14:paraId="06212C4B">
      <w:pPr>
        <w:pStyle w:val="88"/>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color w:val="auto"/>
          <w:sz w:val="24"/>
          <w:szCs w:val="24"/>
        </w:rPr>
      </w:pPr>
    </w:p>
    <w:p w14:paraId="6AE44136">
      <w:pPr>
        <w:pStyle w:val="88"/>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color w:val="auto"/>
          <w:sz w:val="24"/>
          <w:szCs w:val="24"/>
          <w:highlight w:val="yellow"/>
        </w:rPr>
      </w:pPr>
    </w:p>
    <w:p w14:paraId="10F3BA54">
      <w:pPr>
        <w:pStyle w:val="88"/>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highlight w:val="yellow"/>
        </w:rPr>
      </w:pPr>
    </w:p>
    <w:p w14:paraId="6F9A7A32">
      <w:pPr>
        <w:pStyle w:val="88"/>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rPr>
      </w:pPr>
    </w:p>
    <w:p w14:paraId="3F47AD5B">
      <w:pPr>
        <w:pStyle w:val="36"/>
        <w:keepNext w:val="0"/>
        <w:keepLines w:val="0"/>
        <w:pageBreakBefore w:val="0"/>
        <w:widowControl w:val="0"/>
        <w:kinsoku/>
        <w:wordWrap/>
        <w:overflowPunct/>
        <w:topLinePunct w:val="0"/>
        <w:autoSpaceDE/>
        <w:autoSpaceDN/>
        <w:bidi w:val="0"/>
        <w:adjustRightInd/>
        <w:snapToGrid/>
        <w:spacing w:line="288" w:lineRule="auto"/>
        <w:ind w:firstLine="240"/>
        <w:textAlignment w:val="auto"/>
        <w:rPr>
          <w:rFonts w:hint="eastAsia" w:ascii="仿宋" w:hAnsi="仿宋" w:eastAsia="仿宋" w:cs="仿宋"/>
          <w:color w:val="auto"/>
          <w:sz w:val="24"/>
          <w:szCs w:val="24"/>
        </w:rPr>
      </w:pPr>
    </w:p>
    <w:p w14:paraId="11593FC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rPr>
      </w:pPr>
    </w:p>
    <w:p w14:paraId="5C0BF5FD">
      <w:pPr>
        <w:pStyle w:val="36"/>
        <w:ind w:firstLine="240"/>
        <w:rPr>
          <w:rFonts w:hint="eastAsia" w:ascii="仿宋" w:hAnsi="仿宋" w:eastAsia="仿宋" w:cs="仿宋"/>
          <w:color w:val="auto"/>
          <w:sz w:val="24"/>
        </w:rPr>
      </w:pPr>
    </w:p>
    <w:p w14:paraId="38D066E3">
      <w:pPr>
        <w:rPr>
          <w:rFonts w:hint="eastAsia" w:ascii="仿宋" w:hAnsi="仿宋" w:eastAsia="仿宋" w:cs="仿宋"/>
          <w:color w:val="auto"/>
          <w:sz w:val="24"/>
        </w:rPr>
      </w:pPr>
    </w:p>
    <w:p w14:paraId="65835F83">
      <w:pPr>
        <w:pStyle w:val="36"/>
        <w:ind w:firstLine="240"/>
        <w:rPr>
          <w:rFonts w:hint="eastAsia" w:ascii="仿宋" w:hAnsi="仿宋" w:eastAsia="仿宋" w:cs="仿宋"/>
          <w:color w:val="auto"/>
          <w:sz w:val="24"/>
        </w:rPr>
      </w:pPr>
    </w:p>
    <w:p w14:paraId="30EBAAF6">
      <w:pPr>
        <w:rPr>
          <w:rFonts w:hint="eastAsia" w:ascii="仿宋" w:hAnsi="仿宋" w:eastAsia="仿宋" w:cs="仿宋"/>
          <w:color w:val="auto"/>
          <w:sz w:val="24"/>
        </w:rPr>
      </w:pPr>
    </w:p>
    <w:p w14:paraId="034395E2">
      <w:pPr>
        <w:pStyle w:val="36"/>
        <w:ind w:firstLine="240"/>
        <w:rPr>
          <w:rFonts w:hint="eastAsia" w:ascii="仿宋" w:hAnsi="仿宋" w:eastAsia="仿宋" w:cs="仿宋"/>
          <w:color w:val="auto"/>
          <w:sz w:val="24"/>
        </w:rPr>
      </w:pPr>
    </w:p>
    <w:p w14:paraId="3E118D7F">
      <w:pPr>
        <w:rPr>
          <w:rFonts w:hint="eastAsia" w:ascii="仿宋" w:hAnsi="仿宋" w:eastAsia="仿宋" w:cs="仿宋"/>
          <w:color w:val="auto"/>
          <w:sz w:val="24"/>
        </w:rPr>
      </w:pPr>
    </w:p>
    <w:p w14:paraId="1968C779">
      <w:pPr>
        <w:pStyle w:val="36"/>
        <w:ind w:firstLine="240"/>
        <w:rPr>
          <w:rFonts w:hint="eastAsia" w:ascii="仿宋" w:hAnsi="仿宋" w:eastAsia="仿宋" w:cs="仿宋"/>
          <w:color w:val="auto"/>
          <w:sz w:val="24"/>
        </w:rPr>
      </w:pPr>
    </w:p>
    <w:p w14:paraId="27166268">
      <w:pPr>
        <w:rPr>
          <w:rFonts w:hint="eastAsia" w:ascii="仿宋" w:hAnsi="仿宋" w:eastAsia="仿宋" w:cs="仿宋"/>
          <w:color w:val="auto"/>
          <w:sz w:val="24"/>
        </w:rPr>
      </w:pPr>
    </w:p>
    <w:p w14:paraId="2F4B09EF">
      <w:pPr>
        <w:pStyle w:val="36"/>
        <w:ind w:firstLine="240"/>
        <w:rPr>
          <w:rFonts w:hint="eastAsia" w:ascii="仿宋" w:hAnsi="仿宋" w:eastAsia="仿宋" w:cs="仿宋"/>
          <w:color w:val="auto"/>
          <w:sz w:val="24"/>
        </w:rPr>
      </w:pPr>
    </w:p>
    <w:p w14:paraId="5CD5F5C5">
      <w:pPr>
        <w:rPr>
          <w:rFonts w:hint="eastAsia" w:ascii="仿宋" w:hAnsi="仿宋" w:eastAsia="仿宋" w:cs="仿宋"/>
          <w:color w:val="auto"/>
          <w:sz w:val="24"/>
        </w:rPr>
      </w:pPr>
    </w:p>
    <w:p w14:paraId="68078057">
      <w:pPr>
        <w:pStyle w:val="36"/>
        <w:ind w:firstLine="240"/>
        <w:rPr>
          <w:rFonts w:hint="eastAsia" w:ascii="仿宋" w:hAnsi="仿宋" w:eastAsia="仿宋" w:cs="仿宋"/>
          <w:color w:val="auto"/>
          <w:sz w:val="24"/>
        </w:rPr>
      </w:pPr>
    </w:p>
    <w:p w14:paraId="224ED31D">
      <w:pPr>
        <w:rPr>
          <w:rFonts w:hint="eastAsia" w:ascii="仿宋" w:hAnsi="仿宋" w:eastAsia="仿宋" w:cs="仿宋"/>
          <w:color w:val="auto"/>
          <w:sz w:val="24"/>
        </w:rPr>
      </w:pPr>
    </w:p>
    <w:p w14:paraId="11DF38EB">
      <w:pPr>
        <w:pStyle w:val="36"/>
        <w:ind w:firstLine="240"/>
        <w:rPr>
          <w:rFonts w:hint="eastAsia" w:ascii="仿宋" w:hAnsi="仿宋" w:eastAsia="仿宋" w:cs="仿宋"/>
          <w:color w:val="auto"/>
          <w:sz w:val="24"/>
        </w:rPr>
      </w:pPr>
    </w:p>
    <w:p w14:paraId="0573D8DD">
      <w:pPr>
        <w:pStyle w:val="88"/>
        <w:keepNext w:val="0"/>
        <w:keepLines w:val="0"/>
        <w:pageBreakBefore w:val="0"/>
        <w:kinsoku/>
        <w:wordWrap/>
        <w:overflowPunct/>
        <w:topLinePunct w:val="0"/>
        <w:autoSpaceDE/>
        <w:autoSpaceDN/>
        <w:bidi w:val="0"/>
        <w:spacing w:line="288" w:lineRule="auto"/>
        <w:ind w:firstLine="0" w:firstLineChars="0"/>
        <w:textAlignment w:val="auto"/>
        <w:rPr>
          <w:rFonts w:hint="eastAsia" w:ascii="仿宋" w:hAnsi="仿宋" w:eastAsia="仿宋" w:cs="仿宋"/>
          <w:b/>
          <w:bCs/>
          <w:color w:val="auto"/>
          <w:sz w:val="24"/>
          <w:lang w:val="en-US" w:eastAsia="zh-CN"/>
        </w:rPr>
      </w:pPr>
    </w:p>
    <w:p w14:paraId="61DC338E">
      <w:pPr>
        <w:pStyle w:val="88"/>
        <w:keepNext w:val="0"/>
        <w:keepLines w:val="0"/>
        <w:pageBreakBefore w:val="0"/>
        <w:kinsoku/>
        <w:wordWrap/>
        <w:overflowPunct/>
        <w:topLinePunct w:val="0"/>
        <w:autoSpaceDE/>
        <w:autoSpaceDN/>
        <w:bidi w:val="0"/>
        <w:spacing w:line="288" w:lineRule="auto"/>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金融、保险、通讯等特定行业的全国性企业所设立的区域性分支机构以及个体工商户、个人独资企业、合伙企业能证明其具备实际承担责任的能力和法定的缔结合同能力，可以独立参加政府采购活动的证明材料：</w:t>
      </w:r>
      <w:r>
        <w:rPr>
          <w:rFonts w:hint="eastAsia" w:ascii="仿宋" w:hAnsi="仿宋" w:eastAsia="仿宋" w:cs="仿宋"/>
          <w:b/>
          <w:bCs/>
          <w:color w:val="auto"/>
          <w:sz w:val="24"/>
          <w:szCs w:val="24"/>
          <w:highlight w:val="none"/>
        </w:rPr>
        <w:t>除基本资格要求应提供资料外。还应提供以下资料：</w:t>
      </w:r>
    </w:p>
    <w:p w14:paraId="6F248F1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1）金融、保险、通讯等特定行业的全国性企业所设立的区域性分支机构提供总公司（总机构）授权；</w:t>
      </w:r>
    </w:p>
    <w:p w14:paraId="31A2AD1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2）个体工商户、个人独资企业、合伙企业应提供房产权证或其他有效财产证明材料。</w:t>
      </w:r>
    </w:p>
    <w:p w14:paraId="59EE1A6A">
      <w:pPr>
        <w:keepNext w:val="0"/>
        <w:keepLines w:val="0"/>
        <w:pageBreakBefore w:val="0"/>
        <w:widowControl/>
        <w:kinsoku/>
        <w:wordWrap/>
        <w:overflowPunct/>
        <w:topLinePunct w:val="0"/>
        <w:autoSpaceDE/>
        <w:autoSpaceDN/>
        <w:bidi w:val="0"/>
        <w:spacing w:line="288" w:lineRule="auto"/>
        <w:ind w:firstLine="482" w:firstLineChars="200"/>
        <w:jc w:val="both"/>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highlight w:val="none"/>
        </w:rPr>
        <w:t>不属于此种情况的供应商无需提供以上资料。</w:t>
      </w:r>
    </w:p>
    <w:p w14:paraId="14620F0F">
      <w:pPr>
        <w:keepNext w:val="0"/>
        <w:keepLines w:val="0"/>
        <w:pageBreakBefore w:val="0"/>
        <w:widowControl/>
        <w:kinsoku/>
        <w:wordWrap/>
        <w:overflowPunct/>
        <w:topLinePunct w:val="0"/>
        <w:autoSpaceDE/>
        <w:autoSpaceDN/>
        <w:bidi w:val="0"/>
        <w:spacing w:line="288" w:lineRule="auto"/>
        <w:ind w:firstLine="562" w:firstLineChars="200"/>
        <w:jc w:val="center"/>
        <w:textAlignment w:val="auto"/>
        <w:rPr>
          <w:rFonts w:hint="eastAsia" w:ascii="仿宋" w:hAnsi="仿宋" w:eastAsia="仿宋" w:cs="仿宋"/>
          <w:b/>
          <w:bCs/>
          <w:color w:val="auto"/>
          <w:kern w:val="0"/>
          <w:sz w:val="28"/>
          <w:szCs w:val="28"/>
        </w:rPr>
      </w:pPr>
    </w:p>
    <w:p w14:paraId="677120FF">
      <w:pPr>
        <w:pStyle w:val="36"/>
        <w:ind w:firstLine="281"/>
        <w:rPr>
          <w:rFonts w:hint="eastAsia" w:ascii="仿宋" w:hAnsi="仿宋" w:eastAsia="仿宋" w:cs="仿宋"/>
          <w:b/>
          <w:bCs/>
          <w:color w:val="auto"/>
          <w:sz w:val="28"/>
          <w:szCs w:val="28"/>
        </w:rPr>
      </w:pPr>
    </w:p>
    <w:p w14:paraId="71F14BD0">
      <w:pPr>
        <w:pStyle w:val="36"/>
        <w:ind w:firstLine="281"/>
        <w:rPr>
          <w:rFonts w:hint="eastAsia" w:ascii="仿宋" w:hAnsi="仿宋" w:eastAsia="仿宋" w:cs="仿宋"/>
          <w:b/>
          <w:bCs/>
          <w:color w:val="auto"/>
          <w:sz w:val="28"/>
          <w:szCs w:val="28"/>
        </w:rPr>
      </w:pPr>
    </w:p>
    <w:p w14:paraId="7701787E">
      <w:pPr>
        <w:pStyle w:val="37"/>
        <w:rPr>
          <w:rFonts w:hint="eastAsia" w:ascii="仿宋" w:hAnsi="仿宋" w:eastAsia="仿宋" w:cs="仿宋"/>
          <w:b/>
          <w:bCs/>
          <w:color w:val="auto"/>
          <w:sz w:val="28"/>
          <w:szCs w:val="28"/>
        </w:rPr>
      </w:pPr>
    </w:p>
    <w:p w14:paraId="6E8347B2">
      <w:pPr>
        <w:rPr>
          <w:rFonts w:hint="eastAsia" w:ascii="仿宋" w:hAnsi="仿宋" w:eastAsia="仿宋" w:cs="仿宋"/>
          <w:b/>
          <w:bCs/>
          <w:color w:val="auto"/>
          <w:sz w:val="28"/>
          <w:szCs w:val="28"/>
        </w:rPr>
      </w:pPr>
    </w:p>
    <w:p w14:paraId="0EB99C8D">
      <w:pPr>
        <w:pStyle w:val="442"/>
        <w:rPr>
          <w:rFonts w:hint="eastAsia" w:ascii="仿宋" w:hAnsi="仿宋" w:eastAsia="仿宋" w:cs="仿宋"/>
          <w:b/>
          <w:bCs/>
          <w:color w:val="auto"/>
          <w:sz w:val="28"/>
          <w:szCs w:val="28"/>
        </w:rPr>
      </w:pPr>
    </w:p>
    <w:p w14:paraId="584CC2CE">
      <w:pPr>
        <w:pStyle w:val="442"/>
        <w:rPr>
          <w:rFonts w:hint="eastAsia" w:ascii="仿宋" w:hAnsi="仿宋" w:eastAsia="仿宋" w:cs="仿宋"/>
          <w:b/>
          <w:bCs/>
          <w:color w:val="auto"/>
          <w:sz w:val="28"/>
          <w:szCs w:val="28"/>
        </w:rPr>
      </w:pPr>
    </w:p>
    <w:p w14:paraId="0D19F3F0">
      <w:pPr>
        <w:pStyle w:val="442"/>
        <w:rPr>
          <w:rFonts w:hint="eastAsia" w:ascii="仿宋" w:hAnsi="仿宋" w:eastAsia="仿宋" w:cs="仿宋"/>
          <w:b/>
          <w:bCs/>
          <w:color w:val="auto"/>
          <w:sz w:val="28"/>
          <w:szCs w:val="28"/>
        </w:rPr>
      </w:pPr>
    </w:p>
    <w:p w14:paraId="6EA70903">
      <w:pPr>
        <w:rPr>
          <w:rFonts w:hint="eastAsia" w:ascii="仿宋" w:hAnsi="仿宋" w:eastAsia="仿宋" w:cs="仿宋"/>
          <w:color w:val="auto"/>
        </w:rPr>
      </w:pPr>
    </w:p>
    <w:p w14:paraId="729E179B">
      <w:pPr>
        <w:pStyle w:val="88"/>
        <w:pageBreakBefore/>
        <w:numPr>
          <w:ilvl w:val="0"/>
          <w:numId w:val="5"/>
        </w:numPr>
        <w:spacing w:line="600" w:lineRule="exact"/>
        <w:ind w:firstLine="0" w:firstLineChars="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商务技术文件</w:t>
      </w:r>
    </w:p>
    <w:p w14:paraId="2AA1363A">
      <w:pPr>
        <w:autoSpaceDE w:val="0"/>
        <w:autoSpaceDN w:val="0"/>
        <w:adjustRightInd w:val="0"/>
        <w:spacing w:line="400" w:lineRule="exact"/>
        <w:jc w:val="center"/>
        <w:rPr>
          <w:rFonts w:hint="eastAsia" w:ascii="仿宋" w:hAnsi="仿宋" w:eastAsia="仿宋" w:cs="仿宋"/>
          <w:bCs/>
          <w:color w:val="auto"/>
          <w:sz w:val="30"/>
          <w:szCs w:val="30"/>
          <w:highlight w:val="yellow"/>
          <w:lang w:val="zh-CN"/>
        </w:rPr>
      </w:pPr>
    </w:p>
    <w:p w14:paraId="3D759C56">
      <w:pPr>
        <w:autoSpaceDE w:val="0"/>
        <w:autoSpaceDN w:val="0"/>
        <w:adjustRightInd w:val="0"/>
        <w:spacing w:line="400" w:lineRule="exact"/>
        <w:jc w:val="center"/>
        <w:rPr>
          <w:rFonts w:hint="eastAsia" w:ascii="仿宋" w:hAnsi="仿宋" w:eastAsia="仿宋" w:cs="仿宋"/>
          <w:bCs/>
          <w:color w:val="auto"/>
          <w:sz w:val="30"/>
          <w:szCs w:val="30"/>
          <w:highlight w:val="yellow"/>
          <w:lang w:val="zh-CN"/>
        </w:rPr>
      </w:pPr>
    </w:p>
    <w:p w14:paraId="4973B70B">
      <w:pPr>
        <w:autoSpaceDE w:val="0"/>
        <w:autoSpaceDN w:val="0"/>
        <w:adjustRightInd w:val="0"/>
        <w:spacing w:line="600" w:lineRule="exact"/>
        <w:rPr>
          <w:rFonts w:hint="eastAsia" w:ascii="仿宋" w:hAnsi="仿宋" w:eastAsia="仿宋" w:cs="仿宋"/>
          <w:bCs/>
          <w:color w:val="auto"/>
          <w:sz w:val="30"/>
          <w:szCs w:val="30"/>
          <w:highlight w:val="yellow"/>
          <w:lang w:val="zh-CN"/>
        </w:rPr>
      </w:pPr>
    </w:p>
    <w:p w14:paraId="308700BC">
      <w:pPr>
        <w:autoSpaceDE w:val="0"/>
        <w:autoSpaceDN w:val="0"/>
        <w:adjustRightInd w:val="0"/>
        <w:spacing w:line="600" w:lineRule="exact"/>
        <w:rPr>
          <w:rFonts w:hint="eastAsia" w:ascii="仿宋" w:hAnsi="仿宋" w:eastAsia="仿宋" w:cs="仿宋"/>
          <w:bCs/>
          <w:color w:val="auto"/>
          <w:sz w:val="30"/>
          <w:szCs w:val="30"/>
          <w:highlight w:val="yellow"/>
          <w:lang w:val="zh-CN"/>
        </w:rPr>
      </w:pPr>
    </w:p>
    <w:p w14:paraId="2F1398D0">
      <w:pPr>
        <w:autoSpaceDE w:val="0"/>
        <w:autoSpaceDN w:val="0"/>
        <w:adjustRightInd w:val="0"/>
        <w:spacing w:line="600" w:lineRule="exact"/>
        <w:jc w:val="center"/>
        <w:rPr>
          <w:rFonts w:hint="eastAsia" w:ascii="仿宋" w:hAnsi="仿宋" w:eastAsia="仿宋" w:cs="仿宋"/>
          <w:bCs/>
          <w:color w:val="auto"/>
          <w:sz w:val="52"/>
          <w:szCs w:val="52"/>
          <w:lang w:val="zh-CN"/>
        </w:rPr>
      </w:pPr>
      <w:r>
        <w:rPr>
          <w:rFonts w:hint="eastAsia" w:ascii="仿宋" w:hAnsi="仿宋" w:eastAsia="仿宋" w:cs="仿宋"/>
          <w:bCs/>
          <w:color w:val="auto"/>
          <w:sz w:val="52"/>
          <w:szCs w:val="52"/>
          <w:lang w:val="zh-CN"/>
        </w:rPr>
        <w:t>投标文件</w:t>
      </w:r>
    </w:p>
    <w:p w14:paraId="6137CC54">
      <w:pPr>
        <w:autoSpaceDE w:val="0"/>
        <w:autoSpaceDN w:val="0"/>
        <w:adjustRightInd w:val="0"/>
        <w:spacing w:line="600" w:lineRule="exact"/>
        <w:rPr>
          <w:rFonts w:hint="eastAsia" w:ascii="仿宋" w:hAnsi="仿宋" w:eastAsia="仿宋" w:cs="仿宋"/>
          <w:bCs/>
          <w:color w:val="auto"/>
          <w:sz w:val="24"/>
          <w:szCs w:val="24"/>
          <w:lang w:val="zh-CN"/>
        </w:rPr>
      </w:pPr>
    </w:p>
    <w:p w14:paraId="2D4558DF">
      <w:pPr>
        <w:autoSpaceDE w:val="0"/>
        <w:autoSpaceDN w:val="0"/>
        <w:adjustRightInd w:val="0"/>
        <w:spacing w:line="600" w:lineRule="exact"/>
        <w:rPr>
          <w:rFonts w:hint="eastAsia" w:ascii="仿宋" w:hAnsi="仿宋" w:eastAsia="仿宋" w:cs="仿宋"/>
          <w:bCs/>
          <w:color w:val="auto"/>
          <w:sz w:val="24"/>
          <w:szCs w:val="24"/>
          <w:lang w:val="zh-CN"/>
        </w:rPr>
      </w:pPr>
    </w:p>
    <w:p w14:paraId="6C17D3B4">
      <w:pPr>
        <w:snapToGrid w:val="0"/>
        <w:spacing w:line="600" w:lineRule="exact"/>
        <w:rPr>
          <w:rFonts w:hint="eastAsia" w:ascii="仿宋" w:hAnsi="仿宋" w:eastAsia="仿宋" w:cs="仿宋"/>
          <w:color w:val="auto"/>
          <w:sz w:val="24"/>
          <w:szCs w:val="24"/>
        </w:rPr>
      </w:pPr>
    </w:p>
    <w:p w14:paraId="1097B933">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46D9E258">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14:paraId="4A952B56">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投标文件名称：（商务技术文件）</w:t>
      </w:r>
    </w:p>
    <w:p w14:paraId="5895770F">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供应商名称（盖章或电子签章）</w:t>
      </w:r>
      <w:r>
        <w:rPr>
          <w:rFonts w:hint="eastAsia" w:ascii="仿宋" w:hAnsi="仿宋" w:eastAsia="仿宋" w:cs="仿宋"/>
          <w:color w:val="auto"/>
          <w:sz w:val="24"/>
          <w:szCs w:val="24"/>
        </w:rPr>
        <w:t>：</w:t>
      </w:r>
    </w:p>
    <w:p w14:paraId="4F2A8D3B">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法定代表人或其授权代表（签字或盖章或电子签章）：</w:t>
      </w:r>
    </w:p>
    <w:p w14:paraId="2AC6B346">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投标人地址：</w:t>
      </w:r>
    </w:p>
    <w:p w14:paraId="355DE71F">
      <w:pPr>
        <w:autoSpaceDE w:val="0"/>
        <w:autoSpaceDN w:val="0"/>
        <w:adjustRightInd w:val="0"/>
        <w:spacing w:line="400" w:lineRule="exact"/>
        <w:jc w:val="center"/>
        <w:rPr>
          <w:rFonts w:hint="eastAsia" w:ascii="仿宋" w:hAnsi="仿宋" w:eastAsia="仿宋" w:cs="仿宋"/>
          <w:bCs/>
          <w:color w:val="auto"/>
          <w:sz w:val="30"/>
          <w:szCs w:val="30"/>
          <w:lang w:val="zh-CN"/>
        </w:rPr>
      </w:pPr>
    </w:p>
    <w:p w14:paraId="22CD7E2F">
      <w:pPr>
        <w:pStyle w:val="35"/>
        <w:rPr>
          <w:rFonts w:hint="eastAsia" w:ascii="仿宋" w:hAnsi="仿宋" w:eastAsia="仿宋" w:cs="仿宋"/>
          <w:color w:val="auto"/>
        </w:rPr>
      </w:pPr>
    </w:p>
    <w:p w14:paraId="6782121E">
      <w:pPr>
        <w:rPr>
          <w:rFonts w:hint="eastAsia" w:ascii="仿宋" w:hAnsi="仿宋" w:eastAsia="仿宋" w:cs="仿宋"/>
          <w:color w:val="auto"/>
        </w:rPr>
      </w:pPr>
    </w:p>
    <w:p w14:paraId="672BE898">
      <w:pPr>
        <w:rPr>
          <w:rFonts w:hint="eastAsia" w:ascii="仿宋" w:hAnsi="仿宋" w:eastAsia="仿宋" w:cs="仿宋"/>
          <w:color w:val="auto"/>
        </w:rPr>
      </w:pPr>
    </w:p>
    <w:p w14:paraId="6BA5D066">
      <w:pPr>
        <w:rPr>
          <w:rFonts w:hint="eastAsia" w:ascii="仿宋" w:hAnsi="仿宋" w:eastAsia="仿宋" w:cs="仿宋"/>
          <w:color w:val="auto"/>
        </w:rPr>
      </w:pPr>
    </w:p>
    <w:p w14:paraId="7620EF13">
      <w:pPr>
        <w:rPr>
          <w:rFonts w:hint="eastAsia" w:ascii="仿宋" w:hAnsi="仿宋" w:eastAsia="仿宋" w:cs="仿宋"/>
          <w:color w:val="auto"/>
        </w:rPr>
      </w:pPr>
    </w:p>
    <w:p w14:paraId="6885E990">
      <w:pPr>
        <w:rPr>
          <w:rFonts w:hint="eastAsia" w:ascii="仿宋" w:hAnsi="仿宋" w:eastAsia="仿宋" w:cs="仿宋"/>
          <w:color w:val="auto"/>
        </w:rPr>
      </w:pPr>
    </w:p>
    <w:p w14:paraId="72361A86">
      <w:pPr>
        <w:rPr>
          <w:rFonts w:hint="eastAsia" w:ascii="仿宋" w:hAnsi="仿宋" w:eastAsia="仿宋" w:cs="仿宋"/>
          <w:color w:val="auto"/>
        </w:rPr>
      </w:pPr>
    </w:p>
    <w:p w14:paraId="2BB0279F">
      <w:pPr>
        <w:rPr>
          <w:rFonts w:hint="eastAsia" w:ascii="仿宋" w:hAnsi="仿宋" w:eastAsia="仿宋" w:cs="仿宋"/>
          <w:color w:val="auto"/>
        </w:rPr>
      </w:pPr>
    </w:p>
    <w:p w14:paraId="3A70E6BC">
      <w:pPr>
        <w:rPr>
          <w:rFonts w:hint="eastAsia" w:ascii="仿宋" w:hAnsi="仿宋" w:eastAsia="仿宋" w:cs="仿宋"/>
          <w:color w:val="auto"/>
        </w:rPr>
      </w:pPr>
    </w:p>
    <w:p w14:paraId="45BD74BB">
      <w:pPr>
        <w:rPr>
          <w:rFonts w:hint="eastAsia" w:ascii="仿宋" w:hAnsi="仿宋" w:eastAsia="仿宋" w:cs="仿宋"/>
          <w:color w:val="auto"/>
        </w:rPr>
      </w:pPr>
    </w:p>
    <w:p w14:paraId="11427D93">
      <w:pPr>
        <w:rPr>
          <w:rFonts w:hint="eastAsia" w:ascii="仿宋" w:hAnsi="仿宋" w:eastAsia="仿宋" w:cs="仿宋"/>
          <w:color w:val="auto"/>
        </w:rPr>
      </w:pPr>
    </w:p>
    <w:p w14:paraId="5BCE2292">
      <w:pPr>
        <w:rPr>
          <w:rFonts w:hint="eastAsia" w:ascii="仿宋" w:hAnsi="仿宋" w:eastAsia="仿宋" w:cs="仿宋"/>
          <w:color w:val="auto"/>
        </w:rPr>
      </w:pPr>
    </w:p>
    <w:p w14:paraId="360FFA96">
      <w:pPr>
        <w:autoSpaceDE w:val="0"/>
        <w:autoSpaceDN w:val="0"/>
        <w:adjustRightInd w:val="0"/>
        <w:spacing w:line="380" w:lineRule="exact"/>
        <w:jc w:val="center"/>
        <w:rPr>
          <w:rFonts w:hint="eastAsia" w:ascii="仿宋" w:hAnsi="仿宋" w:eastAsia="仿宋" w:cs="仿宋"/>
          <w:b/>
          <w:bCs/>
          <w:color w:val="auto"/>
          <w:sz w:val="32"/>
          <w:szCs w:val="32"/>
          <w:lang w:val="zh-CN"/>
        </w:rPr>
      </w:pPr>
    </w:p>
    <w:p w14:paraId="4ABE6DE5">
      <w:pPr>
        <w:autoSpaceDE w:val="0"/>
        <w:autoSpaceDN w:val="0"/>
        <w:adjustRightInd w:val="0"/>
        <w:spacing w:line="380" w:lineRule="exact"/>
        <w:jc w:val="center"/>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自</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评</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表</w:t>
      </w:r>
    </w:p>
    <w:p w14:paraId="666D5115">
      <w:pPr>
        <w:autoSpaceDE w:val="0"/>
        <w:autoSpaceDN w:val="0"/>
        <w:adjustRightInd w:val="0"/>
        <w:spacing w:line="380" w:lineRule="exact"/>
        <w:jc w:val="left"/>
        <w:rPr>
          <w:rFonts w:hint="eastAsia" w:ascii="仿宋" w:hAnsi="仿宋" w:eastAsia="仿宋" w:cs="仿宋"/>
          <w:bCs/>
          <w:color w:val="auto"/>
          <w:szCs w:val="21"/>
        </w:rPr>
      </w:pPr>
    </w:p>
    <w:p w14:paraId="0EE8338E">
      <w:pPr>
        <w:autoSpaceDE w:val="0"/>
        <w:autoSpaceDN w:val="0"/>
        <w:adjustRightInd w:val="0"/>
        <w:spacing w:line="380" w:lineRule="exact"/>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项目名称：</w:t>
      </w:r>
      <w:r>
        <w:rPr>
          <w:rFonts w:hint="eastAsia" w:ascii="仿宋" w:hAnsi="仿宋" w:eastAsia="仿宋" w:cs="仿宋"/>
          <w:bCs/>
          <w:color w:val="auto"/>
          <w:sz w:val="24"/>
          <w:szCs w:val="24"/>
          <w:lang w:eastAsia="zh-CN"/>
        </w:rPr>
        <w:t>衢州市柯城区姜家山乡中心小学IPV6新一代校园网络改造</w:t>
      </w:r>
    </w:p>
    <w:tbl>
      <w:tblPr>
        <w:tblStyle w:val="90"/>
        <w:tblW w:w="9286" w:type="dxa"/>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4394"/>
        <w:gridCol w:w="1547"/>
        <w:gridCol w:w="1373"/>
      </w:tblGrid>
      <w:tr w14:paraId="2187F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1972" w:type="dxa"/>
            <w:vAlign w:val="center"/>
          </w:tcPr>
          <w:p w14:paraId="2266BC4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评分项目</w:t>
            </w:r>
          </w:p>
        </w:tc>
        <w:tc>
          <w:tcPr>
            <w:tcW w:w="4394" w:type="dxa"/>
            <w:vAlign w:val="center"/>
          </w:tcPr>
          <w:p w14:paraId="626DCE5A">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评标要求</w:t>
            </w:r>
          </w:p>
        </w:tc>
        <w:tc>
          <w:tcPr>
            <w:tcW w:w="1547" w:type="dxa"/>
            <w:vAlign w:val="center"/>
          </w:tcPr>
          <w:p w14:paraId="2F12F3DA">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1373" w:type="dxa"/>
            <w:vAlign w:val="center"/>
          </w:tcPr>
          <w:p w14:paraId="3AA58A03">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得分</w:t>
            </w:r>
          </w:p>
        </w:tc>
      </w:tr>
      <w:tr w14:paraId="66FBF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972" w:type="dxa"/>
            <w:vAlign w:val="center"/>
          </w:tcPr>
          <w:p w14:paraId="3E6E9BD2">
            <w:pPr>
              <w:spacing w:line="360" w:lineRule="exact"/>
              <w:jc w:val="center"/>
              <w:rPr>
                <w:rFonts w:hint="eastAsia" w:ascii="仿宋" w:hAnsi="仿宋" w:eastAsia="仿宋" w:cs="仿宋"/>
                <w:color w:val="auto"/>
                <w:sz w:val="24"/>
                <w:szCs w:val="24"/>
              </w:rPr>
            </w:pPr>
          </w:p>
        </w:tc>
        <w:tc>
          <w:tcPr>
            <w:tcW w:w="4394" w:type="dxa"/>
            <w:vAlign w:val="center"/>
          </w:tcPr>
          <w:p w14:paraId="3C65CF56">
            <w:pPr>
              <w:adjustRightInd w:val="0"/>
              <w:snapToGrid w:val="0"/>
              <w:spacing w:line="360" w:lineRule="exact"/>
              <w:ind w:left="210" w:hanging="240" w:hangingChars="100"/>
              <w:rPr>
                <w:rFonts w:hint="eastAsia" w:ascii="仿宋" w:hAnsi="仿宋" w:eastAsia="仿宋" w:cs="仿宋"/>
                <w:bCs/>
                <w:color w:val="auto"/>
                <w:sz w:val="24"/>
                <w:szCs w:val="24"/>
              </w:rPr>
            </w:pPr>
          </w:p>
        </w:tc>
        <w:tc>
          <w:tcPr>
            <w:tcW w:w="1547" w:type="dxa"/>
            <w:vAlign w:val="center"/>
          </w:tcPr>
          <w:p w14:paraId="4117D8CF">
            <w:pPr>
              <w:adjustRightInd w:val="0"/>
              <w:snapToGrid w:val="0"/>
              <w:jc w:val="center"/>
              <w:rPr>
                <w:rFonts w:hint="eastAsia" w:ascii="仿宋" w:hAnsi="仿宋" w:eastAsia="仿宋" w:cs="仿宋"/>
                <w:bCs/>
                <w:color w:val="auto"/>
                <w:sz w:val="24"/>
                <w:szCs w:val="24"/>
              </w:rPr>
            </w:pPr>
          </w:p>
        </w:tc>
        <w:tc>
          <w:tcPr>
            <w:tcW w:w="1373" w:type="dxa"/>
            <w:vAlign w:val="center"/>
          </w:tcPr>
          <w:p w14:paraId="08B58400">
            <w:pPr>
              <w:spacing w:line="360" w:lineRule="exact"/>
              <w:jc w:val="left"/>
              <w:rPr>
                <w:rFonts w:hint="eastAsia" w:ascii="仿宋" w:hAnsi="仿宋" w:eastAsia="仿宋" w:cs="仿宋"/>
                <w:color w:val="auto"/>
                <w:sz w:val="24"/>
                <w:szCs w:val="24"/>
                <w:u w:val="double"/>
              </w:rPr>
            </w:pPr>
          </w:p>
        </w:tc>
      </w:tr>
      <w:tr w14:paraId="1FD5E0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1972" w:type="dxa"/>
            <w:vAlign w:val="center"/>
          </w:tcPr>
          <w:p w14:paraId="30514317">
            <w:pPr>
              <w:spacing w:line="360" w:lineRule="exact"/>
              <w:jc w:val="center"/>
              <w:rPr>
                <w:rFonts w:hint="eastAsia" w:ascii="仿宋" w:hAnsi="仿宋" w:eastAsia="仿宋" w:cs="仿宋"/>
                <w:color w:val="auto"/>
                <w:sz w:val="24"/>
                <w:szCs w:val="24"/>
              </w:rPr>
            </w:pPr>
          </w:p>
        </w:tc>
        <w:tc>
          <w:tcPr>
            <w:tcW w:w="4394" w:type="dxa"/>
            <w:vAlign w:val="center"/>
          </w:tcPr>
          <w:p w14:paraId="2B3BD5B5">
            <w:pPr>
              <w:adjustRightInd w:val="0"/>
              <w:snapToGrid w:val="0"/>
              <w:spacing w:line="360" w:lineRule="exact"/>
              <w:rPr>
                <w:rFonts w:hint="eastAsia" w:ascii="仿宋" w:hAnsi="仿宋" w:eastAsia="仿宋" w:cs="仿宋"/>
                <w:bCs/>
                <w:color w:val="auto"/>
                <w:sz w:val="24"/>
                <w:szCs w:val="24"/>
              </w:rPr>
            </w:pPr>
          </w:p>
        </w:tc>
        <w:tc>
          <w:tcPr>
            <w:tcW w:w="1547" w:type="dxa"/>
            <w:vAlign w:val="center"/>
          </w:tcPr>
          <w:p w14:paraId="726A601B">
            <w:pPr>
              <w:adjustRightInd w:val="0"/>
              <w:snapToGrid w:val="0"/>
              <w:jc w:val="center"/>
              <w:rPr>
                <w:rFonts w:hint="eastAsia" w:ascii="仿宋" w:hAnsi="仿宋" w:eastAsia="仿宋" w:cs="仿宋"/>
                <w:bCs/>
                <w:color w:val="auto"/>
                <w:sz w:val="24"/>
                <w:szCs w:val="24"/>
              </w:rPr>
            </w:pPr>
          </w:p>
        </w:tc>
        <w:tc>
          <w:tcPr>
            <w:tcW w:w="1373" w:type="dxa"/>
            <w:vAlign w:val="center"/>
          </w:tcPr>
          <w:p w14:paraId="77C4F2A7">
            <w:pPr>
              <w:spacing w:line="360" w:lineRule="exact"/>
              <w:jc w:val="left"/>
              <w:rPr>
                <w:rFonts w:hint="eastAsia" w:ascii="仿宋" w:hAnsi="仿宋" w:eastAsia="仿宋" w:cs="仿宋"/>
                <w:color w:val="auto"/>
                <w:sz w:val="24"/>
                <w:szCs w:val="24"/>
                <w:u w:val="double"/>
              </w:rPr>
            </w:pPr>
          </w:p>
        </w:tc>
      </w:tr>
      <w:tr w14:paraId="5111B7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68807D97">
            <w:pPr>
              <w:spacing w:line="360" w:lineRule="exact"/>
              <w:rPr>
                <w:rFonts w:hint="eastAsia" w:ascii="仿宋" w:hAnsi="仿宋" w:eastAsia="仿宋" w:cs="仿宋"/>
                <w:color w:val="auto"/>
                <w:sz w:val="24"/>
                <w:szCs w:val="24"/>
                <w:shd w:val="clear" w:color="auto" w:fill="D9D9D9"/>
              </w:rPr>
            </w:pPr>
          </w:p>
        </w:tc>
        <w:tc>
          <w:tcPr>
            <w:tcW w:w="4394" w:type="dxa"/>
            <w:vAlign w:val="center"/>
          </w:tcPr>
          <w:p w14:paraId="66E7C07C">
            <w:pPr>
              <w:adjustRightInd w:val="0"/>
              <w:snapToGrid w:val="0"/>
              <w:spacing w:line="360" w:lineRule="exact"/>
              <w:textAlignment w:val="baseline"/>
              <w:rPr>
                <w:rFonts w:hint="eastAsia" w:ascii="仿宋" w:hAnsi="仿宋" w:eastAsia="仿宋" w:cs="仿宋"/>
                <w:bCs/>
                <w:color w:val="auto"/>
                <w:sz w:val="24"/>
                <w:szCs w:val="24"/>
              </w:rPr>
            </w:pPr>
          </w:p>
        </w:tc>
        <w:tc>
          <w:tcPr>
            <w:tcW w:w="1547" w:type="dxa"/>
            <w:vAlign w:val="center"/>
          </w:tcPr>
          <w:p w14:paraId="728F0749">
            <w:pPr>
              <w:adjustRightInd w:val="0"/>
              <w:snapToGrid w:val="0"/>
              <w:jc w:val="center"/>
              <w:textAlignment w:val="baseline"/>
              <w:rPr>
                <w:rFonts w:hint="eastAsia" w:ascii="仿宋" w:hAnsi="仿宋" w:eastAsia="仿宋" w:cs="仿宋"/>
                <w:bCs/>
                <w:color w:val="auto"/>
                <w:sz w:val="24"/>
                <w:szCs w:val="24"/>
              </w:rPr>
            </w:pPr>
          </w:p>
        </w:tc>
        <w:tc>
          <w:tcPr>
            <w:tcW w:w="1373" w:type="dxa"/>
            <w:vAlign w:val="center"/>
          </w:tcPr>
          <w:p w14:paraId="2974771B">
            <w:pPr>
              <w:spacing w:line="360" w:lineRule="exact"/>
              <w:jc w:val="left"/>
              <w:rPr>
                <w:rFonts w:hint="eastAsia" w:ascii="仿宋" w:hAnsi="仿宋" w:eastAsia="仿宋" w:cs="仿宋"/>
                <w:color w:val="auto"/>
                <w:sz w:val="24"/>
                <w:szCs w:val="24"/>
              </w:rPr>
            </w:pPr>
          </w:p>
        </w:tc>
      </w:tr>
    </w:tbl>
    <w:p w14:paraId="6A9DF37E">
      <w:pPr>
        <w:keepNext w:val="0"/>
        <w:keepLines w:val="0"/>
        <w:pageBreakBefore w:val="0"/>
        <w:widowControl w:val="0"/>
        <w:kinsoku/>
        <w:wordWrap/>
        <w:overflowPunct/>
        <w:topLinePunct w:val="0"/>
        <w:autoSpaceDE w:val="0"/>
        <w:autoSpaceDN w:val="0"/>
        <w:bidi w:val="0"/>
        <w:adjustRightInd w:val="0"/>
        <w:spacing w:line="288"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注：按招标文件评标办法（客观分）评分项列入。</w:t>
      </w:r>
    </w:p>
    <w:p w14:paraId="2FEA08AA">
      <w:pPr>
        <w:keepNext w:val="0"/>
        <w:keepLines w:val="0"/>
        <w:pageBreakBefore w:val="0"/>
        <w:widowControl w:val="0"/>
        <w:kinsoku/>
        <w:wordWrap/>
        <w:overflowPunct/>
        <w:topLinePunct w:val="0"/>
        <w:autoSpaceDE w:val="0"/>
        <w:autoSpaceDN w:val="0"/>
        <w:bidi w:val="0"/>
        <w:adjustRightInd w:val="0"/>
        <w:spacing w:line="288" w:lineRule="auto"/>
        <w:rPr>
          <w:rFonts w:hint="eastAsia" w:ascii="仿宋" w:hAnsi="仿宋" w:eastAsia="仿宋" w:cs="仿宋"/>
          <w:b w:val="0"/>
          <w:bCs/>
          <w:color w:val="auto"/>
          <w:sz w:val="32"/>
          <w:szCs w:val="32"/>
          <w:highlight w:val="none"/>
        </w:rPr>
      </w:pPr>
    </w:p>
    <w:p w14:paraId="5F7E3D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供应商名称（盖章或电子签章）</w:t>
      </w:r>
      <w:r>
        <w:rPr>
          <w:rFonts w:hint="eastAsia" w:ascii="仿宋" w:hAnsi="仿宋" w:eastAsia="仿宋" w:cs="仿宋"/>
          <w:color w:val="auto"/>
          <w:kern w:val="0"/>
          <w:sz w:val="24"/>
          <w:szCs w:val="24"/>
        </w:rPr>
        <w:t xml:space="preserve"> ：</w:t>
      </w:r>
    </w:p>
    <w:p w14:paraId="61C24FDB">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法定代表人或其授权代表（签字或盖章或电子签章）：</w:t>
      </w:r>
    </w:p>
    <w:p w14:paraId="77A1A07F">
      <w:pPr>
        <w:keepNext w:val="0"/>
        <w:keepLines w:val="0"/>
        <w:pageBreakBefore w:val="0"/>
        <w:widowControl w:val="0"/>
        <w:kinsoku/>
        <w:wordWrap/>
        <w:overflowPunct/>
        <w:topLinePunct w:val="0"/>
        <w:bidi w:val="0"/>
        <w:adjustRightInd w:val="0"/>
        <w:spacing w:line="288" w:lineRule="auto"/>
        <w:textAlignment w:val="baseline"/>
        <w:rPr>
          <w:rFonts w:hint="eastAsia" w:ascii="仿宋" w:hAnsi="仿宋" w:eastAsia="仿宋" w:cs="仿宋"/>
          <w:color w:val="auto"/>
          <w:sz w:val="24"/>
        </w:rPr>
      </w:pPr>
      <w:r>
        <w:rPr>
          <w:rFonts w:hint="eastAsia" w:ascii="仿宋" w:hAnsi="仿宋" w:eastAsia="仿宋" w:cs="仿宋"/>
          <w:color w:val="auto"/>
          <w:kern w:val="0"/>
          <w:sz w:val="24"/>
          <w:szCs w:val="24"/>
        </w:rPr>
        <w:t>日期：     年  月  日</w:t>
      </w:r>
      <w:r>
        <w:rPr>
          <w:rFonts w:hint="eastAsia" w:ascii="仿宋" w:hAnsi="仿宋" w:eastAsia="仿宋" w:cs="仿宋"/>
          <w:color w:val="auto"/>
          <w:sz w:val="24"/>
        </w:rPr>
        <w:t xml:space="preserve">    </w:t>
      </w:r>
    </w:p>
    <w:p w14:paraId="3F176325">
      <w:pPr>
        <w:keepNext w:val="0"/>
        <w:keepLines w:val="0"/>
        <w:pageBreakBefore w:val="0"/>
        <w:widowControl w:val="0"/>
        <w:kinsoku/>
        <w:wordWrap/>
        <w:overflowPunct/>
        <w:topLinePunct w:val="0"/>
        <w:autoSpaceDE w:val="0"/>
        <w:autoSpaceDN w:val="0"/>
        <w:bidi w:val="0"/>
        <w:adjustRightInd w:val="0"/>
        <w:spacing w:line="288" w:lineRule="auto"/>
        <w:rPr>
          <w:rFonts w:hint="eastAsia" w:ascii="仿宋" w:hAnsi="仿宋" w:eastAsia="仿宋" w:cs="仿宋"/>
          <w:b/>
          <w:bCs/>
          <w:color w:val="auto"/>
          <w:sz w:val="32"/>
          <w:szCs w:val="32"/>
        </w:rPr>
      </w:pPr>
    </w:p>
    <w:p w14:paraId="6D9BD8CA">
      <w:pPr>
        <w:spacing w:line="600" w:lineRule="exact"/>
        <w:jc w:val="center"/>
        <w:rPr>
          <w:rFonts w:hint="eastAsia" w:ascii="仿宋" w:hAnsi="仿宋" w:eastAsia="仿宋" w:cs="仿宋"/>
          <w:b/>
          <w:bCs/>
          <w:color w:val="auto"/>
          <w:sz w:val="28"/>
          <w:szCs w:val="28"/>
        </w:rPr>
      </w:pPr>
    </w:p>
    <w:p w14:paraId="52BCD3FC">
      <w:pPr>
        <w:spacing w:line="600" w:lineRule="exact"/>
        <w:jc w:val="center"/>
        <w:rPr>
          <w:rFonts w:hint="eastAsia" w:ascii="仿宋" w:hAnsi="仿宋" w:eastAsia="仿宋" w:cs="仿宋"/>
          <w:b/>
          <w:bCs/>
          <w:color w:val="auto"/>
          <w:sz w:val="28"/>
          <w:szCs w:val="28"/>
        </w:rPr>
      </w:pPr>
    </w:p>
    <w:p w14:paraId="3B5AD47E">
      <w:pPr>
        <w:spacing w:line="600" w:lineRule="exact"/>
        <w:jc w:val="center"/>
        <w:rPr>
          <w:rFonts w:hint="eastAsia" w:ascii="仿宋" w:hAnsi="仿宋" w:eastAsia="仿宋" w:cs="仿宋"/>
          <w:b/>
          <w:bCs/>
          <w:color w:val="auto"/>
          <w:sz w:val="28"/>
          <w:szCs w:val="28"/>
        </w:rPr>
      </w:pPr>
    </w:p>
    <w:p w14:paraId="1F3E18CE">
      <w:pPr>
        <w:spacing w:line="600" w:lineRule="exact"/>
        <w:jc w:val="center"/>
        <w:rPr>
          <w:rFonts w:hint="eastAsia" w:ascii="仿宋" w:hAnsi="仿宋" w:eastAsia="仿宋" w:cs="仿宋"/>
          <w:b/>
          <w:bCs/>
          <w:color w:val="auto"/>
          <w:sz w:val="28"/>
          <w:szCs w:val="28"/>
        </w:rPr>
      </w:pPr>
    </w:p>
    <w:p w14:paraId="76350EE3">
      <w:pPr>
        <w:spacing w:line="600" w:lineRule="exact"/>
        <w:jc w:val="center"/>
        <w:rPr>
          <w:rFonts w:hint="eastAsia" w:ascii="仿宋" w:hAnsi="仿宋" w:eastAsia="仿宋" w:cs="仿宋"/>
          <w:b/>
          <w:bCs/>
          <w:color w:val="auto"/>
          <w:sz w:val="28"/>
          <w:szCs w:val="28"/>
        </w:rPr>
      </w:pPr>
    </w:p>
    <w:p w14:paraId="0E02FD4A">
      <w:pPr>
        <w:rPr>
          <w:rFonts w:hint="eastAsia" w:ascii="仿宋" w:hAnsi="仿宋" w:eastAsia="仿宋" w:cs="仿宋"/>
          <w:color w:val="auto"/>
        </w:rPr>
      </w:pPr>
    </w:p>
    <w:p w14:paraId="4BD62144">
      <w:pPr>
        <w:rPr>
          <w:rFonts w:hint="eastAsia" w:ascii="仿宋" w:hAnsi="仿宋" w:eastAsia="仿宋" w:cs="仿宋"/>
          <w:color w:val="auto"/>
        </w:rPr>
      </w:pPr>
    </w:p>
    <w:p w14:paraId="512DD808">
      <w:pPr>
        <w:rPr>
          <w:rFonts w:hint="eastAsia" w:ascii="仿宋" w:hAnsi="仿宋" w:eastAsia="仿宋" w:cs="仿宋"/>
          <w:color w:val="auto"/>
        </w:rPr>
      </w:pPr>
    </w:p>
    <w:p w14:paraId="1078C247">
      <w:pPr>
        <w:rPr>
          <w:rFonts w:hint="eastAsia" w:ascii="仿宋" w:hAnsi="仿宋" w:eastAsia="仿宋" w:cs="仿宋"/>
          <w:color w:val="auto"/>
        </w:rPr>
      </w:pPr>
    </w:p>
    <w:p w14:paraId="4CA525D5">
      <w:pPr>
        <w:rPr>
          <w:rFonts w:hint="eastAsia" w:ascii="仿宋" w:hAnsi="仿宋" w:eastAsia="仿宋" w:cs="仿宋"/>
          <w:color w:val="auto"/>
        </w:rPr>
      </w:pPr>
    </w:p>
    <w:p w14:paraId="1C4B0DC4">
      <w:pPr>
        <w:rPr>
          <w:rFonts w:hint="eastAsia" w:ascii="仿宋" w:hAnsi="仿宋" w:eastAsia="仿宋" w:cs="仿宋"/>
          <w:color w:val="auto"/>
        </w:rPr>
      </w:pPr>
    </w:p>
    <w:p w14:paraId="618F0815">
      <w:pPr>
        <w:spacing w:line="6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 标 函</w:t>
      </w:r>
    </w:p>
    <w:p w14:paraId="4F8ED03A">
      <w:pPr>
        <w:pStyle w:val="88"/>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kern w:val="0"/>
          <w:sz w:val="24"/>
          <w:szCs w:val="24"/>
          <w:u w:val="single"/>
          <w:lang w:bidi="ar"/>
        </w:rPr>
      </w:pPr>
      <w:r>
        <w:rPr>
          <w:rFonts w:hint="eastAsia" w:ascii="仿宋" w:hAnsi="仿宋" w:eastAsia="仿宋" w:cs="仿宋"/>
          <w:color w:val="auto"/>
          <w:kern w:val="0"/>
          <w:sz w:val="24"/>
          <w:szCs w:val="24"/>
          <w:u w:val="single"/>
          <w:lang w:eastAsia="zh-CN" w:bidi="ar"/>
        </w:rPr>
        <w:t>衢州市柯城区姜家山乡中心小学</w:t>
      </w:r>
      <w:r>
        <w:rPr>
          <w:rFonts w:hint="eastAsia" w:ascii="仿宋" w:hAnsi="仿宋" w:eastAsia="仿宋" w:cs="仿宋"/>
          <w:color w:val="auto"/>
          <w:kern w:val="0"/>
          <w:sz w:val="24"/>
          <w:szCs w:val="24"/>
          <w:u w:val="single"/>
          <w:lang w:bidi="ar"/>
        </w:rPr>
        <w:t>：</w:t>
      </w:r>
    </w:p>
    <w:p w14:paraId="34356D83">
      <w:pPr>
        <w:keepNext w:val="0"/>
        <w:keepLines w:val="0"/>
        <w:pageBreakBefore w:val="0"/>
        <w:widowControl w:val="0"/>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根据贵方为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衢州市柯城区姜家山乡中心小学IPV6新一代校园网络改造</w:t>
      </w:r>
      <w:r>
        <w:rPr>
          <w:rFonts w:hint="eastAsia" w:ascii="仿宋" w:hAnsi="仿宋" w:eastAsia="仿宋" w:cs="仿宋"/>
          <w:color w:val="auto"/>
          <w:sz w:val="24"/>
          <w:szCs w:val="24"/>
          <w:u w:val="single"/>
        </w:rPr>
        <w:t>（项目名称）（项目编号:</w:t>
      </w:r>
      <w:r>
        <w:rPr>
          <w:rFonts w:hint="eastAsia" w:ascii="仿宋" w:hAnsi="仿宋" w:eastAsia="仿宋" w:cs="仿宋"/>
          <w:color w:val="auto"/>
          <w:sz w:val="24"/>
          <w:szCs w:val="24"/>
          <w:u w:val="single"/>
          <w:lang w:eastAsia="zh-CN"/>
        </w:rPr>
        <w:t>ZJLD-C2025020</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的采购文件，我方作为供应商正式授权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（授权代表全名，职务）代表我方处理有关本项目公开招标的一切事宜。为此：</w:t>
      </w:r>
    </w:p>
    <w:p w14:paraId="03D243B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rPr>
        <w:t>我方承诺投标有效期从提交投标文件的截止之日起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天，本投标文件在投标有效期满之前均具有约束力。</w:t>
      </w:r>
    </w:p>
    <w:p w14:paraId="5AE2E59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rPr>
        <w:t>提供采购文件中规定的全部投标文件。</w:t>
      </w:r>
    </w:p>
    <w:p w14:paraId="0E230EC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rPr>
        <w:t>我方承诺除投标文件列出的偏离外，我方响应采购文件的全部要求。</w:t>
      </w:r>
    </w:p>
    <w:p w14:paraId="47FED85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4.</w:t>
      </w:r>
      <w:r>
        <w:rPr>
          <w:rFonts w:hint="eastAsia" w:ascii="仿宋" w:hAnsi="仿宋" w:eastAsia="仿宋" w:cs="仿宋"/>
          <w:color w:val="auto"/>
          <w:sz w:val="24"/>
          <w:szCs w:val="24"/>
        </w:rPr>
        <w:t>保证遵守采购文件中的其他有关规定。</w:t>
      </w:r>
    </w:p>
    <w:p w14:paraId="22656CE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5.</w:t>
      </w:r>
      <w:r>
        <w:rPr>
          <w:rFonts w:hint="eastAsia" w:ascii="仿宋" w:hAnsi="仿宋" w:eastAsia="仿宋" w:cs="仿宋"/>
          <w:color w:val="auto"/>
          <w:sz w:val="24"/>
          <w:szCs w:val="24"/>
        </w:rPr>
        <w:t>我方愿意向贵方提供任何与该项目响应有关的数据、情况和技术资料。若贵方需要，我方愿意提供我方作出的一切承诺的证明材料。</w:t>
      </w:r>
    </w:p>
    <w:p w14:paraId="134D662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6.</w:t>
      </w:r>
      <w:r>
        <w:rPr>
          <w:rFonts w:hint="eastAsia" w:ascii="仿宋" w:hAnsi="仿宋" w:eastAsia="仿宋" w:cs="仿宋"/>
          <w:color w:val="auto"/>
          <w:sz w:val="24"/>
          <w:szCs w:val="24"/>
        </w:rPr>
        <w:t>我方已详细阅读全部采购文件，包括采购文件“更正（延期）公告”（如果有）、参考资料及有关附件，确认无误。</w:t>
      </w:r>
    </w:p>
    <w:p w14:paraId="5B49A47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7.</w:t>
      </w:r>
      <w:r>
        <w:rPr>
          <w:rFonts w:hint="eastAsia" w:ascii="仿宋" w:hAnsi="仿宋" w:eastAsia="仿宋" w:cs="仿宋"/>
          <w:color w:val="auto"/>
          <w:sz w:val="24"/>
          <w:szCs w:val="24"/>
        </w:rPr>
        <w:t>如我方中标，我方承诺：</w:t>
      </w:r>
    </w:p>
    <w:p w14:paraId="22850F4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7.1在收到中标通知书后，在中标通知书规定的期限内与你方签订合同；</w:t>
      </w:r>
    </w:p>
    <w:p w14:paraId="1E6B317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7.2在签订合同时不向你方提出附加条件；</w:t>
      </w:r>
    </w:p>
    <w:p w14:paraId="15601ED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7.3按照采购文件要求提交履约保证金；</w:t>
      </w:r>
    </w:p>
    <w:p w14:paraId="74A29FE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7.4在合同约定的期限内完成合同规定的全部义务。</w:t>
      </w:r>
    </w:p>
    <w:p w14:paraId="1F109D9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 xml:space="preserve">其他补充说明: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C5BE22B">
      <w:pPr>
        <w:keepNext w:val="0"/>
        <w:keepLines w:val="0"/>
        <w:pageBreakBefore w:val="0"/>
        <w:widowControl w:val="0"/>
        <w:kinsoku/>
        <w:wordWrap/>
        <w:overflowPunct/>
        <w:topLinePunct w:val="0"/>
        <w:autoSpaceDE/>
        <w:autoSpaceDN/>
        <w:bidi w:val="0"/>
        <w:adjustRightInd/>
        <w:snapToGrid/>
        <w:spacing w:line="288" w:lineRule="auto"/>
        <w:ind w:firstLine="435"/>
        <w:textAlignment w:val="auto"/>
        <w:rPr>
          <w:rFonts w:hint="eastAsia" w:ascii="仿宋" w:hAnsi="仿宋" w:eastAsia="仿宋" w:cs="仿宋"/>
          <w:color w:val="auto"/>
          <w:sz w:val="24"/>
          <w:szCs w:val="24"/>
          <w:u w:val="single"/>
        </w:rPr>
      </w:pPr>
    </w:p>
    <w:p w14:paraId="68A46457">
      <w:pPr>
        <w:keepNext w:val="0"/>
        <w:keepLines w:val="0"/>
        <w:pageBreakBefore w:val="0"/>
        <w:widowControl w:val="0"/>
        <w:kinsoku/>
        <w:wordWrap/>
        <w:overflowPunct/>
        <w:topLinePunct w:val="0"/>
        <w:autoSpaceDE/>
        <w:autoSpaceDN/>
        <w:bidi w:val="0"/>
        <w:adjustRightInd/>
        <w:snapToGrid/>
        <w:spacing w:line="288" w:lineRule="auto"/>
        <w:ind w:firstLine="435"/>
        <w:textAlignment w:val="auto"/>
        <w:rPr>
          <w:rFonts w:hint="eastAsia" w:ascii="仿宋" w:hAnsi="仿宋" w:eastAsia="仿宋" w:cs="仿宋"/>
          <w:color w:val="auto"/>
          <w:sz w:val="24"/>
          <w:szCs w:val="24"/>
        </w:rPr>
      </w:pPr>
    </w:p>
    <w:p w14:paraId="01F5EA38">
      <w:pPr>
        <w:keepNext w:val="0"/>
        <w:keepLines w:val="0"/>
        <w:pageBreakBefore w:val="0"/>
        <w:widowControl w:val="0"/>
        <w:kinsoku/>
        <w:wordWrap/>
        <w:overflowPunct/>
        <w:topLinePunct w:val="0"/>
        <w:autoSpaceDE/>
        <w:autoSpaceDN/>
        <w:bidi w:val="0"/>
        <w:adjustRightInd/>
        <w:snapToGrid/>
        <w:spacing w:line="288" w:lineRule="auto"/>
        <w:ind w:firstLine="435"/>
        <w:jc w:val="left"/>
        <w:textAlignment w:val="auto"/>
        <w:rPr>
          <w:rFonts w:hint="eastAsia" w:ascii="仿宋" w:hAnsi="仿宋" w:eastAsia="仿宋" w:cs="仿宋"/>
          <w:color w:val="auto"/>
          <w:sz w:val="24"/>
          <w:szCs w:val="24"/>
        </w:rPr>
      </w:pPr>
    </w:p>
    <w:p w14:paraId="2992B1A8">
      <w:pPr>
        <w:keepNext w:val="0"/>
        <w:keepLines w:val="0"/>
        <w:pageBreakBefore w:val="0"/>
        <w:widowControl/>
        <w:kinsoku/>
        <w:wordWrap/>
        <w:overflowPunct/>
        <w:topLinePunct w:val="0"/>
        <w:autoSpaceDE/>
        <w:autoSpaceDN/>
        <w:bidi w:val="0"/>
        <w:adjustRightInd w:val="0"/>
        <w:snapToGrid w:val="0"/>
        <w:spacing w:line="288" w:lineRule="auto"/>
        <w:ind w:firstLine="240" w:firstLineChars="1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供应商名称（盖章或电子签章）</w:t>
      </w:r>
      <w:r>
        <w:rPr>
          <w:rFonts w:hint="eastAsia" w:ascii="仿宋" w:hAnsi="仿宋" w:eastAsia="仿宋" w:cs="仿宋"/>
          <w:color w:val="auto"/>
          <w:kern w:val="0"/>
          <w:sz w:val="24"/>
          <w:szCs w:val="24"/>
        </w:rPr>
        <w:t xml:space="preserve"> ：</w:t>
      </w:r>
    </w:p>
    <w:p w14:paraId="1B8C46BE">
      <w:pPr>
        <w:keepNext w:val="0"/>
        <w:keepLines w:val="0"/>
        <w:pageBreakBefore w:val="0"/>
        <w:widowControl/>
        <w:kinsoku/>
        <w:wordWrap/>
        <w:overflowPunct/>
        <w:topLinePunct w:val="0"/>
        <w:autoSpaceDE/>
        <w:autoSpaceDN/>
        <w:bidi w:val="0"/>
        <w:adjustRightInd w:val="0"/>
        <w:snapToGrid w:val="0"/>
        <w:spacing w:line="288" w:lineRule="auto"/>
        <w:ind w:firstLine="240" w:firstLineChars="1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法定代表人或其授权代表（签字或盖章或电子签章）：</w:t>
      </w:r>
    </w:p>
    <w:p w14:paraId="384738CF">
      <w:pPr>
        <w:keepNext w:val="0"/>
        <w:keepLines w:val="0"/>
        <w:pageBreakBefore w:val="0"/>
        <w:widowControl w:val="0"/>
        <w:kinsoku/>
        <w:wordWrap/>
        <w:overflowPunct/>
        <w:topLinePunct w:val="0"/>
        <w:autoSpaceDE/>
        <w:autoSpaceDN/>
        <w:bidi w:val="0"/>
        <w:adjustRightInd/>
        <w:snapToGrid/>
        <w:spacing w:line="288" w:lineRule="auto"/>
        <w:ind w:firstLine="240" w:firstLineChars="1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日期：     年  月  日</w:t>
      </w:r>
    </w:p>
    <w:p w14:paraId="0BAD8ED1">
      <w:pPr>
        <w:pStyle w:val="88"/>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b/>
          <w:bCs/>
          <w:color w:val="auto"/>
          <w:sz w:val="24"/>
          <w:szCs w:val="24"/>
        </w:rPr>
      </w:pPr>
    </w:p>
    <w:p w14:paraId="5C924193">
      <w:pPr>
        <w:pStyle w:val="36"/>
        <w:keepNext w:val="0"/>
        <w:keepLines w:val="0"/>
        <w:pageBreakBefore w:val="0"/>
        <w:widowControl w:val="0"/>
        <w:kinsoku/>
        <w:wordWrap/>
        <w:overflowPunct/>
        <w:topLinePunct w:val="0"/>
        <w:autoSpaceDE/>
        <w:autoSpaceDN/>
        <w:bidi w:val="0"/>
        <w:adjustRightInd/>
        <w:snapToGrid/>
        <w:spacing w:line="288" w:lineRule="auto"/>
        <w:ind w:firstLine="210"/>
        <w:textAlignment w:val="auto"/>
        <w:rPr>
          <w:rFonts w:hint="eastAsia" w:ascii="仿宋" w:hAnsi="仿宋" w:eastAsia="仿宋" w:cs="仿宋"/>
          <w:color w:val="auto"/>
          <w:sz w:val="24"/>
          <w:szCs w:val="24"/>
        </w:rPr>
      </w:pPr>
    </w:p>
    <w:p w14:paraId="200037C6">
      <w:pPr>
        <w:pStyle w:val="88"/>
        <w:ind w:firstLine="0" w:firstLineChars="0"/>
        <w:rPr>
          <w:rFonts w:hint="eastAsia" w:ascii="仿宋" w:hAnsi="仿宋" w:eastAsia="仿宋" w:cs="仿宋"/>
          <w:b/>
          <w:bCs/>
          <w:color w:val="auto"/>
          <w:sz w:val="28"/>
          <w:szCs w:val="28"/>
        </w:rPr>
      </w:pPr>
    </w:p>
    <w:p w14:paraId="0E7F9620">
      <w:pPr>
        <w:autoSpaceDE w:val="0"/>
        <w:autoSpaceDN w:val="0"/>
        <w:adjustRightInd w:val="0"/>
        <w:spacing w:line="500" w:lineRule="exact"/>
        <w:jc w:val="center"/>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法定代表人</w:t>
      </w:r>
      <w:r>
        <w:rPr>
          <w:rFonts w:hint="eastAsia" w:ascii="仿宋" w:hAnsi="仿宋" w:eastAsia="仿宋" w:cs="仿宋"/>
          <w:b/>
          <w:bCs/>
          <w:color w:val="auto"/>
          <w:sz w:val="28"/>
          <w:szCs w:val="28"/>
          <w:lang w:val="en-US" w:eastAsia="zh-CN"/>
        </w:rPr>
        <w:t>身份</w:t>
      </w:r>
      <w:r>
        <w:rPr>
          <w:rFonts w:hint="eastAsia" w:ascii="仿宋" w:hAnsi="仿宋" w:eastAsia="仿宋" w:cs="仿宋"/>
          <w:b/>
          <w:bCs/>
          <w:color w:val="auto"/>
          <w:sz w:val="28"/>
          <w:szCs w:val="28"/>
        </w:rPr>
        <w:t>证明</w:t>
      </w:r>
    </w:p>
    <w:p w14:paraId="4E0C7EDE">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14:paraId="205ED1A5">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14:paraId="55C6DB37">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7ED8DD8D">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1EB31BD">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22C7B166">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14:paraId="55A81AB4">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名称）的法定代表人。</w:t>
      </w:r>
    </w:p>
    <w:p w14:paraId="405BEB03">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0D3B1ECD">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auto"/>
          <w:sz w:val="24"/>
          <w:szCs w:val="24"/>
        </w:rPr>
      </w:pPr>
    </w:p>
    <w:p w14:paraId="115ABCD3">
      <w:pPr>
        <w:keepNext w:val="0"/>
        <w:keepLines w:val="0"/>
        <w:pageBreakBefore w:val="0"/>
        <w:kinsoku/>
        <w:wordWrap/>
        <w:overflowPunct/>
        <w:topLinePunct w:val="0"/>
        <w:autoSpaceDE/>
        <w:autoSpaceDN/>
        <w:bidi w:val="0"/>
        <w:spacing w:line="288" w:lineRule="auto"/>
        <w:jc w:val="right"/>
        <w:rPr>
          <w:rFonts w:hint="eastAsia" w:ascii="仿宋" w:hAnsi="仿宋" w:eastAsia="仿宋" w:cs="仿宋"/>
          <w:color w:val="auto"/>
          <w:sz w:val="24"/>
          <w:szCs w:val="24"/>
        </w:rPr>
      </w:pPr>
    </w:p>
    <w:p w14:paraId="5FB4F3CB">
      <w:pPr>
        <w:keepNext w:val="0"/>
        <w:keepLines w:val="0"/>
        <w:pageBreakBefore w:val="0"/>
        <w:kinsoku/>
        <w:wordWrap/>
        <w:overflowPunct/>
        <w:topLinePunct w:val="0"/>
        <w:autoSpaceDE/>
        <w:autoSpaceDN/>
        <w:bidi w:val="0"/>
        <w:spacing w:line="288"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3259EFAB">
      <w:pPr>
        <w:keepNext w:val="0"/>
        <w:keepLines w:val="0"/>
        <w:pageBreakBefore w:val="0"/>
        <w:kinsoku/>
        <w:wordWrap/>
        <w:overflowPunct/>
        <w:topLinePunct w:val="0"/>
        <w:autoSpaceDE/>
        <w:autoSpaceDN/>
        <w:bidi w:val="0"/>
        <w:spacing w:line="288"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14:paraId="140387D1">
      <w:pPr>
        <w:pStyle w:val="622"/>
        <w:keepNext w:val="0"/>
        <w:keepLines w:val="0"/>
        <w:pageBreakBefore w:val="0"/>
        <w:kinsoku/>
        <w:wordWrap/>
        <w:overflowPunct/>
        <w:topLinePunct w:val="0"/>
        <w:autoSpaceDE/>
        <w:autoSpaceDN/>
        <w:bidi w:val="0"/>
        <w:spacing w:line="288" w:lineRule="auto"/>
        <w:rPr>
          <w:rFonts w:hint="eastAsia" w:ascii="仿宋" w:hAnsi="仿宋" w:eastAsia="仿宋" w:cs="仿宋"/>
          <w:color w:val="auto"/>
          <w:sz w:val="24"/>
          <w:szCs w:val="24"/>
        </w:rPr>
      </w:pPr>
    </w:p>
    <w:p w14:paraId="2CA30432">
      <w:pPr>
        <w:pStyle w:val="622"/>
        <w:keepNext w:val="0"/>
        <w:keepLines w:val="0"/>
        <w:pageBreakBefore w:val="0"/>
        <w:kinsoku/>
        <w:wordWrap/>
        <w:overflowPunct/>
        <w:topLinePunct w:val="0"/>
        <w:autoSpaceDE/>
        <w:autoSpaceDN/>
        <w:bidi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附：法定代表人身份证扫描件</w:t>
      </w:r>
    </w:p>
    <w:tbl>
      <w:tblPr>
        <w:tblStyle w:val="90"/>
        <w:tblW w:w="8330" w:type="dxa"/>
        <w:tblInd w:w="0" w:type="dxa"/>
        <w:tblLayout w:type="fixed"/>
        <w:tblCellMar>
          <w:top w:w="0" w:type="dxa"/>
          <w:left w:w="108" w:type="dxa"/>
          <w:bottom w:w="0" w:type="dxa"/>
          <w:right w:w="108" w:type="dxa"/>
        </w:tblCellMar>
      </w:tblPr>
      <w:tblGrid>
        <w:gridCol w:w="4077"/>
        <w:gridCol w:w="4253"/>
      </w:tblGrid>
      <w:tr w14:paraId="3139C69A">
        <w:trPr>
          <w:trHeight w:val="2423" w:hRule="atLeast"/>
        </w:trPr>
        <w:tc>
          <w:tcPr>
            <w:tcW w:w="4077" w:type="dxa"/>
            <w:tcBorders>
              <w:top w:val="single" w:color="auto" w:sz="4" w:space="0"/>
              <w:left w:val="single" w:color="auto" w:sz="4" w:space="0"/>
              <w:bottom w:val="single" w:color="auto" w:sz="4" w:space="0"/>
              <w:right w:val="single" w:color="auto" w:sz="4" w:space="0"/>
            </w:tcBorders>
          </w:tcPr>
          <w:p w14:paraId="4831E9D3">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jc w:val="center"/>
              <w:rPr>
                <w:rFonts w:hint="eastAsia" w:ascii="仿宋" w:hAnsi="仿宋" w:eastAsia="仿宋" w:cs="仿宋"/>
                <w:color w:val="auto"/>
                <w:kern w:val="0"/>
                <w:sz w:val="24"/>
                <w:szCs w:val="24"/>
              </w:rPr>
            </w:pPr>
          </w:p>
          <w:p w14:paraId="28493E9F">
            <w:pPr>
              <w:keepNext w:val="0"/>
              <w:keepLines w:val="0"/>
              <w:pageBreakBefore w:val="0"/>
              <w:widowControl/>
              <w:tabs>
                <w:tab w:val="right" w:leader="dot" w:pos="8295"/>
              </w:tabs>
              <w:kinsoku/>
              <w:wordWrap/>
              <w:overflowPunct/>
              <w:topLinePunct w:val="0"/>
              <w:autoSpaceDE/>
              <w:autoSpaceDN/>
              <w:bidi w:val="0"/>
              <w:snapToGrid w:val="0"/>
              <w:spacing w:line="288"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法定代表人身份证扫描件</w:t>
            </w:r>
          </w:p>
          <w:p w14:paraId="54C182FB">
            <w:pPr>
              <w:pStyle w:val="622"/>
              <w:keepNext w:val="0"/>
              <w:keepLines w:val="0"/>
              <w:pageBreakBefore w:val="0"/>
              <w:kinsoku/>
              <w:wordWrap/>
              <w:overflowPunct/>
              <w:topLinePunct w:val="0"/>
              <w:autoSpaceDE/>
              <w:autoSpaceDN/>
              <w:bidi w:val="0"/>
              <w:spacing w:line="288"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（国徽面）</w:t>
            </w:r>
          </w:p>
          <w:p w14:paraId="54CFF5CE">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jc w:val="center"/>
              <w:rPr>
                <w:rFonts w:hint="eastAsia" w:ascii="仿宋" w:hAnsi="仿宋" w:eastAsia="仿宋" w:cs="仿宋"/>
                <w:color w:val="auto"/>
                <w:kern w:val="0"/>
                <w:sz w:val="24"/>
                <w:szCs w:val="24"/>
              </w:rPr>
            </w:pPr>
          </w:p>
        </w:tc>
        <w:tc>
          <w:tcPr>
            <w:tcW w:w="4253" w:type="dxa"/>
            <w:tcBorders>
              <w:top w:val="single" w:color="auto" w:sz="4" w:space="0"/>
              <w:left w:val="single" w:color="auto" w:sz="4" w:space="0"/>
              <w:bottom w:val="single" w:color="auto" w:sz="4" w:space="0"/>
              <w:right w:val="single" w:color="auto" w:sz="4" w:space="0"/>
            </w:tcBorders>
          </w:tcPr>
          <w:p w14:paraId="75683779">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jc w:val="center"/>
              <w:rPr>
                <w:rFonts w:hint="eastAsia" w:ascii="仿宋" w:hAnsi="仿宋" w:eastAsia="仿宋" w:cs="仿宋"/>
                <w:color w:val="auto"/>
                <w:kern w:val="0"/>
                <w:sz w:val="24"/>
                <w:szCs w:val="24"/>
              </w:rPr>
            </w:pPr>
          </w:p>
          <w:p w14:paraId="23C24956">
            <w:pPr>
              <w:keepNext w:val="0"/>
              <w:keepLines w:val="0"/>
              <w:pageBreakBefore w:val="0"/>
              <w:widowControl/>
              <w:tabs>
                <w:tab w:val="right" w:leader="dot" w:pos="8295"/>
              </w:tabs>
              <w:kinsoku/>
              <w:wordWrap/>
              <w:overflowPunct/>
              <w:topLinePunct w:val="0"/>
              <w:autoSpaceDE/>
              <w:autoSpaceDN/>
              <w:bidi w:val="0"/>
              <w:snapToGrid w:val="0"/>
              <w:spacing w:line="288"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法定代表人身份证扫描件</w:t>
            </w:r>
          </w:p>
          <w:p w14:paraId="05C8511D">
            <w:pPr>
              <w:pStyle w:val="622"/>
              <w:keepNext w:val="0"/>
              <w:keepLines w:val="0"/>
              <w:pageBreakBefore w:val="0"/>
              <w:kinsoku/>
              <w:wordWrap/>
              <w:overflowPunct/>
              <w:topLinePunct w:val="0"/>
              <w:autoSpaceDE/>
              <w:autoSpaceDN/>
              <w:bidi w:val="0"/>
              <w:spacing w:line="288"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（头像面）</w:t>
            </w:r>
          </w:p>
          <w:p w14:paraId="2DAB5F16">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rPr>
                <w:rFonts w:hint="eastAsia" w:ascii="仿宋" w:hAnsi="仿宋" w:eastAsia="仿宋" w:cs="仿宋"/>
                <w:color w:val="auto"/>
                <w:kern w:val="0"/>
                <w:sz w:val="24"/>
                <w:szCs w:val="24"/>
              </w:rPr>
            </w:pPr>
          </w:p>
        </w:tc>
      </w:tr>
    </w:tbl>
    <w:p w14:paraId="47C69C89">
      <w:pPr>
        <w:keepNext w:val="0"/>
        <w:keepLines w:val="0"/>
        <w:pageBreakBefore w:val="0"/>
        <w:kinsoku/>
        <w:wordWrap/>
        <w:overflowPunct/>
        <w:topLinePunct w:val="0"/>
        <w:autoSpaceDE/>
        <w:autoSpaceDN/>
        <w:bidi w:val="0"/>
        <w:spacing w:line="288" w:lineRule="auto"/>
        <w:rPr>
          <w:rFonts w:hint="eastAsia" w:ascii="仿宋" w:hAnsi="仿宋" w:eastAsia="仿宋" w:cs="仿宋"/>
          <w:color w:val="auto"/>
          <w:sz w:val="24"/>
          <w:szCs w:val="24"/>
          <w:highlight w:val="yellow"/>
        </w:rPr>
      </w:pPr>
    </w:p>
    <w:p w14:paraId="1AB1E7D8">
      <w:pPr>
        <w:pStyle w:val="622"/>
        <w:rPr>
          <w:rFonts w:hint="eastAsia" w:ascii="仿宋" w:hAnsi="仿宋" w:eastAsia="仿宋" w:cs="仿宋"/>
          <w:color w:val="auto"/>
          <w:highlight w:val="yellow"/>
        </w:rPr>
      </w:pPr>
    </w:p>
    <w:p w14:paraId="1606BC6E">
      <w:pPr>
        <w:pageBreakBefore/>
        <w:adjustRightInd w:val="0"/>
        <w:spacing w:line="500" w:lineRule="exact"/>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法定代表人授权书</w:t>
      </w:r>
    </w:p>
    <w:p w14:paraId="6E5EF58B">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衢州市柯城区姜家山乡中心小学</w:t>
      </w:r>
      <w:r>
        <w:rPr>
          <w:rFonts w:hint="eastAsia" w:ascii="仿宋" w:hAnsi="仿宋" w:eastAsia="仿宋" w:cs="仿宋"/>
          <w:color w:val="auto"/>
          <w:sz w:val="24"/>
          <w:szCs w:val="24"/>
          <w:u w:val="single"/>
        </w:rPr>
        <w:t>：</w:t>
      </w:r>
    </w:p>
    <w:p w14:paraId="7C77367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本授权委托书声明：我</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（法定代表人姓名）</w:t>
      </w:r>
      <w:r>
        <w:rPr>
          <w:rFonts w:hint="eastAsia" w:ascii="仿宋" w:hAnsi="仿宋" w:eastAsia="仿宋" w:cs="仿宋"/>
          <w:color w:val="auto"/>
          <w:sz w:val="24"/>
          <w:szCs w:val="24"/>
          <w:lang w:val="zh-CN"/>
        </w:rPr>
        <w:t>系</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w:t>
      </w:r>
      <w:r>
        <w:rPr>
          <w:rFonts w:hint="eastAsia" w:ascii="仿宋" w:hAnsi="仿宋" w:eastAsia="仿宋" w:cs="仿宋"/>
          <w:color w:val="auto"/>
          <w:sz w:val="24"/>
          <w:szCs w:val="24"/>
          <w:u w:val="single"/>
          <w:lang w:val="zh-CN" w:eastAsia="zh-CN"/>
        </w:rPr>
        <w:t>供应商</w:t>
      </w:r>
      <w:r>
        <w:rPr>
          <w:rFonts w:hint="eastAsia" w:ascii="仿宋" w:hAnsi="仿宋" w:eastAsia="仿宋" w:cs="仿宋"/>
          <w:color w:val="auto"/>
          <w:sz w:val="24"/>
          <w:szCs w:val="24"/>
          <w:u w:val="single"/>
          <w:lang w:val="zh-CN"/>
        </w:rPr>
        <w:t>名称）</w:t>
      </w:r>
      <w:r>
        <w:rPr>
          <w:rFonts w:hint="eastAsia" w:ascii="仿宋" w:hAnsi="仿宋" w:eastAsia="仿宋" w:cs="仿宋"/>
          <w:color w:val="auto"/>
          <w:sz w:val="24"/>
          <w:szCs w:val="24"/>
          <w:lang w:val="zh-CN"/>
        </w:rPr>
        <w:t>的法定代表人，现授权委托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（单位名称）</w:t>
      </w:r>
      <w:r>
        <w:rPr>
          <w:rFonts w:hint="eastAsia" w:ascii="仿宋" w:hAnsi="仿宋" w:eastAsia="仿宋" w:cs="仿宋"/>
          <w:color w:val="auto"/>
          <w:sz w:val="24"/>
          <w:szCs w:val="24"/>
          <w:lang w:val="zh-CN"/>
        </w:rPr>
        <w:t>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（授权代表姓名）</w:t>
      </w:r>
      <w:r>
        <w:rPr>
          <w:rFonts w:hint="eastAsia" w:ascii="仿宋" w:hAnsi="仿宋" w:eastAsia="仿宋" w:cs="仿宋"/>
          <w:color w:val="auto"/>
          <w:sz w:val="24"/>
          <w:szCs w:val="24"/>
          <w:lang w:val="zh-CN"/>
        </w:rPr>
        <w:t>为我公司法定代表人授权代表，参加贵单位组织的</w:t>
      </w:r>
      <w:r>
        <w:rPr>
          <w:rFonts w:hint="eastAsia" w:ascii="仿宋" w:hAnsi="仿宋" w:eastAsia="仿宋" w:cs="仿宋"/>
          <w:color w:val="auto"/>
          <w:sz w:val="24"/>
          <w:szCs w:val="24"/>
          <w:u w:val="single"/>
          <w:lang w:val="zh-CN"/>
        </w:rPr>
        <w:t xml:space="preserve"> 衢州市柯城区姜家山乡中心小学IPV6新一代校园网络改造（项目名称）（项目编号:ZJLD-C2025020）</w:t>
      </w:r>
      <w:r>
        <w:rPr>
          <w:rFonts w:hint="eastAsia" w:ascii="仿宋" w:hAnsi="仿宋" w:eastAsia="仿宋" w:cs="仿宋"/>
          <w:color w:val="auto"/>
          <w:sz w:val="24"/>
          <w:szCs w:val="24"/>
          <w:lang w:val="zh-CN"/>
        </w:rPr>
        <w:t>项目采购，并代表我方全权处理本次采购活动中的一切事宜，并签署相关文件，我方对被授权人的签名事项负全部责任。</w:t>
      </w:r>
    </w:p>
    <w:p w14:paraId="27F75D6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在撤销授权的书面通知以前，本授权书一直有效。被授权人在授权书有效期内签署的所有文件不因授权的撤销而失效。</w:t>
      </w:r>
    </w:p>
    <w:p w14:paraId="35587D1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授权代表无转授权，特此授权。</w:t>
      </w:r>
    </w:p>
    <w:p w14:paraId="2DCBF51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附：1.</w:t>
      </w: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授权代表人身份证扫描件</w:t>
      </w:r>
    </w:p>
    <w:p w14:paraId="58EF2BE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2.授权代表为投标人在职员工的证明文件（投标人为其缴纳的社保记录或劳务合同等）。</w:t>
      </w:r>
    </w:p>
    <w:p w14:paraId="2F08788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授权代表（签字或盖章）：</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 xml:space="preserve">  性别：</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年龄：</w:t>
      </w:r>
      <w:r>
        <w:rPr>
          <w:rFonts w:hint="eastAsia" w:ascii="仿宋" w:hAnsi="仿宋" w:eastAsia="仿宋" w:cs="仿宋"/>
          <w:color w:val="auto"/>
          <w:sz w:val="24"/>
          <w:szCs w:val="24"/>
          <w:u w:val="single"/>
          <w:lang w:val="zh-CN"/>
        </w:rPr>
        <w:t xml:space="preserve">            </w:t>
      </w:r>
    </w:p>
    <w:p w14:paraId="47B27C8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身份证号码：</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 xml:space="preserve">  职务：</w:t>
      </w:r>
      <w:r>
        <w:rPr>
          <w:rFonts w:hint="eastAsia" w:ascii="仿宋" w:hAnsi="仿宋" w:eastAsia="仿宋" w:cs="仿宋"/>
          <w:color w:val="auto"/>
          <w:sz w:val="24"/>
          <w:szCs w:val="24"/>
          <w:u w:val="single"/>
          <w:lang w:val="zh-CN"/>
        </w:rPr>
        <w:t xml:space="preserve">                        </w:t>
      </w:r>
    </w:p>
    <w:p w14:paraId="0758520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详细通讯地址：</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 xml:space="preserve">  联系电话：</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 xml:space="preserve">  </w:t>
      </w:r>
    </w:p>
    <w:p w14:paraId="7C0E72C0">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全称（盖章）：</w:t>
      </w:r>
    </w:p>
    <w:p w14:paraId="00C87E4F">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法定代表人（盖章或签字）：</w:t>
      </w:r>
    </w:p>
    <w:p w14:paraId="2CE7E27C">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日    期：  </w:t>
      </w:r>
    </w:p>
    <w:p w14:paraId="3E183B3B">
      <w:pPr>
        <w:pStyle w:val="622"/>
        <w:keepNext w:val="0"/>
        <w:keepLines w:val="0"/>
        <w:pageBreakBefore w:val="0"/>
        <w:kinsoku/>
        <w:wordWrap/>
        <w:overflowPunct/>
        <w:topLinePunct w:val="0"/>
        <w:bidi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附：授权代表人身份证扫描件</w:t>
      </w:r>
    </w:p>
    <w:tbl>
      <w:tblPr>
        <w:tblStyle w:val="90"/>
        <w:tblW w:w="7939" w:type="dxa"/>
        <w:tblInd w:w="0" w:type="dxa"/>
        <w:tblLayout w:type="fixed"/>
        <w:tblCellMar>
          <w:top w:w="0" w:type="dxa"/>
          <w:left w:w="108" w:type="dxa"/>
          <w:bottom w:w="0" w:type="dxa"/>
          <w:right w:w="108" w:type="dxa"/>
        </w:tblCellMar>
      </w:tblPr>
      <w:tblGrid>
        <w:gridCol w:w="3886"/>
        <w:gridCol w:w="4053"/>
      </w:tblGrid>
      <w:tr w14:paraId="7D35ADAA">
        <w:trPr>
          <w:trHeight w:val="1992" w:hRule="atLeast"/>
        </w:trPr>
        <w:tc>
          <w:tcPr>
            <w:tcW w:w="3886" w:type="dxa"/>
            <w:tcBorders>
              <w:top w:val="single" w:color="auto" w:sz="4" w:space="0"/>
              <w:left w:val="single" w:color="auto" w:sz="4" w:space="0"/>
              <w:bottom w:val="single" w:color="auto" w:sz="4" w:space="0"/>
              <w:right w:val="single" w:color="auto" w:sz="4" w:space="0"/>
            </w:tcBorders>
          </w:tcPr>
          <w:p w14:paraId="3DB10E1D">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仿宋" w:hAnsi="仿宋" w:eastAsia="仿宋" w:cs="仿宋"/>
                <w:color w:val="auto"/>
                <w:kern w:val="0"/>
                <w:sz w:val="24"/>
                <w:szCs w:val="24"/>
              </w:rPr>
            </w:pPr>
          </w:p>
          <w:p w14:paraId="0BC6FB7E">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授权代表人身份证扫描件</w:t>
            </w:r>
          </w:p>
          <w:p w14:paraId="46418BCF">
            <w:pPr>
              <w:pStyle w:val="622"/>
              <w:keepNext w:val="0"/>
              <w:keepLines w:val="0"/>
              <w:pageBreakBefore w:val="0"/>
              <w:kinsoku/>
              <w:wordWrap/>
              <w:overflowPunct/>
              <w:topLinePunct w:val="0"/>
              <w:bidi w:val="0"/>
              <w:spacing w:line="288" w:lineRule="auto"/>
              <w:ind w:firstLine="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（国徽面）</w:t>
            </w:r>
          </w:p>
          <w:p w14:paraId="30A86C2F">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仿宋" w:hAnsi="仿宋" w:eastAsia="仿宋" w:cs="仿宋"/>
                <w:color w:val="auto"/>
                <w:kern w:val="0"/>
                <w:sz w:val="24"/>
                <w:szCs w:val="24"/>
              </w:rPr>
            </w:pPr>
          </w:p>
        </w:tc>
        <w:tc>
          <w:tcPr>
            <w:tcW w:w="4053" w:type="dxa"/>
            <w:tcBorders>
              <w:top w:val="single" w:color="auto" w:sz="4" w:space="0"/>
              <w:left w:val="single" w:color="auto" w:sz="4" w:space="0"/>
              <w:bottom w:val="single" w:color="auto" w:sz="4" w:space="0"/>
              <w:right w:val="single" w:color="auto" w:sz="4" w:space="0"/>
            </w:tcBorders>
          </w:tcPr>
          <w:p w14:paraId="4599AB37">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仿宋" w:hAnsi="仿宋" w:eastAsia="仿宋" w:cs="仿宋"/>
                <w:color w:val="auto"/>
                <w:kern w:val="0"/>
                <w:sz w:val="24"/>
                <w:szCs w:val="24"/>
              </w:rPr>
            </w:pPr>
          </w:p>
          <w:p w14:paraId="3EFFC280">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授权代表人身份证扫描件</w:t>
            </w:r>
          </w:p>
          <w:p w14:paraId="6DE3A9F8">
            <w:pPr>
              <w:pStyle w:val="622"/>
              <w:keepNext w:val="0"/>
              <w:keepLines w:val="0"/>
              <w:pageBreakBefore w:val="0"/>
              <w:kinsoku/>
              <w:wordWrap/>
              <w:overflowPunct/>
              <w:topLinePunct w:val="0"/>
              <w:bidi w:val="0"/>
              <w:spacing w:line="288" w:lineRule="auto"/>
              <w:ind w:firstLine="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（头像面）</w:t>
            </w:r>
          </w:p>
          <w:p w14:paraId="4153C06D">
            <w:pPr>
              <w:keepNext w:val="0"/>
              <w:keepLines w:val="0"/>
              <w:pageBreakBefore w:val="0"/>
              <w:widowControl/>
              <w:tabs>
                <w:tab w:val="right" w:leader="dot" w:pos="8295"/>
              </w:tabs>
              <w:kinsoku/>
              <w:wordWrap/>
              <w:overflowPunct/>
              <w:topLinePunct w:val="0"/>
              <w:bidi w:val="0"/>
              <w:snapToGrid w:val="0"/>
              <w:spacing w:line="288" w:lineRule="auto"/>
              <w:ind w:left="5250" w:firstLine="480"/>
              <w:rPr>
                <w:rFonts w:hint="eastAsia" w:ascii="仿宋" w:hAnsi="仿宋" w:eastAsia="仿宋" w:cs="仿宋"/>
                <w:color w:val="auto"/>
                <w:kern w:val="0"/>
                <w:sz w:val="24"/>
                <w:szCs w:val="24"/>
              </w:rPr>
            </w:pPr>
          </w:p>
        </w:tc>
      </w:tr>
    </w:tbl>
    <w:p w14:paraId="73449ED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b/>
          <w:color w:val="auto"/>
          <w:sz w:val="24"/>
          <w:highlight w:val="none"/>
          <w:lang w:val="en-US" w:eastAsia="zh-CN"/>
        </w:rPr>
      </w:pPr>
      <w:bookmarkStart w:id="97" w:name="OLE_LINK37"/>
      <w:bookmarkStart w:id="98" w:name="OLE_LINK35"/>
      <w:r>
        <w:rPr>
          <w:rFonts w:hint="eastAsia" w:ascii="仿宋" w:hAnsi="仿宋" w:eastAsia="仿宋" w:cs="仿宋"/>
          <w:b/>
          <w:color w:val="auto"/>
          <w:sz w:val="24"/>
          <w:highlight w:val="none"/>
          <w:lang w:val="en-US" w:eastAsia="zh-CN"/>
        </w:rPr>
        <w:t>注：后附受托人</w:t>
      </w:r>
      <w:bookmarkEnd w:id="97"/>
      <w:r>
        <w:rPr>
          <w:rFonts w:hint="eastAsia" w:ascii="仿宋" w:hAnsi="仿宋" w:eastAsia="仿宋" w:cs="仿宋"/>
          <w:b/>
          <w:color w:val="auto"/>
          <w:sz w:val="24"/>
          <w:highlight w:val="none"/>
          <w:lang w:val="en-US" w:eastAsia="zh-CN"/>
        </w:rPr>
        <w:t>社保证明扫描件。</w:t>
      </w:r>
    </w:p>
    <w:p w14:paraId="74209A7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若是法定代表人参加开标会议并签署投标文件的，不需提供此授权书。</w:t>
      </w:r>
    </w:p>
    <w:bookmarkEnd w:id="98"/>
    <w:p w14:paraId="6C1EA426">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bCs/>
          <w:color w:val="auto"/>
          <w:sz w:val="28"/>
          <w:szCs w:val="28"/>
          <w:lang w:eastAsia="zh-CN"/>
        </w:rPr>
      </w:pPr>
    </w:p>
    <w:p w14:paraId="2891D068">
      <w:pPr>
        <w:pageBreakBefore/>
        <w:adjustRightInd w:val="0"/>
        <w:spacing w:line="500" w:lineRule="exact"/>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业绩情况表</w:t>
      </w:r>
    </w:p>
    <w:tbl>
      <w:tblPr>
        <w:tblStyle w:val="90"/>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500"/>
        <w:gridCol w:w="3300"/>
        <w:gridCol w:w="1245"/>
        <w:gridCol w:w="1670"/>
      </w:tblGrid>
      <w:tr w14:paraId="33CB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91" w:type="dxa"/>
            <w:noWrap w:val="0"/>
            <w:vAlign w:val="center"/>
          </w:tcPr>
          <w:p w14:paraId="0390FB01">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99" w:name="_Toc8079"/>
            <w:r>
              <w:rPr>
                <w:rFonts w:hint="eastAsia" w:ascii="仿宋" w:hAnsi="仿宋" w:eastAsia="仿宋" w:cs="仿宋"/>
                <w:color w:val="auto"/>
                <w:sz w:val="24"/>
                <w:szCs w:val="24"/>
                <w:highlight w:val="none"/>
                <w:lang w:eastAsia="zh-CN"/>
              </w:rPr>
              <w:t>序号</w:t>
            </w:r>
            <w:bookmarkEnd w:id="99"/>
          </w:p>
        </w:tc>
        <w:tc>
          <w:tcPr>
            <w:tcW w:w="2500" w:type="dxa"/>
            <w:noWrap w:val="0"/>
            <w:vAlign w:val="center"/>
          </w:tcPr>
          <w:p w14:paraId="598A1FFF">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0" w:name="_Toc32703"/>
            <w:r>
              <w:rPr>
                <w:rFonts w:hint="eastAsia" w:ascii="仿宋" w:hAnsi="仿宋" w:eastAsia="仿宋" w:cs="仿宋"/>
                <w:color w:val="auto"/>
                <w:sz w:val="24"/>
                <w:szCs w:val="24"/>
                <w:highlight w:val="none"/>
                <w:lang w:eastAsia="zh-CN"/>
              </w:rPr>
              <w:t>采购单位名称</w:t>
            </w:r>
            <w:bookmarkEnd w:id="100"/>
          </w:p>
        </w:tc>
        <w:tc>
          <w:tcPr>
            <w:tcW w:w="3300" w:type="dxa"/>
            <w:noWrap w:val="0"/>
            <w:vAlign w:val="center"/>
          </w:tcPr>
          <w:p w14:paraId="3945A54C">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1" w:name="_Toc22025"/>
            <w:r>
              <w:rPr>
                <w:rFonts w:hint="eastAsia" w:ascii="仿宋" w:hAnsi="仿宋" w:eastAsia="仿宋" w:cs="仿宋"/>
                <w:color w:val="auto"/>
                <w:sz w:val="24"/>
                <w:szCs w:val="24"/>
                <w:highlight w:val="none"/>
                <w:lang w:eastAsia="zh-CN"/>
              </w:rPr>
              <w:t>项目名称</w:t>
            </w:r>
            <w:bookmarkEnd w:id="101"/>
          </w:p>
        </w:tc>
        <w:tc>
          <w:tcPr>
            <w:tcW w:w="1245" w:type="dxa"/>
            <w:noWrap w:val="0"/>
            <w:vAlign w:val="center"/>
          </w:tcPr>
          <w:p w14:paraId="34DF3F34">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合同签订</w:t>
            </w:r>
          </w:p>
          <w:p w14:paraId="334BDBD0">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时间</w:t>
            </w:r>
          </w:p>
        </w:tc>
        <w:tc>
          <w:tcPr>
            <w:tcW w:w="1670" w:type="dxa"/>
            <w:noWrap w:val="0"/>
            <w:vAlign w:val="center"/>
          </w:tcPr>
          <w:p w14:paraId="1C3A16FF">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2" w:name="_Toc24083"/>
            <w:r>
              <w:rPr>
                <w:rFonts w:hint="eastAsia" w:ascii="仿宋" w:hAnsi="仿宋" w:eastAsia="仿宋" w:cs="仿宋"/>
                <w:color w:val="auto"/>
                <w:sz w:val="24"/>
                <w:szCs w:val="24"/>
                <w:highlight w:val="none"/>
                <w:lang w:eastAsia="zh-CN"/>
              </w:rPr>
              <w:t>采购单位联系人及联系电话</w:t>
            </w:r>
            <w:bookmarkEnd w:id="102"/>
          </w:p>
        </w:tc>
      </w:tr>
      <w:tr w14:paraId="4497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91" w:type="dxa"/>
            <w:noWrap w:val="0"/>
            <w:vAlign w:val="center"/>
          </w:tcPr>
          <w:p w14:paraId="53745B47">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3" w:name="_Toc28243"/>
            <w:r>
              <w:rPr>
                <w:rFonts w:hint="eastAsia" w:ascii="仿宋" w:hAnsi="仿宋" w:eastAsia="仿宋" w:cs="仿宋"/>
                <w:color w:val="auto"/>
                <w:sz w:val="24"/>
                <w:szCs w:val="24"/>
                <w:highlight w:val="none"/>
                <w:lang w:eastAsia="zh-CN"/>
              </w:rPr>
              <w:t>1</w:t>
            </w:r>
            <w:bookmarkEnd w:id="103"/>
          </w:p>
        </w:tc>
        <w:tc>
          <w:tcPr>
            <w:tcW w:w="2500" w:type="dxa"/>
            <w:noWrap w:val="0"/>
            <w:vAlign w:val="center"/>
          </w:tcPr>
          <w:p w14:paraId="60813CE4">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3300" w:type="dxa"/>
            <w:noWrap w:val="0"/>
            <w:vAlign w:val="center"/>
          </w:tcPr>
          <w:p w14:paraId="69F9AB53">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245" w:type="dxa"/>
            <w:noWrap w:val="0"/>
            <w:vAlign w:val="center"/>
          </w:tcPr>
          <w:p w14:paraId="6F0A8B79">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670" w:type="dxa"/>
            <w:noWrap w:val="0"/>
            <w:vAlign w:val="center"/>
          </w:tcPr>
          <w:p w14:paraId="5794EF8C">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r>
      <w:tr w14:paraId="25B9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91" w:type="dxa"/>
            <w:noWrap w:val="0"/>
            <w:vAlign w:val="center"/>
          </w:tcPr>
          <w:p w14:paraId="0C6E79FC">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4" w:name="_Toc11099"/>
            <w:r>
              <w:rPr>
                <w:rFonts w:hint="eastAsia" w:ascii="仿宋" w:hAnsi="仿宋" w:eastAsia="仿宋" w:cs="仿宋"/>
                <w:color w:val="auto"/>
                <w:sz w:val="24"/>
                <w:szCs w:val="24"/>
                <w:highlight w:val="none"/>
                <w:lang w:eastAsia="zh-CN"/>
              </w:rPr>
              <w:t>2</w:t>
            </w:r>
            <w:bookmarkEnd w:id="104"/>
          </w:p>
        </w:tc>
        <w:tc>
          <w:tcPr>
            <w:tcW w:w="2500" w:type="dxa"/>
            <w:noWrap w:val="0"/>
            <w:vAlign w:val="center"/>
          </w:tcPr>
          <w:p w14:paraId="365496BD">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3300" w:type="dxa"/>
            <w:noWrap w:val="0"/>
            <w:vAlign w:val="center"/>
          </w:tcPr>
          <w:p w14:paraId="34E0C154">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245" w:type="dxa"/>
            <w:noWrap w:val="0"/>
            <w:vAlign w:val="center"/>
          </w:tcPr>
          <w:p w14:paraId="5C86CA0D">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670" w:type="dxa"/>
            <w:noWrap w:val="0"/>
            <w:vAlign w:val="center"/>
          </w:tcPr>
          <w:p w14:paraId="410622A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r>
      <w:tr w14:paraId="470C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91" w:type="dxa"/>
            <w:noWrap w:val="0"/>
            <w:vAlign w:val="center"/>
          </w:tcPr>
          <w:p w14:paraId="2A6F4509">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5" w:name="_Toc4447"/>
            <w:r>
              <w:rPr>
                <w:rFonts w:hint="eastAsia" w:ascii="仿宋" w:hAnsi="仿宋" w:eastAsia="仿宋" w:cs="仿宋"/>
                <w:color w:val="auto"/>
                <w:sz w:val="24"/>
                <w:szCs w:val="24"/>
                <w:highlight w:val="none"/>
                <w:lang w:eastAsia="zh-CN"/>
              </w:rPr>
              <w:t>3</w:t>
            </w:r>
            <w:bookmarkEnd w:id="105"/>
          </w:p>
        </w:tc>
        <w:tc>
          <w:tcPr>
            <w:tcW w:w="2500" w:type="dxa"/>
            <w:noWrap w:val="0"/>
            <w:vAlign w:val="center"/>
          </w:tcPr>
          <w:p w14:paraId="7E71B41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3300" w:type="dxa"/>
            <w:noWrap w:val="0"/>
            <w:vAlign w:val="center"/>
          </w:tcPr>
          <w:p w14:paraId="3BECAD55">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245" w:type="dxa"/>
            <w:noWrap w:val="0"/>
            <w:vAlign w:val="center"/>
          </w:tcPr>
          <w:p w14:paraId="2FD8C0AF">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670" w:type="dxa"/>
            <w:noWrap w:val="0"/>
            <w:vAlign w:val="center"/>
          </w:tcPr>
          <w:p w14:paraId="7D3AFC58">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r>
      <w:tr w14:paraId="2D3A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91" w:type="dxa"/>
            <w:noWrap w:val="0"/>
            <w:vAlign w:val="center"/>
          </w:tcPr>
          <w:p w14:paraId="25E2C135">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6" w:name="_Toc5297"/>
            <w:r>
              <w:rPr>
                <w:rFonts w:hint="eastAsia" w:ascii="仿宋" w:hAnsi="仿宋" w:eastAsia="仿宋" w:cs="仿宋"/>
                <w:color w:val="auto"/>
                <w:sz w:val="24"/>
                <w:szCs w:val="24"/>
                <w:highlight w:val="none"/>
                <w:lang w:eastAsia="zh-CN"/>
              </w:rPr>
              <w:t>4</w:t>
            </w:r>
            <w:bookmarkEnd w:id="106"/>
          </w:p>
        </w:tc>
        <w:tc>
          <w:tcPr>
            <w:tcW w:w="2500" w:type="dxa"/>
            <w:noWrap w:val="0"/>
            <w:vAlign w:val="center"/>
          </w:tcPr>
          <w:p w14:paraId="1E445F4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3300" w:type="dxa"/>
            <w:noWrap w:val="0"/>
            <w:vAlign w:val="center"/>
          </w:tcPr>
          <w:p w14:paraId="3AFA9A7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245" w:type="dxa"/>
            <w:noWrap w:val="0"/>
            <w:vAlign w:val="center"/>
          </w:tcPr>
          <w:p w14:paraId="316FA24C">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670" w:type="dxa"/>
            <w:noWrap w:val="0"/>
            <w:vAlign w:val="center"/>
          </w:tcPr>
          <w:p w14:paraId="14C1647D">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r>
      <w:tr w14:paraId="1D3A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91" w:type="dxa"/>
            <w:noWrap w:val="0"/>
            <w:vAlign w:val="center"/>
          </w:tcPr>
          <w:p w14:paraId="0C69BC3E">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7" w:name="_Toc1169"/>
            <w:r>
              <w:rPr>
                <w:rFonts w:hint="eastAsia" w:ascii="仿宋" w:hAnsi="仿宋" w:eastAsia="仿宋" w:cs="仿宋"/>
                <w:color w:val="auto"/>
                <w:sz w:val="24"/>
                <w:szCs w:val="24"/>
                <w:highlight w:val="none"/>
                <w:lang w:eastAsia="zh-CN"/>
              </w:rPr>
              <w:t>5</w:t>
            </w:r>
            <w:bookmarkEnd w:id="107"/>
          </w:p>
        </w:tc>
        <w:tc>
          <w:tcPr>
            <w:tcW w:w="2500" w:type="dxa"/>
            <w:noWrap w:val="0"/>
            <w:vAlign w:val="center"/>
          </w:tcPr>
          <w:p w14:paraId="3301D643">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3300" w:type="dxa"/>
            <w:noWrap w:val="0"/>
            <w:vAlign w:val="center"/>
          </w:tcPr>
          <w:p w14:paraId="10CEB351">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245" w:type="dxa"/>
            <w:noWrap w:val="0"/>
            <w:vAlign w:val="center"/>
          </w:tcPr>
          <w:p w14:paraId="66C685A1">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670" w:type="dxa"/>
            <w:noWrap w:val="0"/>
            <w:vAlign w:val="center"/>
          </w:tcPr>
          <w:p w14:paraId="7DB07300">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r>
      <w:tr w14:paraId="2201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91" w:type="dxa"/>
            <w:noWrap w:val="0"/>
            <w:vAlign w:val="center"/>
          </w:tcPr>
          <w:p w14:paraId="493CE6BA">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8" w:name="_Toc14747"/>
            <w:r>
              <w:rPr>
                <w:rFonts w:hint="eastAsia" w:ascii="仿宋" w:hAnsi="仿宋" w:eastAsia="仿宋" w:cs="仿宋"/>
                <w:color w:val="auto"/>
                <w:sz w:val="24"/>
                <w:szCs w:val="24"/>
                <w:highlight w:val="none"/>
                <w:lang w:eastAsia="zh-CN"/>
              </w:rPr>
              <w:t>6</w:t>
            </w:r>
            <w:bookmarkEnd w:id="108"/>
          </w:p>
        </w:tc>
        <w:tc>
          <w:tcPr>
            <w:tcW w:w="2500" w:type="dxa"/>
            <w:noWrap w:val="0"/>
            <w:vAlign w:val="center"/>
          </w:tcPr>
          <w:p w14:paraId="4EC3487B">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3300" w:type="dxa"/>
            <w:noWrap w:val="0"/>
            <w:vAlign w:val="center"/>
          </w:tcPr>
          <w:p w14:paraId="115F918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245" w:type="dxa"/>
            <w:noWrap w:val="0"/>
            <w:vAlign w:val="center"/>
          </w:tcPr>
          <w:p w14:paraId="07A95358">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670" w:type="dxa"/>
            <w:noWrap w:val="0"/>
            <w:vAlign w:val="center"/>
          </w:tcPr>
          <w:p w14:paraId="606136D2">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r>
      <w:tr w14:paraId="0EA6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91" w:type="dxa"/>
            <w:noWrap w:val="0"/>
            <w:vAlign w:val="center"/>
          </w:tcPr>
          <w:p w14:paraId="2FB21746">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auto"/>
                <w:sz w:val="24"/>
                <w:szCs w:val="24"/>
                <w:highlight w:val="none"/>
                <w:lang w:eastAsia="zh-CN"/>
              </w:rPr>
            </w:pPr>
            <w:bookmarkStart w:id="109" w:name="_Toc30187"/>
            <w:r>
              <w:rPr>
                <w:rFonts w:hint="eastAsia" w:ascii="仿宋" w:hAnsi="仿宋" w:eastAsia="仿宋" w:cs="仿宋"/>
                <w:color w:val="auto"/>
                <w:sz w:val="24"/>
                <w:szCs w:val="24"/>
                <w:highlight w:val="none"/>
                <w:lang w:eastAsia="zh-CN"/>
              </w:rPr>
              <w:t>…</w:t>
            </w:r>
            <w:bookmarkEnd w:id="109"/>
          </w:p>
        </w:tc>
        <w:tc>
          <w:tcPr>
            <w:tcW w:w="2500" w:type="dxa"/>
            <w:noWrap w:val="0"/>
            <w:vAlign w:val="center"/>
          </w:tcPr>
          <w:p w14:paraId="329D6F4D">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3300" w:type="dxa"/>
            <w:noWrap w:val="0"/>
            <w:vAlign w:val="center"/>
          </w:tcPr>
          <w:p w14:paraId="6E0E7D3C">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245" w:type="dxa"/>
            <w:noWrap w:val="0"/>
            <w:vAlign w:val="center"/>
          </w:tcPr>
          <w:p w14:paraId="55509031">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c>
          <w:tcPr>
            <w:tcW w:w="1670" w:type="dxa"/>
            <w:noWrap w:val="0"/>
            <w:vAlign w:val="center"/>
          </w:tcPr>
          <w:p w14:paraId="556ACDBE">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auto"/>
                <w:sz w:val="24"/>
                <w:szCs w:val="24"/>
                <w:highlight w:val="none"/>
                <w:lang w:eastAsia="zh-CN"/>
              </w:rPr>
            </w:pPr>
          </w:p>
        </w:tc>
      </w:tr>
    </w:tbl>
    <w:p w14:paraId="4384F2E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注：1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提供证明材料详见评分标准表，否则不得分；</w:t>
      </w:r>
    </w:p>
    <w:p w14:paraId="3E47B7A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 xml:space="preserve">在填写时，如本表格不适合投标人的实际情况，可根据本表格式自行划表填写。 </w:t>
      </w:r>
    </w:p>
    <w:p w14:paraId="5B4CF21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lang w:val="zh-CN"/>
        </w:rPr>
      </w:pPr>
    </w:p>
    <w:p w14:paraId="2DD214B6">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供应商全称（盖章或电子签章）：</w:t>
      </w:r>
    </w:p>
    <w:p w14:paraId="1833B6FB">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法定代表人或其授权代表（签字或盖章或电子签章）：</w:t>
      </w:r>
    </w:p>
    <w:p w14:paraId="0819FBD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rPr>
        <w:t>日 期：  年  月  日</w:t>
      </w:r>
      <w:r>
        <w:rPr>
          <w:rFonts w:hint="eastAsia" w:ascii="仿宋" w:hAnsi="仿宋" w:eastAsia="仿宋" w:cs="仿宋"/>
          <w:color w:val="auto"/>
          <w:sz w:val="24"/>
          <w:szCs w:val="24"/>
          <w:highlight w:val="none"/>
          <w:lang w:val="zh-CN"/>
        </w:rPr>
        <w:t xml:space="preserve">      </w:t>
      </w:r>
    </w:p>
    <w:p w14:paraId="2F0EC2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24"/>
          <w:szCs w:val="24"/>
          <w:lang w:val="en-US" w:eastAsia="zh-CN" w:bidi="ar-SA"/>
        </w:rPr>
      </w:pPr>
    </w:p>
    <w:p w14:paraId="7E9AABD6">
      <w:pPr>
        <w:pStyle w:val="442"/>
        <w:rPr>
          <w:rFonts w:hint="eastAsia" w:ascii="仿宋" w:hAnsi="仿宋" w:eastAsia="仿宋" w:cs="仿宋"/>
          <w:b/>
          <w:bCs/>
          <w:color w:val="auto"/>
          <w:kern w:val="0"/>
          <w:sz w:val="24"/>
          <w:szCs w:val="24"/>
          <w:lang w:val="en-US" w:eastAsia="zh-CN" w:bidi="ar-SA"/>
        </w:rPr>
      </w:pPr>
    </w:p>
    <w:p w14:paraId="3B4D2CF1">
      <w:pPr>
        <w:pageBreakBefore/>
        <w:adjustRightInd w:val="0"/>
        <w:spacing w:line="500" w:lineRule="exact"/>
        <w:jc w:val="center"/>
        <w:textAlignment w:val="baseline"/>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拟派的项目组人员情况</w:t>
      </w:r>
    </w:p>
    <w:tbl>
      <w:tblPr>
        <w:tblStyle w:val="90"/>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900"/>
        <w:gridCol w:w="720"/>
        <w:gridCol w:w="1245"/>
        <w:gridCol w:w="1410"/>
        <w:gridCol w:w="1590"/>
        <w:gridCol w:w="835"/>
      </w:tblGrid>
      <w:tr w14:paraId="6414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noWrap w:val="0"/>
            <w:vAlign w:val="center"/>
          </w:tcPr>
          <w:p w14:paraId="07777A2F">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0" w:type="dxa"/>
            <w:noWrap w:val="0"/>
            <w:vAlign w:val="center"/>
          </w:tcPr>
          <w:p w14:paraId="4B7771E4">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00" w:type="dxa"/>
            <w:noWrap w:val="0"/>
            <w:vAlign w:val="center"/>
          </w:tcPr>
          <w:p w14:paraId="088EBCD4">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720" w:type="dxa"/>
            <w:noWrap w:val="0"/>
            <w:vAlign w:val="center"/>
          </w:tcPr>
          <w:p w14:paraId="6339AD0B">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245" w:type="dxa"/>
            <w:noWrap w:val="0"/>
            <w:vAlign w:val="center"/>
          </w:tcPr>
          <w:p w14:paraId="617EAC15">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本项目中的职责</w:t>
            </w:r>
          </w:p>
        </w:tc>
        <w:tc>
          <w:tcPr>
            <w:tcW w:w="1410" w:type="dxa"/>
            <w:noWrap w:val="0"/>
            <w:vAlign w:val="center"/>
          </w:tcPr>
          <w:p w14:paraId="62DC718C">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资格</w:t>
            </w:r>
            <w:r>
              <w:rPr>
                <w:rFonts w:hint="eastAsia" w:ascii="仿宋" w:hAnsi="仿宋" w:eastAsia="仿宋" w:cs="仿宋"/>
                <w:color w:val="auto"/>
                <w:sz w:val="24"/>
                <w:szCs w:val="24"/>
                <w:highlight w:val="none"/>
              </w:rPr>
              <w:t>/职称</w:t>
            </w:r>
          </w:p>
        </w:tc>
        <w:tc>
          <w:tcPr>
            <w:tcW w:w="1590" w:type="dxa"/>
            <w:noWrap w:val="0"/>
            <w:vAlign w:val="center"/>
          </w:tcPr>
          <w:p w14:paraId="4AC3A832">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参与本项目的到位情况</w:t>
            </w:r>
          </w:p>
        </w:tc>
        <w:tc>
          <w:tcPr>
            <w:tcW w:w="835" w:type="dxa"/>
            <w:noWrap w:val="0"/>
            <w:vAlign w:val="center"/>
          </w:tcPr>
          <w:p w14:paraId="455BA497">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03E1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14:paraId="5BA7725E">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0" w:type="dxa"/>
            <w:noWrap w:val="0"/>
            <w:vAlign w:val="top"/>
          </w:tcPr>
          <w:p w14:paraId="00CFC155">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900" w:type="dxa"/>
            <w:noWrap w:val="0"/>
            <w:vAlign w:val="top"/>
          </w:tcPr>
          <w:p w14:paraId="0150EB0E">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720" w:type="dxa"/>
            <w:noWrap w:val="0"/>
            <w:vAlign w:val="top"/>
          </w:tcPr>
          <w:p w14:paraId="306799DB">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245" w:type="dxa"/>
            <w:noWrap w:val="0"/>
            <w:vAlign w:val="top"/>
          </w:tcPr>
          <w:p w14:paraId="69E050EA">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410" w:type="dxa"/>
            <w:noWrap w:val="0"/>
            <w:vAlign w:val="top"/>
          </w:tcPr>
          <w:p w14:paraId="3683ADDB">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590" w:type="dxa"/>
            <w:noWrap w:val="0"/>
            <w:vAlign w:val="top"/>
          </w:tcPr>
          <w:p w14:paraId="44271FD6">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835" w:type="dxa"/>
            <w:noWrap w:val="0"/>
            <w:vAlign w:val="top"/>
          </w:tcPr>
          <w:p w14:paraId="6F420A73">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r>
      <w:tr w14:paraId="03C2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14:paraId="737E9912">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0" w:type="dxa"/>
            <w:noWrap w:val="0"/>
            <w:vAlign w:val="top"/>
          </w:tcPr>
          <w:p w14:paraId="155CB1FF">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900" w:type="dxa"/>
            <w:noWrap w:val="0"/>
            <w:vAlign w:val="top"/>
          </w:tcPr>
          <w:p w14:paraId="57A3EFE4">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720" w:type="dxa"/>
            <w:noWrap w:val="0"/>
            <w:vAlign w:val="top"/>
          </w:tcPr>
          <w:p w14:paraId="5166EE87">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245" w:type="dxa"/>
            <w:noWrap w:val="0"/>
            <w:vAlign w:val="top"/>
          </w:tcPr>
          <w:p w14:paraId="355CB065">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410" w:type="dxa"/>
            <w:noWrap w:val="0"/>
            <w:vAlign w:val="top"/>
          </w:tcPr>
          <w:p w14:paraId="774A1EA8">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590" w:type="dxa"/>
            <w:noWrap w:val="0"/>
            <w:vAlign w:val="top"/>
          </w:tcPr>
          <w:p w14:paraId="630BFC1E">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835" w:type="dxa"/>
            <w:noWrap w:val="0"/>
            <w:vAlign w:val="top"/>
          </w:tcPr>
          <w:p w14:paraId="2DB7B34A">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r>
      <w:tr w14:paraId="2503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14:paraId="00D26D0F">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10" w:type="dxa"/>
            <w:noWrap w:val="0"/>
            <w:vAlign w:val="top"/>
          </w:tcPr>
          <w:p w14:paraId="0D9CD84F">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900" w:type="dxa"/>
            <w:noWrap w:val="0"/>
            <w:vAlign w:val="top"/>
          </w:tcPr>
          <w:p w14:paraId="52027363">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720" w:type="dxa"/>
            <w:noWrap w:val="0"/>
            <w:vAlign w:val="top"/>
          </w:tcPr>
          <w:p w14:paraId="5F60B59E">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245" w:type="dxa"/>
            <w:noWrap w:val="0"/>
            <w:vAlign w:val="top"/>
          </w:tcPr>
          <w:p w14:paraId="25496891">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410" w:type="dxa"/>
            <w:noWrap w:val="0"/>
            <w:vAlign w:val="top"/>
          </w:tcPr>
          <w:p w14:paraId="409FA0BB">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590" w:type="dxa"/>
            <w:noWrap w:val="0"/>
            <w:vAlign w:val="top"/>
          </w:tcPr>
          <w:p w14:paraId="0186C92B">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835" w:type="dxa"/>
            <w:noWrap w:val="0"/>
            <w:vAlign w:val="top"/>
          </w:tcPr>
          <w:p w14:paraId="664E0CAA">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r>
      <w:tr w14:paraId="40C7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14:paraId="0133DFB4">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10" w:type="dxa"/>
            <w:noWrap w:val="0"/>
            <w:vAlign w:val="top"/>
          </w:tcPr>
          <w:p w14:paraId="1ABE1E8A">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900" w:type="dxa"/>
            <w:noWrap w:val="0"/>
            <w:vAlign w:val="top"/>
          </w:tcPr>
          <w:p w14:paraId="5396A723">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720" w:type="dxa"/>
            <w:noWrap w:val="0"/>
            <w:vAlign w:val="top"/>
          </w:tcPr>
          <w:p w14:paraId="0AC16DD6">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245" w:type="dxa"/>
            <w:noWrap w:val="0"/>
            <w:vAlign w:val="top"/>
          </w:tcPr>
          <w:p w14:paraId="1F56E8FB">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410" w:type="dxa"/>
            <w:noWrap w:val="0"/>
            <w:vAlign w:val="top"/>
          </w:tcPr>
          <w:p w14:paraId="5A2CC319">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590" w:type="dxa"/>
            <w:noWrap w:val="0"/>
            <w:vAlign w:val="top"/>
          </w:tcPr>
          <w:p w14:paraId="73D2D52F">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835" w:type="dxa"/>
            <w:noWrap w:val="0"/>
            <w:vAlign w:val="top"/>
          </w:tcPr>
          <w:p w14:paraId="60077CE2">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r>
      <w:tr w14:paraId="302E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14:paraId="69092EB0">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10" w:type="dxa"/>
            <w:noWrap w:val="0"/>
            <w:vAlign w:val="top"/>
          </w:tcPr>
          <w:p w14:paraId="430CCBD4">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900" w:type="dxa"/>
            <w:noWrap w:val="0"/>
            <w:vAlign w:val="top"/>
          </w:tcPr>
          <w:p w14:paraId="2AA849CE">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720" w:type="dxa"/>
            <w:noWrap w:val="0"/>
            <w:vAlign w:val="top"/>
          </w:tcPr>
          <w:p w14:paraId="44DFDCB8">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245" w:type="dxa"/>
            <w:noWrap w:val="0"/>
            <w:vAlign w:val="top"/>
          </w:tcPr>
          <w:p w14:paraId="19C7F64D">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410" w:type="dxa"/>
            <w:noWrap w:val="0"/>
            <w:vAlign w:val="top"/>
          </w:tcPr>
          <w:p w14:paraId="3AFDEA64">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590" w:type="dxa"/>
            <w:noWrap w:val="0"/>
            <w:vAlign w:val="top"/>
          </w:tcPr>
          <w:p w14:paraId="62B0FCD3">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835" w:type="dxa"/>
            <w:noWrap w:val="0"/>
            <w:vAlign w:val="top"/>
          </w:tcPr>
          <w:p w14:paraId="4D8210E2">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r>
      <w:tr w14:paraId="5460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14:paraId="318FFD67">
            <w:pPr>
              <w:keepNext w:val="0"/>
              <w:keepLines w:val="0"/>
              <w:pageBreakBefore w:val="0"/>
              <w:kinsoku/>
              <w:wordWrap/>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10" w:type="dxa"/>
            <w:noWrap w:val="0"/>
            <w:vAlign w:val="top"/>
          </w:tcPr>
          <w:p w14:paraId="238209C7">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900" w:type="dxa"/>
            <w:noWrap w:val="0"/>
            <w:vAlign w:val="top"/>
          </w:tcPr>
          <w:p w14:paraId="033B718C">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720" w:type="dxa"/>
            <w:noWrap w:val="0"/>
            <w:vAlign w:val="top"/>
          </w:tcPr>
          <w:p w14:paraId="6C9F30B5">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245" w:type="dxa"/>
            <w:noWrap w:val="0"/>
            <w:vAlign w:val="top"/>
          </w:tcPr>
          <w:p w14:paraId="1743DBA9">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410" w:type="dxa"/>
            <w:noWrap w:val="0"/>
            <w:vAlign w:val="top"/>
          </w:tcPr>
          <w:p w14:paraId="46E273E7">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590" w:type="dxa"/>
            <w:noWrap w:val="0"/>
            <w:vAlign w:val="top"/>
          </w:tcPr>
          <w:p w14:paraId="7BA56387">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835" w:type="dxa"/>
            <w:noWrap w:val="0"/>
            <w:vAlign w:val="top"/>
          </w:tcPr>
          <w:p w14:paraId="0F484108">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r>
      <w:tr w14:paraId="5061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14:paraId="1A08545D">
            <w:pPr>
              <w:keepNext w:val="0"/>
              <w:keepLines w:val="0"/>
              <w:pageBreakBefore w:val="0"/>
              <w:kinsoku/>
              <w:wordWrap/>
              <w:overflowPunct/>
              <w:topLinePunct w:val="0"/>
              <w:bidi w:val="0"/>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410" w:type="dxa"/>
            <w:noWrap w:val="0"/>
            <w:vAlign w:val="top"/>
          </w:tcPr>
          <w:p w14:paraId="1F0A5F36">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900" w:type="dxa"/>
            <w:noWrap w:val="0"/>
            <w:vAlign w:val="top"/>
          </w:tcPr>
          <w:p w14:paraId="0473B550">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720" w:type="dxa"/>
            <w:noWrap w:val="0"/>
            <w:vAlign w:val="top"/>
          </w:tcPr>
          <w:p w14:paraId="6558B581">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245" w:type="dxa"/>
            <w:noWrap w:val="0"/>
            <w:vAlign w:val="top"/>
          </w:tcPr>
          <w:p w14:paraId="4116B085">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410" w:type="dxa"/>
            <w:noWrap w:val="0"/>
            <w:vAlign w:val="top"/>
          </w:tcPr>
          <w:p w14:paraId="2E464482">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1590" w:type="dxa"/>
            <w:noWrap w:val="0"/>
            <w:vAlign w:val="top"/>
          </w:tcPr>
          <w:p w14:paraId="64474653">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c>
          <w:tcPr>
            <w:tcW w:w="835" w:type="dxa"/>
            <w:noWrap w:val="0"/>
            <w:vAlign w:val="top"/>
          </w:tcPr>
          <w:p w14:paraId="24C63D14">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p>
        </w:tc>
      </w:tr>
    </w:tbl>
    <w:p w14:paraId="7A4F8B7F">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注：1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提供证明材料详见评分标准表。</w:t>
      </w:r>
    </w:p>
    <w:p w14:paraId="5DA2BC52">
      <w:pPr>
        <w:keepNext w:val="0"/>
        <w:keepLines w:val="0"/>
        <w:pageBreakBefore w:val="0"/>
        <w:widowControl w:val="0"/>
        <w:kinsoku/>
        <w:wordWrap/>
        <w:overflowPunct/>
        <w:topLinePunct w:val="0"/>
        <w:autoSpaceDE w:val="0"/>
        <w:autoSpaceDN w:val="0"/>
        <w:bidi w:val="0"/>
        <w:adjustRightInd w:val="0"/>
        <w:spacing w:line="288"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表格不够用时可自行扩展。</w:t>
      </w:r>
    </w:p>
    <w:p w14:paraId="48C65FFF">
      <w:pPr>
        <w:keepNext w:val="0"/>
        <w:keepLines w:val="0"/>
        <w:pageBreakBefore w:val="0"/>
        <w:widowControl w:val="0"/>
        <w:kinsoku/>
        <w:wordWrap/>
        <w:overflowPunct/>
        <w:topLinePunct w:val="0"/>
        <w:autoSpaceDE w:val="0"/>
        <w:autoSpaceDN w:val="0"/>
        <w:bidi w:val="0"/>
        <w:adjustRightInd w:val="0"/>
        <w:spacing w:line="288"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以上内容必须是真实的，否则，一经查实，按相关规定处理。</w:t>
      </w:r>
    </w:p>
    <w:p w14:paraId="77838322">
      <w:pPr>
        <w:keepNext w:val="0"/>
        <w:keepLines w:val="0"/>
        <w:pageBreakBefore w:val="0"/>
        <w:widowControl w:val="0"/>
        <w:kinsoku/>
        <w:wordWrap/>
        <w:overflowPunct/>
        <w:topLinePunct w:val="0"/>
        <w:autoSpaceDE w:val="0"/>
        <w:autoSpaceDN w:val="0"/>
        <w:bidi w:val="0"/>
        <w:adjustRightInd w:val="0"/>
        <w:spacing w:line="288"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此表在不改变表式的情况下，可自行制作。</w:t>
      </w:r>
    </w:p>
    <w:p w14:paraId="3D8595D0">
      <w:pPr>
        <w:keepNext w:val="0"/>
        <w:keepLines w:val="0"/>
        <w:pageBreakBefore w:val="0"/>
        <w:widowControl w:val="0"/>
        <w:tabs>
          <w:tab w:val="left" w:pos="3165"/>
        </w:tabs>
        <w:kinsoku/>
        <w:wordWrap/>
        <w:overflowPunct/>
        <w:topLinePunct w:val="0"/>
        <w:bidi w:val="0"/>
        <w:spacing w:line="288" w:lineRule="auto"/>
        <w:textAlignment w:val="auto"/>
        <w:rPr>
          <w:rFonts w:hint="eastAsia" w:ascii="仿宋" w:hAnsi="仿宋" w:eastAsia="仿宋" w:cs="仿宋"/>
          <w:bCs/>
          <w:color w:val="auto"/>
          <w:sz w:val="24"/>
          <w:szCs w:val="24"/>
        </w:rPr>
      </w:pPr>
    </w:p>
    <w:p w14:paraId="24017455">
      <w:pPr>
        <w:keepNext w:val="0"/>
        <w:keepLines w:val="0"/>
        <w:pageBreakBefore w:val="0"/>
        <w:widowControl w:val="0"/>
        <w:tabs>
          <w:tab w:val="left" w:pos="3165"/>
        </w:tabs>
        <w:kinsoku/>
        <w:wordWrap/>
        <w:overflowPunct/>
        <w:topLinePunct w:val="0"/>
        <w:bidi w:val="0"/>
        <w:spacing w:line="288" w:lineRule="auto"/>
        <w:textAlignment w:val="auto"/>
        <w:rPr>
          <w:rFonts w:hint="eastAsia" w:ascii="仿宋" w:hAnsi="仿宋" w:eastAsia="仿宋" w:cs="仿宋"/>
          <w:bCs/>
          <w:color w:val="auto"/>
          <w:sz w:val="24"/>
          <w:szCs w:val="24"/>
        </w:rPr>
      </w:pPr>
    </w:p>
    <w:p w14:paraId="2C1DF81A">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供应商全称（盖章或电子签章）：</w:t>
      </w:r>
    </w:p>
    <w:p w14:paraId="2C9FD75C">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法定代表人或其授权代表（签字或盖章或电子签章）：</w:t>
      </w:r>
    </w:p>
    <w:p w14:paraId="66962726">
      <w:pPr>
        <w:pStyle w:val="38"/>
        <w:keepNext w:val="0"/>
        <w:keepLines w:val="0"/>
        <w:pageBreakBefore w:val="0"/>
        <w:widowControl w:val="0"/>
        <w:kinsoku/>
        <w:wordWrap/>
        <w:overflowPunct/>
        <w:topLinePunct w:val="0"/>
        <w:bidi w:val="0"/>
        <w:spacing w:line="288" w:lineRule="auto"/>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日 期：  年  月  日</w:t>
      </w:r>
    </w:p>
    <w:p w14:paraId="4508D2AB">
      <w:pPr>
        <w:pStyle w:val="105"/>
        <w:ind w:firstLine="482"/>
        <w:rPr>
          <w:rFonts w:hint="eastAsia" w:ascii="仿宋" w:hAnsi="仿宋" w:eastAsia="仿宋" w:cs="仿宋"/>
          <w:b/>
          <w:highlight w:val="none"/>
        </w:rPr>
      </w:pPr>
    </w:p>
    <w:p w14:paraId="42129258">
      <w:pPr>
        <w:pStyle w:val="105"/>
        <w:ind w:firstLine="482"/>
        <w:rPr>
          <w:rFonts w:hint="eastAsia" w:ascii="仿宋" w:hAnsi="仿宋" w:eastAsia="仿宋" w:cs="仿宋"/>
          <w:b/>
          <w:highlight w:val="none"/>
        </w:rPr>
      </w:pPr>
    </w:p>
    <w:p w14:paraId="01CABED0">
      <w:pPr>
        <w:pStyle w:val="88"/>
        <w:ind w:left="560"/>
        <w:rPr>
          <w:rFonts w:hint="eastAsia" w:ascii="仿宋" w:hAnsi="仿宋" w:eastAsia="仿宋" w:cs="仿宋"/>
          <w:highlight w:val="none"/>
        </w:rPr>
      </w:pPr>
    </w:p>
    <w:p w14:paraId="3E9D3470">
      <w:pPr>
        <w:pStyle w:val="36"/>
        <w:ind w:firstLine="210"/>
        <w:rPr>
          <w:rFonts w:hint="eastAsia" w:ascii="仿宋" w:hAnsi="仿宋" w:eastAsia="仿宋" w:cs="仿宋"/>
          <w:highlight w:val="none"/>
        </w:rPr>
      </w:pPr>
    </w:p>
    <w:p w14:paraId="08B3B5CF">
      <w:pPr>
        <w:rPr>
          <w:rFonts w:hint="eastAsia" w:ascii="仿宋" w:hAnsi="仿宋" w:eastAsia="仿宋" w:cs="仿宋"/>
          <w:highlight w:val="none"/>
        </w:rPr>
      </w:pPr>
    </w:p>
    <w:p w14:paraId="10100CE0">
      <w:pPr>
        <w:pStyle w:val="88"/>
        <w:rPr>
          <w:rFonts w:hint="eastAsia" w:ascii="仿宋" w:hAnsi="仿宋" w:eastAsia="仿宋" w:cs="仿宋"/>
          <w:highlight w:val="none"/>
        </w:rPr>
      </w:pPr>
    </w:p>
    <w:p w14:paraId="35B98F20">
      <w:pPr>
        <w:pStyle w:val="35"/>
        <w:rPr>
          <w:rFonts w:hint="eastAsia" w:ascii="仿宋" w:hAnsi="仿宋" w:eastAsia="仿宋" w:cs="仿宋"/>
          <w:highlight w:val="none"/>
        </w:rPr>
      </w:pPr>
    </w:p>
    <w:p w14:paraId="4EA33223">
      <w:pPr>
        <w:pStyle w:val="36"/>
        <w:rPr>
          <w:rFonts w:hint="eastAsia" w:ascii="仿宋" w:hAnsi="仿宋" w:eastAsia="仿宋" w:cs="仿宋"/>
        </w:rPr>
      </w:pPr>
    </w:p>
    <w:p w14:paraId="58AE3991">
      <w:pPr>
        <w:pageBreakBefore/>
        <w:adjustRightInd w:val="0"/>
        <w:spacing w:line="500" w:lineRule="exact"/>
        <w:jc w:val="center"/>
        <w:textAlignment w:val="baseline"/>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商务/技术偏离表</w:t>
      </w:r>
    </w:p>
    <w:tbl>
      <w:tblPr>
        <w:tblStyle w:val="90"/>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3103B7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34D5EF5C">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693" w:type="dxa"/>
            <w:noWrap w:val="0"/>
            <w:vAlign w:val="center"/>
          </w:tcPr>
          <w:p w14:paraId="01B7F71F">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招标文件要求</w:t>
            </w:r>
          </w:p>
        </w:tc>
        <w:tc>
          <w:tcPr>
            <w:tcW w:w="2593" w:type="dxa"/>
            <w:noWrap w:val="0"/>
            <w:vAlign w:val="center"/>
          </w:tcPr>
          <w:p w14:paraId="2B2CC1B9">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投标文件响应</w:t>
            </w:r>
          </w:p>
        </w:tc>
        <w:tc>
          <w:tcPr>
            <w:tcW w:w="1431" w:type="dxa"/>
            <w:noWrap w:val="0"/>
            <w:vAlign w:val="center"/>
          </w:tcPr>
          <w:p w14:paraId="4A84E054">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正/负偏离</w:t>
            </w:r>
          </w:p>
        </w:tc>
        <w:tc>
          <w:tcPr>
            <w:tcW w:w="1848" w:type="dxa"/>
            <w:noWrap w:val="0"/>
            <w:vAlign w:val="center"/>
          </w:tcPr>
          <w:p w14:paraId="3694CF20">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理由</w:t>
            </w:r>
          </w:p>
        </w:tc>
      </w:tr>
      <w:tr w14:paraId="7FAF9E3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2BD18C23">
            <w:pPr>
              <w:autoSpaceDE w:val="0"/>
              <w:autoSpaceDN w:val="0"/>
              <w:adjustRightIn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93" w:type="dxa"/>
            <w:noWrap w:val="0"/>
            <w:vAlign w:val="center"/>
          </w:tcPr>
          <w:p w14:paraId="2EAD8919">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21DB3169">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00CACD34">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5F199E4B">
            <w:pPr>
              <w:adjustRightInd w:val="0"/>
              <w:snapToGrid w:val="0"/>
              <w:jc w:val="center"/>
              <w:rPr>
                <w:rFonts w:hint="eastAsia" w:ascii="仿宋" w:hAnsi="仿宋" w:eastAsia="仿宋" w:cs="仿宋"/>
                <w:color w:val="auto"/>
                <w:sz w:val="24"/>
                <w:highlight w:val="none"/>
              </w:rPr>
            </w:pPr>
          </w:p>
        </w:tc>
      </w:tr>
      <w:tr w14:paraId="570AC6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67782538">
            <w:pPr>
              <w:autoSpaceDE w:val="0"/>
              <w:autoSpaceDN w:val="0"/>
              <w:adjustRightIn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93" w:type="dxa"/>
            <w:noWrap w:val="0"/>
            <w:vAlign w:val="center"/>
          </w:tcPr>
          <w:p w14:paraId="3548A214">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4288E15A">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76BEAF40">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68707236">
            <w:pPr>
              <w:adjustRightInd w:val="0"/>
              <w:snapToGrid w:val="0"/>
              <w:jc w:val="center"/>
              <w:rPr>
                <w:rFonts w:hint="eastAsia" w:ascii="仿宋" w:hAnsi="仿宋" w:eastAsia="仿宋" w:cs="仿宋"/>
                <w:color w:val="auto"/>
                <w:sz w:val="24"/>
                <w:highlight w:val="none"/>
              </w:rPr>
            </w:pPr>
          </w:p>
        </w:tc>
      </w:tr>
      <w:tr w14:paraId="061A1F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4B2C9E8A">
            <w:pPr>
              <w:autoSpaceDE w:val="0"/>
              <w:autoSpaceDN w:val="0"/>
              <w:adjustRightIn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93" w:type="dxa"/>
            <w:noWrap w:val="0"/>
            <w:vAlign w:val="center"/>
          </w:tcPr>
          <w:p w14:paraId="4D15E62E">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13F97F5C">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312B7A55">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41CD83C6">
            <w:pPr>
              <w:adjustRightInd w:val="0"/>
              <w:snapToGrid w:val="0"/>
              <w:jc w:val="center"/>
              <w:rPr>
                <w:rFonts w:hint="eastAsia" w:ascii="仿宋" w:hAnsi="仿宋" w:eastAsia="仿宋" w:cs="仿宋"/>
                <w:color w:val="auto"/>
                <w:sz w:val="24"/>
                <w:highlight w:val="none"/>
              </w:rPr>
            </w:pPr>
          </w:p>
        </w:tc>
      </w:tr>
      <w:tr w14:paraId="2AA3ED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6F11490D">
            <w:pPr>
              <w:autoSpaceDE w:val="0"/>
              <w:autoSpaceDN w:val="0"/>
              <w:adjustRightIn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93" w:type="dxa"/>
            <w:noWrap w:val="0"/>
            <w:vAlign w:val="center"/>
          </w:tcPr>
          <w:p w14:paraId="7D006AA2">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23ECFA67">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338F75B0">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2A6A6916">
            <w:pPr>
              <w:adjustRightInd w:val="0"/>
              <w:snapToGrid w:val="0"/>
              <w:jc w:val="center"/>
              <w:rPr>
                <w:rFonts w:hint="eastAsia" w:ascii="仿宋" w:hAnsi="仿宋" w:eastAsia="仿宋" w:cs="仿宋"/>
                <w:color w:val="auto"/>
                <w:sz w:val="24"/>
                <w:highlight w:val="none"/>
              </w:rPr>
            </w:pPr>
          </w:p>
        </w:tc>
      </w:tr>
      <w:tr w14:paraId="6F12DD5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6B5D3073">
            <w:pPr>
              <w:autoSpaceDE w:val="0"/>
              <w:autoSpaceDN w:val="0"/>
              <w:adjustRightIn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93" w:type="dxa"/>
            <w:noWrap w:val="0"/>
            <w:vAlign w:val="center"/>
          </w:tcPr>
          <w:p w14:paraId="61BEABB8">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33BDFFCA">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0E1F5B50">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7B052EAD">
            <w:pPr>
              <w:adjustRightInd w:val="0"/>
              <w:snapToGrid w:val="0"/>
              <w:jc w:val="center"/>
              <w:rPr>
                <w:rFonts w:hint="eastAsia" w:ascii="仿宋" w:hAnsi="仿宋" w:eastAsia="仿宋" w:cs="仿宋"/>
                <w:color w:val="auto"/>
                <w:sz w:val="24"/>
                <w:highlight w:val="none"/>
              </w:rPr>
            </w:pPr>
          </w:p>
        </w:tc>
      </w:tr>
      <w:tr w14:paraId="28A59C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58C66903">
            <w:pPr>
              <w:autoSpaceDE w:val="0"/>
              <w:autoSpaceDN w:val="0"/>
              <w:adjustRightIn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93" w:type="dxa"/>
            <w:noWrap w:val="0"/>
            <w:vAlign w:val="center"/>
          </w:tcPr>
          <w:p w14:paraId="0547F6F2">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0CAC50B3">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5DE2C20B">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1923BAE9">
            <w:pPr>
              <w:adjustRightInd w:val="0"/>
              <w:snapToGrid w:val="0"/>
              <w:jc w:val="center"/>
              <w:rPr>
                <w:rFonts w:hint="eastAsia" w:ascii="仿宋" w:hAnsi="仿宋" w:eastAsia="仿宋" w:cs="仿宋"/>
                <w:color w:val="auto"/>
                <w:sz w:val="24"/>
                <w:highlight w:val="none"/>
              </w:rPr>
            </w:pPr>
          </w:p>
        </w:tc>
      </w:tr>
      <w:tr w14:paraId="38728BC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2386037D">
            <w:pPr>
              <w:autoSpaceDE w:val="0"/>
              <w:autoSpaceDN w:val="0"/>
              <w:adjustRightIn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93" w:type="dxa"/>
            <w:noWrap w:val="0"/>
            <w:vAlign w:val="center"/>
          </w:tcPr>
          <w:p w14:paraId="5B7D1F06">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0AC51F68">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7E38D672">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493B7615">
            <w:pPr>
              <w:adjustRightInd w:val="0"/>
              <w:snapToGrid w:val="0"/>
              <w:jc w:val="center"/>
              <w:rPr>
                <w:rFonts w:hint="eastAsia" w:ascii="仿宋" w:hAnsi="仿宋" w:eastAsia="仿宋" w:cs="仿宋"/>
                <w:color w:val="auto"/>
                <w:sz w:val="24"/>
                <w:highlight w:val="none"/>
              </w:rPr>
            </w:pPr>
          </w:p>
        </w:tc>
      </w:tr>
      <w:tr w14:paraId="5CA1936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7A7FC467">
            <w:pPr>
              <w:autoSpaceDE w:val="0"/>
              <w:autoSpaceDN w:val="0"/>
              <w:adjustRightIn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93" w:type="dxa"/>
            <w:noWrap w:val="0"/>
            <w:vAlign w:val="center"/>
          </w:tcPr>
          <w:p w14:paraId="58C19A66">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5309AEE8">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2D244E9C">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410E7852">
            <w:pPr>
              <w:adjustRightInd w:val="0"/>
              <w:snapToGrid w:val="0"/>
              <w:jc w:val="center"/>
              <w:rPr>
                <w:rFonts w:hint="eastAsia" w:ascii="仿宋" w:hAnsi="仿宋" w:eastAsia="仿宋" w:cs="仿宋"/>
                <w:color w:val="auto"/>
                <w:sz w:val="24"/>
                <w:highlight w:val="none"/>
              </w:rPr>
            </w:pPr>
          </w:p>
        </w:tc>
      </w:tr>
      <w:tr w14:paraId="5A8CF3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288EBDB9">
            <w:pPr>
              <w:autoSpaceDE w:val="0"/>
              <w:autoSpaceDN w:val="0"/>
              <w:adjustRightIn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93" w:type="dxa"/>
            <w:noWrap w:val="0"/>
            <w:vAlign w:val="center"/>
          </w:tcPr>
          <w:p w14:paraId="0E45281B">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0C21DDCB">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2629C34B">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0D0DB6F5">
            <w:pPr>
              <w:adjustRightInd w:val="0"/>
              <w:snapToGrid w:val="0"/>
              <w:jc w:val="center"/>
              <w:rPr>
                <w:rFonts w:hint="eastAsia" w:ascii="仿宋" w:hAnsi="仿宋" w:eastAsia="仿宋" w:cs="仿宋"/>
                <w:color w:val="auto"/>
                <w:sz w:val="24"/>
                <w:highlight w:val="none"/>
              </w:rPr>
            </w:pPr>
          </w:p>
        </w:tc>
      </w:tr>
      <w:tr w14:paraId="496A36C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14:paraId="17FCD518">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2693" w:type="dxa"/>
            <w:noWrap w:val="0"/>
            <w:vAlign w:val="center"/>
          </w:tcPr>
          <w:p w14:paraId="1E43E0FC">
            <w:pPr>
              <w:adjustRightInd w:val="0"/>
              <w:snapToGrid w:val="0"/>
              <w:jc w:val="center"/>
              <w:rPr>
                <w:rFonts w:hint="eastAsia" w:ascii="仿宋" w:hAnsi="仿宋" w:eastAsia="仿宋" w:cs="仿宋"/>
                <w:color w:val="auto"/>
                <w:sz w:val="24"/>
                <w:highlight w:val="none"/>
              </w:rPr>
            </w:pPr>
          </w:p>
        </w:tc>
        <w:tc>
          <w:tcPr>
            <w:tcW w:w="2593" w:type="dxa"/>
            <w:noWrap w:val="0"/>
            <w:vAlign w:val="center"/>
          </w:tcPr>
          <w:p w14:paraId="16DF4022">
            <w:pPr>
              <w:adjustRightInd w:val="0"/>
              <w:snapToGrid w:val="0"/>
              <w:jc w:val="center"/>
              <w:rPr>
                <w:rFonts w:hint="eastAsia" w:ascii="仿宋" w:hAnsi="仿宋" w:eastAsia="仿宋" w:cs="仿宋"/>
                <w:color w:val="auto"/>
                <w:sz w:val="24"/>
                <w:highlight w:val="none"/>
              </w:rPr>
            </w:pPr>
          </w:p>
        </w:tc>
        <w:tc>
          <w:tcPr>
            <w:tcW w:w="1431" w:type="dxa"/>
            <w:noWrap w:val="0"/>
            <w:vAlign w:val="center"/>
          </w:tcPr>
          <w:p w14:paraId="5CF3F695">
            <w:pPr>
              <w:adjustRightInd w:val="0"/>
              <w:snapToGrid w:val="0"/>
              <w:jc w:val="center"/>
              <w:rPr>
                <w:rFonts w:hint="eastAsia" w:ascii="仿宋" w:hAnsi="仿宋" w:eastAsia="仿宋" w:cs="仿宋"/>
                <w:color w:val="auto"/>
                <w:sz w:val="24"/>
                <w:highlight w:val="none"/>
              </w:rPr>
            </w:pPr>
          </w:p>
        </w:tc>
        <w:tc>
          <w:tcPr>
            <w:tcW w:w="1848" w:type="dxa"/>
            <w:noWrap w:val="0"/>
            <w:vAlign w:val="center"/>
          </w:tcPr>
          <w:p w14:paraId="4FC76FD4">
            <w:pPr>
              <w:adjustRightInd w:val="0"/>
              <w:snapToGrid w:val="0"/>
              <w:jc w:val="center"/>
              <w:rPr>
                <w:rFonts w:hint="eastAsia" w:ascii="仿宋" w:hAnsi="仿宋" w:eastAsia="仿宋" w:cs="仿宋"/>
                <w:color w:val="auto"/>
                <w:sz w:val="24"/>
                <w:highlight w:val="none"/>
              </w:rPr>
            </w:pPr>
          </w:p>
        </w:tc>
      </w:tr>
    </w:tbl>
    <w:p w14:paraId="119BE69B">
      <w:pPr>
        <w:autoSpaceDE w:val="0"/>
        <w:autoSpaceDN w:val="0"/>
        <w:adjustRightInd w:val="0"/>
        <w:spacing w:line="360" w:lineRule="auto"/>
        <w:ind w:firstLine="5160" w:firstLineChars="2150"/>
        <w:rPr>
          <w:rFonts w:hint="eastAsia" w:ascii="仿宋" w:hAnsi="仿宋" w:eastAsia="仿宋" w:cs="仿宋"/>
          <w:color w:val="auto"/>
          <w:kern w:val="0"/>
          <w:sz w:val="24"/>
          <w:highlight w:val="none"/>
          <w:lang w:val="zh-CN"/>
        </w:rPr>
      </w:pPr>
    </w:p>
    <w:p w14:paraId="78C8D892">
      <w:pPr>
        <w:keepNext w:val="0"/>
        <w:keepLines w:val="0"/>
        <w:pageBreakBefore w:val="0"/>
        <w:widowControl w:val="0"/>
        <w:kinsoku/>
        <w:wordWrap/>
        <w:overflowPunct/>
        <w:topLinePunct w:val="0"/>
        <w:autoSpaceDE w:val="0"/>
        <w:autoSpaceDN w:val="0"/>
        <w:bidi w:val="0"/>
        <w:adjustRightInd w:val="0"/>
        <w:spacing w:line="288" w:lineRule="auto"/>
        <w:ind w:firstLine="482" w:firstLineChars="200"/>
        <w:jc w:val="left"/>
        <w:textAlignment w:val="auto"/>
        <w:rPr>
          <w:rFonts w:hint="eastAsia" w:ascii="仿宋" w:hAnsi="仿宋" w:eastAsia="仿宋" w:cs="仿宋"/>
          <w:b/>
          <w:bCs w:val="0"/>
          <w:color w:val="auto"/>
          <w:sz w:val="24"/>
          <w:szCs w:val="24"/>
          <w:lang w:val="zh-CN"/>
        </w:rPr>
      </w:pPr>
      <w:r>
        <w:rPr>
          <w:rFonts w:hint="eastAsia" w:ascii="仿宋" w:hAnsi="仿宋" w:eastAsia="仿宋" w:cs="仿宋"/>
          <w:b/>
          <w:bCs w:val="0"/>
          <w:color w:val="auto"/>
          <w:sz w:val="24"/>
          <w:szCs w:val="24"/>
          <w:lang w:val="zh-CN"/>
        </w:rPr>
        <w:t>注：“商务偏离”是指对“商务部分”中条款（质保期、交货时间等）的偏离，“技术偏离”是指对“第三部分  项</w:t>
      </w:r>
      <w:r>
        <w:rPr>
          <w:rFonts w:hint="eastAsia" w:ascii="仿宋" w:hAnsi="仿宋" w:eastAsia="仿宋" w:cs="仿宋"/>
          <w:b/>
          <w:bCs w:val="0"/>
          <w:color w:val="auto"/>
          <w:sz w:val="24"/>
          <w:szCs w:val="24"/>
          <w:highlight w:val="none"/>
          <w:lang w:val="zh-CN"/>
        </w:rPr>
        <w:t>目技术及服务要求”中条款的偏离。本表仅在有偏离时填写，注明是正/负偏离，并说明理由，</w:t>
      </w:r>
      <w:r>
        <w:rPr>
          <w:rFonts w:hint="eastAsia" w:ascii="仿宋" w:hAnsi="仿宋" w:eastAsia="仿宋" w:cs="仿宋"/>
          <w:b/>
          <w:bCs w:val="0"/>
          <w:color w:val="auto"/>
          <w:sz w:val="24"/>
          <w:szCs w:val="24"/>
          <w:highlight w:val="none"/>
          <w:lang w:val="zh-CN" w:eastAsia="zh-CN"/>
        </w:rPr>
        <w:t>其中技术参数表里需要提供检测报告或网页截图等证明材料</w:t>
      </w:r>
      <w:r>
        <w:rPr>
          <w:rFonts w:hint="eastAsia" w:ascii="仿宋" w:hAnsi="仿宋" w:eastAsia="仿宋" w:cs="仿宋"/>
          <w:b/>
          <w:bCs w:val="0"/>
          <w:color w:val="auto"/>
          <w:sz w:val="24"/>
          <w:szCs w:val="24"/>
          <w:highlight w:val="none"/>
          <w:lang w:val="zh-CN"/>
        </w:rPr>
        <w:t>，</w:t>
      </w:r>
      <w:r>
        <w:rPr>
          <w:rFonts w:hint="eastAsia" w:ascii="仿宋" w:hAnsi="仿宋" w:eastAsia="仿宋" w:cs="仿宋"/>
          <w:b/>
          <w:bCs w:val="0"/>
          <w:color w:val="auto"/>
          <w:sz w:val="24"/>
          <w:szCs w:val="24"/>
          <w:highlight w:val="none"/>
          <w:lang w:val="zh-CN" w:eastAsia="zh-CN"/>
        </w:rPr>
        <w:t>未提供引起的扣分，责任由投标人自负</w:t>
      </w:r>
      <w:r>
        <w:rPr>
          <w:rFonts w:hint="eastAsia" w:ascii="仿宋" w:hAnsi="仿宋" w:eastAsia="仿宋" w:cs="仿宋"/>
          <w:b/>
          <w:bCs w:val="0"/>
          <w:color w:val="auto"/>
          <w:sz w:val="24"/>
          <w:szCs w:val="24"/>
          <w:highlight w:val="none"/>
          <w:lang w:val="zh-CN"/>
        </w:rPr>
        <w:t>。“投</w:t>
      </w:r>
      <w:r>
        <w:rPr>
          <w:rFonts w:hint="eastAsia" w:ascii="仿宋" w:hAnsi="仿宋" w:eastAsia="仿宋" w:cs="仿宋"/>
          <w:b/>
          <w:bCs w:val="0"/>
          <w:color w:val="auto"/>
          <w:sz w:val="24"/>
          <w:szCs w:val="24"/>
          <w:lang w:val="zh-CN"/>
        </w:rPr>
        <w:t>标文件响应”复制“招标文件要求”内容，不填写或未提供偏离表均视为无偏离。</w:t>
      </w:r>
    </w:p>
    <w:p w14:paraId="4998BA00">
      <w:pPr>
        <w:keepNext w:val="0"/>
        <w:keepLines w:val="0"/>
        <w:pageBreakBefore w:val="0"/>
        <w:widowControl w:val="0"/>
        <w:kinsoku/>
        <w:wordWrap/>
        <w:overflowPunct/>
        <w:topLinePunct w:val="0"/>
        <w:autoSpaceDE w:val="0"/>
        <w:autoSpaceDN w:val="0"/>
        <w:bidi w:val="0"/>
        <w:adjustRightInd w:val="0"/>
        <w:spacing w:line="288" w:lineRule="auto"/>
        <w:ind w:firstLine="482" w:firstLineChars="200"/>
        <w:jc w:val="left"/>
        <w:textAlignment w:val="auto"/>
        <w:rPr>
          <w:rFonts w:hint="eastAsia" w:ascii="仿宋" w:hAnsi="仿宋" w:eastAsia="仿宋" w:cs="仿宋"/>
          <w:b/>
          <w:bCs w:val="0"/>
          <w:color w:val="auto"/>
          <w:sz w:val="24"/>
          <w:szCs w:val="24"/>
          <w:lang w:eastAsia="zh-CN"/>
        </w:rPr>
      </w:pPr>
    </w:p>
    <w:p w14:paraId="4BED7212">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供应商全称（盖章或电子签章）：</w:t>
      </w:r>
    </w:p>
    <w:p w14:paraId="6C2ED448">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法定代表人或其授权代表（签字或盖章或电子签章）：</w:t>
      </w:r>
    </w:p>
    <w:p w14:paraId="6102008A">
      <w:pPr>
        <w:pStyle w:val="38"/>
        <w:keepNext w:val="0"/>
        <w:keepLines w:val="0"/>
        <w:pageBreakBefore w:val="0"/>
        <w:widowControl w:val="0"/>
        <w:kinsoku/>
        <w:wordWrap/>
        <w:overflowPunct/>
        <w:topLinePunct w:val="0"/>
        <w:bidi w:val="0"/>
        <w:spacing w:line="288" w:lineRule="auto"/>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日 期：  年  月  日</w:t>
      </w:r>
    </w:p>
    <w:p w14:paraId="3D3F4154">
      <w:pPr>
        <w:pStyle w:val="88"/>
        <w:rPr>
          <w:rFonts w:hint="eastAsia" w:ascii="仿宋" w:hAnsi="仿宋" w:eastAsia="仿宋" w:cs="仿宋"/>
          <w:kern w:val="0"/>
          <w:sz w:val="24"/>
          <w:highlight w:val="none"/>
          <w:lang w:val="zh-CN"/>
        </w:rPr>
      </w:pPr>
    </w:p>
    <w:p w14:paraId="3EE26939">
      <w:pPr>
        <w:pStyle w:val="35"/>
        <w:rPr>
          <w:rFonts w:hint="eastAsia" w:ascii="仿宋" w:hAnsi="仿宋" w:eastAsia="仿宋" w:cs="仿宋"/>
          <w:kern w:val="0"/>
          <w:sz w:val="24"/>
          <w:highlight w:val="none"/>
          <w:lang w:val="zh-CN"/>
        </w:rPr>
      </w:pPr>
    </w:p>
    <w:p w14:paraId="2D92FFEA">
      <w:pPr>
        <w:pStyle w:val="36"/>
        <w:rPr>
          <w:rFonts w:hint="eastAsia" w:ascii="仿宋" w:hAnsi="仿宋" w:eastAsia="仿宋" w:cs="仿宋"/>
          <w:kern w:val="0"/>
          <w:sz w:val="24"/>
          <w:highlight w:val="none"/>
          <w:lang w:val="zh-CN"/>
        </w:rPr>
      </w:pPr>
    </w:p>
    <w:p w14:paraId="0EE8FDD3">
      <w:pPr>
        <w:rPr>
          <w:rFonts w:hint="eastAsia" w:ascii="仿宋" w:hAnsi="仿宋" w:eastAsia="仿宋" w:cs="仿宋"/>
          <w:kern w:val="0"/>
          <w:sz w:val="24"/>
          <w:highlight w:val="none"/>
          <w:lang w:val="zh-CN"/>
        </w:rPr>
      </w:pPr>
    </w:p>
    <w:p w14:paraId="1DAF464C">
      <w:pPr>
        <w:pStyle w:val="88"/>
        <w:rPr>
          <w:rFonts w:hint="eastAsia" w:ascii="仿宋" w:hAnsi="仿宋" w:eastAsia="仿宋" w:cs="仿宋"/>
          <w:kern w:val="0"/>
          <w:sz w:val="24"/>
          <w:highlight w:val="none"/>
          <w:lang w:val="zh-CN"/>
        </w:rPr>
      </w:pPr>
    </w:p>
    <w:p w14:paraId="7FF707CF">
      <w:pPr>
        <w:pStyle w:val="5"/>
        <w:ind w:left="0" w:firstLine="0"/>
        <w:jc w:val="both"/>
        <w:rPr>
          <w:rFonts w:hint="eastAsia" w:ascii="仿宋" w:hAnsi="仿宋" w:eastAsia="仿宋" w:cs="仿宋"/>
          <w:sz w:val="28"/>
          <w:highlight w:val="none"/>
        </w:rPr>
      </w:pPr>
    </w:p>
    <w:p w14:paraId="02963CE4">
      <w:pPr>
        <w:rPr>
          <w:rFonts w:hint="eastAsia" w:ascii="仿宋" w:hAnsi="仿宋" w:eastAsia="仿宋" w:cs="仿宋"/>
        </w:rPr>
      </w:pPr>
    </w:p>
    <w:p w14:paraId="6908698E">
      <w:pPr>
        <w:pStyle w:val="442"/>
        <w:rPr>
          <w:rFonts w:hint="eastAsia" w:ascii="仿宋" w:hAnsi="仿宋" w:eastAsia="仿宋" w:cs="仿宋"/>
          <w:b/>
          <w:bCs/>
          <w:color w:val="auto"/>
          <w:kern w:val="0"/>
          <w:sz w:val="24"/>
          <w:szCs w:val="24"/>
          <w:lang w:val="en-US" w:eastAsia="zh-CN" w:bidi="ar-SA"/>
        </w:rPr>
      </w:pPr>
    </w:p>
    <w:p w14:paraId="11E510CA">
      <w:pPr>
        <w:pStyle w:val="442"/>
        <w:rPr>
          <w:rFonts w:hint="eastAsia" w:ascii="仿宋" w:hAnsi="仿宋" w:eastAsia="仿宋" w:cs="仿宋"/>
          <w:color w:val="auto"/>
          <w:sz w:val="24"/>
          <w:szCs w:val="24"/>
        </w:rPr>
      </w:pPr>
    </w:p>
    <w:p w14:paraId="419D7CEF">
      <w:pPr>
        <w:pStyle w:val="442"/>
        <w:rPr>
          <w:rFonts w:hint="eastAsia" w:ascii="仿宋" w:hAnsi="仿宋" w:eastAsia="仿宋" w:cs="仿宋"/>
          <w:color w:val="auto"/>
          <w:sz w:val="24"/>
          <w:szCs w:val="24"/>
        </w:rPr>
      </w:pPr>
    </w:p>
    <w:p w14:paraId="399DF9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lang w:val="en-US" w:eastAsia="zh-CN" w:bidi="ar-SA"/>
        </w:rPr>
        <w:t>其他材料</w:t>
      </w:r>
    </w:p>
    <w:p w14:paraId="34FC7C1C">
      <w:pPr>
        <w:spacing w:line="6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根据招标文件的要求及评分内容要求，本部分未提供格式的内容，供应商自行编制</w:t>
      </w:r>
      <w:r>
        <w:rPr>
          <w:rFonts w:hint="eastAsia" w:ascii="仿宋" w:hAnsi="仿宋" w:eastAsia="仿宋" w:cs="仿宋"/>
          <w:color w:val="auto"/>
          <w:sz w:val="24"/>
          <w:szCs w:val="24"/>
          <w:lang w:eastAsia="zh-CN"/>
        </w:rPr>
        <w:t>。</w:t>
      </w:r>
    </w:p>
    <w:p w14:paraId="6DE71F19">
      <w:pPr>
        <w:spacing w:line="600" w:lineRule="exact"/>
        <w:rPr>
          <w:rFonts w:hint="eastAsia" w:ascii="仿宋" w:hAnsi="仿宋" w:eastAsia="仿宋" w:cs="仿宋"/>
          <w:color w:val="auto"/>
          <w:sz w:val="24"/>
          <w:szCs w:val="24"/>
        </w:rPr>
      </w:pPr>
    </w:p>
    <w:p w14:paraId="05AF2AB7">
      <w:pPr>
        <w:pStyle w:val="88"/>
        <w:ind w:firstLine="0" w:firstLineChars="0"/>
        <w:rPr>
          <w:rFonts w:hint="eastAsia" w:ascii="仿宋" w:hAnsi="仿宋" w:eastAsia="仿宋" w:cs="仿宋"/>
          <w:color w:val="auto"/>
          <w:sz w:val="28"/>
          <w:szCs w:val="28"/>
        </w:rPr>
      </w:pPr>
    </w:p>
    <w:p w14:paraId="3CA50B26">
      <w:pPr>
        <w:pStyle w:val="88"/>
        <w:ind w:firstLine="0" w:firstLineChars="0"/>
        <w:rPr>
          <w:rFonts w:hint="eastAsia" w:ascii="仿宋" w:hAnsi="仿宋" w:eastAsia="仿宋" w:cs="仿宋"/>
          <w:color w:val="auto"/>
          <w:sz w:val="28"/>
          <w:szCs w:val="28"/>
        </w:rPr>
      </w:pPr>
    </w:p>
    <w:p w14:paraId="39DD2FDA">
      <w:pPr>
        <w:pStyle w:val="88"/>
        <w:ind w:firstLine="0" w:firstLineChars="0"/>
        <w:rPr>
          <w:rFonts w:hint="eastAsia" w:ascii="仿宋" w:hAnsi="仿宋" w:eastAsia="仿宋" w:cs="仿宋"/>
          <w:color w:val="auto"/>
          <w:sz w:val="28"/>
          <w:szCs w:val="28"/>
        </w:rPr>
      </w:pPr>
    </w:p>
    <w:p w14:paraId="15C494B4">
      <w:pPr>
        <w:pStyle w:val="88"/>
        <w:ind w:firstLine="0" w:firstLineChars="0"/>
        <w:rPr>
          <w:rFonts w:hint="eastAsia" w:ascii="仿宋" w:hAnsi="仿宋" w:eastAsia="仿宋" w:cs="仿宋"/>
          <w:color w:val="auto"/>
          <w:sz w:val="28"/>
          <w:szCs w:val="28"/>
        </w:rPr>
      </w:pPr>
    </w:p>
    <w:p w14:paraId="0ADE61AA">
      <w:pPr>
        <w:pStyle w:val="88"/>
        <w:ind w:firstLine="0" w:firstLineChars="0"/>
        <w:rPr>
          <w:rFonts w:hint="eastAsia" w:ascii="仿宋" w:hAnsi="仿宋" w:eastAsia="仿宋" w:cs="仿宋"/>
          <w:color w:val="auto"/>
          <w:sz w:val="28"/>
          <w:szCs w:val="28"/>
        </w:rPr>
      </w:pPr>
    </w:p>
    <w:p w14:paraId="2C3E4E4E">
      <w:pPr>
        <w:pStyle w:val="88"/>
        <w:ind w:firstLine="0" w:firstLineChars="0"/>
        <w:rPr>
          <w:rFonts w:hint="eastAsia" w:ascii="仿宋" w:hAnsi="仿宋" w:eastAsia="仿宋" w:cs="仿宋"/>
          <w:color w:val="auto"/>
          <w:sz w:val="28"/>
          <w:szCs w:val="28"/>
        </w:rPr>
      </w:pPr>
    </w:p>
    <w:p w14:paraId="7CB038BF">
      <w:pPr>
        <w:pStyle w:val="88"/>
        <w:ind w:firstLine="0" w:firstLineChars="0"/>
        <w:rPr>
          <w:rFonts w:hint="eastAsia" w:ascii="仿宋" w:hAnsi="仿宋" w:eastAsia="仿宋" w:cs="仿宋"/>
          <w:color w:val="auto"/>
          <w:sz w:val="28"/>
          <w:szCs w:val="28"/>
        </w:rPr>
      </w:pPr>
    </w:p>
    <w:p w14:paraId="79D381BF">
      <w:pPr>
        <w:pStyle w:val="88"/>
        <w:ind w:firstLine="0" w:firstLineChars="0"/>
        <w:rPr>
          <w:rFonts w:hint="eastAsia" w:ascii="仿宋" w:hAnsi="仿宋" w:eastAsia="仿宋" w:cs="仿宋"/>
          <w:color w:val="auto"/>
          <w:sz w:val="28"/>
          <w:szCs w:val="28"/>
        </w:rPr>
      </w:pPr>
    </w:p>
    <w:p w14:paraId="73650DE1">
      <w:pPr>
        <w:pStyle w:val="88"/>
        <w:ind w:firstLine="0" w:firstLineChars="0"/>
        <w:rPr>
          <w:rFonts w:hint="eastAsia" w:ascii="仿宋" w:hAnsi="仿宋" w:eastAsia="仿宋" w:cs="仿宋"/>
          <w:color w:val="auto"/>
          <w:sz w:val="28"/>
          <w:szCs w:val="28"/>
        </w:rPr>
      </w:pPr>
    </w:p>
    <w:p w14:paraId="192687D4">
      <w:pPr>
        <w:pStyle w:val="88"/>
        <w:ind w:firstLine="0" w:firstLineChars="0"/>
        <w:rPr>
          <w:rFonts w:hint="eastAsia" w:ascii="仿宋" w:hAnsi="仿宋" w:eastAsia="仿宋" w:cs="仿宋"/>
          <w:color w:val="auto"/>
          <w:sz w:val="28"/>
          <w:szCs w:val="28"/>
        </w:rPr>
      </w:pPr>
    </w:p>
    <w:p w14:paraId="41865136">
      <w:pPr>
        <w:pStyle w:val="88"/>
        <w:ind w:firstLine="0" w:firstLineChars="0"/>
        <w:rPr>
          <w:rFonts w:hint="eastAsia" w:ascii="仿宋" w:hAnsi="仿宋" w:eastAsia="仿宋" w:cs="仿宋"/>
          <w:color w:val="auto"/>
          <w:sz w:val="28"/>
          <w:szCs w:val="28"/>
        </w:rPr>
      </w:pPr>
    </w:p>
    <w:p w14:paraId="41F3FF80">
      <w:pPr>
        <w:pStyle w:val="88"/>
        <w:ind w:firstLine="0" w:firstLineChars="0"/>
        <w:rPr>
          <w:rFonts w:hint="eastAsia" w:ascii="仿宋" w:hAnsi="仿宋" w:eastAsia="仿宋" w:cs="仿宋"/>
          <w:color w:val="auto"/>
          <w:sz w:val="28"/>
          <w:szCs w:val="28"/>
        </w:rPr>
      </w:pPr>
    </w:p>
    <w:p w14:paraId="68442999">
      <w:pPr>
        <w:pStyle w:val="88"/>
        <w:ind w:firstLine="0" w:firstLineChars="0"/>
        <w:rPr>
          <w:rFonts w:hint="eastAsia" w:ascii="仿宋" w:hAnsi="仿宋" w:eastAsia="仿宋" w:cs="仿宋"/>
          <w:color w:val="auto"/>
          <w:sz w:val="28"/>
          <w:szCs w:val="28"/>
        </w:rPr>
      </w:pPr>
    </w:p>
    <w:p w14:paraId="7581D1AE">
      <w:pPr>
        <w:pStyle w:val="88"/>
        <w:ind w:firstLine="0" w:firstLineChars="0"/>
        <w:rPr>
          <w:rFonts w:hint="eastAsia" w:ascii="仿宋" w:hAnsi="仿宋" w:eastAsia="仿宋" w:cs="仿宋"/>
          <w:color w:val="auto"/>
          <w:sz w:val="28"/>
          <w:szCs w:val="28"/>
        </w:rPr>
      </w:pPr>
    </w:p>
    <w:p w14:paraId="44E1DDAC">
      <w:pPr>
        <w:pStyle w:val="36"/>
        <w:ind w:firstLine="280"/>
        <w:rPr>
          <w:rFonts w:hint="eastAsia" w:ascii="仿宋" w:hAnsi="仿宋" w:eastAsia="仿宋" w:cs="仿宋"/>
          <w:color w:val="auto"/>
          <w:sz w:val="28"/>
          <w:szCs w:val="28"/>
        </w:rPr>
      </w:pPr>
    </w:p>
    <w:p w14:paraId="725707B0">
      <w:pPr>
        <w:rPr>
          <w:rFonts w:hint="eastAsia" w:ascii="仿宋" w:hAnsi="仿宋" w:eastAsia="仿宋" w:cs="仿宋"/>
          <w:color w:val="auto"/>
          <w:sz w:val="28"/>
          <w:szCs w:val="28"/>
        </w:rPr>
      </w:pPr>
    </w:p>
    <w:p w14:paraId="60CFA997">
      <w:pPr>
        <w:rPr>
          <w:rFonts w:hint="eastAsia" w:ascii="仿宋" w:hAnsi="仿宋" w:eastAsia="仿宋" w:cs="仿宋"/>
          <w:color w:val="auto"/>
        </w:rPr>
      </w:pPr>
    </w:p>
    <w:p w14:paraId="5DF0C66F">
      <w:pPr>
        <w:pStyle w:val="88"/>
        <w:ind w:firstLine="0" w:firstLineChars="0"/>
        <w:rPr>
          <w:rFonts w:hint="eastAsia" w:ascii="仿宋" w:hAnsi="仿宋" w:eastAsia="仿宋" w:cs="仿宋"/>
          <w:b/>
          <w:color w:val="auto"/>
          <w:sz w:val="28"/>
          <w:szCs w:val="28"/>
        </w:rPr>
      </w:pPr>
      <w:bookmarkStart w:id="110" w:name="_Toc12318"/>
    </w:p>
    <w:p w14:paraId="71CBB1B2">
      <w:pPr>
        <w:pStyle w:val="36"/>
        <w:ind w:firstLine="210"/>
        <w:rPr>
          <w:rFonts w:hint="eastAsia" w:ascii="仿宋" w:hAnsi="仿宋" w:eastAsia="仿宋" w:cs="仿宋"/>
          <w:color w:val="auto"/>
        </w:rPr>
      </w:pPr>
    </w:p>
    <w:p w14:paraId="7861828C">
      <w:pPr>
        <w:pStyle w:val="88"/>
        <w:ind w:firstLine="0" w:firstLineChars="0"/>
        <w:jc w:val="both"/>
        <w:rPr>
          <w:rFonts w:hint="eastAsia" w:ascii="仿宋" w:hAnsi="仿宋" w:eastAsia="仿宋" w:cs="仿宋"/>
          <w:b/>
          <w:color w:val="auto"/>
          <w:sz w:val="24"/>
        </w:rPr>
      </w:pPr>
    </w:p>
    <w:p w14:paraId="584648C7">
      <w:pPr>
        <w:pStyle w:val="88"/>
        <w:pageBreakBefore/>
        <w:numPr>
          <w:ilvl w:val="0"/>
          <w:numId w:val="5"/>
        </w:numPr>
        <w:spacing w:line="600" w:lineRule="exact"/>
        <w:ind w:firstLine="0" w:firstLineChars="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报价文件</w:t>
      </w:r>
      <w:bookmarkEnd w:id="110"/>
    </w:p>
    <w:p w14:paraId="6A45C377">
      <w:pPr>
        <w:autoSpaceDE w:val="0"/>
        <w:autoSpaceDN w:val="0"/>
        <w:adjustRightInd w:val="0"/>
        <w:spacing w:line="600" w:lineRule="exact"/>
        <w:rPr>
          <w:rFonts w:hint="eastAsia" w:ascii="仿宋" w:hAnsi="仿宋" w:eastAsia="仿宋" w:cs="仿宋"/>
          <w:bCs/>
          <w:color w:val="auto"/>
          <w:sz w:val="30"/>
          <w:szCs w:val="30"/>
          <w:highlight w:val="yellow"/>
          <w:lang w:val="zh-CN"/>
        </w:rPr>
      </w:pPr>
    </w:p>
    <w:p w14:paraId="47A240FB">
      <w:pPr>
        <w:autoSpaceDE w:val="0"/>
        <w:autoSpaceDN w:val="0"/>
        <w:adjustRightInd w:val="0"/>
        <w:spacing w:line="600" w:lineRule="exact"/>
        <w:rPr>
          <w:rFonts w:hint="eastAsia" w:ascii="仿宋" w:hAnsi="仿宋" w:eastAsia="仿宋" w:cs="仿宋"/>
          <w:bCs/>
          <w:color w:val="auto"/>
          <w:sz w:val="30"/>
          <w:szCs w:val="30"/>
          <w:highlight w:val="yellow"/>
          <w:lang w:val="zh-CN"/>
        </w:rPr>
      </w:pPr>
    </w:p>
    <w:p w14:paraId="161B6115">
      <w:pPr>
        <w:autoSpaceDE w:val="0"/>
        <w:autoSpaceDN w:val="0"/>
        <w:adjustRightInd w:val="0"/>
        <w:spacing w:line="600" w:lineRule="exact"/>
        <w:jc w:val="center"/>
        <w:rPr>
          <w:rFonts w:hint="eastAsia" w:ascii="仿宋" w:hAnsi="仿宋" w:eastAsia="仿宋" w:cs="仿宋"/>
          <w:bCs/>
          <w:color w:val="auto"/>
          <w:sz w:val="52"/>
          <w:szCs w:val="52"/>
          <w:lang w:val="zh-CN"/>
        </w:rPr>
      </w:pPr>
      <w:r>
        <w:rPr>
          <w:rFonts w:hint="eastAsia" w:ascii="仿宋" w:hAnsi="仿宋" w:eastAsia="仿宋" w:cs="仿宋"/>
          <w:bCs/>
          <w:color w:val="auto"/>
          <w:sz w:val="52"/>
          <w:szCs w:val="52"/>
          <w:lang w:val="zh-CN"/>
        </w:rPr>
        <w:t>投标文件</w:t>
      </w:r>
    </w:p>
    <w:p w14:paraId="339CF4F9">
      <w:pPr>
        <w:autoSpaceDE w:val="0"/>
        <w:autoSpaceDN w:val="0"/>
        <w:adjustRightInd w:val="0"/>
        <w:spacing w:line="600" w:lineRule="exact"/>
        <w:rPr>
          <w:rFonts w:hint="eastAsia" w:ascii="仿宋" w:hAnsi="仿宋" w:eastAsia="仿宋" w:cs="仿宋"/>
          <w:bCs/>
          <w:color w:val="auto"/>
          <w:sz w:val="24"/>
          <w:szCs w:val="24"/>
          <w:lang w:val="zh-CN"/>
        </w:rPr>
      </w:pPr>
    </w:p>
    <w:p w14:paraId="5FE06C0E">
      <w:pPr>
        <w:autoSpaceDE w:val="0"/>
        <w:autoSpaceDN w:val="0"/>
        <w:adjustRightInd w:val="0"/>
        <w:spacing w:line="600" w:lineRule="exact"/>
        <w:rPr>
          <w:rFonts w:hint="eastAsia" w:ascii="仿宋" w:hAnsi="仿宋" w:eastAsia="仿宋" w:cs="仿宋"/>
          <w:bCs/>
          <w:color w:val="auto"/>
          <w:sz w:val="24"/>
          <w:szCs w:val="24"/>
          <w:lang w:val="zh-CN"/>
        </w:rPr>
      </w:pPr>
    </w:p>
    <w:p w14:paraId="11546B89">
      <w:pPr>
        <w:snapToGrid w:val="0"/>
        <w:spacing w:line="600" w:lineRule="exact"/>
        <w:rPr>
          <w:rFonts w:hint="eastAsia" w:ascii="仿宋" w:hAnsi="仿宋" w:eastAsia="仿宋" w:cs="仿宋"/>
          <w:color w:val="auto"/>
          <w:sz w:val="24"/>
          <w:szCs w:val="24"/>
        </w:rPr>
      </w:pPr>
    </w:p>
    <w:p w14:paraId="31E587DF">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78962E3D">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14:paraId="5BBB020D">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投标文件名称：（报价文件）</w:t>
      </w:r>
    </w:p>
    <w:p w14:paraId="4DA8E410">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供应商名称（盖章或电子签章）</w:t>
      </w:r>
      <w:r>
        <w:rPr>
          <w:rFonts w:hint="eastAsia" w:ascii="仿宋" w:hAnsi="仿宋" w:eastAsia="仿宋" w:cs="仿宋"/>
          <w:color w:val="auto"/>
          <w:sz w:val="24"/>
          <w:szCs w:val="24"/>
        </w:rPr>
        <w:t>：</w:t>
      </w:r>
    </w:p>
    <w:p w14:paraId="129C3248">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法定代表人或其授权代表（签字或盖章或电子签章）：</w:t>
      </w:r>
    </w:p>
    <w:p w14:paraId="61AF3B5B">
      <w:pPr>
        <w:snapToGrid w:val="0"/>
        <w:spacing w:line="6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投标人地址：</w:t>
      </w:r>
    </w:p>
    <w:p w14:paraId="7721C821">
      <w:pPr>
        <w:autoSpaceDE w:val="0"/>
        <w:autoSpaceDN w:val="0"/>
        <w:adjustRightInd w:val="0"/>
        <w:spacing w:line="400" w:lineRule="exact"/>
        <w:jc w:val="center"/>
        <w:rPr>
          <w:rFonts w:hint="eastAsia" w:ascii="仿宋" w:hAnsi="仿宋" w:eastAsia="仿宋" w:cs="仿宋"/>
          <w:bCs/>
          <w:color w:val="auto"/>
          <w:sz w:val="30"/>
          <w:szCs w:val="30"/>
          <w:lang w:val="zh-CN"/>
        </w:rPr>
      </w:pPr>
    </w:p>
    <w:p w14:paraId="7AA9EA19">
      <w:pPr>
        <w:pStyle w:val="35"/>
        <w:ind w:firstLine="210"/>
        <w:rPr>
          <w:rFonts w:hint="eastAsia" w:ascii="仿宋" w:hAnsi="仿宋" w:eastAsia="仿宋" w:cs="仿宋"/>
          <w:color w:val="auto"/>
        </w:rPr>
      </w:pPr>
    </w:p>
    <w:p w14:paraId="0F570A09">
      <w:pPr>
        <w:rPr>
          <w:rFonts w:hint="eastAsia" w:ascii="仿宋" w:hAnsi="仿宋" w:eastAsia="仿宋" w:cs="仿宋"/>
          <w:color w:val="auto"/>
        </w:rPr>
      </w:pPr>
    </w:p>
    <w:p w14:paraId="693EEBBC">
      <w:pPr>
        <w:rPr>
          <w:rFonts w:hint="eastAsia" w:ascii="仿宋" w:hAnsi="仿宋" w:eastAsia="仿宋" w:cs="仿宋"/>
          <w:color w:val="auto"/>
        </w:rPr>
      </w:pPr>
    </w:p>
    <w:p w14:paraId="440220E7">
      <w:pPr>
        <w:rPr>
          <w:rFonts w:hint="eastAsia" w:ascii="仿宋" w:hAnsi="仿宋" w:eastAsia="仿宋" w:cs="仿宋"/>
          <w:color w:val="auto"/>
        </w:rPr>
      </w:pPr>
    </w:p>
    <w:p w14:paraId="2175E911">
      <w:pPr>
        <w:rPr>
          <w:rFonts w:hint="eastAsia" w:ascii="仿宋" w:hAnsi="仿宋" w:eastAsia="仿宋" w:cs="仿宋"/>
          <w:color w:val="auto"/>
        </w:rPr>
      </w:pPr>
    </w:p>
    <w:p w14:paraId="79E48BEA">
      <w:pPr>
        <w:rPr>
          <w:rFonts w:hint="eastAsia" w:ascii="仿宋" w:hAnsi="仿宋" w:eastAsia="仿宋" w:cs="仿宋"/>
          <w:color w:val="auto"/>
        </w:rPr>
      </w:pPr>
    </w:p>
    <w:p w14:paraId="009BD95B">
      <w:pPr>
        <w:rPr>
          <w:rFonts w:hint="eastAsia" w:ascii="仿宋" w:hAnsi="仿宋" w:eastAsia="仿宋" w:cs="仿宋"/>
          <w:color w:val="auto"/>
        </w:rPr>
      </w:pPr>
    </w:p>
    <w:p w14:paraId="3E3518D0">
      <w:pPr>
        <w:rPr>
          <w:rFonts w:hint="eastAsia" w:ascii="仿宋" w:hAnsi="仿宋" w:eastAsia="仿宋" w:cs="仿宋"/>
          <w:color w:val="auto"/>
        </w:rPr>
      </w:pPr>
    </w:p>
    <w:p w14:paraId="7F3BF5C0">
      <w:pPr>
        <w:rPr>
          <w:rFonts w:hint="eastAsia" w:ascii="仿宋" w:hAnsi="仿宋" w:eastAsia="仿宋" w:cs="仿宋"/>
          <w:color w:val="auto"/>
        </w:rPr>
      </w:pPr>
    </w:p>
    <w:p w14:paraId="5496AA35">
      <w:pPr>
        <w:rPr>
          <w:rFonts w:hint="eastAsia" w:ascii="仿宋" w:hAnsi="仿宋" w:eastAsia="仿宋" w:cs="仿宋"/>
          <w:color w:val="auto"/>
        </w:rPr>
      </w:pPr>
    </w:p>
    <w:p w14:paraId="672A601A">
      <w:pPr>
        <w:rPr>
          <w:rFonts w:hint="eastAsia" w:ascii="仿宋" w:hAnsi="仿宋" w:eastAsia="仿宋" w:cs="仿宋"/>
          <w:color w:val="auto"/>
        </w:rPr>
      </w:pPr>
    </w:p>
    <w:p w14:paraId="038C0B4A">
      <w:pPr>
        <w:spacing w:line="500" w:lineRule="exact"/>
        <w:jc w:val="center"/>
        <w:rPr>
          <w:rFonts w:hint="eastAsia" w:ascii="仿宋" w:hAnsi="仿宋" w:eastAsia="仿宋" w:cs="仿宋"/>
          <w:b/>
          <w:bCs/>
          <w:color w:val="auto"/>
          <w:sz w:val="24"/>
          <w:szCs w:val="24"/>
        </w:rPr>
      </w:pPr>
    </w:p>
    <w:p w14:paraId="5C58B57A">
      <w:pPr>
        <w:pageBreakBefore/>
        <w:spacing w:line="5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开标</w:t>
      </w:r>
      <w:r>
        <w:rPr>
          <w:rFonts w:hint="eastAsia" w:ascii="仿宋" w:hAnsi="仿宋" w:eastAsia="仿宋" w:cs="仿宋"/>
          <w:b/>
          <w:bCs/>
          <w:color w:val="auto"/>
          <w:sz w:val="28"/>
          <w:szCs w:val="28"/>
        </w:rPr>
        <w:t>一览表</w:t>
      </w:r>
    </w:p>
    <w:p w14:paraId="141E5CDF">
      <w:pPr>
        <w:pageBreakBefore w:val="0"/>
        <w:kinsoku/>
        <w:overflowPunct/>
        <w:topLinePunct w:val="0"/>
        <w:bidi w:val="0"/>
        <w:adjustRightInd w:val="0"/>
        <w:snapToGrid w:val="0"/>
        <w:spacing w:line="288" w:lineRule="auto"/>
        <w:textAlignment w:val="auto"/>
        <w:rPr>
          <w:rFonts w:hint="eastAsia" w:ascii="仿宋" w:hAnsi="仿宋" w:eastAsia="仿宋" w:cs="仿宋"/>
          <w:color w:val="auto"/>
          <w:sz w:val="24"/>
          <w:szCs w:val="24"/>
          <w:highlight w:val="none"/>
          <w:lang w:eastAsia="zh-CN"/>
        </w:rPr>
      </w:pPr>
    </w:p>
    <w:p w14:paraId="3D283AA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衢州市柯城区姜家山乡中心小学</w:t>
      </w:r>
      <w:r>
        <w:rPr>
          <w:rFonts w:hint="eastAsia" w:ascii="仿宋" w:hAnsi="仿宋" w:eastAsia="仿宋" w:cs="仿宋"/>
          <w:color w:val="auto"/>
          <w:sz w:val="24"/>
          <w:szCs w:val="24"/>
          <w:highlight w:val="none"/>
        </w:rPr>
        <w:t>：</w:t>
      </w:r>
    </w:p>
    <w:p w14:paraId="1A7933E7">
      <w:pPr>
        <w:keepNext w:val="0"/>
        <w:keepLines w:val="0"/>
        <w:pageBreakBefore w:val="0"/>
        <w:widowControl w:val="0"/>
        <w:kinsoku/>
        <w:wordWrap/>
        <w:overflowPunct/>
        <w:topLinePunct w:val="0"/>
        <w:autoSpaceDE/>
        <w:autoSpaceDN/>
        <w:bidi w:val="0"/>
        <w:spacing w:before="24" w:beforeLines="10" w:line="288"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按贵方招标文件要求，如你方接受本投标文件，我方承诺按照如下开标一览表的价格完成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衢州市柯城区姜家山乡中心小学IPV6新一代校园网络改造</w:t>
      </w:r>
      <w:r>
        <w:rPr>
          <w:rFonts w:hint="eastAsia" w:ascii="仿宋" w:hAnsi="仿宋" w:eastAsia="仿宋" w:cs="仿宋"/>
          <w:color w:val="auto"/>
          <w:sz w:val="24"/>
          <w:szCs w:val="24"/>
          <w:highlight w:val="none"/>
          <w:u w:val="single"/>
        </w:rPr>
        <w:t>（项目名称） (项目编号：</w:t>
      </w:r>
      <w:r>
        <w:rPr>
          <w:rFonts w:hint="eastAsia" w:ascii="仿宋" w:hAnsi="仿宋" w:eastAsia="仿宋" w:cs="仿宋"/>
          <w:color w:val="auto"/>
          <w:sz w:val="24"/>
          <w:szCs w:val="24"/>
          <w:highlight w:val="none"/>
          <w:u w:val="single"/>
          <w:lang w:eastAsia="zh-CN"/>
        </w:rPr>
        <w:t>ZJLD-C2025020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的实施。</w:t>
      </w:r>
    </w:p>
    <w:p w14:paraId="355F048F">
      <w:pPr>
        <w:keepNext w:val="0"/>
        <w:keepLines w:val="0"/>
        <w:pageBreakBefore w:val="0"/>
        <w:widowControl w:val="0"/>
        <w:kinsoku/>
        <w:wordWrap/>
        <w:overflowPunct/>
        <w:topLinePunct w:val="0"/>
        <w:autoSpaceDE/>
        <w:autoSpaceDN/>
        <w:bidi w:val="0"/>
        <w:adjustRightInd w:val="0"/>
        <w:snapToGrid w:val="0"/>
        <w:spacing w:line="288" w:lineRule="auto"/>
        <w:ind w:right="480"/>
        <w:jc w:val="center"/>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 xml:space="preserve">                                              货币单位：人民币元</w:t>
      </w:r>
    </w:p>
    <w:tbl>
      <w:tblPr>
        <w:tblStyle w:val="90"/>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300"/>
        <w:gridCol w:w="862"/>
        <w:gridCol w:w="994"/>
        <w:gridCol w:w="2499"/>
        <w:gridCol w:w="791"/>
      </w:tblGrid>
      <w:tr w14:paraId="0686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4F4C929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序号</w:t>
            </w:r>
          </w:p>
        </w:tc>
        <w:tc>
          <w:tcPr>
            <w:tcW w:w="3300" w:type="dxa"/>
            <w:noWrap w:val="0"/>
            <w:vAlign w:val="center"/>
          </w:tcPr>
          <w:p w14:paraId="240E20B3">
            <w:pPr>
              <w:keepNext w:val="0"/>
              <w:keepLines w:val="0"/>
              <w:pageBreakBefore w:val="0"/>
              <w:widowControl w:val="0"/>
              <w:kinsoku/>
              <w:wordWrap/>
              <w:overflowPunct/>
              <w:topLinePunct w:val="0"/>
              <w:autoSpaceDE/>
              <w:autoSpaceDN/>
              <w:bidi w:val="0"/>
              <w:snapToGrid w:val="0"/>
              <w:spacing w:line="288" w:lineRule="auto"/>
              <w:ind w:firstLine="480" w:firstLineChars="200"/>
              <w:jc w:val="center"/>
              <w:textAlignment w:val="auto"/>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标项名称</w:t>
            </w:r>
          </w:p>
        </w:tc>
        <w:tc>
          <w:tcPr>
            <w:tcW w:w="862" w:type="dxa"/>
            <w:noWrap w:val="0"/>
            <w:vAlign w:val="center"/>
          </w:tcPr>
          <w:p w14:paraId="04FF8B56">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数量</w:t>
            </w:r>
          </w:p>
        </w:tc>
        <w:tc>
          <w:tcPr>
            <w:tcW w:w="994" w:type="dxa"/>
            <w:noWrap w:val="0"/>
            <w:vAlign w:val="center"/>
          </w:tcPr>
          <w:p w14:paraId="735BC71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单位</w:t>
            </w:r>
          </w:p>
        </w:tc>
        <w:tc>
          <w:tcPr>
            <w:tcW w:w="2499" w:type="dxa"/>
            <w:noWrap w:val="0"/>
            <w:vAlign w:val="center"/>
          </w:tcPr>
          <w:p w14:paraId="5FC38EE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lang w:eastAsia="zh-CN"/>
              </w:rPr>
            </w:pPr>
            <w:r>
              <w:rPr>
                <w:rFonts w:hint="eastAsia" w:ascii="仿宋" w:hAnsi="仿宋" w:eastAsia="仿宋" w:cs="仿宋"/>
                <w:color w:val="auto"/>
                <w:kern w:val="56"/>
                <w:sz w:val="24"/>
                <w:szCs w:val="24"/>
                <w:highlight w:val="none"/>
                <w:shd w:val="clear" w:color="auto" w:fill="FFFFFF"/>
                <w:lang w:eastAsia="zh-CN"/>
              </w:rPr>
              <w:t>供货期</w:t>
            </w:r>
          </w:p>
        </w:tc>
        <w:tc>
          <w:tcPr>
            <w:tcW w:w="791" w:type="dxa"/>
            <w:noWrap w:val="0"/>
            <w:vAlign w:val="center"/>
          </w:tcPr>
          <w:p w14:paraId="27CE1254">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lang w:eastAsia="zh-CN"/>
              </w:rPr>
            </w:pPr>
            <w:r>
              <w:rPr>
                <w:rFonts w:hint="eastAsia" w:ascii="仿宋" w:hAnsi="仿宋" w:eastAsia="仿宋" w:cs="仿宋"/>
                <w:color w:val="auto"/>
                <w:kern w:val="56"/>
                <w:sz w:val="24"/>
                <w:szCs w:val="24"/>
                <w:highlight w:val="none"/>
                <w:shd w:val="clear" w:color="auto" w:fill="FFFFFF"/>
                <w:lang w:eastAsia="zh-CN"/>
              </w:rPr>
              <w:t>备注</w:t>
            </w:r>
          </w:p>
        </w:tc>
      </w:tr>
      <w:tr w14:paraId="3096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noWrap w:val="0"/>
            <w:vAlign w:val="center"/>
          </w:tcPr>
          <w:p w14:paraId="71DC359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1</w:t>
            </w:r>
          </w:p>
        </w:tc>
        <w:tc>
          <w:tcPr>
            <w:tcW w:w="3300" w:type="dxa"/>
            <w:noWrap w:val="0"/>
            <w:vAlign w:val="center"/>
          </w:tcPr>
          <w:p w14:paraId="5FE7D8E4">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56"/>
                <w:sz w:val="24"/>
                <w:szCs w:val="24"/>
                <w:highlight w:val="none"/>
                <w:shd w:val="clear" w:color="auto" w:fill="FFFFFF"/>
                <w:lang w:eastAsia="zh-CN"/>
              </w:rPr>
            </w:pPr>
            <w:r>
              <w:rPr>
                <w:rFonts w:hint="eastAsia" w:ascii="仿宋" w:hAnsi="仿宋" w:eastAsia="仿宋" w:cs="仿宋"/>
                <w:color w:val="auto"/>
                <w:kern w:val="56"/>
                <w:sz w:val="24"/>
                <w:szCs w:val="24"/>
                <w:highlight w:val="none"/>
                <w:shd w:val="clear" w:color="auto" w:fill="FFFFFF"/>
                <w:lang w:eastAsia="zh-CN"/>
              </w:rPr>
              <w:t>衢州市柯城区姜家山乡中心小学IPV6新一代校园网络改造</w:t>
            </w:r>
          </w:p>
        </w:tc>
        <w:tc>
          <w:tcPr>
            <w:tcW w:w="862" w:type="dxa"/>
            <w:noWrap w:val="0"/>
            <w:vAlign w:val="center"/>
          </w:tcPr>
          <w:p w14:paraId="347FE69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1</w:t>
            </w:r>
          </w:p>
        </w:tc>
        <w:tc>
          <w:tcPr>
            <w:tcW w:w="994" w:type="dxa"/>
            <w:noWrap w:val="0"/>
            <w:vAlign w:val="center"/>
          </w:tcPr>
          <w:p w14:paraId="2DCF1A4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lang w:eastAsia="zh-CN"/>
              </w:rPr>
            </w:pPr>
            <w:r>
              <w:rPr>
                <w:rFonts w:hint="eastAsia" w:ascii="仿宋" w:hAnsi="仿宋" w:eastAsia="仿宋" w:cs="仿宋"/>
                <w:color w:val="auto"/>
                <w:kern w:val="56"/>
                <w:sz w:val="24"/>
                <w:szCs w:val="24"/>
                <w:highlight w:val="none"/>
                <w:shd w:val="clear" w:color="auto" w:fill="FFFFFF"/>
                <w:lang w:val="en-US" w:eastAsia="zh-CN"/>
              </w:rPr>
              <w:t>项</w:t>
            </w:r>
          </w:p>
        </w:tc>
        <w:tc>
          <w:tcPr>
            <w:tcW w:w="2499" w:type="dxa"/>
            <w:noWrap w:val="0"/>
            <w:vAlign w:val="center"/>
          </w:tcPr>
          <w:p w14:paraId="7EC718E9">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lang w:val="en-US" w:eastAsia="zh-CN"/>
              </w:rPr>
            </w:pPr>
          </w:p>
        </w:tc>
        <w:tc>
          <w:tcPr>
            <w:tcW w:w="791" w:type="dxa"/>
            <w:noWrap w:val="0"/>
            <w:vAlign w:val="center"/>
          </w:tcPr>
          <w:p w14:paraId="48E7877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kern w:val="56"/>
                <w:sz w:val="24"/>
                <w:szCs w:val="24"/>
                <w:highlight w:val="none"/>
                <w:shd w:val="clear" w:color="auto" w:fill="FFFFFF"/>
              </w:rPr>
            </w:pPr>
          </w:p>
        </w:tc>
      </w:tr>
      <w:tr w14:paraId="3CAA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2" w:type="dxa"/>
            <w:gridSpan w:val="2"/>
            <w:noWrap w:val="0"/>
            <w:vAlign w:val="center"/>
          </w:tcPr>
          <w:p w14:paraId="302CC69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lang w:val="en-GB"/>
              </w:rPr>
              <w:t>投标</w:t>
            </w:r>
            <w:r>
              <w:rPr>
                <w:rFonts w:hint="eastAsia" w:ascii="仿宋" w:hAnsi="仿宋" w:eastAsia="仿宋" w:cs="仿宋"/>
                <w:b/>
                <w:color w:val="auto"/>
                <w:sz w:val="24"/>
                <w:szCs w:val="24"/>
                <w:highlight w:val="none"/>
                <w:lang w:val="en-GB" w:eastAsia="zh-CN"/>
              </w:rPr>
              <w:t>总</w:t>
            </w:r>
            <w:r>
              <w:rPr>
                <w:rFonts w:hint="eastAsia" w:ascii="仿宋" w:hAnsi="仿宋" w:eastAsia="仿宋" w:cs="仿宋"/>
                <w:b/>
                <w:color w:val="auto"/>
                <w:sz w:val="24"/>
                <w:szCs w:val="24"/>
                <w:highlight w:val="none"/>
                <w:lang w:val="en-GB"/>
              </w:rPr>
              <w:t>价</w:t>
            </w:r>
          </w:p>
        </w:tc>
        <w:tc>
          <w:tcPr>
            <w:tcW w:w="5146" w:type="dxa"/>
            <w:gridSpan w:val="4"/>
            <w:noWrap w:val="0"/>
            <w:vAlign w:val="center"/>
          </w:tcPr>
          <w:p w14:paraId="6782A40A">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p w14:paraId="27581DB8">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（大写）：</w:t>
            </w:r>
          </w:p>
        </w:tc>
      </w:tr>
      <w:tr w14:paraId="7FCD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8" w:type="dxa"/>
            <w:gridSpan w:val="6"/>
            <w:noWrap w:val="0"/>
            <w:vAlign w:val="center"/>
          </w:tcPr>
          <w:p w14:paraId="4502422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56"/>
                <w:sz w:val="24"/>
                <w:szCs w:val="24"/>
                <w:highlight w:val="none"/>
                <w:shd w:val="clear" w:color="auto" w:fill="FFFFFF"/>
              </w:rPr>
              <w:t>填写说明：大写金额与小写金额不一致时，以大写金额为准。</w:t>
            </w:r>
          </w:p>
        </w:tc>
      </w:tr>
    </w:tbl>
    <w:p w14:paraId="666453E4">
      <w:pPr>
        <w:keepNext w:val="0"/>
        <w:keepLines w:val="0"/>
        <w:pageBreakBefore w:val="0"/>
        <w:widowControl w:val="0"/>
        <w:kinsoku/>
        <w:wordWrap/>
        <w:topLinePunct w:val="0"/>
        <w:autoSpaceDE/>
        <w:autoSpaceDN/>
        <w:bidi w:val="0"/>
        <w:spacing w:line="288" w:lineRule="auto"/>
        <w:ind w:left="544" w:leftChars="-67" w:hanging="732" w:hangingChars="304"/>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w:t>
      </w:r>
    </w:p>
    <w:p w14:paraId="15EF4379">
      <w:pPr>
        <w:keepNext w:val="0"/>
        <w:keepLines w:val="0"/>
        <w:pageBreakBefore w:val="0"/>
        <w:widowControl w:val="0"/>
        <w:kinsoku/>
        <w:wordWrap/>
        <w:overflowPunct w:val="0"/>
        <w:topLinePunct w:val="0"/>
        <w:autoSpaceDE/>
        <w:autoSpaceDN/>
        <w:bidi w:val="0"/>
        <w:spacing w:line="288"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1.投标报价以元为单位，保留整数。</w:t>
      </w:r>
    </w:p>
    <w:p w14:paraId="248DB134">
      <w:pPr>
        <w:keepNext w:val="0"/>
        <w:keepLines w:val="0"/>
        <w:pageBreakBefore w:val="0"/>
        <w:widowControl w:val="0"/>
        <w:kinsoku/>
        <w:wordWrap/>
        <w:overflowPunct w:val="0"/>
        <w:topLinePunct w:val="0"/>
        <w:autoSpaceDE/>
        <w:autoSpaceDN/>
        <w:bidi w:val="0"/>
        <w:spacing w:line="288" w:lineRule="auto"/>
        <w:ind w:firstLine="480" w:firstLineChars="200"/>
        <w:textAlignment w:val="auto"/>
        <w:rPr>
          <w:rFonts w:hint="eastAsia" w:ascii="仿宋" w:hAnsi="仿宋" w:eastAsia="仿宋" w:cs="仿宋"/>
          <w:bCs/>
          <w:color w:val="auto"/>
          <w:sz w:val="24"/>
          <w:szCs w:val="24"/>
          <w:lang w:val="zh-CN"/>
        </w:rPr>
      </w:pPr>
      <w:r>
        <w:rPr>
          <w:rFonts w:hint="eastAsia" w:ascii="仿宋" w:hAnsi="仿宋" w:eastAsia="仿宋" w:cs="仿宋"/>
          <w:bCs/>
          <w:color w:val="auto"/>
          <w:sz w:val="24"/>
          <w:szCs w:val="24"/>
        </w:rPr>
        <w:t>2.投标人的投标报价是履行合同的最终价格，</w:t>
      </w:r>
      <w:r>
        <w:rPr>
          <w:rFonts w:hint="eastAsia" w:ascii="仿宋" w:hAnsi="仿宋" w:eastAsia="仿宋" w:cs="仿宋"/>
          <w:bCs/>
          <w:color w:val="auto"/>
          <w:sz w:val="24"/>
          <w:szCs w:val="24"/>
          <w:lang w:val="zh-CN"/>
        </w:rPr>
        <w:t>报价中必须包含完成本项目的所有费用如调研、软件设计、系统开发、系统集成、测试、实施部署、硬件（货物）、硬件（货物）运输、安装、调试、人工费（包括工人工资、奖金、社保、工伤费、教育培训费、暂住费及处理一切伤亡事故等费用）、工具材料费、培训、维护、税费等所有费用。</w:t>
      </w:r>
    </w:p>
    <w:p w14:paraId="0AE9D3FE">
      <w:pPr>
        <w:keepNext w:val="0"/>
        <w:keepLines w:val="0"/>
        <w:pageBreakBefore w:val="0"/>
        <w:widowControl w:val="0"/>
        <w:kinsoku/>
        <w:wordWrap/>
        <w:topLinePunct w:val="0"/>
        <w:autoSpaceDE/>
        <w:autoSpaceDN/>
        <w:bidi w:val="0"/>
        <w:spacing w:line="288" w:lineRule="auto"/>
        <w:ind w:left="20" w:leftChars="7"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u w:val="single"/>
        </w:rPr>
        <w:t>3.▲不提供</w:t>
      </w:r>
      <w:r>
        <w:rPr>
          <w:rFonts w:hint="eastAsia" w:ascii="仿宋" w:hAnsi="仿宋" w:eastAsia="仿宋" w:cs="仿宋"/>
          <w:b/>
          <w:color w:val="auto"/>
          <w:sz w:val="24"/>
          <w:szCs w:val="24"/>
          <w:u w:val="single"/>
          <w:lang w:val="en-US" w:eastAsia="zh-CN"/>
        </w:rPr>
        <w:t>开标</w:t>
      </w:r>
      <w:r>
        <w:rPr>
          <w:rFonts w:hint="eastAsia" w:ascii="仿宋" w:hAnsi="仿宋" w:eastAsia="仿宋" w:cs="仿宋"/>
          <w:b/>
          <w:color w:val="auto"/>
          <w:sz w:val="24"/>
          <w:szCs w:val="24"/>
          <w:u w:val="single"/>
        </w:rPr>
        <w:t>一览表的投标文件将被视为未实质性响应投标文件。</w:t>
      </w:r>
    </w:p>
    <w:p w14:paraId="465EF671">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p>
    <w:p w14:paraId="5A7E222E">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供应商全称（盖章或电子签章）：</w:t>
      </w:r>
    </w:p>
    <w:p w14:paraId="006EDF11">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法定代表人或其授权代表（签字或盖章或电子签章）：</w:t>
      </w:r>
    </w:p>
    <w:p w14:paraId="42D8972B">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14:paraId="075FB819">
      <w:pPr>
        <w:pStyle w:val="88"/>
        <w:keepNext w:val="0"/>
        <w:keepLines w:val="0"/>
        <w:pageBreakBefore w:val="0"/>
        <w:widowControl w:val="0"/>
        <w:kinsoku/>
        <w:wordWrap/>
        <w:topLinePunct w:val="0"/>
        <w:autoSpaceDE/>
        <w:autoSpaceDN/>
        <w:bidi w:val="0"/>
        <w:spacing w:line="288" w:lineRule="auto"/>
        <w:ind w:firstLine="440"/>
        <w:textAlignment w:val="auto"/>
        <w:rPr>
          <w:rFonts w:hint="eastAsia" w:ascii="仿宋" w:hAnsi="仿宋" w:eastAsia="仿宋" w:cs="仿宋"/>
          <w:color w:val="auto"/>
          <w:sz w:val="24"/>
          <w:szCs w:val="24"/>
        </w:rPr>
      </w:pPr>
    </w:p>
    <w:bookmarkEnd w:id="92"/>
    <w:bookmarkEnd w:id="93"/>
    <w:bookmarkEnd w:id="94"/>
    <w:bookmarkEnd w:id="95"/>
    <w:p w14:paraId="14361929">
      <w:pPr>
        <w:pStyle w:val="48"/>
        <w:adjustRightInd w:val="0"/>
        <w:snapToGrid w:val="0"/>
        <w:spacing w:line="360" w:lineRule="auto"/>
        <w:outlineLvl w:val="1"/>
        <w:rPr>
          <w:rFonts w:hint="eastAsia" w:ascii="仿宋" w:hAnsi="仿宋" w:eastAsia="仿宋" w:cs="仿宋"/>
          <w:b/>
          <w:kern w:val="0"/>
          <w:sz w:val="30"/>
          <w:highlight w:val="none"/>
          <w:lang w:val="zh-CN"/>
        </w:rPr>
      </w:pPr>
      <w:bookmarkStart w:id="111" w:name="_Toc233618991"/>
      <w:bookmarkStart w:id="112" w:name="_Toc354859551"/>
      <w:bookmarkStart w:id="113" w:name="_Toc354859632"/>
      <w:bookmarkStart w:id="114" w:name="_Toc354859475"/>
      <w:bookmarkStart w:id="115" w:name="_Toc391277571"/>
      <w:bookmarkStart w:id="116" w:name="_Toc522530054"/>
    </w:p>
    <w:p w14:paraId="7BA4BAED">
      <w:pPr>
        <w:pStyle w:val="48"/>
        <w:adjustRightInd w:val="0"/>
        <w:snapToGrid w:val="0"/>
        <w:spacing w:line="360" w:lineRule="auto"/>
        <w:outlineLvl w:val="1"/>
        <w:rPr>
          <w:rFonts w:hint="eastAsia" w:ascii="仿宋" w:hAnsi="仿宋" w:eastAsia="仿宋" w:cs="仿宋"/>
          <w:b/>
          <w:kern w:val="0"/>
          <w:sz w:val="30"/>
          <w:highlight w:val="none"/>
          <w:lang w:val="zh-CN"/>
        </w:rPr>
      </w:pPr>
    </w:p>
    <w:bookmarkEnd w:id="111"/>
    <w:bookmarkEnd w:id="112"/>
    <w:bookmarkEnd w:id="113"/>
    <w:bookmarkEnd w:id="114"/>
    <w:bookmarkEnd w:id="115"/>
    <w:bookmarkEnd w:id="116"/>
    <w:p w14:paraId="7D7B7431">
      <w:pPr>
        <w:pStyle w:val="48"/>
        <w:adjustRightInd w:val="0"/>
        <w:snapToGrid w:val="0"/>
        <w:spacing w:line="360" w:lineRule="auto"/>
        <w:ind w:firstLine="602" w:firstLineChars="200"/>
        <w:jc w:val="center"/>
        <w:outlineLvl w:val="1"/>
        <w:rPr>
          <w:rFonts w:hint="eastAsia" w:ascii="仿宋" w:hAnsi="仿宋" w:eastAsia="仿宋" w:cs="仿宋"/>
          <w:b/>
          <w:sz w:val="30"/>
          <w:highlight w:val="none"/>
        </w:rPr>
      </w:pPr>
    </w:p>
    <w:p w14:paraId="5B16D4D8">
      <w:pPr>
        <w:pStyle w:val="5"/>
        <w:ind w:left="0" w:firstLine="0"/>
        <w:jc w:val="center"/>
        <w:rPr>
          <w:rFonts w:hint="eastAsia" w:ascii="仿宋" w:hAnsi="仿宋" w:eastAsia="仿宋" w:cs="仿宋"/>
          <w:sz w:val="28"/>
          <w:highlight w:val="none"/>
        </w:rPr>
        <w:sectPr>
          <w:footerReference r:id="rId8" w:type="first"/>
          <w:headerReference r:id="rId5" w:type="default"/>
          <w:footerReference r:id="rId6" w:type="default"/>
          <w:footerReference r:id="rId7" w:type="even"/>
          <w:pgSz w:w="11906" w:h="16838"/>
          <w:pgMar w:top="1417" w:right="1417" w:bottom="1417" w:left="1417" w:header="851" w:footer="992" w:gutter="0"/>
          <w:cols w:space="0" w:num="1"/>
          <w:rtlGutter w:val="0"/>
          <w:docGrid w:type="lines" w:linePitch="389" w:charSpace="0"/>
        </w:sectPr>
      </w:pPr>
    </w:p>
    <w:p w14:paraId="36771646">
      <w:pPr>
        <w:pStyle w:val="5"/>
        <w:ind w:left="0" w:firstLine="0"/>
        <w:jc w:val="center"/>
        <w:rPr>
          <w:rFonts w:hint="eastAsia" w:ascii="仿宋" w:hAnsi="仿宋" w:eastAsia="仿宋" w:cs="仿宋"/>
          <w:b/>
          <w:bCs/>
          <w:sz w:val="28"/>
          <w:highlight w:val="none"/>
        </w:rPr>
      </w:pPr>
      <w:r>
        <w:rPr>
          <w:rFonts w:hint="eastAsia" w:ascii="仿宋" w:hAnsi="仿宋" w:eastAsia="仿宋" w:cs="仿宋"/>
          <w:b/>
          <w:bCs/>
          <w:sz w:val="28"/>
          <w:highlight w:val="none"/>
        </w:rPr>
        <w:t>报价明细表</w:t>
      </w:r>
    </w:p>
    <w:p w14:paraId="35121B21">
      <w:pPr>
        <w:pStyle w:val="48"/>
        <w:snapToGrid w:val="0"/>
        <w:spacing w:line="340" w:lineRule="exact"/>
        <w:rPr>
          <w:rFonts w:hint="eastAsia" w:ascii="仿宋" w:hAnsi="仿宋" w:eastAsia="仿宋" w:cs="仿宋"/>
          <w:bCs/>
          <w:color w:val="auto"/>
          <w:sz w:val="24"/>
          <w:szCs w:val="24"/>
          <w:highlight w:val="none"/>
        </w:rPr>
      </w:pPr>
    </w:p>
    <w:p w14:paraId="1922F062">
      <w:pPr>
        <w:snapToGrid w:val="0"/>
        <w:ind w:right="274" w:rightChars="98"/>
        <w:rPr>
          <w:rFonts w:hint="eastAsia" w:ascii="仿宋" w:hAnsi="仿宋" w:eastAsia="仿宋" w:cs="仿宋"/>
          <w:sz w:val="24"/>
          <w:szCs w:val="24"/>
          <w:lang w:eastAsia="zh-CN"/>
        </w:rPr>
      </w:pPr>
      <w:r>
        <w:rPr>
          <w:rFonts w:hint="eastAsia" w:ascii="仿宋" w:hAnsi="仿宋" w:eastAsia="仿宋" w:cs="仿宋"/>
          <w:color w:val="auto"/>
          <w:sz w:val="24"/>
          <w:highlight w:val="none"/>
        </w:rPr>
        <w:t xml:space="preserve">   </w:t>
      </w:r>
      <w:r>
        <w:rPr>
          <w:rFonts w:hint="eastAsia" w:ascii="仿宋" w:hAnsi="仿宋" w:eastAsia="仿宋" w:cs="仿宋"/>
          <w:sz w:val="24"/>
          <w:szCs w:val="24"/>
        </w:rPr>
        <w:t>项目名称：                     项目编号</w:t>
      </w:r>
      <w:r>
        <w:rPr>
          <w:rFonts w:hint="eastAsia" w:ascii="仿宋" w:hAnsi="仿宋" w:eastAsia="仿宋" w:cs="仿宋"/>
          <w:bCs/>
          <w:sz w:val="24"/>
          <w:szCs w:val="24"/>
        </w:rPr>
        <w:t>：</w:t>
      </w:r>
      <w:r>
        <w:rPr>
          <w:rFonts w:hint="eastAsia" w:ascii="仿宋" w:hAnsi="仿宋" w:eastAsia="仿宋" w:cs="仿宋"/>
          <w:sz w:val="24"/>
          <w:szCs w:val="24"/>
        </w:rPr>
        <w:t xml:space="preserve">             单位：</w:t>
      </w:r>
      <w:r>
        <w:rPr>
          <w:rFonts w:hint="eastAsia" w:ascii="仿宋" w:hAnsi="仿宋" w:eastAsia="仿宋" w:cs="仿宋"/>
          <w:sz w:val="24"/>
          <w:szCs w:val="24"/>
          <w:lang w:eastAsia="zh-CN"/>
        </w:rPr>
        <w:t>元</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424"/>
        <w:gridCol w:w="1747"/>
        <w:gridCol w:w="1440"/>
        <w:gridCol w:w="3189"/>
        <w:gridCol w:w="1223"/>
        <w:gridCol w:w="830"/>
        <w:gridCol w:w="1135"/>
        <w:gridCol w:w="1260"/>
      </w:tblGrid>
      <w:tr w14:paraId="002D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tcPr>
          <w:p w14:paraId="7CDBFFB4">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424" w:type="dxa"/>
          </w:tcPr>
          <w:p w14:paraId="2DEFAD9B">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747" w:type="dxa"/>
          </w:tcPr>
          <w:p w14:paraId="305A4801">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1440" w:type="dxa"/>
          </w:tcPr>
          <w:p w14:paraId="1DD5E206">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制造商</w:t>
            </w:r>
          </w:p>
        </w:tc>
        <w:tc>
          <w:tcPr>
            <w:tcW w:w="3189" w:type="dxa"/>
          </w:tcPr>
          <w:p w14:paraId="5371787D">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主要技术参数</w:t>
            </w:r>
          </w:p>
        </w:tc>
        <w:tc>
          <w:tcPr>
            <w:tcW w:w="1223" w:type="dxa"/>
          </w:tcPr>
          <w:p w14:paraId="28488555">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原产地</w:t>
            </w:r>
          </w:p>
        </w:tc>
        <w:tc>
          <w:tcPr>
            <w:tcW w:w="830" w:type="dxa"/>
          </w:tcPr>
          <w:p w14:paraId="1169D401">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135" w:type="dxa"/>
          </w:tcPr>
          <w:p w14:paraId="11E157DD">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1260" w:type="dxa"/>
          </w:tcPr>
          <w:p w14:paraId="478B414C">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r>
      <w:tr w14:paraId="3065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14:paraId="51D96E1C">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24" w:type="dxa"/>
          </w:tcPr>
          <w:p w14:paraId="334833A5">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747" w:type="dxa"/>
          </w:tcPr>
          <w:p w14:paraId="61AE33C2">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440" w:type="dxa"/>
          </w:tcPr>
          <w:p w14:paraId="5896FD54">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3189" w:type="dxa"/>
          </w:tcPr>
          <w:p w14:paraId="0DDF2C10">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223" w:type="dxa"/>
          </w:tcPr>
          <w:p w14:paraId="6C7AB703">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830" w:type="dxa"/>
          </w:tcPr>
          <w:p w14:paraId="2B0539E8">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135" w:type="dxa"/>
          </w:tcPr>
          <w:p w14:paraId="0134CDA8">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260" w:type="dxa"/>
          </w:tcPr>
          <w:p w14:paraId="7690F0B8">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r>
      <w:tr w14:paraId="5886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14:paraId="5BFF07D6">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424" w:type="dxa"/>
          </w:tcPr>
          <w:p w14:paraId="388CC071">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747" w:type="dxa"/>
          </w:tcPr>
          <w:p w14:paraId="0AC1050F">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440" w:type="dxa"/>
          </w:tcPr>
          <w:p w14:paraId="58FF3CD5">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3189" w:type="dxa"/>
          </w:tcPr>
          <w:p w14:paraId="7392C4D2">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223" w:type="dxa"/>
          </w:tcPr>
          <w:p w14:paraId="6D65838E">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830" w:type="dxa"/>
          </w:tcPr>
          <w:p w14:paraId="6C138C0E">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135" w:type="dxa"/>
          </w:tcPr>
          <w:p w14:paraId="5228E3BA">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260" w:type="dxa"/>
          </w:tcPr>
          <w:p w14:paraId="5DD8885C">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r>
      <w:tr w14:paraId="3ACA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14:paraId="566561ED">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24" w:type="dxa"/>
          </w:tcPr>
          <w:p w14:paraId="56BF475C">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747" w:type="dxa"/>
          </w:tcPr>
          <w:p w14:paraId="58C20DC7">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440" w:type="dxa"/>
          </w:tcPr>
          <w:p w14:paraId="741E1F93">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3189" w:type="dxa"/>
          </w:tcPr>
          <w:p w14:paraId="6D4220AB">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223" w:type="dxa"/>
          </w:tcPr>
          <w:p w14:paraId="3C452776">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830" w:type="dxa"/>
          </w:tcPr>
          <w:p w14:paraId="7CC7AB9E">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135" w:type="dxa"/>
          </w:tcPr>
          <w:p w14:paraId="27AC3952">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260" w:type="dxa"/>
          </w:tcPr>
          <w:p w14:paraId="0784339C">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r>
      <w:tr w14:paraId="6D0A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14:paraId="62072243">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424" w:type="dxa"/>
          </w:tcPr>
          <w:p w14:paraId="3E8FDAC0">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747" w:type="dxa"/>
          </w:tcPr>
          <w:p w14:paraId="6E1C28E1">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440" w:type="dxa"/>
          </w:tcPr>
          <w:p w14:paraId="11DD8588">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3189" w:type="dxa"/>
          </w:tcPr>
          <w:p w14:paraId="7F105676">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223" w:type="dxa"/>
          </w:tcPr>
          <w:p w14:paraId="071B3291">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830" w:type="dxa"/>
          </w:tcPr>
          <w:p w14:paraId="743FA25D">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135" w:type="dxa"/>
          </w:tcPr>
          <w:p w14:paraId="7444017E">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c>
          <w:tcPr>
            <w:tcW w:w="1260" w:type="dxa"/>
          </w:tcPr>
          <w:p w14:paraId="2BDEBF6D">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p>
        </w:tc>
      </w:tr>
      <w:tr w14:paraId="03AD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tcPr>
          <w:p w14:paraId="45353716">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424" w:type="dxa"/>
          </w:tcPr>
          <w:p w14:paraId="549D4293">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总计</w:t>
            </w:r>
          </w:p>
        </w:tc>
        <w:tc>
          <w:tcPr>
            <w:tcW w:w="10824" w:type="dxa"/>
            <w:gridSpan w:val="7"/>
          </w:tcPr>
          <w:p w14:paraId="6D9B4882">
            <w:pPr>
              <w:pStyle w:val="618"/>
              <w:pBdr>
                <w:top w:val="none" w:color="auto" w:sz="0" w:space="0"/>
                <w:left w:val="none" w:color="auto" w:sz="0" w:space="0"/>
                <w:bottom w:val="none" w:color="auto" w:sz="0" w:space="0"/>
                <w:right w:val="none" w:color="auto" w:sz="0" w:space="0"/>
              </w:pBdr>
              <w:adjustRightInd w:val="0"/>
              <w:snapToGrid w:val="0"/>
              <w:spacing w:line="44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大写：</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整。</w:t>
            </w:r>
          </w:p>
        </w:tc>
      </w:tr>
    </w:tbl>
    <w:p w14:paraId="7D942129">
      <w:pPr>
        <w:snapToGrid w:val="0"/>
        <w:ind w:right="274" w:rightChars="98"/>
        <w:rPr>
          <w:rFonts w:hint="eastAsia" w:ascii="仿宋" w:hAnsi="仿宋" w:eastAsia="仿宋" w:cs="仿宋"/>
          <w:sz w:val="24"/>
          <w:szCs w:val="24"/>
          <w:lang w:eastAsia="zh-CN"/>
        </w:rPr>
      </w:pPr>
    </w:p>
    <w:p w14:paraId="50DAEA3D">
      <w:pPr>
        <w:spacing w:line="340" w:lineRule="exact"/>
        <w:ind w:firstLine="422" w:firstLineChars="2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1、报价应包括完成本项目所需的所有费用。</w:t>
      </w:r>
    </w:p>
    <w:p w14:paraId="04E482FE">
      <w:pPr>
        <w:spacing w:line="340" w:lineRule="exact"/>
        <w:ind w:firstLine="422" w:firstLineChars="2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2、按采购需求逐项列出所需的各种费用。</w:t>
      </w:r>
    </w:p>
    <w:p w14:paraId="3F02C370">
      <w:pPr>
        <w:spacing w:line="340" w:lineRule="exact"/>
        <w:ind w:firstLine="422" w:firstLineChars="2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3、以上表格中各项可进一步细分，栏数不够可自加。</w:t>
      </w:r>
    </w:p>
    <w:p w14:paraId="66B22A74">
      <w:pPr>
        <w:spacing w:line="340"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上表所述“</w:t>
      </w:r>
      <w:r>
        <w:rPr>
          <w:rFonts w:hint="eastAsia" w:ascii="仿宋" w:hAnsi="仿宋" w:eastAsia="仿宋" w:cs="仿宋"/>
          <w:b/>
          <w:bCs/>
          <w:color w:val="auto"/>
          <w:sz w:val="21"/>
          <w:szCs w:val="21"/>
          <w:highlight w:val="none"/>
          <w:lang w:val="en-US" w:eastAsia="zh-CN"/>
        </w:rPr>
        <w:t>总</w:t>
      </w:r>
      <w:r>
        <w:rPr>
          <w:rFonts w:hint="eastAsia" w:ascii="仿宋" w:hAnsi="仿宋" w:eastAsia="仿宋" w:cs="仿宋"/>
          <w:b/>
          <w:bCs/>
          <w:color w:val="auto"/>
          <w:sz w:val="21"/>
          <w:szCs w:val="21"/>
          <w:highlight w:val="none"/>
        </w:rPr>
        <w:t>计金额”与“开标一览表”</w:t>
      </w:r>
      <w:r>
        <w:rPr>
          <w:rFonts w:hint="eastAsia" w:ascii="仿宋" w:hAnsi="仿宋" w:eastAsia="仿宋" w:cs="仿宋"/>
          <w:b/>
          <w:bCs/>
          <w:color w:val="auto"/>
          <w:sz w:val="21"/>
          <w:szCs w:val="21"/>
          <w:highlight w:val="none"/>
          <w:lang w:val="en-US" w:eastAsia="zh-CN"/>
        </w:rPr>
        <w:t>的</w:t>
      </w:r>
      <w:r>
        <w:rPr>
          <w:rFonts w:hint="eastAsia" w:ascii="仿宋" w:hAnsi="仿宋" w:eastAsia="仿宋" w:cs="仿宋"/>
          <w:b/>
          <w:bCs/>
          <w:color w:val="auto"/>
          <w:sz w:val="21"/>
          <w:szCs w:val="21"/>
          <w:highlight w:val="none"/>
        </w:rPr>
        <w:t>“投标</w:t>
      </w:r>
      <w:r>
        <w:rPr>
          <w:rFonts w:hint="eastAsia" w:ascii="仿宋" w:hAnsi="仿宋" w:eastAsia="仿宋" w:cs="仿宋"/>
          <w:b/>
          <w:bCs/>
          <w:color w:val="auto"/>
          <w:sz w:val="21"/>
          <w:szCs w:val="21"/>
          <w:highlight w:val="none"/>
          <w:lang w:val="en-US" w:eastAsia="zh-CN"/>
        </w:rPr>
        <w:t>总</w:t>
      </w:r>
      <w:r>
        <w:rPr>
          <w:rFonts w:hint="eastAsia" w:ascii="仿宋" w:hAnsi="仿宋" w:eastAsia="仿宋" w:cs="仿宋"/>
          <w:b/>
          <w:bCs/>
          <w:color w:val="auto"/>
          <w:sz w:val="21"/>
          <w:szCs w:val="21"/>
          <w:highlight w:val="none"/>
        </w:rPr>
        <w:t>价”应一致。</w:t>
      </w:r>
    </w:p>
    <w:p w14:paraId="7B00C3DD">
      <w:pPr>
        <w:pStyle w:val="48"/>
        <w:adjustRightInd w:val="0"/>
        <w:snapToGrid w:val="0"/>
        <w:spacing w:line="360" w:lineRule="auto"/>
        <w:ind w:firstLine="602" w:firstLineChars="200"/>
        <w:jc w:val="center"/>
        <w:outlineLvl w:val="1"/>
        <w:rPr>
          <w:rFonts w:hint="eastAsia" w:ascii="仿宋" w:hAnsi="仿宋" w:eastAsia="仿宋" w:cs="仿宋"/>
          <w:b/>
          <w:sz w:val="30"/>
          <w:highlight w:val="none"/>
        </w:rPr>
      </w:pPr>
    </w:p>
    <w:p w14:paraId="70E69C20">
      <w:pPr>
        <w:pStyle w:val="48"/>
        <w:adjustRightInd w:val="0"/>
        <w:snapToGrid w:val="0"/>
        <w:spacing w:line="360" w:lineRule="auto"/>
        <w:ind w:firstLine="602" w:firstLineChars="200"/>
        <w:jc w:val="center"/>
        <w:outlineLvl w:val="1"/>
        <w:rPr>
          <w:rFonts w:hint="eastAsia" w:ascii="仿宋" w:hAnsi="仿宋" w:eastAsia="仿宋" w:cs="仿宋"/>
          <w:b/>
          <w:sz w:val="30"/>
          <w:highlight w:val="none"/>
        </w:rPr>
      </w:pPr>
    </w:p>
    <w:p w14:paraId="32EAB3DB">
      <w:pPr>
        <w:keepNext w:val="0"/>
        <w:keepLines w:val="0"/>
        <w:pageBreakBefore w:val="0"/>
        <w:kinsoku/>
        <w:wordWrap/>
        <w:overflowPunct/>
        <w:topLinePunct w:val="0"/>
        <w:autoSpaceDE/>
        <w:autoSpaceDN/>
        <w:bidi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供应商全称（盖章或电子签章）：</w:t>
      </w:r>
    </w:p>
    <w:p w14:paraId="74B2D28D">
      <w:pPr>
        <w:keepNext w:val="0"/>
        <w:keepLines w:val="0"/>
        <w:pageBreakBefore w:val="0"/>
        <w:kinsoku/>
        <w:wordWrap/>
        <w:overflowPunct/>
        <w:topLinePunct w:val="0"/>
        <w:autoSpaceDE/>
        <w:autoSpaceDN/>
        <w:bidi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法定代表人或其授权代表（签字或盖章或电子签章）：</w:t>
      </w:r>
    </w:p>
    <w:p w14:paraId="2C492877">
      <w:pPr>
        <w:keepNext w:val="0"/>
        <w:keepLines w:val="0"/>
        <w:pageBreakBefore w:val="0"/>
        <w:kinsoku/>
        <w:wordWrap/>
        <w:overflowPunct/>
        <w:topLinePunct w:val="0"/>
        <w:autoSpaceDE/>
        <w:autoSpaceDN/>
        <w:bidi w:val="0"/>
        <w:spacing w:line="288" w:lineRule="auto"/>
        <w:rPr>
          <w:rFonts w:hint="eastAsia" w:ascii="仿宋" w:hAnsi="仿宋" w:eastAsia="仿宋" w:cs="仿宋"/>
          <w:b/>
          <w:sz w:val="30"/>
          <w:highlight w:val="none"/>
        </w:rPr>
      </w:pPr>
      <w:r>
        <w:rPr>
          <w:rFonts w:hint="eastAsia" w:ascii="仿宋" w:hAnsi="仿宋" w:eastAsia="仿宋" w:cs="仿宋"/>
          <w:color w:val="auto"/>
          <w:sz w:val="24"/>
          <w:szCs w:val="24"/>
        </w:rPr>
        <w:t>日 期：  年  月  日</w:t>
      </w:r>
      <w:r>
        <w:rPr>
          <w:rFonts w:hint="eastAsia" w:ascii="仿宋" w:hAnsi="仿宋" w:eastAsia="仿宋" w:cs="仿宋"/>
          <w:b/>
          <w:sz w:val="30"/>
          <w:highlight w:val="none"/>
        </w:rPr>
        <w:br w:type="page"/>
      </w:r>
      <w:bookmarkStart w:id="117" w:name="_Toc18776"/>
      <w:bookmarkStart w:id="118" w:name="_Toc522530059"/>
    </w:p>
    <w:bookmarkEnd w:id="117"/>
    <w:bookmarkEnd w:id="118"/>
    <w:p w14:paraId="3335E617">
      <w:pPr>
        <w:pStyle w:val="5"/>
        <w:ind w:left="0" w:firstLine="0"/>
        <w:rPr>
          <w:rFonts w:hint="eastAsia" w:ascii="仿宋" w:hAnsi="仿宋" w:eastAsia="仿宋" w:cs="仿宋"/>
          <w:sz w:val="28"/>
          <w:highlight w:val="none"/>
        </w:rPr>
        <w:sectPr>
          <w:pgSz w:w="16838" w:h="11906" w:orient="landscape"/>
          <w:pgMar w:top="1417" w:right="1417" w:bottom="1417" w:left="1417" w:header="851" w:footer="992" w:gutter="0"/>
          <w:cols w:space="0" w:num="1"/>
          <w:rtlGutter w:val="0"/>
          <w:docGrid w:type="lines" w:linePitch="394" w:charSpace="0"/>
        </w:sectPr>
      </w:pPr>
      <w:bookmarkStart w:id="119" w:name="_Toc16646"/>
      <w:bookmarkStart w:id="120" w:name="_Toc522530061"/>
    </w:p>
    <w:p w14:paraId="4CA5DB51">
      <w:pPr>
        <w:pStyle w:val="9"/>
        <w:ind w:firstLine="0"/>
        <w:jc w:val="center"/>
        <w:rPr>
          <w:rFonts w:hint="eastAsia" w:ascii="仿宋" w:hAnsi="仿宋" w:eastAsia="仿宋" w:cs="仿宋"/>
          <w:b/>
          <w:bCs/>
          <w:kern w:val="2"/>
          <w:sz w:val="28"/>
          <w:szCs w:val="20"/>
          <w:highlight w:val="none"/>
          <w:lang w:val="en-US" w:eastAsia="zh-CN" w:bidi="ar-SA"/>
        </w:rPr>
      </w:pPr>
      <w:bookmarkStart w:id="121" w:name="_Toc522530060"/>
      <w:r>
        <w:rPr>
          <w:rFonts w:hint="eastAsia" w:ascii="仿宋" w:hAnsi="仿宋" w:eastAsia="仿宋" w:cs="仿宋"/>
          <w:b/>
          <w:bCs/>
          <w:kern w:val="2"/>
          <w:sz w:val="28"/>
          <w:szCs w:val="20"/>
          <w:highlight w:val="none"/>
          <w:lang w:val="en-US" w:eastAsia="zh-CN" w:bidi="ar-SA"/>
        </w:rPr>
        <w:t>中小企业/监狱企业/残疾人福利性单位声明函</w:t>
      </w:r>
      <w:bookmarkEnd w:id="121"/>
    </w:p>
    <w:p w14:paraId="1160A99F">
      <w:pPr>
        <w:pStyle w:val="604"/>
        <w:keepNext/>
        <w:keepLines/>
        <w:spacing w:after="0" w:line="400" w:lineRule="exact"/>
        <w:ind w:firstLine="0"/>
        <w:rPr>
          <w:rFonts w:hint="eastAsia" w:ascii="仿宋" w:hAnsi="仿宋" w:eastAsia="仿宋" w:cs="仿宋"/>
          <w:b/>
          <w:sz w:val="24"/>
          <w:highlight w:val="none"/>
        </w:rPr>
      </w:pPr>
    </w:p>
    <w:p w14:paraId="3578D977">
      <w:pPr>
        <w:pStyle w:val="604"/>
        <w:keepNext/>
        <w:keepLines/>
        <w:spacing w:after="0" w:line="400" w:lineRule="exact"/>
        <w:ind w:firstLine="0"/>
        <w:rPr>
          <w:rFonts w:hint="eastAsia" w:ascii="仿宋" w:hAnsi="仿宋" w:eastAsia="仿宋" w:cs="仿宋"/>
          <w:b/>
          <w:color w:val="000000"/>
          <w:sz w:val="24"/>
          <w:szCs w:val="24"/>
          <w:highlight w:val="none"/>
        </w:rPr>
      </w:pPr>
      <w:r>
        <w:rPr>
          <w:rFonts w:hint="eastAsia" w:ascii="仿宋" w:hAnsi="仿宋" w:eastAsia="仿宋" w:cs="仿宋"/>
          <w:b/>
          <w:sz w:val="24"/>
          <w:highlight w:val="none"/>
        </w:rPr>
        <w:t>（一）</w:t>
      </w:r>
      <w:bookmarkStart w:id="122" w:name="bookmark28"/>
      <w:bookmarkStart w:id="123" w:name="bookmark29"/>
      <w:bookmarkStart w:id="124" w:name="bookmark27"/>
      <w:r>
        <w:rPr>
          <w:rFonts w:hint="eastAsia" w:ascii="仿宋" w:hAnsi="仿宋" w:eastAsia="仿宋" w:cs="仿宋"/>
          <w:b/>
          <w:color w:val="000000"/>
          <w:sz w:val="24"/>
          <w:szCs w:val="24"/>
          <w:highlight w:val="none"/>
        </w:rPr>
        <w:t>中小企业声明函</w:t>
      </w:r>
      <w:bookmarkEnd w:id="122"/>
      <w:bookmarkEnd w:id="123"/>
      <w:bookmarkEnd w:id="124"/>
    </w:p>
    <w:p w14:paraId="685A5FAC">
      <w:pPr>
        <w:adjustRightInd w:val="0"/>
        <w:snapToGrid w:val="0"/>
        <w:spacing w:line="440" w:lineRule="exact"/>
        <w:rPr>
          <w:rFonts w:hint="eastAsia" w:ascii="仿宋" w:hAnsi="仿宋" w:eastAsia="仿宋" w:cs="仿宋"/>
          <w:sz w:val="24"/>
          <w:highlight w:val="none"/>
        </w:rPr>
      </w:pPr>
    </w:p>
    <w:p w14:paraId="3406E05E">
      <w:pPr>
        <w:adjustRightInd w:val="0"/>
        <w:snapToGrid w:val="0"/>
        <w:spacing w:line="440" w:lineRule="exact"/>
        <w:rPr>
          <w:rFonts w:hint="eastAsia" w:ascii="仿宋" w:hAnsi="仿宋" w:eastAsia="仿宋" w:cs="仿宋"/>
          <w:b/>
          <w:color w:val="000000"/>
          <w:sz w:val="24"/>
          <w:szCs w:val="24"/>
          <w:highlight w:val="none"/>
        </w:rPr>
      </w:pPr>
      <w:r>
        <w:rPr>
          <w:rFonts w:hint="eastAsia" w:ascii="仿宋" w:hAnsi="仿宋" w:eastAsia="仿宋" w:cs="仿宋"/>
          <w:sz w:val="24"/>
          <w:highlight w:val="none"/>
          <w:lang w:eastAsia="zh-CN"/>
        </w:rPr>
        <w:t>衢州市柯城区姜家山乡中心小学</w:t>
      </w:r>
      <w:r>
        <w:rPr>
          <w:rFonts w:hint="eastAsia" w:ascii="仿宋" w:hAnsi="仿宋" w:eastAsia="仿宋" w:cs="仿宋"/>
          <w:sz w:val="24"/>
          <w:highlight w:val="none"/>
        </w:rPr>
        <w:t>：</w:t>
      </w:r>
    </w:p>
    <w:p w14:paraId="34465D95">
      <w:pPr>
        <w:pStyle w:val="605"/>
        <w:spacing w:line="440" w:lineRule="exact"/>
        <w:ind w:firstLine="66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本公司郑重声明，根据《政府采购促进中小企业发展管理办法》（财库〔2020）46号）的规定，本公司参加</w:t>
      </w:r>
      <w:r>
        <w:rPr>
          <w:rFonts w:hint="eastAsia" w:ascii="仿宋" w:hAnsi="仿宋" w:eastAsia="仿宋" w:cs="仿宋"/>
          <w:color w:val="000000"/>
          <w:sz w:val="24"/>
          <w:szCs w:val="24"/>
          <w:highlight w:val="none"/>
          <w:u w:val="single"/>
        </w:rPr>
        <w:t>（单位名称）</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u w:val="single"/>
        </w:rPr>
        <w:t>（项目名称）</w:t>
      </w:r>
      <w:r>
        <w:rPr>
          <w:rFonts w:hint="eastAsia" w:ascii="仿宋" w:hAnsi="仿宋" w:eastAsia="仿宋" w:cs="仿宋"/>
          <w:color w:val="000000"/>
          <w:sz w:val="24"/>
          <w:szCs w:val="24"/>
          <w:highlight w:val="none"/>
        </w:rPr>
        <w:t>采购活动,</w:t>
      </w:r>
      <w:r>
        <w:rPr>
          <w:rFonts w:hint="eastAsia" w:ascii="仿宋" w:hAnsi="仿宋" w:eastAsia="仿宋" w:cs="仿宋"/>
          <w:color w:val="000000"/>
          <w:sz w:val="24"/>
          <w:szCs w:val="24"/>
          <w:highlight w:val="none"/>
          <w:lang w:val="en-US" w:eastAsia="zh-CN"/>
        </w:rPr>
        <w:t>提供的货物全部由符合</w:t>
      </w:r>
      <w:r>
        <w:rPr>
          <w:rFonts w:hint="eastAsia" w:ascii="仿宋" w:hAnsi="仿宋" w:eastAsia="仿宋" w:cs="仿宋"/>
          <w:color w:val="000000"/>
          <w:sz w:val="24"/>
          <w:szCs w:val="24"/>
          <w:highlight w:val="none"/>
        </w:rPr>
        <w:t>政策要求的中小企业</w:t>
      </w:r>
      <w:r>
        <w:rPr>
          <w:rFonts w:hint="eastAsia" w:ascii="仿宋" w:hAnsi="仿宋" w:eastAsia="仿宋" w:cs="仿宋"/>
          <w:color w:val="000000"/>
          <w:sz w:val="24"/>
          <w:szCs w:val="24"/>
          <w:highlight w:val="none"/>
          <w:lang w:val="en-US" w:eastAsia="zh-CN"/>
        </w:rPr>
        <w:t>制造</w:t>
      </w:r>
      <w:r>
        <w:rPr>
          <w:rFonts w:hint="eastAsia" w:ascii="仿宋" w:hAnsi="仿宋" w:eastAsia="仿宋" w:cs="仿宋"/>
          <w:color w:val="000000"/>
          <w:sz w:val="24"/>
          <w:szCs w:val="24"/>
          <w:highlight w:val="none"/>
        </w:rPr>
        <w:t>。相关企业的具体情况如下：</w:t>
      </w:r>
    </w:p>
    <w:p w14:paraId="28699FD3">
      <w:pPr>
        <w:pStyle w:val="605"/>
        <w:tabs>
          <w:tab w:val="left" w:pos="1238"/>
          <w:tab w:val="left" w:pos="4435"/>
          <w:tab w:val="left" w:pos="6672"/>
        </w:tabs>
        <w:spacing w:line="440" w:lineRule="exact"/>
        <w:ind w:firstLine="480" w:firstLineChars="200"/>
        <w:rPr>
          <w:rFonts w:hint="eastAsia" w:ascii="仿宋" w:hAnsi="仿宋" w:eastAsia="仿宋" w:cs="仿宋"/>
          <w:sz w:val="24"/>
          <w:szCs w:val="24"/>
          <w:highlight w:val="none"/>
          <w:lang w:val="en-US" w:eastAsia="zh-CN"/>
        </w:rPr>
      </w:pPr>
      <w:bookmarkStart w:id="125" w:name="bookmark30"/>
      <w:bookmarkEnd w:id="125"/>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u w:val="single"/>
        </w:rPr>
        <w:t>（标的名称）</w:t>
      </w:r>
      <w:r>
        <w:rPr>
          <w:rFonts w:hint="eastAsia" w:ascii="仿宋" w:hAnsi="仿宋" w:eastAsia="仿宋" w:cs="仿宋"/>
          <w:color w:val="000000"/>
          <w:sz w:val="24"/>
          <w:szCs w:val="24"/>
          <w:highlight w:val="none"/>
        </w:rPr>
        <w:t>,属于</w:t>
      </w:r>
      <w:r>
        <w:rPr>
          <w:rFonts w:hint="eastAsia" w:ascii="仿宋" w:hAnsi="仿宋" w:eastAsia="仿宋" w:cs="仿宋"/>
          <w:color w:val="000000"/>
          <w:sz w:val="24"/>
          <w:szCs w:val="24"/>
          <w:highlight w:val="none"/>
          <w:u w:val="single"/>
        </w:rPr>
        <w:t>（采购文件中明确的所属行业</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sz w:val="24"/>
          <w:szCs w:val="24"/>
          <w:highlight w:val="none"/>
          <w:u w:val="single"/>
          <w:lang w:val="en-US" w:eastAsia="zh-CN"/>
        </w:rPr>
        <w:t>行业</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sz w:val="24"/>
          <w:szCs w:val="24"/>
          <w:highlight w:val="none"/>
          <w:lang w:val="en-US" w:eastAsia="zh-CN"/>
        </w:rPr>
        <w:t>制造商</w:t>
      </w:r>
      <w:r>
        <w:rPr>
          <w:rFonts w:hint="eastAsia" w:ascii="仿宋" w:hAnsi="仿宋" w:eastAsia="仿宋" w:cs="仿宋"/>
          <w:color w:val="000000"/>
          <w:sz w:val="24"/>
          <w:szCs w:val="24"/>
          <w:highlight w:val="none"/>
        </w:rPr>
        <w:t>为</w:t>
      </w:r>
      <w:r>
        <w:rPr>
          <w:rFonts w:hint="eastAsia" w:ascii="仿宋" w:hAnsi="仿宋" w:eastAsia="仿宋" w:cs="仿宋"/>
          <w:color w:val="000000"/>
          <w:sz w:val="24"/>
          <w:szCs w:val="24"/>
          <w:highlight w:val="none"/>
          <w:u w:val="single"/>
        </w:rPr>
        <w:t>（企业名称）</w:t>
      </w:r>
      <w:r>
        <w:rPr>
          <w:rFonts w:hint="eastAsia" w:ascii="仿宋" w:hAnsi="仿宋" w:eastAsia="仿宋" w:cs="仿宋"/>
          <w:color w:val="000000"/>
          <w:sz w:val="24"/>
          <w:szCs w:val="24"/>
          <w:highlight w:val="none"/>
        </w:rPr>
        <w:t>,从业人员</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人，营业收入为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color w:val="000000"/>
          <w:sz w:val="24"/>
          <w:szCs w:val="24"/>
          <w:highlight w:val="none"/>
        </w:rPr>
        <w:t>万元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属于</w:t>
      </w:r>
      <w:r>
        <w:rPr>
          <w:rFonts w:hint="eastAsia" w:ascii="仿宋" w:hAnsi="仿宋" w:eastAsia="仿宋" w:cs="仿宋"/>
          <w:color w:val="000000"/>
          <w:sz w:val="24"/>
          <w:szCs w:val="24"/>
          <w:highlight w:val="none"/>
          <w:u w:val="single"/>
        </w:rPr>
        <w:t>（中型企业、小型企业、微型企业）</w:t>
      </w:r>
      <w:r>
        <w:rPr>
          <w:rFonts w:hint="eastAsia" w:ascii="仿宋" w:hAnsi="仿宋" w:eastAsia="仿宋" w:cs="仿宋"/>
          <w:color w:val="000000"/>
          <w:sz w:val="24"/>
          <w:szCs w:val="24"/>
          <w:highlight w:val="none"/>
          <w:lang w:val="en-US" w:eastAsia="zh-CN"/>
        </w:rPr>
        <w:t>；</w:t>
      </w:r>
    </w:p>
    <w:p w14:paraId="0C10C167">
      <w:pPr>
        <w:pStyle w:val="605"/>
        <w:tabs>
          <w:tab w:val="left" w:pos="1238"/>
          <w:tab w:val="left" w:pos="6331"/>
        </w:tabs>
        <w:spacing w:line="440" w:lineRule="exact"/>
        <w:ind w:firstLine="480" w:firstLineChars="200"/>
        <w:rPr>
          <w:rFonts w:hint="eastAsia" w:ascii="仿宋" w:hAnsi="仿宋" w:eastAsia="仿宋" w:cs="仿宋"/>
          <w:sz w:val="24"/>
          <w:szCs w:val="24"/>
          <w:highlight w:val="none"/>
        </w:rPr>
      </w:pPr>
      <w:bookmarkStart w:id="126" w:name="bookmark31"/>
      <w:bookmarkEnd w:id="126"/>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u w:val="single"/>
        </w:rPr>
        <w:t>（标的名称）</w:t>
      </w:r>
      <w:r>
        <w:rPr>
          <w:rFonts w:hint="eastAsia" w:ascii="仿宋" w:hAnsi="仿宋" w:eastAsia="仿宋" w:cs="仿宋"/>
          <w:color w:val="000000"/>
          <w:sz w:val="24"/>
          <w:szCs w:val="24"/>
          <w:highlight w:val="none"/>
        </w:rPr>
        <w:t>,属于</w:t>
      </w:r>
      <w:r>
        <w:rPr>
          <w:rFonts w:hint="eastAsia" w:ascii="仿宋" w:hAnsi="仿宋" w:eastAsia="仿宋" w:cs="仿宋"/>
          <w:color w:val="000000"/>
          <w:sz w:val="24"/>
          <w:szCs w:val="24"/>
          <w:highlight w:val="none"/>
          <w:u w:val="single"/>
        </w:rPr>
        <w:t>（采购文件中明确的所属行业</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sz w:val="24"/>
          <w:szCs w:val="24"/>
          <w:highlight w:val="none"/>
          <w:u w:val="single"/>
          <w:lang w:val="en-US" w:eastAsia="zh-CN"/>
        </w:rPr>
        <w:t>行业</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sz w:val="24"/>
          <w:szCs w:val="24"/>
          <w:highlight w:val="none"/>
          <w:lang w:val="en-US" w:eastAsia="zh-CN"/>
        </w:rPr>
        <w:t>制造商</w:t>
      </w:r>
      <w:r>
        <w:rPr>
          <w:rFonts w:hint="eastAsia" w:ascii="仿宋" w:hAnsi="仿宋" w:eastAsia="仿宋" w:cs="仿宋"/>
          <w:color w:val="000000"/>
          <w:sz w:val="24"/>
          <w:szCs w:val="24"/>
          <w:highlight w:val="none"/>
        </w:rPr>
        <w:t>为</w:t>
      </w:r>
      <w:r>
        <w:rPr>
          <w:rFonts w:hint="eastAsia" w:ascii="仿宋" w:hAnsi="仿宋" w:eastAsia="仿宋" w:cs="仿宋"/>
          <w:color w:val="000000"/>
          <w:sz w:val="24"/>
          <w:szCs w:val="24"/>
          <w:highlight w:val="none"/>
          <w:u w:val="single"/>
        </w:rPr>
        <w:t>（企业名称）</w:t>
      </w:r>
      <w:r>
        <w:rPr>
          <w:rFonts w:hint="eastAsia" w:ascii="仿宋" w:hAnsi="仿宋" w:eastAsia="仿宋" w:cs="仿宋"/>
          <w:color w:val="000000"/>
          <w:sz w:val="24"/>
          <w:szCs w:val="24"/>
          <w:highlight w:val="none"/>
        </w:rPr>
        <w:t>,从业人员</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人，营业收入为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color w:val="000000"/>
          <w:sz w:val="24"/>
          <w:szCs w:val="24"/>
          <w:highlight w:val="none"/>
        </w:rPr>
        <w:t>万元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属于</w:t>
      </w:r>
      <w:r>
        <w:rPr>
          <w:rFonts w:hint="eastAsia" w:ascii="仿宋" w:hAnsi="仿宋" w:eastAsia="仿宋" w:cs="仿宋"/>
          <w:color w:val="000000"/>
          <w:sz w:val="24"/>
          <w:szCs w:val="24"/>
          <w:highlight w:val="none"/>
          <w:u w:val="single"/>
        </w:rPr>
        <w:t>（中型企业、小型企业、微型企业）</w:t>
      </w:r>
      <w:r>
        <w:rPr>
          <w:rFonts w:hint="eastAsia" w:ascii="仿宋" w:hAnsi="仿宋" w:eastAsia="仿宋" w:cs="仿宋"/>
          <w:color w:val="000000"/>
          <w:sz w:val="24"/>
          <w:szCs w:val="24"/>
          <w:highlight w:val="none"/>
          <w:lang w:val="zh-CN" w:eastAsia="zh-CN" w:bidi="zh-CN"/>
        </w:rPr>
        <w:t>。</w:t>
      </w:r>
    </w:p>
    <w:p w14:paraId="60F2A141">
      <w:pPr>
        <w:pStyle w:val="605"/>
        <w:tabs>
          <w:tab w:val="left" w:leader="dot" w:pos="-1007"/>
        </w:tabs>
        <w:spacing w:line="440" w:lineRule="exact"/>
        <w:ind w:hanging="1540"/>
        <w:jc w:val="left"/>
        <w:rPr>
          <w:rFonts w:hint="eastAsia" w:ascii="仿宋" w:hAnsi="仿宋" w:eastAsia="仿宋" w:cs="仿宋"/>
          <w:sz w:val="24"/>
          <w:szCs w:val="24"/>
          <w:highlight w:val="none"/>
        </w:rPr>
      </w:pPr>
    </w:p>
    <w:p w14:paraId="2AAA1F4E">
      <w:pPr>
        <w:pStyle w:val="605"/>
        <w:spacing w:line="440" w:lineRule="exact"/>
        <w:ind w:firstLine="66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以上企业，不属于大企业的分支机构，不存在控股股东为大企业的情形，也不存在与大企业的负责人为同一人的情形。</w:t>
      </w:r>
    </w:p>
    <w:p w14:paraId="5BD734AF">
      <w:pPr>
        <w:pStyle w:val="605"/>
        <w:spacing w:line="440" w:lineRule="exact"/>
        <w:ind w:firstLine="66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本企业对上述声明内容的真实性负责。如有虚假，将依法承担相应责任。</w:t>
      </w:r>
    </w:p>
    <w:p w14:paraId="16F5182F">
      <w:pPr>
        <w:pStyle w:val="605"/>
        <w:spacing w:line="440" w:lineRule="exact"/>
        <w:ind w:firstLine="4320" w:firstLineChars="1800"/>
        <w:jc w:val="left"/>
        <w:rPr>
          <w:rFonts w:hint="eastAsia" w:ascii="仿宋" w:hAnsi="仿宋" w:eastAsia="仿宋" w:cs="仿宋"/>
          <w:color w:val="000000"/>
          <w:sz w:val="24"/>
          <w:szCs w:val="24"/>
          <w:highlight w:val="none"/>
        </w:rPr>
      </w:pPr>
    </w:p>
    <w:p w14:paraId="2DC67909">
      <w:pPr>
        <w:pStyle w:val="605"/>
        <w:spacing w:line="440" w:lineRule="exact"/>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eastAsia="zh-CN"/>
        </w:rPr>
        <w:t>企业</w:t>
      </w:r>
      <w:r>
        <w:rPr>
          <w:rFonts w:hint="eastAsia" w:ascii="仿宋" w:hAnsi="仿宋" w:eastAsia="仿宋" w:cs="仿宋"/>
          <w:color w:val="000000"/>
          <w:sz w:val="24"/>
          <w:szCs w:val="24"/>
          <w:highlight w:val="none"/>
        </w:rPr>
        <w:t>名称（盖章）:</w:t>
      </w:r>
    </w:p>
    <w:p w14:paraId="328990C7">
      <w:pPr>
        <w:pStyle w:val="605"/>
        <w:spacing w:line="440" w:lineRule="exact"/>
        <w:ind w:firstLine="240" w:firstLineChars="10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日</w:t>
      </w:r>
    </w:p>
    <w:p w14:paraId="25B93338">
      <w:pPr>
        <w:pStyle w:val="606"/>
        <w:spacing w:line="360" w:lineRule="exact"/>
        <w:jc w:val="left"/>
        <w:rPr>
          <w:rFonts w:hint="eastAsia" w:ascii="仿宋" w:hAnsi="仿宋" w:eastAsia="仿宋" w:cs="仿宋"/>
          <w:b/>
          <w:bCs/>
          <w:color w:val="000000"/>
          <w:sz w:val="21"/>
          <w:szCs w:val="21"/>
          <w:highlight w:val="none"/>
          <w:lang w:eastAsia="zh-CN"/>
        </w:rPr>
      </w:pPr>
    </w:p>
    <w:p w14:paraId="2B5756C5">
      <w:pPr>
        <w:pStyle w:val="606"/>
        <w:spacing w:line="360" w:lineRule="exact"/>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eastAsia="zh-CN"/>
        </w:rPr>
        <w:t>注：</w:t>
      </w:r>
      <w:r>
        <w:rPr>
          <w:rFonts w:hint="eastAsia" w:ascii="仿宋" w:hAnsi="仿宋" w:eastAsia="仿宋" w:cs="仿宋"/>
          <w:b/>
          <w:bCs/>
          <w:color w:val="000000"/>
          <w:sz w:val="21"/>
          <w:szCs w:val="21"/>
          <w:highlight w:val="none"/>
        </w:rPr>
        <w:t>从业人员、营业收入、资产总额填报上一年度数据，无上一年度数据的新成立企业可不填报。</w:t>
      </w:r>
    </w:p>
    <w:p w14:paraId="2BB9AE06">
      <w:pPr>
        <w:adjustRightInd w:val="0"/>
        <w:snapToGrid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24"/>
          <w:highlight w:val="none"/>
          <w:lang w:val="zh-CN"/>
        </w:rPr>
        <w:br w:type="page"/>
      </w:r>
      <w:r>
        <w:rPr>
          <w:rFonts w:hint="eastAsia" w:ascii="仿宋" w:hAnsi="仿宋" w:eastAsia="仿宋" w:cs="仿宋"/>
          <w:b/>
          <w:sz w:val="24"/>
          <w:highlight w:val="none"/>
        </w:rPr>
        <w:t>（二）监狱企业声明函</w:t>
      </w:r>
    </w:p>
    <w:p w14:paraId="3D87E1C0">
      <w:pPr>
        <w:adjustRightInd w:val="0"/>
        <w:snapToGrid w:val="0"/>
        <w:spacing w:line="264" w:lineRule="auto"/>
        <w:rPr>
          <w:rFonts w:hint="eastAsia" w:ascii="仿宋" w:hAnsi="仿宋" w:eastAsia="仿宋" w:cs="仿宋"/>
          <w:sz w:val="24"/>
          <w:highlight w:val="none"/>
        </w:rPr>
      </w:pPr>
    </w:p>
    <w:p w14:paraId="35C43991">
      <w:pPr>
        <w:adjustRightInd w:val="0"/>
        <w:snapToGrid w:val="0"/>
        <w:spacing w:line="264" w:lineRule="auto"/>
        <w:rPr>
          <w:rFonts w:hint="eastAsia" w:ascii="仿宋" w:hAnsi="仿宋" w:eastAsia="仿宋" w:cs="仿宋"/>
          <w:sz w:val="24"/>
          <w:highlight w:val="none"/>
        </w:rPr>
      </w:pPr>
      <w:r>
        <w:rPr>
          <w:rFonts w:hint="eastAsia" w:ascii="仿宋" w:hAnsi="仿宋" w:eastAsia="仿宋" w:cs="仿宋"/>
          <w:sz w:val="24"/>
          <w:highlight w:val="none"/>
          <w:lang w:eastAsia="zh-CN"/>
        </w:rPr>
        <w:t>衢州市柯城区姜家山乡中心小学</w:t>
      </w:r>
      <w:r>
        <w:rPr>
          <w:rFonts w:hint="eastAsia" w:ascii="仿宋" w:hAnsi="仿宋" w:eastAsia="仿宋" w:cs="仿宋"/>
          <w:sz w:val="24"/>
          <w:highlight w:val="none"/>
        </w:rPr>
        <w:t>：</w:t>
      </w:r>
    </w:p>
    <w:p w14:paraId="0D2549F6">
      <w:pPr>
        <w:adjustRightInd w:val="0"/>
        <w:snapToGrid w:val="0"/>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本公司郑重声明，本公司为监狱企业。</w:t>
      </w:r>
    </w:p>
    <w:p w14:paraId="4E147AAE">
      <w:pPr>
        <w:adjustRightInd w:val="0"/>
        <w:snapToGrid w:val="0"/>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1.本公司为监狱企业的证明材料如下：</w:t>
      </w:r>
    </w:p>
    <w:p w14:paraId="178A6369">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附：</w:t>
      </w:r>
      <w:r>
        <w:rPr>
          <w:rFonts w:hint="eastAsia" w:ascii="仿宋" w:hAnsi="仿宋" w:eastAsia="仿宋" w:cs="仿宋"/>
          <w:sz w:val="24"/>
          <w:highlight w:val="none"/>
        </w:rPr>
        <w:t>；</w:t>
      </w:r>
    </w:p>
    <w:p w14:paraId="704B94BF">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附：</w:t>
      </w:r>
      <w:r>
        <w:rPr>
          <w:rFonts w:hint="eastAsia" w:ascii="仿宋" w:hAnsi="仿宋" w:eastAsia="仿宋" w:cs="仿宋"/>
          <w:sz w:val="24"/>
          <w:highlight w:val="none"/>
        </w:rPr>
        <w:t>。</w:t>
      </w:r>
    </w:p>
    <w:p w14:paraId="6F53D2A9">
      <w:pPr>
        <w:adjustRightInd w:val="0"/>
        <w:snapToGrid w:val="0"/>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2.本公司参加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衢州市柯城区姜家山乡中心小学</w:t>
      </w:r>
      <w:r>
        <w:rPr>
          <w:rFonts w:hint="eastAsia" w:ascii="仿宋" w:hAnsi="仿宋" w:eastAsia="仿宋" w:cs="仿宋"/>
          <w:sz w:val="24"/>
          <w:highlight w:val="none"/>
        </w:rPr>
        <w:t>单位的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项目采购活动</w:t>
      </w:r>
    </w:p>
    <w:p w14:paraId="3EDB1B5E">
      <w:pPr>
        <w:adjustRightInd w:val="0"/>
        <w:snapToGrid w:val="0"/>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提供本企业制造的货物，由本企业承担工程、提供服务。证明材料如下：</w:t>
      </w:r>
    </w:p>
    <w:p w14:paraId="224D2C3A">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附：</w:t>
      </w:r>
      <w:r>
        <w:rPr>
          <w:rFonts w:hint="eastAsia" w:ascii="仿宋" w:hAnsi="仿宋" w:eastAsia="仿宋" w:cs="仿宋"/>
          <w:sz w:val="24"/>
          <w:highlight w:val="none"/>
        </w:rPr>
        <w:t>；</w:t>
      </w:r>
    </w:p>
    <w:p w14:paraId="0134B7A7">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附：</w:t>
      </w:r>
      <w:r>
        <w:rPr>
          <w:rFonts w:hint="eastAsia" w:ascii="仿宋" w:hAnsi="仿宋" w:eastAsia="仿宋" w:cs="仿宋"/>
          <w:sz w:val="24"/>
          <w:highlight w:val="none"/>
        </w:rPr>
        <w:t>。</w:t>
      </w:r>
    </w:p>
    <w:p w14:paraId="7F328669">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（可指向资格后审材料中的具体页码）</w:t>
      </w:r>
    </w:p>
    <w:p w14:paraId="583FA384">
      <w:pPr>
        <w:adjustRightInd w:val="0"/>
        <w:snapToGrid w:val="0"/>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或者</w:t>
      </w:r>
    </w:p>
    <w:p w14:paraId="76A13455">
      <w:pPr>
        <w:adjustRightInd w:val="0"/>
        <w:snapToGrid w:val="0"/>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提供其他______（请填写：小型、微型、监狱）企业制造的货物，该企业为______（请填写：小型、微型、监狱）企业且该货物由该企业生产的证明文件如下：</w:t>
      </w:r>
    </w:p>
    <w:p w14:paraId="3463C383">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（1）企业名称：</w:t>
      </w:r>
      <w:r>
        <w:rPr>
          <w:rFonts w:hint="eastAsia" w:ascii="仿宋" w:hAnsi="仿宋" w:eastAsia="仿宋" w:cs="仿宋"/>
          <w:sz w:val="24"/>
          <w:highlight w:val="none"/>
          <w:u w:val="single"/>
        </w:rPr>
        <w:t xml:space="preserve">附：该企业营业执照                  </w:t>
      </w:r>
      <w:r>
        <w:rPr>
          <w:rFonts w:hint="eastAsia" w:ascii="仿宋" w:hAnsi="仿宋" w:eastAsia="仿宋" w:cs="仿宋"/>
          <w:sz w:val="24"/>
          <w:highlight w:val="none"/>
        </w:rPr>
        <w:t>；</w:t>
      </w:r>
    </w:p>
    <w:p w14:paraId="2356C660">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（2）该企业从业人员：</w:t>
      </w:r>
      <w:r>
        <w:rPr>
          <w:rFonts w:hint="eastAsia" w:ascii="仿宋" w:hAnsi="仿宋" w:eastAsia="仿宋" w:cs="仿宋"/>
          <w:sz w:val="24"/>
          <w:highlight w:val="none"/>
          <w:u w:val="single"/>
        </w:rPr>
        <w:t xml:space="preserve">附：该企业社保缴纳记录        </w:t>
      </w:r>
      <w:r>
        <w:rPr>
          <w:rFonts w:hint="eastAsia" w:ascii="仿宋" w:hAnsi="仿宋" w:eastAsia="仿宋" w:cs="仿宋"/>
          <w:sz w:val="24"/>
          <w:highlight w:val="none"/>
        </w:rPr>
        <w:t>；</w:t>
      </w:r>
    </w:p>
    <w:p w14:paraId="3E9EA8DF">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（3）该企业营业收入证明：</w:t>
      </w:r>
      <w:r>
        <w:rPr>
          <w:rFonts w:hint="eastAsia" w:ascii="仿宋" w:hAnsi="仿宋" w:eastAsia="仿宋" w:cs="仿宋"/>
          <w:sz w:val="24"/>
          <w:highlight w:val="none"/>
          <w:u w:val="single"/>
        </w:rPr>
        <w:t>附：该企业上一年度（投标截止时间若为每年5月前的且无法提供上一年度的，可提供前一年度）的经第三方审计的财务报告</w:t>
      </w:r>
      <w:r>
        <w:rPr>
          <w:rFonts w:hint="eastAsia" w:ascii="仿宋" w:hAnsi="仿宋" w:eastAsia="仿宋" w:cs="仿宋"/>
          <w:sz w:val="24"/>
          <w:highlight w:val="none"/>
        </w:rPr>
        <w:t>；</w:t>
      </w:r>
    </w:p>
    <w:p w14:paraId="307AB0DD">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或者</w:t>
      </w:r>
    </w:p>
    <w:p w14:paraId="1DCF3BF5">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（2）该企业为监狱企业的证明：</w:t>
      </w:r>
      <w:r>
        <w:rPr>
          <w:rFonts w:hint="eastAsia" w:ascii="仿宋" w:hAnsi="仿宋" w:eastAsia="仿宋" w:cs="仿宋"/>
          <w:sz w:val="24"/>
          <w:highlight w:val="none"/>
          <w:u w:val="single"/>
        </w:rPr>
        <w:t xml:space="preserve">附： </w:t>
      </w:r>
      <w:r>
        <w:rPr>
          <w:rFonts w:hint="eastAsia" w:ascii="仿宋" w:hAnsi="仿宋" w:eastAsia="仿宋" w:cs="仿宋"/>
          <w:sz w:val="24"/>
          <w:highlight w:val="none"/>
        </w:rPr>
        <w:t>；</w:t>
      </w:r>
    </w:p>
    <w:p w14:paraId="0121324B">
      <w:pPr>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（3/4）货物由该企业生产的证明材料：</w:t>
      </w:r>
      <w:r>
        <w:rPr>
          <w:rFonts w:hint="eastAsia" w:ascii="仿宋" w:hAnsi="仿宋" w:eastAsia="仿宋" w:cs="仿宋"/>
          <w:sz w:val="24"/>
          <w:highlight w:val="none"/>
          <w:u w:val="single"/>
        </w:rPr>
        <w:t xml:space="preserve">附： </w:t>
      </w:r>
      <w:r>
        <w:rPr>
          <w:rFonts w:hint="eastAsia" w:ascii="仿宋" w:hAnsi="仿宋" w:eastAsia="仿宋" w:cs="仿宋"/>
          <w:sz w:val="24"/>
          <w:highlight w:val="none"/>
        </w:rPr>
        <w:t>。</w:t>
      </w:r>
    </w:p>
    <w:p w14:paraId="3E81236E">
      <w:pPr>
        <w:adjustRightInd w:val="0"/>
        <w:snapToGrid w:val="0"/>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本条所称货物不包括使用大型企业注册商标的货物。</w:t>
      </w:r>
    </w:p>
    <w:p w14:paraId="16BB06A1">
      <w:pPr>
        <w:adjustRightInd w:val="0"/>
        <w:snapToGrid w:val="0"/>
        <w:spacing w:line="264"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本公司对上述声明的真实性负责。如有虚假，将依法承担相应责任。</w:t>
      </w:r>
    </w:p>
    <w:p w14:paraId="4B5E83A7">
      <w:pPr>
        <w:adjustRightInd w:val="0"/>
        <w:snapToGrid w:val="0"/>
        <w:spacing w:line="264" w:lineRule="auto"/>
        <w:ind w:firstLine="480" w:firstLineChars="200"/>
        <w:rPr>
          <w:rFonts w:hint="eastAsia" w:ascii="仿宋" w:hAnsi="仿宋" w:eastAsia="仿宋" w:cs="仿宋"/>
          <w:sz w:val="24"/>
          <w:highlight w:val="none"/>
        </w:rPr>
      </w:pPr>
    </w:p>
    <w:p w14:paraId="3894D165">
      <w:pPr>
        <w:adjustRightInd w:val="0"/>
        <w:snapToGrid w:val="0"/>
        <w:spacing w:line="264"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法定/授权代表：</w:t>
      </w:r>
      <w:r>
        <w:rPr>
          <w:rFonts w:hint="eastAsia" w:ascii="仿宋" w:hAnsi="仿宋" w:eastAsia="仿宋" w:cs="仿宋"/>
          <w:kern w:val="0"/>
          <w:sz w:val="24"/>
          <w:highlight w:val="none"/>
          <w:u w:val="single"/>
          <w:lang w:val="zh-CN"/>
        </w:rPr>
        <w:t xml:space="preserve">（签字或盖章） </w:t>
      </w:r>
    </w:p>
    <w:p w14:paraId="20A59059">
      <w:pPr>
        <w:adjustRightInd w:val="0"/>
        <w:snapToGrid w:val="0"/>
        <w:spacing w:line="264" w:lineRule="auto"/>
        <w:rPr>
          <w:rFonts w:hint="eastAsia"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投标人：</w:t>
      </w:r>
      <w:r>
        <w:rPr>
          <w:rFonts w:hint="eastAsia" w:ascii="仿宋" w:hAnsi="仿宋" w:eastAsia="仿宋" w:cs="仿宋"/>
          <w:kern w:val="0"/>
          <w:sz w:val="24"/>
          <w:highlight w:val="none"/>
          <w:u w:val="single"/>
          <w:lang w:val="zh-CN"/>
        </w:rPr>
        <w:t xml:space="preserve">（全称加盖公章）       </w:t>
      </w:r>
    </w:p>
    <w:p w14:paraId="2F562D54">
      <w:pPr>
        <w:adjustRightInd w:val="0"/>
        <w:snapToGrid w:val="0"/>
        <w:spacing w:line="264"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FFE7E0">
      <w:pPr>
        <w:adjustRightInd w:val="0"/>
        <w:snapToGrid w:val="0"/>
        <w:spacing w:line="264" w:lineRule="auto"/>
        <w:rPr>
          <w:rFonts w:hint="eastAsia" w:ascii="仿宋" w:hAnsi="仿宋" w:eastAsia="仿宋" w:cs="仿宋"/>
          <w:b/>
          <w:kern w:val="0"/>
          <w:sz w:val="24"/>
          <w:highlight w:val="none"/>
          <w:lang w:val="zh-CN"/>
        </w:rPr>
      </w:pPr>
    </w:p>
    <w:p w14:paraId="63067DF5">
      <w:pPr>
        <w:adjustRightInd w:val="0"/>
        <w:snapToGrid w:val="0"/>
        <w:spacing w:line="264" w:lineRule="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注：本声明函为监狱企业填写。</w:t>
      </w:r>
    </w:p>
    <w:p w14:paraId="39846971">
      <w:pPr>
        <w:adjustRightInd w:val="0"/>
        <w:snapToGrid w:val="0"/>
        <w:spacing w:line="360" w:lineRule="auto"/>
        <w:ind w:firstLine="2409" w:firstLineChars="1000"/>
        <w:rPr>
          <w:rFonts w:hint="eastAsia" w:ascii="仿宋" w:hAnsi="仿宋" w:eastAsia="仿宋" w:cs="仿宋"/>
          <w:b/>
          <w:sz w:val="24"/>
          <w:highlight w:val="none"/>
        </w:rPr>
      </w:pPr>
    </w:p>
    <w:p w14:paraId="576A2E17">
      <w:pPr>
        <w:pStyle w:val="88"/>
        <w:ind w:left="560"/>
        <w:rPr>
          <w:rFonts w:hint="eastAsia" w:ascii="仿宋" w:hAnsi="仿宋" w:eastAsia="仿宋" w:cs="仿宋"/>
          <w:highlight w:val="none"/>
        </w:rPr>
      </w:pPr>
    </w:p>
    <w:p w14:paraId="1CCDEBE0">
      <w:pPr>
        <w:pStyle w:val="88"/>
        <w:ind w:left="560"/>
        <w:rPr>
          <w:rFonts w:hint="eastAsia" w:ascii="仿宋" w:hAnsi="仿宋" w:eastAsia="仿宋" w:cs="仿宋"/>
          <w:highlight w:val="none"/>
        </w:rPr>
      </w:pPr>
    </w:p>
    <w:p w14:paraId="76F62B92">
      <w:pPr>
        <w:pStyle w:val="88"/>
        <w:ind w:left="560"/>
        <w:rPr>
          <w:rFonts w:hint="eastAsia" w:ascii="仿宋" w:hAnsi="仿宋" w:eastAsia="仿宋" w:cs="仿宋"/>
          <w:highlight w:val="none"/>
        </w:rPr>
      </w:pPr>
    </w:p>
    <w:p w14:paraId="161EA2A4">
      <w:pPr>
        <w:pStyle w:val="36"/>
        <w:ind w:firstLine="210"/>
        <w:rPr>
          <w:rFonts w:hint="eastAsia" w:ascii="仿宋" w:hAnsi="仿宋" w:eastAsia="仿宋" w:cs="仿宋"/>
          <w:highlight w:val="none"/>
        </w:rPr>
      </w:pPr>
    </w:p>
    <w:p w14:paraId="165211C4">
      <w:pPr>
        <w:pStyle w:val="88"/>
        <w:ind w:left="0" w:leftChars="0" w:firstLine="0" w:firstLineChars="0"/>
        <w:rPr>
          <w:rFonts w:hint="eastAsia" w:ascii="仿宋" w:hAnsi="仿宋" w:eastAsia="仿宋" w:cs="仿宋"/>
          <w:highlight w:val="none"/>
        </w:rPr>
      </w:pPr>
    </w:p>
    <w:p w14:paraId="0AA43C2A">
      <w:pPr>
        <w:adjustRightInd w:val="0"/>
        <w:snapToGrid w:val="0"/>
        <w:spacing w:line="360" w:lineRule="auto"/>
        <w:ind w:firstLine="2409" w:firstLineChars="1000"/>
        <w:rPr>
          <w:rFonts w:hint="eastAsia" w:ascii="仿宋" w:hAnsi="仿宋" w:eastAsia="仿宋" w:cs="仿宋"/>
          <w:b/>
          <w:sz w:val="24"/>
          <w:highlight w:val="none"/>
        </w:rPr>
      </w:pPr>
      <w:r>
        <w:rPr>
          <w:rFonts w:hint="eastAsia" w:ascii="仿宋" w:hAnsi="仿宋" w:eastAsia="仿宋" w:cs="仿宋"/>
          <w:b/>
          <w:sz w:val="24"/>
          <w:highlight w:val="none"/>
        </w:rPr>
        <w:t>（三）残疾人福利性单位声明函</w:t>
      </w:r>
    </w:p>
    <w:p w14:paraId="015ABD85">
      <w:pPr>
        <w:adjustRightInd w:val="0"/>
        <w:snapToGrid w:val="0"/>
        <w:spacing w:line="312" w:lineRule="auto"/>
        <w:ind w:firstLine="240" w:firstLineChars="100"/>
        <w:rPr>
          <w:rFonts w:hint="eastAsia" w:ascii="仿宋" w:hAnsi="仿宋" w:eastAsia="仿宋" w:cs="仿宋"/>
          <w:sz w:val="24"/>
          <w:highlight w:val="none"/>
        </w:rPr>
      </w:pPr>
    </w:p>
    <w:p w14:paraId="7C05A450">
      <w:pPr>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eastAsia="zh-CN"/>
        </w:rPr>
        <w:t>衢州市柯城区姜家山乡中心小学</w:t>
      </w:r>
      <w:r>
        <w:rPr>
          <w:rFonts w:hint="eastAsia" w:ascii="仿宋" w:hAnsi="仿宋" w:eastAsia="仿宋" w:cs="仿宋"/>
          <w:sz w:val="24"/>
          <w:highlight w:val="none"/>
        </w:rPr>
        <w:t>：</w:t>
      </w:r>
    </w:p>
    <w:p w14:paraId="05226789">
      <w:pPr>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本单位郑重声明，根据《财政部、民政部、中国残疾人联合会关于促进残疾人就业政府采购政策的 通知》（财库〔2017〕141 号）的规定，本单位为符合条件的残疾人福利性单位，且本单位参加</w:t>
      </w:r>
      <w:r>
        <w:rPr>
          <w:rFonts w:hint="eastAsia" w:ascii="仿宋" w:hAnsi="仿宋" w:eastAsia="仿宋" w:cs="仿宋"/>
          <w:sz w:val="24"/>
          <w:highlight w:val="none"/>
          <w:u w:val="single"/>
        </w:rPr>
        <w:t>（采购 人名称）</w:t>
      </w:r>
      <w:r>
        <w:rPr>
          <w:rFonts w:hint="eastAsia" w:ascii="仿宋" w:hAnsi="仿宋" w:eastAsia="仿宋" w:cs="仿宋"/>
          <w:sz w:val="24"/>
          <w:highlight w:val="none"/>
        </w:rPr>
        <w:t>单位的</w:t>
      </w:r>
      <w:r>
        <w:rPr>
          <w:rFonts w:hint="eastAsia" w:ascii="仿宋" w:hAnsi="仿宋" w:eastAsia="仿宋" w:cs="仿宋"/>
          <w:sz w:val="24"/>
          <w:highlight w:val="none"/>
          <w:u w:val="single"/>
        </w:rPr>
        <w:t xml:space="preserve"> （项目名称）</w:t>
      </w:r>
      <w:r>
        <w:rPr>
          <w:rFonts w:hint="eastAsia" w:ascii="仿宋" w:hAnsi="仿宋" w:eastAsia="仿宋" w:cs="仿宋"/>
          <w:sz w:val="24"/>
          <w:highlight w:val="none"/>
        </w:rPr>
        <w:t xml:space="preserve">项目采购活动提供本单位制造的货物（由本单位承担 工程/提供服务），或者提供其他残疾人福利性单位制造的货物（不包括使用非残疾人福利性单位注册商标的货物）。 </w:t>
      </w:r>
    </w:p>
    <w:p w14:paraId="0DFB2F4B">
      <w:pPr>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本单位对上述声明的真实性负责。如有虚假，将依法承担相应责任。 </w:t>
      </w:r>
    </w:p>
    <w:p w14:paraId="09D54CBD">
      <w:pPr>
        <w:spacing w:line="312" w:lineRule="auto"/>
        <w:ind w:firstLine="480" w:firstLineChars="200"/>
        <w:rPr>
          <w:rFonts w:hint="eastAsia" w:ascii="仿宋" w:hAnsi="仿宋" w:eastAsia="仿宋" w:cs="仿宋"/>
          <w:sz w:val="24"/>
          <w:highlight w:val="none"/>
        </w:rPr>
      </w:pPr>
    </w:p>
    <w:p w14:paraId="663BC4E3">
      <w:pPr>
        <w:pStyle w:val="35"/>
        <w:rPr>
          <w:rFonts w:hint="eastAsia" w:ascii="仿宋" w:hAnsi="仿宋" w:eastAsia="仿宋" w:cs="仿宋"/>
          <w:highlight w:val="none"/>
        </w:rPr>
      </w:pPr>
    </w:p>
    <w:p w14:paraId="33D0B1CC">
      <w:pPr>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投标人名称（盖章）： </w:t>
      </w:r>
    </w:p>
    <w:p w14:paraId="3972AB18">
      <w:pPr>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日期： 年 月 日 </w:t>
      </w:r>
    </w:p>
    <w:p w14:paraId="571D26BA">
      <w:pPr>
        <w:spacing w:line="312" w:lineRule="auto"/>
        <w:ind w:firstLine="480" w:firstLineChars="200"/>
        <w:rPr>
          <w:rFonts w:hint="eastAsia" w:ascii="仿宋" w:hAnsi="仿宋" w:eastAsia="仿宋" w:cs="仿宋"/>
          <w:sz w:val="24"/>
          <w:highlight w:val="none"/>
        </w:rPr>
      </w:pPr>
    </w:p>
    <w:p w14:paraId="62FCB781">
      <w:pPr>
        <w:adjustRightInd w:val="0"/>
        <w:snapToGrid w:val="0"/>
        <w:rPr>
          <w:rFonts w:hint="eastAsia" w:ascii="仿宋" w:hAnsi="仿宋" w:eastAsia="仿宋" w:cs="仿宋"/>
          <w:b/>
          <w:kern w:val="0"/>
          <w:sz w:val="24"/>
          <w:highlight w:val="none"/>
          <w:u w:val="single"/>
        </w:rPr>
      </w:pPr>
      <w:r>
        <w:rPr>
          <w:rFonts w:hint="eastAsia" w:ascii="仿宋" w:hAnsi="仿宋" w:eastAsia="仿宋" w:cs="仿宋"/>
          <w:b/>
          <w:kern w:val="0"/>
          <w:sz w:val="24"/>
          <w:highlight w:val="none"/>
          <w:lang w:val="zh-CN"/>
        </w:rPr>
        <w:br w:type="page"/>
      </w:r>
    </w:p>
    <w:bookmarkEnd w:id="26"/>
    <w:bookmarkEnd w:id="27"/>
    <w:bookmarkEnd w:id="28"/>
    <w:bookmarkEnd w:id="29"/>
    <w:bookmarkEnd w:id="96"/>
    <w:bookmarkEnd w:id="119"/>
    <w:bookmarkEnd w:id="120"/>
    <w:p w14:paraId="490A7401">
      <w:pPr>
        <w:pageBreakBefore/>
        <w:adjustRightInd w:val="0"/>
        <w:snapToGrid w:val="0"/>
        <w:spacing w:line="360" w:lineRule="auto"/>
        <w:jc w:val="center"/>
        <w:outlineLvl w:val="0"/>
        <w:rPr>
          <w:rFonts w:hint="eastAsia" w:ascii="仿宋" w:hAnsi="仿宋" w:eastAsia="仿宋" w:cs="仿宋"/>
          <w:b/>
          <w:sz w:val="36"/>
          <w:highlight w:val="none"/>
        </w:rPr>
      </w:pPr>
      <w:bookmarkStart w:id="127" w:name="_Toc15453"/>
      <w:r>
        <w:rPr>
          <w:rFonts w:hint="eastAsia" w:ascii="仿宋" w:hAnsi="仿宋" w:eastAsia="仿宋" w:cs="仿宋"/>
          <w:b/>
          <w:sz w:val="36"/>
          <w:highlight w:val="none"/>
        </w:rPr>
        <w:t>第六部分  评分办法</w:t>
      </w:r>
      <w:bookmarkEnd w:id="127"/>
    </w:p>
    <w:p w14:paraId="721BC9A0">
      <w:pPr>
        <w:pStyle w:val="5"/>
        <w:ind w:left="0" w:firstLine="0"/>
        <w:rPr>
          <w:rFonts w:hint="eastAsia" w:ascii="仿宋" w:hAnsi="仿宋" w:eastAsia="仿宋" w:cs="仿宋"/>
          <w:sz w:val="32"/>
          <w:highlight w:val="none"/>
        </w:rPr>
      </w:pPr>
      <w:bookmarkStart w:id="128" w:name="_Toc28449"/>
      <w:bookmarkStart w:id="129" w:name="_Toc522530063"/>
      <w:r>
        <w:rPr>
          <w:rFonts w:hint="eastAsia" w:ascii="仿宋" w:hAnsi="仿宋" w:eastAsia="仿宋" w:cs="仿宋"/>
          <w:sz w:val="32"/>
          <w:highlight w:val="none"/>
        </w:rPr>
        <w:t>一、评分办法</w:t>
      </w:r>
      <w:bookmarkEnd w:id="128"/>
      <w:bookmarkEnd w:id="129"/>
    </w:p>
    <w:p w14:paraId="09AE6405">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本项目评分采用：</w:t>
      </w:r>
      <w:r>
        <w:rPr>
          <w:rFonts w:hint="eastAsia" w:ascii="仿宋" w:hAnsi="仿宋" w:eastAsia="仿宋" w:cs="仿宋"/>
          <w:sz w:val="24"/>
          <w:highlight w:val="none"/>
          <w:u w:val="single"/>
        </w:rPr>
        <w:t>综合评分法。即在投标文件满足招标文件全部实质性要求的前提下，按照评审因素的量化指标评审得分从高到低的顺序推荐投标人为第一、第二、……中标候选人的评标办法</w:t>
      </w:r>
      <w:r>
        <w:rPr>
          <w:rFonts w:hint="eastAsia" w:ascii="仿宋" w:hAnsi="仿宋" w:eastAsia="仿宋" w:cs="仿宋"/>
          <w:sz w:val="24"/>
          <w:highlight w:val="none"/>
        </w:rPr>
        <w:t>。</w:t>
      </w:r>
    </w:p>
    <w:p w14:paraId="6E81A738">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投标人的评审得分=商务技术分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70分）</w:t>
      </w:r>
      <w:r>
        <w:rPr>
          <w:rFonts w:hint="eastAsia" w:ascii="仿宋" w:hAnsi="仿宋" w:eastAsia="仿宋" w:cs="仿宋"/>
          <w:sz w:val="24"/>
          <w:highlight w:val="none"/>
        </w:rPr>
        <w:t>+价格分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30分）</w:t>
      </w:r>
      <w:r>
        <w:rPr>
          <w:rFonts w:hint="eastAsia" w:ascii="仿宋" w:hAnsi="仿宋" w:eastAsia="仿宋" w:cs="仿宋"/>
          <w:sz w:val="24"/>
          <w:highlight w:val="none"/>
        </w:rPr>
        <w:t>。</w:t>
      </w:r>
    </w:p>
    <w:p w14:paraId="53A7B85B">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商务技术分与报价分合计得分从高到低的顺序推荐</w:t>
      </w:r>
      <w:r>
        <w:rPr>
          <w:rFonts w:hint="eastAsia" w:ascii="仿宋" w:hAnsi="仿宋" w:eastAsia="仿宋" w:cs="仿宋"/>
          <w:sz w:val="24"/>
          <w:highlight w:val="none"/>
          <w:lang w:val="en-US" w:eastAsia="zh-CN"/>
        </w:rPr>
        <w:t>一</w:t>
      </w:r>
      <w:r>
        <w:rPr>
          <w:rFonts w:hint="eastAsia" w:ascii="仿宋" w:hAnsi="仿宋" w:eastAsia="仿宋" w:cs="仿宋"/>
          <w:sz w:val="24"/>
          <w:highlight w:val="none"/>
          <w:lang w:eastAsia="zh-CN"/>
        </w:rPr>
        <w:t>名</w:t>
      </w:r>
      <w:r>
        <w:rPr>
          <w:rFonts w:hint="eastAsia" w:ascii="仿宋" w:hAnsi="仿宋" w:eastAsia="仿宋" w:cs="仿宋"/>
          <w:sz w:val="24"/>
          <w:highlight w:val="none"/>
        </w:rPr>
        <w:t>中标候选人。如果投标人综合得分相同则按报价低者优先；综合得分</w:t>
      </w:r>
      <w:r>
        <w:rPr>
          <w:rFonts w:hint="eastAsia" w:ascii="仿宋" w:hAnsi="仿宋" w:eastAsia="仿宋" w:cs="仿宋"/>
          <w:sz w:val="24"/>
          <w:highlight w:val="none"/>
          <w:lang w:val="en-US" w:eastAsia="zh-CN"/>
        </w:rPr>
        <w:t>和投标</w:t>
      </w:r>
      <w:r>
        <w:rPr>
          <w:rFonts w:hint="eastAsia" w:ascii="仿宋" w:hAnsi="仿宋" w:eastAsia="仿宋" w:cs="仿宋"/>
          <w:sz w:val="24"/>
          <w:highlight w:val="none"/>
        </w:rPr>
        <w:t>报价</w:t>
      </w:r>
      <w:r>
        <w:rPr>
          <w:rFonts w:hint="eastAsia" w:ascii="仿宋" w:hAnsi="仿宋" w:eastAsia="仿宋" w:cs="仿宋"/>
          <w:sz w:val="24"/>
          <w:highlight w:val="none"/>
          <w:lang w:val="en-US" w:eastAsia="zh-CN"/>
        </w:rPr>
        <w:t>均</w:t>
      </w:r>
      <w:r>
        <w:rPr>
          <w:rFonts w:hint="eastAsia" w:ascii="仿宋" w:hAnsi="仿宋" w:eastAsia="仿宋" w:cs="仿宋"/>
          <w:sz w:val="24"/>
          <w:highlight w:val="none"/>
        </w:rPr>
        <w:t>相同的，</w:t>
      </w:r>
      <w:r>
        <w:rPr>
          <w:rFonts w:hint="eastAsia" w:ascii="仿宋" w:hAnsi="仿宋" w:eastAsia="仿宋" w:cs="仿宋"/>
          <w:sz w:val="24"/>
          <w:highlight w:val="none"/>
          <w:lang w:val="en-US" w:eastAsia="zh-CN"/>
        </w:rPr>
        <w:t>按</w:t>
      </w:r>
      <w:r>
        <w:rPr>
          <w:rFonts w:hint="eastAsia" w:ascii="仿宋" w:hAnsi="仿宋" w:eastAsia="仿宋" w:cs="仿宋"/>
          <w:sz w:val="24"/>
          <w:highlight w:val="none"/>
        </w:rPr>
        <w:t>商务部分指标优先原则确定排名；如综合得分、投标报价和商务技术中的商务部分得分均相同的，则抽签决定排名。</w:t>
      </w:r>
    </w:p>
    <w:p w14:paraId="769A858F">
      <w:pPr>
        <w:keepNext w:val="0"/>
        <w:keepLines w:val="0"/>
        <w:pageBreakBefore w:val="0"/>
        <w:kinsoku/>
        <w:wordWrap/>
        <w:overflowPunct/>
        <w:topLinePunct w:val="0"/>
        <w:autoSpaceDE w:val="0"/>
        <w:autoSpaceDN w:val="0"/>
        <w:bidi w:val="0"/>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评标委员会根据采购文件和投标文件，结合商务技术评分细则对各投标人的商务技术部分进行评审。</w:t>
      </w:r>
      <w:r>
        <w:rPr>
          <w:rFonts w:hint="eastAsia" w:ascii="仿宋" w:hAnsi="仿宋" w:eastAsia="仿宋" w:cs="仿宋"/>
          <w:b/>
          <w:bCs/>
          <w:sz w:val="24"/>
          <w:highlight w:val="none"/>
        </w:rPr>
        <w:t>评标委员会各成员所评分值的算术平均值即为各投标人的商务技术分值</w:t>
      </w:r>
      <w:r>
        <w:rPr>
          <w:rFonts w:hint="eastAsia" w:ascii="仿宋" w:hAnsi="仿宋" w:eastAsia="仿宋" w:cs="仿宋"/>
          <w:sz w:val="24"/>
          <w:highlight w:val="none"/>
        </w:rPr>
        <w:t>（计算时四舍五入保留二位小数）。</w:t>
      </w:r>
    </w:p>
    <w:p w14:paraId="0BC2C20A">
      <w:pPr>
        <w:keepNext w:val="0"/>
        <w:keepLines w:val="0"/>
        <w:pageBreakBefore w:val="0"/>
        <w:kinsoku/>
        <w:wordWrap/>
        <w:overflowPunct/>
        <w:topLinePunct w:val="0"/>
        <w:autoSpaceDE w:val="0"/>
        <w:autoSpaceDN w:val="0"/>
        <w:bidi w:val="0"/>
        <w:adjustRightInd w:val="0"/>
        <w:snapToGrid w:val="0"/>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询标期间，工作人员通过政采云系统向投标人发出在线询标内容，投标人法人代表或法人委托人负责解答及上传相关文件。</w:t>
      </w:r>
    </w:p>
    <w:p w14:paraId="6B1A0463">
      <w:pPr>
        <w:pStyle w:val="5"/>
        <w:numPr>
          <w:ilvl w:val="0"/>
          <w:numId w:val="6"/>
        </w:numPr>
        <w:spacing w:line="440" w:lineRule="exact"/>
        <w:ind w:left="0" w:hanging="106"/>
        <w:rPr>
          <w:rFonts w:hint="eastAsia" w:ascii="仿宋" w:hAnsi="仿宋" w:eastAsia="仿宋" w:cs="仿宋"/>
          <w:sz w:val="32"/>
          <w:highlight w:val="none"/>
        </w:rPr>
      </w:pPr>
      <w:bookmarkStart w:id="130" w:name="_Toc522530064"/>
      <w:bookmarkStart w:id="131" w:name="_Toc17578"/>
      <w:r>
        <w:rPr>
          <w:rFonts w:hint="eastAsia" w:ascii="仿宋" w:hAnsi="仿宋" w:eastAsia="仿宋" w:cs="仿宋"/>
          <w:sz w:val="32"/>
          <w:highlight w:val="none"/>
        </w:rPr>
        <w:t>评分细则</w:t>
      </w:r>
      <w:bookmarkEnd w:id="130"/>
      <w:bookmarkEnd w:id="131"/>
    </w:p>
    <w:p w14:paraId="0430D78A">
      <w:pPr>
        <w:numPr>
          <w:ilvl w:val="0"/>
          <w:numId w:val="7"/>
        </w:num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商务技术评分</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70分）</w:t>
      </w:r>
    </w:p>
    <w:tbl>
      <w:tblPr>
        <w:tblStyle w:val="90"/>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6655"/>
        <w:gridCol w:w="992"/>
      </w:tblGrid>
      <w:tr w14:paraId="5D3F6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4007BECF">
            <w:pPr>
              <w:keepNext w:val="0"/>
              <w:pageBreakBefore w:val="0"/>
              <w:kinsoku/>
              <w:wordWrap/>
              <w:overflowPunct/>
              <w:topLinePunct w:val="0"/>
              <w:autoSpaceDE/>
              <w:autoSpaceDN/>
              <w:bidi w:val="0"/>
              <w:adjustRightInd w:val="0"/>
              <w:snapToGrid w:val="0"/>
              <w:spacing w:line="400" w:lineRule="exact"/>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评分内容</w:t>
            </w:r>
          </w:p>
        </w:tc>
        <w:tc>
          <w:tcPr>
            <w:tcW w:w="6655" w:type="dxa"/>
            <w:tcBorders>
              <w:top w:val="single" w:color="000000" w:sz="4" w:space="0"/>
              <w:left w:val="single" w:color="000000" w:sz="4" w:space="0"/>
              <w:bottom w:val="single" w:color="000000" w:sz="4" w:space="0"/>
              <w:right w:val="single" w:color="000000" w:sz="4" w:space="0"/>
            </w:tcBorders>
            <w:vAlign w:val="center"/>
          </w:tcPr>
          <w:p w14:paraId="0CEE407A">
            <w:pPr>
              <w:keepNext w:val="0"/>
              <w:keepLines/>
              <w:pageBreakBefore w:val="0"/>
              <w:kinsoku/>
              <w:wordWrap/>
              <w:overflowPunct/>
              <w:topLinePunct w:val="0"/>
              <w:autoSpaceDE/>
              <w:autoSpaceDN/>
              <w:bidi w:val="0"/>
              <w:spacing w:line="400" w:lineRule="exact"/>
              <w:ind w:firstLine="120" w:firstLineChars="50"/>
              <w:jc w:val="center"/>
              <w:rPr>
                <w:rFonts w:ascii="仿宋" w:hAnsi="仿宋" w:eastAsia="仿宋" w:cs="宋体"/>
                <w:b/>
                <w:bCs/>
                <w:sz w:val="24"/>
                <w:szCs w:val="24"/>
                <w:highlight w:val="none"/>
              </w:rPr>
            </w:pPr>
            <w:r>
              <w:rPr>
                <w:rFonts w:hint="eastAsia" w:ascii="仿宋" w:hAnsi="仿宋" w:eastAsia="仿宋" w:cs="宋体"/>
                <w:b/>
                <w:kern w:val="0"/>
                <w:sz w:val="24"/>
                <w:szCs w:val="24"/>
                <w:highlight w:val="none"/>
              </w:rPr>
              <w:t>评审细则</w:t>
            </w:r>
          </w:p>
        </w:tc>
        <w:tc>
          <w:tcPr>
            <w:tcW w:w="992" w:type="dxa"/>
            <w:tcBorders>
              <w:top w:val="single" w:color="000000" w:sz="4" w:space="0"/>
              <w:left w:val="single" w:color="000000" w:sz="4" w:space="0"/>
              <w:bottom w:val="single" w:color="000000" w:sz="4" w:space="0"/>
              <w:right w:val="single" w:color="000000" w:sz="4" w:space="0"/>
            </w:tcBorders>
            <w:vAlign w:val="center"/>
          </w:tcPr>
          <w:p w14:paraId="7778B66F">
            <w:pPr>
              <w:keepNext w:val="0"/>
              <w:keepLines/>
              <w:pageBreakBefore w:val="0"/>
              <w:kinsoku/>
              <w:wordWrap/>
              <w:overflowPunct/>
              <w:topLinePunct w:val="0"/>
              <w:autoSpaceDE/>
              <w:autoSpaceDN/>
              <w:bidi w:val="0"/>
              <w:spacing w:line="400" w:lineRule="exact"/>
              <w:jc w:val="center"/>
              <w:rPr>
                <w:rFonts w:ascii="仿宋" w:hAnsi="仿宋" w:eastAsia="仿宋" w:cs="宋体"/>
                <w:b/>
                <w:bCs/>
                <w:sz w:val="24"/>
                <w:szCs w:val="24"/>
                <w:highlight w:val="none"/>
              </w:rPr>
            </w:pPr>
            <w:r>
              <w:rPr>
                <w:rFonts w:hint="eastAsia" w:ascii="仿宋" w:hAnsi="仿宋" w:eastAsia="仿宋" w:cs="宋体"/>
                <w:b/>
                <w:bCs/>
                <w:sz w:val="24"/>
                <w:szCs w:val="24"/>
                <w:highlight w:val="none"/>
              </w:rPr>
              <w:t>分值</w:t>
            </w:r>
          </w:p>
        </w:tc>
      </w:tr>
      <w:tr w14:paraId="488B4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4AE8FAB9">
            <w:pPr>
              <w:keepNext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投标人</w:t>
            </w:r>
          </w:p>
          <w:p w14:paraId="06408D00">
            <w:pPr>
              <w:keepNext w:val="0"/>
              <w:pageBreakBefore w:val="0"/>
              <w:kinsoku/>
              <w:wordWrap/>
              <w:overflowPunct/>
              <w:topLinePunct w:val="0"/>
              <w:autoSpaceDE/>
              <w:autoSpaceDN/>
              <w:bidi w:val="0"/>
              <w:adjustRightInd w:val="0"/>
              <w:snapToGrid w:val="0"/>
              <w:spacing w:line="400" w:lineRule="exact"/>
              <w:jc w:val="center"/>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资信</w:t>
            </w:r>
          </w:p>
        </w:tc>
        <w:tc>
          <w:tcPr>
            <w:tcW w:w="6655" w:type="dxa"/>
            <w:tcBorders>
              <w:top w:val="single" w:color="000000" w:sz="4" w:space="0"/>
              <w:left w:val="single" w:color="000000" w:sz="4" w:space="0"/>
              <w:bottom w:val="single" w:color="000000" w:sz="4" w:space="0"/>
              <w:right w:val="single" w:color="000000" w:sz="4" w:space="0"/>
            </w:tcBorders>
            <w:vAlign w:val="center"/>
          </w:tcPr>
          <w:p w14:paraId="442C2164">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en-US" w:eastAsia="zh-CN"/>
              </w:rPr>
              <w:t>投标人</w:t>
            </w:r>
            <w:r>
              <w:rPr>
                <w:rFonts w:hint="eastAsia" w:ascii="仿宋" w:hAnsi="仿宋" w:eastAsia="仿宋" w:cs="宋体"/>
                <w:color w:val="000000"/>
                <w:sz w:val="24"/>
                <w:szCs w:val="24"/>
                <w:highlight w:val="none"/>
                <w:lang w:val="zh-CN"/>
              </w:rPr>
              <w:t>具</w:t>
            </w:r>
            <w:r>
              <w:rPr>
                <w:rFonts w:hint="eastAsia" w:ascii="仿宋" w:hAnsi="仿宋" w:eastAsia="仿宋" w:cs="宋体"/>
                <w:color w:val="000000"/>
                <w:sz w:val="24"/>
                <w:szCs w:val="24"/>
                <w:highlight w:val="none"/>
                <w:lang w:val="en-US" w:eastAsia="zh-CN"/>
              </w:rPr>
              <w:t>有</w:t>
            </w:r>
            <w:r>
              <w:rPr>
                <w:rFonts w:hint="eastAsia" w:ascii="仿宋" w:hAnsi="仿宋" w:eastAsia="仿宋" w:cs="宋体"/>
                <w:color w:val="000000"/>
                <w:sz w:val="24"/>
                <w:szCs w:val="24"/>
                <w:highlight w:val="none"/>
              </w:rPr>
              <w:t>有效的</w:t>
            </w:r>
            <w:r>
              <w:rPr>
                <w:rFonts w:hint="eastAsia" w:ascii="仿宋" w:hAnsi="仿宋" w:eastAsia="仿宋" w:cs="宋体"/>
                <w:color w:val="000000"/>
                <w:sz w:val="24"/>
                <w:szCs w:val="24"/>
                <w:highlight w:val="none"/>
                <w:lang w:val="zh-CN"/>
              </w:rPr>
              <w:t>质量管理体系认证系、</w:t>
            </w:r>
            <w:r>
              <w:rPr>
                <w:rFonts w:hint="eastAsia" w:ascii="仿宋" w:hAnsi="仿宋" w:eastAsia="仿宋" w:cs="宋体"/>
                <w:color w:val="000000"/>
                <w:sz w:val="24"/>
                <w:szCs w:val="24"/>
                <w:highlight w:val="none"/>
              </w:rPr>
              <w:t>商品售后服务认证证书</w:t>
            </w:r>
            <w:r>
              <w:rPr>
                <w:rFonts w:hint="eastAsia" w:ascii="仿宋" w:hAnsi="仿宋" w:eastAsia="仿宋" w:cs="宋体"/>
                <w:color w:val="000000"/>
                <w:sz w:val="24"/>
                <w:szCs w:val="24"/>
                <w:highlight w:val="none"/>
                <w:lang w:val="zh-CN"/>
              </w:rPr>
              <w:t>，</w:t>
            </w:r>
            <w:r>
              <w:rPr>
                <w:rFonts w:hint="eastAsia" w:ascii="仿宋" w:hAnsi="仿宋" w:eastAsia="仿宋" w:cs="宋体"/>
                <w:color w:val="000000"/>
                <w:sz w:val="24"/>
                <w:szCs w:val="24"/>
                <w:highlight w:val="none"/>
              </w:rPr>
              <w:t>每个得1分，最高2分。</w:t>
            </w:r>
            <w:r>
              <w:rPr>
                <w:rFonts w:hint="eastAsia" w:ascii="仿宋" w:hAnsi="仿宋" w:eastAsia="仿宋" w:cs="仿宋"/>
                <w:b/>
                <w:bCs/>
                <w:color w:val="000000"/>
                <w:sz w:val="22"/>
                <w:szCs w:val="22"/>
                <w:lang w:eastAsia="zh-CN"/>
              </w:rPr>
              <w:t>注：须提供认证证书的扫描件</w:t>
            </w:r>
            <w:r>
              <w:rPr>
                <w:rFonts w:hint="eastAsia" w:ascii="仿宋" w:hAnsi="仿宋" w:eastAsia="仿宋" w:cs="仿宋"/>
                <w:b/>
                <w:bCs/>
                <w:color w:val="000000"/>
                <w:sz w:val="22"/>
                <w:szCs w:val="22"/>
                <w:lang w:val="en-US" w:eastAsia="zh-CN"/>
              </w:rPr>
              <w:t>至投标文件佐证，否则不得分。</w:t>
            </w:r>
          </w:p>
        </w:tc>
        <w:tc>
          <w:tcPr>
            <w:tcW w:w="992" w:type="dxa"/>
            <w:tcBorders>
              <w:top w:val="single" w:color="000000" w:sz="4" w:space="0"/>
              <w:left w:val="single" w:color="000000" w:sz="4" w:space="0"/>
              <w:bottom w:val="single" w:color="000000" w:sz="4" w:space="0"/>
              <w:right w:val="single" w:color="000000" w:sz="4" w:space="0"/>
            </w:tcBorders>
            <w:vAlign w:val="center"/>
          </w:tcPr>
          <w:p w14:paraId="38554D41">
            <w:pPr>
              <w:keepNext w:val="0"/>
              <w:pageBreakBefore w:val="0"/>
              <w:widowControl/>
              <w:kinsoku/>
              <w:wordWrap/>
              <w:overflowPunct/>
              <w:topLinePunct w:val="0"/>
              <w:autoSpaceDE/>
              <w:autoSpaceDN/>
              <w:bidi w:val="0"/>
              <w:spacing w:line="400" w:lineRule="exact"/>
              <w:jc w:val="center"/>
              <w:textAlignment w:val="center"/>
              <w:rPr>
                <w:rFonts w:ascii="仿宋" w:hAnsi="仿宋" w:eastAsia="仿宋" w:cs="宋体"/>
                <w:color w:val="000000"/>
                <w:kern w:val="0"/>
                <w:sz w:val="24"/>
                <w:szCs w:val="24"/>
                <w:highlight w:val="none"/>
                <w:lang w:bidi="ar"/>
              </w:rPr>
            </w:pPr>
            <w:r>
              <w:rPr>
                <w:rFonts w:hint="eastAsia" w:ascii="仿宋" w:hAnsi="仿宋" w:eastAsia="仿宋" w:cs="宋体"/>
                <w:color w:val="000000"/>
                <w:kern w:val="0"/>
                <w:sz w:val="24"/>
                <w:szCs w:val="24"/>
                <w:highlight w:val="none"/>
                <w:lang w:bidi="ar"/>
              </w:rPr>
              <w:t>0-2分</w:t>
            </w:r>
          </w:p>
        </w:tc>
      </w:tr>
      <w:tr w14:paraId="27402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6DDEA791">
            <w:pPr>
              <w:keepNext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投标人</w:t>
            </w:r>
          </w:p>
          <w:p w14:paraId="61259D22">
            <w:pPr>
              <w:keepNext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宋体"/>
                <w:color w:val="000000"/>
                <w:kern w:val="2"/>
                <w:sz w:val="24"/>
                <w:szCs w:val="24"/>
                <w:highlight w:val="none"/>
                <w:lang w:val="zh-CN" w:eastAsia="zh-CN" w:bidi="ar-SA"/>
              </w:rPr>
            </w:pPr>
            <w:r>
              <w:rPr>
                <w:rFonts w:hint="eastAsia" w:ascii="仿宋" w:hAnsi="仿宋" w:eastAsia="仿宋" w:cs="宋体"/>
                <w:color w:val="000000"/>
                <w:sz w:val="24"/>
                <w:szCs w:val="24"/>
                <w:highlight w:val="none"/>
                <w:lang w:val="zh-CN"/>
              </w:rPr>
              <w:t>业绩</w:t>
            </w:r>
          </w:p>
        </w:tc>
        <w:tc>
          <w:tcPr>
            <w:tcW w:w="6655" w:type="dxa"/>
            <w:tcBorders>
              <w:top w:val="single" w:color="000000" w:sz="4" w:space="0"/>
              <w:left w:val="single" w:color="000000" w:sz="4" w:space="0"/>
              <w:bottom w:val="single" w:color="000000" w:sz="4" w:space="0"/>
              <w:right w:val="single" w:color="000000" w:sz="4" w:space="0"/>
            </w:tcBorders>
            <w:vAlign w:val="center"/>
          </w:tcPr>
          <w:p w14:paraId="2A218FC3">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自20</w:t>
            </w:r>
            <w:r>
              <w:rPr>
                <w:rFonts w:hint="eastAsia" w:ascii="仿宋" w:hAnsi="仿宋" w:eastAsia="仿宋" w:cs="宋体"/>
                <w:color w:val="000000"/>
                <w:sz w:val="24"/>
                <w:szCs w:val="24"/>
                <w:highlight w:val="none"/>
              </w:rPr>
              <w:t>2</w:t>
            </w:r>
            <w:r>
              <w:rPr>
                <w:rFonts w:hint="eastAsia" w:ascii="仿宋" w:hAnsi="仿宋" w:eastAsia="仿宋" w:cs="宋体"/>
                <w:color w:val="000000"/>
                <w:sz w:val="24"/>
                <w:szCs w:val="24"/>
                <w:highlight w:val="none"/>
                <w:lang w:val="en-US" w:eastAsia="zh-CN"/>
              </w:rPr>
              <w:t>2</w:t>
            </w:r>
            <w:r>
              <w:rPr>
                <w:rFonts w:hint="eastAsia" w:ascii="仿宋" w:hAnsi="仿宋" w:eastAsia="仿宋" w:cs="宋体"/>
                <w:color w:val="000000"/>
                <w:sz w:val="24"/>
                <w:szCs w:val="24"/>
                <w:highlight w:val="none"/>
                <w:lang w:val="zh-CN"/>
              </w:rPr>
              <w:t>年1月1日以来（以合同签订日期为准），完成过类似项目业绩的，每提供一份项目业绩得</w:t>
            </w:r>
            <w:r>
              <w:rPr>
                <w:rFonts w:hint="eastAsia" w:ascii="仿宋" w:hAnsi="仿宋" w:eastAsia="仿宋" w:cs="宋体"/>
                <w:color w:val="000000"/>
                <w:sz w:val="24"/>
                <w:szCs w:val="24"/>
                <w:highlight w:val="none"/>
              </w:rPr>
              <w:t>1</w:t>
            </w:r>
            <w:r>
              <w:rPr>
                <w:rFonts w:hint="eastAsia" w:ascii="仿宋" w:hAnsi="仿宋" w:eastAsia="仿宋" w:cs="宋体"/>
                <w:color w:val="000000"/>
                <w:sz w:val="24"/>
                <w:szCs w:val="24"/>
                <w:highlight w:val="none"/>
                <w:lang w:val="zh-CN"/>
              </w:rPr>
              <w:t>分，最高</w:t>
            </w:r>
            <w:r>
              <w:rPr>
                <w:rFonts w:hint="eastAsia" w:ascii="仿宋" w:hAnsi="仿宋" w:eastAsia="仿宋" w:cs="宋体"/>
                <w:color w:val="000000"/>
                <w:sz w:val="24"/>
                <w:szCs w:val="24"/>
                <w:highlight w:val="none"/>
                <w:lang w:val="en-US" w:eastAsia="zh-CN"/>
              </w:rPr>
              <w:t>2</w:t>
            </w:r>
            <w:r>
              <w:rPr>
                <w:rFonts w:hint="eastAsia" w:ascii="仿宋" w:hAnsi="仿宋" w:eastAsia="仿宋" w:cs="宋体"/>
                <w:color w:val="000000"/>
                <w:sz w:val="24"/>
                <w:szCs w:val="24"/>
                <w:highlight w:val="none"/>
                <w:lang w:val="zh-CN"/>
              </w:rPr>
              <w:t>分。</w:t>
            </w:r>
          </w:p>
          <w:p w14:paraId="201430B5">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textAlignment w:val="auto"/>
              <w:rPr>
                <w:rFonts w:hint="eastAsia" w:ascii="仿宋" w:hAnsi="仿宋" w:eastAsia="仿宋" w:cs="宋体"/>
                <w:color w:val="000000"/>
                <w:kern w:val="2"/>
                <w:sz w:val="24"/>
                <w:szCs w:val="24"/>
                <w:highlight w:val="none"/>
                <w:lang w:val="zh-CN" w:eastAsia="zh-CN" w:bidi="ar-SA"/>
              </w:rPr>
            </w:pPr>
            <w:r>
              <w:rPr>
                <w:rFonts w:hint="eastAsia" w:ascii="仿宋" w:hAnsi="仿宋" w:eastAsia="仿宋" w:cs="仿宋"/>
                <w:b/>
                <w:bCs/>
                <w:color w:val="000000"/>
                <w:sz w:val="22"/>
                <w:szCs w:val="22"/>
                <w:lang w:eastAsia="zh-CN"/>
              </w:rPr>
              <w:t>注：须提供项目合同的扫描件</w:t>
            </w:r>
            <w:r>
              <w:rPr>
                <w:rFonts w:hint="eastAsia" w:ascii="仿宋" w:hAnsi="仿宋" w:eastAsia="仿宋" w:cs="仿宋"/>
                <w:b/>
                <w:bCs/>
                <w:color w:val="000000"/>
                <w:sz w:val="22"/>
                <w:szCs w:val="22"/>
                <w:lang w:val="en-US" w:eastAsia="zh-CN"/>
              </w:rPr>
              <w:t>至投标文件佐证，合同内容无法体现的可另行提供业主证明材料，否则不得分。</w:t>
            </w:r>
          </w:p>
        </w:tc>
        <w:tc>
          <w:tcPr>
            <w:tcW w:w="992" w:type="dxa"/>
            <w:tcBorders>
              <w:top w:val="single" w:color="000000" w:sz="4" w:space="0"/>
              <w:left w:val="single" w:color="000000" w:sz="4" w:space="0"/>
              <w:bottom w:val="single" w:color="000000" w:sz="4" w:space="0"/>
              <w:right w:val="single" w:color="000000" w:sz="4" w:space="0"/>
            </w:tcBorders>
            <w:vAlign w:val="center"/>
          </w:tcPr>
          <w:p w14:paraId="437C2159">
            <w:pPr>
              <w:keepNext w:val="0"/>
              <w:pageBreakBefore w:val="0"/>
              <w:widowControl/>
              <w:kinsoku/>
              <w:wordWrap/>
              <w:overflowPunct/>
              <w:topLinePunct w:val="0"/>
              <w:autoSpaceDE/>
              <w:autoSpaceDN/>
              <w:bidi w:val="0"/>
              <w:spacing w:line="400" w:lineRule="exact"/>
              <w:jc w:val="center"/>
              <w:textAlignment w:val="center"/>
              <w:rPr>
                <w:rFonts w:hint="default" w:ascii="仿宋" w:hAnsi="仿宋" w:eastAsia="仿宋" w:cs="宋体"/>
                <w:color w:val="000000"/>
                <w:kern w:val="0"/>
                <w:sz w:val="24"/>
                <w:szCs w:val="24"/>
                <w:highlight w:val="none"/>
                <w:lang w:val="en-US" w:eastAsia="zh-CN" w:bidi="ar"/>
              </w:rPr>
            </w:pPr>
            <w:r>
              <w:rPr>
                <w:rFonts w:hint="eastAsia" w:ascii="仿宋" w:hAnsi="仿宋" w:eastAsia="仿宋" w:cs="宋体"/>
                <w:color w:val="000000"/>
                <w:kern w:val="0"/>
                <w:sz w:val="24"/>
                <w:szCs w:val="24"/>
                <w:highlight w:val="none"/>
                <w:lang w:val="en-US" w:eastAsia="zh-CN" w:bidi="ar"/>
              </w:rPr>
              <w:t>0-2分</w:t>
            </w:r>
          </w:p>
        </w:tc>
      </w:tr>
      <w:tr w14:paraId="76931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5DBFB1F3">
            <w:pPr>
              <w:keepNext w:val="0"/>
              <w:pageBreakBefore w:val="0"/>
              <w:kinsoku/>
              <w:wordWrap/>
              <w:overflowPunct/>
              <w:topLinePunct w:val="0"/>
              <w:autoSpaceDE/>
              <w:autoSpaceDN/>
              <w:bidi w:val="0"/>
              <w:adjustRightInd w:val="0"/>
              <w:snapToGrid w:val="0"/>
              <w:spacing w:line="400" w:lineRule="exact"/>
              <w:jc w:val="center"/>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拟派项目负责人</w:t>
            </w:r>
          </w:p>
        </w:tc>
        <w:tc>
          <w:tcPr>
            <w:tcW w:w="6655" w:type="dxa"/>
            <w:tcBorders>
              <w:top w:val="single" w:color="000000" w:sz="4" w:space="0"/>
              <w:left w:val="single" w:color="000000" w:sz="4" w:space="0"/>
              <w:bottom w:val="single" w:color="000000" w:sz="4" w:space="0"/>
              <w:right w:val="single" w:color="000000" w:sz="4" w:space="0"/>
            </w:tcBorders>
            <w:vAlign w:val="center"/>
          </w:tcPr>
          <w:p w14:paraId="00FD738A">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zh-CN"/>
                <w14:textFill>
                  <w14:solidFill>
                    <w14:schemeClr w14:val="tx1"/>
                  </w14:solidFill>
                </w14:textFill>
              </w:rPr>
              <w:t>拟派项目负责人具有高级工程师（信息技术专业）证书</w:t>
            </w:r>
            <w:r>
              <w:rPr>
                <w:rFonts w:hint="eastAsia" w:ascii="仿宋" w:hAnsi="仿宋" w:eastAsia="仿宋" w:cs="宋体"/>
                <w:color w:val="000000" w:themeColor="text1"/>
                <w:sz w:val="24"/>
                <w:szCs w:val="24"/>
                <w:highlight w:val="none"/>
                <w:lang w:val="en-US" w:eastAsia="zh-CN"/>
                <w14:textFill>
                  <w14:solidFill>
                    <w14:schemeClr w14:val="tx1"/>
                  </w14:solidFill>
                </w14:textFill>
              </w:rPr>
              <w:t>的得2分，具有</w:t>
            </w:r>
            <w:r>
              <w:rPr>
                <w:rFonts w:hint="eastAsia" w:ascii="仿宋" w:hAnsi="仿宋" w:eastAsia="仿宋" w:cs="宋体"/>
                <w:color w:val="000000" w:themeColor="text1"/>
                <w:sz w:val="24"/>
                <w:szCs w:val="24"/>
                <w:highlight w:val="none"/>
                <w:lang w:val="zh-CN"/>
                <w14:textFill>
                  <w14:solidFill>
                    <w14:schemeClr w14:val="tx1"/>
                  </w14:solidFill>
                </w14:textFill>
              </w:rPr>
              <w:t>互联网技术证书的得</w:t>
            </w:r>
            <w:r>
              <w:rPr>
                <w:rFonts w:hint="eastAsia" w:ascii="仿宋" w:hAnsi="仿宋" w:eastAsia="仿宋" w:cs="宋体"/>
                <w:color w:val="000000" w:themeColor="text1"/>
                <w:sz w:val="24"/>
                <w:szCs w:val="24"/>
                <w:highlight w:val="none"/>
                <w:lang w:val="en-US" w:eastAsia="zh-CN"/>
                <w14:textFill>
                  <w14:solidFill>
                    <w14:schemeClr w14:val="tx1"/>
                  </w14:solidFill>
                </w14:textFill>
              </w:rPr>
              <w:t>2</w:t>
            </w:r>
            <w:r>
              <w:rPr>
                <w:rFonts w:hint="eastAsia" w:ascii="仿宋" w:hAnsi="仿宋" w:eastAsia="仿宋" w:cs="宋体"/>
                <w:color w:val="000000" w:themeColor="text1"/>
                <w:sz w:val="24"/>
                <w:szCs w:val="24"/>
                <w:highlight w:val="none"/>
                <w:lang w:val="zh-CN"/>
                <w14:textFill>
                  <w14:solidFill>
                    <w14:schemeClr w14:val="tx1"/>
                  </w14:solidFill>
                </w14:textFill>
              </w:rPr>
              <w:t>分，</w:t>
            </w:r>
            <w:r>
              <w:rPr>
                <w:rFonts w:hint="eastAsia" w:ascii="仿宋" w:hAnsi="仿宋" w:eastAsia="仿宋" w:cs="宋体"/>
                <w:color w:val="000000" w:themeColor="text1"/>
                <w:sz w:val="24"/>
                <w:szCs w:val="24"/>
                <w:highlight w:val="none"/>
                <w:lang w:val="en-US" w:eastAsia="zh-CN"/>
                <w14:textFill>
                  <w14:solidFill>
                    <w14:schemeClr w14:val="tx1"/>
                  </w14:solidFill>
                </w14:textFill>
              </w:rPr>
              <w:t>本项最高得4分。</w:t>
            </w:r>
          </w:p>
          <w:p w14:paraId="7237E99C">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ascii="仿宋" w:hAnsi="仿宋" w:eastAsia="仿宋" w:cs="宋体"/>
                <w:color w:val="000000"/>
                <w:sz w:val="24"/>
                <w:szCs w:val="24"/>
                <w:highlight w:val="none"/>
                <w:lang w:val="zh-CN"/>
              </w:rPr>
            </w:pPr>
            <w:r>
              <w:rPr>
                <w:rFonts w:hint="eastAsia" w:ascii="仿宋" w:hAnsi="仿宋" w:eastAsia="仿宋" w:cs="仿宋"/>
                <w:b/>
                <w:bCs/>
                <w:color w:val="000000"/>
                <w:sz w:val="22"/>
                <w:szCs w:val="22"/>
                <w:lang w:val="en-US" w:eastAsia="zh-CN"/>
              </w:rPr>
              <w:t>注:须提供人员相关证书及投标截止时间前连续三个月社保机构出具的投标人为其缴纳的社保证明的扫描件至投标文件佐证，否则不得分。</w:t>
            </w:r>
          </w:p>
        </w:tc>
        <w:tc>
          <w:tcPr>
            <w:tcW w:w="992" w:type="dxa"/>
            <w:tcBorders>
              <w:top w:val="single" w:color="000000" w:sz="4" w:space="0"/>
              <w:left w:val="single" w:color="000000" w:sz="4" w:space="0"/>
              <w:bottom w:val="single" w:color="000000" w:sz="4" w:space="0"/>
              <w:right w:val="single" w:color="000000" w:sz="4" w:space="0"/>
            </w:tcBorders>
            <w:vAlign w:val="center"/>
          </w:tcPr>
          <w:p w14:paraId="4E7DE72E">
            <w:pPr>
              <w:keepNext w:val="0"/>
              <w:pageBreakBefore w:val="0"/>
              <w:kinsoku/>
              <w:wordWrap/>
              <w:overflowPunct/>
              <w:topLinePunct w:val="0"/>
              <w:autoSpaceDE/>
              <w:autoSpaceDN/>
              <w:bidi w:val="0"/>
              <w:spacing w:line="400" w:lineRule="exact"/>
              <w:jc w:val="center"/>
              <w:textAlignment w:val="center"/>
              <w:rPr>
                <w:rFonts w:ascii="仿宋" w:hAnsi="仿宋" w:eastAsia="仿宋" w:cs="宋体"/>
                <w:color w:val="000000"/>
                <w:kern w:val="0"/>
                <w:sz w:val="24"/>
                <w:szCs w:val="24"/>
                <w:highlight w:val="none"/>
                <w:lang w:bidi="ar"/>
              </w:rPr>
            </w:pPr>
            <w:r>
              <w:rPr>
                <w:rFonts w:hint="eastAsia" w:ascii="仿宋" w:hAnsi="仿宋" w:eastAsia="仿宋" w:cs="宋体"/>
                <w:color w:val="000000"/>
                <w:kern w:val="0"/>
                <w:sz w:val="24"/>
                <w:szCs w:val="24"/>
                <w:highlight w:val="none"/>
                <w:lang w:bidi="ar"/>
              </w:rPr>
              <w:t>0-</w:t>
            </w:r>
            <w:r>
              <w:rPr>
                <w:rFonts w:hint="eastAsia" w:ascii="仿宋" w:hAnsi="仿宋" w:eastAsia="仿宋" w:cs="宋体"/>
                <w:color w:val="000000"/>
                <w:kern w:val="0"/>
                <w:sz w:val="24"/>
                <w:szCs w:val="24"/>
                <w:highlight w:val="none"/>
                <w:lang w:val="en-US" w:eastAsia="zh-CN" w:bidi="ar"/>
              </w:rPr>
              <w:t>4</w:t>
            </w:r>
            <w:r>
              <w:rPr>
                <w:rFonts w:hint="eastAsia" w:ascii="仿宋" w:hAnsi="仿宋" w:eastAsia="仿宋" w:cs="宋体"/>
                <w:color w:val="000000"/>
                <w:kern w:val="0"/>
                <w:sz w:val="24"/>
                <w:szCs w:val="24"/>
                <w:highlight w:val="none"/>
                <w:lang w:bidi="ar"/>
              </w:rPr>
              <w:t>分</w:t>
            </w:r>
          </w:p>
        </w:tc>
      </w:tr>
      <w:tr w14:paraId="2723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7A030C6C">
            <w:pPr>
              <w:keepNext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技术参数</w:t>
            </w:r>
          </w:p>
          <w:p w14:paraId="7C210F9A">
            <w:pPr>
              <w:keepNext w:val="0"/>
              <w:pageBreakBefore w:val="0"/>
              <w:kinsoku/>
              <w:wordWrap/>
              <w:overflowPunct/>
              <w:topLinePunct w:val="0"/>
              <w:autoSpaceDE/>
              <w:autoSpaceDN/>
              <w:bidi w:val="0"/>
              <w:adjustRightInd w:val="0"/>
              <w:snapToGrid w:val="0"/>
              <w:spacing w:line="400" w:lineRule="exact"/>
              <w:jc w:val="center"/>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指标</w:t>
            </w:r>
          </w:p>
        </w:tc>
        <w:tc>
          <w:tcPr>
            <w:tcW w:w="6655" w:type="dxa"/>
            <w:tcBorders>
              <w:top w:val="single" w:color="000000" w:sz="4" w:space="0"/>
              <w:left w:val="single" w:color="000000" w:sz="4" w:space="0"/>
              <w:bottom w:val="single" w:color="000000" w:sz="4" w:space="0"/>
              <w:right w:val="single" w:color="000000" w:sz="4" w:space="0"/>
            </w:tcBorders>
            <w:vAlign w:val="center"/>
          </w:tcPr>
          <w:p w14:paraId="08449F8D">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jc w:val="left"/>
              <w:textAlignment w:val="auto"/>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eastAsia="zh-CN"/>
              </w:rPr>
              <w:t>根据投标产品基本性能参数配置，是否符合招标文件的要求及符合程度进行评价，基本性能满足或高于要求得满分。全部满足招标文件要求的得2</w:t>
            </w:r>
            <w:r>
              <w:rPr>
                <w:rFonts w:hint="eastAsia" w:ascii="仿宋" w:hAnsi="仿宋" w:eastAsia="仿宋" w:cs="宋体"/>
                <w:color w:val="000000"/>
                <w:sz w:val="24"/>
                <w:szCs w:val="24"/>
                <w:highlight w:val="none"/>
                <w:lang w:val="en-US" w:eastAsia="zh-CN"/>
              </w:rPr>
              <w:t>2</w:t>
            </w:r>
            <w:r>
              <w:rPr>
                <w:rFonts w:hint="eastAsia" w:ascii="仿宋" w:hAnsi="仿宋" w:eastAsia="仿宋" w:cs="宋体"/>
                <w:color w:val="000000"/>
                <w:sz w:val="24"/>
                <w:szCs w:val="24"/>
                <w:highlight w:val="none"/>
                <w:lang w:val="zh-CN" w:eastAsia="zh-CN"/>
              </w:rPr>
              <w:t>分，如有技术指标负偏离的每项扣</w:t>
            </w:r>
            <w:r>
              <w:rPr>
                <w:rFonts w:hint="eastAsia" w:ascii="仿宋" w:hAnsi="仿宋" w:eastAsia="仿宋" w:cs="宋体"/>
                <w:color w:val="000000"/>
                <w:sz w:val="24"/>
                <w:szCs w:val="24"/>
                <w:highlight w:val="none"/>
                <w:lang w:val="en-US" w:eastAsia="zh-CN"/>
              </w:rPr>
              <w:t>2</w:t>
            </w:r>
            <w:r>
              <w:rPr>
                <w:rFonts w:hint="eastAsia" w:ascii="仿宋" w:hAnsi="仿宋" w:eastAsia="仿宋" w:cs="宋体"/>
                <w:color w:val="000000"/>
                <w:sz w:val="24"/>
                <w:szCs w:val="24"/>
                <w:highlight w:val="none"/>
                <w:lang w:val="zh-CN" w:eastAsia="zh-CN"/>
              </w:rPr>
              <w:t>分，扣完为止。</w:t>
            </w:r>
          </w:p>
        </w:tc>
        <w:tc>
          <w:tcPr>
            <w:tcW w:w="992" w:type="dxa"/>
            <w:tcBorders>
              <w:top w:val="single" w:color="000000" w:sz="4" w:space="0"/>
              <w:left w:val="single" w:color="000000" w:sz="4" w:space="0"/>
              <w:bottom w:val="single" w:color="000000" w:sz="4" w:space="0"/>
              <w:right w:val="single" w:color="000000" w:sz="4" w:space="0"/>
            </w:tcBorders>
            <w:vAlign w:val="center"/>
          </w:tcPr>
          <w:p w14:paraId="61C6F01F">
            <w:pPr>
              <w:keepNext w:val="0"/>
              <w:keepLines w:val="0"/>
              <w:pageBreakBefore w:val="0"/>
              <w:kinsoku/>
              <w:wordWrap/>
              <w:overflowPunct/>
              <w:topLinePunct w:val="0"/>
              <w:autoSpaceDE/>
              <w:autoSpaceDN/>
              <w:bidi w:val="0"/>
              <w:adjustRightInd/>
              <w:snapToGrid/>
              <w:spacing w:line="400" w:lineRule="exact"/>
              <w:jc w:val="center"/>
              <w:textAlignment w:val="center"/>
              <w:rPr>
                <w:rFonts w:ascii="仿宋" w:hAnsi="仿宋" w:eastAsia="仿宋" w:cs="宋体"/>
                <w:color w:val="000000"/>
                <w:kern w:val="0"/>
                <w:sz w:val="24"/>
                <w:szCs w:val="24"/>
                <w:highlight w:val="none"/>
                <w:lang w:bidi="ar"/>
              </w:rPr>
            </w:pPr>
            <w:r>
              <w:rPr>
                <w:rFonts w:hint="eastAsia" w:ascii="仿宋" w:hAnsi="仿宋" w:eastAsia="仿宋" w:cs="宋体"/>
                <w:color w:val="000000"/>
                <w:kern w:val="0"/>
                <w:sz w:val="24"/>
                <w:szCs w:val="24"/>
                <w:highlight w:val="none"/>
                <w:lang w:bidi="ar"/>
              </w:rPr>
              <w:t>0-2</w:t>
            </w:r>
            <w:r>
              <w:rPr>
                <w:rFonts w:hint="eastAsia" w:ascii="仿宋" w:hAnsi="仿宋" w:eastAsia="仿宋" w:cs="宋体"/>
                <w:color w:val="000000"/>
                <w:kern w:val="0"/>
                <w:sz w:val="24"/>
                <w:szCs w:val="24"/>
                <w:highlight w:val="none"/>
                <w:lang w:val="en-US" w:eastAsia="zh-CN" w:bidi="ar"/>
              </w:rPr>
              <w:t>2</w:t>
            </w:r>
            <w:r>
              <w:rPr>
                <w:rFonts w:hint="eastAsia" w:ascii="仿宋" w:hAnsi="仿宋" w:eastAsia="仿宋" w:cs="宋体"/>
                <w:color w:val="000000"/>
                <w:kern w:val="0"/>
                <w:sz w:val="24"/>
                <w:szCs w:val="24"/>
                <w:highlight w:val="none"/>
                <w:lang w:bidi="ar"/>
              </w:rPr>
              <w:t>分</w:t>
            </w:r>
          </w:p>
        </w:tc>
      </w:tr>
      <w:tr w14:paraId="3D376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4A545DE7">
            <w:pPr>
              <w:keepNext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总体技术</w:t>
            </w:r>
          </w:p>
          <w:p w14:paraId="5263550B">
            <w:pPr>
              <w:keepNext w:val="0"/>
              <w:pageBreakBefore w:val="0"/>
              <w:kinsoku/>
              <w:wordWrap/>
              <w:overflowPunct/>
              <w:topLinePunct w:val="0"/>
              <w:autoSpaceDE/>
              <w:autoSpaceDN/>
              <w:bidi w:val="0"/>
              <w:adjustRightInd w:val="0"/>
              <w:snapToGrid w:val="0"/>
              <w:spacing w:line="400" w:lineRule="exact"/>
              <w:jc w:val="center"/>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方案</w:t>
            </w:r>
          </w:p>
        </w:tc>
        <w:tc>
          <w:tcPr>
            <w:tcW w:w="6655" w:type="dxa"/>
            <w:tcBorders>
              <w:top w:val="single" w:color="000000" w:sz="4" w:space="0"/>
              <w:left w:val="single" w:color="000000" w:sz="4" w:space="0"/>
              <w:bottom w:val="single" w:color="000000" w:sz="4" w:space="0"/>
              <w:right w:val="single" w:color="000000" w:sz="4" w:space="0"/>
            </w:tcBorders>
            <w:vAlign w:val="center"/>
          </w:tcPr>
          <w:p w14:paraId="402E1DA7">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jc w:val="left"/>
              <w:textAlignment w:val="auto"/>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根据对现有项目整体状况有充分调研和分析（内容包括但不限于对项目的现状调查、分析及后期的应用），提出整体的目标架构，对整个项目有整体把握，技术方案规划全面、先进、合理，融合对未来应用的思考</w:t>
            </w:r>
            <w:r>
              <w:rPr>
                <w:rFonts w:hint="eastAsia" w:ascii="仿宋" w:hAnsi="仿宋" w:eastAsia="仿宋" w:cs="宋体"/>
                <w:color w:val="000000"/>
                <w:sz w:val="24"/>
                <w:szCs w:val="24"/>
                <w:highlight w:val="none"/>
                <w:lang w:val="en-US" w:eastAsia="zh-CN"/>
              </w:rPr>
              <w:t>进行综合打分</w:t>
            </w:r>
            <w:r>
              <w:rPr>
                <w:rFonts w:hint="eastAsia" w:ascii="仿宋" w:hAnsi="仿宋" w:eastAsia="仿宋" w:cs="宋体"/>
                <w:color w:val="000000"/>
                <w:sz w:val="24"/>
                <w:szCs w:val="24"/>
                <w:highlight w:val="none"/>
                <w:lang w:val="zh-CN" w:eastAsia="zh-CN"/>
              </w:rPr>
              <w:t>。</w:t>
            </w:r>
            <w:bookmarkStart w:id="132" w:name="OLE_LINK3"/>
            <w:r>
              <w:rPr>
                <w:rFonts w:hint="eastAsia" w:ascii="仿宋" w:hAnsi="仿宋" w:eastAsia="仿宋" w:cs="仿宋"/>
                <w:color w:val="auto"/>
                <w:kern w:val="0"/>
                <w:sz w:val="24"/>
                <w:szCs w:val="24"/>
                <w:u w:val="none"/>
                <w:lang w:val="en-US" w:eastAsia="zh"/>
              </w:rPr>
              <w:t>（评分范围：</w:t>
            </w:r>
            <w:r>
              <w:rPr>
                <w:rFonts w:hint="eastAsia" w:ascii="仿宋" w:hAnsi="仿宋" w:eastAsia="仿宋" w:cs="仿宋"/>
                <w:color w:val="auto"/>
                <w:kern w:val="0"/>
                <w:sz w:val="24"/>
                <w:szCs w:val="24"/>
                <w:u w:val="none"/>
                <w:lang w:val="en-US" w:eastAsia="zh-CN"/>
              </w:rPr>
              <w:t>12</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11.5</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11</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10.5</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10</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9</w:t>
            </w:r>
            <w:r>
              <w:rPr>
                <w:rFonts w:hint="eastAsia" w:ascii="仿宋" w:hAnsi="仿宋" w:eastAsia="仿宋" w:cs="仿宋"/>
                <w:color w:val="auto"/>
                <w:kern w:val="0"/>
                <w:sz w:val="24"/>
                <w:szCs w:val="24"/>
                <w:u w:val="none"/>
                <w:lang w:val="en-US" w:eastAsia="zh"/>
              </w:rPr>
              <w:t>.5分，</w:t>
            </w:r>
            <w:r>
              <w:rPr>
                <w:rFonts w:hint="eastAsia" w:ascii="仿宋" w:hAnsi="仿宋" w:eastAsia="仿宋" w:cs="仿宋"/>
                <w:color w:val="auto"/>
                <w:kern w:val="0"/>
                <w:sz w:val="24"/>
                <w:szCs w:val="24"/>
                <w:u w:val="none"/>
                <w:lang w:val="en-US" w:eastAsia="zh-CN"/>
              </w:rPr>
              <w:t>9</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8</w:t>
            </w:r>
            <w:r>
              <w:rPr>
                <w:rFonts w:hint="eastAsia" w:ascii="仿宋" w:hAnsi="仿宋" w:eastAsia="仿宋" w:cs="仿宋"/>
                <w:color w:val="auto"/>
                <w:kern w:val="0"/>
                <w:sz w:val="24"/>
                <w:szCs w:val="24"/>
                <w:u w:val="none"/>
                <w:lang w:val="en-US" w:eastAsia="zh"/>
              </w:rPr>
              <w:t>.5分，</w:t>
            </w:r>
            <w:r>
              <w:rPr>
                <w:rFonts w:hint="eastAsia" w:ascii="仿宋" w:hAnsi="仿宋" w:eastAsia="仿宋" w:cs="仿宋"/>
                <w:color w:val="auto"/>
                <w:kern w:val="0"/>
                <w:sz w:val="24"/>
                <w:szCs w:val="24"/>
                <w:u w:val="none"/>
                <w:lang w:val="en-US" w:eastAsia="zh-CN"/>
              </w:rPr>
              <w:t>8</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7</w:t>
            </w:r>
            <w:r>
              <w:rPr>
                <w:rFonts w:hint="eastAsia" w:ascii="仿宋" w:hAnsi="仿宋" w:eastAsia="仿宋" w:cs="仿宋"/>
                <w:color w:val="auto"/>
                <w:kern w:val="0"/>
                <w:sz w:val="24"/>
                <w:szCs w:val="24"/>
                <w:u w:val="none"/>
                <w:lang w:val="en-US" w:eastAsia="zh"/>
              </w:rPr>
              <w:t>.5分，</w:t>
            </w:r>
            <w:r>
              <w:rPr>
                <w:rFonts w:hint="eastAsia" w:ascii="仿宋" w:hAnsi="仿宋" w:eastAsia="仿宋" w:cs="仿宋"/>
                <w:color w:val="auto"/>
                <w:kern w:val="0"/>
                <w:sz w:val="24"/>
                <w:szCs w:val="24"/>
                <w:u w:val="none"/>
                <w:lang w:val="en-US" w:eastAsia="zh-CN"/>
              </w:rPr>
              <w:t>7</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6</w:t>
            </w:r>
            <w:r>
              <w:rPr>
                <w:rFonts w:hint="eastAsia" w:ascii="仿宋" w:hAnsi="仿宋" w:eastAsia="仿宋" w:cs="仿宋"/>
                <w:color w:val="auto"/>
                <w:kern w:val="0"/>
                <w:sz w:val="24"/>
                <w:szCs w:val="24"/>
                <w:u w:val="none"/>
                <w:lang w:val="en-US" w:eastAsia="zh"/>
              </w:rPr>
              <w:t>.5分，</w:t>
            </w:r>
            <w:r>
              <w:rPr>
                <w:rFonts w:hint="eastAsia" w:ascii="仿宋" w:hAnsi="仿宋" w:eastAsia="仿宋" w:cs="仿宋"/>
                <w:color w:val="auto"/>
                <w:kern w:val="0"/>
                <w:sz w:val="24"/>
                <w:szCs w:val="24"/>
                <w:u w:val="none"/>
                <w:lang w:val="en-US" w:eastAsia="zh-CN"/>
              </w:rPr>
              <w:t>6</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5</w:t>
            </w:r>
            <w:r>
              <w:rPr>
                <w:rFonts w:hint="eastAsia" w:ascii="仿宋" w:hAnsi="仿宋" w:eastAsia="仿宋" w:cs="仿宋"/>
                <w:color w:val="auto"/>
                <w:kern w:val="0"/>
                <w:sz w:val="24"/>
                <w:szCs w:val="24"/>
                <w:u w:val="none"/>
                <w:lang w:val="en-US" w:eastAsia="zh"/>
              </w:rPr>
              <w:t>.5分，5分，4.5分，4分，3.5分，3分，2.5分，2分，1.5分，1分，0.5分，0分）</w:t>
            </w:r>
            <w:r>
              <w:rPr>
                <w:rFonts w:hint="eastAsia" w:ascii="仿宋" w:hAnsi="仿宋" w:eastAsia="仿宋" w:cs="仿宋"/>
                <w:color w:val="auto"/>
                <w:kern w:val="0"/>
                <w:sz w:val="24"/>
                <w:szCs w:val="24"/>
                <w:u w:val="none"/>
                <w:lang w:val="en-US" w:eastAsia="zh-CN"/>
              </w:rPr>
              <w:t>。</w:t>
            </w:r>
            <w:bookmarkEnd w:id="132"/>
          </w:p>
        </w:tc>
        <w:tc>
          <w:tcPr>
            <w:tcW w:w="992" w:type="dxa"/>
            <w:tcBorders>
              <w:top w:val="single" w:color="000000" w:sz="4" w:space="0"/>
              <w:left w:val="single" w:color="000000" w:sz="4" w:space="0"/>
              <w:bottom w:val="single" w:color="000000" w:sz="4" w:space="0"/>
              <w:right w:val="single" w:color="000000" w:sz="4" w:space="0"/>
            </w:tcBorders>
            <w:vAlign w:val="center"/>
          </w:tcPr>
          <w:p w14:paraId="6C02B43F">
            <w:pPr>
              <w:keepNext w:val="0"/>
              <w:keepLines w:val="0"/>
              <w:pageBreakBefore w:val="0"/>
              <w:kinsoku/>
              <w:wordWrap/>
              <w:overflowPunct/>
              <w:topLinePunct w:val="0"/>
              <w:autoSpaceDE/>
              <w:autoSpaceDN/>
              <w:bidi w:val="0"/>
              <w:adjustRightInd/>
              <w:snapToGrid/>
              <w:spacing w:line="400" w:lineRule="exact"/>
              <w:jc w:val="center"/>
              <w:textAlignment w:val="center"/>
              <w:rPr>
                <w:rFonts w:ascii="仿宋" w:hAnsi="仿宋" w:eastAsia="仿宋" w:cs="宋体"/>
                <w:color w:val="000000"/>
                <w:kern w:val="0"/>
                <w:sz w:val="24"/>
                <w:szCs w:val="24"/>
                <w:highlight w:val="none"/>
                <w:lang w:bidi="ar"/>
              </w:rPr>
            </w:pPr>
            <w:r>
              <w:rPr>
                <w:rFonts w:hint="eastAsia" w:ascii="仿宋" w:hAnsi="仿宋" w:eastAsia="仿宋" w:cs="宋体"/>
                <w:color w:val="000000"/>
                <w:kern w:val="0"/>
                <w:sz w:val="24"/>
                <w:szCs w:val="24"/>
                <w:highlight w:val="none"/>
                <w:lang w:bidi="ar"/>
              </w:rPr>
              <w:t>0-</w:t>
            </w:r>
            <w:r>
              <w:rPr>
                <w:rFonts w:hint="eastAsia" w:ascii="仿宋" w:hAnsi="仿宋" w:eastAsia="仿宋" w:cs="宋体"/>
                <w:color w:val="000000"/>
                <w:kern w:val="0"/>
                <w:sz w:val="24"/>
                <w:szCs w:val="24"/>
                <w:highlight w:val="none"/>
                <w:lang w:val="en-US" w:eastAsia="zh-CN" w:bidi="ar"/>
              </w:rPr>
              <w:t>12</w:t>
            </w:r>
            <w:r>
              <w:rPr>
                <w:rFonts w:hint="eastAsia" w:ascii="仿宋" w:hAnsi="仿宋" w:eastAsia="仿宋" w:cs="宋体"/>
                <w:color w:val="000000"/>
                <w:kern w:val="0"/>
                <w:sz w:val="24"/>
                <w:szCs w:val="24"/>
                <w:highlight w:val="none"/>
                <w:lang w:bidi="ar"/>
              </w:rPr>
              <w:t>分</w:t>
            </w:r>
          </w:p>
        </w:tc>
      </w:tr>
      <w:tr w14:paraId="4993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1E0134B0">
            <w:pPr>
              <w:keepNext w:val="0"/>
              <w:pageBreakBefore w:val="0"/>
              <w:kinsoku/>
              <w:wordWrap/>
              <w:overflowPunct/>
              <w:topLinePunct w:val="0"/>
              <w:autoSpaceDE/>
              <w:autoSpaceDN/>
              <w:bidi w:val="0"/>
              <w:adjustRightInd w:val="0"/>
              <w:snapToGrid w:val="0"/>
              <w:spacing w:line="400" w:lineRule="exact"/>
              <w:jc w:val="center"/>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施工方案</w:t>
            </w:r>
          </w:p>
        </w:tc>
        <w:tc>
          <w:tcPr>
            <w:tcW w:w="6655" w:type="dxa"/>
            <w:tcBorders>
              <w:top w:val="single" w:color="000000" w:sz="4" w:space="0"/>
              <w:left w:val="single" w:color="000000" w:sz="4" w:space="0"/>
              <w:bottom w:val="single" w:color="000000" w:sz="4" w:space="0"/>
              <w:right w:val="single" w:color="000000" w:sz="4" w:space="0"/>
            </w:tcBorders>
            <w:vAlign w:val="center"/>
          </w:tcPr>
          <w:p w14:paraId="6563EFE3">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jc w:val="left"/>
              <w:textAlignment w:val="auto"/>
              <w:rPr>
                <w:rFonts w:ascii="仿宋" w:hAnsi="仿宋" w:eastAsia="仿宋" w:cs="宋体"/>
                <w:color w:val="000000"/>
                <w:sz w:val="24"/>
                <w:szCs w:val="24"/>
                <w:highlight w:val="none"/>
                <w:lang w:val="zh-CN"/>
              </w:rPr>
            </w:pPr>
            <w:r>
              <w:rPr>
                <w:rFonts w:hint="eastAsia" w:ascii="仿宋" w:hAnsi="仿宋" w:eastAsia="仿宋" w:cs="仿宋"/>
                <w:color w:val="auto"/>
                <w:kern w:val="0"/>
                <w:sz w:val="24"/>
                <w:szCs w:val="24"/>
                <w:u w:val="none"/>
                <w:lang w:val="en-US" w:eastAsia="zh-CN"/>
              </w:rPr>
              <w:t>根据投标人提供的施工总体部署方案、施工准备计划方案、施工及调试技术方案、确保施工质量方案、施工计划度表、工序流程及确保进度的组织方案、文明施工及安全施工方案</w:t>
            </w:r>
            <w:bookmarkStart w:id="133" w:name="OLE_LINK2"/>
            <w:bookmarkStart w:id="134" w:name="OLE_LINK6"/>
            <w:r>
              <w:rPr>
                <w:rFonts w:hint="eastAsia" w:ascii="仿宋" w:hAnsi="仿宋" w:eastAsia="仿宋" w:cs="仿宋"/>
                <w:color w:val="auto"/>
                <w:kern w:val="0"/>
                <w:sz w:val="24"/>
                <w:szCs w:val="24"/>
                <w:u w:val="none"/>
                <w:lang w:val="en-US" w:eastAsia="zh-CN"/>
              </w:rPr>
              <w:t>等方面进行综合打分</w:t>
            </w:r>
            <w:bookmarkEnd w:id="133"/>
            <w:r>
              <w:rPr>
                <w:rFonts w:hint="eastAsia" w:ascii="仿宋" w:hAnsi="仿宋" w:eastAsia="仿宋" w:cs="仿宋"/>
                <w:color w:val="auto"/>
                <w:kern w:val="0"/>
                <w:sz w:val="24"/>
                <w:szCs w:val="24"/>
                <w:u w:val="none"/>
                <w:lang w:val="en-US" w:eastAsia="zh-CN"/>
              </w:rPr>
              <w:t>。</w:t>
            </w:r>
            <w:r>
              <w:rPr>
                <w:rFonts w:hint="eastAsia" w:ascii="仿宋" w:hAnsi="仿宋" w:eastAsia="仿宋" w:cs="仿宋"/>
                <w:color w:val="auto"/>
                <w:kern w:val="0"/>
                <w:sz w:val="24"/>
                <w:szCs w:val="24"/>
                <w:u w:val="none"/>
                <w:lang w:val="en-US" w:eastAsia="zh"/>
              </w:rPr>
              <w:t>（评分范围：</w:t>
            </w:r>
            <w:bookmarkStart w:id="135" w:name="OLE_LINK7"/>
            <w:bookmarkStart w:id="136" w:name="OLE_LINK9"/>
            <w:r>
              <w:rPr>
                <w:rFonts w:hint="eastAsia" w:ascii="仿宋" w:hAnsi="仿宋" w:eastAsia="仿宋" w:cs="仿宋"/>
                <w:color w:val="auto"/>
                <w:kern w:val="0"/>
                <w:sz w:val="24"/>
                <w:szCs w:val="24"/>
                <w:u w:val="none"/>
                <w:lang w:val="en-US" w:eastAsia="zh-CN"/>
              </w:rPr>
              <w:t>12</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11.5</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11</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10.5</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10</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9</w:t>
            </w:r>
            <w:r>
              <w:rPr>
                <w:rFonts w:hint="eastAsia" w:ascii="仿宋" w:hAnsi="仿宋" w:eastAsia="仿宋" w:cs="仿宋"/>
                <w:color w:val="auto"/>
                <w:kern w:val="0"/>
                <w:sz w:val="24"/>
                <w:szCs w:val="24"/>
                <w:u w:val="none"/>
                <w:lang w:val="en-US" w:eastAsia="zh"/>
              </w:rPr>
              <w:t>.5分，</w:t>
            </w:r>
            <w:r>
              <w:rPr>
                <w:rFonts w:hint="eastAsia" w:ascii="仿宋" w:hAnsi="仿宋" w:eastAsia="仿宋" w:cs="仿宋"/>
                <w:color w:val="auto"/>
                <w:kern w:val="0"/>
                <w:sz w:val="24"/>
                <w:szCs w:val="24"/>
                <w:u w:val="none"/>
                <w:lang w:val="en-US" w:eastAsia="zh-CN"/>
              </w:rPr>
              <w:t>9</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8</w:t>
            </w:r>
            <w:r>
              <w:rPr>
                <w:rFonts w:hint="eastAsia" w:ascii="仿宋" w:hAnsi="仿宋" w:eastAsia="仿宋" w:cs="仿宋"/>
                <w:color w:val="auto"/>
                <w:kern w:val="0"/>
                <w:sz w:val="24"/>
                <w:szCs w:val="24"/>
                <w:u w:val="none"/>
                <w:lang w:val="en-US" w:eastAsia="zh"/>
              </w:rPr>
              <w:t>.5分，</w:t>
            </w:r>
            <w:bookmarkStart w:id="137" w:name="OLE_LINK5"/>
            <w:r>
              <w:rPr>
                <w:rFonts w:hint="eastAsia" w:ascii="仿宋" w:hAnsi="仿宋" w:eastAsia="仿宋" w:cs="仿宋"/>
                <w:color w:val="auto"/>
                <w:kern w:val="0"/>
                <w:sz w:val="24"/>
                <w:szCs w:val="24"/>
                <w:u w:val="none"/>
                <w:lang w:val="en-US" w:eastAsia="zh-CN"/>
              </w:rPr>
              <w:t>8</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7</w:t>
            </w:r>
            <w:r>
              <w:rPr>
                <w:rFonts w:hint="eastAsia" w:ascii="仿宋" w:hAnsi="仿宋" w:eastAsia="仿宋" w:cs="仿宋"/>
                <w:color w:val="auto"/>
                <w:kern w:val="0"/>
                <w:sz w:val="24"/>
                <w:szCs w:val="24"/>
                <w:u w:val="none"/>
                <w:lang w:val="en-US" w:eastAsia="zh"/>
              </w:rPr>
              <w:t>.5分，</w:t>
            </w:r>
            <w:r>
              <w:rPr>
                <w:rFonts w:hint="eastAsia" w:ascii="仿宋" w:hAnsi="仿宋" w:eastAsia="仿宋" w:cs="仿宋"/>
                <w:color w:val="auto"/>
                <w:kern w:val="0"/>
                <w:sz w:val="24"/>
                <w:szCs w:val="24"/>
                <w:u w:val="none"/>
                <w:lang w:val="en-US" w:eastAsia="zh-CN"/>
              </w:rPr>
              <w:t>7</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6</w:t>
            </w:r>
            <w:r>
              <w:rPr>
                <w:rFonts w:hint="eastAsia" w:ascii="仿宋" w:hAnsi="仿宋" w:eastAsia="仿宋" w:cs="仿宋"/>
                <w:color w:val="auto"/>
                <w:kern w:val="0"/>
                <w:sz w:val="24"/>
                <w:szCs w:val="24"/>
                <w:u w:val="none"/>
                <w:lang w:val="en-US" w:eastAsia="zh"/>
              </w:rPr>
              <w:t>.5分，</w:t>
            </w:r>
            <w:bookmarkEnd w:id="137"/>
            <w:r>
              <w:rPr>
                <w:rFonts w:hint="eastAsia" w:ascii="仿宋" w:hAnsi="仿宋" w:eastAsia="仿宋" w:cs="仿宋"/>
                <w:color w:val="auto"/>
                <w:kern w:val="0"/>
                <w:sz w:val="24"/>
                <w:szCs w:val="24"/>
                <w:u w:val="none"/>
                <w:lang w:val="en-US" w:eastAsia="zh-CN"/>
              </w:rPr>
              <w:t>6</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5</w:t>
            </w:r>
            <w:r>
              <w:rPr>
                <w:rFonts w:hint="eastAsia" w:ascii="仿宋" w:hAnsi="仿宋" w:eastAsia="仿宋" w:cs="仿宋"/>
                <w:color w:val="auto"/>
                <w:kern w:val="0"/>
                <w:sz w:val="24"/>
                <w:szCs w:val="24"/>
                <w:u w:val="none"/>
                <w:lang w:val="en-US" w:eastAsia="zh"/>
              </w:rPr>
              <w:t>.5分，5分，4.5分，</w:t>
            </w:r>
            <w:bookmarkEnd w:id="135"/>
            <w:r>
              <w:rPr>
                <w:rFonts w:hint="eastAsia" w:ascii="仿宋" w:hAnsi="仿宋" w:eastAsia="仿宋" w:cs="仿宋"/>
                <w:color w:val="auto"/>
                <w:kern w:val="0"/>
                <w:sz w:val="24"/>
                <w:szCs w:val="24"/>
                <w:u w:val="none"/>
                <w:lang w:val="en-US" w:eastAsia="zh"/>
              </w:rPr>
              <w:t>4分，3.5分，3分，2.5分，2分，1.5分，1分，0.5分，0分</w:t>
            </w:r>
            <w:bookmarkEnd w:id="136"/>
            <w:r>
              <w:rPr>
                <w:rFonts w:hint="eastAsia" w:ascii="仿宋" w:hAnsi="仿宋" w:eastAsia="仿宋" w:cs="仿宋"/>
                <w:color w:val="auto"/>
                <w:kern w:val="0"/>
                <w:sz w:val="24"/>
                <w:szCs w:val="24"/>
                <w:u w:val="none"/>
                <w:lang w:val="en-US" w:eastAsia="zh"/>
              </w:rPr>
              <w:t>）</w:t>
            </w:r>
            <w:r>
              <w:rPr>
                <w:rFonts w:hint="eastAsia" w:ascii="仿宋" w:hAnsi="仿宋" w:eastAsia="仿宋" w:cs="仿宋"/>
                <w:color w:val="auto"/>
                <w:kern w:val="0"/>
                <w:sz w:val="24"/>
                <w:szCs w:val="24"/>
                <w:u w:val="none"/>
                <w:lang w:val="en-US" w:eastAsia="zh-CN"/>
              </w:rPr>
              <w:t>。</w:t>
            </w:r>
            <w:bookmarkEnd w:id="134"/>
          </w:p>
        </w:tc>
        <w:tc>
          <w:tcPr>
            <w:tcW w:w="992" w:type="dxa"/>
            <w:tcBorders>
              <w:top w:val="single" w:color="000000" w:sz="4" w:space="0"/>
              <w:left w:val="single" w:color="000000" w:sz="4" w:space="0"/>
              <w:bottom w:val="single" w:color="000000" w:sz="4" w:space="0"/>
              <w:right w:val="single" w:color="000000" w:sz="4" w:space="0"/>
            </w:tcBorders>
            <w:vAlign w:val="center"/>
          </w:tcPr>
          <w:p w14:paraId="6ABE6B72">
            <w:pPr>
              <w:keepNext w:val="0"/>
              <w:keepLines w:val="0"/>
              <w:pageBreakBefore w:val="0"/>
              <w:kinsoku/>
              <w:wordWrap/>
              <w:overflowPunct/>
              <w:topLinePunct w:val="0"/>
              <w:autoSpaceDE/>
              <w:autoSpaceDN/>
              <w:bidi w:val="0"/>
              <w:adjustRightInd/>
              <w:snapToGrid/>
              <w:spacing w:line="400" w:lineRule="exact"/>
              <w:jc w:val="center"/>
              <w:textAlignment w:val="center"/>
              <w:rPr>
                <w:rFonts w:ascii="仿宋" w:hAnsi="仿宋" w:eastAsia="仿宋" w:cs="宋体"/>
                <w:color w:val="000000"/>
                <w:kern w:val="0"/>
                <w:sz w:val="24"/>
                <w:szCs w:val="24"/>
                <w:highlight w:val="none"/>
                <w:lang w:bidi="ar"/>
              </w:rPr>
            </w:pPr>
            <w:r>
              <w:rPr>
                <w:rFonts w:hint="eastAsia" w:ascii="仿宋" w:hAnsi="仿宋" w:eastAsia="仿宋" w:cs="宋体"/>
                <w:color w:val="000000"/>
                <w:kern w:val="0"/>
                <w:sz w:val="24"/>
                <w:szCs w:val="24"/>
                <w:highlight w:val="none"/>
                <w:lang w:bidi="ar"/>
              </w:rPr>
              <w:t>0-</w:t>
            </w:r>
            <w:r>
              <w:rPr>
                <w:rFonts w:hint="eastAsia" w:ascii="仿宋" w:hAnsi="仿宋" w:eastAsia="仿宋" w:cs="宋体"/>
                <w:color w:val="000000"/>
                <w:kern w:val="0"/>
                <w:sz w:val="24"/>
                <w:szCs w:val="24"/>
                <w:highlight w:val="none"/>
                <w:lang w:val="en-US" w:eastAsia="zh-CN" w:bidi="ar"/>
              </w:rPr>
              <w:t>12</w:t>
            </w:r>
            <w:r>
              <w:rPr>
                <w:rFonts w:hint="eastAsia" w:ascii="仿宋" w:hAnsi="仿宋" w:eastAsia="仿宋" w:cs="宋体"/>
                <w:color w:val="000000"/>
                <w:kern w:val="0"/>
                <w:sz w:val="24"/>
                <w:szCs w:val="24"/>
                <w:highlight w:val="none"/>
                <w:lang w:bidi="ar"/>
              </w:rPr>
              <w:t>分</w:t>
            </w:r>
          </w:p>
        </w:tc>
      </w:tr>
      <w:tr w14:paraId="22F5A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4D79C594">
            <w:pPr>
              <w:keepNext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安全文明</w:t>
            </w:r>
          </w:p>
          <w:p w14:paraId="1E71891C">
            <w:pPr>
              <w:keepNext w:val="0"/>
              <w:pageBreakBefore w:val="0"/>
              <w:kinsoku/>
              <w:wordWrap/>
              <w:overflowPunct/>
              <w:topLinePunct w:val="0"/>
              <w:autoSpaceDE/>
              <w:autoSpaceDN/>
              <w:bidi w:val="0"/>
              <w:adjustRightInd w:val="0"/>
              <w:snapToGrid w:val="0"/>
              <w:spacing w:line="400" w:lineRule="exact"/>
              <w:jc w:val="center"/>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施工措施</w:t>
            </w:r>
          </w:p>
        </w:tc>
        <w:tc>
          <w:tcPr>
            <w:tcW w:w="6655" w:type="dxa"/>
            <w:tcBorders>
              <w:top w:val="single" w:color="000000" w:sz="4" w:space="0"/>
              <w:left w:val="single" w:color="000000" w:sz="4" w:space="0"/>
              <w:bottom w:val="single" w:color="000000" w:sz="4" w:space="0"/>
              <w:right w:val="single" w:color="000000" w:sz="4" w:space="0"/>
            </w:tcBorders>
            <w:vAlign w:val="center"/>
          </w:tcPr>
          <w:p w14:paraId="1D7CCF3A">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jc w:val="left"/>
              <w:textAlignment w:val="auto"/>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根据投标人安全生产、文明施工措施全面</w:t>
            </w:r>
            <w:r>
              <w:rPr>
                <w:rFonts w:hint="eastAsia" w:ascii="仿宋" w:hAnsi="仿宋" w:eastAsia="仿宋" w:cs="宋体"/>
                <w:color w:val="000000"/>
                <w:sz w:val="24"/>
                <w:szCs w:val="24"/>
                <w:highlight w:val="none"/>
                <w:lang w:val="en-US" w:eastAsia="zh-CN"/>
              </w:rPr>
              <w:t>性</w:t>
            </w:r>
            <w:r>
              <w:rPr>
                <w:rFonts w:hint="eastAsia" w:ascii="仿宋" w:hAnsi="仿宋" w:eastAsia="仿宋" w:cs="宋体"/>
                <w:color w:val="000000"/>
                <w:sz w:val="24"/>
                <w:szCs w:val="24"/>
                <w:highlight w:val="none"/>
                <w:lang w:val="zh-CN"/>
              </w:rPr>
              <w:t>、可行</w:t>
            </w:r>
            <w:r>
              <w:rPr>
                <w:rFonts w:hint="eastAsia" w:ascii="仿宋" w:hAnsi="仿宋" w:eastAsia="仿宋" w:cs="宋体"/>
                <w:color w:val="000000"/>
                <w:sz w:val="24"/>
                <w:szCs w:val="24"/>
                <w:highlight w:val="none"/>
                <w:lang w:val="en-US" w:eastAsia="zh-CN"/>
              </w:rPr>
              <w:t>性</w:t>
            </w:r>
            <w:r>
              <w:rPr>
                <w:rFonts w:hint="eastAsia" w:ascii="仿宋" w:hAnsi="仿宋" w:eastAsia="仿宋" w:cs="宋体"/>
                <w:color w:val="000000"/>
                <w:sz w:val="24"/>
                <w:szCs w:val="24"/>
                <w:highlight w:val="none"/>
                <w:lang w:val="zh-CN"/>
              </w:rPr>
              <w:t>、有效</w:t>
            </w:r>
            <w:r>
              <w:rPr>
                <w:rFonts w:hint="eastAsia" w:ascii="仿宋" w:hAnsi="仿宋" w:eastAsia="仿宋" w:cs="宋体"/>
                <w:color w:val="000000"/>
                <w:sz w:val="24"/>
                <w:szCs w:val="24"/>
                <w:highlight w:val="none"/>
                <w:lang w:val="en-US" w:eastAsia="zh-CN"/>
              </w:rPr>
              <w:t>性</w:t>
            </w:r>
            <w:bookmarkStart w:id="138" w:name="OLE_LINK11"/>
            <w:r>
              <w:rPr>
                <w:rFonts w:hint="eastAsia" w:ascii="仿宋" w:hAnsi="仿宋" w:eastAsia="仿宋" w:cs="仿宋"/>
                <w:color w:val="auto"/>
                <w:kern w:val="0"/>
                <w:sz w:val="24"/>
                <w:szCs w:val="24"/>
                <w:u w:val="none"/>
                <w:lang w:val="en-US" w:eastAsia="zh-CN"/>
              </w:rPr>
              <w:t>等方面进行综合打分。</w:t>
            </w:r>
            <w:r>
              <w:rPr>
                <w:rFonts w:hint="eastAsia" w:ascii="仿宋" w:hAnsi="仿宋" w:eastAsia="仿宋" w:cs="仿宋"/>
                <w:color w:val="auto"/>
                <w:kern w:val="0"/>
                <w:sz w:val="24"/>
                <w:szCs w:val="24"/>
                <w:u w:val="none"/>
                <w:lang w:val="en-US" w:eastAsia="zh"/>
              </w:rPr>
              <w:t>（评分范围：</w:t>
            </w:r>
            <w:r>
              <w:rPr>
                <w:rFonts w:hint="eastAsia" w:ascii="仿宋" w:hAnsi="仿宋" w:eastAsia="仿宋" w:cs="仿宋"/>
                <w:color w:val="auto"/>
                <w:kern w:val="0"/>
                <w:sz w:val="24"/>
                <w:szCs w:val="24"/>
                <w:u w:val="none"/>
                <w:lang w:val="en-US" w:eastAsia="zh-CN"/>
              </w:rPr>
              <w:t>8</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7.5</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7</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6.5</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6</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5</w:t>
            </w:r>
            <w:r>
              <w:rPr>
                <w:rFonts w:hint="eastAsia" w:ascii="仿宋" w:hAnsi="仿宋" w:eastAsia="仿宋" w:cs="仿宋"/>
                <w:color w:val="auto"/>
                <w:kern w:val="0"/>
                <w:sz w:val="24"/>
                <w:szCs w:val="24"/>
                <w:u w:val="none"/>
                <w:lang w:val="en-US" w:eastAsia="zh"/>
              </w:rPr>
              <w:t>.5分，5分，4.5分，4分，3.5分，3分，2.5分，2分，1.5分，1分，0.5分，0分）</w:t>
            </w:r>
            <w:r>
              <w:rPr>
                <w:rFonts w:hint="eastAsia" w:ascii="仿宋" w:hAnsi="仿宋" w:eastAsia="仿宋" w:cs="仿宋"/>
                <w:color w:val="auto"/>
                <w:kern w:val="0"/>
                <w:sz w:val="24"/>
                <w:szCs w:val="24"/>
                <w:u w:val="none"/>
                <w:lang w:val="en-US" w:eastAsia="zh-CN"/>
              </w:rPr>
              <w:t>。</w:t>
            </w:r>
            <w:bookmarkEnd w:id="138"/>
          </w:p>
        </w:tc>
        <w:tc>
          <w:tcPr>
            <w:tcW w:w="992" w:type="dxa"/>
            <w:tcBorders>
              <w:top w:val="single" w:color="000000" w:sz="4" w:space="0"/>
              <w:left w:val="single" w:color="000000" w:sz="4" w:space="0"/>
              <w:bottom w:val="single" w:color="000000" w:sz="4" w:space="0"/>
              <w:right w:val="single" w:color="000000" w:sz="4" w:space="0"/>
            </w:tcBorders>
            <w:vAlign w:val="center"/>
          </w:tcPr>
          <w:p w14:paraId="08C636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宋体"/>
                <w:color w:val="000000"/>
                <w:kern w:val="0"/>
                <w:sz w:val="24"/>
                <w:szCs w:val="24"/>
                <w:highlight w:val="none"/>
                <w:lang w:bidi="ar"/>
              </w:rPr>
            </w:pPr>
            <w:r>
              <w:rPr>
                <w:rFonts w:hint="eastAsia" w:ascii="仿宋" w:hAnsi="仿宋" w:eastAsia="仿宋" w:cs="宋体"/>
                <w:color w:val="000000"/>
                <w:kern w:val="0"/>
                <w:sz w:val="24"/>
                <w:szCs w:val="24"/>
                <w:highlight w:val="none"/>
                <w:lang w:bidi="ar"/>
              </w:rPr>
              <w:t>0-</w:t>
            </w:r>
            <w:r>
              <w:rPr>
                <w:rFonts w:hint="eastAsia" w:ascii="仿宋" w:hAnsi="仿宋" w:eastAsia="仿宋" w:cs="宋体"/>
                <w:color w:val="000000"/>
                <w:kern w:val="0"/>
                <w:sz w:val="24"/>
                <w:szCs w:val="24"/>
                <w:highlight w:val="none"/>
                <w:lang w:val="en-US" w:eastAsia="zh-CN" w:bidi="ar"/>
              </w:rPr>
              <w:t>8</w:t>
            </w:r>
            <w:r>
              <w:rPr>
                <w:rFonts w:hint="eastAsia" w:ascii="仿宋" w:hAnsi="仿宋" w:eastAsia="仿宋" w:cs="宋体"/>
                <w:color w:val="000000"/>
                <w:kern w:val="0"/>
                <w:sz w:val="24"/>
                <w:szCs w:val="24"/>
                <w:highlight w:val="none"/>
                <w:lang w:bidi="ar"/>
              </w:rPr>
              <w:t>分</w:t>
            </w:r>
          </w:p>
        </w:tc>
      </w:tr>
      <w:tr w14:paraId="77E6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14701161">
            <w:pPr>
              <w:keepNext w:val="0"/>
              <w:pageBreakBefore w:val="0"/>
              <w:kinsoku/>
              <w:wordWrap/>
              <w:overflowPunct/>
              <w:topLinePunct w:val="0"/>
              <w:autoSpaceDE/>
              <w:autoSpaceDN/>
              <w:bidi w:val="0"/>
              <w:adjustRightInd w:val="0"/>
              <w:snapToGrid w:val="0"/>
              <w:spacing w:line="400" w:lineRule="exact"/>
              <w:jc w:val="left"/>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售后服务</w:t>
            </w:r>
          </w:p>
        </w:tc>
        <w:tc>
          <w:tcPr>
            <w:tcW w:w="6655" w:type="dxa"/>
            <w:tcBorders>
              <w:top w:val="single" w:color="000000" w:sz="4" w:space="0"/>
              <w:left w:val="single" w:color="000000" w:sz="4" w:space="0"/>
              <w:bottom w:val="single" w:color="000000" w:sz="4" w:space="0"/>
              <w:right w:val="single" w:color="000000" w:sz="4" w:space="0"/>
            </w:tcBorders>
            <w:vAlign w:val="center"/>
          </w:tcPr>
          <w:p w14:paraId="01B462E4">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jc w:val="left"/>
              <w:textAlignment w:val="auto"/>
              <w:rPr>
                <w:rFonts w:ascii="仿宋" w:hAnsi="仿宋" w:eastAsia="仿宋" w:cs="宋体"/>
                <w:color w:val="000000"/>
                <w:sz w:val="24"/>
                <w:szCs w:val="24"/>
                <w:highlight w:val="none"/>
                <w:lang w:val="zh-CN"/>
              </w:rPr>
            </w:pPr>
            <w:r>
              <w:rPr>
                <w:rFonts w:hint="eastAsia" w:ascii="仿宋" w:hAnsi="仿宋" w:eastAsia="仿宋" w:cs="宋体"/>
                <w:color w:val="000000"/>
                <w:sz w:val="24"/>
                <w:szCs w:val="24"/>
                <w:highlight w:val="none"/>
                <w:lang w:val="zh-CN"/>
              </w:rPr>
              <w:t>根据投标人提供的售后服务方案（包括质保年限、服务措施、维护能力及服务响应时间、回访等）</w:t>
            </w:r>
            <w:r>
              <w:rPr>
                <w:rFonts w:hint="eastAsia" w:ascii="仿宋" w:hAnsi="仿宋" w:eastAsia="仿宋" w:cs="宋体"/>
                <w:color w:val="000000"/>
                <w:sz w:val="24"/>
                <w:szCs w:val="24"/>
                <w:highlight w:val="none"/>
                <w:lang w:val="en-US" w:eastAsia="zh-CN"/>
              </w:rPr>
              <w:t>的</w:t>
            </w:r>
            <w:r>
              <w:rPr>
                <w:rFonts w:hint="eastAsia" w:ascii="仿宋" w:hAnsi="仿宋" w:eastAsia="仿宋" w:cs="宋体"/>
                <w:color w:val="000000"/>
                <w:sz w:val="24"/>
                <w:szCs w:val="24"/>
                <w:highlight w:val="none"/>
                <w:lang w:val="zh-CN"/>
              </w:rPr>
              <w:t>全面</w:t>
            </w:r>
            <w:r>
              <w:rPr>
                <w:rFonts w:hint="eastAsia" w:ascii="仿宋" w:hAnsi="仿宋" w:eastAsia="仿宋" w:cs="宋体"/>
                <w:color w:val="000000"/>
                <w:sz w:val="24"/>
                <w:szCs w:val="24"/>
                <w:highlight w:val="none"/>
                <w:lang w:val="en-US" w:eastAsia="zh-CN"/>
              </w:rPr>
              <w:t>性</w:t>
            </w:r>
            <w:r>
              <w:rPr>
                <w:rFonts w:hint="eastAsia" w:ascii="仿宋" w:hAnsi="仿宋" w:eastAsia="仿宋" w:cs="宋体"/>
                <w:color w:val="000000"/>
                <w:sz w:val="24"/>
                <w:szCs w:val="24"/>
                <w:highlight w:val="none"/>
                <w:lang w:val="zh-CN"/>
              </w:rPr>
              <w:t>、有效性</w:t>
            </w:r>
            <w:r>
              <w:rPr>
                <w:rFonts w:hint="eastAsia" w:ascii="仿宋" w:hAnsi="仿宋" w:eastAsia="仿宋" w:cs="宋体"/>
                <w:color w:val="000000"/>
                <w:sz w:val="24"/>
                <w:szCs w:val="24"/>
                <w:highlight w:val="none"/>
                <w:lang w:val="en-US" w:eastAsia="zh-CN"/>
              </w:rPr>
              <w:t>和</w:t>
            </w:r>
            <w:r>
              <w:rPr>
                <w:rFonts w:hint="eastAsia" w:ascii="仿宋" w:hAnsi="仿宋" w:eastAsia="仿宋" w:cs="宋体"/>
                <w:color w:val="000000"/>
                <w:sz w:val="24"/>
                <w:szCs w:val="24"/>
                <w:highlight w:val="none"/>
                <w:lang w:val="zh-CN"/>
              </w:rPr>
              <w:t>可操作性</w:t>
            </w:r>
            <w:r>
              <w:rPr>
                <w:rFonts w:hint="eastAsia" w:ascii="仿宋" w:hAnsi="仿宋" w:eastAsia="仿宋" w:cs="仿宋"/>
                <w:color w:val="auto"/>
                <w:kern w:val="0"/>
                <w:sz w:val="24"/>
                <w:szCs w:val="24"/>
                <w:u w:val="none"/>
                <w:lang w:val="en-US" w:eastAsia="zh-CN"/>
              </w:rPr>
              <w:t>等方面进行综合打分。</w:t>
            </w:r>
            <w:bookmarkStart w:id="139" w:name="OLE_LINK12"/>
            <w:r>
              <w:rPr>
                <w:rFonts w:hint="eastAsia" w:ascii="仿宋" w:hAnsi="仿宋" w:eastAsia="仿宋" w:cs="仿宋"/>
                <w:color w:val="auto"/>
                <w:kern w:val="0"/>
                <w:sz w:val="24"/>
                <w:szCs w:val="24"/>
                <w:u w:val="none"/>
                <w:lang w:val="en-US" w:eastAsia="zh"/>
              </w:rPr>
              <w:t>（评分范围：</w:t>
            </w:r>
            <w:r>
              <w:rPr>
                <w:rFonts w:hint="eastAsia" w:ascii="仿宋" w:hAnsi="仿宋" w:eastAsia="仿宋" w:cs="仿宋"/>
                <w:color w:val="auto"/>
                <w:kern w:val="0"/>
                <w:sz w:val="24"/>
                <w:szCs w:val="24"/>
                <w:u w:val="none"/>
                <w:lang w:val="en-US" w:eastAsia="zh-CN"/>
              </w:rPr>
              <w:t>8</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7.5</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7</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6.5</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6</w:t>
            </w:r>
            <w:r>
              <w:rPr>
                <w:rFonts w:hint="eastAsia" w:ascii="仿宋" w:hAnsi="仿宋" w:eastAsia="仿宋" w:cs="仿宋"/>
                <w:color w:val="auto"/>
                <w:kern w:val="0"/>
                <w:sz w:val="24"/>
                <w:szCs w:val="24"/>
                <w:u w:val="none"/>
                <w:lang w:val="en-US" w:eastAsia="zh"/>
              </w:rPr>
              <w:t>分，</w:t>
            </w:r>
            <w:r>
              <w:rPr>
                <w:rFonts w:hint="eastAsia" w:ascii="仿宋" w:hAnsi="仿宋" w:eastAsia="仿宋" w:cs="仿宋"/>
                <w:color w:val="auto"/>
                <w:kern w:val="0"/>
                <w:sz w:val="24"/>
                <w:szCs w:val="24"/>
                <w:u w:val="none"/>
                <w:lang w:val="en-US" w:eastAsia="zh-CN"/>
              </w:rPr>
              <w:t>5</w:t>
            </w:r>
            <w:r>
              <w:rPr>
                <w:rFonts w:hint="eastAsia" w:ascii="仿宋" w:hAnsi="仿宋" w:eastAsia="仿宋" w:cs="仿宋"/>
                <w:color w:val="auto"/>
                <w:kern w:val="0"/>
                <w:sz w:val="24"/>
                <w:szCs w:val="24"/>
                <w:u w:val="none"/>
                <w:lang w:val="en-US" w:eastAsia="zh"/>
              </w:rPr>
              <w:t>.5分，5分，4.5分，4分，3.5分，3分，2.5分，2分，1.5分，1分，0.5分，0分）</w:t>
            </w:r>
            <w:r>
              <w:rPr>
                <w:rFonts w:hint="eastAsia" w:ascii="仿宋" w:hAnsi="仿宋" w:eastAsia="仿宋" w:cs="仿宋"/>
                <w:color w:val="auto"/>
                <w:kern w:val="0"/>
                <w:sz w:val="24"/>
                <w:szCs w:val="24"/>
                <w:u w:val="none"/>
                <w:lang w:val="en-US" w:eastAsia="zh-CN"/>
              </w:rPr>
              <w:t>。</w:t>
            </w:r>
            <w:bookmarkEnd w:id="139"/>
          </w:p>
        </w:tc>
        <w:tc>
          <w:tcPr>
            <w:tcW w:w="992" w:type="dxa"/>
            <w:tcBorders>
              <w:top w:val="single" w:color="000000" w:sz="4" w:space="0"/>
              <w:left w:val="single" w:color="000000" w:sz="4" w:space="0"/>
              <w:bottom w:val="single" w:color="000000" w:sz="4" w:space="0"/>
              <w:right w:val="single" w:color="000000" w:sz="4" w:space="0"/>
            </w:tcBorders>
            <w:vAlign w:val="center"/>
          </w:tcPr>
          <w:p w14:paraId="646C78C3">
            <w:pPr>
              <w:keepNext w:val="0"/>
              <w:pageBreakBefore w:val="0"/>
              <w:kinsoku/>
              <w:wordWrap/>
              <w:overflowPunct/>
              <w:topLinePunct w:val="0"/>
              <w:autoSpaceDE/>
              <w:autoSpaceDN/>
              <w:bidi w:val="0"/>
              <w:spacing w:line="400" w:lineRule="exact"/>
              <w:jc w:val="center"/>
              <w:textAlignment w:val="center"/>
              <w:rPr>
                <w:rFonts w:ascii="仿宋" w:hAnsi="仿宋" w:eastAsia="仿宋" w:cs="宋体"/>
                <w:color w:val="000000"/>
                <w:kern w:val="0"/>
                <w:sz w:val="24"/>
                <w:szCs w:val="24"/>
                <w:highlight w:val="none"/>
                <w:lang w:bidi="ar"/>
              </w:rPr>
            </w:pPr>
            <w:bookmarkStart w:id="140" w:name="OLE_LINK10"/>
            <w:r>
              <w:rPr>
                <w:rFonts w:hint="eastAsia" w:ascii="仿宋" w:hAnsi="仿宋" w:eastAsia="仿宋" w:cs="宋体"/>
                <w:color w:val="000000"/>
                <w:kern w:val="0"/>
                <w:sz w:val="24"/>
                <w:szCs w:val="24"/>
                <w:highlight w:val="none"/>
                <w:lang w:bidi="ar"/>
              </w:rPr>
              <w:t>0-</w:t>
            </w:r>
            <w:r>
              <w:rPr>
                <w:rFonts w:hint="eastAsia" w:ascii="仿宋" w:hAnsi="仿宋" w:eastAsia="仿宋" w:cs="宋体"/>
                <w:color w:val="000000"/>
                <w:kern w:val="0"/>
                <w:sz w:val="24"/>
                <w:szCs w:val="24"/>
                <w:highlight w:val="none"/>
                <w:lang w:val="en-US" w:eastAsia="zh-CN" w:bidi="ar"/>
              </w:rPr>
              <w:t>8</w:t>
            </w:r>
            <w:r>
              <w:rPr>
                <w:rFonts w:hint="eastAsia" w:ascii="仿宋" w:hAnsi="仿宋" w:eastAsia="仿宋" w:cs="宋体"/>
                <w:color w:val="000000"/>
                <w:kern w:val="0"/>
                <w:sz w:val="24"/>
                <w:szCs w:val="24"/>
                <w:highlight w:val="none"/>
                <w:lang w:bidi="ar"/>
              </w:rPr>
              <w:t>分</w:t>
            </w:r>
            <w:bookmarkEnd w:id="140"/>
          </w:p>
        </w:tc>
      </w:tr>
    </w:tbl>
    <w:p w14:paraId="35B3A92A">
      <w:pPr>
        <w:pStyle w:val="55"/>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15"/>
          <w:rFonts w:hint="eastAsia" w:ascii="仿宋" w:hAnsi="仿宋" w:eastAsia="仿宋" w:cs="仿宋"/>
          <w:b/>
          <w:bCs/>
          <w:color w:val="auto"/>
          <w:sz w:val="24"/>
          <w:szCs w:val="24"/>
          <w:highlight w:val="none"/>
          <w:lang w:val="en-US" w:eastAsia="zh-CN"/>
        </w:rPr>
      </w:pPr>
      <w:r>
        <w:rPr>
          <w:rStyle w:val="615"/>
          <w:rFonts w:hint="eastAsia" w:ascii="仿宋" w:hAnsi="仿宋" w:eastAsia="仿宋" w:cs="仿宋"/>
          <w:b/>
          <w:bCs/>
          <w:color w:val="auto"/>
          <w:sz w:val="24"/>
          <w:szCs w:val="24"/>
          <w:highlight w:val="none"/>
          <w:lang w:val="en-US" w:eastAsia="zh-CN"/>
        </w:rPr>
        <w:t>注：商务技术得分低于商务技术总分60%的投标人的报价将被拒绝。</w:t>
      </w:r>
    </w:p>
    <w:p w14:paraId="23F6DEC9">
      <w:pPr>
        <w:numPr>
          <w:ilvl w:val="0"/>
          <w:numId w:val="0"/>
        </w:numPr>
        <w:rPr>
          <w:rFonts w:hint="eastAsia" w:ascii="仿宋" w:hAnsi="仿宋" w:eastAsia="仿宋" w:cs="仿宋"/>
          <w:b/>
          <w:bCs/>
          <w:sz w:val="24"/>
          <w:szCs w:val="24"/>
          <w:highlight w:val="none"/>
        </w:rPr>
      </w:pPr>
    </w:p>
    <w:p w14:paraId="02D74AEB">
      <w:pPr>
        <w:spacing w:line="440" w:lineRule="exact"/>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说明：上表所列为投标人的商务条件。请投标人严格按照要求提交相关证明材料，否则有可能影响评审结果。</w:t>
      </w:r>
    </w:p>
    <w:p w14:paraId="02A15EE3">
      <w:pPr>
        <w:spacing w:line="440" w:lineRule="exact"/>
        <w:ind w:firstLine="482" w:firstLineChars="200"/>
        <w:jc w:val="left"/>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（二）价格评分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30分）</w:t>
      </w:r>
    </w:p>
    <w:p w14:paraId="6ADBDE67">
      <w:pPr>
        <w:spacing w:line="440" w:lineRule="exact"/>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1、价格分采用低价优先法计算：</w:t>
      </w:r>
    </w:p>
    <w:p w14:paraId="23FF7466">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价格分满分分值：</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分</w:t>
      </w:r>
    </w:p>
    <w:p w14:paraId="0F48EB7F">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所有合格投标人中最低投标报价为评标基准价，各投标人的价格得分=评标基准价÷各投标人的投标报价×价格满分分值。</w:t>
      </w:r>
    </w:p>
    <w:p w14:paraId="73C54F23">
      <w:pPr>
        <w:pStyle w:val="61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lang w:val="en-US" w:eastAsia="zh-CN"/>
        </w:rPr>
        <w:t>2</w:t>
      </w:r>
      <w:r>
        <w:rPr>
          <w:rFonts w:hint="eastAsia" w:ascii="仿宋" w:hAnsi="仿宋" w:eastAsia="仿宋" w:cs="仿宋"/>
          <w:b/>
          <w:bCs/>
          <w:color w:val="auto"/>
          <w:kern w:val="2"/>
          <w:sz w:val="24"/>
          <w:szCs w:val="24"/>
        </w:rPr>
        <w:t>、政策功能的评标价格扣除</w:t>
      </w:r>
    </w:p>
    <w:p w14:paraId="592A392F">
      <w:pPr>
        <w:pStyle w:val="61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（1）“评标价格”是指符合相关政策要求，按一定比例对投标报价进行政策功能的扣除后，仅用作价格分评分的价格（中标价及合同价仍以其投标报价为准）。</w:t>
      </w:r>
    </w:p>
    <w:p w14:paraId="5913DA10">
      <w:pPr>
        <w:pStyle w:val="61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（2）投标人为小微（监狱）企业，其评标价格为投标报价扣除</w:t>
      </w:r>
      <w:r>
        <w:rPr>
          <w:rFonts w:hint="eastAsia" w:ascii="仿宋" w:hAnsi="仿宋" w:eastAsia="仿宋" w:cs="仿宋"/>
          <w:b w:val="0"/>
          <w:bCs w:val="0"/>
          <w:color w:val="auto"/>
          <w:kern w:val="2"/>
          <w:sz w:val="24"/>
          <w:szCs w:val="24"/>
          <w:lang w:val="en-US" w:eastAsia="zh-CN"/>
        </w:rPr>
        <w:t>1</w:t>
      </w:r>
      <w:r>
        <w:rPr>
          <w:rFonts w:hint="eastAsia" w:ascii="仿宋" w:hAnsi="仿宋" w:eastAsia="仿宋" w:cs="仿宋"/>
          <w:b w:val="0"/>
          <w:bCs w:val="0"/>
          <w:color w:val="auto"/>
          <w:kern w:val="2"/>
          <w:sz w:val="24"/>
          <w:szCs w:val="24"/>
        </w:rPr>
        <w:t>0%，即投标报价*</w:t>
      </w:r>
      <w:r>
        <w:rPr>
          <w:rFonts w:hint="eastAsia" w:ascii="仿宋" w:hAnsi="仿宋" w:eastAsia="仿宋" w:cs="仿宋"/>
          <w:b w:val="0"/>
          <w:bCs w:val="0"/>
          <w:color w:val="auto"/>
          <w:kern w:val="2"/>
          <w:sz w:val="24"/>
          <w:szCs w:val="24"/>
          <w:lang w:val="en-US" w:eastAsia="zh-CN"/>
        </w:rPr>
        <w:t>9</w:t>
      </w:r>
      <w:r>
        <w:rPr>
          <w:rFonts w:hint="eastAsia" w:ascii="仿宋" w:hAnsi="仿宋" w:eastAsia="仿宋" w:cs="仿宋"/>
          <w:b w:val="0"/>
          <w:bCs w:val="0"/>
          <w:color w:val="auto"/>
          <w:kern w:val="2"/>
          <w:sz w:val="24"/>
          <w:szCs w:val="24"/>
        </w:rPr>
        <w:t>0%。</w:t>
      </w:r>
    </w:p>
    <w:p w14:paraId="6F85EAE6">
      <w:pPr>
        <w:pStyle w:val="61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（3）残疾人福利性单位参加投标【提供《残疾人福利性单位声明函》】，视为小型、微型企业，享受小微企业政策扶持。此项由评标委员会集体核实后统一打分。</w:t>
      </w:r>
    </w:p>
    <w:p w14:paraId="197EDC79">
      <w:pPr>
        <w:pStyle w:val="61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（4）小型和微型企业应提供《中小企业声明函》；监狱企业应提供监狱企业证明材料；残疾人福利性单位应提供残疾人福利性单位声明函。不提供以上证明材料的不享受报价优惠。</w:t>
      </w:r>
    </w:p>
    <w:p w14:paraId="5BA1660E">
      <w:pPr>
        <w:pStyle w:val="61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（5）证明材料提供不全或无法证明的视为不符合政策功能的评标价格扣除要求，将不予评标价格的扣除。</w:t>
      </w:r>
    </w:p>
    <w:p w14:paraId="5204F026">
      <w:pPr>
        <w:spacing w:line="440" w:lineRule="exact"/>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 xml:space="preserve">修改评标结果 </w:t>
      </w:r>
    </w:p>
    <w:p w14:paraId="7BC13381">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评标结果汇总完成后，除下列情形外，任何人不得修改评标结果： </w:t>
      </w:r>
    </w:p>
    <w:p w14:paraId="0A415F0C">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（1）分值汇总计算错误的；</w:t>
      </w:r>
    </w:p>
    <w:p w14:paraId="55964B10">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（2）分项评分超出评分标准范围的； </w:t>
      </w:r>
    </w:p>
    <w:p w14:paraId="2D35509A">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（3）评标委员会成员对客观评审因素评分不一致的； </w:t>
      </w:r>
    </w:p>
    <w:p w14:paraId="268FA49C">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（4）经评标委员会认定评分畸高、畸低的。 </w:t>
      </w:r>
    </w:p>
    <w:sectPr>
      <w:pgSz w:w="11906" w:h="16838"/>
      <w:pgMar w:top="1417" w:right="1417" w:bottom="1417" w:left="1417" w:header="851" w:footer="992" w:gutter="0"/>
      <w:cols w:space="0" w:num="1"/>
      <w:rtlGutter w:val="0"/>
      <w:docGrid w:type="lines" w:linePitch="3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ヒラギノ角ゴ Pro W3">
    <w:altName w:val="MS Mincho"/>
    <w:panose1 w:val="00000000000000000000"/>
    <w:charset w:val="80"/>
    <w:family w:val="auto"/>
    <w:pitch w:val="default"/>
    <w:sig w:usb0="00000000" w:usb1="00000000" w:usb2="00000012" w:usb3="00000000" w:csb0="0002000D"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813B">
    <w:pPr>
      <w:pStyle w:val="58"/>
      <w:framePr w:wrap="around" w:vAnchor="text" w:hAnchor="margin" w:xAlign="right" w:y="1"/>
      <w:rPr>
        <w:rStyle w:val="95"/>
      </w:rPr>
    </w:pPr>
    <w:r>
      <w:fldChar w:fldCharType="begin"/>
    </w:r>
    <w:r>
      <w:rPr>
        <w:rStyle w:val="95"/>
      </w:rPr>
      <w:instrText xml:space="preserve">PAGE  </w:instrText>
    </w:r>
    <w:r>
      <w:fldChar w:fldCharType="end"/>
    </w:r>
  </w:p>
  <w:p w14:paraId="7EAEE083">
    <w:pPr>
      <w:pStyle w:val="5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A065">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162560"/>
              <wp:effectExtent l="19050" t="19050" r="12065" b="12700"/>
              <wp:wrapNone/>
              <wp:docPr id="2" name="文本框 3076"/>
              <wp:cNvGraphicFramePr/>
              <a:graphic xmlns:a="http://schemas.openxmlformats.org/drawingml/2006/main">
                <a:graphicData uri="http://schemas.microsoft.com/office/word/2010/wordprocessingShape">
                  <wps:wsp>
                    <wps:cNvSpPr txBox="1"/>
                    <wps:spPr>
                      <a:xfrm>
                        <a:off x="0" y="0"/>
                        <a:ext cx="445135" cy="162560"/>
                      </a:xfrm>
                      <a:prstGeom prst="rect">
                        <a:avLst/>
                      </a:prstGeom>
                      <a:noFill/>
                      <a:ln w="15875">
                        <a:noFill/>
                      </a:ln>
                    </wps:spPr>
                    <wps:txbx>
                      <w:txbxContent>
                        <w:p w14:paraId="7772D6C9">
                          <w:pPr>
                            <w:rPr>
                              <w:sz w:val="21"/>
                              <w:szCs w:val="21"/>
                            </w:rPr>
                          </w:pPr>
                          <w:r>
                            <w:rPr>
                              <w:sz w:val="21"/>
                              <w:szCs w:val="21"/>
                            </w:rPr>
                            <w:fldChar w:fldCharType="begin"/>
                          </w:r>
                          <w:r>
                            <w:rPr>
                              <w:sz w:val="21"/>
                              <w:szCs w:val="21"/>
                            </w:rPr>
                            <w:instrText xml:space="preserve">PAGE</w:instrText>
                          </w:r>
                          <w:r>
                            <w:rPr>
                              <w:sz w:val="21"/>
                              <w:szCs w:val="21"/>
                            </w:rPr>
                            <w:fldChar w:fldCharType="separate"/>
                          </w:r>
                          <w:r>
                            <w:rPr>
                              <w:sz w:val="21"/>
                              <w:szCs w:val="21"/>
                            </w:rPr>
                            <w:t>48</w:t>
                          </w:r>
                          <w:r>
                            <w:rPr>
                              <w:sz w:val="21"/>
                              <w:szCs w:val="21"/>
                            </w:rPr>
                            <w:fldChar w:fldCharType="end"/>
                          </w:r>
                        </w:p>
                      </w:txbxContent>
                    </wps:txbx>
                    <wps:bodyPr lIns="0" tIns="0" rIns="0" bIns="0" upright="1">
                      <a:spAutoFit/>
                    </wps:bodyPr>
                  </wps:wsp>
                </a:graphicData>
              </a:graphic>
            </wp:anchor>
          </w:drawing>
        </mc:Choice>
        <mc:Fallback>
          <w:pict>
            <v:shape id="文本框 3076" o:spid="_x0000_s1026" o:spt="202" type="#_x0000_t202" style="position:absolute;left:0pt;margin-top:0pt;height:12.8pt;width:35.05pt;mso-position-horizontal:center;mso-position-horizontal-relative:margin;z-index:251659264;mso-width-relative:page;mso-height-relative:page;" filled="f" stroked="f" coordsize="21600,21600" o:gfxdata="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e+VIDUAAAAAwEAAA8AAAAAAAAAAQAgAAAAIgAA&#10;AGRycy9kb3ducmV2LnhtbFBLAQIUABQAAAAIAIdO4kD0mUfY0wEAAJgDAAAOAAAAAAAAAAEAIAAA&#10;ACMBAABkcnMvZTJvRG9jLnhtbFBLBQYAAAAABgAGAFkBAABoBQAAAAA=&#10;">
              <v:fill on="f" focussize="0,0"/>
              <v:stroke on="f" weight="1.25pt"/>
              <v:imagedata o:title=""/>
              <o:lock v:ext="edit" aspectratio="f"/>
              <v:textbox inset="0mm,0mm,0mm,0mm" style="mso-fit-shape-to-text:t;">
                <w:txbxContent>
                  <w:p w14:paraId="7772D6C9">
                    <w:pPr>
                      <w:rPr>
                        <w:sz w:val="21"/>
                        <w:szCs w:val="21"/>
                      </w:rPr>
                    </w:pPr>
                    <w:r>
                      <w:rPr>
                        <w:sz w:val="21"/>
                        <w:szCs w:val="21"/>
                      </w:rPr>
                      <w:fldChar w:fldCharType="begin"/>
                    </w:r>
                    <w:r>
                      <w:rPr>
                        <w:sz w:val="21"/>
                        <w:szCs w:val="21"/>
                      </w:rPr>
                      <w:instrText xml:space="preserve">PAGE</w:instrText>
                    </w:r>
                    <w:r>
                      <w:rPr>
                        <w:sz w:val="21"/>
                        <w:szCs w:val="21"/>
                      </w:rPr>
                      <w:fldChar w:fldCharType="separate"/>
                    </w:r>
                    <w:r>
                      <w:rPr>
                        <w:sz w:val="21"/>
                        <w:szCs w:val="21"/>
                      </w:rPr>
                      <w:t>48</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DA87">
    <w:r>
      <w:fldChar w:fldCharType="begin"/>
    </w:r>
    <w:r>
      <w:instrText xml:space="preserve">PAGE  </w:instrText>
    </w:r>
    <w:r>
      <w:fldChar w:fldCharType="separate"/>
    </w:r>
    <w:r>
      <w:t>1</w:t>
    </w:r>
    <w:r>
      <w:fldChar w:fldCharType="end"/>
    </w:r>
  </w:p>
  <w:p w14:paraId="24C25012"/>
  <w:p w14:paraId="33402811"/>
  <w:p w14:paraId="22B2B429"/>
  <w:p w14:paraId="0619B489"/>
  <w:p w14:paraId="7EA4D5A8"/>
  <w:p w14:paraId="28C0A2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CCD4">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0340" cy="217170"/>
              <wp:effectExtent l="19050" t="19050" r="13970" b="15240"/>
              <wp:wrapNone/>
              <wp:docPr id="4" name="文本框 3077"/>
              <wp:cNvGraphicFramePr/>
              <a:graphic xmlns:a="http://schemas.openxmlformats.org/drawingml/2006/main">
                <a:graphicData uri="http://schemas.microsoft.com/office/word/2010/wordprocessingShape">
                  <wps:wsp>
                    <wps:cNvSpPr txBox="1"/>
                    <wps:spPr>
                      <a:xfrm>
                        <a:off x="0" y="0"/>
                        <a:ext cx="180340" cy="217170"/>
                      </a:xfrm>
                      <a:prstGeom prst="rect">
                        <a:avLst/>
                      </a:prstGeom>
                      <a:noFill/>
                      <a:ln w="15875">
                        <a:noFill/>
                      </a:ln>
                    </wps:spPr>
                    <wps:txbx>
                      <w:txbxContent>
                        <w:p w14:paraId="701FF239">
                          <w:r>
                            <w:fldChar w:fldCharType="begin"/>
                          </w:r>
                          <w:r>
                            <w:instrText xml:space="preserve">PAGE</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3077" o:spid="_x0000_s1026" o:spt="202" type="#_x0000_t202" style="position:absolute;left:0pt;margin-top:0pt;height:17.1pt;width:14.2pt;mso-position-horizontal:center;mso-position-horizontal-relative:margin;mso-wrap-style:none;z-index:251660288;mso-width-relative:page;mso-height-relative:page;" filled="f" stroked="f" coordsize="21600,21600" o:gfxdata="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Xyv8XUAAAAAwEAAA8AAAAAAAAAAQAg&#10;AAAAIgAAAGRycy9kb3ducmV2LnhtbFBLAQIUABQAAAAIAIdO4kD7jq0C2QEAAKQDAAAOAAAAAAAA&#10;AAEAIAAAACMBAABkcnMvZTJvRG9jLnhtbFBLBQYAAAAABgAGAFkBAABuBQAAAAA=&#10;">
              <v:fill on="f" focussize="0,0"/>
              <v:stroke on="f" weight="1.25pt"/>
              <v:imagedata o:title=""/>
              <o:lock v:ext="edit" aspectratio="f"/>
              <v:textbox inset="0mm,0mm,0mm,0mm" style="mso-fit-shape-to-text:t;">
                <w:txbxContent>
                  <w:p w14:paraId="701FF239">
                    <w:r>
                      <w:fldChar w:fldCharType="begin"/>
                    </w:r>
                    <w:r>
                      <w:instrText xml:space="preserve">PAGE</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F87B7">
    <w:pPr>
      <w:pStyle w:val="60"/>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FB07C">
    <w:pPr>
      <w:pStyle w:val="6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00000010"/>
    <w:multiLevelType w:val="singleLevel"/>
    <w:tmpl w:val="00000010"/>
    <w:lvl w:ilvl="0" w:tentative="0">
      <w:start w:val="2"/>
      <w:numFmt w:val="chineseCounting"/>
      <w:suff w:val="nothing"/>
      <w:lvlText w:val="%1、"/>
      <w:lvlJc w:val="left"/>
    </w:lvl>
  </w:abstractNum>
  <w:abstractNum w:abstractNumId="3">
    <w:nsid w:val="0E7D0BCA"/>
    <w:multiLevelType w:val="singleLevel"/>
    <w:tmpl w:val="0E7D0BCA"/>
    <w:lvl w:ilvl="0" w:tentative="0">
      <w:start w:val="2"/>
      <w:numFmt w:val="chineseCounting"/>
      <w:suff w:val="nothing"/>
      <w:lvlText w:val="%1、"/>
      <w:lvlJc w:val="left"/>
      <w:rPr>
        <w:rFonts w:hint="eastAsia"/>
      </w:rPr>
    </w:lvl>
  </w:abstractNum>
  <w:abstractNum w:abstractNumId="4">
    <w:nsid w:val="5774CE74"/>
    <w:multiLevelType w:val="singleLevel"/>
    <w:tmpl w:val="5774CE74"/>
    <w:lvl w:ilvl="0" w:tentative="0">
      <w:start w:val="1"/>
      <w:numFmt w:val="chineseCounting"/>
      <w:suff w:val="nothing"/>
      <w:lvlText w:val="（%1）"/>
      <w:lvlJc w:val="left"/>
      <w:rPr>
        <w:rFonts w:hint="eastAsia"/>
      </w:rPr>
    </w:lvl>
  </w:abstractNum>
  <w:abstractNum w:abstractNumId="5">
    <w:nsid w:val="577C7E94"/>
    <w:multiLevelType w:val="singleLevel"/>
    <w:tmpl w:val="577C7E94"/>
    <w:lvl w:ilvl="0" w:tentative="0">
      <w:start w:val="1"/>
      <w:numFmt w:val="decimal"/>
      <w:suff w:val="nothing"/>
      <w:lvlText w:val="（%1）"/>
      <w:lvlJc w:val="left"/>
      <w:rPr>
        <w:rFonts w:cs="Times New Roman"/>
      </w:rPr>
    </w:lvl>
  </w:abstractNum>
  <w:abstractNum w:abstractNumId="6">
    <w:nsid w:val="787D838A"/>
    <w:multiLevelType w:val="singleLevel"/>
    <w:tmpl w:val="787D838A"/>
    <w:lvl w:ilvl="0" w:tentative="0">
      <w:start w:val="1"/>
      <w:numFmt w:val="decimal"/>
      <w:suff w:val="nothing"/>
      <w:lvlText w:val="（%1）"/>
      <w:lvlJc w:val="left"/>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80"/>
  <w:drawingGridVerticalSpacing w:val="19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ODdmOGJhZjhhYjdkNzUwMTI2OTg0NjBmNGVhZGEifQ=="/>
  </w:docVars>
  <w:rsids>
    <w:rsidRoot w:val="007A5D82"/>
    <w:rsid w:val="00046B9C"/>
    <w:rsid w:val="00105D0F"/>
    <w:rsid w:val="001110CA"/>
    <w:rsid w:val="0015040C"/>
    <w:rsid w:val="00184430"/>
    <w:rsid w:val="001A0CD4"/>
    <w:rsid w:val="001B2290"/>
    <w:rsid w:val="002272AD"/>
    <w:rsid w:val="003A0BA2"/>
    <w:rsid w:val="003A42CB"/>
    <w:rsid w:val="00430F02"/>
    <w:rsid w:val="00483399"/>
    <w:rsid w:val="0048446F"/>
    <w:rsid w:val="004C5C7F"/>
    <w:rsid w:val="00553F2B"/>
    <w:rsid w:val="00560C55"/>
    <w:rsid w:val="00592201"/>
    <w:rsid w:val="005F42E1"/>
    <w:rsid w:val="00656595"/>
    <w:rsid w:val="007221E1"/>
    <w:rsid w:val="007506F2"/>
    <w:rsid w:val="00750C8A"/>
    <w:rsid w:val="007676F2"/>
    <w:rsid w:val="00785368"/>
    <w:rsid w:val="007A5D82"/>
    <w:rsid w:val="007C3852"/>
    <w:rsid w:val="007D6267"/>
    <w:rsid w:val="007D66A4"/>
    <w:rsid w:val="00805039"/>
    <w:rsid w:val="00806165"/>
    <w:rsid w:val="00860E97"/>
    <w:rsid w:val="008618A5"/>
    <w:rsid w:val="00874F52"/>
    <w:rsid w:val="008B1278"/>
    <w:rsid w:val="008B19E7"/>
    <w:rsid w:val="008B6D38"/>
    <w:rsid w:val="009175E9"/>
    <w:rsid w:val="00965F66"/>
    <w:rsid w:val="00984C10"/>
    <w:rsid w:val="009F125B"/>
    <w:rsid w:val="00B01166"/>
    <w:rsid w:val="00B1163D"/>
    <w:rsid w:val="00B32473"/>
    <w:rsid w:val="00B34A9D"/>
    <w:rsid w:val="00BC71A5"/>
    <w:rsid w:val="00C23D3C"/>
    <w:rsid w:val="00C613E1"/>
    <w:rsid w:val="00C82A52"/>
    <w:rsid w:val="00C83E71"/>
    <w:rsid w:val="00C94444"/>
    <w:rsid w:val="00CB7716"/>
    <w:rsid w:val="00E20DA8"/>
    <w:rsid w:val="00E339FD"/>
    <w:rsid w:val="00FC02BF"/>
    <w:rsid w:val="00FC5D2D"/>
    <w:rsid w:val="010B2802"/>
    <w:rsid w:val="01A952A5"/>
    <w:rsid w:val="01C072D1"/>
    <w:rsid w:val="01C615A6"/>
    <w:rsid w:val="01E711B5"/>
    <w:rsid w:val="01EA56E0"/>
    <w:rsid w:val="020E0671"/>
    <w:rsid w:val="02486464"/>
    <w:rsid w:val="02577D83"/>
    <w:rsid w:val="029E2CCC"/>
    <w:rsid w:val="02AE511D"/>
    <w:rsid w:val="02EA1ADD"/>
    <w:rsid w:val="02F33DBC"/>
    <w:rsid w:val="032F52A2"/>
    <w:rsid w:val="037607A9"/>
    <w:rsid w:val="0378149B"/>
    <w:rsid w:val="03B33683"/>
    <w:rsid w:val="03ED592B"/>
    <w:rsid w:val="03F52021"/>
    <w:rsid w:val="04197F7D"/>
    <w:rsid w:val="04267B2D"/>
    <w:rsid w:val="05002583"/>
    <w:rsid w:val="051671DE"/>
    <w:rsid w:val="05452235"/>
    <w:rsid w:val="058C3A28"/>
    <w:rsid w:val="05923329"/>
    <w:rsid w:val="05AF3B52"/>
    <w:rsid w:val="05D620BB"/>
    <w:rsid w:val="05DD06BF"/>
    <w:rsid w:val="0606640A"/>
    <w:rsid w:val="060B5498"/>
    <w:rsid w:val="0661309E"/>
    <w:rsid w:val="06762303"/>
    <w:rsid w:val="06792B33"/>
    <w:rsid w:val="07451925"/>
    <w:rsid w:val="07481B68"/>
    <w:rsid w:val="07573A4B"/>
    <w:rsid w:val="078A289D"/>
    <w:rsid w:val="078F4399"/>
    <w:rsid w:val="07F26E99"/>
    <w:rsid w:val="081517C9"/>
    <w:rsid w:val="08984F42"/>
    <w:rsid w:val="08A2174C"/>
    <w:rsid w:val="08E47FB5"/>
    <w:rsid w:val="094D4E6D"/>
    <w:rsid w:val="095A3DD5"/>
    <w:rsid w:val="09630EDC"/>
    <w:rsid w:val="09711B06"/>
    <w:rsid w:val="097F23C2"/>
    <w:rsid w:val="098059F4"/>
    <w:rsid w:val="098933C5"/>
    <w:rsid w:val="09E35B78"/>
    <w:rsid w:val="09FE29B2"/>
    <w:rsid w:val="0A153EEE"/>
    <w:rsid w:val="0A2A720D"/>
    <w:rsid w:val="0A3E54A5"/>
    <w:rsid w:val="0A7342ED"/>
    <w:rsid w:val="0A922957"/>
    <w:rsid w:val="0AAF317C"/>
    <w:rsid w:val="0AB63659"/>
    <w:rsid w:val="0ABD2CEF"/>
    <w:rsid w:val="0ADE5666"/>
    <w:rsid w:val="0AE679B4"/>
    <w:rsid w:val="0AF15907"/>
    <w:rsid w:val="0AF52007"/>
    <w:rsid w:val="0AFA112A"/>
    <w:rsid w:val="0B4E3937"/>
    <w:rsid w:val="0B93596A"/>
    <w:rsid w:val="0BC725CF"/>
    <w:rsid w:val="0C023294"/>
    <w:rsid w:val="0C247E76"/>
    <w:rsid w:val="0C557468"/>
    <w:rsid w:val="0CB03DE2"/>
    <w:rsid w:val="0CBB0466"/>
    <w:rsid w:val="0D3B52AC"/>
    <w:rsid w:val="0D4032E2"/>
    <w:rsid w:val="0D6A666D"/>
    <w:rsid w:val="0D8439D4"/>
    <w:rsid w:val="0DCF3E18"/>
    <w:rsid w:val="0DDA7292"/>
    <w:rsid w:val="0E230E64"/>
    <w:rsid w:val="0E4E2B84"/>
    <w:rsid w:val="0E9B24BE"/>
    <w:rsid w:val="0EAB3B9B"/>
    <w:rsid w:val="0EDC7776"/>
    <w:rsid w:val="0EE051A1"/>
    <w:rsid w:val="0F2F2629"/>
    <w:rsid w:val="0F5425F0"/>
    <w:rsid w:val="0F543258"/>
    <w:rsid w:val="0F730ED6"/>
    <w:rsid w:val="0FC06D70"/>
    <w:rsid w:val="0FC63F72"/>
    <w:rsid w:val="100D0E29"/>
    <w:rsid w:val="100D5B82"/>
    <w:rsid w:val="10223FCA"/>
    <w:rsid w:val="104A4EA6"/>
    <w:rsid w:val="1066305F"/>
    <w:rsid w:val="109D6373"/>
    <w:rsid w:val="10D87FE7"/>
    <w:rsid w:val="10D968D8"/>
    <w:rsid w:val="10DE52EC"/>
    <w:rsid w:val="110C481C"/>
    <w:rsid w:val="111B21B7"/>
    <w:rsid w:val="113C368A"/>
    <w:rsid w:val="117222C4"/>
    <w:rsid w:val="11CE35B2"/>
    <w:rsid w:val="121F09AF"/>
    <w:rsid w:val="123216F5"/>
    <w:rsid w:val="125449EC"/>
    <w:rsid w:val="12680B77"/>
    <w:rsid w:val="129E2F84"/>
    <w:rsid w:val="12AA4B5F"/>
    <w:rsid w:val="12E36A46"/>
    <w:rsid w:val="136B0FEB"/>
    <w:rsid w:val="13C133CE"/>
    <w:rsid w:val="13CB6B94"/>
    <w:rsid w:val="13D06AF7"/>
    <w:rsid w:val="13D17159"/>
    <w:rsid w:val="13E250F3"/>
    <w:rsid w:val="149F13F6"/>
    <w:rsid w:val="14BF17D8"/>
    <w:rsid w:val="14F5178A"/>
    <w:rsid w:val="14FD28A1"/>
    <w:rsid w:val="150A66AF"/>
    <w:rsid w:val="152B18E9"/>
    <w:rsid w:val="15494A12"/>
    <w:rsid w:val="157F1012"/>
    <w:rsid w:val="158C40F9"/>
    <w:rsid w:val="15E57EC7"/>
    <w:rsid w:val="1619234F"/>
    <w:rsid w:val="161A7793"/>
    <w:rsid w:val="167C4C19"/>
    <w:rsid w:val="17103D25"/>
    <w:rsid w:val="17CA1C88"/>
    <w:rsid w:val="17FB413D"/>
    <w:rsid w:val="18521DAF"/>
    <w:rsid w:val="189746FE"/>
    <w:rsid w:val="18BD7185"/>
    <w:rsid w:val="18CB3510"/>
    <w:rsid w:val="18EC2236"/>
    <w:rsid w:val="194B6781"/>
    <w:rsid w:val="196914EC"/>
    <w:rsid w:val="199D21E8"/>
    <w:rsid w:val="19B80DD0"/>
    <w:rsid w:val="19CA4111"/>
    <w:rsid w:val="19D96F98"/>
    <w:rsid w:val="1A223074"/>
    <w:rsid w:val="1A295940"/>
    <w:rsid w:val="1A2A15A2"/>
    <w:rsid w:val="1A2E39C6"/>
    <w:rsid w:val="1A8A43E1"/>
    <w:rsid w:val="1A8C4243"/>
    <w:rsid w:val="1ACE63D1"/>
    <w:rsid w:val="1AE068C5"/>
    <w:rsid w:val="1B30102A"/>
    <w:rsid w:val="1B397CEE"/>
    <w:rsid w:val="1B3C4D24"/>
    <w:rsid w:val="1B6C41F2"/>
    <w:rsid w:val="1BB67591"/>
    <w:rsid w:val="1BF55942"/>
    <w:rsid w:val="1C033E58"/>
    <w:rsid w:val="1C237DF4"/>
    <w:rsid w:val="1C4B7E6F"/>
    <w:rsid w:val="1C6C46BD"/>
    <w:rsid w:val="1CA16EFE"/>
    <w:rsid w:val="1D201A32"/>
    <w:rsid w:val="1D33351A"/>
    <w:rsid w:val="1D333BFD"/>
    <w:rsid w:val="1E027AA5"/>
    <w:rsid w:val="1E20715B"/>
    <w:rsid w:val="1E2A6014"/>
    <w:rsid w:val="1EB2160A"/>
    <w:rsid w:val="1EBE5E6F"/>
    <w:rsid w:val="1F0C571A"/>
    <w:rsid w:val="1F3C4E81"/>
    <w:rsid w:val="1F7223F2"/>
    <w:rsid w:val="1F9E40AF"/>
    <w:rsid w:val="1FC76649"/>
    <w:rsid w:val="200F4D20"/>
    <w:rsid w:val="20187BAF"/>
    <w:rsid w:val="203750E3"/>
    <w:rsid w:val="20464961"/>
    <w:rsid w:val="20770D67"/>
    <w:rsid w:val="20A83220"/>
    <w:rsid w:val="20BA367F"/>
    <w:rsid w:val="20CE712B"/>
    <w:rsid w:val="21004E03"/>
    <w:rsid w:val="214B6018"/>
    <w:rsid w:val="215E710C"/>
    <w:rsid w:val="217852AA"/>
    <w:rsid w:val="217E2967"/>
    <w:rsid w:val="221A4B12"/>
    <w:rsid w:val="222A6E35"/>
    <w:rsid w:val="22542E83"/>
    <w:rsid w:val="226F7C8D"/>
    <w:rsid w:val="2309444A"/>
    <w:rsid w:val="230B6414"/>
    <w:rsid w:val="234F7652"/>
    <w:rsid w:val="23A103BA"/>
    <w:rsid w:val="23B45185"/>
    <w:rsid w:val="243F1760"/>
    <w:rsid w:val="24917ED4"/>
    <w:rsid w:val="2498112B"/>
    <w:rsid w:val="24AA68E6"/>
    <w:rsid w:val="25007ACF"/>
    <w:rsid w:val="251F4F79"/>
    <w:rsid w:val="25304CEF"/>
    <w:rsid w:val="255A12F8"/>
    <w:rsid w:val="264E4600"/>
    <w:rsid w:val="268C708C"/>
    <w:rsid w:val="2694431B"/>
    <w:rsid w:val="26AF1112"/>
    <w:rsid w:val="26F73B37"/>
    <w:rsid w:val="27060BD3"/>
    <w:rsid w:val="27090EBD"/>
    <w:rsid w:val="27371990"/>
    <w:rsid w:val="273F5DE8"/>
    <w:rsid w:val="274D3D27"/>
    <w:rsid w:val="27894FA0"/>
    <w:rsid w:val="27C1060B"/>
    <w:rsid w:val="27D026D9"/>
    <w:rsid w:val="28185EE3"/>
    <w:rsid w:val="284F78ED"/>
    <w:rsid w:val="285E4905"/>
    <w:rsid w:val="28714A95"/>
    <w:rsid w:val="28973C19"/>
    <w:rsid w:val="28A7062C"/>
    <w:rsid w:val="28D90E5A"/>
    <w:rsid w:val="28EA739C"/>
    <w:rsid w:val="28F25980"/>
    <w:rsid w:val="29167089"/>
    <w:rsid w:val="29204352"/>
    <w:rsid w:val="293E3489"/>
    <w:rsid w:val="29616727"/>
    <w:rsid w:val="297F7DF3"/>
    <w:rsid w:val="299D000D"/>
    <w:rsid w:val="29A165CA"/>
    <w:rsid w:val="29B353C7"/>
    <w:rsid w:val="29CE72F7"/>
    <w:rsid w:val="29D96817"/>
    <w:rsid w:val="29EC6874"/>
    <w:rsid w:val="29F101C0"/>
    <w:rsid w:val="2A402DDF"/>
    <w:rsid w:val="2A5A4B94"/>
    <w:rsid w:val="2A5B1B85"/>
    <w:rsid w:val="2A773F3F"/>
    <w:rsid w:val="2AAB5086"/>
    <w:rsid w:val="2AAD7C2C"/>
    <w:rsid w:val="2ABE1FBE"/>
    <w:rsid w:val="2AFF60DC"/>
    <w:rsid w:val="2B2D4D56"/>
    <w:rsid w:val="2B36651E"/>
    <w:rsid w:val="2B4F0A89"/>
    <w:rsid w:val="2B7803BF"/>
    <w:rsid w:val="2B844CB7"/>
    <w:rsid w:val="2BE12A5C"/>
    <w:rsid w:val="2BE27F2E"/>
    <w:rsid w:val="2C493B09"/>
    <w:rsid w:val="2C9A0D92"/>
    <w:rsid w:val="2CC67356"/>
    <w:rsid w:val="2D45420C"/>
    <w:rsid w:val="2D6A6FA1"/>
    <w:rsid w:val="2DCC49F2"/>
    <w:rsid w:val="2DD33E7F"/>
    <w:rsid w:val="2E045F3A"/>
    <w:rsid w:val="2E210D4E"/>
    <w:rsid w:val="2E27100A"/>
    <w:rsid w:val="2E363A57"/>
    <w:rsid w:val="2E501D78"/>
    <w:rsid w:val="2E704040"/>
    <w:rsid w:val="2E8D6BDF"/>
    <w:rsid w:val="2E97057D"/>
    <w:rsid w:val="2EF97CB1"/>
    <w:rsid w:val="2F1A4829"/>
    <w:rsid w:val="2F1C4EFB"/>
    <w:rsid w:val="2FB41BE1"/>
    <w:rsid w:val="300719F8"/>
    <w:rsid w:val="300828E8"/>
    <w:rsid w:val="30420971"/>
    <w:rsid w:val="30446884"/>
    <w:rsid w:val="30545622"/>
    <w:rsid w:val="30556DE4"/>
    <w:rsid w:val="305E56A9"/>
    <w:rsid w:val="30635531"/>
    <w:rsid w:val="308325B9"/>
    <w:rsid w:val="30C76D38"/>
    <w:rsid w:val="30F31C59"/>
    <w:rsid w:val="30F75FC3"/>
    <w:rsid w:val="318906F7"/>
    <w:rsid w:val="318D4B5D"/>
    <w:rsid w:val="31A16195"/>
    <w:rsid w:val="31B60A82"/>
    <w:rsid w:val="31E51E1D"/>
    <w:rsid w:val="31F51537"/>
    <w:rsid w:val="320A3D3B"/>
    <w:rsid w:val="3215507D"/>
    <w:rsid w:val="32A118A7"/>
    <w:rsid w:val="32CF0AF6"/>
    <w:rsid w:val="33271B84"/>
    <w:rsid w:val="335A73F0"/>
    <w:rsid w:val="336F6F2E"/>
    <w:rsid w:val="337E7723"/>
    <w:rsid w:val="338671FC"/>
    <w:rsid w:val="339C6C14"/>
    <w:rsid w:val="33BA0EA6"/>
    <w:rsid w:val="33D65119"/>
    <w:rsid w:val="341651D4"/>
    <w:rsid w:val="346D235F"/>
    <w:rsid w:val="34826468"/>
    <w:rsid w:val="348B59A6"/>
    <w:rsid w:val="349F158C"/>
    <w:rsid w:val="34AE18E6"/>
    <w:rsid w:val="34BC5828"/>
    <w:rsid w:val="34F311E4"/>
    <w:rsid w:val="352418B1"/>
    <w:rsid w:val="355C0C06"/>
    <w:rsid w:val="35647C06"/>
    <w:rsid w:val="35B66980"/>
    <w:rsid w:val="35F31BF4"/>
    <w:rsid w:val="3660007A"/>
    <w:rsid w:val="36926AE2"/>
    <w:rsid w:val="369E781D"/>
    <w:rsid w:val="36C9525E"/>
    <w:rsid w:val="36CE43F1"/>
    <w:rsid w:val="370766BD"/>
    <w:rsid w:val="371A3086"/>
    <w:rsid w:val="37535A4A"/>
    <w:rsid w:val="378C5D93"/>
    <w:rsid w:val="37A9167F"/>
    <w:rsid w:val="37CA3D8C"/>
    <w:rsid w:val="37ED1778"/>
    <w:rsid w:val="38033706"/>
    <w:rsid w:val="380E5F23"/>
    <w:rsid w:val="384D5C85"/>
    <w:rsid w:val="38657F1D"/>
    <w:rsid w:val="386B4226"/>
    <w:rsid w:val="387E4B3B"/>
    <w:rsid w:val="38876FAC"/>
    <w:rsid w:val="389753B5"/>
    <w:rsid w:val="389B749B"/>
    <w:rsid w:val="38B14A82"/>
    <w:rsid w:val="38EA7A68"/>
    <w:rsid w:val="38F60C98"/>
    <w:rsid w:val="39545261"/>
    <w:rsid w:val="39CC4EF1"/>
    <w:rsid w:val="3A2242C0"/>
    <w:rsid w:val="3A351C05"/>
    <w:rsid w:val="3A573895"/>
    <w:rsid w:val="3A6C0CAD"/>
    <w:rsid w:val="3A73756D"/>
    <w:rsid w:val="3AB3754F"/>
    <w:rsid w:val="3AB6163F"/>
    <w:rsid w:val="3AE01ADD"/>
    <w:rsid w:val="3AE92BA1"/>
    <w:rsid w:val="3B0B397F"/>
    <w:rsid w:val="3B4A33FA"/>
    <w:rsid w:val="3B6B26A0"/>
    <w:rsid w:val="3CFA1A04"/>
    <w:rsid w:val="3D510A70"/>
    <w:rsid w:val="3D622C7D"/>
    <w:rsid w:val="3D6973AE"/>
    <w:rsid w:val="3DB37D0F"/>
    <w:rsid w:val="3E027935"/>
    <w:rsid w:val="3E117690"/>
    <w:rsid w:val="3E4961D4"/>
    <w:rsid w:val="3E5C147A"/>
    <w:rsid w:val="3E6261E4"/>
    <w:rsid w:val="3E6F74C9"/>
    <w:rsid w:val="3EDB59CC"/>
    <w:rsid w:val="3EE17CE5"/>
    <w:rsid w:val="3EF67B4D"/>
    <w:rsid w:val="3F7A3B50"/>
    <w:rsid w:val="3F9C42B1"/>
    <w:rsid w:val="3FA330D9"/>
    <w:rsid w:val="3FED4D64"/>
    <w:rsid w:val="40092B7C"/>
    <w:rsid w:val="408C398B"/>
    <w:rsid w:val="40D4302C"/>
    <w:rsid w:val="41172B32"/>
    <w:rsid w:val="413F05BC"/>
    <w:rsid w:val="41AC3470"/>
    <w:rsid w:val="41B73A43"/>
    <w:rsid w:val="4252349D"/>
    <w:rsid w:val="42597F55"/>
    <w:rsid w:val="425C5EED"/>
    <w:rsid w:val="42743713"/>
    <w:rsid w:val="42962A89"/>
    <w:rsid w:val="42AC04F6"/>
    <w:rsid w:val="42EF7DFD"/>
    <w:rsid w:val="42F43C48"/>
    <w:rsid w:val="42FA703A"/>
    <w:rsid w:val="42FF1231"/>
    <w:rsid w:val="4338060E"/>
    <w:rsid w:val="435A0E6C"/>
    <w:rsid w:val="43853221"/>
    <w:rsid w:val="43B92016"/>
    <w:rsid w:val="44451232"/>
    <w:rsid w:val="44457F4A"/>
    <w:rsid w:val="4474472C"/>
    <w:rsid w:val="44D165E9"/>
    <w:rsid w:val="44D47DD2"/>
    <w:rsid w:val="44ED39AD"/>
    <w:rsid w:val="44F74E99"/>
    <w:rsid w:val="453F40B6"/>
    <w:rsid w:val="454F322C"/>
    <w:rsid w:val="45565F4E"/>
    <w:rsid w:val="45710B5A"/>
    <w:rsid w:val="45A402BB"/>
    <w:rsid w:val="45C854D1"/>
    <w:rsid w:val="45CE1336"/>
    <w:rsid w:val="45E352D9"/>
    <w:rsid w:val="4607532D"/>
    <w:rsid w:val="46382F2F"/>
    <w:rsid w:val="46484442"/>
    <w:rsid w:val="46511A82"/>
    <w:rsid w:val="465D71F0"/>
    <w:rsid w:val="46717A8D"/>
    <w:rsid w:val="4675095B"/>
    <w:rsid w:val="46A4176A"/>
    <w:rsid w:val="46DA4F9F"/>
    <w:rsid w:val="47152B0E"/>
    <w:rsid w:val="471E192F"/>
    <w:rsid w:val="47226FD9"/>
    <w:rsid w:val="474D0C33"/>
    <w:rsid w:val="4777748A"/>
    <w:rsid w:val="477A70E1"/>
    <w:rsid w:val="478657BA"/>
    <w:rsid w:val="48112723"/>
    <w:rsid w:val="4819449C"/>
    <w:rsid w:val="481E51DE"/>
    <w:rsid w:val="485756B9"/>
    <w:rsid w:val="4878332F"/>
    <w:rsid w:val="48A95C04"/>
    <w:rsid w:val="48C00B23"/>
    <w:rsid w:val="490873A5"/>
    <w:rsid w:val="49185FA1"/>
    <w:rsid w:val="49534A2B"/>
    <w:rsid w:val="497C2481"/>
    <w:rsid w:val="499A4DA2"/>
    <w:rsid w:val="49A86B61"/>
    <w:rsid w:val="49B45433"/>
    <w:rsid w:val="49B81348"/>
    <w:rsid w:val="49E66897"/>
    <w:rsid w:val="49EE1472"/>
    <w:rsid w:val="49FE4A6C"/>
    <w:rsid w:val="4A04584E"/>
    <w:rsid w:val="4A6E2C61"/>
    <w:rsid w:val="4AB902B0"/>
    <w:rsid w:val="4ADC2AA9"/>
    <w:rsid w:val="4B083F38"/>
    <w:rsid w:val="4B5A4F93"/>
    <w:rsid w:val="4B5E0570"/>
    <w:rsid w:val="4B8D725E"/>
    <w:rsid w:val="4C644A2A"/>
    <w:rsid w:val="4CC96D5E"/>
    <w:rsid w:val="4CDD7C2A"/>
    <w:rsid w:val="4D0C49B3"/>
    <w:rsid w:val="4D194D65"/>
    <w:rsid w:val="4D1F4085"/>
    <w:rsid w:val="4D2E492A"/>
    <w:rsid w:val="4D447CA9"/>
    <w:rsid w:val="4D746257"/>
    <w:rsid w:val="4D8207D1"/>
    <w:rsid w:val="4D8A2EAF"/>
    <w:rsid w:val="4D9725AA"/>
    <w:rsid w:val="4DA94BCF"/>
    <w:rsid w:val="4DDA6F61"/>
    <w:rsid w:val="4DF94D74"/>
    <w:rsid w:val="4E283305"/>
    <w:rsid w:val="4E6406D0"/>
    <w:rsid w:val="4ED80FF1"/>
    <w:rsid w:val="4EDC1FD1"/>
    <w:rsid w:val="4F1926AC"/>
    <w:rsid w:val="4F6B0761"/>
    <w:rsid w:val="4F833B28"/>
    <w:rsid w:val="4FAB38FC"/>
    <w:rsid w:val="4FDA66A3"/>
    <w:rsid w:val="4FE8313C"/>
    <w:rsid w:val="4FEE076E"/>
    <w:rsid w:val="50046E67"/>
    <w:rsid w:val="509A7AF6"/>
    <w:rsid w:val="50BB75B3"/>
    <w:rsid w:val="50EC07C1"/>
    <w:rsid w:val="511710C4"/>
    <w:rsid w:val="512F38A5"/>
    <w:rsid w:val="514E2C72"/>
    <w:rsid w:val="51B2463D"/>
    <w:rsid w:val="51E92CE8"/>
    <w:rsid w:val="52172BFA"/>
    <w:rsid w:val="52365BB5"/>
    <w:rsid w:val="528079D5"/>
    <w:rsid w:val="529C56BD"/>
    <w:rsid w:val="52AA5905"/>
    <w:rsid w:val="52C76300"/>
    <w:rsid w:val="52CB5D1A"/>
    <w:rsid w:val="52DC3E47"/>
    <w:rsid w:val="531230A1"/>
    <w:rsid w:val="53174AC4"/>
    <w:rsid w:val="53593E62"/>
    <w:rsid w:val="536F682E"/>
    <w:rsid w:val="53762913"/>
    <w:rsid w:val="53856AAF"/>
    <w:rsid w:val="53884993"/>
    <w:rsid w:val="53B271C1"/>
    <w:rsid w:val="53CA2D6C"/>
    <w:rsid w:val="53CE0E91"/>
    <w:rsid w:val="53D17DBD"/>
    <w:rsid w:val="53F26F2A"/>
    <w:rsid w:val="543320AC"/>
    <w:rsid w:val="5449029B"/>
    <w:rsid w:val="545A6004"/>
    <w:rsid w:val="5486414B"/>
    <w:rsid w:val="549C661D"/>
    <w:rsid w:val="54B90CAE"/>
    <w:rsid w:val="55110DB9"/>
    <w:rsid w:val="551567FC"/>
    <w:rsid w:val="5518642D"/>
    <w:rsid w:val="558570B1"/>
    <w:rsid w:val="55896582"/>
    <w:rsid w:val="55AC1DFD"/>
    <w:rsid w:val="55EB43BE"/>
    <w:rsid w:val="56080A4A"/>
    <w:rsid w:val="56381BE9"/>
    <w:rsid w:val="567B6605"/>
    <w:rsid w:val="56D4004E"/>
    <w:rsid w:val="56DE5BB3"/>
    <w:rsid w:val="56E101E0"/>
    <w:rsid w:val="57347DA8"/>
    <w:rsid w:val="57697E8C"/>
    <w:rsid w:val="579B16EB"/>
    <w:rsid w:val="57DB745C"/>
    <w:rsid w:val="57F74705"/>
    <w:rsid w:val="580B6CBB"/>
    <w:rsid w:val="580F7106"/>
    <w:rsid w:val="581413EF"/>
    <w:rsid w:val="582E2CD1"/>
    <w:rsid w:val="58316676"/>
    <w:rsid w:val="5842527B"/>
    <w:rsid w:val="58720D6F"/>
    <w:rsid w:val="58892166"/>
    <w:rsid w:val="58AA7A08"/>
    <w:rsid w:val="58BB154A"/>
    <w:rsid w:val="58C83E84"/>
    <w:rsid w:val="58DD1125"/>
    <w:rsid w:val="58EC0589"/>
    <w:rsid w:val="58FC6F49"/>
    <w:rsid w:val="59267594"/>
    <w:rsid w:val="598A308A"/>
    <w:rsid w:val="59D46859"/>
    <w:rsid w:val="59FF469C"/>
    <w:rsid w:val="5A0E4298"/>
    <w:rsid w:val="5A1036BA"/>
    <w:rsid w:val="5A1C1CB8"/>
    <w:rsid w:val="5A1D0061"/>
    <w:rsid w:val="5A54576A"/>
    <w:rsid w:val="5A640889"/>
    <w:rsid w:val="5ABB5323"/>
    <w:rsid w:val="5AC15905"/>
    <w:rsid w:val="5AF56A87"/>
    <w:rsid w:val="5B101385"/>
    <w:rsid w:val="5B2B7962"/>
    <w:rsid w:val="5BBB0BE8"/>
    <w:rsid w:val="5BBB7CD0"/>
    <w:rsid w:val="5BD7060B"/>
    <w:rsid w:val="5BDC19F5"/>
    <w:rsid w:val="5C042EE3"/>
    <w:rsid w:val="5C194A35"/>
    <w:rsid w:val="5C3F71D6"/>
    <w:rsid w:val="5C5D18A1"/>
    <w:rsid w:val="5C69772C"/>
    <w:rsid w:val="5CA14648"/>
    <w:rsid w:val="5CBC558A"/>
    <w:rsid w:val="5CBC7A3E"/>
    <w:rsid w:val="5CD66D82"/>
    <w:rsid w:val="5CD8418D"/>
    <w:rsid w:val="5CD841AC"/>
    <w:rsid w:val="5D0837C4"/>
    <w:rsid w:val="5D7F4DEC"/>
    <w:rsid w:val="5D902A97"/>
    <w:rsid w:val="5D9C78AA"/>
    <w:rsid w:val="5E0E40A4"/>
    <w:rsid w:val="5E1E6093"/>
    <w:rsid w:val="5E2C6028"/>
    <w:rsid w:val="5E4E0C58"/>
    <w:rsid w:val="5E75780A"/>
    <w:rsid w:val="5EBB3B43"/>
    <w:rsid w:val="5ED043DD"/>
    <w:rsid w:val="5EE74938"/>
    <w:rsid w:val="5F847EC5"/>
    <w:rsid w:val="5F882C8B"/>
    <w:rsid w:val="5F9C0D47"/>
    <w:rsid w:val="5FC72C03"/>
    <w:rsid w:val="5FCB71C1"/>
    <w:rsid w:val="5FF8452B"/>
    <w:rsid w:val="5FF93FE7"/>
    <w:rsid w:val="60007B03"/>
    <w:rsid w:val="601F4730"/>
    <w:rsid w:val="6037544B"/>
    <w:rsid w:val="60686202"/>
    <w:rsid w:val="60787F3E"/>
    <w:rsid w:val="60B37C30"/>
    <w:rsid w:val="60C45B59"/>
    <w:rsid w:val="60E41A82"/>
    <w:rsid w:val="60FA0AAD"/>
    <w:rsid w:val="6138147B"/>
    <w:rsid w:val="61EB0C1A"/>
    <w:rsid w:val="61FE26C5"/>
    <w:rsid w:val="621040B3"/>
    <w:rsid w:val="624C5A46"/>
    <w:rsid w:val="62897B7C"/>
    <w:rsid w:val="62EB6F42"/>
    <w:rsid w:val="62F9008A"/>
    <w:rsid w:val="631E1376"/>
    <w:rsid w:val="6339636C"/>
    <w:rsid w:val="63420D3F"/>
    <w:rsid w:val="63554566"/>
    <w:rsid w:val="63815462"/>
    <w:rsid w:val="639453FB"/>
    <w:rsid w:val="63C371B5"/>
    <w:rsid w:val="63F07BC5"/>
    <w:rsid w:val="6408782B"/>
    <w:rsid w:val="64337F28"/>
    <w:rsid w:val="643535FD"/>
    <w:rsid w:val="64606E2D"/>
    <w:rsid w:val="64C156CD"/>
    <w:rsid w:val="64D506A4"/>
    <w:rsid w:val="64E57E23"/>
    <w:rsid w:val="64EC2CA8"/>
    <w:rsid w:val="65791502"/>
    <w:rsid w:val="65791BFD"/>
    <w:rsid w:val="658729D1"/>
    <w:rsid w:val="65A752B5"/>
    <w:rsid w:val="65FD2036"/>
    <w:rsid w:val="66583530"/>
    <w:rsid w:val="665D7379"/>
    <w:rsid w:val="66B55E98"/>
    <w:rsid w:val="66BC0157"/>
    <w:rsid w:val="66F311A7"/>
    <w:rsid w:val="675C040B"/>
    <w:rsid w:val="67611924"/>
    <w:rsid w:val="67692272"/>
    <w:rsid w:val="67CE52EA"/>
    <w:rsid w:val="67CF5D1C"/>
    <w:rsid w:val="67F0339C"/>
    <w:rsid w:val="683861AC"/>
    <w:rsid w:val="6860126D"/>
    <w:rsid w:val="688755A8"/>
    <w:rsid w:val="68971546"/>
    <w:rsid w:val="69341CFB"/>
    <w:rsid w:val="69345F80"/>
    <w:rsid w:val="695D2868"/>
    <w:rsid w:val="69744288"/>
    <w:rsid w:val="698714A7"/>
    <w:rsid w:val="69943E5B"/>
    <w:rsid w:val="699D0A15"/>
    <w:rsid w:val="69BC6964"/>
    <w:rsid w:val="69C718B7"/>
    <w:rsid w:val="69D31633"/>
    <w:rsid w:val="6A48400F"/>
    <w:rsid w:val="6A4F239B"/>
    <w:rsid w:val="6A8D12D2"/>
    <w:rsid w:val="6AB3434D"/>
    <w:rsid w:val="6AEC7E19"/>
    <w:rsid w:val="6AF4596B"/>
    <w:rsid w:val="6BC24852"/>
    <w:rsid w:val="6C1345C6"/>
    <w:rsid w:val="6C3B3ABC"/>
    <w:rsid w:val="6C3E612C"/>
    <w:rsid w:val="6C455FFC"/>
    <w:rsid w:val="6CA67BE1"/>
    <w:rsid w:val="6CC2788E"/>
    <w:rsid w:val="6CC77706"/>
    <w:rsid w:val="6D391D13"/>
    <w:rsid w:val="6D464688"/>
    <w:rsid w:val="6D707478"/>
    <w:rsid w:val="6D77364D"/>
    <w:rsid w:val="6D814A2E"/>
    <w:rsid w:val="6DBA7921"/>
    <w:rsid w:val="6DBB6E8A"/>
    <w:rsid w:val="6DE31134"/>
    <w:rsid w:val="6E194AB7"/>
    <w:rsid w:val="6E5B44CA"/>
    <w:rsid w:val="6E844C97"/>
    <w:rsid w:val="6E977422"/>
    <w:rsid w:val="6EB34253"/>
    <w:rsid w:val="6EB44F99"/>
    <w:rsid w:val="6EC425A0"/>
    <w:rsid w:val="6ED5305C"/>
    <w:rsid w:val="6ED64A2C"/>
    <w:rsid w:val="6EE24655"/>
    <w:rsid w:val="6EF968F1"/>
    <w:rsid w:val="6F1956E5"/>
    <w:rsid w:val="6F2E3EBD"/>
    <w:rsid w:val="6F6612DE"/>
    <w:rsid w:val="6F942271"/>
    <w:rsid w:val="6FA166F8"/>
    <w:rsid w:val="6FBBF9A9"/>
    <w:rsid w:val="6FBC6748"/>
    <w:rsid w:val="6FCC42A6"/>
    <w:rsid w:val="6FD15564"/>
    <w:rsid w:val="6FD4627F"/>
    <w:rsid w:val="6FDB7B4B"/>
    <w:rsid w:val="6FED2329"/>
    <w:rsid w:val="6FEF189F"/>
    <w:rsid w:val="6FFD220E"/>
    <w:rsid w:val="7002292B"/>
    <w:rsid w:val="70174123"/>
    <w:rsid w:val="70225CE3"/>
    <w:rsid w:val="704174B9"/>
    <w:rsid w:val="70792BF8"/>
    <w:rsid w:val="707D4190"/>
    <w:rsid w:val="708B34BD"/>
    <w:rsid w:val="70FA674D"/>
    <w:rsid w:val="716345D7"/>
    <w:rsid w:val="716E0ADC"/>
    <w:rsid w:val="71AF7537"/>
    <w:rsid w:val="71BD539E"/>
    <w:rsid w:val="71BE4523"/>
    <w:rsid w:val="71E03B95"/>
    <w:rsid w:val="71FF7972"/>
    <w:rsid w:val="72181718"/>
    <w:rsid w:val="72E35EB7"/>
    <w:rsid w:val="72FF004B"/>
    <w:rsid w:val="731668E9"/>
    <w:rsid w:val="733834BD"/>
    <w:rsid w:val="736C12B6"/>
    <w:rsid w:val="738425B5"/>
    <w:rsid w:val="7428537F"/>
    <w:rsid w:val="7452617C"/>
    <w:rsid w:val="74794392"/>
    <w:rsid w:val="749C115B"/>
    <w:rsid w:val="74CE07BC"/>
    <w:rsid w:val="74D83C2A"/>
    <w:rsid w:val="751D2A0A"/>
    <w:rsid w:val="75374DD3"/>
    <w:rsid w:val="756249A8"/>
    <w:rsid w:val="757448DE"/>
    <w:rsid w:val="757705C9"/>
    <w:rsid w:val="759927D6"/>
    <w:rsid w:val="75D877AB"/>
    <w:rsid w:val="761D3A8F"/>
    <w:rsid w:val="76354082"/>
    <w:rsid w:val="7639085E"/>
    <w:rsid w:val="763E0E8A"/>
    <w:rsid w:val="764A31E0"/>
    <w:rsid w:val="768E6803"/>
    <w:rsid w:val="76D46607"/>
    <w:rsid w:val="76DF1CB2"/>
    <w:rsid w:val="76E50578"/>
    <w:rsid w:val="772676B9"/>
    <w:rsid w:val="774E1EC3"/>
    <w:rsid w:val="774E6201"/>
    <w:rsid w:val="777A4838"/>
    <w:rsid w:val="779C38F8"/>
    <w:rsid w:val="77E14E03"/>
    <w:rsid w:val="77F008AA"/>
    <w:rsid w:val="77F25AB3"/>
    <w:rsid w:val="78316B66"/>
    <w:rsid w:val="78710F8A"/>
    <w:rsid w:val="78B65005"/>
    <w:rsid w:val="78D96386"/>
    <w:rsid w:val="79314D2C"/>
    <w:rsid w:val="799245FD"/>
    <w:rsid w:val="79BE699B"/>
    <w:rsid w:val="79CA0C80"/>
    <w:rsid w:val="79D12B3C"/>
    <w:rsid w:val="79D2240C"/>
    <w:rsid w:val="79E81839"/>
    <w:rsid w:val="7A046F87"/>
    <w:rsid w:val="7A2A40EC"/>
    <w:rsid w:val="7A88301C"/>
    <w:rsid w:val="7AA05D84"/>
    <w:rsid w:val="7ABF4C89"/>
    <w:rsid w:val="7AFD5CBE"/>
    <w:rsid w:val="7AFE2D0F"/>
    <w:rsid w:val="7B1F37B5"/>
    <w:rsid w:val="7B3C4416"/>
    <w:rsid w:val="7B692361"/>
    <w:rsid w:val="7B6F2EB1"/>
    <w:rsid w:val="7BA0708A"/>
    <w:rsid w:val="7BB95A03"/>
    <w:rsid w:val="7BC35C16"/>
    <w:rsid w:val="7BFA5AF3"/>
    <w:rsid w:val="7C1B5548"/>
    <w:rsid w:val="7C32146D"/>
    <w:rsid w:val="7CC52137"/>
    <w:rsid w:val="7CD478E2"/>
    <w:rsid w:val="7CD72D8F"/>
    <w:rsid w:val="7CF97313"/>
    <w:rsid w:val="7D4F7BE8"/>
    <w:rsid w:val="7D603741"/>
    <w:rsid w:val="7D755AD9"/>
    <w:rsid w:val="7DA912DF"/>
    <w:rsid w:val="7DAD4C26"/>
    <w:rsid w:val="7DAE6C1A"/>
    <w:rsid w:val="7DB00089"/>
    <w:rsid w:val="7DCD290B"/>
    <w:rsid w:val="7DEF755D"/>
    <w:rsid w:val="7E02576D"/>
    <w:rsid w:val="7E314846"/>
    <w:rsid w:val="7E6D3040"/>
    <w:rsid w:val="7E872DAF"/>
    <w:rsid w:val="7EA30A0D"/>
    <w:rsid w:val="7EAD3051"/>
    <w:rsid w:val="7F181931"/>
    <w:rsid w:val="7F4161B4"/>
    <w:rsid w:val="7F5E0839"/>
    <w:rsid w:val="7F6E1DB4"/>
    <w:rsid w:val="7F760C96"/>
    <w:rsid w:val="7F882FA3"/>
    <w:rsid w:val="7FB02C53"/>
    <w:rsid w:val="7FC71EF0"/>
    <w:rsid w:val="7FCF4AD9"/>
    <w:rsid w:val="96C74957"/>
    <w:rsid w:val="FBDF0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9"/>
    <w:autoRedefine/>
    <w:qFormat/>
    <w:uiPriority w:val="9"/>
    <w:pPr>
      <w:keepNext/>
      <w:widowControl/>
      <w:spacing w:line="360" w:lineRule="auto"/>
      <w:jc w:val="center"/>
      <w:outlineLvl w:val="0"/>
    </w:pPr>
    <w:rPr>
      <w:rFonts w:ascii="黑体"/>
      <w:b/>
      <w:kern w:val="0"/>
      <w:sz w:val="32"/>
    </w:rPr>
  </w:style>
  <w:style w:type="paragraph" w:styleId="5">
    <w:name w:val="heading 2"/>
    <w:basedOn w:val="1"/>
    <w:next w:val="1"/>
    <w:link w:val="186"/>
    <w:autoRedefine/>
    <w:qFormat/>
    <w:uiPriority w:val="0"/>
    <w:pPr>
      <w:keepNext/>
      <w:keepLines/>
      <w:tabs>
        <w:tab w:val="left" w:pos="706"/>
        <w:tab w:val="left" w:pos="1110"/>
      </w:tabs>
      <w:spacing w:line="360" w:lineRule="auto"/>
      <w:ind w:left="106" w:firstLine="454"/>
      <w:outlineLvl w:val="1"/>
    </w:pPr>
    <w:rPr>
      <w:rFonts w:eastAsia="黑体"/>
      <w:sz w:val="21"/>
    </w:rPr>
  </w:style>
  <w:style w:type="paragraph" w:styleId="6">
    <w:name w:val="heading 3"/>
    <w:basedOn w:val="1"/>
    <w:next w:val="1"/>
    <w:link w:val="101"/>
    <w:autoRedefine/>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1"/>
    <w:link w:val="111"/>
    <w:autoRedefine/>
    <w:qFormat/>
    <w:uiPriority w:val="0"/>
    <w:pPr>
      <w:tabs>
        <w:tab w:val="left" w:pos="720"/>
      </w:tabs>
      <w:spacing w:before="280" w:after="290" w:line="372" w:lineRule="auto"/>
      <w:outlineLvl w:val="3"/>
    </w:pPr>
    <w:rPr>
      <w:rFonts w:ascii="Arial" w:hAnsi="Arial" w:eastAsia="黑体"/>
      <w:kern w:val="2"/>
      <w:sz w:val="28"/>
    </w:rPr>
  </w:style>
  <w:style w:type="paragraph" w:styleId="8">
    <w:name w:val="heading 5"/>
    <w:basedOn w:val="1"/>
    <w:next w:val="9"/>
    <w:link w:val="112"/>
    <w:autoRedefine/>
    <w:qFormat/>
    <w:uiPriority w:val="0"/>
    <w:pPr>
      <w:keepNext/>
      <w:keepLines/>
      <w:spacing w:before="280" w:after="290" w:line="372" w:lineRule="auto"/>
      <w:outlineLvl w:val="4"/>
    </w:pPr>
    <w:rPr>
      <w:b/>
    </w:rPr>
  </w:style>
  <w:style w:type="paragraph" w:styleId="10">
    <w:name w:val="heading 6"/>
    <w:basedOn w:val="1"/>
    <w:next w:val="1"/>
    <w:link w:val="113"/>
    <w:autoRedefine/>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4"/>
    <w:autoRedefine/>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5"/>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6"/>
    <w:autoRedefine/>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2">
    <w:name w:val="Default Paragraph Font"/>
    <w:autoRedefine/>
    <w:semiHidden/>
    <w:unhideWhenUsed/>
    <w:qFormat/>
    <w:uiPriority w:val="1"/>
  </w:style>
  <w:style w:type="table" w:default="1" w:styleId="9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widowControl/>
      <w:spacing w:after="120"/>
      <w:jc w:val="left"/>
    </w:pPr>
    <w:rPr>
      <w:rFonts w:ascii="FuturaA Bk BT" w:hAnsi="FuturaA Bk BT" w:eastAsia="仿宋_GB2312"/>
      <w:kern w:val="0"/>
      <w:sz w:val="20"/>
    </w:rPr>
  </w:style>
  <w:style w:type="paragraph" w:styleId="3">
    <w:name w:val="macro"/>
    <w:link w:val="33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9">
    <w:name w:val="Normal Indent"/>
    <w:basedOn w:val="1"/>
    <w:next w:val="1"/>
    <w:link w:val="306"/>
    <w:autoRedefine/>
    <w:qFormat/>
    <w:uiPriority w:val="0"/>
    <w:pPr>
      <w:widowControl/>
      <w:ind w:firstLine="420"/>
      <w:jc w:val="left"/>
    </w:pPr>
    <w:rPr>
      <w:rFonts w:asciiTheme="minorHAnsi" w:hAnsiTheme="minorHAnsi" w:cstheme="minorBidi"/>
      <w:sz w:val="24"/>
      <w:szCs w:val="22"/>
    </w:rPr>
  </w:style>
  <w:style w:type="paragraph" w:styleId="14">
    <w:name w:val="List 3"/>
    <w:basedOn w:val="1"/>
    <w:autoRedefine/>
    <w:qFormat/>
    <w:uiPriority w:val="0"/>
    <w:pPr>
      <w:ind w:left="100" w:leftChars="400" w:hanging="200" w:hangingChars="200"/>
    </w:pPr>
    <w:rPr>
      <w:sz w:val="21"/>
    </w:rPr>
  </w:style>
  <w:style w:type="paragraph" w:styleId="15">
    <w:name w:val="toc 7"/>
    <w:basedOn w:val="1"/>
    <w:next w:val="1"/>
    <w:autoRedefine/>
    <w:qFormat/>
    <w:uiPriority w:val="0"/>
    <w:pPr>
      <w:ind w:left="1680"/>
      <w:jc w:val="left"/>
    </w:pPr>
    <w:rPr>
      <w:sz w:val="18"/>
    </w:rPr>
  </w:style>
  <w:style w:type="paragraph" w:styleId="16">
    <w:name w:val="List Number 2"/>
    <w:basedOn w:val="1"/>
    <w:autoRedefine/>
    <w:qFormat/>
    <w:uiPriority w:val="0"/>
    <w:pPr>
      <w:tabs>
        <w:tab w:val="left" w:pos="0"/>
      </w:tabs>
      <w:ind w:left="1146" w:hanging="720"/>
    </w:pPr>
    <w:rPr>
      <w:sz w:val="21"/>
    </w:rPr>
  </w:style>
  <w:style w:type="paragraph" w:styleId="17">
    <w:name w:val="table of authorities"/>
    <w:basedOn w:val="1"/>
    <w:next w:val="1"/>
    <w:autoRedefine/>
    <w:qFormat/>
    <w:uiPriority w:val="0"/>
    <w:pPr>
      <w:ind w:left="420" w:leftChars="200"/>
    </w:pPr>
    <w:rPr>
      <w:sz w:val="21"/>
    </w:rPr>
  </w:style>
  <w:style w:type="paragraph" w:styleId="18">
    <w:name w:val="Note Heading"/>
    <w:basedOn w:val="1"/>
    <w:next w:val="1"/>
    <w:link w:val="335"/>
    <w:autoRedefine/>
    <w:qFormat/>
    <w:uiPriority w:val="0"/>
    <w:pPr>
      <w:jc w:val="center"/>
    </w:pPr>
    <w:rPr>
      <w:rFonts w:asciiTheme="minorHAnsi" w:hAnsiTheme="minorHAnsi" w:eastAsiaTheme="minorEastAsia" w:cstheme="minorBidi"/>
      <w:sz w:val="21"/>
      <w:szCs w:val="22"/>
    </w:rPr>
  </w:style>
  <w:style w:type="paragraph" w:styleId="19">
    <w:name w:val="List Bullet 4"/>
    <w:basedOn w:val="1"/>
    <w:autoRedefine/>
    <w:qFormat/>
    <w:uiPriority w:val="0"/>
    <w:pPr>
      <w:tabs>
        <w:tab w:val="left" w:pos="1620"/>
      </w:tabs>
      <w:ind w:left="1620" w:hanging="360"/>
    </w:pPr>
    <w:rPr>
      <w:sz w:val="21"/>
    </w:rPr>
  </w:style>
  <w:style w:type="paragraph" w:styleId="20">
    <w:name w:val="index 8"/>
    <w:basedOn w:val="1"/>
    <w:next w:val="1"/>
    <w:autoRedefine/>
    <w:qFormat/>
    <w:uiPriority w:val="0"/>
    <w:pPr>
      <w:ind w:left="1400" w:leftChars="1400"/>
    </w:pPr>
    <w:rPr>
      <w:sz w:val="21"/>
    </w:rPr>
  </w:style>
  <w:style w:type="paragraph" w:styleId="21">
    <w:name w:val="E-mail Signature"/>
    <w:basedOn w:val="1"/>
    <w:link w:val="329"/>
    <w:autoRedefine/>
    <w:qFormat/>
    <w:uiPriority w:val="0"/>
    <w:rPr>
      <w:rFonts w:asciiTheme="minorHAnsi" w:hAnsiTheme="minorHAnsi" w:eastAsiaTheme="minorEastAsia" w:cstheme="minorBidi"/>
      <w:sz w:val="21"/>
      <w:szCs w:val="22"/>
    </w:rPr>
  </w:style>
  <w:style w:type="paragraph" w:styleId="22">
    <w:name w:val="List Number"/>
    <w:basedOn w:val="1"/>
    <w:autoRedefine/>
    <w:qFormat/>
    <w:uiPriority w:val="0"/>
    <w:pPr>
      <w:tabs>
        <w:tab w:val="left" w:pos="360"/>
      </w:tabs>
      <w:ind w:left="360" w:hanging="360"/>
    </w:pPr>
    <w:rPr>
      <w:sz w:val="21"/>
    </w:rPr>
  </w:style>
  <w:style w:type="paragraph" w:styleId="23">
    <w:name w:val="caption"/>
    <w:basedOn w:val="1"/>
    <w:next w:val="1"/>
    <w:autoRedefine/>
    <w:qFormat/>
    <w:uiPriority w:val="0"/>
    <w:rPr>
      <w:rFonts w:ascii="Arial" w:hAnsi="Arial" w:eastAsia="黑体"/>
      <w:sz w:val="20"/>
    </w:rPr>
  </w:style>
  <w:style w:type="paragraph" w:styleId="24">
    <w:name w:val="index 5"/>
    <w:basedOn w:val="1"/>
    <w:next w:val="1"/>
    <w:autoRedefine/>
    <w:qFormat/>
    <w:uiPriority w:val="0"/>
    <w:pPr>
      <w:ind w:left="800" w:leftChars="800"/>
    </w:pPr>
    <w:rPr>
      <w:sz w:val="21"/>
    </w:rPr>
  </w:style>
  <w:style w:type="paragraph" w:styleId="25">
    <w:name w:val="List Bullet"/>
    <w:basedOn w:val="1"/>
    <w:autoRedefine/>
    <w:qFormat/>
    <w:uiPriority w:val="0"/>
    <w:pPr>
      <w:tabs>
        <w:tab w:val="left" w:pos="735"/>
      </w:tabs>
      <w:ind w:left="735"/>
    </w:pPr>
    <w:rPr>
      <w:sz w:val="21"/>
    </w:rPr>
  </w:style>
  <w:style w:type="paragraph" w:styleId="26">
    <w:name w:val="envelope address"/>
    <w:basedOn w:val="1"/>
    <w:autoRedefine/>
    <w:qFormat/>
    <w:uiPriority w:val="0"/>
    <w:pPr>
      <w:snapToGrid w:val="0"/>
      <w:ind w:left="100" w:leftChars="1400"/>
    </w:pPr>
    <w:rPr>
      <w:rFonts w:ascii="Arial" w:hAnsi="Arial"/>
      <w:sz w:val="24"/>
    </w:rPr>
  </w:style>
  <w:style w:type="paragraph" w:styleId="27">
    <w:name w:val="Document Map"/>
    <w:basedOn w:val="1"/>
    <w:link w:val="337"/>
    <w:autoRedefine/>
    <w:qFormat/>
    <w:uiPriority w:val="0"/>
    <w:pPr>
      <w:shd w:val="clear" w:color="auto" w:fill="000080"/>
    </w:pPr>
    <w:rPr>
      <w:rFonts w:asciiTheme="minorHAnsi" w:hAnsiTheme="minorHAnsi" w:eastAsiaTheme="minorEastAsia" w:cstheme="minorBidi"/>
      <w:szCs w:val="22"/>
      <w:shd w:val="clear" w:color="auto" w:fill="000080"/>
    </w:rPr>
  </w:style>
  <w:style w:type="paragraph" w:styleId="28">
    <w:name w:val="toa heading"/>
    <w:basedOn w:val="1"/>
    <w:next w:val="1"/>
    <w:autoRedefine/>
    <w:qFormat/>
    <w:uiPriority w:val="0"/>
    <w:pPr>
      <w:spacing w:before="120"/>
    </w:pPr>
    <w:rPr>
      <w:rFonts w:ascii="Arial" w:hAnsi="Arial"/>
      <w:sz w:val="24"/>
    </w:rPr>
  </w:style>
  <w:style w:type="paragraph" w:styleId="29">
    <w:name w:val="annotation text"/>
    <w:basedOn w:val="1"/>
    <w:link w:val="123"/>
    <w:autoRedefine/>
    <w:unhideWhenUsed/>
    <w:qFormat/>
    <w:uiPriority w:val="0"/>
    <w:pPr>
      <w:jc w:val="left"/>
    </w:pPr>
  </w:style>
  <w:style w:type="paragraph" w:styleId="30">
    <w:name w:val="index 6"/>
    <w:basedOn w:val="1"/>
    <w:next w:val="1"/>
    <w:autoRedefine/>
    <w:qFormat/>
    <w:uiPriority w:val="0"/>
    <w:pPr>
      <w:ind w:left="1000" w:leftChars="1000"/>
    </w:pPr>
    <w:rPr>
      <w:sz w:val="21"/>
    </w:rPr>
  </w:style>
  <w:style w:type="paragraph" w:styleId="31">
    <w:name w:val="Salutation"/>
    <w:basedOn w:val="1"/>
    <w:next w:val="1"/>
    <w:link w:val="345"/>
    <w:autoRedefine/>
    <w:qFormat/>
    <w:uiPriority w:val="0"/>
    <w:rPr>
      <w:rFonts w:ascii="宋体" w:hAnsiTheme="minorHAnsi" w:eastAsiaTheme="minorEastAsia" w:cstheme="minorBidi"/>
      <w:szCs w:val="22"/>
    </w:rPr>
  </w:style>
  <w:style w:type="paragraph" w:styleId="32">
    <w:name w:val="Body Text 3"/>
    <w:basedOn w:val="1"/>
    <w:link w:val="349"/>
    <w:autoRedefine/>
    <w:qFormat/>
    <w:uiPriority w:val="0"/>
    <w:pPr>
      <w:spacing w:after="120"/>
    </w:pPr>
    <w:rPr>
      <w:rFonts w:asciiTheme="minorHAnsi" w:hAnsiTheme="minorHAnsi" w:eastAsiaTheme="minorEastAsia" w:cstheme="minorBidi"/>
      <w:sz w:val="16"/>
      <w:szCs w:val="22"/>
    </w:rPr>
  </w:style>
  <w:style w:type="paragraph" w:styleId="33">
    <w:name w:val="Closing"/>
    <w:basedOn w:val="1"/>
    <w:link w:val="334"/>
    <w:autoRedefine/>
    <w:qFormat/>
    <w:uiPriority w:val="0"/>
    <w:pPr>
      <w:ind w:left="100" w:leftChars="2100"/>
    </w:pPr>
    <w:rPr>
      <w:rFonts w:asciiTheme="minorHAnsi" w:hAnsiTheme="minorHAnsi" w:eastAsiaTheme="minorEastAsia" w:cstheme="minorBidi"/>
      <w:sz w:val="21"/>
      <w:szCs w:val="22"/>
    </w:rPr>
  </w:style>
  <w:style w:type="paragraph" w:styleId="34">
    <w:name w:val="List Bullet 3"/>
    <w:basedOn w:val="1"/>
    <w:autoRedefine/>
    <w:qFormat/>
    <w:uiPriority w:val="0"/>
    <w:pPr>
      <w:tabs>
        <w:tab w:val="left" w:pos="1200"/>
      </w:tabs>
      <w:ind w:left="1200" w:hanging="360"/>
    </w:pPr>
    <w:rPr>
      <w:sz w:val="21"/>
    </w:rPr>
  </w:style>
  <w:style w:type="paragraph" w:styleId="35">
    <w:name w:val="Body Text"/>
    <w:basedOn w:val="1"/>
    <w:next w:val="36"/>
    <w:link w:val="119"/>
    <w:autoRedefine/>
    <w:unhideWhenUsed/>
    <w:qFormat/>
    <w:uiPriority w:val="0"/>
    <w:pPr>
      <w:spacing w:after="120"/>
    </w:pPr>
  </w:style>
  <w:style w:type="paragraph" w:styleId="36">
    <w:name w:val="Body Text First Indent"/>
    <w:basedOn w:val="35"/>
    <w:next w:val="37"/>
    <w:link w:val="341"/>
    <w:autoRedefine/>
    <w:qFormat/>
    <w:uiPriority w:val="0"/>
    <w:pPr>
      <w:ind w:firstLine="420" w:firstLineChars="100"/>
    </w:pPr>
    <w:rPr>
      <w:rFonts w:ascii="等线" w:hAnsi="等线" w:eastAsia="等线" w:cstheme="minorBidi"/>
      <w:sz w:val="21"/>
      <w:szCs w:val="22"/>
    </w:rPr>
  </w:style>
  <w:style w:type="paragraph" w:styleId="37">
    <w:name w:val="toc 6"/>
    <w:basedOn w:val="1"/>
    <w:next w:val="1"/>
    <w:autoRedefine/>
    <w:qFormat/>
    <w:uiPriority w:val="0"/>
    <w:pPr>
      <w:ind w:left="1400"/>
      <w:jc w:val="left"/>
    </w:pPr>
    <w:rPr>
      <w:sz w:val="18"/>
    </w:rPr>
  </w:style>
  <w:style w:type="paragraph" w:styleId="38">
    <w:name w:val="Body Text Indent"/>
    <w:basedOn w:val="1"/>
    <w:next w:val="1"/>
    <w:link w:val="117"/>
    <w:autoRedefine/>
    <w:unhideWhenUsed/>
    <w:qFormat/>
    <w:uiPriority w:val="0"/>
    <w:pPr>
      <w:spacing w:after="120"/>
      <w:ind w:left="420" w:leftChars="200"/>
    </w:pPr>
  </w:style>
  <w:style w:type="paragraph" w:styleId="39">
    <w:name w:val="List Number 3"/>
    <w:basedOn w:val="1"/>
    <w:autoRedefine/>
    <w:qFormat/>
    <w:uiPriority w:val="0"/>
    <w:pPr>
      <w:tabs>
        <w:tab w:val="left" w:pos="1200"/>
      </w:tabs>
      <w:ind w:left="1200" w:hanging="360"/>
    </w:pPr>
    <w:rPr>
      <w:sz w:val="21"/>
    </w:rPr>
  </w:style>
  <w:style w:type="paragraph" w:styleId="40">
    <w:name w:val="List 2"/>
    <w:basedOn w:val="1"/>
    <w:autoRedefine/>
    <w:qFormat/>
    <w:uiPriority w:val="0"/>
    <w:pPr>
      <w:ind w:left="100" w:leftChars="200" w:hanging="200" w:hangingChars="200"/>
    </w:pPr>
    <w:rPr>
      <w:sz w:val="21"/>
    </w:rPr>
  </w:style>
  <w:style w:type="paragraph" w:styleId="41">
    <w:name w:val="List Continue"/>
    <w:basedOn w:val="1"/>
    <w:autoRedefine/>
    <w:qFormat/>
    <w:uiPriority w:val="0"/>
    <w:pPr>
      <w:spacing w:after="120"/>
      <w:ind w:left="420" w:leftChars="200"/>
    </w:pPr>
    <w:rPr>
      <w:sz w:val="21"/>
    </w:rPr>
  </w:style>
  <w:style w:type="paragraph" w:styleId="42">
    <w:name w:val="Block Text"/>
    <w:basedOn w:val="1"/>
    <w:autoRedefine/>
    <w:qFormat/>
    <w:uiPriority w:val="0"/>
    <w:pPr>
      <w:spacing w:line="240" w:lineRule="exact"/>
      <w:ind w:left="475" w:leftChars="240" w:right="292" w:rightChars="292" w:firstLine="473"/>
    </w:pPr>
    <w:rPr>
      <w:rFonts w:ascii="宋体" w:hAnsi="宋体"/>
      <w:spacing w:val="-6"/>
      <w:sz w:val="21"/>
    </w:rPr>
  </w:style>
  <w:style w:type="paragraph" w:styleId="43">
    <w:name w:val="List Bullet 2"/>
    <w:basedOn w:val="1"/>
    <w:autoRedefine/>
    <w:qFormat/>
    <w:uiPriority w:val="0"/>
    <w:pPr>
      <w:tabs>
        <w:tab w:val="left" w:pos="780"/>
      </w:tabs>
      <w:ind w:left="780" w:hanging="360"/>
    </w:pPr>
    <w:rPr>
      <w:sz w:val="21"/>
    </w:rPr>
  </w:style>
  <w:style w:type="paragraph" w:styleId="44">
    <w:name w:val="HTML Address"/>
    <w:basedOn w:val="1"/>
    <w:link w:val="340"/>
    <w:autoRedefine/>
    <w:qFormat/>
    <w:uiPriority w:val="0"/>
    <w:rPr>
      <w:rFonts w:asciiTheme="minorHAnsi" w:hAnsiTheme="minorHAnsi" w:eastAsiaTheme="minorEastAsia" w:cstheme="minorBidi"/>
      <w:i/>
      <w:sz w:val="21"/>
      <w:szCs w:val="22"/>
    </w:rPr>
  </w:style>
  <w:style w:type="paragraph" w:styleId="45">
    <w:name w:val="index 4"/>
    <w:basedOn w:val="1"/>
    <w:next w:val="1"/>
    <w:autoRedefine/>
    <w:qFormat/>
    <w:uiPriority w:val="0"/>
    <w:pPr>
      <w:ind w:left="600" w:leftChars="600"/>
    </w:pPr>
    <w:rPr>
      <w:sz w:val="21"/>
    </w:rPr>
  </w:style>
  <w:style w:type="paragraph" w:styleId="46">
    <w:name w:val="toc 5"/>
    <w:basedOn w:val="1"/>
    <w:next w:val="1"/>
    <w:autoRedefine/>
    <w:qFormat/>
    <w:uiPriority w:val="0"/>
    <w:pPr>
      <w:ind w:left="1120"/>
      <w:jc w:val="left"/>
    </w:pPr>
    <w:rPr>
      <w:sz w:val="18"/>
    </w:rPr>
  </w:style>
  <w:style w:type="paragraph" w:styleId="47">
    <w:name w:val="toc 3"/>
    <w:basedOn w:val="1"/>
    <w:next w:val="1"/>
    <w:autoRedefine/>
    <w:qFormat/>
    <w:uiPriority w:val="0"/>
    <w:pPr>
      <w:ind w:left="560"/>
      <w:jc w:val="left"/>
    </w:pPr>
    <w:rPr>
      <w:i/>
      <w:sz w:val="20"/>
    </w:rPr>
  </w:style>
  <w:style w:type="paragraph" w:styleId="48">
    <w:name w:val="Plain Text"/>
    <w:basedOn w:val="1"/>
    <w:next w:val="49"/>
    <w:link w:val="333"/>
    <w:autoRedefine/>
    <w:qFormat/>
    <w:uiPriority w:val="0"/>
    <w:rPr>
      <w:rFonts w:ascii="宋体" w:hAnsi="Courier New" w:cstheme="minorBidi"/>
      <w:sz w:val="21"/>
      <w:szCs w:val="22"/>
    </w:rPr>
  </w:style>
  <w:style w:type="paragraph" w:styleId="49">
    <w:name w:val="Balloon Text"/>
    <w:basedOn w:val="1"/>
    <w:link w:val="344"/>
    <w:autoRedefine/>
    <w:qFormat/>
    <w:uiPriority w:val="99"/>
    <w:rPr>
      <w:rFonts w:asciiTheme="minorHAnsi" w:hAnsiTheme="minorHAnsi" w:eastAsiaTheme="minorEastAsia" w:cstheme="minorBidi"/>
      <w:sz w:val="18"/>
      <w:szCs w:val="22"/>
    </w:rPr>
  </w:style>
  <w:style w:type="paragraph" w:styleId="50">
    <w:name w:val="List Bullet 5"/>
    <w:basedOn w:val="1"/>
    <w:autoRedefine/>
    <w:qFormat/>
    <w:uiPriority w:val="0"/>
    <w:pPr>
      <w:tabs>
        <w:tab w:val="left" w:pos="2040"/>
      </w:tabs>
      <w:ind w:left="2040" w:hanging="360"/>
    </w:pPr>
    <w:rPr>
      <w:sz w:val="21"/>
    </w:rPr>
  </w:style>
  <w:style w:type="paragraph" w:styleId="51">
    <w:name w:val="List Number 4"/>
    <w:basedOn w:val="1"/>
    <w:autoRedefine/>
    <w:qFormat/>
    <w:uiPriority w:val="0"/>
    <w:pPr>
      <w:tabs>
        <w:tab w:val="left" w:pos="1620"/>
      </w:tabs>
      <w:ind w:left="1620" w:hanging="360"/>
    </w:pPr>
    <w:rPr>
      <w:sz w:val="21"/>
    </w:rPr>
  </w:style>
  <w:style w:type="paragraph" w:styleId="52">
    <w:name w:val="toc 8"/>
    <w:basedOn w:val="1"/>
    <w:next w:val="1"/>
    <w:autoRedefine/>
    <w:qFormat/>
    <w:uiPriority w:val="0"/>
    <w:pPr>
      <w:ind w:left="1960"/>
      <w:jc w:val="left"/>
    </w:pPr>
    <w:rPr>
      <w:sz w:val="18"/>
    </w:rPr>
  </w:style>
  <w:style w:type="paragraph" w:styleId="53">
    <w:name w:val="index 3"/>
    <w:basedOn w:val="1"/>
    <w:next w:val="1"/>
    <w:autoRedefine/>
    <w:qFormat/>
    <w:uiPriority w:val="0"/>
    <w:pPr>
      <w:ind w:left="400" w:leftChars="400"/>
    </w:pPr>
    <w:rPr>
      <w:sz w:val="21"/>
    </w:rPr>
  </w:style>
  <w:style w:type="paragraph" w:styleId="54">
    <w:name w:val="Date"/>
    <w:basedOn w:val="1"/>
    <w:next w:val="1"/>
    <w:link w:val="332"/>
    <w:autoRedefine/>
    <w:qFormat/>
    <w:uiPriority w:val="0"/>
    <w:pPr>
      <w:adjustRightInd w:val="0"/>
      <w:jc w:val="right"/>
      <w:textAlignment w:val="baseline"/>
    </w:pPr>
    <w:rPr>
      <w:rFonts w:eastAsia="仿宋_GB2312" w:asciiTheme="minorHAnsi" w:hAnsiTheme="minorHAnsi" w:cstheme="minorBidi"/>
      <w:b/>
      <w:szCs w:val="22"/>
    </w:rPr>
  </w:style>
  <w:style w:type="paragraph" w:styleId="55">
    <w:name w:val="Body Text Indent 2"/>
    <w:basedOn w:val="1"/>
    <w:link w:val="336"/>
    <w:autoRedefine/>
    <w:qFormat/>
    <w:uiPriority w:val="0"/>
    <w:pPr>
      <w:spacing w:line="520" w:lineRule="exact"/>
      <w:ind w:firstLine="848" w:firstLineChars="303"/>
    </w:pPr>
    <w:rPr>
      <w:rFonts w:ascii="黑体" w:eastAsia="黑体" w:hAnsiTheme="minorHAnsi" w:cstheme="minorBidi"/>
      <w:szCs w:val="22"/>
    </w:rPr>
  </w:style>
  <w:style w:type="paragraph" w:styleId="56">
    <w:name w:val="endnote text"/>
    <w:basedOn w:val="1"/>
    <w:link w:val="328"/>
    <w:autoRedefine/>
    <w:qFormat/>
    <w:uiPriority w:val="0"/>
    <w:pPr>
      <w:snapToGrid w:val="0"/>
    </w:pPr>
    <w:rPr>
      <w:rFonts w:asciiTheme="minorHAnsi" w:hAnsiTheme="minorHAnsi" w:eastAsiaTheme="minorEastAsia" w:cstheme="minorBidi"/>
      <w:sz w:val="21"/>
      <w:szCs w:val="22"/>
    </w:rPr>
  </w:style>
  <w:style w:type="paragraph" w:styleId="57">
    <w:name w:val="List Continue 5"/>
    <w:basedOn w:val="1"/>
    <w:autoRedefine/>
    <w:qFormat/>
    <w:uiPriority w:val="0"/>
    <w:pPr>
      <w:spacing w:after="120"/>
      <w:ind w:left="2100" w:leftChars="1000"/>
    </w:pPr>
    <w:rPr>
      <w:sz w:val="21"/>
    </w:rPr>
  </w:style>
  <w:style w:type="paragraph" w:styleId="58">
    <w:name w:val="footer"/>
    <w:basedOn w:val="1"/>
    <w:link w:val="108"/>
    <w:autoRedefine/>
    <w:unhideWhenUsed/>
    <w:qFormat/>
    <w:uiPriority w:val="0"/>
    <w:pPr>
      <w:tabs>
        <w:tab w:val="center" w:pos="4153"/>
        <w:tab w:val="right" w:pos="8306"/>
      </w:tabs>
      <w:snapToGrid w:val="0"/>
      <w:jc w:val="left"/>
    </w:pPr>
    <w:rPr>
      <w:sz w:val="18"/>
      <w:szCs w:val="18"/>
    </w:rPr>
  </w:style>
  <w:style w:type="paragraph" w:styleId="59">
    <w:name w:val="envelope return"/>
    <w:basedOn w:val="1"/>
    <w:autoRedefine/>
    <w:qFormat/>
    <w:uiPriority w:val="0"/>
    <w:pPr>
      <w:snapToGrid w:val="0"/>
    </w:pPr>
    <w:rPr>
      <w:rFonts w:ascii="Arial" w:hAnsi="Arial"/>
      <w:sz w:val="21"/>
    </w:rPr>
  </w:style>
  <w:style w:type="paragraph" w:styleId="60">
    <w:name w:val="header"/>
    <w:basedOn w:val="1"/>
    <w:link w:val="10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348"/>
    <w:autoRedefine/>
    <w:qFormat/>
    <w:uiPriority w:val="0"/>
    <w:pPr>
      <w:ind w:left="100" w:leftChars="2100"/>
    </w:pPr>
    <w:rPr>
      <w:rFonts w:asciiTheme="minorHAnsi" w:hAnsiTheme="minorHAnsi" w:eastAsiaTheme="minorEastAsia" w:cstheme="minorBidi"/>
      <w:sz w:val="21"/>
      <w:szCs w:val="22"/>
    </w:rPr>
  </w:style>
  <w:style w:type="paragraph" w:styleId="62">
    <w:name w:val="toc 1"/>
    <w:basedOn w:val="1"/>
    <w:next w:val="1"/>
    <w:autoRedefine/>
    <w:qFormat/>
    <w:uiPriority w:val="39"/>
    <w:pPr>
      <w:tabs>
        <w:tab w:val="right" w:leader="dot" w:pos="8364"/>
      </w:tabs>
      <w:spacing w:before="120" w:after="120" w:line="360" w:lineRule="auto"/>
      <w:jc w:val="left"/>
    </w:pPr>
    <w:rPr>
      <w:b/>
      <w:caps/>
      <w:sz w:val="20"/>
    </w:rPr>
  </w:style>
  <w:style w:type="paragraph" w:styleId="63">
    <w:name w:val="List Continue 4"/>
    <w:basedOn w:val="1"/>
    <w:autoRedefine/>
    <w:qFormat/>
    <w:uiPriority w:val="0"/>
    <w:pPr>
      <w:spacing w:after="120"/>
      <w:ind w:left="1680" w:leftChars="800"/>
    </w:pPr>
    <w:rPr>
      <w:sz w:val="21"/>
    </w:rPr>
  </w:style>
  <w:style w:type="paragraph" w:styleId="64">
    <w:name w:val="toc 4"/>
    <w:basedOn w:val="1"/>
    <w:next w:val="1"/>
    <w:autoRedefine/>
    <w:qFormat/>
    <w:uiPriority w:val="0"/>
    <w:pPr>
      <w:ind w:left="840"/>
      <w:jc w:val="left"/>
    </w:pPr>
    <w:rPr>
      <w:sz w:val="18"/>
    </w:rPr>
  </w:style>
  <w:style w:type="paragraph" w:styleId="65">
    <w:name w:val="index heading"/>
    <w:basedOn w:val="1"/>
    <w:next w:val="66"/>
    <w:autoRedefine/>
    <w:qFormat/>
    <w:uiPriority w:val="0"/>
    <w:rPr>
      <w:rFonts w:ascii="Arial" w:hAnsi="Arial"/>
      <w:b/>
      <w:sz w:val="21"/>
    </w:rPr>
  </w:style>
  <w:style w:type="paragraph" w:styleId="66">
    <w:name w:val="index 1"/>
    <w:basedOn w:val="1"/>
    <w:next w:val="1"/>
    <w:autoRedefine/>
    <w:unhideWhenUsed/>
    <w:qFormat/>
    <w:uiPriority w:val="0"/>
  </w:style>
  <w:style w:type="paragraph" w:styleId="67">
    <w:name w:val="Subtitle"/>
    <w:basedOn w:val="1"/>
    <w:next w:val="1"/>
    <w:link w:val="350"/>
    <w:autoRedefine/>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8">
    <w:name w:val="List Number 5"/>
    <w:basedOn w:val="1"/>
    <w:autoRedefine/>
    <w:qFormat/>
    <w:uiPriority w:val="0"/>
    <w:pPr>
      <w:tabs>
        <w:tab w:val="left" w:pos="2040"/>
      </w:tabs>
      <w:ind w:left="2040" w:hanging="360"/>
    </w:pPr>
    <w:rPr>
      <w:sz w:val="21"/>
    </w:rPr>
  </w:style>
  <w:style w:type="paragraph" w:styleId="69">
    <w:name w:val="List"/>
    <w:basedOn w:val="1"/>
    <w:autoRedefine/>
    <w:qFormat/>
    <w:uiPriority w:val="0"/>
    <w:pPr>
      <w:ind w:left="200" w:hanging="200" w:hangingChars="200"/>
    </w:pPr>
    <w:rPr>
      <w:sz w:val="21"/>
    </w:rPr>
  </w:style>
  <w:style w:type="paragraph" w:styleId="70">
    <w:name w:val="footnote text"/>
    <w:basedOn w:val="1"/>
    <w:link w:val="351"/>
    <w:autoRedefine/>
    <w:qFormat/>
    <w:uiPriority w:val="0"/>
    <w:pPr>
      <w:snapToGrid w:val="0"/>
      <w:jc w:val="left"/>
    </w:pPr>
    <w:rPr>
      <w:rFonts w:asciiTheme="minorHAnsi" w:hAnsiTheme="minorHAnsi" w:eastAsiaTheme="minorEastAsia" w:cstheme="minorBidi"/>
      <w:sz w:val="18"/>
      <w:szCs w:val="22"/>
    </w:rPr>
  </w:style>
  <w:style w:type="paragraph" w:styleId="71">
    <w:name w:val="List 5"/>
    <w:basedOn w:val="1"/>
    <w:autoRedefine/>
    <w:qFormat/>
    <w:uiPriority w:val="0"/>
    <w:pPr>
      <w:ind w:left="100" w:leftChars="800" w:hanging="200" w:hangingChars="200"/>
    </w:pPr>
    <w:rPr>
      <w:sz w:val="21"/>
    </w:rPr>
  </w:style>
  <w:style w:type="paragraph" w:styleId="72">
    <w:name w:val="Body Text Indent 3"/>
    <w:basedOn w:val="1"/>
    <w:link w:val="347"/>
    <w:autoRedefine/>
    <w:qFormat/>
    <w:uiPriority w:val="0"/>
    <w:pPr>
      <w:spacing w:line="520" w:lineRule="exact"/>
      <w:ind w:firstLine="547"/>
    </w:pPr>
    <w:rPr>
      <w:rFonts w:asciiTheme="minorHAnsi" w:hAnsiTheme="minorHAnsi" w:eastAsiaTheme="minorEastAsia" w:cstheme="minorBidi"/>
      <w:szCs w:val="22"/>
    </w:rPr>
  </w:style>
  <w:style w:type="paragraph" w:styleId="73">
    <w:name w:val="index 7"/>
    <w:basedOn w:val="1"/>
    <w:next w:val="1"/>
    <w:autoRedefine/>
    <w:qFormat/>
    <w:uiPriority w:val="0"/>
    <w:pPr>
      <w:ind w:left="1200" w:leftChars="1200"/>
    </w:pPr>
    <w:rPr>
      <w:sz w:val="21"/>
    </w:rPr>
  </w:style>
  <w:style w:type="paragraph" w:styleId="74">
    <w:name w:val="index 9"/>
    <w:basedOn w:val="1"/>
    <w:next w:val="1"/>
    <w:autoRedefine/>
    <w:qFormat/>
    <w:uiPriority w:val="0"/>
    <w:pPr>
      <w:ind w:left="1600" w:leftChars="1600"/>
    </w:pPr>
    <w:rPr>
      <w:sz w:val="21"/>
    </w:rPr>
  </w:style>
  <w:style w:type="paragraph" w:styleId="75">
    <w:name w:val="table of figures"/>
    <w:basedOn w:val="1"/>
    <w:next w:val="1"/>
    <w:autoRedefine/>
    <w:qFormat/>
    <w:uiPriority w:val="0"/>
    <w:pPr>
      <w:ind w:left="560" w:hanging="560"/>
      <w:jc w:val="left"/>
    </w:pPr>
    <w:rPr>
      <w:smallCaps/>
      <w:sz w:val="20"/>
    </w:rPr>
  </w:style>
  <w:style w:type="paragraph" w:styleId="76">
    <w:name w:val="toc 2"/>
    <w:basedOn w:val="1"/>
    <w:next w:val="1"/>
    <w:autoRedefine/>
    <w:qFormat/>
    <w:uiPriority w:val="39"/>
    <w:pPr>
      <w:tabs>
        <w:tab w:val="right" w:leader="dot" w:pos="8364"/>
      </w:tabs>
      <w:spacing w:line="360" w:lineRule="auto"/>
      <w:ind w:left="280"/>
      <w:jc w:val="left"/>
    </w:pPr>
    <w:rPr>
      <w:rFonts w:ascii="仿宋" w:hAnsi="仿宋" w:eastAsia="仿宋"/>
      <w:b/>
      <w:smallCaps/>
      <w:sz w:val="24"/>
    </w:rPr>
  </w:style>
  <w:style w:type="paragraph" w:styleId="77">
    <w:name w:val="toc 9"/>
    <w:basedOn w:val="1"/>
    <w:next w:val="1"/>
    <w:autoRedefine/>
    <w:qFormat/>
    <w:uiPriority w:val="0"/>
    <w:pPr>
      <w:ind w:left="2240"/>
      <w:jc w:val="left"/>
    </w:pPr>
    <w:rPr>
      <w:sz w:val="18"/>
    </w:rPr>
  </w:style>
  <w:style w:type="paragraph" w:styleId="78">
    <w:name w:val="Body Text 2"/>
    <w:basedOn w:val="1"/>
    <w:link w:val="330"/>
    <w:autoRedefine/>
    <w:qFormat/>
    <w:uiPriority w:val="0"/>
    <w:pPr>
      <w:spacing w:after="120" w:line="480" w:lineRule="auto"/>
    </w:pPr>
    <w:rPr>
      <w:rFonts w:asciiTheme="minorHAnsi" w:hAnsiTheme="minorHAnsi" w:eastAsiaTheme="minorEastAsia" w:cstheme="minorBidi"/>
      <w:sz w:val="21"/>
      <w:szCs w:val="22"/>
    </w:rPr>
  </w:style>
  <w:style w:type="paragraph" w:styleId="79">
    <w:name w:val="List 4"/>
    <w:basedOn w:val="1"/>
    <w:autoRedefine/>
    <w:qFormat/>
    <w:uiPriority w:val="0"/>
    <w:pPr>
      <w:ind w:left="100" w:leftChars="600" w:hanging="200" w:hangingChars="200"/>
    </w:pPr>
    <w:rPr>
      <w:sz w:val="21"/>
    </w:rPr>
  </w:style>
  <w:style w:type="paragraph" w:styleId="80">
    <w:name w:val="List Continue 2"/>
    <w:basedOn w:val="1"/>
    <w:autoRedefine/>
    <w:qFormat/>
    <w:uiPriority w:val="0"/>
    <w:pPr>
      <w:spacing w:after="120"/>
      <w:ind w:left="840" w:leftChars="400"/>
    </w:pPr>
    <w:rPr>
      <w:sz w:val="21"/>
    </w:rPr>
  </w:style>
  <w:style w:type="paragraph" w:styleId="81">
    <w:name w:val="Message Header"/>
    <w:basedOn w:val="1"/>
    <w:link w:val="35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2">
    <w:name w:val="HTML Preformatted"/>
    <w:basedOn w:val="1"/>
    <w:link w:val="35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autoRedefine/>
    <w:qFormat/>
    <w:uiPriority w:val="0"/>
    <w:pPr>
      <w:spacing w:after="120"/>
      <w:ind w:left="1260" w:leftChars="600"/>
    </w:pPr>
    <w:rPr>
      <w:sz w:val="21"/>
    </w:rPr>
  </w:style>
  <w:style w:type="paragraph" w:styleId="85">
    <w:name w:val="index 2"/>
    <w:basedOn w:val="1"/>
    <w:next w:val="1"/>
    <w:autoRedefine/>
    <w:qFormat/>
    <w:uiPriority w:val="0"/>
    <w:pPr>
      <w:ind w:left="200" w:leftChars="200"/>
    </w:pPr>
    <w:rPr>
      <w:sz w:val="21"/>
    </w:rPr>
  </w:style>
  <w:style w:type="paragraph" w:styleId="86">
    <w:name w:val="Title"/>
    <w:basedOn w:val="1"/>
    <w:next w:val="1"/>
    <w:link w:val="343"/>
    <w:autoRedefine/>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7">
    <w:name w:val="annotation subject"/>
    <w:basedOn w:val="29"/>
    <w:next w:val="29"/>
    <w:link w:val="354"/>
    <w:autoRedefine/>
    <w:qFormat/>
    <w:uiPriority w:val="0"/>
    <w:rPr>
      <w:rFonts w:asciiTheme="minorHAnsi" w:hAnsiTheme="minorHAnsi" w:eastAsiaTheme="minorEastAsia" w:cstheme="minorBidi"/>
      <w:b/>
      <w:sz w:val="21"/>
      <w:szCs w:val="22"/>
    </w:rPr>
  </w:style>
  <w:style w:type="paragraph" w:styleId="88">
    <w:name w:val="Body Text First Indent 2"/>
    <w:basedOn w:val="38"/>
    <w:next w:val="89"/>
    <w:link w:val="342"/>
    <w:autoRedefine/>
    <w:qFormat/>
    <w:uiPriority w:val="0"/>
    <w:pPr>
      <w:ind w:firstLine="420" w:firstLineChars="200"/>
    </w:pPr>
    <w:rPr>
      <w:rFonts w:ascii="等线" w:hAnsi="等线" w:eastAsia="等线" w:cstheme="minorBidi"/>
      <w:sz w:val="21"/>
      <w:szCs w:val="22"/>
    </w:rPr>
  </w:style>
  <w:style w:type="paragraph" w:customStyle="1" w:styleId="89">
    <w:name w:val="文章正文"/>
    <w:basedOn w:val="1"/>
    <w:autoRedefine/>
    <w:qFormat/>
    <w:uiPriority w:val="0"/>
    <w:pPr>
      <w:spacing w:line="360" w:lineRule="auto"/>
      <w:ind w:firstLine="200" w:firstLineChars="200"/>
    </w:pPr>
    <w:rPr>
      <w:sz w:val="24"/>
      <w:szCs w:val="24"/>
    </w:rPr>
  </w:style>
  <w:style w:type="table" w:styleId="91">
    <w:name w:val="Table Grid"/>
    <w:basedOn w:val="9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3">
    <w:name w:val="Strong"/>
    <w:autoRedefine/>
    <w:qFormat/>
    <w:uiPriority w:val="22"/>
    <w:rPr>
      <w:b/>
    </w:rPr>
  </w:style>
  <w:style w:type="character" w:styleId="94">
    <w:name w:val="endnote reference"/>
    <w:autoRedefine/>
    <w:qFormat/>
    <w:uiPriority w:val="0"/>
    <w:rPr>
      <w:vertAlign w:val="superscript"/>
    </w:rPr>
  </w:style>
  <w:style w:type="character" w:styleId="95">
    <w:name w:val="page number"/>
    <w:basedOn w:val="92"/>
    <w:autoRedefine/>
    <w:qFormat/>
    <w:uiPriority w:val="0"/>
  </w:style>
  <w:style w:type="character" w:styleId="96">
    <w:name w:val="FollowedHyperlink"/>
    <w:autoRedefine/>
    <w:qFormat/>
    <w:uiPriority w:val="0"/>
    <w:rPr>
      <w:color w:val="800080"/>
      <w:u w:val="single"/>
    </w:rPr>
  </w:style>
  <w:style w:type="character" w:styleId="97">
    <w:name w:val="Emphasis"/>
    <w:autoRedefine/>
    <w:qFormat/>
    <w:uiPriority w:val="0"/>
    <w:rPr>
      <w:color w:val="CC0000"/>
    </w:rPr>
  </w:style>
  <w:style w:type="character" w:styleId="98">
    <w:name w:val="Hyperlink"/>
    <w:basedOn w:val="92"/>
    <w:autoRedefine/>
    <w:qFormat/>
    <w:uiPriority w:val="99"/>
    <w:rPr>
      <w:color w:val="0000FF"/>
      <w:u w:val="single"/>
    </w:rPr>
  </w:style>
  <w:style w:type="character" w:styleId="99">
    <w:name w:val="annotation reference"/>
    <w:autoRedefine/>
    <w:qFormat/>
    <w:uiPriority w:val="0"/>
    <w:rPr>
      <w:sz w:val="21"/>
    </w:rPr>
  </w:style>
  <w:style w:type="character" w:styleId="100">
    <w:name w:val="footnote reference"/>
    <w:autoRedefine/>
    <w:qFormat/>
    <w:uiPriority w:val="0"/>
    <w:rPr>
      <w:vertAlign w:val="superscript"/>
    </w:rPr>
  </w:style>
  <w:style w:type="character" w:customStyle="1" w:styleId="101">
    <w:name w:val="标题 3 Char"/>
    <w:basedOn w:val="92"/>
    <w:link w:val="6"/>
    <w:autoRedefine/>
    <w:qFormat/>
    <w:uiPriority w:val="0"/>
    <w:rPr>
      <w:rFonts w:ascii="Calibri" w:hAnsi="Calibri" w:eastAsia="宋体" w:cs="Times New Roman"/>
      <w:b/>
      <w:kern w:val="0"/>
      <w:sz w:val="32"/>
      <w:szCs w:val="20"/>
    </w:rPr>
  </w:style>
  <w:style w:type="paragraph" w:customStyle="1" w:styleId="102">
    <w:name w:val="[Normal]"/>
    <w:autoRedefine/>
    <w:qFormat/>
    <w:uiPriority w:val="0"/>
    <w:rPr>
      <w:rFonts w:ascii="宋体" w:hAnsi="宋体" w:eastAsia="宋体" w:cs="Times New Roman"/>
      <w:sz w:val="24"/>
      <w:szCs w:val="22"/>
      <w:lang w:val="zh-CN" w:eastAsia="zh-CN" w:bidi="ar-SA"/>
    </w:rPr>
  </w:style>
  <w:style w:type="paragraph" w:customStyle="1" w:styleId="103">
    <w:name w:val="toc 11"/>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104">
    <w:name w:val="表格文字"/>
    <w:basedOn w:val="1"/>
    <w:next w:val="35"/>
    <w:autoRedefine/>
    <w:qFormat/>
    <w:uiPriority w:val="0"/>
    <w:pPr>
      <w:adjustRightInd w:val="0"/>
      <w:spacing w:line="420" w:lineRule="atLeast"/>
      <w:textAlignment w:val="baseline"/>
    </w:pPr>
    <w:rPr>
      <w:kern w:val="0"/>
      <w:sz w:val="21"/>
    </w:rPr>
  </w:style>
  <w:style w:type="paragraph" w:customStyle="1" w:styleId="105">
    <w:name w:val="正"/>
    <w:autoRedefine/>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106">
    <w:name w:val="样式1"/>
    <w:basedOn w:val="4"/>
    <w:link w:val="153"/>
    <w:autoRedefine/>
    <w:qFormat/>
    <w:uiPriority w:val="0"/>
    <w:pPr>
      <w:tabs>
        <w:tab w:val="left" w:pos="-839"/>
      </w:tabs>
      <w:ind w:left="1320" w:hanging="1320"/>
    </w:pPr>
    <w:rPr>
      <w:rFonts w:hAnsiTheme="minorHAnsi" w:eastAsiaTheme="minorEastAsia" w:cstheme="minorBidi"/>
      <w:kern w:val="2"/>
      <w:szCs w:val="22"/>
    </w:rPr>
  </w:style>
  <w:style w:type="character" w:customStyle="1" w:styleId="107">
    <w:name w:val="页眉 Char"/>
    <w:basedOn w:val="92"/>
    <w:link w:val="60"/>
    <w:autoRedefine/>
    <w:qFormat/>
    <w:uiPriority w:val="99"/>
    <w:rPr>
      <w:sz w:val="18"/>
      <w:szCs w:val="18"/>
    </w:rPr>
  </w:style>
  <w:style w:type="character" w:customStyle="1" w:styleId="108">
    <w:name w:val="页脚 Char"/>
    <w:basedOn w:val="92"/>
    <w:link w:val="58"/>
    <w:autoRedefine/>
    <w:qFormat/>
    <w:uiPriority w:val="99"/>
    <w:rPr>
      <w:sz w:val="18"/>
      <w:szCs w:val="18"/>
    </w:rPr>
  </w:style>
  <w:style w:type="character" w:customStyle="1" w:styleId="109">
    <w:name w:val="标题 1 Char"/>
    <w:basedOn w:val="92"/>
    <w:link w:val="4"/>
    <w:autoRedefine/>
    <w:qFormat/>
    <w:uiPriority w:val="9"/>
    <w:rPr>
      <w:rFonts w:ascii="黑体" w:hAnsi="Calibri" w:eastAsia="宋体" w:cs="Times New Roman"/>
      <w:b/>
      <w:kern w:val="0"/>
      <w:sz w:val="32"/>
      <w:szCs w:val="20"/>
    </w:rPr>
  </w:style>
  <w:style w:type="character" w:customStyle="1" w:styleId="110">
    <w:name w:val="标题 2 Char"/>
    <w:basedOn w:val="92"/>
    <w:autoRedefine/>
    <w:qFormat/>
    <w:uiPriority w:val="0"/>
    <w:rPr>
      <w:rFonts w:asciiTheme="majorHAnsi" w:hAnsiTheme="majorHAnsi" w:eastAsiaTheme="majorEastAsia" w:cstheme="majorBidi"/>
      <w:b/>
      <w:bCs/>
      <w:sz w:val="32"/>
      <w:szCs w:val="32"/>
    </w:rPr>
  </w:style>
  <w:style w:type="character" w:customStyle="1" w:styleId="111">
    <w:name w:val="标题 4 Char"/>
    <w:basedOn w:val="92"/>
    <w:link w:val="7"/>
    <w:autoRedefine/>
    <w:qFormat/>
    <w:uiPriority w:val="0"/>
    <w:rPr>
      <w:rFonts w:ascii="Arial" w:hAnsi="Arial" w:eastAsia="黑体" w:cs="Times New Roman"/>
      <w:b/>
      <w:sz w:val="28"/>
      <w:szCs w:val="20"/>
    </w:rPr>
  </w:style>
  <w:style w:type="character" w:customStyle="1" w:styleId="112">
    <w:name w:val="标题 5 Char"/>
    <w:basedOn w:val="92"/>
    <w:link w:val="8"/>
    <w:autoRedefine/>
    <w:qFormat/>
    <w:uiPriority w:val="0"/>
    <w:rPr>
      <w:rFonts w:ascii="Calibri" w:hAnsi="Calibri" w:eastAsia="宋体" w:cs="Times New Roman"/>
      <w:b/>
      <w:sz w:val="28"/>
      <w:szCs w:val="20"/>
    </w:rPr>
  </w:style>
  <w:style w:type="character" w:customStyle="1" w:styleId="113">
    <w:name w:val="标题 6 Char"/>
    <w:basedOn w:val="92"/>
    <w:link w:val="10"/>
    <w:autoRedefine/>
    <w:qFormat/>
    <w:uiPriority w:val="0"/>
    <w:rPr>
      <w:rFonts w:ascii="Arial" w:hAnsi="Arial" w:eastAsia="黑体" w:cs="Times New Roman"/>
      <w:b/>
      <w:kern w:val="0"/>
      <w:sz w:val="24"/>
      <w:szCs w:val="20"/>
    </w:rPr>
  </w:style>
  <w:style w:type="character" w:customStyle="1" w:styleId="114">
    <w:name w:val="标题 7 Char"/>
    <w:basedOn w:val="92"/>
    <w:link w:val="11"/>
    <w:autoRedefine/>
    <w:qFormat/>
    <w:uiPriority w:val="0"/>
    <w:rPr>
      <w:rFonts w:ascii="Calibri" w:hAnsi="Calibri" w:eastAsia="宋体" w:cs="Times New Roman"/>
      <w:b/>
      <w:kern w:val="0"/>
      <w:sz w:val="24"/>
      <w:szCs w:val="20"/>
    </w:rPr>
  </w:style>
  <w:style w:type="character" w:customStyle="1" w:styleId="115">
    <w:name w:val="标题 8 Char"/>
    <w:basedOn w:val="92"/>
    <w:link w:val="12"/>
    <w:autoRedefine/>
    <w:qFormat/>
    <w:uiPriority w:val="0"/>
    <w:rPr>
      <w:rFonts w:ascii="Arial" w:hAnsi="Arial" w:eastAsia="黑体" w:cs="Times New Roman"/>
      <w:kern w:val="0"/>
      <w:sz w:val="24"/>
      <w:szCs w:val="20"/>
    </w:rPr>
  </w:style>
  <w:style w:type="character" w:customStyle="1" w:styleId="116">
    <w:name w:val="标题 9 Char"/>
    <w:basedOn w:val="92"/>
    <w:link w:val="13"/>
    <w:autoRedefine/>
    <w:qFormat/>
    <w:uiPriority w:val="0"/>
    <w:rPr>
      <w:rFonts w:ascii="Arial" w:hAnsi="Arial" w:eastAsia="黑体" w:cs="Times New Roman"/>
      <w:kern w:val="0"/>
      <w:szCs w:val="20"/>
    </w:rPr>
  </w:style>
  <w:style w:type="character" w:customStyle="1" w:styleId="117">
    <w:name w:val="正文文本缩进 Char"/>
    <w:basedOn w:val="92"/>
    <w:link w:val="38"/>
    <w:autoRedefine/>
    <w:qFormat/>
    <w:uiPriority w:val="0"/>
    <w:rPr>
      <w:rFonts w:ascii="Calibri" w:hAnsi="Calibri" w:eastAsia="宋体" w:cs="Times New Roman"/>
      <w:sz w:val="28"/>
      <w:szCs w:val="20"/>
    </w:rPr>
  </w:style>
  <w:style w:type="character" w:customStyle="1" w:styleId="118">
    <w:name w:val="正文首行缩进 2 Char"/>
    <w:basedOn w:val="117"/>
    <w:autoRedefine/>
    <w:qFormat/>
    <w:uiPriority w:val="0"/>
    <w:rPr>
      <w:rFonts w:ascii="Calibri" w:hAnsi="Calibri" w:eastAsia="宋体" w:cs="Times New Roman"/>
      <w:sz w:val="28"/>
      <w:szCs w:val="20"/>
    </w:rPr>
  </w:style>
  <w:style w:type="character" w:customStyle="1" w:styleId="119">
    <w:name w:val="正文文本 Char"/>
    <w:basedOn w:val="92"/>
    <w:link w:val="35"/>
    <w:autoRedefine/>
    <w:qFormat/>
    <w:uiPriority w:val="0"/>
    <w:rPr>
      <w:rFonts w:ascii="Calibri" w:hAnsi="Calibri" w:eastAsia="宋体" w:cs="Times New Roman"/>
      <w:sz w:val="28"/>
      <w:szCs w:val="20"/>
    </w:rPr>
  </w:style>
  <w:style w:type="character" w:customStyle="1" w:styleId="120">
    <w:name w:val="正文首行缩进 Char"/>
    <w:basedOn w:val="119"/>
    <w:link w:val="121"/>
    <w:autoRedefine/>
    <w:qFormat/>
    <w:uiPriority w:val="0"/>
    <w:rPr>
      <w:rFonts w:ascii="Calibri" w:hAnsi="Calibri" w:eastAsia="宋体" w:cs="Times New Roman"/>
      <w:sz w:val="28"/>
      <w:szCs w:val="20"/>
    </w:rPr>
  </w:style>
  <w:style w:type="paragraph" w:customStyle="1" w:styleId="121">
    <w:name w:val="正文首行缩进1"/>
    <w:basedOn w:val="35"/>
    <w:link w:val="120"/>
    <w:autoRedefine/>
    <w:qFormat/>
    <w:uiPriority w:val="0"/>
    <w:pPr>
      <w:spacing w:after="0"/>
      <w:ind w:firstLine="420" w:firstLineChars="100"/>
    </w:pPr>
  </w:style>
  <w:style w:type="character" w:customStyle="1" w:styleId="122">
    <w:name w:val="标题 Char"/>
    <w:basedOn w:val="92"/>
    <w:autoRedefine/>
    <w:qFormat/>
    <w:uiPriority w:val="0"/>
    <w:rPr>
      <w:rFonts w:eastAsia="宋体" w:asciiTheme="majorHAnsi" w:hAnsiTheme="majorHAnsi" w:cstheme="majorBidi"/>
      <w:b/>
      <w:bCs/>
      <w:sz w:val="32"/>
      <w:szCs w:val="32"/>
    </w:rPr>
  </w:style>
  <w:style w:type="character" w:customStyle="1" w:styleId="123">
    <w:name w:val="批注文字 Char"/>
    <w:basedOn w:val="92"/>
    <w:link w:val="29"/>
    <w:autoRedefine/>
    <w:qFormat/>
    <w:uiPriority w:val="0"/>
    <w:rPr>
      <w:rFonts w:ascii="Calibri" w:hAnsi="Calibri" w:eastAsia="宋体" w:cs="Times New Roman"/>
      <w:sz w:val="28"/>
      <w:szCs w:val="20"/>
    </w:rPr>
  </w:style>
  <w:style w:type="character" w:customStyle="1" w:styleId="124">
    <w:name w:val="批注主题 Char"/>
    <w:basedOn w:val="123"/>
    <w:link w:val="125"/>
    <w:autoRedefine/>
    <w:qFormat/>
    <w:uiPriority w:val="0"/>
    <w:rPr>
      <w:rFonts w:ascii="Calibri" w:hAnsi="Calibri" w:eastAsia="宋体" w:cs="Times New Roman"/>
      <w:b/>
      <w:bCs/>
      <w:sz w:val="28"/>
      <w:szCs w:val="20"/>
    </w:rPr>
  </w:style>
  <w:style w:type="paragraph" w:customStyle="1" w:styleId="125">
    <w:name w:val="批注主题1"/>
    <w:basedOn w:val="29"/>
    <w:next w:val="29"/>
    <w:link w:val="124"/>
    <w:autoRedefine/>
    <w:qFormat/>
    <w:uiPriority w:val="0"/>
    <w:rPr>
      <w:b/>
      <w:bCs/>
    </w:rPr>
  </w:style>
  <w:style w:type="character" w:customStyle="1" w:styleId="126">
    <w:name w:val="宏文本 Char"/>
    <w:basedOn w:val="92"/>
    <w:autoRedefine/>
    <w:qFormat/>
    <w:uiPriority w:val="0"/>
    <w:rPr>
      <w:rFonts w:ascii="Courier New" w:hAnsi="Courier New" w:eastAsia="宋体" w:cs="Courier New"/>
      <w:sz w:val="24"/>
      <w:szCs w:val="24"/>
    </w:rPr>
  </w:style>
  <w:style w:type="character" w:customStyle="1" w:styleId="127">
    <w:name w:val="注释标题 Char"/>
    <w:basedOn w:val="92"/>
    <w:autoRedefine/>
    <w:qFormat/>
    <w:uiPriority w:val="0"/>
    <w:rPr>
      <w:rFonts w:ascii="Calibri" w:hAnsi="Calibri" w:eastAsia="宋体" w:cs="Times New Roman"/>
      <w:sz w:val="28"/>
      <w:szCs w:val="20"/>
    </w:rPr>
  </w:style>
  <w:style w:type="character" w:customStyle="1" w:styleId="128">
    <w:name w:val="电子邮件签名 Char"/>
    <w:basedOn w:val="92"/>
    <w:autoRedefine/>
    <w:qFormat/>
    <w:uiPriority w:val="0"/>
    <w:rPr>
      <w:rFonts w:ascii="Calibri" w:hAnsi="Calibri" w:eastAsia="宋体" w:cs="Times New Roman"/>
      <w:sz w:val="28"/>
      <w:szCs w:val="20"/>
    </w:rPr>
  </w:style>
  <w:style w:type="character" w:customStyle="1" w:styleId="129">
    <w:name w:val="文档结构图 Char"/>
    <w:basedOn w:val="92"/>
    <w:autoRedefine/>
    <w:qFormat/>
    <w:uiPriority w:val="0"/>
    <w:rPr>
      <w:rFonts w:ascii="宋体" w:hAnsi="Calibri" w:eastAsia="宋体" w:cs="Times New Roman"/>
      <w:sz w:val="18"/>
      <w:szCs w:val="18"/>
    </w:rPr>
  </w:style>
  <w:style w:type="character" w:customStyle="1" w:styleId="130">
    <w:name w:val="称呼 Char"/>
    <w:basedOn w:val="92"/>
    <w:autoRedefine/>
    <w:qFormat/>
    <w:uiPriority w:val="0"/>
    <w:rPr>
      <w:rFonts w:ascii="Calibri" w:hAnsi="Calibri" w:eastAsia="宋体" w:cs="Times New Roman"/>
      <w:sz w:val="28"/>
      <w:szCs w:val="20"/>
    </w:rPr>
  </w:style>
  <w:style w:type="character" w:customStyle="1" w:styleId="131">
    <w:name w:val="正文文本 3 Char"/>
    <w:basedOn w:val="92"/>
    <w:autoRedefine/>
    <w:qFormat/>
    <w:uiPriority w:val="0"/>
    <w:rPr>
      <w:rFonts w:ascii="Calibri" w:hAnsi="Calibri" w:eastAsia="宋体" w:cs="Times New Roman"/>
      <w:sz w:val="16"/>
      <w:szCs w:val="16"/>
    </w:rPr>
  </w:style>
  <w:style w:type="character" w:customStyle="1" w:styleId="132">
    <w:name w:val="结束语 Char"/>
    <w:basedOn w:val="92"/>
    <w:autoRedefine/>
    <w:qFormat/>
    <w:uiPriority w:val="0"/>
    <w:rPr>
      <w:rFonts w:ascii="Calibri" w:hAnsi="Calibri" w:eastAsia="宋体" w:cs="Times New Roman"/>
      <w:sz w:val="28"/>
      <w:szCs w:val="20"/>
    </w:rPr>
  </w:style>
  <w:style w:type="character" w:customStyle="1" w:styleId="133">
    <w:name w:val="HTML 地址 Char"/>
    <w:basedOn w:val="92"/>
    <w:autoRedefine/>
    <w:qFormat/>
    <w:uiPriority w:val="0"/>
    <w:rPr>
      <w:rFonts w:ascii="Calibri" w:hAnsi="Calibri" w:eastAsia="宋体" w:cs="Times New Roman"/>
      <w:i/>
      <w:iCs/>
      <w:sz w:val="28"/>
      <w:szCs w:val="20"/>
    </w:rPr>
  </w:style>
  <w:style w:type="character" w:customStyle="1" w:styleId="134">
    <w:name w:val="纯文本 Char"/>
    <w:basedOn w:val="92"/>
    <w:autoRedefine/>
    <w:qFormat/>
    <w:uiPriority w:val="0"/>
    <w:rPr>
      <w:rFonts w:ascii="宋体" w:hAnsi="Courier New" w:eastAsia="宋体" w:cs="Courier New"/>
      <w:szCs w:val="21"/>
    </w:rPr>
  </w:style>
  <w:style w:type="character" w:customStyle="1" w:styleId="135">
    <w:name w:val="日期 Char"/>
    <w:basedOn w:val="92"/>
    <w:autoRedefine/>
    <w:qFormat/>
    <w:uiPriority w:val="0"/>
    <w:rPr>
      <w:rFonts w:ascii="Calibri" w:hAnsi="Calibri" w:eastAsia="宋体" w:cs="Times New Roman"/>
      <w:sz w:val="28"/>
      <w:szCs w:val="20"/>
    </w:rPr>
  </w:style>
  <w:style w:type="character" w:customStyle="1" w:styleId="136">
    <w:name w:val="正文文本缩进 2 Char"/>
    <w:basedOn w:val="92"/>
    <w:link w:val="137"/>
    <w:autoRedefine/>
    <w:qFormat/>
    <w:uiPriority w:val="0"/>
    <w:rPr>
      <w:rFonts w:ascii="Calibri" w:hAnsi="Calibri" w:eastAsia="宋体" w:cs="Times New Roman"/>
      <w:sz w:val="28"/>
      <w:szCs w:val="20"/>
    </w:rPr>
  </w:style>
  <w:style w:type="paragraph" w:customStyle="1" w:styleId="137">
    <w:name w:val="正文文本缩进 22"/>
    <w:basedOn w:val="1"/>
    <w:link w:val="136"/>
    <w:autoRedefine/>
    <w:qFormat/>
    <w:uiPriority w:val="0"/>
    <w:pPr>
      <w:adjustRightInd w:val="0"/>
      <w:spacing w:line="400" w:lineRule="atLeast"/>
      <w:ind w:firstLine="540"/>
      <w:textAlignment w:val="baseline"/>
    </w:pPr>
  </w:style>
  <w:style w:type="character" w:customStyle="1" w:styleId="138">
    <w:name w:val="尾注文本 Char"/>
    <w:basedOn w:val="92"/>
    <w:autoRedefine/>
    <w:qFormat/>
    <w:uiPriority w:val="0"/>
    <w:rPr>
      <w:rFonts w:ascii="Calibri" w:hAnsi="Calibri" w:eastAsia="宋体" w:cs="Times New Roman"/>
      <w:sz w:val="28"/>
      <w:szCs w:val="20"/>
    </w:rPr>
  </w:style>
  <w:style w:type="character" w:customStyle="1" w:styleId="139">
    <w:name w:val="批注框文本 Char"/>
    <w:basedOn w:val="92"/>
    <w:autoRedefine/>
    <w:qFormat/>
    <w:uiPriority w:val="99"/>
    <w:rPr>
      <w:rFonts w:ascii="Calibri" w:hAnsi="Calibri" w:eastAsia="宋体" w:cs="Times New Roman"/>
      <w:sz w:val="18"/>
      <w:szCs w:val="18"/>
    </w:rPr>
  </w:style>
  <w:style w:type="character" w:customStyle="1" w:styleId="140">
    <w:name w:val="签名 Char"/>
    <w:basedOn w:val="92"/>
    <w:autoRedefine/>
    <w:qFormat/>
    <w:uiPriority w:val="0"/>
    <w:rPr>
      <w:rFonts w:ascii="Calibri" w:hAnsi="Calibri" w:eastAsia="宋体" w:cs="Times New Roman"/>
      <w:sz w:val="28"/>
      <w:szCs w:val="20"/>
    </w:rPr>
  </w:style>
  <w:style w:type="character" w:customStyle="1" w:styleId="141">
    <w:name w:val="副标题 Char"/>
    <w:basedOn w:val="92"/>
    <w:autoRedefine/>
    <w:qFormat/>
    <w:uiPriority w:val="0"/>
    <w:rPr>
      <w:rFonts w:eastAsia="宋体" w:asciiTheme="majorHAnsi" w:hAnsiTheme="majorHAnsi" w:cstheme="majorBidi"/>
      <w:b/>
      <w:bCs/>
      <w:kern w:val="28"/>
      <w:sz w:val="32"/>
      <w:szCs w:val="32"/>
    </w:rPr>
  </w:style>
  <w:style w:type="character" w:customStyle="1" w:styleId="142">
    <w:name w:val="脚注文本 Char"/>
    <w:basedOn w:val="92"/>
    <w:autoRedefine/>
    <w:qFormat/>
    <w:uiPriority w:val="0"/>
    <w:rPr>
      <w:rFonts w:ascii="Calibri" w:hAnsi="Calibri" w:eastAsia="宋体" w:cs="Times New Roman"/>
      <w:sz w:val="18"/>
      <w:szCs w:val="18"/>
    </w:rPr>
  </w:style>
  <w:style w:type="character" w:customStyle="1" w:styleId="143">
    <w:name w:val="正文文本缩进 3 Char"/>
    <w:basedOn w:val="92"/>
    <w:link w:val="144"/>
    <w:autoRedefine/>
    <w:qFormat/>
    <w:uiPriority w:val="0"/>
    <w:rPr>
      <w:rFonts w:ascii="Calibri" w:hAnsi="Calibri" w:eastAsia="宋体" w:cs="Times New Roman"/>
      <w:sz w:val="16"/>
      <w:szCs w:val="16"/>
    </w:rPr>
  </w:style>
  <w:style w:type="paragraph" w:customStyle="1" w:styleId="144">
    <w:name w:val="正文文本缩进 31"/>
    <w:basedOn w:val="1"/>
    <w:link w:val="143"/>
    <w:autoRedefine/>
    <w:qFormat/>
    <w:uiPriority w:val="0"/>
    <w:pPr>
      <w:spacing w:line="360" w:lineRule="auto"/>
      <w:ind w:firstLine="490" w:firstLineChars="204"/>
    </w:pPr>
    <w:rPr>
      <w:sz w:val="16"/>
      <w:szCs w:val="16"/>
    </w:rPr>
  </w:style>
  <w:style w:type="character" w:customStyle="1" w:styleId="145">
    <w:name w:val="正文文本 2 Char"/>
    <w:basedOn w:val="92"/>
    <w:link w:val="146"/>
    <w:autoRedefine/>
    <w:qFormat/>
    <w:uiPriority w:val="0"/>
    <w:rPr>
      <w:rFonts w:ascii="Calibri" w:hAnsi="Calibri" w:eastAsia="宋体" w:cs="Times New Roman"/>
      <w:sz w:val="28"/>
      <w:szCs w:val="20"/>
    </w:rPr>
  </w:style>
  <w:style w:type="paragraph" w:customStyle="1" w:styleId="146">
    <w:name w:val="正文文本 22"/>
    <w:basedOn w:val="1"/>
    <w:link w:val="145"/>
    <w:autoRedefine/>
    <w:qFormat/>
    <w:uiPriority w:val="0"/>
    <w:pPr>
      <w:adjustRightInd w:val="0"/>
      <w:ind w:firstLine="510"/>
      <w:jc w:val="left"/>
      <w:textAlignment w:val="baseline"/>
    </w:pPr>
  </w:style>
  <w:style w:type="character" w:customStyle="1" w:styleId="147">
    <w:name w:val="信息标题 Char"/>
    <w:basedOn w:val="92"/>
    <w:autoRedefine/>
    <w:qFormat/>
    <w:uiPriority w:val="0"/>
    <w:rPr>
      <w:rFonts w:asciiTheme="majorHAnsi" w:hAnsiTheme="majorHAnsi" w:eastAsiaTheme="majorEastAsia" w:cstheme="majorBidi"/>
      <w:sz w:val="24"/>
      <w:szCs w:val="24"/>
      <w:shd w:val="pct20" w:color="auto" w:fill="auto"/>
    </w:rPr>
  </w:style>
  <w:style w:type="character" w:customStyle="1" w:styleId="148">
    <w:name w:val="HTML 预设格式 Char"/>
    <w:basedOn w:val="92"/>
    <w:link w:val="149"/>
    <w:autoRedefine/>
    <w:qFormat/>
    <w:uiPriority w:val="0"/>
    <w:rPr>
      <w:rFonts w:ascii="Courier New" w:hAnsi="Courier New" w:eastAsia="宋体" w:cs="Courier New"/>
      <w:sz w:val="20"/>
      <w:szCs w:val="20"/>
    </w:rPr>
  </w:style>
  <w:style w:type="paragraph" w:customStyle="1" w:styleId="149">
    <w:name w:val="HTML 预设格式1"/>
    <w:basedOn w:val="1"/>
    <w:link w:val="148"/>
    <w:autoRedefine/>
    <w:qFormat/>
    <w:uiPriority w:val="0"/>
    <w:rPr>
      <w:rFonts w:ascii="Courier New" w:hAnsi="Courier New" w:cs="Courier New"/>
      <w:sz w:val="20"/>
    </w:rPr>
  </w:style>
  <w:style w:type="character" w:customStyle="1" w:styleId="150">
    <w:name w:val="bemq"/>
    <w:autoRedefine/>
    <w:qFormat/>
    <w:uiPriority w:val="0"/>
  </w:style>
  <w:style w:type="character" w:customStyle="1" w:styleId="151">
    <w:name w:val="标题 Char3"/>
    <w:autoRedefine/>
    <w:qFormat/>
    <w:uiPriority w:val="0"/>
    <w:rPr>
      <w:b/>
      <w:sz w:val="24"/>
      <w:lang w:val="en-GB"/>
    </w:rPr>
  </w:style>
  <w:style w:type="character" w:customStyle="1" w:styleId="152">
    <w:name w:val="HTML 打字机1"/>
    <w:autoRedefine/>
    <w:qFormat/>
    <w:uiPriority w:val="0"/>
    <w:rPr>
      <w:rFonts w:ascii="Courier New" w:hAnsi="Courier New"/>
      <w:sz w:val="20"/>
    </w:rPr>
  </w:style>
  <w:style w:type="character" w:customStyle="1" w:styleId="153">
    <w:name w:val="样式1 Char Char"/>
    <w:link w:val="106"/>
    <w:autoRedefine/>
    <w:qFormat/>
    <w:uiPriority w:val="0"/>
    <w:rPr>
      <w:rFonts w:ascii="黑体"/>
      <w:b/>
      <w:sz w:val="32"/>
    </w:rPr>
  </w:style>
  <w:style w:type="character" w:customStyle="1" w:styleId="154">
    <w:name w:val="日期 Char1"/>
    <w:autoRedefine/>
    <w:qFormat/>
    <w:uiPriority w:val="0"/>
    <w:rPr>
      <w:rFonts w:ascii="Times New Roman" w:hAnsi="Times New Roman" w:eastAsia="宋体"/>
    </w:rPr>
  </w:style>
  <w:style w:type="character" w:customStyle="1" w:styleId="155">
    <w:name w:val="标题 9 字符"/>
    <w:autoRedefine/>
    <w:qFormat/>
    <w:uiPriority w:val="0"/>
    <w:rPr>
      <w:rFonts w:ascii="等线 Light" w:hAnsi="等线 Light" w:eastAsia="等线 Light"/>
      <w:kern w:val="2"/>
      <w:sz w:val="21"/>
    </w:rPr>
  </w:style>
  <w:style w:type="character" w:customStyle="1" w:styleId="156">
    <w:name w:val="标题 3 Char Char Char"/>
    <w:autoRedefine/>
    <w:qFormat/>
    <w:uiPriority w:val="0"/>
    <w:rPr>
      <w:rFonts w:eastAsia="宋体"/>
      <w:b/>
      <w:kern w:val="2"/>
      <w:sz w:val="32"/>
      <w:lang w:val="en-US" w:eastAsia="zh-CN"/>
    </w:rPr>
  </w:style>
  <w:style w:type="character" w:customStyle="1" w:styleId="157">
    <w:name w:val="正文文本缩进 字符"/>
    <w:autoRedefine/>
    <w:qFormat/>
    <w:uiPriority w:val="0"/>
    <w:rPr>
      <w:rFonts w:ascii="Times New Roman" w:hAnsi="Times New Roman" w:eastAsia="宋体"/>
      <w:kern w:val="2"/>
      <w:sz w:val="21"/>
    </w:rPr>
  </w:style>
  <w:style w:type="character" w:customStyle="1" w:styleId="158">
    <w:name w:val="style1 style6 style7"/>
    <w:autoRedefine/>
    <w:qFormat/>
    <w:uiPriority w:val="0"/>
  </w:style>
  <w:style w:type="character" w:customStyle="1" w:styleId="159">
    <w:name w:val="h2 Char"/>
    <w:autoRedefine/>
    <w:qFormat/>
    <w:uiPriority w:val="0"/>
    <w:rPr>
      <w:rFonts w:ascii="Arial" w:hAnsi="Arial" w:eastAsia="黑体"/>
      <w:color w:val="0000FF"/>
      <w:sz w:val="24"/>
      <w:lang w:val="en-US" w:eastAsia="zh-CN"/>
    </w:rPr>
  </w:style>
  <w:style w:type="character" w:customStyle="1" w:styleId="160">
    <w:name w:val="页脚 字符"/>
    <w:autoRedefine/>
    <w:qFormat/>
    <w:uiPriority w:val="0"/>
    <w:rPr>
      <w:kern w:val="2"/>
      <w:sz w:val="18"/>
    </w:rPr>
  </w:style>
  <w:style w:type="character" w:customStyle="1" w:styleId="161">
    <w:name w:val="content3"/>
    <w:autoRedefine/>
    <w:qFormat/>
    <w:uiPriority w:val="0"/>
    <w:rPr>
      <w:b/>
      <w:sz w:val="18"/>
    </w:rPr>
  </w:style>
  <w:style w:type="character" w:customStyle="1" w:styleId="162">
    <w:name w:val="street-address"/>
    <w:autoRedefine/>
    <w:qFormat/>
    <w:uiPriority w:val="0"/>
  </w:style>
  <w:style w:type="character" w:customStyle="1" w:styleId="163">
    <w:name w:val="正文文本缩进 2 Char1"/>
    <w:autoRedefine/>
    <w:qFormat/>
    <w:uiPriority w:val="0"/>
    <w:rPr>
      <w:rFonts w:ascii="黑体" w:eastAsia="黑体"/>
      <w:sz w:val="28"/>
    </w:rPr>
  </w:style>
  <w:style w:type="character" w:customStyle="1" w:styleId="164">
    <w:name w:val="标题 7 字符"/>
    <w:autoRedefine/>
    <w:qFormat/>
    <w:uiPriority w:val="0"/>
    <w:rPr>
      <w:rFonts w:ascii="Times New Roman" w:hAnsi="Times New Roman" w:eastAsia="宋体"/>
      <w:b/>
      <w:kern w:val="2"/>
      <w:sz w:val="24"/>
    </w:rPr>
  </w:style>
  <w:style w:type="character" w:customStyle="1" w:styleId="165">
    <w:name w:val="正文（首行缩进两字） + Arial Char Char Char Char Char Char Char Char Char Char Char Char Char Char Char Char Char Char Char Char Char Char Char Char Char Char Char"/>
    <w:autoRedefine/>
    <w:qFormat/>
    <w:uiPriority w:val="0"/>
    <w:rPr>
      <w:rFonts w:ascii="Arial" w:hAnsi="Arial" w:eastAsia="宋体"/>
      <w:sz w:val="24"/>
      <w:lang w:val="en-US" w:eastAsia="zh-CN"/>
    </w:rPr>
  </w:style>
  <w:style w:type="character" w:customStyle="1" w:styleId="166">
    <w:name w:val="内文 Char Char"/>
    <w:link w:val="167"/>
    <w:autoRedefine/>
    <w:qFormat/>
    <w:uiPriority w:val="0"/>
    <w:rPr>
      <w:rFonts w:ascii="Arial" w:hAnsi="Arial" w:eastAsia="Times New Roman"/>
    </w:rPr>
  </w:style>
  <w:style w:type="paragraph" w:customStyle="1" w:styleId="167">
    <w:name w:val="内文"/>
    <w:link w:val="166"/>
    <w:autoRedefine/>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8">
    <w:name w:val="font14news1"/>
    <w:autoRedefine/>
    <w:qFormat/>
    <w:uiPriority w:val="0"/>
    <w:rPr>
      <w:color w:val="333333"/>
      <w:sz w:val="21"/>
    </w:rPr>
  </w:style>
  <w:style w:type="character" w:customStyle="1" w:styleId="169">
    <w:name w:val="标题 6 Char1"/>
    <w:autoRedefine/>
    <w:qFormat/>
    <w:uiPriority w:val="0"/>
    <w:rPr>
      <w:rFonts w:ascii="Arial" w:hAnsi="Arial" w:eastAsia="黑体"/>
      <w:b/>
      <w:sz w:val="24"/>
      <w:lang w:val="en-US" w:eastAsia="zh-CN"/>
    </w:rPr>
  </w:style>
  <w:style w:type="character" w:customStyle="1" w:styleId="170">
    <w:name w:val="HTML 变量1"/>
    <w:autoRedefine/>
    <w:qFormat/>
    <w:uiPriority w:val="0"/>
    <w:rPr>
      <w:i/>
    </w:rPr>
  </w:style>
  <w:style w:type="character" w:customStyle="1" w:styleId="171">
    <w:name w:val="标题 2 Char1"/>
    <w:autoRedefine/>
    <w:qFormat/>
    <w:uiPriority w:val="0"/>
    <w:rPr>
      <w:rFonts w:ascii="Arial" w:hAnsi="Arial" w:eastAsia="黑体"/>
      <w:b/>
      <w:sz w:val="32"/>
      <w:lang w:val="en-US" w:eastAsia="zh-CN"/>
    </w:rPr>
  </w:style>
  <w:style w:type="character" w:customStyle="1" w:styleId="172">
    <w:name w:val="样式10 Char"/>
    <w:link w:val="173"/>
    <w:autoRedefine/>
    <w:qFormat/>
    <w:uiPriority w:val="0"/>
    <w:rPr>
      <w:b/>
      <w:sz w:val="24"/>
    </w:rPr>
  </w:style>
  <w:style w:type="paragraph" w:customStyle="1" w:styleId="173">
    <w:name w:val="样式10"/>
    <w:basedOn w:val="1"/>
    <w:link w:val="172"/>
    <w:autoRedefine/>
    <w:qFormat/>
    <w:uiPriority w:val="0"/>
    <w:pPr>
      <w:spacing w:line="360" w:lineRule="auto"/>
    </w:pPr>
    <w:rPr>
      <w:rFonts w:asciiTheme="minorHAnsi" w:hAnsiTheme="minorHAnsi" w:eastAsiaTheme="minorEastAsia" w:cstheme="minorBidi"/>
      <w:b/>
      <w:sz w:val="24"/>
      <w:szCs w:val="22"/>
    </w:rPr>
  </w:style>
  <w:style w:type="character" w:customStyle="1" w:styleId="174">
    <w:name w:val="注释标题 字符"/>
    <w:autoRedefine/>
    <w:qFormat/>
    <w:uiPriority w:val="0"/>
    <w:rPr>
      <w:kern w:val="2"/>
      <w:sz w:val="28"/>
    </w:rPr>
  </w:style>
  <w:style w:type="character" w:customStyle="1" w:styleId="175">
    <w:name w:val="标题 1 Char2"/>
    <w:autoRedefine/>
    <w:qFormat/>
    <w:uiPriority w:val="0"/>
    <w:rPr>
      <w:rFonts w:ascii="Arial Unicode MS" w:hAnsi="Arial Unicode MS" w:eastAsia="Arial Unicode MS"/>
      <w:b/>
      <w:kern w:val="36"/>
      <w:sz w:val="48"/>
      <w:lang w:val="en-US" w:eastAsia="zh-CN"/>
    </w:rPr>
  </w:style>
  <w:style w:type="character" w:customStyle="1" w:styleId="176">
    <w:name w:val="Comment Text Char"/>
    <w:autoRedefine/>
    <w:qFormat/>
    <w:uiPriority w:val="0"/>
    <w:rPr>
      <w:rFonts w:ascii="Times New Roman" w:hAnsi="Times New Roman" w:eastAsia="宋体"/>
      <w:sz w:val="24"/>
    </w:rPr>
  </w:style>
  <w:style w:type="character" w:customStyle="1" w:styleId="177">
    <w:name w:val="纯文本 字符"/>
    <w:autoRedefine/>
    <w:qFormat/>
    <w:uiPriority w:val="0"/>
    <w:rPr>
      <w:rFonts w:ascii="宋体" w:hAnsi="Courier New" w:eastAsia="宋体"/>
      <w:kern w:val="2"/>
      <w:sz w:val="21"/>
    </w:rPr>
  </w:style>
  <w:style w:type="character" w:customStyle="1" w:styleId="178">
    <w:name w:val="页脚 Char2"/>
    <w:autoRedefine/>
    <w:qFormat/>
    <w:uiPriority w:val="0"/>
    <w:rPr>
      <w:kern w:val="2"/>
      <w:sz w:val="18"/>
    </w:rPr>
  </w:style>
  <w:style w:type="character" w:customStyle="1" w:styleId="179">
    <w:name w:val="个人撰写风格"/>
    <w:autoRedefine/>
    <w:qFormat/>
    <w:uiPriority w:val="0"/>
    <w:rPr>
      <w:rFonts w:ascii="Arial" w:hAnsi="Arial" w:eastAsia="宋体"/>
      <w:color w:val="auto"/>
      <w:sz w:val="20"/>
    </w:rPr>
  </w:style>
  <w:style w:type="character" w:customStyle="1" w:styleId="180">
    <w:name w:val="正文文本缩进 Char1"/>
    <w:autoRedefine/>
    <w:qFormat/>
    <w:uiPriority w:val="0"/>
    <w:rPr>
      <w:rFonts w:ascii="宋体" w:hAnsi="宋体" w:eastAsia="宋体"/>
      <w:spacing w:val="-6"/>
      <w:kern w:val="2"/>
      <w:sz w:val="21"/>
      <w:lang w:val="en-US" w:eastAsia="zh-CN"/>
    </w:rPr>
  </w:style>
  <w:style w:type="character" w:customStyle="1" w:styleId="181">
    <w:name w:val="Char Char6"/>
    <w:autoRedefine/>
    <w:qFormat/>
    <w:uiPriority w:val="0"/>
    <w:rPr>
      <w:rFonts w:ascii="宋体" w:hAnsi="Courier New" w:eastAsia="宋体"/>
      <w:kern w:val="2"/>
      <w:sz w:val="21"/>
      <w:lang w:val="en-US" w:eastAsia="zh-CN"/>
    </w:rPr>
  </w:style>
  <w:style w:type="character" w:customStyle="1" w:styleId="182">
    <w:name w:val="Char Char"/>
    <w:link w:val="183"/>
    <w:autoRedefine/>
    <w:qFormat/>
    <w:uiPriority w:val="0"/>
    <w:rPr>
      <w:rFonts w:eastAsia="仿宋_GB2312"/>
      <w:sz w:val="28"/>
    </w:rPr>
  </w:style>
  <w:style w:type="paragraph" w:customStyle="1" w:styleId="183">
    <w:name w:val="Char12"/>
    <w:basedOn w:val="1"/>
    <w:link w:val="182"/>
    <w:autoRedefine/>
    <w:qFormat/>
    <w:uiPriority w:val="0"/>
    <w:rPr>
      <w:rFonts w:eastAsia="仿宋_GB2312" w:asciiTheme="minorHAnsi" w:hAnsiTheme="minorHAnsi" w:cstheme="minorBidi"/>
      <w:szCs w:val="22"/>
    </w:rPr>
  </w:style>
  <w:style w:type="character" w:customStyle="1" w:styleId="184">
    <w:name w:val="Plain Text Char"/>
    <w:autoRedefine/>
    <w:qFormat/>
    <w:uiPriority w:val="0"/>
    <w:rPr>
      <w:rFonts w:ascii="宋体" w:hAnsi="Courier New" w:eastAsia="宋体"/>
      <w:kern w:val="2"/>
      <w:sz w:val="21"/>
      <w:lang w:val="en-US" w:eastAsia="zh-CN"/>
    </w:rPr>
  </w:style>
  <w:style w:type="character" w:customStyle="1" w:styleId="185">
    <w:name w:val="zbggmain"/>
    <w:autoRedefine/>
    <w:qFormat/>
    <w:uiPriority w:val="0"/>
  </w:style>
  <w:style w:type="character" w:customStyle="1" w:styleId="186">
    <w:name w:val="标题 2 Char2"/>
    <w:link w:val="5"/>
    <w:autoRedefine/>
    <w:qFormat/>
    <w:uiPriority w:val="0"/>
    <w:rPr>
      <w:rFonts w:ascii="Arial" w:hAnsi="Arial" w:eastAsia="黑体" w:cs="Times New Roman"/>
      <w:b/>
      <w:szCs w:val="20"/>
    </w:rPr>
  </w:style>
  <w:style w:type="character" w:customStyle="1" w:styleId="187">
    <w:name w:val="8953"/>
    <w:autoRedefine/>
    <w:qFormat/>
    <w:uiPriority w:val="0"/>
  </w:style>
  <w:style w:type="character" w:customStyle="1" w:styleId="188">
    <w:name w:val="H1 Char"/>
    <w:autoRedefine/>
    <w:qFormat/>
    <w:uiPriority w:val="0"/>
    <w:rPr>
      <w:rFonts w:ascii="Arial Unicode MS" w:hAnsi="Arial Unicode MS" w:eastAsia="Arial Unicode MS"/>
      <w:b/>
      <w:kern w:val="36"/>
      <w:sz w:val="48"/>
      <w:lang w:val="en-US" w:eastAsia="zh-CN"/>
    </w:rPr>
  </w:style>
  <w:style w:type="character" w:customStyle="1" w:styleId="189">
    <w:name w:val="样式 标题 3Heading 3 Char1Heading 3 Char Char列表编号33 bullet2ERM... Char"/>
    <w:link w:val="190"/>
    <w:autoRedefine/>
    <w:qFormat/>
    <w:uiPriority w:val="0"/>
    <w:rPr>
      <w:b/>
    </w:rPr>
  </w:style>
  <w:style w:type="paragraph" w:customStyle="1" w:styleId="190">
    <w:name w:val="样式 标题 3Heading 3 Char1Heading 3 Char Char列表编号33 bullet2ERM..."/>
    <w:basedOn w:val="6"/>
    <w:link w:val="189"/>
    <w:autoRedefine/>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1">
    <w:name w:val="Char Char12"/>
    <w:autoRedefine/>
    <w:qFormat/>
    <w:uiPriority w:val="0"/>
    <w:rPr>
      <w:rFonts w:ascii="Arial" w:hAnsi="Arial" w:eastAsia="黑体"/>
      <w:b/>
      <w:sz w:val="24"/>
    </w:rPr>
  </w:style>
  <w:style w:type="character" w:customStyle="1" w:styleId="192">
    <w:name w:val="页眉 Char1"/>
    <w:autoRedefine/>
    <w:qFormat/>
    <w:uiPriority w:val="0"/>
    <w:rPr>
      <w:rFonts w:eastAsia="宋体"/>
      <w:kern w:val="2"/>
      <w:sz w:val="18"/>
      <w:lang w:val="en-US" w:eastAsia="zh-CN"/>
    </w:rPr>
  </w:style>
  <w:style w:type="character" w:customStyle="1" w:styleId="193">
    <w:name w:val="正文文本缩进 2 字符"/>
    <w:autoRedefine/>
    <w:qFormat/>
    <w:uiPriority w:val="0"/>
    <w:rPr>
      <w:rFonts w:ascii="Times New Roman" w:hAnsi="Times New Roman" w:eastAsia="宋体"/>
      <w:kern w:val="2"/>
      <w:sz w:val="21"/>
    </w:rPr>
  </w:style>
  <w:style w:type="character" w:customStyle="1" w:styleId="194">
    <w:name w:val="页眉 Char2"/>
    <w:autoRedefine/>
    <w:qFormat/>
    <w:uiPriority w:val="0"/>
    <w:rPr>
      <w:kern w:val="2"/>
      <w:sz w:val="18"/>
    </w:rPr>
  </w:style>
  <w:style w:type="character" w:customStyle="1" w:styleId="195">
    <w:name w:val="批注主题 Char1"/>
    <w:autoRedefine/>
    <w:qFormat/>
    <w:uiPriority w:val="0"/>
    <w:rPr>
      <w:b/>
    </w:rPr>
  </w:style>
  <w:style w:type="character" w:customStyle="1" w:styleId="196">
    <w:name w:val="qclx"/>
    <w:autoRedefine/>
    <w:qFormat/>
    <w:uiPriority w:val="0"/>
  </w:style>
  <w:style w:type="character" w:customStyle="1" w:styleId="197">
    <w:name w:val="even Char Char"/>
    <w:autoRedefine/>
    <w:qFormat/>
    <w:uiPriority w:val="0"/>
    <w:rPr>
      <w:rFonts w:ascii="Times New Roman" w:hAnsi="Times New Roman" w:eastAsia="宋体"/>
      <w:sz w:val="18"/>
    </w:rPr>
  </w:style>
  <w:style w:type="character" w:customStyle="1" w:styleId="198">
    <w:name w:val="正文文本缩进 3 Char1"/>
    <w:autoRedefine/>
    <w:qFormat/>
    <w:uiPriority w:val="0"/>
    <w:rPr>
      <w:sz w:val="28"/>
    </w:rPr>
  </w:style>
  <w:style w:type="character" w:customStyle="1" w:styleId="199">
    <w:name w:val="信息标题 字符"/>
    <w:autoRedefine/>
    <w:qFormat/>
    <w:uiPriority w:val="0"/>
    <w:rPr>
      <w:rFonts w:ascii="等线 Light" w:hAnsi="等线 Light" w:eastAsia="等线 Light"/>
      <w:kern w:val="2"/>
      <w:sz w:val="24"/>
      <w:shd w:val="pct20" w:color="auto" w:fill="auto"/>
    </w:rPr>
  </w:style>
  <w:style w:type="character" w:customStyle="1" w:styleId="200">
    <w:name w:val="标题 5 字符"/>
    <w:autoRedefine/>
    <w:qFormat/>
    <w:uiPriority w:val="0"/>
    <w:rPr>
      <w:rFonts w:ascii="Times New Roman" w:hAnsi="Times New Roman" w:eastAsia="宋体"/>
      <w:b/>
      <w:kern w:val="2"/>
      <w:sz w:val="28"/>
    </w:rPr>
  </w:style>
  <w:style w:type="character" w:customStyle="1" w:styleId="201">
    <w:name w:val="HTML 预设格式 Char2"/>
    <w:autoRedefine/>
    <w:qFormat/>
    <w:uiPriority w:val="0"/>
    <w:rPr>
      <w:rFonts w:ascii="黑体" w:hAnsi="Courier New" w:eastAsia="黑体"/>
    </w:rPr>
  </w:style>
  <w:style w:type="character" w:customStyle="1" w:styleId="202">
    <w:name w:val="p7"/>
    <w:autoRedefine/>
    <w:qFormat/>
    <w:uiPriority w:val="0"/>
  </w:style>
  <w:style w:type="character" w:customStyle="1" w:styleId="203">
    <w:name w:val="签名 字符"/>
    <w:autoRedefine/>
    <w:qFormat/>
    <w:uiPriority w:val="0"/>
    <w:rPr>
      <w:kern w:val="2"/>
      <w:sz w:val="28"/>
    </w:rPr>
  </w:style>
  <w:style w:type="character" w:customStyle="1" w:styleId="204">
    <w:name w:val="批注文字 Char1"/>
    <w:autoRedefine/>
    <w:qFormat/>
    <w:uiPriority w:val="0"/>
    <w:rPr>
      <w:rFonts w:eastAsia="宋体"/>
      <w:kern w:val="2"/>
      <w:sz w:val="21"/>
      <w:lang w:val="en-US" w:eastAsia="zh-CN"/>
    </w:rPr>
  </w:style>
  <w:style w:type="character" w:customStyle="1" w:styleId="205">
    <w:name w:val="文档结构图 Char1"/>
    <w:autoRedefine/>
    <w:qFormat/>
    <w:uiPriority w:val="0"/>
    <w:rPr>
      <w:rFonts w:eastAsia="宋体"/>
      <w:kern w:val="2"/>
      <w:sz w:val="21"/>
      <w:lang w:val="en-US" w:eastAsia="zh-CN"/>
    </w:rPr>
  </w:style>
  <w:style w:type="character" w:customStyle="1" w:styleId="206">
    <w:name w:val="纯文本 Char1"/>
    <w:autoRedefine/>
    <w:qFormat/>
    <w:uiPriority w:val="0"/>
    <w:rPr>
      <w:rFonts w:ascii="宋体" w:hAnsi="Courier New" w:eastAsia="宋体"/>
      <w:kern w:val="2"/>
      <w:sz w:val="21"/>
    </w:rPr>
  </w:style>
  <w:style w:type="character" w:customStyle="1" w:styleId="207">
    <w:name w:val="无间隔 Char"/>
    <w:link w:val="208"/>
    <w:autoRedefine/>
    <w:qFormat/>
    <w:locked/>
    <w:uiPriority w:val="0"/>
    <w:rPr>
      <w:rFonts w:ascii="宋体" w:hAnsi="宋体"/>
      <w:szCs w:val="24"/>
    </w:rPr>
  </w:style>
  <w:style w:type="paragraph" w:customStyle="1" w:styleId="208">
    <w:name w:val="无间隔1"/>
    <w:basedOn w:val="1"/>
    <w:link w:val="207"/>
    <w:autoRedefine/>
    <w:qFormat/>
    <w:uiPriority w:val="0"/>
    <w:rPr>
      <w:rFonts w:ascii="宋体" w:hAnsi="宋体" w:eastAsiaTheme="minorEastAsia" w:cstheme="minorBidi"/>
      <w:sz w:val="21"/>
      <w:szCs w:val="24"/>
    </w:rPr>
  </w:style>
  <w:style w:type="character" w:customStyle="1" w:styleId="209">
    <w:name w:val="HTML 引文1"/>
    <w:autoRedefine/>
    <w:qFormat/>
    <w:uiPriority w:val="0"/>
    <w:rPr>
      <w:i/>
    </w:rPr>
  </w:style>
  <w:style w:type="character" w:customStyle="1" w:styleId="210">
    <w:name w:val="Char Char13"/>
    <w:autoRedefine/>
    <w:qFormat/>
    <w:uiPriority w:val="0"/>
    <w:rPr>
      <w:rFonts w:ascii="Times New Roman" w:hAnsi="Times New Roman" w:eastAsia="宋体"/>
      <w:b/>
      <w:sz w:val="28"/>
    </w:rPr>
  </w:style>
  <w:style w:type="character" w:customStyle="1" w:styleId="211">
    <w:name w:val="brown1"/>
    <w:autoRedefine/>
    <w:qFormat/>
    <w:uiPriority w:val="0"/>
    <w:rPr>
      <w:color w:val="80786A"/>
    </w:rPr>
  </w:style>
  <w:style w:type="character" w:customStyle="1" w:styleId="212">
    <w:name w:val="正文首行缩进 2 字符"/>
    <w:basedOn w:val="213"/>
    <w:autoRedefine/>
    <w:qFormat/>
    <w:uiPriority w:val="0"/>
    <w:rPr>
      <w:rFonts w:ascii="黑体" w:eastAsia="黑体"/>
      <w:sz w:val="28"/>
    </w:rPr>
  </w:style>
  <w:style w:type="character" w:customStyle="1" w:styleId="213">
    <w:name w:val="正文文本缩进 Char2"/>
    <w:autoRedefine/>
    <w:qFormat/>
    <w:uiPriority w:val="0"/>
    <w:rPr>
      <w:rFonts w:ascii="黑体" w:eastAsia="黑体"/>
      <w:sz w:val="28"/>
    </w:rPr>
  </w:style>
  <w:style w:type="character" w:customStyle="1" w:styleId="214">
    <w:name w:val="正文非缩进 Char"/>
    <w:autoRedefine/>
    <w:qFormat/>
    <w:uiPriority w:val="0"/>
    <w:rPr>
      <w:rFonts w:ascii="宋体" w:eastAsia="宋体"/>
      <w:snapToGrid w:val="0"/>
      <w:color w:val="000000"/>
      <w:kern w:val="28"/>
      <w:sz w:val="28"/>
      <w:lang w:val="en-US" w:eastAsia="zh-CN"/>
    </w:rPr>
  </w:style>
  <w:style w:type="character" w:customStyle="1" w:styleId="215">
    <w:name w:val="标题 1 1 Char"/>
    <w:autoRedefine/>
    <w:qFormat/>
    <w:uiPriority w:val="0"/>
    <w:rPr>
      <w:rFonts w:ascii="Times New Roman" w:hAnsi="Times New Roman" w:eastAsia="宋体"/>
      <w:b/>
      <w:kern w:val="44"/>
      <w:sz w:val="44"/>
    </w:rPr>
  </w:style>
  <w:style w:type="character" w:customStyle="1" w:styleId="216">
    <w:name w:val="z-窗体底端 Char"/>
    <w:autoRedefine/>
    <w:qFormat/>
    <w:uiPriority w:val="0"/>
    <w:rPr>
      <w:rFonts w:ascii="Arial" w:hAnsi="Arial"/>
      <w:vanish/>
      <w:sz w:val="16"/>
    </w:rPr>
  </w:style>
  <w:style w:type="paragraph" w:customStyle="1" w:styleId="217">
    <w:name w:val="z-窗体底端1"/>
    <w:basedOn w:val="1"/>
    <w:next w:val="1"/>
    <w:link w:val="383"/>
    <w:autoRedefine/>
    <w:qFormat/>
    <w:uiPriority w:val="0"/>
    <w:pPr>
      <w:pBdr>
        <w:top w:val="single" w:color="auto" w:sz="6" w:space="1"/>
      </w:pBdr>
      <w:jc w:val="center"/>
    </w:pPr>
    <w:rPr>
      <w:rFonts w:ascii="Arial" w:hAnsi="Arial" w:eastAsiaTheme="minorEastAsia" w:cstheme="minorBidi"/>
      <w:vanish/>
      <w:sz w:val="16"/>
      <w:szCs w:val="22"/>
    </w:rPr>
  </w:style>
  <w:style w:type="character" w:customStyle="1" w:styleId="218">
    <w:name w:val="font161"/>
    <w:autoRedefine/>
    <w:qFormat/>
    <w:uiPriority w:val="0"/>
    <w:rPr>
      <w:b/>
      <w:sz w:val="32"/>
    </w:rPr>
  </w:style>
  <w:style w:type="character" w:customStyle="1" w:styleId="219">
    <w:name w:val="脚注文本 字符"/>
    <w:autoRedefine/>
    <w:qFormat/>
    <w:uiPriority w:val="0"/>
    <w:rPr>
      <w:kern w:val="2"/>
      <w:sz w:val="18"/>
    </w:rPr>
  </w:style>
  <w:style w:type="character" w:customStyle="1" w:styleId="220">
    <w:name w:val="HTML 代码1"/>
    <w:autoRedefine/>
    <w:qFormat/>
    <w:uiPriority w:val="0"/>
    <w:rPr>
      <w:rFonts w:ascii="Courier New" w:hAnsi="Courier New"/>
      <w:sz w:val="20"/>
    </w:rPr>
  </w:style>
  <w:style w:type="character" w:customStyle="1" w:styleId="221">
    <w:name w:val="标题 Char2"/>
    <w:autoRedefine/>
    <w:qFormat/>
    <w:uiPriority w:val="0"/>
    <w:rPr>
      <w:rFonts w:ascii="Arial" w:hAnsi="Arial" w:eastAsia="宋体"/>
      <w:b/>
      <w:sz w:val="32"/>
      <w:lang w:val="en-US" w:eastAsia="zh-CN"/>
    </w:rPr>
  </w:style>
  <w:style w:type="character" w:customStyle="1" w:styleId="222">
    <w:name w:val="正文文本 Char2"/>
    <w:autoRedefine/>
    <w:qFormat/>
    <w:uiPriority w:val="0"/>
    <w:rPr>
      <w:sz w:val="24"/>
    </w:rPr>
  </w:style>
  <w:style w:type="character" w:customStyle="1" w:styleId="223">
    <w:name w:val="lemmatitleh11"/>
    <w:autoRedefine/>
    <w:qFormat/>
    <w:uiPriority w:val="0"/>
  </w:style>
  <w:style w:type="character" w:customStyle="1" w:styleId="224">
    <w:name w:val="Char Char16"/>
    <w:autoRedefine/>
    <w:qFormat/>
    <w:uiPriority w:val="0"/>
    <w:rPr>
      <w:kern w:val="2"/>
      <w:sz w:val="18"/>
    </w:rPr>
  </w:style>
  <w:style w:type="character" w:customStyle="1" w:styleId="225">
    <w:name w:val="正文首行缩进 Char1"/>
    <w:autoRedefine/>
    <w:qFormat/>
    <w:uiPriority w:val="0"/>
    <w:rPr>
      <w:rFonts w:ascii="等线" w:hAnsi="等线" w:eastAsia="等线"/>
    </w:rPr>
  </w:style>
  <w:style w:type="character" w:customStyle="1" w:styleId="226">
    <w:name w:val="Char Char17"/>
    <w:autoRedefine/>
    <w:qFormat/>
    <w:uiPriority w:val="0"/>
    <w:rPr>
      <w:kern w:val="2"/>
      <w:sz w:val="18"/>
    </w:rPr>
  </w:style>
  <w:style w:type="character" w:customStyle="1" w:styleId="227">
    <w:name w:val="font31"/>
    <w:autoRedefine/>
    <w:qFormat/>
    <w:uiPriority w:val="0"/>
    <w:rPr>
      <w:rFonts w:hint="eastAsia" w:ascii="宋体" w:hAnsi="宋体" w:eastAsia="宋体"/>
      <w:color w:val="0000FF"/>
      <w:sz w:val="21"/>
      <w:u w:val="none"/>
      <w:vertAlign w:val="superscript"/>
    </w:rPr>
  </w:style>
  <w:style w:type="character" w:customStyle="1" w:styleId="228">
    <w:name w:val="标题 4 Char1"/>
    <w:autoRedefine/>
    <w:qFormat/>
    <w:uiPriority w:val="0"/>
    <w:rPr>
      <w:rFonts w:ascii="Arial" w:hAnsi="Arial" w:eastAsia="黑体"/>
      <w:b/>
      <w:kern w:val="2"/>
      <w:sz w:val="28"/>
      <w:lang w:val="en-US" w:eastAsia="zh-CN"/>
    </w:rPr>
  </w:style>
  <w:style w:type="character" w:customStyle="1" w:styleId="229">
    <w:name w:val="p141"/>
    <w:autoRedefine/>
    <w:qFormat/>
    <w:uiPriority w:val="0"/>
    <w:rPr>
      <w:sz w:val="21"/>
      <w:szCs w:val="21"/>
    </w:rPr>
  </w:style>
  <w:style w:type="character" w:customStyle="1" w:styleId="230">
    <w:name w:val="批注引用1"/>
    <w:autoRedefine/>
    <w:qFormat/>
    <w:uiPriority w:val="0"/>
    <w:rPr>
      <w:sz w:val="21"/>
    </w:rPr>
  </w:style>
  <w:style w:type="character" w:customStyle="1" w:styleId="231">
    <w:name w:val="发布"/>
    <w:autoRedefine/>
    <w:qFormat/>
    <w:uiPriority w:val="0"/>
    <w:rPr>
      <w:rFonts w:ascii="黑体" w:eastAsia="黑体"/>
      <w:spacing w:val="22"/>
      <w:w w:val="100"/>
      <w:position w:val="3"/>
      <w:sz w:val="28"/>
    </w:rPr>
  </w:style>
  <w:style w:type="character" w:customStyle="1" w:styleId="232">
    <w:name w:val="j23x"/>
    <w:autoRedefine/>
    <w:qFormat/>
    <w:uiPriority w:val="0"/>
  </w:style>
  <w:style w:type="character" w:customStyle="1" w:styleId="233">
    <w:name w:val="纯文本 Char2"/>
    <w:autoRedefine/>
    <w:qFormat/>
    <w:uiPriority w:val="0"/>
    <w:rPr>
      <w:rFonts w:ascii="宋体" w:hAnsi="Courier New" w:eastAsia="宋体"/>
      <w:kern w:val="2"/>
      <w:sz w:val="21"/>
      <w:lang w:val="en-US" w:eastAsia="zh-CN"/>
    </w:rPr>
  </w:style>
  <w:style w:type="character" w:customStyle="1" w:styleId="234">
    <w:name w:val="567r"/>
    <w:autoRedefine/>
    <w:qFormat/>
    <w:uiPriority w:val="0"/>
  </w:style>
  <w:style w:type="character" w:customStyle="1" w:styleId="235">
    <w:name w:val="文档结构图 字符"/>
    <w:autoRedefine/>
    <w:qFormat/>
    <w:uiPriority w:val="0"/>
    <w:rPr>
      <w:rFonts w:ascii="Microsoft YaHei UI" w:hAnsi="Times New Roman" w:eastAsia="Microsoft YaHei UI"/>
      <w:kern w:val="2"/>
      <w:sz w:val="18"/>
    </w:rPr>
  </w:style>
  <w:style w:type="character" w:customStyle="1" w:styleId="236">
    <w:name w:val="正文文本 2 字符"/>
    <w:autoRedefine/>
    <w:qFormat/>
    <w:uiPriority w:val="0"/>
    <w:rPr>
      <w:kern w:val="2"/>
      <w:sz w:val="28"/>
    </w:rPr>
  </w:style>
  <w:style w:type="character" w:customStyle="1" w:styleId="237">
    <w:name w:val="font01"/>
    <w:basedOn w:val="92"/>
    <w:autoRedefine/>
    <w:qFormat/>
    <w:uiPriority w:val="0"/>
    <w:rPr>
      <w:rFonts w:hint="eastAsia" w:ascii="宋体" w:hAnsi="宋体" w:eastAsia="宋体" w:cs="宋体"/>
      <w:color w:val="000000"/>
      <w:sz w:val="22"/>
      <w:szCs w:val="22"/>
      <w:u w:val="none"/>
    </w:rPr>
  </w:style>
  <w:style w:type="character" w:customStyle="1" w:styleId="238">
    <w:name w:val="Title Char"/>
    <w:autoRedefine/>
    <w:qFormat/>
    <w:uiPriority w:val="0"/>
    <w:rPr>
      <w:rFonts w:ascii="Arial" w:hAnsi="Arial" w:eastAsia="宋体"/>
      <w:b/>
      <w:kern w:val="2"/>
      <w:sz w:val="32"/>
      <w:lang w:val="en-US" w:eastAsia="zh-CN"/>
    </w:rPr>
  </w:style>
  <w:style w:type="character" w:customStyle="1" w:styleId="239">
    <w:name w:val="宏文本 字符"/>
    <w:autoRedefine/>
    <w:qFormat/>
    <w:uiPriority w:val="0"/>
    <w:rPr>
      <w:rFonts w:ascii="Courier New" w:hAnsi="Courier New"/>
      <w:kern w:val="2"/>
      <w:sz w:val="24"/>
    </w:rPr>
  </w:style>
  <w:style w:type="character" w:customStyle="1" w:styleId="240">
    <w:name w:val="Char Char22"/>
    <w:autoRedefine/>
    <w:qFormat/>
    <w:uiPriority w:val="0"/>
    <w:rPr>
      <w:rFonts w:ascii="Arial" w:hAnsi="Arial" w:eastAsia="黑体"/>
      <w:b/>
      <w:kern w:val="2"/>
      <w:sz w:val="32"/>
      <w:lang w:val="en-US" w:eastAsia="zh-CN"/>
    </w:rPr>
  </w:style>
  <w:style w:type="character" w:customStyle="1" w:styleId="241">
    <w:name w:val="尾注文本 字符"/>
    <w:autoRedefine/>
    <w:qFormat/>
    <w:uiPriority w:val="0"/>
    <w:rPr>
      <w:kern w:val="2"/>
      <w:sz w:val="28"/>
    </w:rPr>
  </w:style>
  <w:style w:type="character" w:customStyle="1" w:styleId="242">
    <w:name w:val="副标题 Char1"/>
    <w:autoRedefine/>
    <w:qFormat/>
    <w:uiPriority w:val="0"/>
    <w:rPr>
      <w:rFonts w:ascii="Calibri Light" w:hAnsi="Calibri Light" w:eastAsia="宋体"/>
      <w:b/>
      <w:kern w:val="28"/>
      <w:sz w:val="32"/>
    </w:rPr>
  </w:style>
  <w:style w:type="character" w:customStyle="1" w:styleId="243">
    <w:name w:val="正文文本 Char1"/>
    <w:autoRedefine/>
    <w:qFormat/>
    <w:uiPriority w:val="0"/>
    <w:rPr>
      <w:rFonts w:ascii="宋体" w:hAnsi="宋体" w:eastAsia="宋体"/>
      <w:spacing w:val="-6"/>
      <w:kern w:val="2"/>
      <w:sz w:val="21"/>
      <w:lang w:val="en-US" w:eastAsia="zh-CN"/>
    </w:rPr>
  </w:style>
  <w:style w:type="character" w:customStyle="1" w:styleId="244">
    <w:name w:val="HTML 缩写1"/>
    <w:autoRedefine/>
    <w:qFormat/>
    <w:uiPriority w:val="0"/>
  </w:style>
  <w:style w:type="character" w:customStyle="1" w:styleId="245">
    <w:name w:val="标题 1 Char1"/>
    <w:autoRedefine/>
    <w:qFormat/>
    <w:uiPriority w:val="0"/>
    <w:rPr>
      <w:rFonts w:eastAsia="宋体"/>
      <w:b/>
      <w:kern w:val="44"/>
      <w:sz w:val="44"/>
      <w:lang w:val="en-US" w:eastAsia="zh-CN"/>
    </w:rPr>
  </w:style>
  <w:style w:type="character" w:customStyle="1" w:styleId="246">
    <w:name w:val="15"/>
    <w:autoRedefine/>
    <w:qFormat/>
    <w:uiPriority w:val="0"/>
  </w:style>
  <w:style w:type="character" w:customStyle="1" w:styleId="247">
    <w:name w:val="样式 正文文本 Char"/>
    <w:link w:val="248"/>
    <w:autoRedefine/>
    <w:qFormat/>
    <w:uiPriority w:val="0"/>
    <w:rPr>
      <w:rFonts w:ascii="Arial" w:hAnsi="Arial"/>
      <w:color w:val="000000"/>
    </w:rPr>
  </w:style>
  <w:style w:type="paragraph" w:customStyle="1" w:styleId="248">
    <w:name w:val="样式 正文文本"/>
    <w:basedOn w:val="1"/>
    <w:link w:val="247"/>
    <w:autoRedefine/>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9">
    <w:name w:val="正文格式 Char"/>
    <w:link w:val="250"/>
    <w:autoRedefine/>
    <w:qFormat/>
    <w:uiPriority w:val="0"/>
    <w:rPr>
      <w:rFonts w:ascii="Times New Roman" w:hAnsi="Times New Roman"/>
      <w:sz w:val="24"/>
    </w:rPr>
  </w:style>
  <w:style w:type="paragraph" w:customStyle="1" w:styleId="250">
    <w:name w:val="正文格式"/>
    <w:basedOn w:val="1"/>
    <w:link w:val="249"/>
    <w:autoRedefine/>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1">
    <w:name w:val="bulletintext1"/>
    <w:autoRedefine/>
    <w:qFormat/>
    <w:uiPriority w:val="0"/>
    <w:rPr>
      <w:color w:val="000000"/>
      <w:sz w:val="18"/>
    </w:rPr>
  </w:style>
  <w:style w:type="character" w:customStyle="1" w:styleId="252">
    <w:name w:val="fonts11"/>
    <w:autoRedefine/>
    <w:qFormat/>
    <w:uiPriority w:val="0"/>
    <w:rPr>
      <w:sz w:val="18"/>
    </w:rPr>
  </w:style>
  <w:style w:type="character" w:customStyle="1" w:styleId="253">
    <w:name w:val="locality"/>
    <w:autoRedefine/>
    <w:qFormat/>
    <w:uiPriority w:val="0"/>
  </w:style>
  <w:style w:type="character" w:customStyle="1" w:styleId="254">
    <w:name w:val="标题 3 字符"/>
    <w:autoRedefine/>
    <w:qFormat/>
    <w:uiPriority w:val="0"/>
    <w:rPr>
      <w:rFonts w:ascii="Times New Roman" w:hAnsi="Times New Roman" w:eastAsia="宋体"/>
      <w:b/>
      <w:kern w:val="2"/>
      <w:sz w:val="32"/>
    </w:rPr>
  </w:style>
  <w:style w:type="character" w:customStyle="1" w:styleId="255">
    <w:name w:val="标题 8 字符"/>
    <w:autoRedefine/>
    <w:qFormat/>
    <w:uiPriority w:val="0"/>
    <w:rPr>
      <w:rFonts w:ascii="等线 Light" w:hAnsi="等线 Light" w:eastAsia="等线 Light"/>
      <w:kern w:val="2"/>
      <w:sz w:val="24"/>
    </w:rPr>
  </w:style>
  <w:style w:type="character" w:customStyle="1" w:styleId="256">
    <w:name w:val="批注主题 字符"/>
    <w:autoRedefine/>
    <w:qFormat/>
    <w:uiPriority w:val="0"/>
    <w:rPr>
      <w:b/>
      <w:kern w:val="2"/>
      <w:sz w:val="28"/>
    </w:rPr>
  </w:style>
  <w:style w:type="character" w:customStyle="1" w:styleId="257">
    <w:name w:val="H3 Char"/>
    <w:autoRedefine/>
    <w:qFormat/>
    <w:uiPriority w:val="0"/>
    <w:rPr>
      <w:rFonts w:eastAsia="宋体"/>
      <w:b/>
      <w:kern w:val="2"/>
      <w:sz w:val="32"/>
      <w:lang w:val="en-US" w:eastAsia="zh-CN"/>
    </w:rPr>
  </w:style>
  <w:style w:type="character" w:customStyle="1" w:styleId="258">
    <w:name w:val="标题 9 Char1"/>
    <w:autoRedefine/>
    <w:qFormat/>
    <w:uiPriority w:val="0"/>
    <w:rPr>
      <w:rFonts w:ascii="Arial" w:hAnsi="Arial" w:eastAsia="黑体"/>
      <w:sz w:val="21"/>
      <w:lang w:val="en-US" w:eastAsia="zh-CN"/>
    </w:rPr>
  </w:style>
  <w:style w:type="character" w:customStyle="1" w:styleId="259">
    <w:name w:val="公文正文 Char"/>
    <w:link w:val="260"/>
    <w:autoRedefine/>
    <w:qFormat/>
    <w:uiPriority w:val="0"/>
    <w:rPr>
      <w:rFonts w:ascii="仿宋_GB2312" w:eastAsia="仿宋_GB2312"/>
      <w:sz w:val="24"/>
    </w:rPr>
  </w:style>
  <w:style w:type="paragraph" w:customStyle="1" w:styleId="260">
    <w:name w:val="公文正文"/>
    <w:basedOn w:val="1"/>
    <w:link w:val="259"/>
    <w:autoRedefine/>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1">
    <w:name w:val="正文文本缩进 3 字符"/>
    <w:autoRedefine/>
    <w:qFormat/>
    <w:uiPriority w:val="0"/>
    <w:rPr>
      <w:rFonts w:ascii="Times New Roman" w:hAnsi="Times New Roman" w:eastAsia="宋体"/>
      <w:kern w:val="2"/>
      <w:sz w:val="16"/>
    </w:rPr>
  </w:style>
  <w:style w:type="character" w:customStyle="1" w:styleId="262">
    <w:name w:val="my Char"/>
    <w:link w:val="263"/>
    <w:autoRedefine/>
    <w:qFormat/>
    <w:uiPriority w:val="0"/>
    <w:rPr>
      <w:rFonts w:ascii="宋体" w:hAnsi="宋体"/>
      <w:sz w:val="24"/>
    </w:rPr>
  </w:style>
  <w:style w:type="paragraph" w:customStyle="1" w:styleId="263">
    <w:name w:val="my"/>
    <w:basedOn w:val="1"/>
    <w:link w:val="262"/>
    <w:autoRedefine/>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4">
    <w:name w:val="info1"/>
    <w:autoRedefine/>
    <w:qFormat/>
    <w:uiPriority w:val="99"/>
    <w:rPr>
      <w:color w:val="000000"/>
      <w:spacing w:val="15"/>
      <w:sz w:val="24"/>
    </w:rPr>
  </w:style>
  <w:style w:type="character" w:customStyle="1" w:styleId="265">
    <w:name w:val="正文文本 2 Char1"/>
    <w:autoRedefine/>
    <w:qFormat/>
    <w:uiPriority w:val="0"/>
  </w:style>
  <w:style w:type="character" w:customStyle="1" w:styleId="266">
    <w:name w:val="HTML 预设格式 Char1"/>
    <w:autoRedefine/>
    <w:qFormat/>
    <w:uiPriority w:val="0"/>
    <w:rPr>
      <w:rFonts w:ascii="Courier New" w:hAnsi="Courier New" w:eastAsia="宋体"/>
      <w:kern w:val="2"/>
    </w:rPr>
  </w:style>
  <w:style w:type="character" w:customStyle="1" w:styleId="267">
    <w:name w:val="电子邮件签名 字符"/>
    <w:autoRedefine/>
    <w:qFormat/>
    <w:uiPriority w:val="0"/>
    <w:rPr>
      <w:kern w:val="2"/>
      <w:sz w:val="28"/>
    </w:rPr>
  </w:style>
  <w:style w:type="character" w:customStyle="1" w:styleId="268">
    <w:name w:val="称呼 字符"/>
    <w:autoRedefine/>
    <w:qFormat/>
    <w:uiPriority w:val="0"/>
    <w:rPr>
      <w:kern w:val="2"/>
      <w:sz w:val="28"/>
    </w:rPr>
  </w:style>
  <w:style w:type="character" w:customStyle="1" w:styleId="269">
    <w:name w:val="标题 4 Char Char Char Char Char Char"/>
    <w:autoRedefine/>
    <w:qFormat/>
    <w:uiPriority w:val="0"/>
    <w:rPr>
      <w:rFonts w:eastAsia="宋体"/>
      <w:kern w:val="2"/>
      <w:sz w:val="24"/>
      <w:lang w:val="en-US" w:eastAsia="zh-CN"/>
    </w:rPr>
  </w:style>
  <w:style w:type="character" w:customStyle="1" w:styleId="270">
    <w:name w:val="标题 6 字符"/>
    <w:autoRedefine/>
    <w:qFormat/>
    <w:uiPriority w:val="0"/>
    <w:rPr>
      <w:rFonts w:ascii="等线 Light" w:hAnsi="等线 Light" w:eastAsia="等线 Light"/>
      <w:b/>
      <w:kern w:val="2"/>
      <w:sz w:val="24"/>
    </w:rPr>
  </w:style>
  <w:style w:type="character" w:customStyle="1" w:styleId="271">
    <w:name w:val="标题 7 Char1"/>
    <w:autoRedefine/>
    <w:qFormat/>
    <w:uiPriority w:val="0"/>
    <w:rPr>
      <w:rFonts w:eastAsia="宋体"/>
      <w:b/>
      <w:sz w:val="24"/>
      <w:lang w:val="en-US" w:eastAsia="zh-CN"/>
    </w:rPr>
  </w:style>
  <w:style w:type="character" w:customStyle="1" w:styleId="272">
    <w:name w:val="副标题 字符"/>
    <w:autoRedefine/>
    <w:qFormat/>
    <w:uiPriority w:val="0"/>
    <w:rPr>
      <w:rFonts w:ascii="等线 Light" w:hAnsi="等线 Light"/>
      <w:b/>
      <w:kern w:val="28"/>
      <w:sz w:val="32"/>
    </w:rPr>
  </w:style>
  <w:style w:type="character" w:customStyle="1" w:styleId="273">
    <w:name w:val="font21"/>
    <w:autoRedefine/>
    <w:qFormat/>
    <w:uiPriority w:val="0"/>
    <w:rPr>
      <w:rFonts w:hint="eastAsia" w:ascii="宋体" w:hAnsi="宋体" w:eastAsia="宋体"/>
      <w:color w:val="FF0000"/>
      <w:sz w:val="21"/>
      <w:u w:val="none"/>
      <w:vertAlign w:val="superscript"/>
    </w:rPr>
  </w:style>
  <w:style w:type="character" w:customStyle="1" w:styleId="274">
    <w:name w:val="font41"/>
    <w:basedOn w:val="92"/>
    <w:autoRedefine/>
    <w:qFormat/>
    <w:uiPriority w:val="0"/>
    <w:rPr>
      <w:rFonts w:hint="eastAsia" w:ascii="宋体" w:hAnsi="宋体" w:eastAsia="宋体" w:cs="宋体"/>
      <w:color w:val="000000"/>
      <w:sz w:val="20"/>
      <w:szCs w:val="20"/>
      <w:u w:val="none"/>
    </w:rPr>
  </w:style>
  <w:style w:type="character" w:customStyle="1" w:styleId="275">
    <w:name w:val="结束语 字符"/>
    <w:autoRedefine/>
    <w:qFormat/>
    <w:uiPriority w:val="0"/>
    <w:rPr>
      <w:kern w:val="2"/>
      <w:sz w:val="28"/>
    </w:rPr>
  </w:style>
  <w:style w:type="character" w:customStyle="1" w:styleId="276">
    <w:name w:val="彩色列表 - 着色 1 字符"/>
    <w:link w:val="277"/>
    <w:autoRedefine/>
    <w:qFormat/>
    <w:uiPriority w:val="0"/>
  </w:style>
  <w:style w:type="paragraph" w:customStyle="1" w:styleId="277">
    <w:name w:val="彩色列表 - 着色 12"/>
    <w:basedOn w:val="1"/>
    <w:link w:val="276"/>
    <w:autoRedefine/>
    <w:qFormat/>
    <w:uiPriority w:val="0"/>
    <w:pPr>
      <w:ind w:firstLine="420" w:firstLineChars="200"/>
    </w:pPr>
    <w:rPr>
      <w:rFonts w:asciiTheme="minorHAnsi" w:hAnsiTheme="minorHAnsi" w:eastAsiaTheme="minorEastAsia" w:cstheme="minorBidi"/>
      <w:sz w:val="21"/>
      <w:szCs w:val="22"/>
    </w:rPr>
  </w:style>
  <w:style w:type="character" w:customStyle="1" w:styleId="278">
    <w:name w:val="正文文本 3 Char1"/>
    <w:autoRedefine/>
    <w:qFormat/>
    <w:uiPriority w:val="0"/>
    <w:rPr>
      <w:rFonts w:eastAsia="宋体"/>
      <w:color w:val="FF0000"/>
      <w:kern w:val="2"/>
      <w:sz w:val="24"/>
      <w:lang w:val="en-US" w:eastAsia="zh-CN"/>
    </w:rPr>
  </w:style>
  <w:style w:type="character" w:customStyle="1" w:styleId="279">
    <w:name w:val="纯文本 Char3"/>
    <w:autoRedefine/>
    <w:qFormat/>
    <w:uiPriority w:val="0"/>
    <w:rPr>
      <w:rFonts w:ascii="宋体" w:hAnsi="Courier New" w:eastAsia="宋体"/>
    </w:rPr>
  </w:style>
  <w:style w:type="character" w:customStyle="1" w:styleId="280">
    <w:name w:val="个人答复风格"/>
    <w:autoRedefine/>
    <w:qFormat/>
    <w:uiPriority w:val="0"/>
    <w:rPr>
      <w:rFonts w:ascii="Arial" w:hAnsi="Arial" w:eastAsia="宋体"/>
      <w:color w:val="auto"/>
      <w:sz w:val="20"/>
    </w:rPr>
  </w:style>
  <w:style w:type="character" w:customStyle="1" w:styleId="281">
    <w:name w:val="标题 3 Char1"/>
    <w:autoRedefine/>
    <w:qFormat/>
    <w:uiPriority w:val="0"/>
    <w:rPr>
      <w:rFonts w:eastAsia="宋体"/>
      <w:b/>
      <w:kern w:val="2"/>
      <w:sz w:val="32"/>
      <w:lang w:val="en-US" w:eastAsia="zh-CN"/>
    </w:rPr>
  </w:style>
  <w:style w:type="character" w:customStyle="1" w:styleId="282">
    <w:name w:val="脚注文本 Char1"/>
    <w:autoRedefine/>
    <w:qFormat/>
    <w:uiPriority w:val="0"/>
    <w:rPr>
      <w:rFonts w:eastAsia="宋体"/>
      <w:kern w:val="2"/>
      <w:sz w:val="18"/>
      <w:lang w:val="en-US" w:eastAsia="zh-CN"/>
    </w:rPr>
  </w:style>
  <w:style w:type="character" w:customStyle="1" w:styleId="283">
    <w:name w:val="无格式表格 31"/>
    <w:autoRedefine/>
    <w:qFormat/>
    <w:uiPriority w:val="0"/>
    <w:rPr>
      <w:i/>
      <w:color w:val="808080"/>
    </w:rPr>
  </w:style>
  <w:style w:type="character" w:customStyle="1" w:styleId="284">
    <w:name w:val="HTML 键盘1"/>
    <w:autoRedefine/>
    <w:qFormat/>
    <w:uiPriority w:val="0"/>
    <w:rPr>
      <w:rFonts w:ascii="Courier New" w:hAnsi="Courier New"/>
      <w:sz w:val="20"/>
    </w:rPr>
  </w:style>
  <w:style w:type="character" w:customStyle="1" w:styleId="285">
    <w:name w:val="标题 Char1"/>
    <w:autoRedefine/>
    <w:qFormat/>
    <w:uiPriority w:val="0"/>
    <w:rPr>
      <w:rFonts w:ascii="Cambria" w:hAnsi="Cambria" w:eastAsia="宋体"/>
      <w:b/>
      <w:sz w:val="32"/>
    </w:rPr>
  </w:style>
  <w:style w:type="character" w:customStyle="1" w:styleId="286">
    <w:name w:val="样式8 字符"/>
    <w:link w:val="287"/>
    <w:autoRedefine/>
    <w:qFormat/>
    <w:uiPriority w:val="0"/>
    <w:rPr>
      <w:rFonts w:ascii="Times New Roman" w:hAnsi="Times New Roman"/>
      <w:sz w:val="24"/>
      <w:szCs w:val="27"/>
    </w:rPr>
  </w:style>
  <w:style w:type="paragraph" w:customStyle="1" w:styleId="287">
    <w:name w:val="样式8"/>
    <w:basedOn w:val="288"/>
    <w:link w:val="286"/>
    <w:autoRedefine/>
    <w:qFormat/>
    <w:uiPriority w:val="0"/>
    <w:pPr>
      <w:tabs>
        <w:tab w:val="left" w:pos="1301"/>
        <w:tab w:val="left" w:pos="6043"/>
      </w:tabs>
      <w:ind w:right="0" w:rightChars="0"/>
    </w:pPr>
    <w:rPr>
      <w:rFonts w:eastAsiaTheme="minorEastAsia" w:cstheme="minorBidi"/>
    </w:rPr>
  </w:style>
  <w:style w:type="paragraph" w:customStyle="1" w:styleId="288">
    <w:name w:val="样式6"/>
    <w:basedOn w:val="1"/>
    <w:autoRedefine/>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9">
    <w:name w:val="font11"/>
    <w:basedOn w:val="92"/>
    <w:autoRedefine/>
    <w:qFormat/>
    <w:uiPriority w:val="0"/>
    <w:rPr>
      <w:rFonts w:hint="eastAsia" w:ascii="宋体" w:hAnsi="宋体" w:eastAsia="宋体"/>
      <w:color w:val="000000"/>
      <w:sz w:val="21"/>
      <w:u w:val="none"/>
      <w:vertAlign w:val="superscript"/>
    </w:rPr>
  </w:style>
  <w:style w:type="character" w:customStyle="1" w:styleId="290">
    <w:name w:val="页脚 Char1"/>
    <w:autoRedefine/>
    <w:qFormat/>
    <w:uiPriority w:val="0"/>
    <w:rPr>
      <w:rFonts w:eastAsia="宋体"/>
      <w:kern w:val="2"/>
      <w:sz w:val="18"/>
      <w:lang w:val="en-US" w:eastAsia="zh-CN"/>
    </w:rPr>
  </w:style>
  <w:style w:type="character" w:customStyle="1" w:styleId="291">
    <w:name w:val="country-name"/>
    <w:autoRedefine/>
    <w:qFormat/>
    <w:uiPriority w:val="0"/>
  </w:style>
  <w:style w:type="character" w:customStyle="1" w:styleId="292">
    <w:name w:val="HTML 样本1"/>
    <w:autoRedefine/>
    <w:qFormat/>
    <w:uiPriority w:val="0"/>
    <w:rPr>
      <w:rFonts w:ascii="Courier New" w:hAnsi="Courier New"/>
    </w:rPr>
  </w:style>
  <w:style w:type="character" w:customStyle="1" w:styleId="293">
    <w:name w:val="标题 4 字符"/>
    <w:autoRedefine/>
    <w:qFormat/>
    <w:uiPriority w:val="0"/>
    <w:rPr>
      <w:rFonts w:ascii="等线 Light" w:hAnsi="等线 Light" w:eastAsia="等线 Light"/>
      <w:b/>
      <w:kern w:val="2"/>
      <w:sz w:val="28"/>
    </w:rPr>
  </w:style>
  <w:style w:type="character" w:customStyle="1" w:styleId="294">
    <w:name w:val="zbggmain style9"/>
    <w:autoRedefine/>
    <w:qFormat/>
    <w:uiPriority w:val="0"/>
  </w:style>
  <w:style w:type="character" w:customStyle="1" w:styleId="295">
    <w:name w:val="标题 1 Char Char"/>
    <w:autoRedefine/>
    <w:qFormat/>
    <w:uiPriority w:val="0"/>
    <w:rPr>
      <w:rFonts w:ascii="Arial" w:hAnsi="Arial" w:eastAsia="黑体"/>
      <w:kern w:val="44"/>
      <w:sz w:val="24"/>
      <w:lang w:val="en-US" w:eastAsia="zh-CN"/>
    </w:rPr>
  </w:style>
  <w:style w:type="character" w:customStyle="1" w:styleId="296">
    <w:name w:val="批注框文本 Char1"/>
    <w:autoRedefine/>
    <w:qFormat/>
    <w:uiPriority w:val="0"/>
    <w:rPr>
      <w:rFonts w:eastAsia="宋体"/>
      <w:kern w:val="2"/>
      <w:sz w:val="18"/>
      <w:lang w:val="en-US" w:eastAsia="zh-CN"/>
    </w:rPr>
  </w:style>
  <w:style w:type="character" w:customStyle="1" w:styleId="297">
    <w:name w:val="HTML 地址 字符"/>
    <w:autoRedefine/>
    <w:qFormat/>
    <w:uiPriority w:val="0"/>
    <w:rPr>
      <w:i/>
      <w:kern w:val="2"/>
      <w:sz w:val="28"/>
    </w:rPr>
  </w:style>
  <w:style w:type="character" w:customStyle="1" w:styleId="298">
    <w:name w:val="正文文本 字符"/>
    <w:autoRedefine/>
    <w:qFormat/>
    <w:uiPriority w:val="0"/>
    <w:rPr>
      <w:rFonts w:ascii="Times New Roman" w:hAnsi="Times New Roman" w:eastAsia="宋体"/>
      <w:kern w:val="2"/>
      <w:sz w:val="21"/>
    </w:rPr>
  </w:style>
  <w:style w:type="character" w:customStyle="1" w:styleId="299">
    <w:name w:val="页眉 字符"/>
    <w:autoRedefine/>
    <w:qFormat/>
    <w:uiPriority w:val="0"/>
    <w:rPr>
      <w:kern w:val="2"/>
      <w:sz w:val="18"/>
    </w:rPr>
  </w:style>
  <w:style w:type="character" w:customStyle="1" w:styleId="300">
    <w:name w:val="标题 5 Char1"/>
    <w:autoRedefine/>
    <w:qFormat/>
    <w:uiPriority w:val="0"/>
    <w:rPr>
      <w:rFonts w:eastAsia="宋体"/>
      <w:b/>
      <w:sz w:val="28"/>
      <w:lang w:val="en-US" w:eastAsia="zh-CN"/>
    </w:rPr>
  </w:style>
  <w:style w:type="character" w:customStyle="1" w:styleId="301">
    <w:name w:val="正文文字4 Char Char"/>
    <w:autoRedefine/>
    <w:qFormat/>
    <w:uiPriority w:val="0"/>
    <w:rPr>
      <w:rFonts w:ascii="宋体" w:hAnsi="宋体" w:eastAsia="宋体"/>
      <w:spacing w:val="-6"/>
      <w:kern w:val="2"/>
      <w:sz w:val="21"/>
      <w:lang w:val="en-US" w:eastAsia="zh-CN"/>
    </w:rPr>
  </w:style>
  <w:style w:type="character" w:customStyle="1" w:styleId="302">
    <w:name w:val="z-窗体顶端 Char"/>
    <w:link w:val="303"/>
    <w:autoRedefine/>
    <w:qFormat/>
    <w:uiPriority w:val="0"/>
    <w:rPr>
      <w:rFonts w:ascii="Arial" w:hAnsi="Arial"/>
      <w:vanish/>
      <w:sz w:val="16"/>
    </w:rPr>
  </w:style>
  <w:style w:type="paragraph" w:customStyle="1" w:styleId="303">
    <w:name w:val="z-窗体顶端1"/>
    <w:basedOn w:val="1"/>
    <w:next w:val="1"/>
    <w:link w:val="302"/>
    <w:autoRedefine/>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4">
    <w:name w:val="正文文本 3 字符"/>
    <w:autoRedefine/>
    <w:qFormat/>
    <w:uiPriority w:val="0"/>
    <w:rPr>
      <w:kern w:val="2"/>
      <w:sz w:val="16"/>
    </w:rPr>
  </w:style>
  <w:style w:type="character" w:customStyle="1" w:styleId="305">
    <w:name w:val="s81i"/>
    <w:autoRedefine/>
    <w:qFormat/>
    <w:uiPriority w:val="0"/>
  </w:style>
  <w:style w:type="character" w:customStyle="1" w:styleId="306">
    <w:name w:val="正文缩进 Char"/>
    <w:link w:val="9"/>
    <w:autoRedefine/>
    <w:qFormat/>
    <w:uiPriority w:val="0"/>
    <w:rPr>
      <w:rFonts w:eastAsia="宋体"/>
      <w:sz w:val="24"/>
    </w:rPr>
  </w:style>
  <w:style w:type="character" w:customStyle="1" w:styleId="307">
    <w:name w:val="Char Char23"/>
    <w:autoRedefine/>
    <w:qFormat/>
    <w:uiPriority w:val="0"/>
    <w:rPr>
      <w:rFonts w:eastAsia="宋体"/>
      <w:b/>
      <w:kern w:val="44"/>
      <w:sz w:val="44"/>
      <w:lang w:val="en-US" w:eastAsia="zh-CN"/>
    </w:rPr>
  </w:style>
  <w:style w:type="character" w:customStyle="1" w:styleId="308">
    <w:name w:val="apple-converted-space"/>
    <w:autoRedefine/>
    <w:qFormat/>
    <w:uiPriority w:val="0"/>
  </w:style>
  <w:style w:type="character" w:customStyle="1" w:styleId="309">
    <w:name w:val="highlight1"/>
    <w:autoRedefine/>
    <w:qFormat/>
    <w:uiPriority w:val="0"/>
    <w:rPr>
      <w:color w:val="FF0000"/>
    </w:rPr>
  </w:style>
  <w:style w:type="character" w:customStyle="1" w:styleId="310">
    <w:name w:val="正文2 Char Char"/>
    <w:autoRedefine/>
    <w:qFormat/>
    <w:uiPriority w:val="0"/>
    <w:rPr>
      <w:rFonts w:eastAsia="宋体"/>
      <w:kern w:val="2"/>
      <w:sz w:val="24"/>
      <w:lang w:val="en-US" w:eastAsia="zh-CN"/>
    </w:rPr>
  </w:style>
  <w:style w:type="character" w:customStyle="1" w:styleId="311">
    <w:name w:val="标题1"/>
    <w:autoRedefine/>
    <w:qFormat/>
    <w:uiPriority w:val="0"/>
    <w:rPr>
      <w:b/>
      <w:sz w:val="28"/>
    </w:rPr>
  </w:style>
  <w:style w:type="character" w:customStyle="1" w:styleId="312">
    <w:name w:val="正文2 Char"/>
    <w:link w:val="313"/>
    <w:autoRedefine/>
    <w:qFormat/>
    <w:uiPriority w:val="0"/>
    <w:rPr>
      <w:rFonts w:eastAsia="宋体"/>
      <w:sz w:val="24"/>
    </w:rPr>
  </w:style>
  <w:style w:type="paragraph" w:customStyle="1" w:styleId="313">
    <w:name w:val="正文2"/>
    <w:basedOn w:val="1"/>
    <w:link w:val="312"/>
    <w:autoRedefine/>
    <w:qFormat/>
    <w:uiPriority w:val="0"/>
    <w:pPr>
      <w:spacing w:before="156" w:line="360" w:lineRule="auto"/>
      <w:ind w:firstLine="510" w:firstLineChars="200"/>
    </w:pPr>
    <w:rPr>
      <w:rFonts w:asciiTheme="minorHAnsi" w:hAnsiTheme="minorHAnsi" w:cstheme="minorBidi"/>
      <w:sz w:val="24"/>
      <w:szCs w:val="22"/>
    </w:rPr>
  </w:style>
  <w:style w:type="character" w:customStyle="1" w:styleId="314">
    <w:name w:val="HTML 定义1"/>
    <w:autoRedefine/>
    <w:qFormat/>
    <w:uiPriority w:val="0"/>
    <w:rPr>
      <w:i/>
    </w:rPr>
  </w:style>
  <w:style w:type="character" w:customStyle="1" w:styleId="315">
    <w:name w:val="批注框文本 字符"/>
    <w:autoRedefine/>
    <w:qFormat/>
    <w:uiPriority w:val="0"/>
    <w:rPr>
      <w:rFonts w:ascii="Times New Roman" w:hAnsi="Times New Roman" w:eastAsia="宋体"/>
      <w:kern w:val="2"/>
      <w:sz w:val="18"/>
    </w:rPr>
  </w:style>
  <w:style w:type="character" w:customStyle="1" w:styleId="316">
    <w:name w:val="75pk"/>
    <w:autoRedefine/>
    <w:qFormat/>
    <w:uiPriority w:val="0"/>
  </w:style>
  <w:style w:type="character" w:customStyle="1" w:styleId="317">
    <w:name w:val="z-窗体底端 字符"/>
    <w:autoRedefine/>
    <w:qFormat/>
    <w:uiPriority w:val="0"/>
    <w:rPr>
      <w:rFonts w:ascii="Arial" w:hAnsi="Arial"/>
      <w:vanish/>
      <w:kern w:val="2"/>
      <w:sz w:val="16"/>
    </w:rPr>
  </w:style>
  <w:style w:type="character" w:customStyle="1" w:styleId="318">
    <w:name w:val="页码1"/>
    <w:autoRedefine/>
    <w:qFormat/>
    <w:uiPriority w:val="0"/>
  </w:style>
  <w:style w:type="character" w:customStyle="1" w:styleId="319">
    <w:name w:val="Char Char21"/>
    <w:autoRedefine/>
    <w:qFormat/>
    <w:uiPriority w:val="0"/>
    <w:rPr>
      <w:rFonts w:eastAsia="楷体_GB2312"/>
      <w:kern w:val="2"/>
      <w:sz w:val="28"/>
      <w:lang w:val="en-US" w:eastAsia="zh-CN"/>
    </w:rPr>
  </w:style>
  <w:style w:type="character" w:customStyle="1" w:styleId="320">
    <w:name w:val="列出段落 字符"/>
    <w:autoRedefine/>
    <w:qFormat/>
    <w:uiPriority w:val="0"/>
    <w:rPr>
      <w:kern w:val="2"/>
      <w:sz w:val="21"/>
    </w:rPr>
  </w:style>
  <w:style w:type="character" w:customStyle="1" w:styleId="321">
    <w:name w:val="批注文字 字符"/>
    <w:autoRedefine/>
    <w:qFormat/>
    <w:uiPriority w:val="0"/>
    <w:rPr>
      <w:kern w:val="2"/>
      <w:sz w:val="28"/>
    </w:rPr>
  </w:style>
  <w:style w:type="character" w:customStyle="1" w:styleId="322">
    <w:name w:val="日期 Char2"/>
    <w:autoRedefine/>
    <w:qFormat/>
    <w:uiPriority w:val="0"/>
    <w:rPr>
      <w:rFonts w:eastAsia="仿宋_GB2312"/>
      <w:b/>
      <w:sz w:val="28"/>
    </w:rPr>
  </w:style>
  <w:style w:type="character" w:customStyle="1" w:styleId="323">
    <w:name w:val="z-窗体顶端 Char1"/>
    <w:autoRedefine/>
    <w:qFormat/>
    <w:uiPriority w:val="0"/>
    <w:rPr>
      <w:rFonts w:ascii="Arial" w:hAnsi="Arial"/>
      <w:vanish/>
      <w:sz w:val="16"/>
    </w:rPr>
  </w:style>
  <w:style w:type="paragraph" w:customStyle="1" w:styleId="324">
    <w:name w:val="z-窗体顶端2"/>
    <w:basedOn w:val="1"/>
    <w:next w:val="1"/>
    <w:link w:val="460"/>
    <w:autoRedefine/>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5">
    <w:name w:val="标题 1 1 Char1"/>
    <w:autoRedefine/>
    <w:qFormat/>
    <w:uiPriority w:val="0"/>
    <w:rPr>
      <w:rFonts w:ascii="Times New Roman" w:hAnsi="Times New Roman" w:eastAsia="宋体"/>
      <w:b/>
      <w:kern w:val="44"/>
      <w:sz w:val="44"/>
    </w:rPr>
  </w:style>
  <w:style w:type="character" w:customStyle="1" w:styleId="326">
    <w:name w:val="标题 8 Char1"/>
    <w:autoRedefine/>
    <w:qFormat/>
    <w:uiPriority w:val="0"/>
    <w:rPr>
      <w:rFonts w:ascii="Arial" w:hAnsi="Arial" w:eastAsia="黑体"/>
      <w:sz w:val="24"/>
      <w:lang w:val="en-US" w:eastAsia="zh-CN"/>
    </w:rPr>
  </w:style>
  <w:style w:type="character" w:customStyle="1" w:styleId="327">
    <w:name w:val="font61"/>
    <w:autoRedefine/>
    <w:qFormat/>
    <w:uiPriority w:val="0"/>
    <w:rPr>
      <w:rFonts w:hint="eastAsia" w:ascii="宋体" w:hAnsi="宋体" w:eastAsia="宋体" w:cs="宋体"/>
      <w:color w:val="000000"/>
      <w:sz w:val="20"/>
      <w:szCs w:val="20"/>
      <w:u w:val="none"/>
    </w:rPr>
  </w:style>
  <w:style w:type="character" w:customStyle="1" w:styleId="328">
    <w:name w:val="尾注文本 Char1"/>
    <w:basedOn w:val="92"/>
    <w:link w:val="56"/>
    <w:autoRedefine/>
    <w:qFormat/>
    <w:uiPriority w:val="0"/>
  </w:style>
  <w:style w:type="character" w:customStyle="1" w:styleId="329">
    <w:name w:val="电子邮件签名 Char1"/>
    <w:basedOn w:val="92"/>
    <w:link w:val="21"/>
    <w:autoRedefine/>
    <w:qFormat/>
    <w:uiPriority w:val="0"/>
  </w:style>
  <w:style w:type="character" w:customStyle="1" w:styleId="330">
    <w:name w:val="正文文本 2 Char2"/>
    <w:basedOn w:val="92"/>
    <w:link w:val="78"/>
    <w:autoRedefine/>
    <w:qFormat/>
    <w:uiPriority w:val="0"/>
  </w:style>
  <w:style w:type="character" w:customStyle="1" w:styleId="331">
    <w:name w:val="正文文本 Char3"/>
    <w:basedOn w:val="92"/>
    <w:autoRedefine/>
    <w:semiHidden/>
    <w:qFormat/>
    <w:uiPriority w:val="99"/>
    <w:rPr>
      <w:rFonts w:ascii="Calibri" w:hAnsi="Calibri" w:eastAsia="宋体" w:cs="Times New Roman"/>
      <w:sz w:val="28"/>
      <w:szCs w:val="20"/>
    </w:rPr>
  </w:style>
  <w:style w:type="character" w:customStyle="1" w:styleId="332">
    <w:name w:val="日期 Char3"/>
    <w:basedOn w:val="92"/>
    <w:link w:val="54"/>
    <w:autoRedefine/>
    <w:qFormat/>
    <w:uiPriority w:val="0"/>
    <w:rPr>
      <w:rFonts w:eastAsia="仿宋_GB2312"/>
      <w:b/>
      <w:sz w:val="28"/>
    </w:rPr>
  </w:style>
  <w:style w:type="character" w:customStyle="1" w:styleId="333">
    <w:name w:val="纯文本 Char4"/>
    <w:basedOn w:val="92"/>
    <w:link w:val="48"/>
    <w:autoRedefine/>
    <w:qFormat/>
    <w:uiPriority w:val="0"/>
    <w:rPr>
      <w:rFonts w:ascii="宋体" w:hAnsi="Courier New" w:eastAsia="宋体"/>
    </w:rPr>
  </w:style>
  <w:style w:type="character" w:customStyle="1" w:styleId="334">
    <w:name w:val="结束语 Char1"/>
    <w:basedOn w:val="92"/>
    <w:link w:val="33"/>
    <w:autoRedefine/>
    <w:qFormat/>
    <w:uiPriority w:val="0"/>
  </w:style>
  <w:style w:type="character" w:customStyle="1" w:styleId="335">
    <w:name w:val="注释标题 Char1"/>
    <w:basedOn w:val="92"/>
    <w:link w:val="18"/>
    <w:autoRedefine/>
    <w:qFormat/>
    <w:uiPriority w:val="0"/>
  </w:style>
  <w:style w:type="character" w:customStyle="1" w:styleId="336">
    <w:name w:val="正文文本缩进 2 Char2"/>
    <w:basedOn w:val="92"/>
    <w:link w:val="55"/>
    <w:autoRedefine/>
    <w:qFormat/>
    <w:uiPriority w:val="0"/>
    <w:rPr>
      <w:rFonts w:ascii="黑体" w:eastAsia="黑体"/>
      <w:sz w:val="28"/>
    </w:rPr>
  </w:style>
  <w:style w:type="character" w:customStyle="1" w:styleId="337">
    <w:name w:val="文档结构图 Char2"/>
    <w:basedOn w:val="92"/>
    <w:link w:val="27"/>
    <w:autoRedefine/>
    <w:qFormat/>
    <w:uiPriority w:val="0"/>
    <w:rPr>
      <w:sz w:val="28"/>
      <w:shd w:val="clear" w:color="auto" w:fill="000080"/>
    </w:rPr>
  </w:style>
  <w:style w:type="character" w:customStyle="1" w:styleId="338">
    <w:name w:val="正文文本缩进 Char3"/>
    <w:basedOn w:val="92"/>
    <w:autoRedefine/>
    <w:semiHidden/>
    <w:qFormat/>
    <w:uiPriority w:val="99"/>
    <w:rPr>
      <w:rFonts w:ascii="Calibri" w:hAnsi="Calibri" w:eastAsia="宋体" w:cs="Times New Roman"/>
      <w:sz w:val="28"/>
      <w:szCs w:val="20"/>
    </w:rPr>
  </w:style>
  <w:style w:type="character" w:customStyle="1" w:styleId="339">
    <w:name w:val="宏文本 Char1"/>
    <w:basedOn w:val="92"/>
    <w:link w:val="3"/>
    <w:autoRedefine/>
    <w:qFormat/>
    <w:uiPriority w:val="0"/>
    <w:rPr>
      <w:rFonts w:ascii="Courier New" w:hAnsi="Courier New"/>
      <w:sz w:val="24"/>
    </w:rPr>
  </w:style>
  <w:style w:type="character" w:customStyle="1" w:styleId="340">
    <w:name w:val="HTML 地址 Char1"/>
    <w:basedOn w:val="92"/>
    <w:link w:val="44"/>
    <w:autoRedefine/>
    <w:qFormat/>
    <w:uiPriority w:val="0"/>
    <w:rPr>
      <w:i/>
    </w:rPr>
  </w:style>
  <w:style w:type="character" w:customStyle="1" w:styleId="341">
    <w:name w:val="正文首行缩进 Char2"/>
    <w:basedOn w:val="331"/>
    <w:link w:val="36"/>
    <w:autoRedefine/>
    <w:qFormat/>
    <w:uiPriority w:val="0"/>
    <w:rPr>
      <w:rFonts w:ascii="等线" w:hAnsi="等线" w:eastAsia="等线" w:cs="Times New Roman"/>
      <w:sz w:val="28"/>
      <w:szCs w:val="20"/>
    </w:rPr>
  </w:style>
  <w:style w:type="character" w:customStyle="1" w:styleId="342">
    <w:name w:val="正文首行缩进 2 Char1"/>
    <w:basedOn w:val="338"/>
    <w:link w:val="88"/>
    <w:autoRedefine/>
    <w:qFormat/>
    <w:uiPriority w:val="0"/>
    <w:rPr>
      <w:rFonts w:ascii="等线" w:hAnsi="等线" w:eastAsia="等线" w:cs="Times New Roman"/>
      <w:sz w:val="28"/>
      <w:szCs w:val="20"/>
    </w:rPr>
  </w:style>
  <w:style w:type="character" w:customStyle="1" w:styleId="343">
    <w:name w:val="标题 Char4"/>
    <w:basedOn w:val="92"/>
    <w:link w:val="86"/>
    <w:autoRedefine/>
    <w:qFormat/>
    <w:uiPriority w:val="0"/>
    <w:rPr>
      <w:b/>
      <w:sz w:val="24"/>
      <w:lang w:val="en-GB"/>
    </w:rPr>
  </w:style>
  <w:style w:type="character" w:customStyle="1" w:styleId="344">
    <w:name w:val="批注框文本 Char2"/>
    <w:basedOn w:val="92"/>
    <w:link w:val="49"/>
    <w:autoRedefine/>
    <w:qFormat/>
    <w:uiPriority w:val="99"/>
    <w:rPr>
      <w:sz w:val="18"/>
    </w:rPr>
  </w:style>
  <w:style w:type="character" w:customStyle="1" w:styleId="345">
    <w:name w:val="称呼 Char1"/>
    <w:basedOn w:val="92"/>
    <w:link w:val="31"/>
    <w:autoRedefine/>
    <w:qFormat/>
    <w:uiPriority w:val="0"/>
    <w:rPr>
      <w:rFonts w:ascii="宋体"/>
      <w:sz w:val="28"/>
    </w:rPr>
  </w:style>
  <w:style w:type="character" w:customStyle="1" w:styleId="346">
    <w:name w:val="批注文字 Char2"/>
    <w:basedOn w:val="92"/>
    <w:autoRedefine/>
    <w:semiHidden/>
    <w:qFormat/>
    <w:uiPriority w:val="99"/>
    <w:rPr>
      <w:rFonts w:ascii="Calibri" w:hAnsi="Calibri" w:eastAsia="宋体" w:cs="Times New Roman"/>
      <w:sz w:val="28"/>
      <w:szCs w:val="20"/>
    </w:rPr>
  </w:style>
  <w:style w:type="character" w:customStyle="1" w:styleId="347">
    <w:name w:val="正文文本缩进 3 Char2"/>
    <w:basedOn w:val="92"/>
    <w:link w:val="72"/>
    <w:autoRedefine/>
    <w:qFormat/>
    <w:uiPriority w:val="0"/>
    <w:rPr>
      <w:sz w:val="28"/>
    </w:rPr>
  </w:style>
  <w:style w:type="character" w:customStyle="1" w:styleId="348">
    <w:name w:val="签名 Char1"/>
    <w:basedOn w:val="92"/>
    <w:link w:val="61"/>
    <w:autoRedefine/>
    <w:qFormat/>
    <w:uiPriority w:val="0"/>
  </w:style>
  <w:style w:type="character" w:customStyle="1" w:styleId="349">
    <w:name w:val="正文文本 3 Char2"/>
    <w:basedOn w:val="92"/>
    <w:link w:val="32"/>
    <w:autoRedefine/>
    <w:qFormat/>
    <w:uiPriority w:val="0"/>
    <w:rPr>
      <w:sz w:val="16"/>
    </w:rPr>
  </w:style>
  <w:style w:type="character" w:customStyle="1" w:styleId="350">
    <w:name w:val="副标题 Char2"/>
    <w:basedOn w:val="92"/>
    <w:link w:val="67"/>
    <w:autoRedefine/>
    <w:qFormat/>
    <w:uiPriority w:val="0"/>
    <w:rPr>
      <w:rFonts w:ascii="Cambria" w:hAnsi="Cambria"/>
      <w:b/>
      <w:kern w:val="28"/>
      <w:sz w:val="32"/>
    </w:rPr>
  </w:style>
  <w:style w:type="character" w:customStyle="1" w:styleId="351">
    <w:name w:val="脚注文本 Char2"/>
    <w:basedOn w:val="92"/>
    <w:link w:val="70"/>
    <w:autoRedefine/>
    <w:qFormat/>
    <w:uiPriority w:val="0"/>
    <w:rPr>
      <w:sz w:val="18"/>
    </w:rPr>
  </w:style>
  <w:style w:type="character" w:customStyle="1" w:styleId="352">
    <w:name w:val="信息标题 Char1"/>
    <w:basedOn w:val="92"/>
    <w:link w:val="81"/>
    <w:autoRedefine/>
    <w:qFormat/>
    <w:uiPriority w:val="0"/>
    <w:rPr>
      <w:rFonts w:ascii="Arial" w:hAnsi="Arial"/>
      <w:sz w:val="24"/>
      <w:shd w:val="pct20" w:color="auto" w:fill="auto"/>
    </w:rPr>
  </w:style>
  <w:style w:type="character" w:customStyle="1" w:styleId="353">
    <w:name w:val="HTML 预设格式 Char3"/>
    <w:basedOn w:val="92"/>
    <w:link w:val="82"/>
    <w:autoRedefine/>
    <w:qFormat/>
    <w:uiPriority w:val="0"/>
    <w:rPr>
      <w:rFonts w:ascii="黑体" w:hAnsi="Courier New" w:eastAsia="黑体"/>
    </w:rPr>
  </w:style>
  <w:style w:type="character" w:customStyle="1" w:styleId="354">
    <w:name w:val="批注主题 Char2"/>
    <w:basedOn w:val="346"/>
    <w:link w:val="87"/>
    <w:autoRedefine/>
    <w:qFormat/>
    <w:uiPriority w:val="0"/>
    <w:rPr>
      <w:rFonts w:ascii="Calibri" w:hAnsi="Calibri" w:eastAsia="宋体" w:cs="Times New Roman"/>
      <w:b/>
      <w:sz w:val="28"/>
      <w:szCs w:val="20"/>
    </w:rPr>
  </w:style>
  <w:style w:type="paragraph" w:customStyle="1" w:styleId="355">
    <w:name w:val="表1"/>
    <w:basedOn w:val="1"/>
    <w:autoRedefine/>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6">
    <w:name w:val="xl39"/>
    <w:basedOn w:val="1"/>
    <w:autoRedefine/>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7">
    <w:name w:val="6'"/>
    <w:basedOn w:val="1"/>
    <w:autoRedefine/>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8">
    <w:name w:val="正文A"/>
    <w:autoRedefine/>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9">
    <w:name w:val="三级条标题"/>
    <w:basedOn w:val="360"/>
    <w:next w:val="361"/>
    <w:autoRedefine/>
    <w:qFormat/>
    <w:uiPriority w:val="0"/>
    <w:pPr>
      <w:tabs>
        <w:tab w:val="left" w:pos="360"/>
        <w:tab w:val="left" w:pos="720"/>
        <w:tab w:val="left" w:pos="3600"/>
      </w:tabs>
      <w:ind w:left="2100" w:hanging="420"/>
      <w:jc w:val="left"/>
      <w:outlineLvl w:val="4"/>
    </w:pPr>
    <w:rPr>
      <w:rFonts w:ascii="Times New Roman"/>
      <w:sz w:val="20"/>
    </w:rPr>
  </w:style>
  <w:style w:type="paragraph" w:customStyle="1" w:styleId="360">
    <w:name w:val="二级条标题"/>
    <w:basedOn w:val="1"/>
    <w:next w:val="361"/>
    <w:autoRedefine/>
    <w:qFormat/>
    <w:uiPriority w:val="0"/>
    <w:pPr>
      <w:widowControl/>
      <w:tabs>
        <w:tab w:val="left" w:pos="360"/>
      </w:tabs>
      <w:outlineLvl w:val="3"/>
    </w:pPr>
    <w:rPr>
      <w:rFonts w:ascii="黑体" w:eastAsia="黑体"/>
      <w:kern w:val="0"/>
      <w:sz w:val="21"/>
    </w:rPr>
  </w:style>
  <w:style w:type="paragraph" w:customStyle="1" w:styleId="361">
    <w:name w:val="段"/>
    <w:autoRedefine/>
    <w:qFormat/>
    <w:uiPriority w:val="0"/>
    <w:pPr>
      <w:ind w:firstLine="200" w:firstLineChars="200"/>
      <w:jc w:val="both"/>
    </w:pPr>
    <w:rPr>
      <w:rFonts w:ascii="宋体" w:hAnsi="Calibri" w:eastAsia="宋体" w:cs="Times New Roman"/>
      <w:sz w:val="21"/>
      <w:lang w:val="en-US" w:eastAsia="zh-CN" w:bidi="ar-SA"/>
    </w:rPr>
  </w:style>
  <w:style w:type="paragraph" w:customStyle="1" w:styleId="362">
    <w:name w:val="reader-word-layer"/>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63">
    <w:name w:val="样式 居中"/>
    <w:basedOn w:val="1"/>
    <w:autoRedefine/>
    <w:qFormat/>
    <w:uiPriority w:val="0"/>
    <w:pPr>
      <w:spacing w:line="360" w:lineRule="auto"/>
      <w:jc w:val="center"/>
    </w:pPr>
    <w:rPr>
      <w:sz w:val="21"/>
    </w:rPr>
  </w:style>
  <w:style w:type="paragraph" w:customStyle="1" w:styleId="364">
    <w:name w:val="正文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5">
    <w:name w:val="正文文本缩进1"/>
    <w:basedOn w:val="1"/>
    <w:autoRedefine/>
    <w:qFormat/>
    <w:uiPriority w:val="0"/>
    <w:pPr>
      <w:spacing w:after="120"/>
      <w:ind w:left="420" w:leftChars="200"/>
    </w:pPr>
    <w:rPr>
      <w:sz w:val="21"/>
    </w:rPr>
  </w:style>
  <w:style w:type="paragraph" w:customStyle="1" w:styleId="366">
    <w:name w:val="编号列项（三级）"/>
    <w:autoRedefine/>
    <w:qFormat/>
    <w:uiPriority w:val="0"/>
    <w:pPr>
      <w:ind w:left="800" w:leftChars="600" w:hanging="200" w:hangingChars="200"/>
    </w:pPr>
    <w:rPr>
      <w:rFonts w:ascii="宋体" w:hAnsi="Calibri" w:eastAsia="宋体" w:cs="Times New Roman"/>
      <w:lang w:val="en-US" w:eastAsia="zh-CN" w:bidi="ar-SA"/>
    </w:rPr>
  </w:style>
  <w:style w:type="paragraph" w:customStyle="1" w:styleId="367">
    <w:name w:val="正文文本缩进 21"/>
    <w:basedOn w:val="1"/>
    <w:autoRedefine/>
    <w:qFormat/>
    <w:uiPriority w:val="0"/>
    <w:pPr>
      <w:adjustRightInd w:val="0"/>
      <w:spacing w:line="400" w:lineRule="atLeast"/>
      <w:ind w:firstLine="540"/>
      <w:textAlignment w:val="baseline"/>
    </w:pPr>
    <w:rPr>
      <w:rFonts w:ascii="宋体"/>
      <w:kern w:val="0"/>
      <w:sz w:val="24"/>
    </w:rPr>
  </w:style>
  <w:style w:type="paragraph" w:customStyle="1" w:styleId="368">
    <w:name w:val="封面标准名称"/>
    <w:autoRedefine/>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9">
    <w:name w:val="表名A"/>
    <w:basedOn w:val="1"/>
    <w:autoRedefine/>
    <w:qFormat/>
    <w:uiPriority w:val="0"/>
    <w:pPr>
      <w:widowControl/>
      <w:tabs>
        <w:tab w:val="left" w:pos="0"/>
      </w:tabs>
      <w:adjustRightInd w:val="0"/>
      <w:snapToGrid w:val="0"/>
      <w:spacing w:beforeLines="80" w:afterLines="20"/>
    </w:pPr>
    <w:rPr>
      <w:b/>
      <w:snapToGrid w:val="0"/>
      <w:kern w:val="0"/>
      <w:sz w:val="21"/>
    </w:rPr>
  </w:style>
  <w:style w:type="paragraph" w:customStyle="1" w:styleId="370">
    <w:name w:val="样式 正文（首行缩进两字） + 首行缩进:  2 字符"/>
    <w:basedOn w:val="9"/>
    <w:autoRedefine/>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1">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372">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3">
    <w:name w:val="xl5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4">
    <w:name w:val="文档结构图1"/>
    <w:basedOn w:val="1"/>
    <w:autoRedefine/>
    <w:qFormat/>
    <w:uiPriority w:val="0"/>
    <w:pPr>
      <w:shd w:val="clear" w:color="auto" w:fill="000080"/>
    </w:pPr>
    <w:rPr>
      <w:kern w:val="0"/>
      <w:sz w:val="20"/>
      <w:shd w:val="clear" w:color="auto" w:fill="000080"/>
    </w:rPr>
  </w:style>
  <w:style w:type="paragraph" w:customStyle="1" w:styleId="375">
    <w:name w:val="简单回函地址"/>
    <w:basedOn w:val="1"/>
    <w:autoRedefine/>
    <w:qFormat/>
    <w:uiPriority w:val="0"/>
    <w:pPr>
      <w:adjustRightInd w:val="0"/>
      <w:spacing w:line="312" w:lineRule="atLeast"/>
      <w:textAlignment w:val="baseline"/>
    </w:pPr>
    <w:rPr>
      <w:kern w:val="0"/>
      <w:sz w:val="21"/>
    </w:rPr>
  </w:style>
  <w:style w:type="paragraph" w:customStyle="1" w:styleId="376">
    <w:name w:val="Char Char Char Char Char Char3 Char Char Char Char Char Char Char"/>
    <w:basedOn w:val="1"/>
    <w:next w:val="1"/>
    <w:autoRedefine/>
    <w:qFormat/>
    <w:uiPriority w:val="0"/>
    <w:rPr>
      <w:rFonts w:eastAsia="黑体"/>
    </w:rPr>
  </w:style>
  <w:style w:type="paragraph" w:customStyle="1" w:styleId="377">
    <w:name w:val="彩色列表 - 强调文字颜色 11"/>
    <w:basedOn w:val="1"/>
    <w:autoRedefine/>
    <w:qFormat/>
    <w:uiPriority w:val="0"/>
    <w:pPr>
      <w:spacing w:before="100" w:beforeAutospacing="1" w:after="100" w:afterAutospacing="1" w:line="300" w:lineRule="auto"/>
      <w:ind w:firstLine="420" w:firstLineChars="200"/>
    </w:pPr>
    <w:rPr>
      <w:sz w:val="21"/>
    </w:rPr>
  </w:style>
  <w:style w:type="paragraph" w:customStyle="1" w:styleId="378">
    <w:name w:val="0"/>
    <w:basedOn w:val="1"/>
    <w:autoRedefine/>
    <w:qFormat/>
    <w:uiPriority w:val="0"/>
    <w:pPr>
      <w:widowControl/>
    </w:pPr>
    <w:rPr>
      <w:kern w:val="0"/>
      <w:sz w:val="21"/>
    </w:rPr>
  </w:style>
  <w:style w:type="paragraph" w:customStyle="1" w:styleId="379">
    <w:name w:val="正文21"/>
    <w:basedOn w:val="1"/>
    <w:autoRedefine/>
    <w:qFormat/>
    <w:uiPriority w:val="0"/>
    <w:pPr>
      <w:adjustRightInd w:val="0"/>
      <w:spacing w:line="420" w:lineRule="atLeast"/>
      <w:textAlignment w:val="baseline"/>
    </w:pPr>
    <w:rPr>
      <w:kern w:val="0"/>
      <w:sz w:val="21"/>
    </w:rPr>
  </w:style>
  <w:style w:type="paragraph" w:customStyle="1" w:styleId="380">
    <w:name w:val="标准书脚_偶数页"/>
    <w:autoRedefine/>
    <w:qFormat/>
    <w:uiPriority w:val="0"/>
    <w:pPr>
      <w:spacing w:before="120"/>
    </w:pPr>
    <w:rPr>
      <w:rFonts w:ascii="Calibri" w:hAnsi="Calibri" w:eastAsia="宋体" w:cs="Times New Roman"/>
      <w:sz w:val="18"/>
      <w:lang w:val="en-US" w:eastAsia="zh-CN" w:bidi="ar-SA"/>
    </w:rPr>
  </w:style>
  <w:style w:type="paragraph" w:customStyle="1" w:styleId="381">
    <w:name w:val="目次、索引正文"/>
    <w:autoRedefine/>
    <w:qFormat/>
    <w:uiPriority w:val="0"/>
    <w:pPr>
      <w:spacing w:line="320" w:lineRule="exact"/>
      <w:jc w:val="both"/>
    </w:pPr>
    <w:rPr>
      <w:rFonts w:ascii="宋体" w:hAnsi="Calibri" w:eastAsia="宋体" w:cs="Times New Roman"/>
      <w:lang w:val="en-US" w:eastAsia="zh-CN" w:bidi="ar-SA"/>
    </w:rPr>
  </w:style>
  <w:style w:type="paragraph" w:customStyle="1" w:styleId="382">
    <w:name w:val="网格表 31"/>
    <w:basedOn w:val="4"/>
    <w:next w:val="1"/>
    <w:autoRedefine/>
    <w:qFormat/>
    <w:uiPriority w:val="0"/>
    <w:pPr>
      <w:keepLines/>
      <w:spacing w:before="480" w:line="276" w:lineRule="auto"/>
      <w:jc w:val="left"/>
      <w:outlineLvl w:val="9"/>
    </w:pPr>
    <w:rPr>
      <w:rFonts w:ascii="Cambria" w:hAnsi="Cambria"/>
      <w:color w:val="365F91"/>
      <w:sz w:val="28"/>
    </w:rPr>
  </w:style>
  <w:style w:type="character" w:customStyle="1" w:styleId="383">
    <w:name w:val="z-窗体底端 Char1"/>
    <w:basedOn w:val="92"/>
    <w:link w:val="217"/>
    <w:autoRedefine/>
    <w:qFormat/>
    <w:uiPriority w:val="0"/>
    <w:rPr>
      <w:rFonts w:ascii="Arial" w:hAnsi="Arial"/>
      <w:vanish/>
      <w:sz w:val="16"/>
    </w:rPr>
  </w:style>
  <w:style w:type="paragraph" w:customStyle="1" w:styleId="384">
    <w:name w:val="正文表标题"/>
    <w:next w:val="361"/>
    <w:autoRedefine/>
    <w:qFormat/>
    <w:uiPriority w:val="0"/>
    <w:pPr>
      <w:jc w:val="center"/>
    </w:pPr>
    <w:rPr>
      <w:rFonts w:ascii="黑体" w:hAnsi="Calibri" w:eastAsia="黑体" w:cs="Times New Roman"/>
      <w:sz w:val="21"/>
      <w:lang w:val="en-US" w:eastAsia="zh-CN" w:bidi="ar-SA"/>
    </w:rPr>
  </w:style>
  <w:style w:type="paragraph" w:customStyle="1" w:styleId="385">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6">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7">
    <w:name w:val="网格表 32"/>
    <w:basedOn w:val="4"/>
    <w:next w:val="1"/>
    <w:autoRedefine/>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8">
    <w:name w:val="四级条标题"/>
    <w:basedOn w:val="359"/>
    <w:next w:val="361"/>
    <w:autoRedefine/>
    <w:qFormat/>
    <w:uiPriority w:val="0"/>
    <w:pPr>
      <w:ind w:left="0" w:firstLine="0"/>
      <w:outlineLvl w:val="5"/>
    </w:pPr>
  </w:style>
  <w:style w:type="paragraph" w:customStyle="1" w:styleId="389">
    <w:name w:val="xl5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90">
    <w:name w:val="font8"/>
    <w:basedOn w:val="1"/>
    <w:autoRedefine/>
    <w:qFormat/>
    <w:uiPriority w:val="0"/>
    <w:pPr>
      <w:widowControl/>
      <w:spacing w:before="100" w:beforeAutospacing="1" w:after="100" w:afterAutospacing="1"/>
    </w:pPr>
    <w:rPr>
      <w:rFonts w:eastAsia="Arial Unicode MS"/>
      <w:kern w:val="0"/>
      <w:sz w:val="24"/>
    </w:rPr>
  </w:style>
  <w:style w:type="paragraph" w:customStyle="1" w:styleId="391">
    <w:name w:val="xl2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2">
    <w:name w:val="彩色列表 - 着色 11"/>
    <w:basedOn w:val="1"/>
    <w:autoRedefine/>
    <w:qFormat/>
    <w:uiPriority w:val="0"/>
    <w:pPr>
      <w:widowControl/>
      <w:ind w:firstLine="420" w:firstLineChars="200"/>
      <w:jc w:val="left"/>
    </w:pPr>
    <w:rPr>
      <w:rFonts w:ascii="宋体" w:hAnsi="宋体"/>
      <w:kern w:val="0"/>
      <w:sz w:val="24"/>
    </w:rPr>
  </w:style>
  <w:style w:type="paragraph" w:customStyle="1" w:styleId="393">
    <w:name w:val="Char Char20"/>
    <w:basedOn w:val="1"/>
    <w:autoRedefine/>
    <w:qFormat/>
    <w:uiPriority w:val="0"/>
    <w:pPr>
      <w:snapToGrid w:val="0"/>
      <w:spacing w:afterLines="30" w:line="360" w:lineRule="auto"/>
      <w:ind w:firstLine="200" w:firstLineChars="200"/>
    </w:pPr>
    <w:rPr>
      <w:sz w:val="21"/>
    </w:rPr>
  </w:style>
  <w:style w:type="paragraph" w:customStyle="1" w:styleId="394">
    <w:name w:val="附录一级条标题"/>
    <w:basedOn w:val="395"/>
    <w:next w:val="361"/>
    <w:autoRedefine/>
    <w:qFormat/>
    <w:uiPriority w:val="0"/>
    <w:pPr>
      <w:tabs>
        <w:tab w:val="left" w:pos="720"/>
        <w:tab w:val="left" w:pos="840"/>
        <w:tab w:val="left" w:pos="1440"/>
      </w:tabs>
      <w:autoSpaceDN w:val="0"/>
      <w:ind w:left="0" w:firstLine="0"/>
      <w:outlineLvl w:val="2"/>
    </w:pPr>
  </w:style>
  <w:style w:type="paragraph" w:customStyle="1" w:styleId="395">
    <w:name w:val="附录章标题"/>
    <w:next w:val="361"/>
    <w:autoRedefine/>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6">
    <w:name w:val="表格3"/>
    <w:basedOn w:val="1"/>
    <w:autoRedefine/>
    <w:qFormat/>
    <w:uiPriority w:val="0"/>
    <w:pPr>
      <w:adjustRightInd w:val="0"/>
      <w:spacing w:line="420" w:lineRule="atLeast"/>
      <w:textAlignment w:val="baseline"/>
    </w:pPr>
    <w:rPr>
      <w:rFonts w:eastAsia="楷体"/>
      <w:kern w:val="0"/>
      <w:sz w:val="21"/>
    </w:rPr>
  </w:style>
  <w:style w:type="paragraph" w:customStyle="1" w:styleId="397">
    <w:name w:val="样式 一号 加粗 居中"/>
    <w:basedOn w:val="1"/>
    <w:autoRedefine/>
    <w:qFormat/>
    <w:uiPriority w:val="0"/>
    <w:pPr>
      <w:jc w:val="center"/>
    </w:pPr>
    <w:rPr>
      <w:sz w:val="52"/>
    </w:rPr>
  </w:style>
  <w:style w:type="paragraph" w:customStyle="1" w:styleId="398">
    <w:name w:val="xl26"/>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9">
    <w:name w:val="字母编号列项（一级）"/>
    <w:autoRedefine/>
    <w:qFormat/>
    <w:uiPriority w:val="0"/>
    <w:pPr>
      <w:ind w:left="840" w:leftChars="200" w:hanging="420" w:hangingChars="200"/>
      <w:jc w:val="both"/>
    </w:pPr>
    <w:rPr>
      <w:rFonts w:ascii="宋体" w:hAnsi="Calibri" w:eastAsia="宋体" w:cs="Times New Roman"/>
      <w:lang w:val="en-US" w:eastAsia="zh-CN" w:bidi="ar-SA"/>
    </w:rPr>
  </w:style>
  <w:style w:type="paragraph" w:customStyle="1" w:styleId="400">
    <w:name w:val="aspnumfaautoadjustrightr"/>
    <w:autoRedefine/>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1">
    <w:name w:val="表格文字居中"/>
    <w:basedOn w:val="1"/>
    <w:autoRedefine/>
    <w:qFormat/>
    <w:uiPriority w:val="0"/>
    <w:pPr>
      <w:adjustRightInd w:val="0"/>
      <w:snapToGrid w:val="0"/>
      <w:textAlignment w:val="center"/>
    </w:pPr>
    <w:rPr>
      <w:rFonts w:ascii="宋体"/>
      <w:snapToGrid w:val="0"/>
      <w:spacing w:val="12"/>
      <w:kern w:val="0"/>
      <w:sz w:val="21"/>
    </w:rPr>
  </w:style>
  <w:style w:type="paragraph" w:customStyle="1" w:styleId="402">
    <w:name w:val="p0"/>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03">
    <w:name w:val="正文缩进2"/>
    <w:basedOn w:val="1"/>
    <w:autoRedefine/>
    <w:qFormat/>
    <w:uiPriority w:val="0"/>
    <w:pPr>
      <w:ind w:firstLine="420"/>
    </w:pPr>
    <w:rPr>
      <w:sz w:val="21"/>
    </w:rPr>
  </w:style>
  <w:style w:type="paragraph" w:customStyle="1" w:styleId="404">
    <w:name w:val="表头"/>
    <w:basedOn w:val="405"/>
    <w:autoRedefine/>
    <w:qFormat/>
    <w:uiPriority w:val="0"/>
    <w:pPr>
      <w:spacing w:before="120" w:after="60"/>
    </w:pPr>
    <w:rPr>
      <w:rFonts w:ascii="黑体" w:eastAsia="黑体"/>
      <w:b/>
    </w:rPr>
  </w:style>
  <w:style w:type="paragraph" w:customStyle="1" w:styleId="405">
    <w:name w:val="表格方字"/>
    <w:basedOn w:val="1"/>
    <w:autoRedefine/>
    <w:qFormat/>
    <w:uiPriority w:val="0"/>
    <w:pPr>
      <w:adjustRightInd w:val="0"/>
      <w:spacing w:line="420" w:lineRule="atLeast"/>
      <w:textAlignment w:val="baseline"/>
    </w:pPr>
    <w:rPr>
      <w:kern w:val="0"/>
      <w:sz w:val="21"/>
    </w:rPr>
  </w:style>
  <w:style w:type="paragraph" w:customStyle="1" w:styleId="406">
    <w:name w:val="正文段"/>
    <w:basedOn w:val="1"/>
    <w:autoRedefine/>
    <w:qFormat/>
    <w:uiPriority w:val="0"/>
    <w:pPr>
      <w:widowControl/>
      <w:snapToGrid w:val="0"/>
      <w:spacing w:afterLines="50"/>
      <w:ind w:firstLine="200" w:firstLineChars="200"/>
    </w:pPr>
    <w:rPr>
      <w:kern w:val="0"/>
      <w:sz w:val="24"/>
    </w:rPr>
  </w:style>
  <w:style w:type="paragraph" w:customStyle="1" w:styleId="407">
    <w:name w:val="正文A Char Char Char"/>
    <w:autoRedefine/>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8">
    <w:name w:val="列项●（二级）"/>
    <w:autoRedefine/>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9">
    <w:name w:val="xl560"/>
    <w:basedOn w:val="1"/>
    <w:autoRedefine/>
    <w:qFormat/>
    <w:uiPriority w:val="0"/>
    <w:pPr>
      <w:widowControl/>
      <w:spacing w:before="100" w:beforeAutospacing="1" w:after="100" w:afterAutospacing="1"/>
      <w:jc w:val="left"/>
    </w:pPr>
    <w:rPr>
      <w:rFonts w:ascii="宋体" w:hAnsi="宋体"/>
      <w:color w:val="000000"/>
      <w:kern w:val="0"/>
      <w:sz w:val="20"/>
    </w:rPr>
  </w:style>
  <w:style w:type="paragraph" w:customStyle="1" w:styleId="410">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11">
    <w:name w:val="xl557"/>
    <w:basedOn w:val="1"/>
    <w:autoRedefine/>
    <w:qFormat/>
    <w:uiPriority w:val="0"/>
    <w:pPr>
      <w:widowControl/>
      <w:spacing w:before="100" w:beforeAutospacing="1" w:after="100" w:afterAutospacing="1"/>
      <w:jc w:val="left"/>
    </w:pPr>
    <w:rPr>
      <w:rFonts w:ascii="宋体" w:hAnsi="宋体"/>
      <w:color w:val="FF0000"/>
      <w:kern w:val="0"/>
      <w:sz w:val="20"/>
    </w:rPr>
  </w:style>
  <w:style w:type="paragraph" w:customStyle="1" w:styleId="412">
    <w:name w:val="1"/>
    <w:basedOn w:val="1"/>
    <w:autoRedefine/>
    <w:qFormat/>
    <w:uiPriority w:val="0"/>
    <w:pPr>
      <w:adjustRightInd w:val="0"/>
      <w:spacing w:before="360" w:after="240" w:line="420" w:lineRule="atLeast"/>
      <w:ind w:firstLine="454"/>
      <w:textAlignment w:val="baseline"/>
    </w:pPr>
    <w:rPr>
      <w:b/>
      <w:kern w:val="0"/>
      <w:sz w:val="21"/>
    </w:rPr>
  </w:style>
  <w:style w:type="paragraph" w:customStyle="1" w:styleId="413">
    <w:name w:val="附录四级条标题"/>
    <w:basedOn w:val="414"/>
    <w:next w:val="361"/>
    <w:autoRedefine/>
    <w:qFormat/>
    <w:uiPriority w:val="0"/>
    <w:pPr>
      <w:tabs>
        <w:tab w:val="left" w:pos="720"/>
        <w:tab w:val="left" w:pos="840"/>
        <w:tab w:val="left" w:pos="1440"/>
      </w:tabs>
      <w:outlineLvl w:val="5"/>
    </w:pPr>
  </w:style>
  <w:style w:type="paragraph" w:customStyle="1" w:styleId="414">
    <w:name w:val="附录三级条标题"/>
    <w:basedOn w:val="415"/>
    <w:next w:val="361"/>
    <w:autoRedefine/>
    <w:qFormat/>
    <w:uiPriority w:val="0"/>
    <w:pPr>
      <w:tabs>
        <w:tab w:val="left" w:pos="720"/>
        <w:tab w:val="left" w:pos="840"/>
        <w:tab w:val="left" w:pos="1440"/>
      </w:tabs>
      <w:outlineLvl w:val="4"/>
    </w:pPr>
  </w:style>
  <w:style w:type="paragraph" w:customStyle="1" w:styleId="415">
    <w:name w:val="附录二级条标题"/>
    <w:basedOn w:val="394"/>
    <w:next w:val="361"/>
    <w:autoRedefine/>
    <w:qFormat/>
    <w:uiPriority w:val="0"/>
    <w:pPr>
      <w:outlineLvl w:val="3"/>
    </w:pPr>
  </w:style>
  <w:style w:type="paragraph" w:customStyle="1" w:styleId="416">
    <w:name w:val="引文目录标题1"/>
    <w:basedOn w:val="1"/>
    <w:next w:val="1"/>
    <w:autoRedefine/>
    <w:qFormat/>
    <w:uiPriority w:val="0"/>
    <w:pPr>
      <w:spacing w:before="120"/>
    </w:pPr>
    <w:rPr>
      <w:rFonts w:ascii="Arial" w:hAnsi="Arial"/>
      <w:sz w:val="24"/>
    </w:rPr>
  </w:style>
  <w:style w:type="paragraph" w:customStyle="1" w:styleId="417">
    <w:name w:val="Char Char Char Char Char Char Char Char Char"/>
    <w:basedOn w:val="1"/>
    <w:autoRedefine/>
    <w:qFormat/>
    <w:uiPriority w:val="0"/>
    <w:pPr>
      <w:widowControl/>
      <w:spacing w:after="160" w:line="240" w:lineRule="exact"/>
      <w:jc w:val="left"/>
    </w:pPr>
    <w:rPr>
      <w:sz w:val="21"/>
    </w:rPr>
  </w:style>
  <w:style w:type="paragraph" w:customStyle="1" w:styleId="418">
    <w:name w:val="默认段落字体 Para Char Char Char Char"/>
    <w:basedOn w:val="1"/>
    <w:autoRedefine/>
    <w:qFormat/>
    <w:uiPriority w:val="0"/>
    <w:pPr>
      <w:spacing w:line="360" w:lineRule="auto"/>
      <w:ind w:firstLine="200" w:firstLineChars="200"/>
    </w:pPr>
    <w:rPr>
      <w:rFonts w:ascii="宋体" w:hAnsi="宋体"/>
      <w:sz w:val="24"/>
    </w:rPr>
  </w:style>
  <w:style w:type="paragraph" w:customStyle="1" w:styleId="419">
    <w:name w:val="Char Char Char1 Char"/>
    <w:basedOn w:val="1"/>
    <w:next w:val="1"/>
    <w:autoRedefine/>
    <w:qFormat/>
    <w:uiPriority w:val="0"/>
    <w:rPr>
      <w:sz w:val="21"/>
    </w:rPr>
  </w:style>
  <w:style w:type="paragraph" w:customStyle="1" w:styleId="420">
    <w:name w:val="列出段落3"/>
    <w:basedOn w:val="1"/>
    <w:autoRedefine/>
    <w:qFormat/>
    <w:uiPriority w:val="0"/>
    <w:pPr>
      <w:spacing w:before="100" w:beforeAutospacing="1" w:after="100" w:afterAutospacing="1" w:line="300" w:lineRule="auto"/>
      <w:ind w:firstLine="420" w:firstLineChars="200"/>
    </w:pPr>
    <w:rPr>
      <w:sz w:val="21"/>
    </w:rPr>
  </w:style>
  <w:style w:type="paragraph" w:customStyle="1" w:styleId="4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2">
    <w:name w:val="实施日期"/>
    <w:basedOn w:val="423"/>
    <w:autoRedefine/>
    <w:qFormat/>
    <w:uiPriority w:val="0"/>
    <w:pPr>
      <w:jc w:val="right"/>
    </w:pPr>
  </w:style>
  <w:style w:type="paragraph" w:customStyle="1" w:styleId="423">
    <w:name w:val="发布日期"/>
    <w:autoRedefine/>
    <w:qFormat/>
    <w:uiPriority w:val="0"/>
    <w:rPr>
      <w:rFonts w:ascii="Calibri" w:hAnsi="Calibri" w:eastAsia="黑体" w:cs="Times New Roman"/>
      <w:sz w:val="28"/>
      <w:lang w:val="en-US" w:eastAsia="zh-CN" w:bidi="ar-SA"/>
    </w:rPr>
  </w:style>
  <w:style w:type="paragraph" w:customStyle="1" w:styleId="424">
    <w:name w:val="一般格式"/>
    <w:basedOn w:val="1"/>
    <w:autoRedefine/>
    <w:qFormat/>
    <w:uiPriority w:val="0"/>
    <w:pPr>
      <w:spacing w:line="360" w:lineRule="auto"/>
      <w:ind w:firstLine="200" w:firstLineChars="200"/>
    </w:pPr>
    <w:rPr>
      <w:sz w:val="24"/>
    </w:rPr>
  </w:style>
  <w:style w:type="paragraph" w:customStyle="1" w:styleId="425">
    <w:name w:val="附录图标题"/>
    <w:next w:val="361"/>
    <w:autoRedefine/>
    <w:qFormat/>
    <w:uiPriority w:val="0"/>
    <w:pPr>
      <w:tabs>
        <w:tab w:val="left" w:pos="360"/>
      </w:tabs>
      <w:jc w:val="center"/>
    </w:pPr>
    <w:rPr>
      <w:rFonts w:ascii="黑体" w:hAnsi="Calibri" w:eastAsia="黑体" w:cs="Times New Roman"/>
      <w:sz w:val="21"/>
      <w:lang w:val="en-US" w:eastAsia="zh-CN" w:bidi="ar-SA"/>
    </w:rPr>
  </w:style>
  <w:style w:type="paragraph" w:customStyle="1" w:styleId="426">
    <w:name w:val="1.4"/>
    <w:basedOn w:val="1"/>
    <w:autoRedefine/>
    <w:qFormat/>
    <w:uiPriority w:val="0"/>
    <w:pPr>
      <w:widowControl/>
      <w:spacing w:line="288" w:lineRule="auto"/>
      <w:ind w:left="3" w:firstLine="503"/>
    </w:pPr>
    <w:rPr>
      <w:rFonts w:ascii="宋体" w:hAnsi="宋体"/>
      <w:kern w:val="0"/>
      <w:sz w:val="24"/>
    </w:rPr>
  </w:style>
  <w:style w:type="paragraph" w:customStyle="1" w:styleId="427">
    <w:name w:val="正文3"/>
    <w:autoRedefine/>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8">
    <w:name w:val="p17"/>
    <w:basedOn w:val="1"/>
    <w:autoRedefine/>
    <w:qFormat/>
    <w:uiPriority w:val="0"/>
    <w:pPr>
      <w:widowControl/>
      <w:spacing w:before="100" w:after="100" w:line="432" w:lineRule="auto"/>
      <w:jc w:val="left"/>
    </w:pPr>
    <w:rPr>
      <w:rFonts w:ascii="宋体" w:hAnsi="宋体"/>
      <w:kern w:val="0"/>
      <w:sz w:val="27"/>
    </w:rPr>
  </w:style>
  <w:style w:type="paragraph" w:customStyle="1" w:styleId="429">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430">
    <w:name w:val="xl2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1">
    <w:name w:val="xl5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2">
    <w:name w:val="正文缩进3"/>
    <w:basedOn w:val="1"/>
    <w:autoRedefine/>
    <w:qFormat/>
    <w:uiPriority w:val="0"/>
    <w:pPr>
      <w:ind w:firstLine="420"/>
    </w:pPr>
    <w:rPr>
      <w:sz w:val="21"/>
    </w:rPr>
  </w:style>
  <w:style w:type="paragraph" w:customStyle="1" w:styleId="433">
    <w:name w:val="五级条标题"/>
    <w:basedOn w:val="388"/>
    <w:next w:val="361"/>
    <w:autoRedefine/>
    <w:qFormat/>
    <w:uiPriority w:val="0"/>
    <w:pPr>
      <w:outlineLvl w:val="6"/>
    </w:pPr>
  </w:style>
  <w:style w:type="paragraph" w:customStyle="1" w:styleId="434">
    <w:name w:val="正文文本 31"/>
    <w:basedOn w:val="1"/>
    <w:autoRedefine/>
    <w:qFormat/>
    <w:uiPriority w:val="0"/>
    <w:rPr>
      <w:rFonts w:eastAsia="隶书"/>
      <w:kern w:val="0"/>
      <w:sz w:val="24"/>
    </w:rPr>
  </w:style>
  <w:style w:type="paragraph" w:customStyle="1" w:styleId="435">
    <w:name w:val="杭州页脚"/>
    <w:basedOn w:val="1"/>
    <w:autoRedefine/>
    <w:qFormat/>
    <w:uiPriority w:val="0"/>
    <w:pPr>
      <w:tabs>
        <w:tab w:val="left" w:pos="340"/>
      </w:tabs>
      <w:adjustRightInd w:val="0"/>
      <w:snapToGrid w:val="0"/>
      <w:ind w:left="340" w:hanging="340"/>
    </w:pPr>
    <w:rPr>
      <w:rFonts w:eastAsia="HYKai U3HK"/>
      <w:sz w:val="20"/>
    </w:rPr>
  </w:style>
  <w:style w:type="paragraph" w:customStyle="1" w:styleId="436">
    <w:name w:val="xl38"/>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7">
    <w:name w:val="p16"/>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38">
    <w:name w:val="xl5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9">
    <w:name w:val="Char Char Char"/>
    <w:basedOn w:val="1"/>
    <w:autoRedefine/>
    <w:qFormat/>
    <w:uiPriority w:val="0"/>
    <w:pPr>
      <w:spacing w:line="360" w:lineRule="auto"/>
      <w:ind w:firstLine="200" w:firstLineChars="200"/>
    </w:pPr>
    <w:rPr>
      <w:rFonts w:ascii="宋体" w:hAnsi="宋体"/>
      <w:sz w:val="24"/>
    </w:rPr>
  </w:style>
  <w:style w:type="paragraph" w:customStyle="1" w:styleId="440">
    <w:name w:val="样式 标题 3 + (中文) 黑体 小四 非加粗 段前: 7.8 磅 段后: 0 磅 行距: 固定值 20 磅"/>
    <w:basedOn w:val="6"/>
    <w:autoRedefine/>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1">
    <w:name w:val="纯文本1"/>
    <w:basedOn w:val="1"/>
    <w:autoRedefine/>
    <w:qFormat/>
    <w:uiPriority w:val="0"/>
    <w:pPr>
      <w:widowControl/>
      <w:jc w:val="left"/>
    </w:pPr>
    <w:rPr>
      <w:rFonts w:ascii="宋体" w:hAnsi="Courier New"/>
      <w:kern w:val="0"/>
      <w:sz w:val="20"/>
    </w:rPr>
  </w:style>
  <w:style w:type="paragraph" w:customStyle="1" w:styleId="442">
    <w:name w:val="列出段落1"/>
    <w:basedOn w:val="1"/>
    <w:autoRedefine/>
    <w:qFormat/>
    <w:uiPriority w:val="0"/>
    <w:pPr>
      <w:ind w:firstLine="420" w:firstLineChars="200"/>
    </w:pPr>
    <w:rPr>
      <w:sz w:val="21"/>
    </w:rPr>
  </w:style>
  <w:style w:type="paragraph" w:customStyle="1" w:styleId="443">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444">
    <w:name w:val="表格文字2"/>
    <w:basedOn w:val="1"/>
    <w:autoRedefine/>
    <w:qFormat/>
    <w:uiPriority w:val="0"/>
    <w:rPr>
      <w:spacing w:val="-4"/>
      <w:sz w:val="24"/>
    </w:rPr>
  </w:style>
  <w:style w:type="paragraph" w:customStyle="1" w:styleId="445">
    <w:name w:val="图表左对齐"/>
    <w:basedOn w:val="1"/>
    <w:autoRedefine/>
    <w:qFormat/>
    <w:uiPriority w:val="0"/>
    <w:pPr>
      <w:spacing w:line="360" w:lineRule="exact"/>
      <w:jc w:val="left"/>
    </w:pPr>
    <w:rPr>
      <w:spacing w:val="-10"/>
      <w:sz w:val="24"/>
    </w:rPr>
  </w:style>
  <w:style w:type="paragraph" w:customStyle="1" w:styleId="446">
    <w:name w:val="标准书脚_奇数页"/>
    <w:autoRedefine/>
    <w:qFormat/>
    <w:uiPriority w:val="0"/>
    <w:pPr>
      <w:spacing w:before="120"/>
      <w:jc w:val="right"/>
    </w:pPr>
    <w:rPr>
      <w:rFonts w:ascii="Calibri" w:hAnsi="Calibri" w:eastAsia="宋体" w:cs="Times New Roman"/>
      <w:sz w:val="18"/>
      <w:lang w:val="en-US" w:eastAsia="zh-CN" w:bidi="ar-SA"/>
    </w:rPr>
  </w:style>
  <w:style w:type="paragraph" w:customStyle="1" w:styleId="447">
    <w:name w:val="样式 标题 2 + Times New Roman 四号 非加粗 段前: 5 磅 段后: 0 磅 行距: 固定值 20..."/>
    <w:basedOn w:val="5"/>
    <w:autoRedefine/>
    <w:qFormat/>
    <w:uiPriority w:val="0"/>
    <w:pPr>
      <w:tabs>
        <w:tab w:val="clear" w:pos="706"/>
      </w:tabs>
      <w:spacing w:before="100" w:line="400" w:lineRule="exact"/>
      <w:ind w:left="0" w:firstLine="0"/>
    </w:pPr>
    <w:rPr>
      <w:rFonts w:ascii="Times New Roman" w:hAnsi="Times New Roman"/>
      <w:kern w:val="0"/>
      <w:sz w:val="28"/>
    </w:rPr>
  </w:style>
  <w:style w:type="paragraph" w:customStyle="1" w:styleId="448">
    <w:name w:val="Char Char Char Char Char Char Char"/>
    <w:basedOn w:val="1"/>
    <w:autoRedefine/>
    <w:qFormat/>
    <w:uiPriority w:val="0"/>
    <w:pPr>
      <w:widowControl/>
      <w:spacing w:after="160" w:line="240" w:lineRule="exact"/>
      <w:jc w:val="left"/>
    </w:pPr>
    <w:rPr>
      <w:rFonts w:ascii="Verdana" w:hAnsi="Verdana" w:eastAsia="仿宋_GB2312"/>
      <w:kern w:val="0"/>
      <w:sz w:val="30"/>
      <w:lang w:eastAsia="en-US"/>
    </w:rPr>
  </w:style>
  <w:style w:type="paragraph" w:customStyle="1" w:styleId="449">
    <w:name w:val="正文1"/>
    <w:basedOn w:val="1"/>
    <w:autoRedefine/>
    <w:qFormat/>
    <w:uiPriority w:val="0"/>
    <w:pPr>
      <w:autoSpaceDE w:val="0"/>
      <w:autoSpaceDN w:val="0"/>
      <w:adjustRightInd w:val="0"/>
      <w:spacing w:before="120" w:line="360" w:lineRule="auto"/>
      <w:ind w:left="1366" w:hanging="686"/>
      <w:textAlignment w:val="baseline"/>
    </w:pPr>
    <w:rPr>
      <w:sz w:val="21"/>
    </w:rPr>
  </w:style>
  <w:style w:type="paragraph" w:customStyle="1" w:styleId="450">
    <w:name w:val="前言、引言标题"/>
    <w:next w:val="1"/>
    <w:autoRedefine/>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1">
    <w:name w:val="纯文本3"/>
    <w:basedOn w:val="1"/>
    <w:autoRedefine/>
    <w:qFormat/>
    <w:uiPriority w:val="0"/>
    <w:pPr>
      <w:widowControl/>
      <w:jc w:val="left"/>
    </w:pPr>
    <w:rPr>
      <w:rFonts w:ascii="宋体" w:hAnsi="Courier New"/>
      <w:kern w:val="0"/>
      <w:sz w:val="20"/>
    </w:rPr>
  </w:style>
  <w:style w:type="paragraph" w:customStyle="1" w:styleId="452">
    <w:name w:val="表格6"/>
    <w:basedOn w:val="1"/>
    <w:autoRedefine/>
    <w:qFormat/>
    <w:uiPriority w:val="0"/>
    <w:pPr>
      <w:adjustRightInd w:val="0"/>
      <w:spacing w:line="420" w:lineRule="atLeast"/>
      <w:ind w:left="737"/>
      <w:textAlignment w:val="baseline"/>
    </w:pPr>
    <w:rPr>
      <w:rFonts w:ascii="宋体"/>
      <w:kern w:val="0"/>
      <w:sz w:val="21"/>
    </w:rPr>
  </w:style>
  <w:style w:type="paragraph" w:customStyle="1" w:styleId="453">
    <w:name w:val="reader-word-layer reader-word-s1-8"/>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54">
    <w:name w:val="默认段落字体 Para Char Char Char Char Char Char Char Char Char Char Char Char Char"/>
    <w:basedOn w:val="1"/>
    <w:autoRedefine/>
    <w:qFormat/>
    <w:uiPriority w:val="0"/>
    <w:rPr>
      <w:sz w:val="21"/>
    </w:rPr>
  </w:style>
  <w:style w:type="paragraph" w:customStyle="1" w:styleId="455">
    <w:name w:val="修订1"/>
    <w:autoRedefine/>
    <w:qFormat/>
    <w:uiPriority w:val="0"/>
    <w:rPr>
      <w:rFonts w:ascii="宋体" w:hAnsi="Calibri" w:eastAsia="宋体" w:cs="Times New Roman"/>
      <w:kern w:val="2"/>
      <w:sz w:val="28"/>
      <w:lang w:val="en-US" w:eastAsia="zh-CN" w:bidi="ar-SA"/>
    </w:rPr>
  </w:style>
  <w:style w:type="paragraph" w:customStyle="1" w:styleId="456">
    <w:name w:val="xl5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7">
    <w:name w:val="列项◆（三级）"/>
    <w:autoRedefine/>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8">
    <w:name w:val="目录3"/>
    <w:basedOn w:val="1"/>
    <w:autoRedefine/>
    <w:qFormat/>
    <w:uiPriority w:val="0"/>
    <w:pPr>
      <w:adjustRightInd w:val="0"/>
      <w:spacing w:line="420" w:lineRule="atLeast"/>
      <w:ind w:left="454"/>
      <w:textAlignment w:val="baseline"/>
    </w:pPr>
    <w:rPr>
      <w:kern w:val="0"/>
      <w:sz w:val="21"/>
    </w:rPr>
  </w:style>
  <w:style w:type="paragraph" w:customStyle="1" w:styleId="459">
    <w:name w:val="默认段落字体 Para Char Char Char Char Char Char Char Char Char1 Char Char Char Char"/>
    <w:basedOn w:val="1"/>
    <w:autoRedefine/>
    <w:qFormat/>
    <w:uiPriority w:val="0"/>
    <w:rPr>
      <w:rFonts w:ascii="Tahoma" w:hAnsi="Tahoma"/>
      <w:sz w:val="24"/>
    </w:rPr>
  </w:style>
  <w:style w:type="character" w:customStyle="1" w:styleId="460">
    <w:name w:val="z-窗体顶端 Char2"/>
    <w:basedOn w:val="92"/>
    <w:link w:val="324"/>
    <w:autoRedefine/>
    <w:qFormat/>
    <w:uiPriority w:val="0"/>
    <w:rPr>
      <w:rFonts w:ascii="Arial" w:hAnsi="Arial"/>
      <w:vanish/>
      <w:sz w:val="16"/>
    </w:rPr>
  </w:style>
  <w:style w:type="paragraph" w:customStyle="1" w:styleId="4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2">
    <w:name w:val="样式3"/>
    <w:basedOn w:val="6"/>
    <w:autoRedefine/>
    <w:qFormat/>
    <w:uiPriority w:val="0"/>
    <w:pPr>
      <w:widowControl w:val="0"/>
      <w:tabs>
        <w:tab w:val="clear" w:pos="720"/>
      </w:tabs>
      <w:ind w:left="0" w:firstLine="0"/>
      <w:jc w:val="both"/>
    </w:pPr>
    <w:rPr>
      <w:b w:val="0"/>
      <w:kern w:val="2"/>
      <w:sz w:val="24"/>
    </w:rPr>
  </w:style>
  <w:style w:type="paragraph" w:customStyle="1" w:styleId="463">
    <w:name w:val="样式 居中 行距: 固定值 60 磅"/>
    <w:basedOn w:val="1"/>
    <w:autoRedefine/>
    <w:qFormat/>
    <w:uiPriority w:val="0"/>
    <w:pPr>
      <w:spacing w:line="360" w:lineRule="auto"/>
      <w:jc w:val="center"/>
    </w:pPr>
    <w:rPr>
      <w:sz w:val="21"/>
    </w:rPr>
  </w:style>
  <w:style w:type="paragraph" w:customStyle="1" w:styleId="464">
    <w:name w:val="其他发布部门"/>
    <w:basedOn w:val="465"/>
    <w:autoRedefine/>
    <w:qFormat/>
    <w:uiPriority w:val="0"/>
    <w:pPr>
      <w:spacing w:line="0" w:lineRule="atLeast"/>
    </w:pPr>
    <w:rPr>
      <w:rFonts w:ascii="黑体" w:eastAsia="黑体"/>
      <w:b w:val="0"/>
    </w:rPr>
  </w:style>
  <w:style w:type="paragraph" w:customStyle="1" w:styleId="465">
    <w:name w:val="发布部门"/>
    <w:next w:val="361"/>
    <w:autoRedefine/>
    <w:qFormat/>
    <w:uiPriority w:val="0"/>
    <w:pPr>
      <w:jc w:val="center"/>
    </w:pPr>
    <w:rPr>
      <w:rFonts w:ascii="宋体" w:hAnsi="Calibri" w:eastAsia="宋体" w:cs="Times New Roman"/>
      <w:b/>
      <w:spacing w:val="20"/>
      <w:w w:val="135"/>
      <w:sz w:val="36"/>
      <w:lang w:val="en-US" w:eastAsia="zh-CN" w:bidi="ar-SA"/>
    </w:rPr>
  </w:style>
  <w:style w:type="paragraph" w:customStyle="1" w:styleId="466">
    <w:name w:val="示例"/>
    <w:next w:val="361"/>
    <w:autoRedefine/>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7">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8">
    <w:name w:val="样式 标题 1 + 黑体 三号 非加粗 居中 段前: 6 磅 段后: 6 磅 行距: 固定值 20 磅"/>
    <w:basedOn w:val="4"/>
    <w:autoRedefine/>
    <w:qFormat/>
    <w:uiPriority w:val="0"/>
    <w:pPr>
      <w:keepLines/>
      <w:widowControl w:val="0"/>
      <w:spacing w:before="120" w:after="120" w:line="400" w:lineRule="exact"/>
      <w:jc w:val="both"/>
    </w:pPr>
    <w:rPr>
      <w:rFonts w:hAnsi="黑体" w:eastAsia="黑体"/>
      <w:b w:val="0"/>
      <w:kern w:val="44"/>
    </w:rPr>
  </w:style>
  <w:style w:type="paragraph" w:customStyle="1" w:styleId="469">
    <w:name w:val="标题2"/>
    <w:basedOn w:val="1"/>
    <w:autoRedefine/>
    <w:qFormat/>
    <w:uiPriority w:val="0"/>
    <w:rPr>
      <w:rFonts w:ascii="宋体" w:hAnsi="宋体"/>
      <w:b/>
      <w:sz w:val="21"/>
    </w:rPr>
  </w:style>
  <w:style w:type="paragraph" w:customStyle="1" w:styleId="470">
    <w:name w:val="Char"/>
    <w:basedOn w:val="1"/>
    <w:autoRedefine/>
    <w:qFormat/>
    <w:uiPriority w:val="0"/>
    <w:rPr>
      <w:rFonts w:ascii="仿宋_GB2312" w:eastAsia="仿宋_GB2312"/>
      <w:b/>
      <w:sz w:val="32"/>
    </w:rPr>
  </w:style>
  <w:style w:type="paragraph" w:customStyle="1" w:styleId="471">
    <w:name w:val="无间隔2"/>
    <w:autoRedefine/>
    <w:qFormat/>
    <w:uiPriority w:val="0"/>
    <w:rPr>
      <w:rFonts w:ascii="Calibri" w:hAnsi="Calibri" w:eastAsia="宋体" w:cs="Times New Roman"/>
      <w:sz w:val="22"/>
      <w:lang w:val="en-US" w:eastAsia="en-US" w:bidi="ar-SA"/>
    </w:rPr>
  </w:style>
  <w:style w:type="paragraph" w:customStyle="1" w:styleId="472">
    <w:name w:val="xl5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3">
    <w:name w:val="Char Char Char 字元 字元"/>
    <w:basedOn w:val="1"/>
    <w:autoRedefine/>
    <w:qFormat/>
    <w:uiPriority w:val="0"/>
    <w:rPr>
      <w:rFonts w:ascii="Tahoma" w:hAnsi="Tahoma"/>
      <w:sz w:val="24"/>
    </w:rPr>
  </w:style>
  <w:style w:type="paragraph" w:customStyle="1" w:styleId="474">
    <w:name w:val="标准书眉_偶数页"/>
    <w:basedOn w:val="1"/>
    <w:next w:val="1"/>
    <w:autoRedefine/>
    <w:qFormat/>
    <w:uiPriority w:val="0"/>
    <w:pPr>
      <w:widowControl/>
      <w:tabs>
        <w:tab w:val="center" w:pos="4154"/>
        <w:tab w:val="right" w:pos="8306"/>
      </w:tabs>
      <w:spacing w:after="120"/>
    </w:pPr>
    <w:rPr>
      <w:kern w:val="0"/>
      <w:sz w:val="21"/>
    </w:rPr>
  </w:style>
  <w:style w:type="paragraph" w:customStyle="1" w:styleId="475">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6">
    <w:name w:val="样式 正文缩进 + 首行缩进:  2 字符"/>
    <w:basedOn w:val="477"/>
    <w:autoRedefine/>
    <w:qFormat/>
    <w:uiPriority w:val="99"/>
    <w:pPr>
      <w:spacing w:line="360" w:lineRule="auto"/>
      <w:ind w:firstLine="200"/>
    </w:pPr>
    <w:rPr>
      <w:rFonts w:ascii="Calibri" w:hAnsi="Calibri"/>
      <w:sz w:val="24"/>
      <w:szCs w:val="24"/>
    </w:rPr>
  </w:style>
  <w:style w:type="paragraph" w:customStyle="1" w:styleId="477">
    <w:name w:val="正文缩进_0"/>
    <w:basedOn w:val="372"/>
    <w:autoRedefine/>
    <w:qFormat/>
    <w:uiPriority w:val="0"/>
    <w:pPr>
      <w:ind w:firstLine="420"/>
    </w:pPr>
    <w:rPr>
      <w:rFonts w:ascii="Times New Roman" w:hAnsi="Times New Roman"/>
      <w:kern w:val="0"/>
      <w:szCs w:val="20"/>
    </w:rPr>
  </w:style>
  <w:style w:type="paragraph" w:customStyle="1" w:styleId="478">
    <w:name w:val="列出段落2"/>
    <w:basedOn w:val="1"/>
    <w:autoRedefine/>
    <w:qFormat/>
    <w:uiPriority w:val="0"/>
    <w:pPr>
      <w:spacing w:before="100" w:beforeAutospacing="1" w:after="100" w:afterAutospacing="1" w:line="300" w:lineRule="auto"/>
      <w:ind w:firstLine="420" w:firstLineChars="200"/>
    </w:pPr>
    <w:rPr>
      <w:sz w:val="21"/>
    </w:rPr>
  </w:style>
  <w:style w:type="paragraph" w:customStyle="1" w:styleId="479">
    <w:name w:val="xl5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80">
    <w:name w:val="font1"/>
    <w:basedOn w:val="1"/>
    <w:autoRedefine/>
    <w:qFormat/>
    <w:uiPriority w:val="0"/>
    <w:pPr>
      <w:widowControl/>
      <w:spacing w:before="100" w:beforeAutospacing="1" w:after="100" w:afterAutospacing="1"/>
      <w:jc w:val="left"/>
    </w:pPr>
    <w:rPr>
      <w:rFonts w:ascii="宋体" w:hAnsi="宋体"/>
      <w:color w:val="000000"/>
      <w:kern w:val="0"/>
      <w:sz w:val="20"/>
    </w:rPr>
  </w:style>
  <w:style w:type="paragraph" w:customStyle="1" w:styleId="481">
    <w:name w:val="表格"/>
    <w:basedOn w:val="1"/>
    <w:autoRedefine/>
    <w:qFormat/>
    <w:uiPriority w:val="0"/>
    <w:pPr>
      <w:textAlignment w:val="center"/>
    </w:pPr>
    <w:rPr>
      <w:rFonts w:ascii="华文细黑" w:hAnsi="华文细黑"/>
      <w:kern w:val="0"/>
      <w:sz w:val="21"/>
    </w:rPr>
  </w:style>
  <w:style w:type="paragraph" w:customStyle="1" w:styleId="482">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483">
    <w:name w:val="图表脚注"/>
    <w:next w:val="361"/>
    <w:autoRedefine/>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4">
    <w:name w:val="末级"/>
    <w:basedOn w:val="1"/>
    <w:autoRedefine/>
    <w:qFormat/>
    <w:uiPriority w:val="0"/>
    <w:pPr>
      <w:tabs>
        <w:tab w:val="left" w:pos="851"/>
      </w:tabs>
      <w:spacing w:line="360" w:lineRule="auto"/>
      <w:ind w:firstLine="510"/>
    </w:pPr>
    <w:rPr>
      <w:sz w:val="24"/>
    </w:rPr>
  </w:style>
  <w:style w:type="paragraph" w:customStyle="1" w:styleId="485">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6">
    <w:name w:val="Char Char Char Char Char Char Char Char Char Char Char Char Char Char Char Char Char Char Char Char Char Char Char Char Char"/>
    <w:basedOn w:val="1"/>
    <w:autoRedefine/>
    <w:qFormat/>
    <w:uiPriority w:val="0"/>
    <w:rPr>
      <w:rFonts w:ascii="Tahoma" w:hAnsi="Tahoma"/>
      <w:sz w:val="24"/>
    </w:rPr>
  </w:style>
  <w:style w:type="paragraph" w:customStyle="1" w:styleId="487">
    <w:name w:val="bold_10"/>
    <w:basedOn w:val="1"/>
    <w:next w:val="1"/>
    <w:autoRedefine/>
    <w:qFormat/>
    <w:uiPriority w:val="0"/>
    <w:pPr>
      <w:widowControl/>
    </w:pPr>
    <w:rPr>
      <w:rFonts w:ascii="Arial" w:hAnsi="Arial"/>
      <w:b/>
      <w:kern w:val="0"/>
      <w:sz w:val="20"/>
      <w:lang w:val="en-AU"/>
    </w:rPr>
  </w:style>
  <w:style w:type="paragraph" w:customStyle="1" w:styleId="48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9">
    <w:name w:val="p18"/>
    <w:basedOn w:val="1"/>
    <w:autoRedefine/>
    <w:qFormat/>
    <w:uiPriority w:val="99"/>
    <w:pPr>
      <w:widowControl/>
      <w:spacing w:line="500" w:lineRule="atLeast"/>
      <w:ind w:firstLine="420"/>
    </w:pPr>
    <w:rPr>
      <w:kern w:val="0"/>
      <w:szCs w:val="28"/>
    </w:rPr>
  </w:style>
  <w:style w:type="paragraph" w:customStyle="1" w:styleId="490">
    <w:name w:val="xl5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1">
    <w:name w:val="xl5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2">
    <w:name w:val="xl32"/>
    <w:basedOn w:val="1"/>
    <w:autoRedefine/>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3">
    <w:name w:val="封面一致性程度标识"/>
    <w:autoRedefine/>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4">
    <w:name w:val="Char Char3"/>
    <w:basedOn w:val="27"/>
    <w:autoRedefine/>
    <w:qFormat/>
    <w:uiPriority w:val="0"/>
    <w:rPr>
      <w:rFonts w:ascii="Tahoma" w:hAnsi="Tahoma"/>
      <w:sz w:val="24"/>
    </w:rPr>
  </w:style>
  <w:style w:type="paragraph" w:customStyle="1" w:styleId="495">
    <w:name w:val="多级符号2"/>
    <w:basedOn w:val="496"/>
    <w:autoRedefine/>
    <w:qFormat/>
    <w:uiPriority w:val="0"/>
    <w:pPr>
      <w:outlineLvl w:val="9"/>
    </w:pPr>
    <w:rPr>
      <w:b w:val="0"/>
      <w:sz w:val="24"/>
    </w:rPr>
  </w:style>
  <w:style w:type="paragraph" w:customStyle="1" w:styleId="496">
    <w:name w:val="多级符号1"/>
    <w:basedOn w:val="1"/>
    <w:next w:val="1"/>
    <w:autoRedefine/>
    <w:qFormat/>
    <w:uiPriority w:val="0"/>
    <w:pPr>
      <w:spacing w:line="360" w:lineRule="auto"/>
      <w:jc w:val="left"/>
      <w:outlineLvl w:val="0"/>
    </w:pPr>
    <w:rPr>
      <w:rFonts w:eastAsia="仿宋_GB2312"/>
      <w:b/>
      <w:sz w:val="30"/>
    </w:rPr>
  </w:style>
  <w:style w:type="paragraph" w:customStyle="1" w:styleId="497">
    <w:name w:val="reader-word-layer reader-word-s1-9"/>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98">
    <w:name w:val="xl2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500">
    <w:name w:val="彩色底纹 - 着色 11"/>
    <w:autoRedefine/>
    <w:qFormat/>
    <w:uiPriority w:val="0"/>
    <w:rPr>
      <w:rFonts w:ascii="Calibri" w:hAnsi="Calibri" w:eastAsia="宋体" w:cs="Times New Roman"/>
      <w:kern w:val="2"/>
      <w:sz w:val="21"/>
      <w:lang w:val="en-US" w:eastAsia="zh-CN" w:bidi="ar-SA"/>
    </w:rPr>
  </w:style>
  <w:style w:type="paragraph" w:customStyle="1" w:styleId="501">
    <w:name w:val="xl5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2">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3">
    <w:name w:val="xl558"/>
    <w:basedOn w:val="1"/>
    <w:autoRedefine/>
    <w:qFormat/>
    <w:uiPriority w:val="0"/>
    <w:pPr>
      <w:widowControl/>
      <w:spacing w:before="100" w:beforeAutospacing="1" w:after="100" w:afterAutospacing="1"/>
      <w:jc w:val="left"/>
    </w:pPr>
    <w:rPr>
      <w:rFonts w:ascii="宋体" w:hAnsi="宋体"/>
      <w:kern w:val="0"/>
      <w:sz w:val="20"/>
    </w:rPr>
  </w:style>
  <w:style w:type="paragraph" w:customStyle="1" w:styleId="504">
    <w:name w:val="Table textB"/>
    <w:basedOn w:val="1"/>
    <w:next w:val="1"/>
    <w:autoRedefine/>
    <w:qFormat/>
    <w:uiPriority w:val="0"/>
    <w:pPr>
      <w:widowControl/>
      <w:spacing w:before="80" w:after="80"/>
      <w:jc w:val="center"/>
    </w:pPr>
    <w:rPr>
      <w:rFonts w:ascii="Arial" w:hAnsi="Arial"/>
      <w:b/>
      <w:spacing w:val="-5"/>
      <w:kern w:val="0"/>
      <w:sz w:val="18"/>
    </w:rPr>
  </w:style>
  <w:style w:type="paragraph" w:customStyle="1" w:styleId="505">
    <w:name w:val="封面标准代替信息"/>
    <w:basedOn w:val="506"/>
    <w:autoRedefine/>
    <w:qFormat/>
    <w:uiPriority w:val="0"/>
    <w:pPr>
      <w:spacing w:before="57"/>
    </w:pPr>
    <w:rPr>
      <w:rFonts w:ascii="宋体"/>
      <w:sz w:val="21"/>
    </w:rPr>
  </w:style>
  <w:style w:type="paragraph" w:customStyle="1" w:styleId="506">
    <w:name w:val="封面标准号2"/>
    <w:basedOn w:val="507"/>
    <w:autoRedefine/>
    <w:qFormat/>
    <w:uiPriority w:val="0"/>
    <w:pPr>
      <w:adjustRightInd w:val="0"/>
      <w:spacing w:before="357" w:line="280" w:lineRule="exact"/>
    </w:pPr>
  </w:style>
  <w:style w:type="paragraph" w:customStyle="1" w:styleId="507">
    <w:name w:val="封面标准号1"/>
    <w:autoRedefine/>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8">
    <w:name w:val="flName"/>
    <w:basedOn w:val="1"/>
    <w:autoRedefine/>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9">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510">
    <w:name w:val="目次、标准名称标题"/>
    <w:basedOn w:val="1"/>
    <w:next w:val="361"/>
    <w:autoRedefine/>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1">
    <w:name w:val="表中"/>
    <w:basedOn w:val="1"/>
    <w:autoRedefine/>
    <w:qFormat/>
    <w:uiPriority w:val="0"/>
    <w:pPr>
      <w:autoSpaceDE w:val="0"/>
      <w:autoSpaceDN w:val="0"/>
      <w:adjustRightInd w:val="0"/>
      <w:spacing w:line="360" w:lineRule="atLeast"/>
    </w:pPr>
    <w:rPr>
      <w:rFonts w:ascii="宋体"/>
      <w:kern w:val="0"/>
      <w:sz w:val="21"/>
    </w:rPr>
  </w:style>
  <w:style w:type="paragraph" w:customStyle="1" w:styleId="512">
    <w:name w:val="1 Char Char Char"/>
    <w:basedOn w:val="1"/>
    <w:next w:val="6"/>
    <w:autoRedefine/>
    <w:qFormat/>
    <w:uiPriority w:val="0"/>
    <w:pPr>
      <w:spacing w:line="500" w:lineRule="exact"/>
      <w:ind w:firstLine="200"/>
      <w:jc w:val="center"/>
    </w:pPr>
    <w:rPr>
      <w:rFonts w:ascii="仿宋_GB2312" w:hAnsi="Arial" w:eastAsia="仿宋_GB2312"/>
      <w:sz w:val="32"/>
    </w:rPr>
  </w:style>
  <w:style w:type="paragraph" w:customStyle="1" w:styleId="513">
    <w:name w:val="样式2"/>
    <w:basedOn w:val="75"/>
    <w:autoRedefine/>
    <w:qFormat/>
    <w:uiPriority w:val="0"/>
    <w:pPr>
      <w:ind w:left="200" w:leftChars="200" w:hanging="200" w:hangingChars="200"/>
      <w:jc w:val="both"/>
    </w:pPr>
    <w:rPr>
      <w:rFonts w:ascii="Times New Roman" w:hAnsi="Times New Roman"/>
      <w:smallCaps w:val="0"/>
      <w:sz w:val="21"/>
    </w:rPr>
  </w:style>
  <w:style w:type="paragraph" w:customStyle="1" w:styleId="514">
    <w:name w:val="样式 标题 4 + 五号"/>
    <w:basedOn w:val="7"/>
    <w:autoRedefine/>
    <w:qFormat/>
    <w:uiPriority w:val="0"/>
    <w:rPr>
      <w:kern w:val="0"/>
      <w:sz w:val="21"/>
    </w:rPr>
  </w:style>
  <w:style w:type="paragraph" w:customStyle="1" w:styleId="51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6">
    <w:name w:val="字元 字元 Char Char Char 字元 字元 Char 字元 字元 Char Char 字元 字元1 Char Char Char Char Char Char 字元 字元"/>
    <w:basedOn w:val="1"/>
    <w:autoRedefine/>
    <w:qFormat/>
    <w:uiPriority w:val="0"/>
    <w:rPr>
      <w:rFonts w:ascii="Tahoma" w:hAnsi="Tahoma"/>
      <w:sz w:val="24"/>
    </w:rPr>
  </w:style>
  <w:style w:type="paragraph" w:customStyle="1" w:styleId="517">
    <w:name w:val="Default"/>
    <w:autoRedefine/>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8">
    <w:name w:val="Char11"/>
    <w:basedOn w:val="1"/>
    <w:autoRedefine/>
    <w:qFormat/>
    <w:uiPriority w:val="0"/>
    <w:pPr>
      <w:widowControl/>
      <w:spacing w:after="160" w:line="240" w:lineRule="exact"/>
      <w:jc w:val="left"/>
    </w:pPr>
    <w:rPr>
      <w:rFonts w:ascii="Tahoma" w:hAnsi="Tahoma"/>
      <w:kern w:val="0"/>
      <w:sz w:val="24"/>
      <w:lang w:eastAsia="en-US"/>
    </w:rPr>
  </w:style>
  <w:style w:type="paragraph" w:customStyle="1" w:styleId="519">
    <w:name w:val="数字编号列项（二级）"/>
    <w:autoRedefine/>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20">
    <w:name w:val="Char Char Char1 Char Char Char Char Char Char Char Char Char Char Char Char Char"/>
    <w:basedOn w:val="1"/>
    <w:autoRedefine/>
    <w:qFormat/>
    <w:uiPriority w:val="0"/>
    <w:rPr>
      <w:rFonts w:ascii="Tahoma" w:hAnsi="Tahoma"/>
      <w:sz w:val="24"/>
    </w:rPr>
  </w:style>
  <w:style w:type="paragraph" w:customStyle="1" w:styleId="521">
    <w:name w:val="参考文献、索引标题"/>
    <w:basedOn w:val="450"/>
    <w:next w:val="1"/>
    <w:autoRedefine/>
    <w:qFormat/>
    <w:uiPriority w:val="0"/>
    <w:pPr>
      <w:spacing w:after="200"/>
    </w:pPr>
    <w:rPr>
      <w:sz w:val="21"/>
    </w:rPr>
  </w:style>
  <w:style w:type="paragraph" w:customStyle="1" w:styleId="522">
    <w:name w:val="xl36"/>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3">
    <w:name w:val="xl33"/>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4">
    <w:name w:val="纯文本2"/>
    <w:basedOn w:val="1"/>
    <w:autoRedefine/>
    <w:qFormat/>
    <w:uiPriority w:val="0"/>
    <w:pPr>
      <w:adjustRightInd w:val="0"/>
      <w:spacing w:line="360" w:lineRule="atLeast"/>
      <w:textAlignment w:val="baseline"/>
    </w:pPr>
    <w:rPr>
      <w:rFonts w:ascii="宋体" w:hAnsi="Courier New"/>
    </w:rPr>
  </w:style>
  <w:style w:type="paragraph" w:customStyle="1" w:styleId="525">
    <w:name w:val="Körper"/>
    <w:basedOn w:val="1"/>
    <w:autoRedefine/>
    <w:qFormat/>
    <w:uiPriority w:val="0"/>
    <w:pPr>
      <w:widowControl/>
      <w:spacing w:before="120" w:line="240" w:lineRule="exact"/>
    </w:pPr>
    <w:rPr>
      <w:rFonts w:ascii="Arial" w:hAnsi="Arial"/>
      <w:kern w:val="0"/>
      <w:sz w:val="20"/>
      <w:lang w:val="de-DE" w:eastAsia="de-DE"/>
    </w:rPr>
  </w:style>
  <w:style w:type="paragraph" w:customStyle="1" w:styleId="526">
    <w:name w:val="2"/>
    <w:basedOn w:val="1"/>
    <w:autoRedefine/>
    <w:qFormat/>
    <w:uiPriority w:val="0"/>
    <w:rPr>
      <w:rFonts w:ascii="Tahoma" w:hAnsi="Tahoma"/>
      <w:sz w:val="24"/>
    </w:rPr>
  </w:style>
  <w:style w:type="paragraph" w:customStyle="1" w:styleId="527">
    <w:name w:val="正文2 Char Char Char Char Char Char Char Char Char Char Char Char1 Char Char Char Char Char Char Char Char1 Char Char Char Char Char Char"/>
    <w:basedOn w:val="1"/>
    <w:autoRedefine/>
    <w:qFormat/>
    <w:uiPriority w:val="0"/>
    <w:pPr>
      <w:widowControl/>
      <w:spacing w:line="400" w:lineRule="exact"/>
    </w:pPr>
    <w:rPr>
      <w:rFonts w:ascii="Verdana" w:hAnsi="Verdana" w:eastAsia="楷体_GB2312"/>
      <w:kern w:val="0"/>
      <w:lang w:eastAsia="en-US"/>
    </w:rPr>
  </w:style>
  <w:style w:type="paragraph" w:customStyle="1" w:styleId="528">
    <w:name w:val="金宏发行正文 Char"/>
    <w:basedOn w:val="1"/>
    <w:autoRedefine/>
    <w:qFormat/>
    <w:uiPriority w:val="99"/>
    <w:pPr>
      <w:spacing w:line="500" w:lineRule="atLeast"/>
      <w:ind w:firstLine="560" w:firstLineChars="200"/>
    </w:pPr>
    <w:rPr>
      <w:rFonts w:ascii="Times New Roman" w:hAnsi="Times New Roman" w:eastAsia="仿宋_GB2312"/>
      <w:szCs w:val="28"/>
    </w:rPr>
  </w:style>
  <w:style w:type="paragraph" w:customStyle="1" w:styleId="529">
    <w:name w:val="样式 三号 加粗 居中"/>
    <w:basedOn w:val="1"/>
    <w:autoRedefine/>
    <w:qFormat/>
    <w:uiPriority w:val="0"/>
    <w:pPr>
      <w:spacing w:line="360" w:lineRule="auto"/>
      <w:jc w:val="center"/>
    </w:pPr>
    <w:rPr>
      <w:b/>
      <w:sz w:val="32"/>
    </w:rPr>
  </w:style>
  <w:style w:type="paragraph" w:customStyle="1" w:styleId="530">
    <w:name w:val="标准称谓"/>
    <w:next w:val="1"/>
    <w:autoRedefine/>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1">
    <w:name w:val="标准书眉_奇数页"/>
    <w:next w:val="1"/>
    <w:autoRedefine/>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4">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5">
    <w:name w:val="修订2"/>
    <w:autoRedefine/>
    <w:qFormat/>
    <w:uiPriority w:val="0"/>
    <w:rPr>
      <w:rFonts w:ascii="Calibri" w:hAnsi="Calibri" w:eastAsia="宋体" w:cs="Times New Roman"/>
      <w:kern w:val="2"/>
      <w:sz w:val="28"/>
      <w:lang w:val="en-US" w:eastAsia="zh-CN" w:bidi="ar-SA"/>
    </w:rPr>
  </w:style>
  <w:style w:type="paragraph" w:customStyle="1" w:styleId="536">
    <w:name w:val="标题4"/>
    <w:basedOn w:val="1"/>
    <w:autoRedefine/>
    <w:qFormat/>
    <w:uiPriority w:val="0"/>
    <w:rPr>
      <w:rFonts w:eastAsia="仿宋_GB2312"/>
      <w:sz w:val="32"/>
    </w:rPr>
  </w:style>
  <w:style w:type="paragraph" w:customStyle="1" w:styleId="537">
    <w:name w:val="3级"/>
    <w:basedOn w:val="1"/>
    <w:autoRedefine/>
    <w:qFormat/>
    <w:uiPriority w:val="0"/>
    <w:pPr>
      <w:snapToGrid w:val="0"/>
      <w:spacing w:afterLines="30" w:line="360" w:lineRule="auto"/>
      <w:ind w:firstLine="200" w:firstLineChars="200"/>
    </w:pPr>
    <w:rPr>
      <w:rFonts w:ascii="宋体" w:hAnsi="Tahoma"/>
      <w:b/>
      <w:color w:val="0000FF"/>
    </w:rPr>
  </w:style>
  <w:style w:type="paragraph" w:customStyle="1" w:styleId="538">
    <w:name w:val="章标题"/>
    <w:next w:val="361"/>
    <w:autoRedefine/>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9">
    <w:name w:val="xl3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40">
    <w:name w:val="图表小四中对齐"/>
    <w:basedOn w:val="1"/>
    <w:autoRedefine/>
    <w:qFormat/>
    <w:uiPriority w:val="0"/>
    <w:pPr>
      <w:adjustRightInd w:val="0"/>
      <w:spacing w:line="360" w:lineRule="exact"/>
      <w:jc w:val="center"/>
      <w:textAlignment w:val="baseline"/>
    </w:pPr>
    <w:rPr>
      <w:color w:val="000000"/>
      <w:spacing w:val="-10"/>
      <w:sz w:val="24"/>
    </w:rPr>
  </w:style>
  <w:style w:type="paragraph" w:customStyle="1" w:styleId="541">
    <w:name w:val="标准书眉一"/>
    <w:autoRedefine/>
    <w:qFormat/>
    <w:uiPriority w:val="0"/>
    <w:pPr>
      <w:jc w:val="both"/>
    </w:pPr>
    <w:rPr>
      <w:rFonts w:ascii="Calibri" w:hAnsi="Calibri" w:eastAsia="宋体" w:cs="Times New Roman"/>
      <w:lang w:val="en-US" w:eastAsia="zh-CN" w:bidi="ar-SA"/>
    </w:rPr>
  </w:style>
  <w:style w:type="paragraph" w:customStyle="1" w:styleId="542">
    <w:name w:val="Char Char Char Char Char Char3 Char Char Char Char Char Char Char Char Char Char"/>
    <w:basedOn w:val="1"/>
    <w:next w:val="1"/>
    <w:autoRedefine/>
    <w:qFormat/>
    <w:uiPriority w:val="0"/>
    <w:rPr>
      <w:rFonts w:eastAsia="黑体"/>
    </w:rPr>
  </w:style>
  <w:style w:type="paragraph" w:customStyle="1" w:styleId="543">
    <w:name w:val="xl5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4">
    <w:name w:val="正文 New New New New"/>
    <w:autoRedefine/>
    <w:qFormat/>
    <w:uiPriority w:val="0"/>
    <w:pPr>
      <w:widowControl w:val="0"/>
      <w:jc w:val="both"/>
    </w:pPr>
    <w:rPr>
      <w:rFonts w:ascii="Calibri" w:hAnsi="Calibri" w:eastAsia="宋体" w:cs="Times New Roman"/>
      <w:sz w:val="21"/>
      <w:szCs w:val="24"/>
      <w:lang w:val="en-US" w:eastAsia="zh-CN" w:bidi="ar-SA"/>
    </w:rPr>
  </w:style>
  <w:style w:type="paragraph" w:customStyle="1" w:styleId="545">
    <w:name w:val="Char Char Char Char1"/>
    <w:basedOn w:val="1"/>
    <w:autoRedefine/>
    <w:qFormat/>
    <w:uiPriority w:val="0"/>
    <w:rPr>
      <w:sz w:val="21"/>
    </w:rPr>
  </w:style>
  <w:style w:type="paragraph" w:customStyle="1" w:styleId="546">
    <w:name w:val="表文C"/>
    <w:basedOn w:val="1"/>
    <w:autoRedefine/>
    <w:qFormat/>
    <w:uiPriority w:val="0"/>
    <w:pPr>
      <w:widowControl/>
      <w:tabs>
        <w:tab w:val="left" w:pos="0"/>
      </w:tabs>
      <w:adjustRightInd w:val="0"/>
      <w:snapToGrid w:val="0"/>
    </w:pPr>
    <w:rPr>
      <w:snapToGrid w:val="0"/>
      <w:kern w:val="0"/>
      <w:sz w:val="21"/>
    </w:rPr>
  </w:style>
  <w:style w:type="paragraph" w:customStyle="1" w:styleId="547">
    <w:name w:val="_Style 3"/>
    <w:autoRedefine/>
    <w:qFormat/>
    <w:uiPriority w:val="0"/>
    <w:rPr>
      <w:rFonts w:ascii="Calibri" w:hAnsi="Calibri" w:eastAsia="宋体" w:cs="Times New Roman"/>
      <w:sz w:val="22"/>
      <w:szCs w:val="22"/>
      <w:lang w:val="en-US" w:eastAsia="zh-CN" w:bidi="ar-SA"/>
    </w:rPr>
  </w:style>
  <w:style w:type="paragraph" w:customStyle="1" w:styleId="548">
    <w:name w:val="font0"/>
    <w:basedOn w:val="1"/>
    <w:autoRedefine/>
    <w:qFormat/>
    <w:uiPriority w:val="0"/>
    <w:pPr>
      <w:widowControl/>
      <w:spacing w:before="100" w:beforeAutospacing="1" w:after="100" w:afterAutospacing="1"/>
    </w:pPr>
    <w:rPr>
      <w:rFonts w:hint="eastAsia" w:ascii="宋体" w:hAnsi="宋体"/>
      <w:kern w:val="0"/>
      <w:sz w:val="24"/>
    </w:rPr>
  </w:style>
  <w:style w:type="paragraph" w:customStyle="1" w:styleId="549">
    <w:name w:val="一级条标题"/>
    <w:next w:val="361"/>
    <w:autoRedefine/>
    <w:qFormat/>
    <w:uiPriority w:val="0"/>
    <w:pPr>
      <w:outlineLvl w:val="2"/>
    </w:pPr>
    <w:rPr>
      <w:rFonts w:ascii="Calibri" w:hAnsi="Calibri" w:eastAsia="黑体" w:cs="Times New Roman"/>
      <w:sz w:val="21"/>
      <w:lang w:val="en-US" w:eastAsia="zh-CN" w:bidi="ar-SA"/>
    </w:rPr>
  </w:style>
  <w:style w:type="paragraph" w:customStyle="1" w:styleId="550">
    <w:name w:val="注×："/>
    <w:autoRedefine/>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1">
    <w:name w:val="投标正文"/>
    <w:basedOn w:val="1"/>
    <w:autoRedefine/>
    <w:qFormat/>
    <w:uiPriority w:val="0"/>
    <w:pPr>
      <w:spacing w:line="360" w:lineRule="auto"/>
      <w:ind w:left="100" w:firstLine="480" w:firstLineChars="200"/>
    </w:pPr>
    <w:rPr>
      <w:sz w:val="24"/>
      <w:szCs w:val="24"/>
    </w:rPr>
  </w:style>
  <w:style w:type="paragraph" w:customStyle="1" w:styleId="552">
    <w:name w:val="标题 0"/>
    <w:basedOn w:val="4"/>
    <w:autoRedefine/>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3">
    <w:name w:val="标准标志"/>
    <w:next w:val="1"/>
    <w:autoRedefine/>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4">
    <w:name w:val="条文脚注"/>
    <w:basedOn w:val="70"/>
    <w:autoRedefine/>
    <w:qFormat/>
    <w:uiPriority w:val="0"/>
    <w:pPr>
      <w:ind w:left="780" w:leftChars="200" w:hanging="360" w:hangingChars="200"/>
      <w:jc w:val="both"/>
    </w:pPr>
    <w:rPr>
      <w:rFonts w:ascii="宋体"/>
    </w:rPr>
  </w:style>
  <w:style w:type="paragraph" w:customStyle="1" w:styleId="555">
    <w:name w:val="HTML 地址1"/>
    <w:basedOn w:val="1"/>
    <w:autoRedefine/>
    <w:qFormat/>
    <w:uiPriority w:val="0"/>
    <w:rPr>
      <w:i/>
      <w:kern w:val="0"/>
      <w:sz w:val="20"/>
    </w:rPr>
  </w:style>
  <w:style w:type="paragraph" w:customStyle="1" w:styleId="556">
    <w:name w:val="表格5"/>
    <w:basedOn w:val="557"/>
    <w:autoRedefine/>
    <w:qFormat/>
    <w:uiPriority w:val="0"/>
    <w:pPr>
      <w:ind w:left="1021" w:hanging="284"/>
    </w:pPr>
    <w:rPr>
      <w:rFonts w:ascii="宋体"/>
    </w:rPr>
  </w:style>
  <w:style w:type="paragraph" w:customStyle="1" w:styleId="557">
    <w:name w:val="表格2"/>
    <w:basedOn w:val="1"/>
    <w:autoRedefine/>
    <w:qFormat/>
    <w:uiPriority w:val="0"/>
    <w:pPr>
      <w:adjustRightInd w:val="0"/>
      <w:spacing w:line="420" w:lineRule="atLeast"/>
      <w:ind w:left="284" w:firstLine="454"/>
      <w:textAlignment w:val="baseline"/>
    </w:pPr>
    <w:rPr>
      <w:kern w:val="0"/>
      <w:sz w:val="21"/>
    </w:rPr>
  </w:style>
  <w:style w:type="paragraph" w:customStyle="1" w:styleId="558">
    <w:name w:val="_Style 10"/>
    <w:basedOn w:val="1"/>
    <w:next w:val="1"/>
    <w:autoRedefine/>
    <w:qFormat/>
    <w:uiPriority w:val="0"/>
    <w:rPr>
      <w:sz w:val="21"/>
    </w:rPr>
  </w:style>
  <w:style w:type="paragraph" w:customStyle="1" w:styleId="559">
    <w:name w:val="Char1"/>
    <w:basedOn w:val="1"/>
    <w:autoRedefine/>
    <w:qFormat/>
    <w:uiPriority w:val="0"/>
    <w:rPr>
      <w:rFonts w:ascii="仿宋_GB2312" w:eastAsia="仿宋_GB2312"/>
      <w:b/>
      <w:sz w:val="32"/>
    </w:rPr>
  </w:style>
  <w:style w:type="paragraph" w:customStyle="1" w:styleId="560">
    <w:name w:val="Char Char Char Char Char Char Char Char Char Char Char Char1 Char"/>
    <w:basedOn w:val="27"/>
    <w:autoRedefine/>
    <w:qFormat/>
    <w:uiPriority w:val="0"/>
    <w:rPr>
      <w:rFonts w:ascii="等线" w:hAnsi="等线"/>
      <w:sz w:val="21"/>
    </w:rPr>
  </w:style>
  <w:style w:type="paragraph" w:customStyle="1" w:styleId="561">
    <w:name w:val="Char Char2"/>
    <w:basedOn w:val="1"/>
    <w:autoRedefine/>
    <w:qFormat/>
    <w:uiPriority w:val="0"/>
    <w:rPr>
      <w:rFonts w:ascii="Tahoma" w:hAnsi="Tahoma"/>
      <w:sz w:val="24"/>
    </w:rPr>
  </w:style>
  <w:style w:type="paragraph" w:customStyle="1" w:styleId="562">
    <w:name w:val="目录1"/>
    <w:basedOn w:val="1"/>
    <w:autoRedefine/>
    <w:qFormat/>
    <w:uiPriority w:val="0"/>
    <w:pPr>
      <w:adjustRightInd w:val="0"/>
      <w:spacing w:line="420" w:lineRule="atLeast"/>
      <w:textAlignment w:val="baseline"/>
    </w:pPr>
    <w:rPr>
      <w:rFonts w:eastAsia="黑体"/>
      <w:b/>
      <w:kern w:val="0"/>
      <w:sz w:val="21"/>
    </w:rPr>
  </w:style>
  <w:style w:type="paragraph" w:customStyle="1" w:styleId="563">
    <w:name w:val="收件单位"/>
    <w:basedOn w:val="1"/>
    <w:autoRedefine/>
    <w:qFormat/>
    <w:uiPriority w:val="0"/>
    <w:pPr>
      <w:tabs>
        <w:tab w:val="left" w:pos="1365"/>
      </w:tabs>
      <w:spacing w:beforeLines="100"/>
    </w:pPr>
    <w:rPr>
      <w:rFonts w:eastAsia="华文仿宋"/>
      <w:sz w:val="30"/>
    </w:rPr>
  </w:style>
  <w:style w:type="paragraph" w:customStyle="1" w:styleId="564">
    <w:name w:val="表内居中"/>
    <w:autoRedefine/>
    <w:qFormat/>
    <w:uiPriority w:val="0"/>
    <w:pPr>
      <w:jc w:val="center"/>
    </w:pPr>
    <w:rPr>
      <w:rFonts w:ascii="Calibri" w:hAnsi="Calibri" w:eastAsia="宋体" w:cs="Times New Roman"/>
      <w:lang w:val="en-US" w:eastAsia="zh-CN" w:bidi="ar-SA"/>
    </w:rPr>
  </w:style>
  <w:style w:type="paragraph" w:customStyle="1" w:styleId="565">
    <w:name w:val="封面标准英文名称"/>
    <w:autoRedefine/>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6">
    <w:name w:val="文献分类号"/>
    <w:autoRedefine/>
    <w:qFormat/>
    <w:uiPriority w:val="0"/>
    <w:pPr>
      <w:widowControl w:val="0"/>
      <w:textAlignment w:val="center"/>
    </w:pPr>
    <w:rPr>
      <w:rFonts w:ascii="Calibri" w:hAnsi="Calibri" w:eastAsia="黑体" w:cs="Times New Roman"/>
      <w:sz w:val="21"/>
      <w:lang w:val="en-US" w:eastAsia="zh-CN" w:bidi="ar-SA"/>
    </w:rPr>
  </w:style>
  <w:style w:type="paragraph" w:customStyle="1" w:styleId="567">
    <w:name w:val="封面正文"/>
    <w:autoRedefine/>
    <w:qFormat/>
    <w:uiPriority w:val="0"/>
    <w:pPr>
      <w:jc w:val="both"/>
    </w:pPr>
    <w:rPr>
      <w:rFonts w:ascii="Calibri" w:hAnsi="Calibri" w:eastAsia="宋体" w:cs="Times New Roman"/>
      <w:lang w:val="en-US" w:eastAsia="zh-CN" w:bidi="ar-SA"/>
    </w:rPr>
  </w:style>
  <w:style w:type="paragraph" w:customStyle="1" w:styleId="568">
    <w:name w:val="表格1"/>
    <w:basedOn w:val="1"/>
    <w:autoRedefine/>
    <w:qFormat/>
    <w:uiPriority w:val="0"/>
    <w:pPr>
      <w:adjustRightInd w:val="0"/>
      <w:spacing w:line="420" w:lineRule="atLeast"/>
      <w:ind w:left="284"/>
      <w:textAlignment w:val="baseline"/>
    </w:pPr>
    <w:rPr>
      <w:kern w:val="0"/>
      <w:sz w:val="21"/>
    </w:rPr>
  </w:style>
  <w:style w:type="paragraph" w:customStyle="1" w:styleId="569">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70">
    <w:name w:val="xl2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1">
    <w:name w:val="xl28"/>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2">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3">
    <w:name w:val="附录表标题"/>
    <w:next w:val="361"/>
    <w:autoRedefine/>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4">
    <w:name w:val="_Style 32"/>
    <w:basedOn w:val="1"/>
    <w:next w:val="442"/>
    <w:autoRedefine/>
    <w:qFormat/>
    <w:uiPriority w:val="34"/>
    <w:pPr>
      <w:ind w:firstLine="420" w:firstLineChars="200"/>
    </w:pPr>
  </w:style>
  <w:style w:type="paragraph" w:customStyle="1" w:styleId="575">
    <w:name w:val="日期1"/>
    <w:basedOn w:val="1"/>
    <w:next w:val="1"/>
    <w:autoRedefine/>
    <w:qFormat/>
    <w:uiPriority w:val="0"/>
    <w:pPr>
      <w:ind w:left="100" w:leftChars="2500"/>
    </w:pPr>
    <w:rPr>
      <w:kern w:val="0"/>
      <w:sz w:val="20"/>
    </w:rPr>
  </w:style>
  <w:style w:type="paragraph" w:customStyle="1" w:styleId="576">
    <w:name w:val="xl5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7">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8">
    <w:name w:val="font6"/>
    <w:basedOn w:val="1"/>
    <w:autoRedefine/>
    <w:qFormat/>
    <w:uiPriority w:val="0"/>
    <w:pPr>
      <w:widowControl/>
      <w:spacing w:before="100" w:beforeAutospacing="1" w:after="100" w:afterAutospacing="1"/>
    </w:pPr>
    <w:rPr>
      <w:rFonts w:hint="eastAsia" w:ascii="宋体" w:hAnsi="宋体"/>
      <w:b/>
      <w:kern w:val="0"/>
      <w:sz w:val="36"/>
      <w:u w:val="single"/>
    </w:rPr>
  </w:style>
  <w:style w:type="paragraph" w:customStyle="1" w:styleId="579">
    <w:name w:val="列项——（一级）"/>
    <w:autoRedefine/>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80">
    <w:name w:val="19"/>
    <w:basedOn w:val="1"/>
    <w:autoRedefine/>
    <w:qFormat/>
    <w:uiPriority w:val="0"/>
    <w:pPr>
      <w:widowControl/>
      <w:snapToGrid w:val="0"/>
      <w:spacing w:before="100" w:beforeAutospacing="1" w:after="120" w:line="360" w:lineRule="atLeast"/>
      <w:jc w:val="left"/>
    </w:pPr>
    <w:rPr>
      <w:rFonts w:ascii="宋体" w:hAnsi="宋体"/>
      <w:kern w:val="0"/>
    </w:rPr>
  </w:style>
  <w:style w:type="paragraph" w:customStyle="1" w:styleId="581">
    <w:name w:val="附录五级条标题"/>
    <w:basedOn w:val="413"/>
    <w:next w:val="361"/>
    <w:autoRedefine/>
    <w:qFormat/>
    <w:uiPriority w:val="0"/>
    <w:pPr>
      <w:outlineLvl w:val="6"/>
    </w:pPr>
  </w:style>
  <w:style w:type="paragraph" w:customStyle="1" w:styleId="582">
    <w:name w:val="彩色底纹 - 强调文字颜色 11"/>
    <w:autoRedefine/>
    <w:qFormat/>
    <w:uiPriority w:val="0"/>
    <w:rPr>
      <w:rFonts w:ascii="Calibri" w:hAnsi="Calibri" w:eastAsia="宋体" w:cs="Times New Roman"/>
      <w:kern w:val="2"/>
      <w:sz w:val="21"/>
      <w:lang w:val="en-US" w:eastAsia="zh-CN" w:bidi="ar-SA"/>
    </w:rPr>
  </w:style>
  <w:style w:type="paragraph" w:customStyle="1" w:styleId="583">
    <w:name w:val="xl559"/>
    <w:basedOn w:val="1"/>
    <w:autoRedefine/>
    <w:qFormat/>
    <w:uiPriority w:val="0"/>
    <w:pPr>
      <w:widowControl/>
      <w:spacing w:before="100" w:beforeAutospacing="1" w:after="100" w:afterAutospacing="1"/>
      <w:jc w:val="center"/>
    </w:pPr>
    <w:rPr>
      <w:rFonts w:ascii="宋体" w:hAnsi="宋体"/>
      <w:color w:val="000000"/>
      <w:kern w:val="0"/>
      <w:sz w:val="20"/>
    </w:rPr>
  </w:style>
  <w:style w:type="paragraph" w:customStyle="1" w:styleId="584">
    <w:name w:val="正文内"/>
    <w:basedOn w:val="1"/>
    <w:autoRedefine/>
    <w:qFormat/>
    <w:uiPriority w:val="0"/>
    <w:pPr>
      <w:spacing w:line="400" w:lineRule="exact"/>
      <w:ind w:firstLine="200" w:firstLineChars="200"/>
    </w:pPr>
    <w:rPr>
      <w:rFonts w:ascii="宋体" w:hAnsi="宋体"/>
      <w:sz w:val="21"/>
    </w:rPr>
  </w:style>
  <w:style w:type="paragraph" w:customStyle="1" w:styleId="585">
    <w:name w:val="表"/>
    <w:basedOn w:val="1"/>
    <w:autoRedefine/>
    <w:qFormat/>
    <w:uiPriority w:val="0"/>
    <w:pPr>
      <w:spacing w:line="360" w:lineRule="auto"/>
      <w:jc w:val="center"/>
    </w:pPr>
    <w:rPr>
      <w:color w:val="000000"/>
      <w:sz w:val="21"/>
    </w:rPr>
  </w:style>
  <w:style w:type="paragraph" w:customStyle="1" w:styleId="586">
    <w:name w:val="附录标识"/>
    <w:basedOn w:val="450"/>
    <w:autoRedefine/>
    <w:qFormat/>
    <w:uiPriority w:val="0"/>
    <w:pPr>
      <w:tabs>
        <w:tab w:val="left" w:pos="720"/>
        <w:tab w:val="left" w:pos="6405"/>
      </w:tabs>
      <w:spacing w:after="200"/>
      <w:ind w:left="360" w:hanging="360"/>
    </w:pPr>
    <w:rPr>
      <w:sz w:val="21"/>
    </w:rPr>
  </w:style>
  <w:style w:type="paragraph" w:customStyle="1" w:styleId="587">
    <w:name w:val="正文 A"/>
    <w:autoRedefine/>
    <w:qFormat/>
    <w:uiPriority w:val="0"/>
    <w:rPr>
      <w:rFonts w:ascii="Calibri" w:hAnsi="Calibri" w:eastAsia="ヒラギノ角ゴ Pro W3" w:cs="Times New Roman"/>
      <w:color w:val="000000"/>
      <w:sz w:val="24"/>
      <w:lang w:val="en-US" w:eastAsia="zh-CN" w:bidi="ar-SA"/>
    </w:rPr>
  </w:style>
  <w:style w:type="paragraph" w:customStyle="1" w:styleId="588">
    <w:name w:val="标题C"/>
    <w:autoRedefine/>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590">
    <w:name w:val="默认段落字体 Para Char"/>
    <w:basedOn w:val="1"/>
    <w:autoRedefine/>
    <w:qFormat/>
    <w:uiPriority w:val="0"/>
    <w:pPr>
      <w:tabs>
        <w:tab w:val="left" w:pos="425"/>
      </w:tabs>
      <w:ind w:left="425" w:hanging="425"/>
    </w:pPr>
    <w:rPr>
      <w:sz w:val="21"/>
    </w:rPr>
  </w:style>
  <w:style w:type="paragraph" w:customStyle="1" w:styleId="591">
    <w:name w:val="封面标准文稿类别"/>
    <w:autoRedefine/>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2">
    <w:name w:val="_Style 40"/>
    <w:basedOn w:val="1"/>
    <w:autoRedefine/>
    <w:qFormat/>
    <w:uiPriority w:val="0"/>
    <w:rPr>
      <w:sz w:val="21"/>
    </w:rPr>
  </w:style>
  <w:style w:type="paragraph" w:customStyle="1" w:styleId="593">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4">
    <w:name w:val="注："/>
    <w:next w:val="361"/>
    <w:autoRedefine/>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5">
    <w:name w:val="font7"/>
    <w:basedOn w:val="1"/>
    <w:autoRedefine/>
    <w:qFormat/>
    <w:uiPriority w:val="0"/>
    <w:pPr>
      <w:widowControl/>
      <w:spacing w:before="100" w:beforeAutospacing="1" w:after="100" w:afterAutospacing="1"/>
    </w:pPr>
    <w:rPr>
      <w:rFonts w:hint="eastAsia" w:ascii="宋体" w:hAnsi="宋体"/>
      <w:kern w:val="0"/>
      <w:sz w:val="24"/>
    </w:rPr>
  </w:style>
  <w:style w:type="paragraph" w:customStyle="1" w:styleId="596">
    <w:name w:val="彩色列表 - 强调文字颜色 12"/>
    <w:basedOn w:val="1"/>
    <w:autoRedefine/>
    <w:qFormat/>
    <w:uiPriority w:val="0"/>
    <w:pPr>
      <w:ind w:firstLine="420" w:firstLineChars="200"/>
    </w:pPr>
    <w:rPr>
      <w:sz w:val="21"/>
    </w:rPr>
  </w:style>
  <w:style w:type="paragraph" w:customStyle="1" w:styleId="597">
    <w:name w:val="xl5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8">
    <w:name w:val="xl37"/>
    <w:basedOn w:val="1"/>
    <w:autoRedefine/>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9">
    <w:name w:val="正文样式"/>
    <w:basedOn w:val="1"/>
    <w:autoRedefine/>
    <w:qFormat/>
    <w:uiPriority w:val="0"/>
    <w:pPr>
      <w:ind w:firstLine="480" w:firstLineChars="200"/>
    </w:pPr>
    <w:rPr>
      <w:rFonts w:eastAsia="华文仿宋"/>
      <w:szCs w:val="24"/>
    </w:rPr>
  </w:style>
  <w:style w:type="paragraph" w:customStyle="1" w:styleId="600">
    <w:name w:val="标题D"/>
    <w:autoRedefine/>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1">
    <w:name w:val="正文图标题"/>
    <w:next w:val="361"/>
    <w:autoRedefine/>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2">
    <w:name w:val="表格一"/>
    <w:basedOn w:val="1"/>
    <w:autoRedefine/>
    <w:qFormat/>
    <w:uiPriority w:val="0"/>
    <w:pPr>
      <w:spacing w:line="240" w:lineRule="exact"/>
      <w:ind w:left="105" w:leftChars="50"/>
    </w:pPr>
    <w:rPr>
      <w:sz w:val="18"/>
    </w:rPr>
  </w:style>
  <w:style w:type="paragraph" w:customStyle="1" w:styleId="603">
    <w:name w:val="无间隔3"/>
    <w:autoRedefine/>
    <w:qFormat/>
    <w:uiPriority w:val="0"/>
    <w:pPr>
      <w:adjustRightInd w:val="0"/>
      <w:snapToGrid w:val="0"/>
    </w:pPr>
    <w:rPr>
      <w:rFonts w:ascii="Tahoma" w:hAnsi="Tahoma" w:eastAsia="微软雅黑" w:cs="Tahoma"/>
      <w:sz w:val="22"/>
      <w:szCs w:val="22"/>
      <w:lang w:val="en-US" w:eastAsia="zh-CN" w:bidi="ar-SA"/>
    </w:rPr>
  </w:style>
  <w:style w:type="paragraph" w:customStyle="1" w:styleId="604">
    <w:name w:val="Heading #2|1"/>
    <w:basedOn w:val="1"/>
    <w:autoRedefine/>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605">
    <w:name w:val="Body text|1"/>
    <w:basedOn w:val="1"/>
    <w:autoRedefine/>
    <w:qFormat/>
    <w:uiPriority w:val="0"/>
    <w:pPr>
      <w:spacing w:line="401" w:lineRule="auto"/>
      <w:ind w:firstLine="400"/>
    </w:pPr>
    <w:rPr>
      <w:rFonts w:ascii="宋体" w:hAnsi="宋体" w:cs="宋体"/>
      <w:sz w:val="30"/>
      <w:szCs w:val="30"/>
      <w:lang w:val="zh-TW" w:eastAsia="zh-TW" w:bidi="zh-TW"/>
    </w:rPr>
  </w:style>
  <w:style w:type="paragraph" w:customStyle="1" w:styleId="606">
    <w:name w:val="Body text|3"/>
    <w:basedOn w:val="1"/>
    <w:autoRedefine/>
    <w:qFormat/>
    <w:uiPriority w:val="0"/>
    <w:rPr>
      <w:rFonts w:ascii="宋体" w:hAnsi="宋体" w:cs="宋体"/>
      <w:sz w:val="17"/>
      <w:szCs w:val="17"/>
      <w:lang w:val="zh-TW" w:eastAsia="zh-TW" w:bidi="zh-TW"/>
    </w:rPr>
  </w:style>
  <w:style w:type="paragraph" w:styleId="607">
    <w:name w:val="List Paragraph"/>
    <w:basedOn w:val="1"/>
    <w:autoRedefine/>
    <w:qFormat/>
    <w:uiPriority w:val="0"/>
    <w:pPr>
      <w:ind w:firstLine="420" w:firstLineChars="200"/>
    </w:pPr>
    <w:rPr>
      <w:rFonts w:eastAsia="仿宋_GB2312"/>
      <w:szCs w:val="22"/>
    </w:rPr>
  </w:style>
  <w:style w:type="paragraph" w:styleId="608">
    <w:name w:val="No Spacing"/>
    <w:autoRedefine/>
    <w:qFormat/>
    <w:uiPriority w:val="0"/>
    <w:rPr>
      <w:rFonts w:ascii="Calibri" w:hAnsi="Calibri" w:eastAsia="宋体" w:cs="Times New Roman"/>
      <w:sz w:val="22"/>
      <w:szCs w:val="22"/>
      <w:lang w:val="en-US" w:eastAsia="en-US" w:bidi="en-US"/>
    </w:rPr>
  </w:style>
  <w:style w:type="paragraph" w:customStyle="1" w:styleId="609">
    <w:name w:val="纯文本11"/>
    <w:autoRedefine/>
    <w:qFormat/>
    <w:uiPriority w:val="99"/>
    <w:pPr>
      <w:widowControl w:val="0"/>
      <w:jc w:val="both"/>
    </w:pPr>
    <w:rPr>
      <w:rFonts w:ascii="宋体" w:hAnsi="宋体" w:eastAsia="宋体" w:cs="宋体"/>
      <w:color w:val="000000"/>
      <w:kern w:val="2"/>
      <w:sz w:val="21"/>
      <w:szCs w:val="21"/>
      <w:lang w:val="en-US" w:eastAsia="zh-CN" w:bidi="ar-SA"/>
    </w:rPr>
  </w:style>
  <w:style w:type="paragraph" w:customStyle="1" w:styleId="610">
    <w:name w:val="HtmlNormal"/>
    <w:basedOn w:val="1"/>
    <w:autoRedefine/>
    <w:qFormat/>
    <w:uiPriority w:val="0"/>
    <w:pPr>
      <w:spacing w:before="100" w:beforeAutospacing="1" w:after="100" w:afterAutospacing="1" w:line="240" w:lineRule="auto"/>
      <w:ind w:left="0" w:right="0"/>
      <w:jc w:val="left"/>
    </w:pPr>
    <w:rPr>
      <w:rFonts w:ascii="Calibri" w:hAnsi="Calibri" w:eastAsia="宋体"/>
      <w:kern w:val="0"/>
      <w:sz w:val="24"/>
      <w:szCs w:val="24"/>
      <w:lang w:val="en-US" w:eastAsia="zh-CN"/>
    </w:rPr>
  </w:style>
  <w:style w:type="character" w:customStyle="1" w:styleId="611">
    <w:name w:val="large1"/>
    <w:autoRedefine/>
    <w:qFormat/>
    <w:uiPriority w:val="0"/>
    <w:rPr>
      <w:rFonts w:hint="eastAsia" w:ascii="宋体" w:hAnsi="宋体" w:eastAsia="宋体"/>
      <w:sz w:val="21"/>
      <w:szCs w:val="21"/>
    </w:rPr>
  </w:style>
  <w:style w:type="table" w:customStyle="1" w:styleId="612">
    <w:name w:val="表格feshoo"/>
    <w:basedOn w:val="90"/>
    <w:autoRedefine/>
    <w:qFormat/>
    <w:uiPriority w:val="99"/>
    <w:pPr>
      <w:jc w:val="both"/>
    </w:pPr>
    <w:rPr>
      <w:rFonts w:asciiTheme="minorEastAsia"/>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vAlign w:val="center"/>
    </w:tcPr>
    <w:tblStylePr w:type="firstRow">
      <w:pPr>
        <w:jc w:val="center"/>
      </w:pPr>
      <w:rPr>
        <w:rFonts w:asciiTheme="minorEastAsia" w:eastAsiaTheme="minorEastAsia"/>
        <w:b/>
        <w:i w:val="0"/>
        <w:sz w:val="24"/>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BE5F1" w:themeFill="accent1" w:themeFillTint="33"/>
      </w:tcPr>
    </w:tblStylePr>
  </w:style>
  <w:style w:type="paragraph" w:customStyle="1" w:styleId="613">
    <w:name w:val="TOC Heading"/>
    <w:basedOn w:val="4"/>
    <w:next w:val="1"/>
    <w:autoRedefine/>
    <w:unhideWhenUsed/>
    <w:qFormat/>
    <w:uiPriority w:val="39"/>
    <w:pPr>
      <w:widowControl/>
      <w:numPr>
        <w:ilvl w:val="0"/>
        <w:numId w:val="0"/>
      </w:numPr>
      <w:pBdr>
        <w:bottom w:val="none" w:color="auto" w:sz="0" w:space="0"/>
      </w:pBdr>
      <w:spacing w:before="240" w:after="0" w:line="259" w:lineRule="auto"/>
      <w:jc w:val="center"/>
      <w:outlineLvl w:val="9"/>
    </w:pPr>
    <w:rPr>
      <w:rFonts w:asciiTheme="majorHAnsi" w:hAnsiTheme="majorHAnsi" w:eastAsiaTheme="majorEastAsia" w:cstheme="majorBidi"/>
      <w:b w:val="0"/>
      <w:color w:val="376092" w:themeColor="accent1" w:themeShade="BF"/>
      <w:kern w:val="0"/>
      <w:sz w:val="32"/>
      <w:szCs w:val="32"/>
    </w:rPr>
  </w:style>
  <w:style w:type="paragraph" w:customStyle="1" w:styleId="614">
    <w:name w:val="_正文段落"/>
    <w:basedOn w:val="1"/>
    <w:autoRedefine/>
    <w:qFormat/>
    <w:uiPriority w:val="0"/>
    <w:pPr>
      <w:spacing w:line="360" w:lineRule="auto"/>
      <w:ind w:firstLine="200" w:firstLineChars="200"/>
    </w:pPr>
    <w:rPr>
      <w:rFonts w:ascii="宋体" w:hAnsi="宋体" w:eastAsiaTheme="minorEastAsia"/>
      <w:sz w:val="24"/>
      <w:szCs w:val="24"/>
    </w:rPr>
  </w:style>
  <w:style w:type="character" w:customStyle="1" w:styleId="615">
    <w:name w:val="Hyperlink.3"/>
    <w:basedOn w:val="616"/>
    <w:autoRedefine/>
    <w:qFormat/>
    <w:uiPriority w:val="99"/>
    <w:rPr>
      <w:rFonts w:ascii="宋体" w:hAnsi="宋体" w:eastAsia="宋体" w:cs="宋体"/>
      <w:lang w:val="en-US"/>
    </w:rPr>
  </w:style>
  <w:style w:type="character" w:customStyle="1" w:styleId="616">
    <w:name w:val="无"/>
    <w:autoRedefine/>
    <w:qFormat/>
    <w:uiPriority w:val="99"/>
  </w:style>
  <w:style w:type="paragraph" w:customStyle="1" w:styleId="617">
    <w:name w:val="默认"/>
    <w:autoRedefine/>
    <w:qFormat/>
    <w:uiPriority w:val="0"/>
    <w:rPr>
      <w:rFonts w:ascii="Arial Unicode MS" w:hAnsi="Arial Unicode MS" w:eastAsia="Arial Unicode MS" w:cs="Arial Unicode MS"/>
      <w:color w:val="000000"/>
      <w:sz w:val="22"/>
      <w:szCs w:val="22"/>
      <w:lang w:val="zh-TW" w:eastAsia="zh-TW" w:bidi="ar-SA"/>
    </w:rPr>
  </w:style>
  <w:style w:type="paragraph" w:customStyle="1" w:styleId="618">
    <w:name w:val="正文缩进2格"/>
    <w:autoRedefine/>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character" w:customStyle="1" w:styleId="619">
    <w:name w:val="font51"/>
    <w:basedOn w:val="92"/>
    <w:autoRedefine/>
    <w:qFormat/>
    <w:uiPriority w:val="0"/>
    <w:rPr>
      <w:rFonts w:ascii="Calibri" w:hAnsi="Calibri" w:cs="Calibri"/>
      <w:color w:val="000000"/>
      <w:sz w:val="24"/>
      <w:szCs w:val="24"/>
      <w:u w:val="none"/>
    </w:rPr>
  </w:style>
  <w:style w:type="paragraph" w:customStyle="1" w:styleId="620">
    <w:name w:val="No Spacing1"/>
    <w:autoRedefine/>
    <w:qFormat/>
    <w:uiPriority w:val="0"/>
    <w:rPr>
      <w:rFonts w:ascii="Calibri" w:hAnsi="Calibri" w:eastAsia="??" w:cs="宋体"/>
      <w:sz w:val="22"/>
      <w:szCs w:val="22"/>
      <w:lang w:val="en-US" w:eastAsia="en-US" w:bidi="ar-SA"/>
    </w:rPr>
  </w:style>
  <w:style w:type="paragraph" w:customStyle="1" w:styleId="621">
    <w:name w:val="首行缩进"/>
    <w:basedOn w:val="1"/>
    <w:autoRedefine/>
    <w:qFormat/>
    <w:uiPriority w:val="0"/>
    <w:pPr>
      <w:spacing w:line="360" w:lineRule="auto"/>
      <w:ind w:firstLine="480" w:firstLineChars="200"/>
    </w:pPr>
    <w:rPr>
      <w:rFonts w:hAnsi="宋体" w:cs="宋体"/>
      <w:sz w:val="24"/>
    </w:rPr>
  </w:style>
  <w:style w:type="paragraph" w:customStyle="1" w:styleId="622">
    <w:name w:val="Body Text First Indent1"/>
    <w:basedOn w:val="35"/>
    <w:next w:val="1"/>
    <w:autoRedefine/>
    <w:qFormat/>
    <w:uiPriority w:val="0"/>
    <w:pPr>
      <w:adjustRightInd w:val="0"/>
      <w:spacing w:line="360" w:lineRule="auto"/>
      <w:ind w:firstLine="420"/>
      <w:textAlignment w:val="baseline"/>
    </w:pPr>
    <w:rPr>
      <w:rFonts w:eastAsia="楷体_GB2312"/>
      <w:sz w:val="24"/>
    </w:rPr>
  </w:style>
  <w:style w:type="paragraph" w:customStyle="1" w:styleId="623">
    <w:name w:val="BodyText1I2"/>
    <w:next w:val="1"/>
    <w:autoRedefine/>
    <w:qFormat/>
    <w:uiPriority w:val="0"/>
    <w:pPr>
      <w:widowControl w:val="0"/>
      <w:tabs>
        <w:tab w:val="left" w:pos="435"/>
      </w:tabs>
      <w:spacing w:after="120" w:line="360" w:lineRule="auto"/>
      <w:ind w:left="420" w:leftChars="200" w:firstLine="420" w:firstLineChars="200"/>
      <w:jc w:val="both"/>
      <w:textAlignment w:val="baseline"/>
    </w:pPr>
    <w:rPr>
      <w:rFonts w:ascii="宋体" w:hAnsi="宋体" w:eastAsia="宋体" w:cs="Times New Roman"/>
      <w:kern w:val="2"/>
      <w:sz w:val="28"/>
      <w:szCs w:val="22"/>
      <w:lang w:val="en-US" w:eastAsia="zh-CN" w:bidi="ar-SA"/>
    </w:rPr>
  </w:style>
  <w:style w:type="paragraph" w:customStyle="1" w:styleId="624">
    <w:name w:val="正文空2字"/>
    <w:basedOn w:val="62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5">
    <w:name w:val="左对齐正文"/>
    <w:autoRedefine/>
    <w:qFormat/>
    <w:uiPriority w:val="99"/>
    <w:rPr>
      <w:rFonts w:ascii="Calibri" w:hAnsi="Calibri" w:eastAsia="仿宋_GB2312" w:cs="Calibri"/>
      <w:kern w:val="2"/>
      <w:sz w:val="32"/>
      <w:szCs w:val="32"/>
      <w:lang w:val="en-US" w:eastAsia="zh-CN" w:bidi="ar-SA"/>
    </w:rPr>
  </w:style>
  <w:style w:type="paragraph" w:customStyle="1" w:styleId="626">
    <w:name w:val="Table Text"/>
    <w:basedOn w:val="1"/>
    <w:autoRedefine/>
    <w:qFormat/>
    <w:uiPriority w:val="0"/>
    <w:pPr>
      <w:widowControl/>
      <w:spacing w:before="60" w:after="60"/>
      <w:jc w:val="left"/>
    </w:pPr>
    <w:rPr>
      <w:kern w:val="0"/>
      <w:sz w:val="24"/>
    </w:rPr>
  </w:style>
  <w:style w:type="table" w:customStyle="1" w:styleId="62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19798</Words>
  <Characters>20474</Characters>
  <Lines>251</Lines>
  <Paragraphs>70</Paragraphs>
  <TotalTime>0</TotalTime>
  <ScaleCrop>false</ScaleCrop>
  <LinksUpToDate>false</LinksUpToDate>
  <CharactersWithSpaces>20691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2021-10-30T09:56:00Z</dcterms:created>
  <dc:creator>yht</dc:creator>
  <cp:lastModifiedBy>Lok'tar</cp:lastModifiedBy>
  <cp:lastPrinted>2024-05-18T03:03:00Z</cp:lastPrinted>
  <dcterms:modified xsi:type="dcterms:W3CDTF">2025-06-25T12:30:24Z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7B8AD55FCCB14A87B99E41B3DA3CAF8E</vt:lpwstr>
  </property>
  <property fmtid="{D5CDD505-2E9C-101B-9397-08002B2CF9AE}" pid="4" name="KSOTemplateDocerSaveRecord">
    <vt:lpwstr>eyJoZGlkIjoiN2Y4ZjU4NDhmODBiNDg4YmFhNDE2NThiYTQzZjcxYTgiLCJ1c2VySWQiOiIyNDkwOTc5ODQifQ==</vt:lpwstr>
  </property>
</Properties>
</file>