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40A24">
      <w:pPr>
        <w:spacing w:line="360" w:lineRule="auto"/>
        <w:jc w:val="center"/>
        <w:rPr>
          <w:rFonts w:ascii="宋体" w:hAnsi="宋体" w:cs="宋体"/>
          <w:b/>
          <w:color w:val="auto"/>
          <w:sz w:val="44"/>
          <w:szCs w:val="44"/>
          <w:highlight w:val="none"/>
        </w:rPr>
      </w:pPr>
    </w:p>
    <w:p w14:paraId="707325EE">
      <w:pPr>
        <w:adjustRightInd/>
        <w:spacing w:line="360" w:lineRule="auto"/>
        <w:jc w:val="center"/>
        <w:rPr>
          <w:rFonts w:ascii="宋体" w:hAnsi="宋体" w:cs="宋体"/>
          <w:b/>
          <w:color w:val="auto"/>
          <w:sz w:val="48"/>
          <w:szCs w:val="48"/>
          <w:highlight w:val="none"/>
        </w:rPr>
      </w:pPr>
    </w:p>
    <w:p w14:paraId="0C32AC7B">
      <w:pPr>
        <w:adjustRightInd/>
        <w:spacing w:line="360" w:lineRule="auto"/>
        <w:jc w:val="center"/>
        <w:rPr>
          <w:rFonts w:hint="default" w:ascii="宋体" w:hAnsi="宋体" w:cs="宋体"/>
          <w:color w:val="auto"/>
          <w:spacing w:val="-23"/>
          <w:sz w:val="52"/>
          <w:szCs w:val="52"/>
          <w:highlight w:val="none"/>
          <w:lang w:val="en-US" w:eastAsia="zh-CN"/>
        </w:rPr>
      </w:pPr>
      <w:r>
        <w:rPr>
          <w:rFonts w:hint="eastAsia" w:ascii="宋体" w:hAnsi="宋体" w:cs="宋体"/>
          <w:color w:val="auto"/>
          <w:spacing w:val="-23"/>
          <w:sz w:val="52"/>
          <w:szCs w:val="52"/>
          <w:highlight w:val="none"/>
          <w:lang w:eastAsia="zh-CN"/>
        </w:rPr>
        <w:t>下应街道社区卫生服务中心医康养护一体化建设</w:t>
      </w:r>
      <w:r>
        <w:rPr>
          <w:rFonts w:hint="eastAsia" w:ascii="宋体" w:hAnsi="宋体" w:cs="宋体"/>
          <w:color w:val="auto"/>
          <w:spacing w:val="-23"/>
          <w:sz w:val="52"/>
          <w:szCs w:val="52"/>
          <w:highlight w:val="none"/>
          <w:lang w:val="en-US" w:eastAsia="zh-CN"/>
        </w:rPr>
        <w:t>项目</w:t>
      </w:r>
    </w:p>
    <w:p w14:paraId="2108AFE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A76AA5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4E11F983">
      <w:pPr>
        <w:snapToGrid w:val="0"/>
        <w:spacing w:line="360" w:lineRule="auto"/>
        <w:jc w:val="center"/>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w:t>
      </w:r>
      <w:r>
        <w:rPr>
          <w:rFonts w:hint="eastAsia" w:ascii="宋体" w:hAnsi="宋体" w:cs="宋体"/>
          <w:color w:val="auto"/>
          <w:sz w:val="30"/>
          <w:szCs w:val="30"/>
          <w:highlight w:val="none"/>
          <w:lang w:val="en-US" w:eastAsia="zh-CN"/>
        </w:rPr>
        <w:t>号：ZJLD-2025212</w:t>
      </w:r>
    </w:p>
    <w:p w14:paraId="0B253BEC">
      <w:pPr>
        <w:adjustRightInd/>
        <w:spacing w:line="360" w:lineRule="auto"/>
        <w:rPr>
          <w:rFonts w:ascii="宋体" w:hAnsi="宋体" w:cs="宋体"/>
          <w:color w:val="auto"/>
          <w:sz w:val="28"/>
          <w:szCs w:val="20"/>
          <w:highlight w:val="none"/>
        </w:rPr>
      </w:pPr>
    </w:p>
    <w:p w14:paraId="05A0A6C6">
      <w:pPr>
        <w:spacing w:line="360" w:lineRule="auto"/>
        <w:jc w:val="center"/>
        <w:rPr>
          <w:rFonts w:hint="eastAsia" w:ascii="宋体" w:hAnsi="宋体" w:cs="宋体"/>
          <w:b/>
          <w:color w:val="auto"/>
          <w:sz w:val="44"/>
          <w:szCs w:val="44"/>
          <w:highlight w:val="none"/>
        </w:rPr>
      </w:pPr>
    </w:p>
    <w:p w14:paraId="1C6598CF">
      <w:pPr>
        <w:spacing w:line="360" w:lineRule="auto"/>
        <w:jc w:val="center"/>
        <w:rPr>
          <w:rFonts w:hint="eastAsia" w:ascii="宋体" w:hAnsi="宋体" w:cs="宋体"/>
          <w:b/>
          <w:color w:val="auto"/>
          <w:sz w:val="44"/>
          <w:szCs w:val="44"/>
          <w:highlight w:val="none"/>
        </w:rPr>
      </w:pPr>
    </w:p>
    <w:p w14:paraId="1519DC8A">
      <w:pPr>
        <w:spacing w:line="360" w:lineRule="auto"/>
        <w:jc w:val="both"/>
        <w:rPr>
          <w:rFonts w:ascii="宋体" w:hAnsi="宋体" w:cs="宋体"/>
          <w:b/>
          <w:color w:val="auto"/>
          <w:sz w:val="44"/>
          <w:szCs w:val="44"/>
          <w:highlight w:val="none"/>
        </w:rPr>
      </w:pPr>
    </w:p>
    <w:p w14:paraId="31F15320">
      <w:pPr>
        <w:spacing w:line="360" w:lineRule="auto"/>
        <w:rPr>
          <w:rFonts w:ascii="宋体" w:hAnsi="宋体" w:cs="宋体"/>
          <w:color w:val="auto"/>
          <w:sz w:val="32"/>
          <w:szCs w:val="32"/>
          <w:highlight w:val="none"/>
        </w:rPr>
      </w:pPr>
    </w:p>
    <w:p w14:paraId="5C89EF4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w:t>
      </w:r>
      <w:r>
        <w:rPr>
          <w:rFonts w:hint="eastAsia" w:ascii="宋体" w:hAnsi="宋体" w:cs="宋体"/>
          <w:color w:val="auto"/>
          <w:sz w:val="32"/>
          <w:szCs w:val="32"/>
          <w:highlight w:val="none"/>
          <w:lang w:val="en-US" w:eastAsia="zh-CN"/>
        </w:rPr>
        <w:t>人</w:t>
      </w:r>
      <w:r>
        <w:rPr>
          <w:rFonts w:hint="eastAsia" w:ascii="宋体" w:hAnsi="宋体" w:cs="宋体"/>
          <w:color w:val="auto"/>
          <w:sz w:val="32"/>
          <w:szCs w:val="32"/>
          <w:highlight w:val="none"/>
        </w:rPr>
        <w:t xml:space="preserve">：宁波市鄞州区下应街道社区卫生服务中心   </w:t>
      </w:r>
    </w:p>
    <w:p w14:paraId="7DC3424C">
      <w:pPr>
        <w:spacing w:line="360" w:lineRule="auto"/>
        <w:jc w:val="center"/>
        <w:rPr>
          <w:rFonts w:hint="eastAsia" w:ascii="宋体" w:hAnsi="宋体" w:cs="宋体"/>
          <w:bCs/>
          <w:color w:val="auto"/>
          <w:sz w:val="32"/>
          <w:szCs w:val="32"/>
          <w:highlight w:val="none"/>
        </w:rPr>
      </w:pPr>
    </w:p>
    <w:p w14:paraId="53C195F4">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采购代理机构：浙江联达工程项目管理有限公司</w:t>
      </w:r>
    </w:p>
    <w:p w14:paraId="2C4EE242">
      <w:pPr>
        <w:snapToGrid w:val="0"/>
        <w:spacing w:line="360" w:lineRule="auto"/>
        <w:jc w:val="center"/>
        <w:rPr>
          <w:rFonts w:hint="eastAsia" w:ascii="宋体" w:hAnsi="宋体" w:cs="宋体"/>
          <w:bCs/>
          <w:color w:val="auto"/>
          <w:sz w:val="32"/>
          <w:szCs w:val="32"/>
          <w:highlight w:val="yellow"/>
        </w:rPr>
      </w:pPr>
    </w:p>
    <w:p w14:paraId="07A8128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ED71D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519ED2B">
      <w:pPr>
        <w:spacing w:line="360" w:lineRule="auto"/>
        <w:jc w:val="center"/>
        <w:rPr>
          <w:rFonts w:ascii="宋体" w:hAnsi="宋体" w:cs="宋体"/>
          <w:color w:val="auto"/>
          <w:sz w:val="24"/>
          <w:highlight w:val="none"/>
        </w:rPr>
      </w:pPr>
    </w:p>
    <w:p w14:paraId="37E7F5C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95FFBA6">
      <w:pPr>
        <w:spacing w:line="360" w:lineRule="auto"/>
        <w:rPr>
          <w:rFonts w:ascii="宋体" w:hAnsi="宋体" w:cs="宋体"/>
          <w:color w:val="auto"/>
          <w:sz w:val="32"/>
          <w:szCs w:val="32"/>
          <w:highlight w:val="none"/>
        </w:rPr>
      </w:pPr>
    </w:p>
    <w:p w14:paraId="2D7D304C">
      <w:pPr>
        <w:spacing w:line="360" w:lineRule="auto"/>
        <w:rPr>
          <w:rFonts w:ascii="宋体" w:hAnsi="宋体" w:cs="宋体"/>
          <w:color w:val="auto"/>
          <w:sz w:val="32"/>
          <w:szCs w:val="32"/>
          <w:highlight w:val="none"/>
        </w:rPr>
      </w:pPr>
    </w:p>
    <w:p w14:paraId="164ECDA4">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_Toc7957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 竞争性磋商公告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_Toc7957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5837D530">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_Toc21235 </w:instrText>
      </w:r>
      <w:r>
        <w:rPr>
          <w:rFonts w:hint="eastAsia" w:ascii="宋体" w:hAnsi="宋体" w:eastAsia="宋体" w:cs="宋体"/>
          <w:sz w:val="32"/>
          <w:szCs w:val="32"/>
          <w:highlight w:val="none"/>
        </w:rPr>
        <w:fldChar w:fldCharType="separate"/>
      </w:r>
      <w:r>
        <w:rPr>
          <w:rFonts w:hint="eastAsia" w:ascii="宋体" w:hAnsi="宋体" w:eastAsia="宋体" w:cs="宋体"/>
          <w:snapToGrid/>
          <w:sz w:val="32"/>
          <w:szCs w:val="32"/>
          <w:highlight w:val="none"/>
        </w:rPr>
        <w:t>第二部分 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_Toc21235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12FD5D73">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_Toc12835 </w:instrText>
      </w:r>
      <w:r>
        <w:rPr>
          <w:rFonts w:hint="eastAsia" w:ascii="宋体" w:hAnsi="宋体" w:eastAsia="宋体" w:cs="宋体"/>
          <w:sz w:val="32"/>
          <w:szCs w:val="32"/>
          <w:highlight w:val="none"/>
        </w:rPr>
        <w:fldChar w:fldCharType="separate"/>
      </w:r>
      <w:r>
        <w:rPr>
          <w:rFonts w:hint="eastAsia" w:ascii="宋体" w:hAnsi="宋体" w:eastAsia="宋体" w:cs="宋体"/>
          <w:snapToGrid/>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_Toc12835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58832A2E">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_Toc8460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评审办法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_Toc8460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27</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727CA296">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_Toc8825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_Toc8825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36</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572AD6DB">
      <w:pPr>
        <w:pStyle w:val="42"/>
        <w:tabs>
          <w:tab w:val="right" w:leader="dot" w:pos="9025"/>
        </w:tabs>
        <w:spacing w:line="360" w:lineRule="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_Toc30607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_Toc30607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57</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2839EBC6">
      <w:pPr>
        <w:spacing w:line="360" w:lineRule="auto"/>
        <w:ind w:firstLine="1280" w:firstLineChars="400"/>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p w14:paraId="6BFCB3D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2869525">
      <w:pPr>
        <w:spacing w:line="360" w:lineRule="auto"/>
        <w:ind w:firstLine="549" w:firstLineChars="229"/>
        <w:rPr>
          <w:rFonts w:ascii="宋体" w:hAnsi="宋体" w:cs="宋体"/>
          <w:color w:val="auto"/>
          <w:sz w:val="24"/>
          <w:highlight w:val="none"/>
        </w:rPr>
      </w:pPr>
    </w:p>
    <w:p w14:paraId="77CCA222">
      <w:pPr>
        <w:spacing w:line="360" w:lineRule="auto"/>
        <w:ind w:firstLine="549" w:firstLineChars="229"/>
        <w:rPr>
          <w:rFonts w:ascii="宋体" w:hAnsi="宋体" w:cs="宋体"/>
          <w:color w:val="auto"/>
          <w:sz w:val="24"/>
          <w:highlight w:val="none"/>
        </w:rPr>
      </w:pPr>
    </w:p>
    <w:p w14:paraId="00F1B19D">
      <w:pPr>
        <w:spacing w:line="360" w:lineRule="auto"/>
        <w:ind w:firstLine="549" w:firstLineChars="229"/>
        <w:rPr>
          <w:rFonts w:ascii="宋体" w:hAnsi="宋体" w:cs="宋体"/>
          <w:color w:val="auto"/>
          <w:sz w:val="24"/>
          <w:highlight w:val="none"/>
        </w:rPr>
      </w:pPr>
    </w:p>
    <w:p w14:paraId="2A1E1D8C">
      <w:pPr>
        <w:spacing w:line="360" w:lineRule="auto"/>
        <w:ind w:firstLine="549" w:firstLineChars="229"/>
        <w:rPr>
          <w:rFonts w:ascii="宋体" w:hAnsi="宋体" w:cs="宋体"/>
          <w:color w:val="auto"/>
          <w:sz w:val="24"/>
          <w:highlight w:val="none"/>
        </w:rPr>
      </w:pPr>
    </w:p>
    <w:p w14:paraId="56BCDE59">
      <w:pPr>
        <w:spacing w:line="360" w:lineRule="auto"/>
        <w:ind w:firstLine="549" w:firstLineChars="229"/>
        <w:rPr>
          <w:rFonts w:ascii="宋体" w:hAnsi="宋体" w:cs="宋体"/>
          <w:color w:val="auto"/>
          <w:sz w:val="24"/>
          <w:highlight w:val="none"/>
        </w:rPr>
      </w:pPr>
    </w:p>
    <w:p w14:paraId="42008DC0">
      <w:pPr>
        <w:spacing w:line="360" w:lineRule="auto"/>
        <w:ind w:firstLine="549" w:firstLineChars="229"/>
        <w:rPr>
          <w:rFonts w:ascii="宋体" w:hAnsi="宋体" w:cs="宋体"/>
          <w:color w:val="auto"/>
          <w:sz w:val="24"/>
          <w:highlight w:val="none"/>
        </w:rPr>
      </w:pPr>
    </w:p>
    <w:p w14:paraId="59C79358">
      <w:pPr>
        <w:spacing w:line="360" w:lineRule="auto"/>
        <w:ind w:firstLine="549" w:firstLineChars="229"/>
        <w:rPr>
          <w:rFonts w:ascii="宋体" w:hAnsi="宋体" w:cs="宋体"/>
          <w:color w:val="auto"/>
          <w:sz w:val="24"/>
          <w:highlight w:val="none"/>
        </w:rPr>
      </w:pPr>
    </w:p>
    <w:p w14:paraId="77034A13">
      <w:pPr>
        <w:spacing w:line="360" w:lineRule="auto"/>
        <w:ind w:firstLine="549" w:firstLineChars="229"/>
        <w:rPr>
          <w:rFonts w:ascii="宋体" w:hAnsi="宋体" w:cs="宋体"/>
          <w:color w:val="auto"/>
          <w:sz w:val="24"/>
          <w:highlight w:val="none"/>
        </w:rPr>
      </w:pPr>
    </w:p>
    <w:p w14:paraId="72B3EA69">
      <w:pPr>
        <w:spacing w:line="360" w:lineRule="auto"/>
        <w:ind w:firstLine="549" w:firstLineChars="229"/>
        <w:rPr>
          <w:rFonts w:ascii="宋体" w:hAnsi="宋体" w:cs="宋体"/>
          <w:color w:val="auto"/>
          <w:sz w:val="24"/>
          <w:highlight w:val="none"/>
        </w:rPr>
      </w:pPr>
    </w:p>
    <w:p w14:paraId="5494A6C7">
      <w:pPr>
        <w:spacing w:line="360" w:lineRule="auto"/>
        <w:ind w:firstLine="549" w:firstLineChars="229"/>
        <w:rPr>
          <w:rFonts w:ascii="宋体" w:hAnsi="宋体" w:cs="宋体"/>
          <w:color w:val="auto"/>
          <w:sz w:val="24"/>
          <w:highlight w:val="none"/>
        </w:rPr>
      </w:pPr>
    </w:p>
    <w:p w14:paraId="47B4955F">
      <w:pPr>
        <w:spacing w:line="360" w:lineRule="auto"/>
        <w:ind w:firstLine="549" w:firstLineChars="229"/>
        <w:rPr>
          <w:rFonts w:ascii="宋体" w:hAnsi="宋体" w:cs="宋体"/>
          <w:color w:val="auto"/>
          <w:sz w:val="24"/>
          <w:highlight w:val="none"/>
        </w:rPr>
      </w:pPr>
    </w:p>
    <w:p w14:paraId="4E8D63F0">
      <w:pPr>
        <w:spacing w:line="360" w:lineRule="auto"/>
        <w:ind w:firstLine="549" w:firstLineChars="229"/>
        <w:rPr>
          <w:rFonts w:ascii="宋体" w:hAnsi="宋体" w:cs="宋体"/>
          <w:color w:val="auto"/>
          <w:sz w:val="24"/>
          <w:highlight w:val="none"/>
        </w:rPr>
      </w:pPr>
    </w:p>
    <w:p w14:paraId="17937B03">
      <w:pPr>
        <w:spacing w:line="360" w:lineRule="auto"/>
        <w:rPr>
          <w:rFonts w:ascii="宋体" w:hAnsi="宋体" w:cs="宋体"/>
          <w:color w:val="auto"/>
          <w:sz w:val="24"/>
          <w:highlight w:val="none"/>
        </w:rPr>
      </w:pPr>
    </w:p>
    <w:p w14:paraId="6592204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_Toc7957"/>
      <w:bookmarkStart w:id="9" w:name="第二部分"/>
      <w:bookmarkStart w:id="10" w:name="_Toc91899870"/>
      <w:bookmarkStart w:id="11" w:name="_Toc91899871"/>
      <w:r>
        <w:rPr>
          <w:rFonts w:hint="eastAsia" w:ascii="宋体" w:hAnsi="宋体" w:cs="宋体"/>
          <w:b/>
          <w:color w:val="auto"/>
          <w:sz w:val="36"/>
          <w:szCs w:val="20"/>
          <w:highlight w:val="none"/>
        </w:rPr>
        <w:t>第一部分 竞争性磋商公告</w:t>
      </w:r>
      <w:bookmarkEnd w:id="8"/>
    </w:p>
    <w:p w14:paraId="02370C6B">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862B00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下应街道社区卫生服务中心医康养护一体化建设项目</w:t>
      </w:r>
      <w:r>
        <w:rPr>
          <w:rFonts w:hint="eastAsia" w:ascii="宋体" w:hAnsi="宋体" w:eastAsia="宋体" w:cs="宋体"/>
          <w:color w:val="auto"/>
          <w:sz w:val="21"/>
          <w:szCs w:val="21"/>
          <w:highlight w:val="none"/>
        </w:rPr>
        <w:t>采购项目的潜在供应商应在政采云平台（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"https://www.zcygov.cn/）获取（下载）招标文件，并于2021年"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https://www.zcygov.cn/）获取（下载）采购文件，并于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00秒</w:t>
      </w:r>
      <w:r>
        <w:rPr>
          <w:rFonts w:hint="eastAsia" w:ascii="宋体" w:hAnsi="宋体" w:eastAsia="宋体" w:cs="宋体"/>
          <w:bCs/>
          <w:color w:val="auto"/>
          <w:sz w:val="21"/>
          <w:szCs w:val="21"/>
          <w:highlight w:val="none"/>
          <w:u w:val="singl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提交（上传）响应文件。</w:t>
      </w:r>
    </w:p>
    <w:p w14:paraId="3760611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17DCC307">
      <w:pPr>
        <w:snapToGrid w:val="0"/>
        <w:spacing w:line="360" w:lineRule="auto"/>
        <w:ind w:firstLine="422" w:firstLineChars="200"/>
        <w:rPr>
          <w:rFonts w:hint="eastAsia" w:ascii="宋体" w:hAnsi="宋体" w:eastAsia="宋体" w:cs="宋体"/>
          <w:snapToGrid w:val="0"/>
          <w:color w:val="auto"/>
          <w:spacing w:val="-6"/>
          <w:kern w:val="21"/>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snapToGrid w:val="0"/>
          <w:color w:val="auto"/>
          <w:spacing w:val="-6"/>
          <w:kern w:val="21"/>
          <w:sz w:val="21"/>
          <w:szCs w:val="21"/>
          <w:highlight w:val="none"/>
          <w:lang w:val="en-US" w:eastAsia="zh-CN"/>
        </w:rPr>
        <w:t>ZJLD-2025212</w:t>
      </w:r>
    </w:p>
    <w:p w14:paraId="4010058B">
      <w:pPr>
        <w:snapToGrid w:val="0"/>
        <w:spacing w:line="360" w:lineRule="auto"/>
        <w:ind w:firstLine="422" w:firstLineChars="200"/>
        <w:rPr>
          <w:rFonts w:hint="eastAsia" w:ascii="宋体" w:hAnsi="宋体" w:eastAsia="宋体" w:cs="宋体"/>
          <w:snapToGrid w:val="0"/>
          <w:color w:val="auto"/>
          <w:spacing w:val="-6"/>
          <w:kern w:val="21"/>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snapToGrid w:val="0"/>
          <w:color w:val="auto"/>
          <w:spacing w:val="-6"/>
          <w:kern w:val="21"/>
          <w:sz w:val="21"/>
          <w:szCs w:val="21"/>
          <w:highlight w:val="none"/>
          <w:lang w:val="en-US" w:eastAsia="zh-CN"/>
        </w:rPr>
        <w:t>下应街道社区卫生服务中心医康养护一体化建设项目</w:t>
      </w:r>
    </w:p>
    <w:p w14:paraId="087B7338">
      <w:pPr>
        <w:snapToGrid w:val="0"/>
        <w:spacing w:line="360" w:lineRule="auto"/>
        <w:ind w:firstLine="422" w:firstLineChars="200"/>
        <w:rPr>
          <w:rFonts w:hint="eastAsia" w:ascii="宋体" w:hAnsi="宋体" w:eastAsia="宋体" w:cs="宋体"/>
          <w:snapToGrid w:val="0"/>
          <w:color w:val="auto"/>
          <w:spacing w:val="-6"/>
          <w:kern w:val="21"/>
          <w:sz w:val="21"/>
          <w:szCs w:val="21"/>
          <w:highlight w:val="none"/>
          <w:lang w:val="en-US" w:eastAsia="zh-CN"/>
        </w:rPr>
      </w:pPr>
      <w:r>
        <w:rPr>
          <w:rFonts w:hint="eastAsia" w:ascii="宋体" w:hAnsi="宋体" w:eastAsia="宋体" w:cs="宋体"/>
          <w:b/>
          <w:color w:val="auto"/>
          <w:sz w:val="21"/>
          <w:szCs w:val="21"/>
          <w:highlight w:val="none"/>
          <w:lang w:val="en-US" w:eastAsia="zh-CN"/>
        </w:rPr>
        <w:t>采购方式：</w:t>
      </w:r>
      <w:r>
        <w:rPr>
          <w:rFonts w:hint="eastAsia" w:ascii="宋体" w:hAnsi="宋体" w:eastAsia="宋体" w:cs="宋体"/>
          <w:snapToGrid w:val="0"/>
          <w:color w:val="auto"/>
          <w:spacing w:val="-6"/>
          <w:kern w:val="21"/>
          <w:sz w:val="21"/>
          <w:szCs w:val="21"/>
          <w:highlight w:val="none"/>
          <w:lang w:val="en-US" w:eastAsia="zh-CN"/>
        </w:rPr>
        <w:t>竞争性磋商</w:t>
      </w:r>
    </w:p>
    <w:p w14:paraId="452EFF2D">
      <w:pPr>
        <w:snapToGrid w:val="0"/>
        <w:spacing w:line="360" w:lineRule="auto"/>
        <w:ind w:firstLine="422"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 w:val="0"/>
          <w:bCs/>
          <w:color w:val="auto"/>
          <w:sz w:val="21"/>
          <w:szCs w:val="21"/>
          <w:highlight w:val="none"/>
          <w:lang w:val="en-US" w:eastAsia="zh-CN"/>
        </w:rPr>
        <w:t>1200000</w:t>
      </w:r>
    </w:p>
    <w:p w14:paraId="1B62DCD1">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eastAsia="宋体" w:cs="宋体"/>
          <w:b w:val="0"/>
          <w:bCs/>
          <w:color w:val="auto"/>
          <w:sz w:val="21"/>
          <w:szCs w:val="21"/>
          <w:highlight w:val="none"/>
          <w:lang w:val="en-US" w:eastAsia="zh-CN"/>
        </w:rPr>
        <w:t>1037123</w:t>
      </w:r>
      <w:r>
        <w:rPr>
          <w:rFonts w:hint="eastAsia" w:ascii="宋体" w:hAnsi="宋体" w:eastAsia="宋体" w:cs="宋体"/>
          <w:b w:val="0"/>
          <w:bCs/>
          <w:color w:val="auto"/>
          <w:sz w:val="21"/>
          <w:szCs w:val="21"/>
          <w:highlight w:val="none"/>
        </w:rPr>
        <w:t xml:space="preserve"> </w:t>
      </w:r>
    </w:p>
    <w:p w14:paraId="72F16A8B">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p w14:paraId="2B906AC1">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数量：</w:t>
      </w:r>
      <w:r>
        <w:rPr>
          <w:rFonts w:hint="eastAsia" w:ascii="宋体" w:hAnsi="宋体" w:eastAsia="宋体" w:cs="宋体"/>
          <w:b w:val="0"/>
          <w:bCs/>
          <w:color w:val="auto"/>
          <w:sz w:val="21"/>
          <w:szCs w:val="21"/>
          <w:highlight w:val="none"/>
          <w:lang w:val="en-US" w:eastAsia="zh-CN"/>
        </w:rPr>
        <w:t>1 </w:t>
      </w:r>
      <w:r>
        <w:rPr>
          <w:rFonts w:hint="eastAsia" w:ascii="宋体" w:hAnsi="宋体" w:eastAsia="宋体" w:cs="宋体"/>
          <w:b/>
          <w:color w:val="auto"/>
          <w:sz w:val="21"/>
          <w:szCs w:val="21"/>
          <w:highlight w:val="none"/>
          <w:lang w:val="en-US" w:eastAsia="zh-CN"/>
        </w:rPr>
        <w:t>      </w:t>
      </w:r>
    </w:p>
    <w:p w14:paraId="777C6B3E">
      <w:pPr>
        <w:snapToGrid w:val="0"/>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预算金额（元）：</w:t>
      </w:r>
      <w:r>
        <w:rPr>
          <w:rFonts w:hint="eastAsia" w:ascii="宋体" w:hAnsi="宋体" w:eastAsia="宋体" w:cs="宋体"/>
          <w:b w:val="0"/>
          <w:bCs/>
          <w:color w:val="auto"/>
          <w:sz w:val="21"/>
          <w:szCs w:val="21"/>
          <w:highlight w:val="none"/>
          <w:lang w:val="en-US" w:eastAsia="zh-CN"/>
        </w:rPr>
        <w:t>1200000</w:t>
      </w:r>
      <w:r>
        <w:rPr>
          <w:rFonts w:hint="eastAsia" w:ascii="宋体" w:hAnsi="宋体" w:eastAsia="宋体" w:cs="宋体"/>
          <w:b w:val="0"/>
          <w:bCs/>
          <w:color w:val="auto"/>
          <w:sz w:val="21"/>
          <w:szCs w:val="21"/>
          <w:highlight w:val="none"/>
        </w:rPr>
        <w:t xml:space="preserve">  </w:t>
      </w:r>
      <w:bookmarkStart w:id="1082" w:name="_GoBack"/>
      <w:bookmarkEnd w:id="1082"/>
    </w:p>
    <w:p w14:paraId="5459FBB1">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r>
        <w:rPr>
          <w:rFonts w:hint="eastAsia" w:ascii="宋体" w:hAnsi="宋体" w:eastAsia="宋体" w:cs="宋体"/>
          <w:b w:val="0"/>
          <w:bCs/>
          <w:color w:val="auto"/>
          <w:sz w:val="21"/>
          <w:szCs w:val="21"/>
          <w:highlight w:val="none"/>
        </w:rPr>
        <w:t>项</w:t>
      </w:r>
      <w:r>
        <w:rPr>
          <w:rFonts w:hint="eastAsia" w:ascii="宋体" w:hAnsi="宋体" w:eastAsia="宋体" w:cs="宋体"/>
          <w:b/>
          <w:color w:val="auto"/>
          <w:sz w:val="21"/>
          <w:szCs w:val="21"/>
          <w:highlight w:val="none"/>
        </w:rPr>
        <w:t> </w:t>
      </w:r>
    </w:p>
    <w:p w14:paraId="17C2DC6C">
      <w:pPr>
        <w:spacing w:line="360" w:lineRule="auto"/>
        <w:ind w:firstLine="422" w:firstLineChars="200"/>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简要规格描述：</w:t>
      </w:r>
      <w:r>
        <w:rPr>
          <w:rFonts w:hint="eastAsia" w:ascii="宋体" w:hAnsi="宋体" w:eastAsia="宋体" w:cs="宋体"/>
          <w:b w:val="0"/>
          <w:bCs/>
          <w:color w:val="auto"/>
          <w:sz w:val="21"/>
          <w:szCs w:val="21"/>
          <w:highlight w:val="none"/>
          <w:lang w:val="en-US" w:eastAsia="zh-CN"/>
        </w:rPr>
        <w:t>招标范围为施工图范围内装修改造工程施工及保修期服务。</w:t>
      </w:r>
      <w:r>
        <w:rPr>
          <w:rFonts w:hint="eastAsia" w:ascii="宋体" w:hAnsi="宋体" w:eastAsia="宋体" w:cs="宋体"/>
          <w:bCs/>
          <w:snapToGrid/>
          <w:color w:val="auto"/>
          <w:kern w:val="2"/>
          <w:sz w:val="21"/>
          <w:szCs w:val="21"/>
          <w:highlight w:val="none"/>
        </w:rPr>
        <w:t>详见采购文件第三部分采购需求。</w:t>
      </w:r>
    </w:p>
    <w:p w14:paraId="4B9E23A8">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0242068">
      <w:pPr>
        <w:spacing w:line="360" w:lineRule="auto"/>
        <w:ind w:firstLine="420" w:firstLineChars="20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1.施工工期：</w:t>
      </w:r>
      <w:r>
        <w:rPr>
          <w:rFonts w:hint="eastAsia" w:ascii="宋体" w:hAnsi="宋体" w:cs="宋体"/>
          <w:b w:val="0"/>
          <w:bCs w:val="0"/>
          <w:color w:val="auto"/>
          <w:sz w:val="21"/>
          <w:szCs w:val="21"/>
          <w:highlight w:val="none"/>
          <w:lang w:val="en-US" w:eastAsia="zh-CN"/>
        </w:rPr>
        <w:t>40日历天</w:t>
      </w:r>
      <w:r>
        <w:rPr>
          <w:rFonts w:hint="eastAsia" w:ascii="宋体" w:hAnsi="宋体" w:eastAsia="宋体" w:cs="宋体"/>
          <w:b w:val="0"/>
          <w:bCs w:val="0"/>
          <w:color w:val="auto"/>
          <w:sz w:val="21"/>
          <w:szCs w:val="21"/>
          <w:highlight w:val="none"/>
          <w:lang w:val="en-US" w:eastAsia="zh-CN"/>
        </w:rPr>
        <w:t>。</w:t>
      </w:r>
    </w:p>
    <w:p w14:paraId="12BB063A">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2.质量要求：达到按国家施工验收规范一次性验收合格标准。</w:t>
      </w:r>
    </w:p>
    <w:p w14:paraId="5F2B8666">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3.安全要求：合格。 </w:t>
      </w:r>
    </w:p>
    <w:p w14:paraId="66B84D45">
      <w:pPr>
        <w:pStyle w:val="135"/>
        <w:snapToGrid w:val="0"/>
        <w:spacing w:before="0"/>
        <w:ind w:firstLine="482"/>
        <w:outlineLvl w:val="2"/>
        <w:rPr>
          <w:rFonts w:hint="eastAsia" w:ascii="宋体" w:hAnsi="宋体" w:eastAsia="宋体" w:cs="宋体"/>
          <w:b w:val="0"/>
          <w:bCs/>
          <w:color w:val="auto"/>
          <w:kern w:val="2"/>
          <w:sz w:val="21"/>
          <w:szCs w:val="21"/>
          <w:highlight w:val="none"/>
          <w:lang w:val="en-US" w:eastAsia="zh-CN" w:bidi="ar-SA"/>
        </w:rPr>
      </w:pPr>
      <w:bookmarkStart w:id="12" w:name="_Toc20655"/>
      <w:r>
        <w:rPr>
          <w:rFonts w:hint="eastAsia" w:ascii="宋体" w:hAnsi="宋体" w:eastAsia="宋体" w:cs="宋体"/>
          <w:b w:val="0"/>
          <w:bCs/>
          <w:color w:val="auto"/>
          <w:kern w:val="2"/>
          <w:sz w:val="21"/>
          <w:szCs w:val="21"/>
          <w:highlight w:val="none"/>
          <w:lang w:val="en-US" w:eastAsia="zh-CN" w:bidi="ar-SA"/>
        </w:rPr>
        <w:t>合同履约期限：标项1，自合同签订之日起至合同全部义务履行完毕止。</w:t>
      </w:r>
      <w:bookmarkEnd w:id="12"/>
    </w:p>
    <w:p w14:paraId="491D6D89">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否</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接受联合体</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lang w:eastAsia="zh-CN"/>
        </w:rPr>
        <w:t>。</w:t>
      </w:r>
    </w:p>
    <w:p w14:paraId="70D0DB0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13" w:name="_Hlk101132948"/>
      <w:r>
        <w:rPr>
          <w:rFonts w:hint="eastAsia" w:ascii="宋体" w:hAnsi="宋体" w:eastAsia="宋体" w:cs="宋体"/>
          <w:b/>
          <w:color w:val="auto"/>
          <w:sz w:val="21"/>
          <w:szCs w:val="21"/>
          <w:highlight w:val="none"/>
        </w:rPr>
        <w:t>申请人的资格要求</w:t>
      </w:r>
      <w:bookmarkEnd w:id="13"/>
      <w:r>
        <w:rPr>
          <w:rFonts w:hint="eastAsia" w:ascii="宋体" w:hAnsi="宋体" w:eastAsia="宋体" w:cs="宋体"/>
          <w:b/>
          <w:color w:val="auto"/>
          <w:sz w:val="21"/>
          <w:szCs w:val="21"/>
          <w:highlight w:val="none"/>
        </w:rPr>
        <w:t>：</w:t>
      </w:r>
    </w:p>
    <w:p w14:paraId="54D4C895">
      <w:pPr>
        <w:spacing w:line="360" w:lineRule="auto"/>
        <w:ind w:firstLine="480"/>
        <w:rPr>
          <w:rFonts w:hint="eastAsia" w:ascii="宋体" w:hAnsi="宋体" w:eastAsia="宋体" w:cs="宋体"/>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1"/>
          <w:szCs w:val="21"/>
          <w:highlight w:val="none"/>
          <w:lang w:eastAsia="zh-CN"/>
        </w:rPr>
        <w:t>重大税收违法失信主体</w:t>
      </w:r>
      <w:r>
        <w:rPr>
          <w:rFonts w:hint="eastAsia" w:ascii="宋体" w:hAnsi="宋体" w:eastAsia="宋体" w:cs="宋体"/>
          <w:snapToGrid w:val="0"/>
          <w:color w:val="auto"/>
          <w:kern w:val="28"/>
          <w:sz w:val="21"/>
          <w:szCs w:val="21"/>
          <w:highlight w:val="none"/>
        </w:rPr>
        <w:t>、政府采购严重违法失信行为记录名单</w:t>
      </w:r>
      <w:r>
        <w:rPr>
          <w:rFonts w:hint="eastAsia" w:ascii="宋体" w:hAnsi="宋体" w:eastAsia="宋体" w:cs="宋体"/>
          <w:snapToGrid w:val="0"/>
          <w:color w:val="auto"/>
          <w:kern w:val="28"/>
          <w:sz w:val="21"/>
          <w:szCs w:val="21"/>
          <w:highlight w:val="none"/>
          <w:lang w:eastAsia="zh-CN"/>
        </w:rPr>
        <w:t>。</w:t>
      </w:r>
    </w:p>
    <w:p w14:paraId="27114000">
      <w:pPr>
        <w:spacing w:line="360" w:lineRule="auto"/>
        <w:ind w:firstLine="420" w:firstLineChars="200"/>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eastAsia="宋体" w:cs="宋体"/>
          <w:snapToGrid w:val="0"/>
          <w:color w:val="auto"/>
          <w:kern w:val="28"/>
          <w:sz w:val="21"/>
          <w:szCs w:val="21"/>
          <w:highlight w:val="none"/>
          <w:lang w:val="en-US" w:eastAsia="zh-CN"/>
        </w:rPr>
        <w:t>标项1：本项目专门面向中小企业采购，</w:t>
      </w:r>
      <w:r>
        <w:rPr>
          <w:rFonts w:hint="eastAsia" w:ascii="宋体" w:hAnsi="宋体" w:eastAsia="宋体" w:cs="宋体"/>
          <w:sz w:val="21"/>
          <w:szCs w:val="21"/>
          <w:highlight w:val="none"/>
          <w:lang w:val="en-US" w:eastAsia="zh-CN"/>
        </w:rPr>
        <w:t>工程</w:t>
      </w:r>
      <w:r>
        <w:rPr>
          <w:rFonts w:hint="eastAsia" w:ascii="宋体" w:hAnsi="宋体" w:eastAsia="宋体" w:cs="宋体"/>
          <w:sz w:val="21"/>
          <w:szCs w:val="21"/>
          <w:highlight w:val="none"/>
        </w:rPr>
        <w:t>全部由符合政策要求的中小企业</w:t>
      </w:r>
      <w:r>
        <w:rPr>
          <w:rFonts w:hint="eastAsia" w:ascii="宋体" w:hAnsi="宋体" w:eastAsia="宋体" w:cs="宋体"/>
          <w:color w:val="auto"/>
          <w:sz w:val="21"/>
          <w:szCs w:val="21"/>
          <w:highlight w:val="none"/>
        </w:rPr>
        <w:t>承建</w:t>
      </w:r>
      <w:r>
        <w:rPr>
          <w:rFonts w:hint="eastAsia" w:ascii="宋体" w:hAnsi="宋体" w:eastAsia="宋体" w:cs="宋体"/>
          <w:sz w:val="21"/>
          <w:szCs w:val="21"/>
          <w:highlight w:val="none"/>
        </w:rPr>
        <w:t>，提供中小企业声明函或残疾人福利性单位声明函或由省级以上监狱管理局、戒毒管理局（含新疆生产建设兵团）出具的属于监狱企业的证明文件。</w:t>
      </w:r>
    </w:p>
    <w:p w14:paraId="508BD4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供应商具有建筑装修装饰工程专业承包二级及以上资质</w:t>
      </w:r>
      <w:r>
        <w:rPr>
          <w:rFonts w:hint="eastAsia" w:ascii="宋体" w:hAnsi="宋体" w:eastAsia="宋体" w:cs="宋体"/>
          <w:color w:val="auto"/>
          <w:sz w:val="21"/>
          <w:szCs w:val="21"/>
          <w:highlight w:val="none"/>
          <w:lang w:eastAsia="zh-CN"/>
        </w:rPr>
        <w:t>（资质须在有效期内）</w:t>
      </w:r>
      <w:r>
        <w:rPr>
          <w:rFonts w:hint="eastAsia" w:ascii="宋体" w:hAnsi="宋体" w:eastAsia="宋体" w:cs="宋体"/>
          <w:color w:val="auto"/>
          <w:sz w:val="21"/>
          <w:szCs w:val="21"/>
          <w:highlight w:val="none"/>
        </w:rPr>
        <w:t>，并具备有效的安全生产许可证。</w:t>
      </w:r>
    </w:p>
    <w:p w14:paraId="1C39887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75FEB3F1">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0D0BA88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38006F8D">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04C1FD9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2783A67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四、响应文件提交（上传）</w:t>
      </w:r>
    </w:p>
    <w:p w14:paraId="04339389">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9127B58">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宁波市鄞州区公共资源交易中心（鄞州区蕙江路567号，鄞州区妇儿医院对面，鄞州区政务服务中心5楼，具体开标厅号见大厅大屏幕）开标室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政采云平台（https://www.zcygov.cn/） </w:t>
      </w:r>
    </w:p>
    <w:p w14:paraId="33C88B23">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五、响应文件开启 </w:t>
      </w:r>
    </w:p>
    <w:p w14:paraId="6DD80A3F">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开启时间：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1C34949">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宁波市鄞州区公共资源交易中心（鄞州区蕙江路567号，鄞州区妇儿医院对面，鄞州区政务服务中心5楼，具体开标厅号见大厅大屏幕）开标室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政采云平台（https://www.zcygov.cn/）</w:t>
      </w:r>
    </w:p>
    <w:p w14:paraId="422E51C9">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六、公告期限 </w:t>
      </w:r>
    </w:p>
    <w:p w14:paraId="7F269F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50C6A28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七、其他补充事宜</w:t>
      </w:r>
    </w:p>
    <w:p w14:paraId="7E29FB23">
      <w:p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CC134D6">
      <w:p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D139C9">
      <w:p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DF1607">
      <w:pPr>
        <w:adjustRightInd/>
        <w:spacing w:line="360" w:lineRule="auto"/>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4</w:t>
      </w:r>
      <w:r>
        <w:rPr>
          <w:rFonts w:hint="eastAsia" w:ascii="宋体" w:hAnsi="宋体" w:eastAsia="宋体" w:cs="宋体"/>
          <w:b/>
          <w:kern w:val="0"/>
          <w:sz w:val="21"/>
          <w:szCs w:val="21"/>
          <w:highlight w:val="none"/>
        </w:rPr>
        <w:t>.其他事项：</w:t>
      </w:r>
    </w:p>
    <w:p w14:paraId="2C69A8F0">
      <w:p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4BBEB7">
      <w:pPr>
        <w:adjustRightInd/>
        <w:spacing w:line="360" w:lineRule="auto"/>
        <w:ind w:firstLine="422" w:firstLineChars="200"/>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w:t>
      </w:r>
      <w:r>
        <w:rPr>
          <w:rFonts w:hint="eastAsia" w:ascii="宋体" w:hAnsi="宋体" w:eastAsia="宋体" w:cs="宋体"/>
          <w:b/>
          <w:kern w:val="0"/>
          <w:sz w:val="21"/>
          <w:szCs w:val="21"/>
          <w:highlight w:val="none"/>
          <w:lang w:val="en-US" w:eastAsia="zh-CN"/>
        </w:rPr>
        <w:t>2</w:t>
      </w:r>
      <w:r>
        <w:rPr>
          <w:rFonts w:hint="eastAsia" w:ascii="宋体" w:hAnsi="宋体" w:eastAsia="宋体" w:cs="宋体"/>
          <w:b/>
          <w:kern w:val="0"/>
          <w:sz w:val="21"/>
          <w:szCs w:val="21"/>
          <w:highlight w:val="none"/>
        </w:rPr>
        <w:t>）需要落实的政府采购政策：</w:t>
      </w:r>
      <w:r>
        <w:rPr>
          <w:rFonts w:hint="eastAsia" w:ascii="宋体" w:hAnsi="宋体" w:eastAsia="宋体" w:cs="宋体"/>
          <w:sz w:val="21"/>
          <w:szCs w:val="21"/>
          <w:highlight w:val="none"/>
        </w:rPr>
        <w:t>包括节约资源、保护环境、支持创新、促进中小企业发展等。详见</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文件的第二部分总则。</w:t>
      </w:r>
    </w:p>
    <w:p w14:paraId="3800ED46">
      <w:pPr>
        <w:adjustRightInd/>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w:t>
      </w:r>
      <w:r>
        <w:rPr>
          <w:rFonts w:hint="eastAsia" w:ascii="宋体" w:hAnsi="宋体" w:eastAsia="宋体" w:cs="宋体"/>
          <w:b/>
          <w:kern w:val="0"/>
          <w:sz w:val="21"/>
          <w:szCs w:val="21"/>
          <w:highlight w:val="none"/>
          <w:lang w:val="en-US" w:eastAsia="zh-CN"/>
        </w:rPr>
        <w:t>3</w:t>
      </w:r>
      <w:r>
        <w:rPr>
          <w:rFonts w:hint="eastAsia" w:ascii="宋体" w:hAnsi="宋体" w:eastAsia="宋体" w:cs="宋体"/>
          <w:b/>
          <w:kern w:val="0"/>
          <w:sz w:val="21"/>
          <w:szCs w:val="21"/>
          <w:highlight w:val="none"/>
        </w:rPr>
        <w:t>）</w:t>
      </w:r>
      <w:r>
        <w:rPr>
          <w:rFonts w:hint="eastAsia" w:ascii="宋体" w:hAnsi="宋体" w:eastAsia="宋体" w:cs="宋体"/>
          <w:b/>
          <w:sz w:val="21"/>
          <w:szCs w:val="21"/>
          <w:highlight w:val="none"/>
        </w:rPr>
        <w:t>电子交易的说明: 1）电子交易：</w:t>
      </w:r>
      <w:r>
        <w:rPr>
          <w:rFonts w:hint="eastAsia" w:ascii="宋体" w:hAnsi="宋体" w:eastAsia="宋体" w:cs="宋体"/>
          <w:sz w:val="21"/>
          <w:szCs w:val="21"/>
          <w:highlight w:val="none"/>
        </w:rPr>
        <w:t>本项目以数据电文形式，依托“政府采购云平台（www.zcygov.cn）”进行采购活动，不接受纸质响应文件。</w:t>
      </w:r>
      <w:r>
        <w:rPr>
          <w:rFonts w:hint="eastAsia" w:ascii="宋体" w:hAnsi="宋体" w:eastAsia="宋体" w:cs="宋体"/>
          <w:b/>
          <w:sz w:val="21"/>
          <w:szCs w:val="21"/>
          <w:highlight w:val="none"/>
        </w:rPr>
        <w:t>2）响应准备：</w:t>
      </w:r>
      <w:r>
        <w:rPr>
          <w:rFonts w:hint="eastAsia" w:ascii="宋体" w:hAnsi="宋体" w:eastAsia="宋体" w:cs="宋体"/>
          <w:sz w:val="21"/>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1"/>
          <w:szCs w:val="21"/>
          <w:highlight w:val="none"/>
        </w:rPr>
        <w:t>3）竞争性磋商文件的获取：</w:t>
      </w:r>
      <w:r>
        <w:rPr>
          <w:rFonts w:hint="eastAsia" w:ascii="宋体" w:hAnsi="宋体" w:eastAsia="宋体" w:cs="宋体"/>
          <w:sz w:val="21"/>
          <w:szCs w:val="21"/>
          <w:highlight w:val="none"/>
        </w:rPr>
        <w:t>使用账号登录或者使用CA登录政采云平台；进入“项目采购”应用，在获取采购文件菜单中选择项目，获取</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rPr>
        <w:t>磋商文件。</w:t>
      </w:r>
      <w:r>
        <w:rPr>
          <w:rFonts w:hint="eastAsia" w:ascii="宋体" w:hAnsi="宋体" w:eastAsia="宋体" w:cs="宋体"/>
          <w:b/>
          <w:sz w:val="21"/>
          <w:szCs w:val="21"/>
          <w:highlight w:val="none"/>
        </w:rPr>
        <w:t>4）响应文件的制作：</w:t>
      </w:r>
      <w:r>
        <w:rPr>
          <w:rFonts w:hint="eastAsia" w:ascii="宋体" w:hAnsi="宋体" w:eastAsia="宋体" w:cs="宋体"/>
          <w:sz w:val="21"/>
          <w:szCs w:val="21"/>
          <w:highlight w:val="none"/>
        </w:rPr>
        <w:t>在“政采云电子交易客户端”中完成“填写基本信息”、“导入投标文件”、“标书关联”、“标书检查”、“电子签名”、“生成电子标书”等操作。</w:t>
      </w:r>
      <w:r>
        <w:rPr>
          <w:rFonts w:hint="eastAsia" w:ascii="宋体" w:hAnsi="宋体" w:eastAsia="宋体" w:cs="宋体"/>
          <w:b/>
          <w:sz w:val="21"/>
          <w:szCs w:val="21"/>
          <w:highlight w:val="none"/>
        </w:rPr>
        <w:t>5）</w:t>
      </w:r>
      <w:r>
        <w:rPr>
          <w:rFonts w:hint="eastAsia" w:ascii="宋体" w:hAnsi="宋体" w:eastAsia="宋体" w:cs="宋体"/>
          <w:sz w:val="21"/>
          <w:szCs w:val="21"/>
          <w:highlight w:val="none"/>
        </w:rPr>
        <w:t>采购人、采购代理机构将依托政采云平台完成本项目的电子交易活动，平台不接受未按本公告约定方式获取</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rPr>
        <w:t>磋商文件的供应商进行响应活动；</w:t>
      </w:r>
      <w:r>
        <w:rPr>
          <w:rFonts w:hint="eastAsia" w:ascii="宋体" w:hAnsi="宋体" w:eastAsia="宋体" w:cs="宋体"/>
          <w:b/>
          <w:sz w:val="21"/>
          <w:szCs w:val="21"/>
          <w:highlight w:val="none"/>
        </w:rPr>
        <w:t>6）</w:t>
      </w:r>
      <w:r>
        <w:rPr>
          <w:rFonts w:hint="eastAsia" w:ascii="宋体" w:hAnsi="宋体" w:eastAsia="宋体" w:cs="宋体"/>
          <w:sz w:val="21"/>
          <w:szCs w:val="21"/>
          <w:highlight w:val="none"/>
        </w:rPr>
        <w:t>对未按上述方式获取</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rPr>
        <w:t>磋商文件的供应商对该文件提出的质疑，采购人或采购代理机构将不予处理</w:t>
      </w:r>
      <w:r>
        <w:rPr>
          <w:rFonts w:hint="eastAsia" w:ascii="宋体" w:hAnsi="宋体" w:eastAsia="宋体" w:cs="宋体"/>
          <w:b/>
          <w:sz w:val="21"/>
          <w:szCs w:val="21"/>
          <w:highlight w:val="none"/>
        </w:rPr>
        <w:t>；7）</w:t>
      </w:r>
      <w:r>
        <w:rPr>
          <w:rFonts w:hint="eastAsia" w:ascii="宋体" w:hAnsi="宋体" w:eastAsia="宋体" w:cs="宋体"/>
          <w:sz w:val="21"/>
          <w:szCs w:val="21"/>
          <w:highlight w:val="none"/>
        </w:rPr>
        <w:t>不提供</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rPr>
        <w:t>磋商文件纸质版；</w:t>
      </w:r>
      <w:r>
        <w:rPr>
          <w:rFonts w:hint="eastAsia" w:ascii="宋体" w:hAnsi="宋体" w:eastAsia="宋体" w:cs="宋体"/>
          <w:b/>
          <w:sz w:val="21"/>
          <w:szCs w:val="21"/>
          <w:highlight w:val="none"/>
        </w:rPr>
        <w:t>8）响应文件的传输提交：</w:t>
      </w:r>
      <w:r>
        <w:rPr>
          <w:rFonts w:hint="eastAsia" w:ascii="宋体" w:hAnsi="宋体" w:eastAsia="宋体" w:cs="宋体"/>
          <w:sz w:val="21"/>
          <w:szCs w:val="21"/>
          <w:highlight w:val="none"/>
        </w:rPr>
        <w:t>供应商在提交响应文件的截止时间前将加密的响应文件上传至政府采购云平台，还可以在提交响应文件的截止时间前直接提交或者以邮寄方式提交备份响应文件1份。备份响应文件的制作、存储、密封详见</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rPr>
        <w:t>磋商文件第</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部分</w:t>
      </w:r>
      <w:r>
        <w:rPr>
          <w:rFonts w:hint="eastAsia" w:ascii="宋体" w:hAnsi="宋体" w:eastAsia="宋体" w:cs="宋体"/>
          <w:sz w:val="21"/>
          <w:szCs w:val="21"/>
          <w:highlight w:val="none"/>
          <w:lang w:val="en-US" w:eastAsia="zh-CN"/>
        </w:rPr>
        <w:t>第15点</w:t>
      </w:r>
      <w:r>
        <w:rPr>
          <w:rFonts w:hint="eastAsia" w:ascii="宋体" w:hAnsi="宋体" w:eastAsia="宋体" w:cs="宋体"/>
          <w:sz w:val="21"/>
          <w:szCs w:val="21"/>
          <w:highlight w:val="none"/>
        </w:rPr>
        <w:t>“备份响应文件”；</w:t>
      </w:r>
      <w:r>
        <w:rPr>
          <w:rFonts w:hint="eastAsia" w:ascii="宋体" w:hAnsi="宋体" w:eastAsia="宋体" w:cs="宋体"/>
          <w:b/>
          <w:sz w:val="21"/>
          <w:szCs w:val="21"/>
          <w:highlight w:val="none"/>
        </w:rPr>
        <w:t>9）响应文件的解密：</w:t>
      </w:r>
      <w:r>
        <w:rPr>
          <w:rFonts w:hint="eastAsia" w:ascii="宋体" w:hAnsi="宋体" w:eastAsia="宋体" w:cs="宋体"/>
          <w:sz w:val="21"/>
          <w:szCs w:val="21"/>
          <w:highlight w:val="none"/>
        </w:rPr>
        <w:t>供应商按照平台提示和</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rPr>
        <w:t>磋商文件的规定在</w:t>
      </w:r>
      <w:r>
        <w:rPr>
          <w:rFonts w:hint="eastAsia" w:ascii="宋体" w:hAnsi="宋体" w:eastAsia="宋体" w:cs="宋体"/>
          <w:b/>
          <w:sz w:val="21"/>
          <w:szCs w:val="21"/>
          <w:highlight w:val="none"/>
        </w:rPr>
        <w:t>半小时内</w:t>
      </w:r>
      <w:r>
        <w:rPr>
          <w:rFonts w:hint="eastAsia" w:ascii="宋体" w:hAnsi="宋体" w:eastAsia="宋体" w:cs="宋体"/>
          <w:sz w:val="21"/>
          <w:szCs w:val="21"/>
          <w:highlight w:val="none"/>
        </w:rPr>
        <w:t>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1"/>
          <w:szCs w:val="21"/>
          <w:highlight w:val="none"/>
        </w:rPr>
        <w:t>）具体操作指南</w:t>
      </w:r>
      <w:r>
        <w:rPr>
          <w:rFonts w:hint="eastAsia" w:ascii="宋体" w:hAnsi="宋体" w:eastAsia="宋体" w:cs="宋体"/>
          <w:sz w:val="21"/>
          <w:szCs w:val="21"/>
          <w:highlight w:val="none"/>
        </w:rPr>
        <w:t>：详见政采云平台“服务中心-帮助文档-项目采购-操作流程-电子招投标-政府采购项目电子交易管理操作指南-供应商”。</w:t>
      </w:r>
    </w:p>
    <w:p w14:paraId="34D0254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竞争性</w:t>
      </w:r>
      <w:r>
        <w:rPr>
          <w:rFonts w:hint="eastAsia" w:ascii="宋体" w:hAnsi="宋体" w:eastAsia="宋体" w:cs="宋体"/>
          <w:sz w:val="21"/>
          <w:szCs w:val="21"/>
          <w:highlight w:val="none"/>
        </w:rPr>
        <w:t>磋商文件公告期限与</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rPr>
        <w:t>磋商公告的公告期限一致。</w:t>
      </w:r>
    </w:p>
    <w:p w14:paraId="7C94202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本公告发布媒体：浙江政府采购网（https://zfcg.czt.zj.gov.cn/）、浙江省公共资源交易服务平台（https://ggzy.zj.gov.cn）、宁波政府采购(https://zfcg.czj.ningbo.gov.cn/)、宁波市公共资源交易电子服务系统（甬易阳光）（https://jyxt.zwb.ningbo.gov.cn:4011/website/home）。</w:t>
      </w:r>
    </w:p>
    <w:p w14:paraId="7C0A071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八、对本次采购提出询问、质疑、投诉，请按以下方式联系</w:t>
      </w:r>
    </w:p>
    <w:p w14:paraId="61843E6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A7373F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名称：宁波市鄞州区下应街道社区卫生服务中心  </w:t>
      </w:r>
    </w:p>
    <w:p w14:paraId="1D9C86E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地址：宁波市鄞州区下应街道金达南路651号</w:t>
      </w:r>
    </w:p>
    <w:p w14:paraId="1603CBD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3DF64AE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李院长</w:t>
      </w:r>
      <w:r>
        <w:rPr>
          <w:rFonts w:hint="eastAsia" w:ascii="宋体" w:hAnsi="宋体" w:eastAsia="宋体" w:cs="宋体"/>
          <w:color w:val="auto"/>
          <w:sz w:val="21"/>
          <w:szCs w:val="21"/>
          <w:highlight w:val="none"/>
        </w:rPr>
        <w:t>  </w:t>
      </w:r>
    </w:p>
    <w:p w14:paraId="6B2351A4">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val="en-US" w:eastAsia="zh-CN"/>
        </w:rPr>
        <w:t>0574-55663502</w:t>
      </w:r>
    </w:p>
    <w:p w14:paraId="2B6117DC">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周娜</w:t>
      </w:r>
    </w:p>
    <w:p w14:paraId="60154A0F">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0574-88364663</w:t>
      </w:r>
    </w:p>
    <w:p w14:paraId="387E5478">
      <w:pPr>
        <w:spacing w:line="360" w:lineRule="auto"/>
        <w:ind w:firstLine="480"/>
        <w:rPr>
          <w:rFonts w:hint="eastAsia" w:ascii="宋体" w:hAnsi="宋体" w:eastAsia="宋体" w:cs="宋体"/>
          <w:color w:val="auto"/>
          <w:sz w:val="21"/>
          <w:szCs w:val="21"/>
          <w:highlight w:val="none"/>
        </w:rPr>
      </w:pPr>
    </w:p>
    <w:p w14:paraId="2EF35F9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            </w:t>
      </w:r>
    </w:p>
    <w:p w14:paraId="42885DB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名称：浙江联达工程项目管理有限公司</w:t>
      </w:r>
    </w:p>
    <w:p w14:paraId="162AC52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地址：宁波市高新区科技广场4号楼3楼</w:t>
      </w:r>
    </w:p>
    <w:p w14:paraId="6119128A">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lang w:val="en-US" w:eastAsia="zh-CN"/>
        </w:rPr>
        <w:t>/</w:t>
      </w:r>
    </w:p>
    <w:p w14:paraId="45FF27BF">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项目联系人（询问）：刘艳、屠裕忠、郑均华、王惠军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宋涛</w:t>
      </w:r>
      <w:r>
        <w:rPr>
          <w:rFonts w:hint="eastAsia" w:ascii="宋体" w:hAnsi="宋体" w:eastAsia="宋体" w:cs="宋体"/>
          <w:color w:val="auto"/>
          <w:sz w:val="21"/>
          <w:szCs w:val="21"/>
          <w:highlight w:val="none"/>
          <w:lang w:eastAsia="zh-CN"/>
        </w:rPr>
        <w:t>、黎成</w:t>
      </w:r>
    </w:p>
    <w:p w14:paraId="6C5E6928">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val="en-US" w:eastAsia="zh-CN"/>
        </w:rPr>
        <w:t>13957802059</w:t>
      </w:r>
    </w:p>
    <w:p w14:paraId="33CDF88B">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eastAsia="zh-CN"/>
        </w:rPr>
        <w:t>郑均华</w:t>
      </w:r>
    </w:p>
    <w:p w14:paraId="5CC6DCB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eastAsia="zh-CN"/>
        </w:rPr>
        <w:t>0574-87915231</w:t>
      </w:r>
    </w:p>
    <w:p w14:paraId="51AB5FD9">
      <w:pPr>
        <w:spacing w:line="360" w:lineRule="auto"/>
        <w:ind w:firstLine="480"/>
        <w:rPr>
          <w:rFonts w:hint="eastAsia" w:ascii="宋体" w:hAnsi="宋体" w:eastAsia="宋体" w:cs="宋体"/>
          <w:color w:val="auto"/>
          <w:sz w:val="21"/>
          <w:szCs w:val="21"/>
          <w:highlight w:val="none"/>
        </w:rPr>
      </w:pPr>
    </w:p>
    <w:p w14:paraId="4E39BD5C">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            </w:t>
      </w:r>
    </w:p>
    <w:p w14:paraId="1DAFD0A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名称：宁波市鄞州区政府采购管理办公室             </w:t>
      </w:r>
    </w:p>
    <w:p w14:paraId="20B0CEF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地址：宁波市鄞州区民惠东路16号             </w:t>
      </w:r>
    </w:p>
    <w:p w14:paraId="28597AB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7843157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联系人：郑老师             </w:t>
      </w:r>
    </w:p>
    <w:p w14:paraId="0CE750A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监督投诉电话：0574-89295894</w:t>
      </w:r>
    </w:p>
    <w:p w14:paraId="7F474EEC">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535B13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A730CB3">
      <w:pPr>
        <w:spacing w:line="360" w:lineRule="auto"/>
        <w:ind w:firstLine="480"/>
        <w:rPr>
          <w:rFonts w:hint="eastAsia" w:ascii="宋体" w:hAnsi="宋体" w:eastAsia="宋体" w:cs="宋体"/>
          <w:color w:val="auto"/>
          <w:sz w:val="21"/>
          <w:szCs w:val="21"/>
          <w:highlight w:val="none"/>
        </w:rPr>
        <w:sectPr>
          <w:headerReference r:id="rId4" w:type="first"/>
          <w:footerReference r:id="rId7" w:type="first"/>
          <w:headerReference r:id="rId3" w:type="default"/>
          <w:footerReference r:id="rId5" w:type="default"/>
          <w:footerReference r:id="rId6" w:type="even"/>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szCs w:val="21"/>
          <w:highlight w:val="none"/>
        </w:rPr>
        <w:t>CA问题联系电话（人工）：汇信CA 400-888-4636；天谷CA 400-087-8198。</w:t>
      </w:r>
    </w:p>
    <w:p w14:paraId="41CAC9B2">
      <w:pPr>
        <w:pStyle w:val="32"/>
        <w:spacing w:line="360" w:lineRule="auto"/>
        <w:jc w:val="center"/>
        <w:outlineLvl w:val="0"/>
        <w:rPr>
          <w:rFonts w:hAnsi="宋体" w:cs="宋体"/>
          <w:b/>
          <w:snapToGrid/>
          <w:color w:val="auto"/>
          <w:sz w:val="36"/>
          <w:szCs w:val="20"/>
          <w:highlight w:val="none"/>
        </w:rPr>
      </w:pPr>
      <w:bookmarkStart w:id="14" w:name="_Toc21235"/>
      <w:r>
        <w:rPr>
          <w:rFonts w:hint="eastAsia" w:hAnsi="宋体" w:cs="宋体"/>
          <w:b/>
          <w:snapToGrid/>
          <w:color w:val="auto"/>
          <w:sz w:val="36"/>
          <w:szCs w:val="20"/>
          <w:highlight w:val="none"/>
        </w:rPr>
        <w:t>第二部分</w:t>
      </w:r>
      <w:bookmarkEnd w:id="9"/>
      <w:r>
        <w:rPr>
          <w:rFonts w:hint="eastAsia" w:hAnsi="宋体" w:cs="宋体"/>
          <w:b/>
          <w:snapToGrid/>
          <w:color w:val="auto"/>
          <w:sz w:val="36"/>
          <w:szCs w:val="20"/>
          <w:highlight w:val="none"/>
        </w:rPr>
        <w:t xml:space="preserve"> 供应商须知</w:t>
      </w:r>
      <w:bookmarkEnd w:id="10"/>
      <w:bookmarkEnd w:id="14"/>
    </w:p>
    <w:p w14:paraId="174266A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5104"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28" w:type="dxa"/>
          <w:bottom w:w="0" w:type="dxa"/>
          <w:right w:w="28" w:type="dxa"/>
        </w:tblCellMar>
      </w:tblPr>
      <w:tblGrid>
        <w:gridCol w:w="656"/>
        <w:gridCol w:w="1951"/>
        <w:gridCol w:w="6663"/>
      </w:tblGrid>
      <w:tr w14:paraId="4BEF6CA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tcPr>
          <w:p w14:paraId="2CA3533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序号</w:t>
            </w:r>
          </w:p>
        </w:tc>
        <w:tc>
          <w:tcPr>
            <w:tcW w:w="1052" w:type="pct"/>
            <w:tcBorders>
              <w:tl2br w:val="nil"/>
              <w:tr2bl w:val="nil"/>
            </w:tcBorders>
            <w:vAlign w:val="center"/>
          </w:tcPr>
          <w:p w14:paraId="6FB8808F">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事项</w:t>
            </w:r>
          </w:p>
        </w:tc>
        <w:tc>
          <w:tcPr>
            <w:tcW w:w="3593" w:type="pct"/>
            <w:tcBorders>
              <w:tl2br w:val="nil"/>
              <w:tr2bl w:val="nil"/>
            </w:tcBorders>
            <w:vAlign w:val="center"/>
          </w:tcPr>
          <w:p w14:paraId="77DBBB0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本项目的特别规定</w:t>
            </w:r>
          </w:p>
        </w:tc>
      </w:tr>
      <w:tr w14:paraId="5F9FD35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22C8B01">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1</w:t>
            </w:r>
          </w:p>
        </w:tc>
        <w:tc>
          <w:tcPr>
            <w:tcW w:w="1052" w:type="pct"/>
            <w:tcBorders>
              <w:tl2br w:val="nil"/>
              <w:tr2bl w:val="nil"/>
            </w:tcBorders>
            <w:vAlign w:val="center"/>
          </w:tcPr>
          <w:p w14:paraId="7F5841AF">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项目属性</w:t>
            </w:r>
          </w:p>
        </w:tc>
        <w:tc>
          <w:tcPr>
            <w:tcW w:w="3593" w:type="pct"/>
            <w:tcBorders>
              <w:tl2br w:val="nil"/>
              <w:tr2bl w:val="nil"/>
            </w:tcBorders>
            <w:vAlign w:val="center"/>
          </w:tcPr>
          <w:p w14:paraId="39AD030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kern w:val="0"/>
                <w:sz w:val="21"/>
                <w:szCs w:val="21"/>
                <w:highlight w:val="none"/>
              </w:rPr>
              <w:t>工程</w:t>
            </w:r>
            <w:r>
              <w:rPr>
                <w:rFonts w:hint="eastAsia" w:ascii="宋体" w:hAnsi="宋体" w:eastAsia="宋体" w:cs="宋体"/>
                <w:snapToGrid/>
                <w:color w:val="auto"/>
                <w:sz w:val="21"/>
                <w:szCs w:val="21"/>
                <w:highlight w:val="none"/>
              </w:rPr>
              <w:t>类</w:t>
            </w:r>
          </w:p>
        </w:tc>
      </w:tr>
      <w:tr w14:paraId="5A7B31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B3DCDC3">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2</w:t>
            </w:r>
          </w:p>
        </w:tc>
        <w:tc>
          <w:tcPr>
            <w:tcW w:w="1052" w:type="pct"/>
            <w:tcBorders>
              <w:tl2br w:val="nil"/>
              <w:tr2bl w:val="nil"/>
            </w:tcBorders>
            <w:vAlign w:val="center"/>
          </w:tcPr>
          <w:p w14:paraId="41A5BCCC">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采购标的及其对应的中小企业划分标准所属行业</w:t>
            </w:r>
          </w:p>
        </w:tc>
        <w:tc>
          <w:tcPr>
            <w:tcW w:w="3593" w:type="pct"/>
            <w:tcBorders>
              <w:tl2br w:val="nil"/>
              <w:tr2bl w:val="nil"/>
            </w:tcBorders>
            <w:vAlign w:val="center"/>
          </w:tcPr>
          <w:p w14:paraId="04009530">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本项目为专门面向中小企业项目。</w:t>
            </w:r>
          </w:p>
          <w:p w14:paraId="41D28210">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rPr>
              <w:t>）标的：</w:t>
            </w:r>
            <w:r>
              <w:rPr>
                <w:rFonts w:hint="eastAsia" w:ascii="宋体" w:hAnsi="宋体" w:eastAsia="宋体" w:cs="宋体"/>
                <w:b/>
                <w:bCs/>
                <w:snapToGrid/>
                <w:color w:val="auto"/>
                <w:kern w:val="0"/>
                <w:sz w:val="21"/>
                <w:szCs w:val="21"/>
                <w:highlight w:val="none"/>
                <w:u w:val="single"/>
              </w:rPr>
              <w:t>下应街道社区卫生服务中心医康养护一体化建设项目</w:t>
            </w:r>
            <w:r>
              <w:rPr>
                <w:rFonts w:hint="eastAsia" w:ascii="宋体" w:hAnsi="宋体" w:eastAsia="宋体" w:cs="宋体"/>
                <w:snapToGrid/>
                <w:color w:val="auto"/>
                <w:kern w:val="0"/>
                <w:sz w:val="21"/>
                <w:szCs w:val="21"/>
                <w:highlight w:val="none"/>
              </w:rPr>
              <w:t>，属于</w:t>
            </w:r>
            <w:r>
              <w:rPr>
                <w:rFonts w:hint="eastAsia" w:ascii="宋体" w:hAnsi="宋体" w:eastAsia="宋体" w:cs="宋体"/>
                <w:b/>
                <w:bCs/>
                <w:snapToGrid/>
                <w:color w:val="auto"/>
                <w:kern w:val="0"/>
                <w:sz w:val="21"/>
                <w:szCs w:val="21"/>
                <w:highlight w:val="none"/>
                <w:u w:val="single"/>
                <w:lang w:val="en-US" w:eastAsia="zh-CN"/>
              </w:rPr>
              <w:t>建筑业</w:t>
            </w:r>
            <w:r>
              <w:rPr>
                <w:rFonts w:hint="eastAsia" w:ascii="宋体" w:hAnsi="宋体" w:eastAsia="宋体" w:cs="宋体"/>
                <w:snapToGrid/>
                <w:color w:val="auto"/>
                <w:kern w:val="0"/>
                <w:sz w:val="21"/>
                <w:szCs w:val="21"/>
                <w:highlight w:val="none"/>
              </w:rPr>
              <w:t>行业；</w:t>
            </w:r>
          </w:p>
          <w:p w14:paraId="37C04A47">
            <w:pPr>
              <w:pageBreakBefore w:val="0"/>
              <w:widowControl w:val="0"/>
              <w:tabs>
                <w:tab w:val="left" w:pos="432"/>
              </w:tabs>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snapToGrid/>
                <w:color w:val="auto"/>
                <w:sz w:val="21"/>
                <w:szCs w:val="21"/>
                <w:highlight w:val="none"/>
                <w:lang w:val="en-US"/>
              </w:rPr>
            </w:pPr>
            <w:r>
              <w:rPr>
                <w:rFonts w:hint="eastAsia" w:ascii="宋体" w:hAnsi="宋体" w:eastAsia="宋体" w:cs="宋体"/>
                <w:b/>
                <w:bCs/>
                <w:snapToGrid/>
                <w:color w:val="auto"/>
                <w:kern w:val="0"/>
                <w:sz w:val="21"/>
                <w:szCs w:val="21"/>
                <w:highlight w:val="none"/>
                <w:lang w:val="en-US" w:eastAsia="zh-CN" w:bidi="ar-SA"/>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79D74C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1FFF908">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3</w:t>
            </w:r>
          </w:p>
        </w:tc>
        <w:tc>
          <w:tcPr>
            <w:tcW w:w="1052" w:type="pct"/>
            <w:tcBorders>
              <w:tl2br w:val="nil"/>
              <w:tr2bl w:val="nil"/>
            </w:tcBorders>
            <w:vAlign w:val="center"/>
          </w:tcPr>
          <w:p w14:paraId="125731CB">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是否允许采购进口产品</w:t>
            </w:r>
          </w:p>
        </w:tc>
        <w:tc>
          <w:tcPr>
            <w:tcW w:w="3593" w:type="pct"/>
            <w:tcBorders>
              <w:tl2br w:val="nil"/>
              <w:tr2bl w:val="nil"/>
            </w:tcBorders>
            <w:vAlign w:val="center"/>
          </w:tcPr>
          <w:p w14:paraId="547046B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sdt>
              <w:sdtPr>
                <w:rPr>
                  <w:rFonts w:hint="eastAsia" w:ascii="宋体" w:hAnsi="宋体" w:eastAsia="宋体" w:cs="宋体"/>
                  <w:snapToGrid/>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Wingdings" w:hAnsi="Wingdings" w:eastAsia="宋体" w:cs="宋体"/>
                    <w:snapToGrid/>
                    <w:color w:val="auto"/>
                    <w:kern w:val="0"/>
                    <w:sz w:val="21"/>
                    <w:szCs w:val="21"/>
                    <w:highlight w:val="none"/>
                    <w:lang w:val="en-US" w:eastAsia="zh-CN" w:bidi="ar-SA"/>
                  </w:rPr>
                  <w:t>þ</w:t>
                </w:r>
              </w:sdtContent>
            </w:sdt>
            <w:r>
              <w:rPr>
                <w:rFonts w:hint="eastAsia" w:ascii="宋体" w:hAnsi="宋体" w:eastAsia="宋体" w:cs="宋体"/>
                <w:snapToGrid/>
                <w:color w:val="auto"/>
                <w:kern w:val="0"/>
                <w:sz w:val="21"/>
                <w:szCs w:val="21"/>
                <w:highlight w:val="none"/>
              </w:rPr>
              <w:t>本项目不允许采购进口产品。</w:t>
            </w:r>
          </w:p>
          <w:p w14:paraId="47CD3FE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sdt>
              <w:sdtPr>
                <w:rPr>
                  <w:rFonts w:hint="eastAsia" w:ascii="宋体" w:hAnsi="宋体" w:eastAsia="宋体" w:cs="宋体"/>
                  <w:snapToGrid/>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宋体" w:hAnsi="宋体" w:eastAsia="宋体" w:cs="宋体"/>
                    <w:snapToGrid/>
                    <w:color w:val="auto"/>
                    <w:kern w:val="0"/>
                    <w:sz w:val="21"/>
                    <w:szCs w:val="21"/>
                    <w:highlight w:val="none"/>
                  </w:rPr>
                  <w:t>☐</w:t>
                </w:r>
              </w:sdtContent>
            </w:sdt>
            <w:r>
              <w:rPr>
                <w:rFonts w:hint="eastAsia" w:ascii="宋体" w:hAnsi="宋体" w:eastAsia="宋体" w:cs="宋体"/>
                <w:snapToGrid/>
                <w:color w:val="auto"/>
                <w:kern w:val="0"/>
                <w:sz w:val="21"/>
                <w:szCs w:val="21"/>
                <w:highlight w:val="none"/>
              </w:rPr>
              <w:t>可以就</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采购进口产品。</w:t>
            </w:r>
          </w:p>
        </w:tc>
      </w:tr>
      <w:tr w14:paraId="17C6E59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42FACD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4</w:t>
            </w:r>
          </w:p>
        </w:tc>
        <w:tc>
          <w:tcPr>
            <w:tcW w:w="1052" w:type="pct"/>
            <w:tcBorders>
              <w:tl2br w:val="nil"/>
              <w:tr2bl w:val="nil"/>
            </w:tcBorders>
            <w:vAlign w:val="center"/>
          </w:tcPr>
          <w:p w14:paraId="2C163E73">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分包</w:t>
            </w:r>
          </w:p>
        </w:tc>
        <w:tc>
          <w:tcPr>
            <w:tcW w:w="3593" w:type="pct"/>
            <w:tcBorders>
              <w:tl2br w:val="nil"/>
              <w:tr2bl w:val="nil"/>
            </w:tcBorders>
            <w:vAlign w:val="center"/>
          </w:tcPr>
          <w:p w14:paraId="7A994BF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sdt>
              <w:sdtPr>
                <w:rPr>
                  <w:rFonts w:hint="eastAsia" w:ascii="宋体" w:hAnsi="宋体" w:eastAsia="宋体" w:cs="宋体"/>
                  <w:snapToGrid/>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宋体" w:hAnsi="宋体" w:eastAsia="宋体" w:cs="宋体"/>
                    <w:snapToGrid/>
                    <w:color w:val="auto"/>
                    <w:kern w:val="0"/>
                    <w:sz w:val="21"/>
                    <w:szCs w:val="21"/>
                    <w:highlight w:val="none"/>
                    <w:lang w:val="en-US" w:eastAsia="zh-CN" w:bidi="ar-SA"/>
                  </w:rPr>
                  <w:t>☐</w:t>
                </w:r>
              </w:sdtContent>
            </w:sdt>
            <w:r>
              <w:rPr>
                <w:rFonts w:hint="eastAsia" w:ascii="宋体" w:hAnsi="宋体" w:eastAsia="宋体" w:cs="宋体"/>
                <w:snapToGrid/>
                <w:color w:val="auto"/>
                <w:kern w:val="0"/>
                <w:sz w:val="21"/>
                <w:szCs w:val="21"/>
                <w:highlight w:val="none"/>
              </w:rPr>
              <w:t xml:space="preserve"> A</w:t>
            </w:r>
            <w:r>
              <w:rPr>
                <w:rFonts w:hint="eastAsia" w:ascii="宋体" w:hAnsi="宋体" w:eastAsia="宋体" w:cs="宋体"/>
                <w:snapToGrid/>
                <w:color w:val="auto"/>
                <w:sz w:val="21"/>
                <w:szCs w:val="21"/>
                <w:highlight w:val="none"/>
              </w:rPr>
              <w:t>同意将非主体、非关键性的</w:t>
            </w:r>
            <w:r>
              <w:rPr>
                <w:rFonts w:hint="eastAsia" w:ascii="宋体" w:hAnsi="宋体" w:eastAsia="宋体" w:cs="宋体"/>
                <w:snapToGrid/>
                <w:color w:val="auto"/>
                <w:sz w:val="21"/>
                <w:szCs w:val="21"/>
                <w:highlight w:val="none"/>
                <w:lang w:val="en-US" w:eastAsia="zh-CN"/>
              </w:rPr>
              <w:t>劳务等</w:t>
            </w:r>
            <w:r>
              <w:rPr>
                <w:rFonts w:hint="eastAsia" w:ascii="宋体" w:hAnsi="宋体" w:eastAsia="宋体" w:cs="宋体"/>
                <w:snapToGrid/>
                <w:color w:val="auto"/>
                <w:sz w:val="21"/>
                <w:szCs w:val="21"/>
                <w:highlight w:val="none"/>
              </w:rPr>
              <w:t>工作分包。</w:t>
            </w:r>
          </w:p>
          <w:p w14:paraId="1E59DDF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sdt>
              <w:sdtPr>
                <w:rPr>
                  <w:rFonts w:hint="eastAsia" w:ascii="宋体" w:hAnsi="宋体" w:eastAsia="宋体" w:cs="宋体"/>
                  <w:snapToGrid/>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Wingdings" w:hAnsi="Wingdings" w:eastAsia="宋体" w:cs="宋体"/>
                    <w:snapToGrid/>
                    <w:color w:val="auto"/>
                    <w:kern w:val="0"/>
                    <w:sz w:val="21"/>
                    <w:szCs w:val="21"/>
                    <w:highlight w:val="none"/>
                    <w:lang w:val="en-US" w:eastAsia="zh-CN" w:bidi="ar-SA"/>
                  </w:rPr>
                  <w:t>þ</w:t>
                </w:r>
              </w:sdtContent>
            </w:sdt>
            <w:r>
              <w:rPr>
                <w:rFonts w:hint="eastAsia" w:ascii="宋体" w:hAnsi="宋体" w:eastAsia="宋体" w:cs="宋体"/>
                <w:snapToGrid/>
                <w:color w:val="auto"/>
                <w:kern w:val="0"/>
                <w:sz w:val="21"/>
                <w:szCs w:val="21"/>
                <w:highlight w:val="none"/>
              </w:rPr>
              <w:t xml:space="preserve"> B</w:t>
            </w:r>
            <w:r>
              <w:rPr>
                <w:rFonts w:hint="eastAsia" w:ascii="宋体" w:hAnsi="宋体" w:eastAsia="宋体" w:cs="宋体"/>
                <w:snapToGrid/>
                <w:color w:val="auto"/>
                <w:sz w:val="21"/>
                <w:szCs w:val="21"/>
                <w:highlight w:val="none"/>
              </w:rPr>
              <w:t>不同意分包。</w:t>
            </w:r>
          </w:p>
        </w:tc>
      </w:tr>
      <w:tr w14:paraId="5E3A118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2DA02F67">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5</w:t>
            </w:r>
          </w:p>
        </w:tc>
        <w:tc>
          <w:tcPr>
            <w:tcW w:w="1052" w:type="pct"/>
            <w:tcBorders>
              <w:tl2br w:val="nil"/>
              <w:tr2bl w:val="nil"/>
            </w:tcBorders>
            <w:vAlign w:val="center"/>
          </w:tcPr>
          <w:p w14:paraId="32054ED5">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磋商前答疑会或现场考察</w:t>
            </w:r>
          </w:p>
        </w:tc>
        <w:tc>
          <w:tcPr>
            <w:tcW w:w="3593" w:type="pct"/>
            <w:tcBorders>
              <w:tl2br w:val="nil"/>
              <w:tr2bl w:val="nil"/>
            </w:tcBorders>
            <w:vAlign w:val="center"/>
          </w:tcPr>
          <w:p w14:paraId="4393C9B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sdt>
              <w:sdtPr>
                <w:rPr>
                  <w:rFonts w:hint="eastAsia" w:ascii="宋体" w:hAnsi="宋体" w:eastAsia="宋体" w:cs="宋体"/>
                  <w:snapToGrid/>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Wingdings" w:hAnsi="Wingdings" w:eastAsia="宋体" w:cs="宋体"/>
                    <w:snapToGrid/>
                    <w:color w:val="auto"/>
                    <w:kern w:val="0"/>
                    <w:sz w:val="21"/>
                    <w:szCs w:val="21"/>
                    <w:highlight w:val="none"/>
                    <w:lang w:val="en-US" w:eastAsia="zh-CN" w:bidi="ar-SA"/>
                  </w:rPr>
                  <w:t>þ</w:t>
                </w:r>
              </w:sdtContent>
            </w:sdt>
            <w:r>
              <w:rPr>
                <w:rFonts w:hint="eastAsia" w:ascii="宋体" w:hAnsi="宋体" w:eastAsia="宋体" w:cs="宋体"/>
                <w:snapToGrid/>
                <w:color w:val="auto"/>
                <w:kern w:val="0"/>
                <w:sz w:val="21"/>
                <w:szCs w:val="21"/>
                <w:highlight w:val="none"/>
              </w:rPr>
              <w:t>A</w:t>
            </w:r>
            <w:r>
              <w:rPr>
                <w:rFonts w:hint="eastAsia" w:ascii="宋体" w:hAnsi="宋体" w:eastAsia="宋体" w:cs="宋体"/>
                <w:snapToGrid/>
                <w:color w:val="auto"/>
                <w:sz w:val="21"/>
                <w:szCs w:val="21"/>
                <w:highlight w:val="none"/>
              </w:rPr>
              <w:t>不组织。</w:t>
            </w:r>
          </w:p>
          <w:p w14:paraId="434FC8CE">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sdt>
              <w:sdtPr>
                <w:rPr>
                  <w:rFonts w:hint="eastAsia" w:ascii="宋体" w:hAnsi="宋体" w:eastAsia="宋体" w:cs="宋体"/>
                  <w:snapToGrid/>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宋体" w:hAnsi="宋体" w:eastAsia="宋体" w:cs="宋体"/>
                    <w:snapToGrid/>
                    <w:color w:val="auto"/>
                    <w:kern w:val="0"/>
                    <w:sz w:val="21"/>
                    <w:szCs w:val="21"/>
                    <w:highlight w:val="none"/>
                    <w:lang w:val="en-US" w:eastAsia="zh-CN" w:bidi="ar-SA"/>
                  </w:rPr>
                  <w:t>☐</w:t>
                </w:r>
              </w:sdtContent>
            </w:sdt>
            <w:r>
              <w:rPr>
                <w:rFonts w:hint="eastAsia" w:ascii="宋体" w:hAnsi="宋体" w:eastAsia="宋体" w:cs="宋体"/>
                <w:snapToGrid/>
                <w:color w:val="auto"/>
                <w:kern w:val="0"/>
                <w:sz w:val="21"/>
                <w:szCs w:val="21"/>
                <w:highlight w:val="none"/>
              </w:rPr>
              <w:t>B组织，</w:t>
            </w:r>
            <w:r>
              <w:rPr>
                <w:rFonts w:hint="eastAsia" w:ascii="宋体" w:hAnsi="宋体" w:eastAsia="宋体" w:cs="宋体"/>
                <w:snapToGrid/>
                <w:color w:val="auto"/>
                <w:sz w:val="21"/>
                <w:szCs w:val="21"/>
                <w:highlight w:val="none"/>
                <w:lang w:val="en-US" w:eastAsia="zh-CN"/>
              </w:rPr>
              <w:t>本项目不统一组织现场考察</w:t>
            </w:r>
            <w:r>
              <w:rPr>
                <w:rFonts w:hint="eastAsia" w:ascii="宋体" w:hAnsi="宋体" w:eastAsia="宋体" w:cs="宋体"/>
                <w:snapToGrid/>
                <w:color w:val="auto"/>
                <w:sz w:val="21"/>
                <w:szCs w:val="21"/>
                <w:highlight w:val="none"/>
              </w:rPr>
              <w:t>，</w:t>
            </w:r>
            <w:r>
              <w:rPr>
                <w:rFonts w:hint="eastAsia" w:ascii="宋体" w:hAnsi="宋体" w:eastAsia="宋体" w:cs="宋体"/>
                <w:snapToGrid/>
                <w:color w:val="auto"/>
                <w:sz w:val="21"/>
                <w:szCs w:val="21"/>
                <w:highlight w:val="none"/>
                <w:lang w:val="en-US" w:eastAsia="zh-CN"/>
              </w:rPr>
              <w:t>供应商可自行前往现场考察。现场考察</w:t>
            </w:r>
            <w:r>
              <w:rPr>
                <w:rFonts w:hint="eastAsia" w:ascii="宋体" w:hAnsi="宋体" w:eastAsia="宋体" w:cs="宋体"/>
                <w:snapToGrid/>
                <w:color w:val="auto"/>
                <w:sz w:val="21"/>
                <w:szCs w:val="21"/>
                <w:highlight w:val="none"/>
              </w:rPr>
              <w:t>联系人：</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sz w:val="21"/>
                <w:szCs w:val="21"/>
                <w:highlight w:val="none"/>
              </w:rPr>
              <w:t>，联系方式：</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sz w:val="21"/>
                <w:szCs w:val="21"/>
                <w:highlight w:val="none"/>
              </w:rPr>
              <w:t>。</w:t>
            </w:r>
          </w:p>
        </w:tc>
      </w:tr>
      <w:tr w14:paraId="3718C3E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4F9ED9AE">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6</w:t>
            </w:r>
          </w:p>
        </w:tc>
        <w:tc>
          <w:tcPr>
            <w:tcW w:w="1052" w:type="pct"/>
            <w:tcBorders>
              <w:tl2br w:val="nil"/>
              <w:tr2bl w:val="nil"/>
            </w:tcBorders>
            <w:vAlign w:val="center"/>
          </w:tcPr>
          <w:p w14:paraId="0A829BBB">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样品提供</w:t>
            </w:r>
          </w:p>
        </w:tc>
        <w:tc>
          <w:tcPr>
            <w:tcW w:w="3593" w:type="pct"/>
            <w:tcBorders>
              <w:tl2br w:val="nil"/>
              <w:tr2bl w:val="nil"/>
            </w:tcBorders>
            <w:vAlign w:val="center"/>
          </w:tcPr>
          <w:p w14:paraId="621EA71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sdt>
              <w:sdtPr>
                <w:rPr>
                  <w:rFonts w:hint="eastAsia" w:ascii="宋体" w:hAnsi="宋体" w:eastAsia="宋体" w:cs="宋体"/>
                  <w:snapToGrid/>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Wingdings" w:hAnsi="Wingdings" w:eastAsia="宋体" w:cs="宋体"/>
                    <w:snapToGrid/>
                    <w:color w:val="auto"/>
                    <w:kern w:val="0"/>
                    <w:sz w:val="21"/>
                    <w:szCs w:val="21"/>
                    <w:highlight w:val="none"/>
                    <w:lang w:val="en-US" w:eastAsia="zh-CN" w:bidi="ar-SA"/>
                  </w:rPr>
                  <w:t>þ</w:t>
                </w:r>
              </w:sdtContent>
            </w:sdt>
            <w:r>
              <w:rPr>
                <w:rFonts w:hint="eastAsia" w:ascii="宋体" w:hAnsi="宋体" w:eastAsia="宋体" w:cs="宋体"/>
                <w:snapToGrid/>
                <w:color w:val="auto"/>
                <w:kern w:val="0"/>
                <w:sz w:val="21"/>
                <w:szCs w:val="21"/>
                <w:highlight w:val="none"/>
              </w:rPr>
              <w:t>A</w:t>
            </w:r>
            <w:r>
              <w:rPr>
                <w:rFonts w:hint="eastAsia" w:ascii="宋体" w:hAnsi="宋体" w:eastAsia="宋体" w:cs="宋体"/>
                <w:snapToGrid/>
                <w:color w:val="auto"/>
                <w:sz w:val="21"/>
                <w:szCs w:val="21"/>
                <w:highlight w:val="none"/>
              </w:rPr>
              <w:t>不要求提供。</w:t>
            </w:r>
          </w:p>
          <w:p w14:paraId="6DCB6CA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sdt>
              <w:sdtPr>
                <w:rPr>
                  <w:rFonts w:hint="eastAsia" w:ascii="宋体" w:hAnsi="宋体" w:eastAsia="宋体" w:cs="宋体"/>
                  <w:snapToGrid/>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宋体" w:hAnsi="宋体" w:eastAsia="宋体" w:cs="宋体"/>
                    <w:snapToGrid/>
                    <w:color w:val="auto"/>
                    <w:kern w:val="0"/>
                    <w:sz w:val="21"/>
                    <w:szCs w:val="21"/>
                    <w:highlight w:val="none"/>
                  </w:rPr>
                  <w:t>☐</w:t>
                </w:r>
              </w:sdtContent>
            </w:sdt>
            <w:r>
              <w:rPr>
                <w:rFonts w:hint="eastAsia" w:ascii="宋体" w:hAnsi="宋体" w:eastAsia="宋体" w:cs="宋体"/>
                <w:snapToGrid/>
                <w:color w:val="auto"/>
                <w:kern w:val="0"/>
                <w:sz w:val="21"/>
                <w:szCs w:val="21"/>
                <w:highlight w:val="none"/>
              </w:rPr>
              <w:t>B要求提供，</w:t>
            </w:r>
          </w:p>
          <w:p w14:paraId="3D23A14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（1）</w:t>
            </w:r>
            <w:r>
              <w:rPr>
                <w:rFonts w:hint="eastAsia" w:ascii="宋体" w:hAnsi="宋体" w:eastAsia="宋体" w:cs="宋体"/>
                <w:snapToGrid/>
                <w:color w:val="auto"/>
                <w:kern w:val="28"/>
                <w:sz w:val="21"/>
                <w:szCs w:val="21"/>
                <w:highlight w:val="none"/>
              </w:rPr>
              <w:t>样品：</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w:t>
            </w:r>
          </w:p>
          <w:p w14:paraId="43402FE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（2）</w:t>
            </w:r>
            <w:r>
              <w:rPr>
                <w:rFonts w:hint="eastAsia" w:ascii="宋体" w:hAnsi="宋体" w:eastAsia="宋体" w:cs="宋体"/>
                <w:snapToGrid/>
                <w:color w:val="auto"/>
                <w:kern w:val="28"/>
                <w:sz w:val="21"/>
                <w:szCs w:val="21"/>
                <w:highlight w:val="none"/>
              </w:rPr>
              <w:t>样品制作的标准和要求：</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w:t>
            </w:r>
          </w:p>
          <w:p w14:paraId="7277BB9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（3）样品的评审方法以及评审标准</w:t>
            </w:r>
            <w:r>
              <w:rPr>
                <w:rFonts w:hint="eastAsia" w:ascii="宋体" w:hAnsi="宋体" w:eastAsia="宋体" w:cs="宋体"/>
                <w:snapToGrid/>
                <w:color w:val="auto"/>
                <w:kern w:val="28"/>
                <w:sz w:val="21"/>
                <w:szCs w:val="21"/>
                <w:highlight w:val="none"/>
              </w:rPr>
              <w:t>：详见</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w:t>
            </w:r>
          </w:p>
          <w:p w14:paraId="1C2F7AE6">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（4）是否需要随样品提交检测报告：</w:t>
            </w:r>
            <w:sdt>
              <w:sdtPr>
                <w:rPr>
                  <w:rFonts w:hint="eastAsia" w:ascii="宋体" w:hAnsi="宋体" w:eastAsia="宋体" w:cs="宋体"/>
                  <w:snapToGrid/>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宋体" w:hAnsi="宋体" w:eastAsia="宋体" w:cs="宋体"/>
                    <w:snapToGrid/>
                    <w:color w:val="auto"/>
                    <w:kern w:val="0"/>
                    <w:sz w:val="21"/>
                    <w:szCs w:val="21"/>
                    <w:highlight w:val="none"/>
                  </w:rPr>
                  <w:t>☐</w:t>
                </w:r>
              </w:sdtContent>
            </w:sdt>
            <w:r>
              <w:rPr>
                <w:rFonts w:hint="eastAsia" w:ascii="宋体" w:hAnsi="宋体" w:eastAsia="宋体" w:cs="宋体"/>
                <w:snapToGrid/>
                <w:color w:val="auto"/>
                <w:kern w:val="0"/>
                <w:sz w:val="21"/>
                <w:szCs w:val="21"/>
                <w:highlight w:val="none"/>
              </w:rPr>
              <w:t>否；</w:t>
            </w:r>
            <w:sdt>
              <w:sdtPr>
                <w:rPr>
                  <w:rFonts w:hint="eastAsia" w:ascii="宋体" w:hAnsi="宋体" w:eastAsia="宋体" w:cs="宋体"/>
                  <w:snapToGrid/>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宋体" w:hAnsi="宋体" w:eastAsia="宋体" w:cs="宋体"/>
                    <w:snapToGrid/>
                    <w:color w:val="auto"/>
                    <w:kern w:val="0"/>
                    <w:sz w:val="21"/>
                    <w:szCs w:val="21"/>
                    <w:highlight w:val="none"/>
                  </w:rPr>
                  <w:t>☐</w:t>
                </w:r>
              </w:sdtContent>
            </w:sdt>
            <w:r>
              <w:rPr>
                <w:rFonts w:hint="eastAsia" w:ascii="宋体" w:hAnsi="宋体" w:eastAsia="宋体" w:cs="宋体"/>
                <w:snapToGrid/>
                <w:color w:val="auto"/>
                <w:kern w:val="0"/>
                <w:sz w:val="21"/>
                <w:szCs w:val="21"/>
                <w:highlight w:val="none"/>
              </w:rPr>
              <w:t>是，检测机构的要求</w:t>
            </w:r>
            <w:r>
              <w:rPr>
                <w:rFonts w:hint="eastAsia" w:ascii="宋体" w:hAnsi="宋体" w:eastAsia="宋体" w:cs="宋体"/>
                <w:snapToGrid/>
                <w:color w:val="auto"/>
                <w:sz w:val="21"/>
                <w:szCs w:val="21"/>
                <w:highlight w:val="none"/>
              </w:rPr>
              <w:t>：</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；检测内容</w:t>
            </w:r>
            <w:r>
              <w:rPr>
                <w:rFonts w:hint="eastAsia" w:ascii="宋体" w:hAnsi="宋体" w:eastAsia="宋体" w:cs="宋体"/>
                <w:snapToGrid/>
                <w:color w:val="auto"/>
                <w:sz w:val="21"/>
                <w:szCs w:val="21"/>
                <w:highlight w:val="none"/>
              </w:rPr>
              <w:t>：</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w:t>
            </w:r>
          </w:p>
          <w:p w14:paraId="14C7C66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（5）提供样品的时间：</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；地点：</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；联系人</w:t>
            </w:r>
            <w:r>
              <w:rPr>
                <w:rFonts w:hint="eastAsia" w:ascii="宋体" w:hAnsi="宋体" w:eastAsia="宋体" w:cs="宋体"/>
                <w:snapToGrid/>
                <w:color w:val="auto"/>
                <w:sz w:val="21"/>
                <w:szCs w:val="21"/>
                <w:highlight w:val="none"/>
              </w:rPr>
              <w:t>：</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sz w:val="21"/>
                <w:szCs w:val="21"/>
                <w:highlight w:val="none"/>
              </w:rPr>
              <w:t>，</w:t>
            </w:r>
            <w:r>
              <w:rPr>
                <w:rFonts w:hint="eastAsia" w:ascii="宋体" w:hAnsi="宋体" w:eastAsia="宋体" w:cs="宋体"/>
                <w:snapToGrid/>
                <w:color w:val="auto"/>
                <w:kern w:val="28"/>
                <w:sz w:val="21"/>
                <w:szCs w:val="21"/>
                <w:highlight w:val="none"/>
              </w:rPr>
              <w:t>联系电话：</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sz w:val="21"/>
                <w:szCs w:val="21"/>
                <w:highlight w:val="none"/>
              </w:rPr>
              <w:t>。请供应商在上述时间内提供样品并按规定位置安装完毕。超过截止时间的，采购人或采购代理机构将不予接收，并将清场并封闭样品现场。</w:t>
            </w:r>
          </w:p>
          <w:p w14:paraId="2AF786AB">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（6）采购活动结束后，对于未成交供应商提供的样品，采购人、</w:t>
            </w:r>
            <w:r>
              <w:rPr>
                <w:rFonts w:hint="eastAsia" w:ascii="宋体" w:hAnsi="宋体" w:eastAsia="宋体" w:cs="宋体"/>
                <w:snapToGrid/>
                <w:color w:val="auto"/>
                <w:sz w:val="21"/>
                <w:szCs w:val="21"/>
                <w:highlight w:val="none"/>
                <w:lang w:eastAsia="zh-CN"/>
              </w:rPr>
              <w:t>采购代理机构</w:t>
            </w:r>
            <w:r>
              <w:rPr>
                <w:rFonts w:hint="eastAsia" w:ascii="宋体" w:hAnsi="宋体" w:eastAsia="宋体" w:cs="宋体"/>
                <w:snapToGrid/>
                <w:color w:val="auto"/>
                <w:sz w:val="21"/>
                <w:szCs w:val="21"/>
                <w:highlight w:val="none"/>
              </w:rPr>
              <w:t>将通知未成交供应商在规定的时间内取回，逾期未取回的，采购人、</w:t>
            </w:r>
            <w:r>
              <w:rPr>
                <w:rFonts w:hint="eastAsia" w:ascii="宋体" w:hAnsi="宋体" w:eastAsia="宋体" w:cs="宋体"/>
                <w:snapToGrid/>
                <w:color w:val="auto"/>
                <w:sz w:val="21"/>
                <w:szCs w:val="21"/>
                <w:highlight w:val="none"/>
                <w:lang w:eastAsia="zh-CN"/>
              </w:rPr>
              <w:t>采购代理机构</w:t>
            </w:r>
            <w:r>
              <w:rPr>
                <w:rFonts w:hint="eastAsia" w:ascii="宋体" w:hAnsi="宋体" w:eastAsia="宋体" w:cs="宋体"/>
                <w:snapToGrid/>
                <w:color w:val="auto"/>
                <w:sz w:val="21"/>
                <w:szCs w:val="21"/>
                <w:highlight w:val="none"/>
              </w:rPr>
              <w:t>不负保管义务；对于成交供应商提供的样品，采购人将进行保管、封存，并作为履约验收的参考。</w:t>
            </w:r>
          </w:p>
          <w:p w14:paraId="630E7B2F">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snapToGrid/>
                <w:color w:val="auto"/>
                <w:sz w:val="21"/>
                <w:szCs w:val="21"/>
                <w:highlight w:val="none"/>
              </w:rPr>
              <w:t>（7）制作、运输、安装和保管样品所发生的一切费用由供应商自理。</w:t>
            </w:r>
          </w:p>
        </w:tc>
      </w:tr>
      <w:tr w14:paraId="3B79671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1096405A">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7</w:t>
            </w:r>
          </w:p>
        </w:tc>
        <w:tc>
          <w:tcPr>
            <w:tcW w:w="1052" w:type="pct"/>
            <w:tcBorders>
              <w:tl2br w:val="nil"/>
              <w:tr2bl w:val="nil"/>
            </w:tcBorders>
            <w:vAlign w:val="center"/>
          </w:tcPr>
          <w:p w14:paraId="5CF2DA1E">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napToGrid/>
                <w:color w:val="auto"/>
                <w:sz w:val="21"/>
                <w:szCs w:val="21"/>
                <w:highlight w:val="none"/>
              </w:rPr>
            </w:pPr>
            <w:r>
              <w:rPr>
                <w:rFonts w:hint="eastAsia" w:ascii="宋体" w:hAnsi="宋体" w:eastAsia="宋体" w:cs="宋体"/>
                <w:b/>
                <w:snapToGrid/>
                <w:color w:val="auto"/>
                <w:sz w:val="21"/>
                <w:szCs w:val="21"/>
                <w:highlight w:val="none"/>
              </w:rPr>
              <w:t>方案讲解演示</w:t>
            </w:r>
          </w:p>
        </w:tc>
        <w:tc>
          <w:tcPr>
            <w:tcW w:w="3593" w:type="pct"/>
            <w:tcBorders>
              <w:tl2br w:val="nil"/>
              <w:tr2bl w:val="nil"/>
            </w:tcBorders>
            <w:vAlign w:val="center"/>
          </w:tcPr>
          <w:p w14:paraId="67A5385B">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sdt>
              <w:sdtPr>
                <w:rPr>
                  <w:rFonts w:hint="eastAsia" w:ascii="宋体" w:hAnsi="宋体" w:eastAsia="宋体" w:cs="宋体"/>
                  <w:snapToGrid/>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Wingdings" w:hAnsi="Wingdings" w:eastAsia="宋体" w:cs="宋体"/>
                    <w:snapToGrid/>
                    <w:color w:val="auto"/>
                    <w:kern w:val="0"/>
                    <w:sz w:val="21"/>
                    <w:szCs w:val="21"/>
                    <w:highlight w:val="none"/>
                    <w:lang w:val="en-US" w:eastAsia="zh-CN" w:bidi="ar-SA"/>
                  </w:rPr>
                  <w:t>þ</w:t>
                </w:r>
              </w:sdtContent>
            </w:sdt>
            <w:r>
              <w:rPr>
                <w:rFonts w:hint="eastAsia" w:ascii="宋体" w:hAnsi="宋体" w:eastAsia="宋体" w:cs="宋体"/>
                <w:snapToGrid/>
                <w:color w:val="auto"/>
                <w:kern w:val="0"/>
                <w:sz w:val="21"/>
                <w:szCs w:val="21"/>
                <w:highlight w:val="none"/>
              </w:rPr>
              <w:t>A</w:t>
            </w:r>
            <w:r>
              <w:rPr>
                <w:rFonts w:hint="eastAsia" w:ascii="宋体" w:hAnsi="宋体" w:eastAsia="宋体" w:cs="宋体"/>
                <w:snapToGrid/>
                <w:color w:val="auto"/>
                <w:sz w:val="21"/>
                <w:szCs w:val="21"/>
                <w:highlight w:val="none"/>
              </w:rPr>
              <w:t>不组织。</w:t>
            </w:r>
          </w:p>
          <w:p w14:paraId="7E5AB036">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sdt>
              <w:sdtPr>
                <w:rPr>
                  <w:rFonts w:hint="eastAsia" w:ascii="宋体" w:hAnsi="宋体" w:eastAsia="宋体" w:cs="宋体"/>
                  <w:snapToGrid/>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snapToGrid/>
                  <w:color w:val="auto"/>
                  <w:kern w:val="0"/>
                  <w:sz w:val="21"/>
                  <w:szCs w:val="21"/>
                  <w:highlight w:val="none"/>
                </w:rPr>
              </w:sdtEndPr>
              <w:sdtContent>
                <w:r>
                  <w:rPr>
                    <w:rFonts w:hint="eastAsia" w:ascii="宋体" w:hAnsi="宋体" w:eastAsia="宋体" w:cs="宋体"/>
                    <w:snapToGrid/>
                    <w:color w:val="auto"/>
                    <w:kern w:val="0"/>
                    <w:sz w:val="21"/>
                    <w:szCs w:val="21"/>
                    <w:highlight w:val="none"/>
                  </w:rPr>
                  <w:t>☐</w:t>
                </w:r>
              </w:sdtContent>
            </w:sdt>
            <w:r>
              <w:rPr>
                <w:rFonts w:hint="eastAsia" w:ascii="宋体" w:hAnsi="宋体" w:eastAsia="宋体" w:cs="宋体"/>
                <w:snapToGrid/>
                <w:color w:val="auto"/>
                <w:kern w:val="0"/>
                <w:sz w:val="21"/>
                <w:szCs w:val="21"/>
                <w:highlight w:val="none"/>
              </w:rPr>
              <w:t>B组织。</w:t>
            </w:r>
          </w:p>
          <w:p w14:paraId="48FA867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（1）在评审时安排每个供应商进行方案讲解演示。每个供应商时间不超过</w:t>
            </w:r>
            <w:r>
              <w:rPr>
                <w:rFonts w:hint="eastAsia" w:ascii="宋体" w:hAnsi="宋体" w:eastAsia="宋体" w:cs="宋体"/>
                <w:snapToGrid/>
                <w:color w:val="auto"/>
                <w:kern w:val="0"/>
                <w:sz w:val="21"/>
                <w:szCs w:val="21"/>
                <w:highlight w:val="none"/>
                <w:u w:val="single"/>
              </w:rPr>
              <w:t>20</w:t>
            </w:r>
            <w:r>
              <w:rPr>
                <w:rFonts w:hint="eastAsia" w:ascii="宋体" w:hAnsi="宋体" w:eastAsia="宋体" w:cs="宋体"/>
                <w:snapToGrid/>
                <w:color w:val="auto"/>
                <w:kern w:val="0"/>
                <w:sz w:val="21"/>
                <w:szCs w:val="21"/>
                <w:highlight w:val="none"/>
                <w:u w:val="single"/>
                <w:lang w:eastAsia="zh-CN"/>
              </w:rPr>
              <w:t>（</w:t>
            </w:r>
            <w:r>
              <w:rPr>
                <w:rFonts w:hint="eastAsia" w:ascii="宋体" w:hAnsi="宋体" w:eastAsia="宋体" w:cs="宋体"/>
                <w:snapToGrid/>
                <w:color w:val="auto"/>
                <w:kern w:val="0"/>
                <w:sz w:val="21"/>
                <w:szCs w:val="21"/>
                <w:highlight w:val="none"/>
                <w:u w:val="single"/>
                <w:lang w:val="en-US" w:eastAsia="zh-CN"/>
              </w:rPr>
              <w:t>编制时可根据项目情况进行调整</w:t>
            </w:r>
            <w:r>
              <w:rPr>
                <w:rFonts w:hint="eastAsia" w:ascii="宋体" w:hAnsi="宋体" w:eastAsia="宋体" w:cs="宋体"/>
                <w:snapToGrid/>
                <w:color w:val="auto"/>
                <w:kern w:val="0"/>
                <w:sz w:val="21"/>
                <w:szCs w:val="21"/>
                <w:highlight w:val="none"/>
                <w:u w:val="single"/>
                <w:lang w:eastAsia="zh-CN"/>
              </w:rPr>
              <w:t>）</w:t>
            </w:r>
            <w:r>
              <w:rPr>
                <w:rFonts w:hint="eastAsia" w:ascii="宋体" w:hAnsi="宋体" w:eastAsia="宋体" w:cs="宋体"/>
                <w:snapToGrid/>
                <w:color w:val="auto"/>
                <w:kern w:val="0"/>
                <w:sz w:val="21"/>
                <w:szCs w:val="21"/>
                <w:highlight w:val="none"/>
              </w:rPr>
              <w:t>分钟，讲解次序以响应文件解密时间先后次序为准，讲解演示人员不超过</w:t>
            </w:r>
            <w:r>
              <w:rPr>
                <w:rFonts w:hint="eastAsia" w:ascii="宋体" w:hAnsi="宋体" w:eastAsia="宋体" w:cs="宋体"/>
                <w:snapToGrid/>
                <w:color w:val="auto"/>
                <w:kern w:val="0"/>
                <w:sz w:val="21"/>
                <w:szCs w:val="21"/>
                <w:highlight w:val="none"/>
                <w:u w:val="single"/>
              </w:rPr>
              <w:t>3</w:t>
            </w:r>
            <w:r>
              <w:rPr>
                <w:rFonts w:hint="eastAsia" w:ascii="宋体" w:hAnsi="宋体" w:eastAsia="宋体" w:cs="宋体"/>
                <w:snapToGrid/>
                <w:color w:val="auto"/>
                <w:kern w:val="0"/>
                <w:sz w:val="21"/>
                <w:szCs w:val="21"/>
                <w:highlight w:val="none"/>
                <w:u w:val="single"/>
                <w:lang w:eastAsia="zh-CN"/>
              </w:rPr>
              <w:t>（</w:t>
            </w:r>
            <w:r>
              <w:rPr>
                <w:rFonts w:hint="eastAsia" w:ascii="宋体" w:hAnsi="宋体" w:eastAsia="宋体" w:cs="宋体"/>
                <w:snapToGrid/>
                <w:color w:val="auto"/>
                <w:kern w:val="0"/>
                <w:sz w:val="21"/>
                <w:szCs w:val="21"/>
                <w:highlight w:val="none"/>
                <w:u w:val="single"/>
                <w:lang w:val="en-US" w:eastAsia="zh-CN"/>
              </w:rPr>
              <w:t>编制时可根据项目情况进行调整</w:t>
            </w:r>
            <w:r>
              <w:rPr>
                <w:rFonts w:hint="eastAsia" w:ascii="宋体" w:hAnsi="宋体" w:eastAsia="宋体" w:cs="宋体"/>
                <w:snapToGrid/>
                <w:color w:val="auto"/>
                <w:kern w:val="0"/>
                <w:sz w:val="21"/>
                <w:szCs w:val="21"/>
                <w:highlight w:val="none"/>
                <w:u w:val="single"/>
                <w:lang w:eastAsia="zh-CN"/>
              </w:rPr>
              <w:t>）</w:t>
            </w:r>
            <w:r>
              <w:rPr>
                <w:rFonts w:hint="eastAsia" w:ascii="宋体" w:hAnsi="宋体" w:eastAsia="宋体" w:cs="宋体"/>
                <w:snapToGrid/>
                <w:color w:val="auto"/>
                <w:kern w:val="0"/>
                <w:sz w:val="21"/>
                <w:szCs w:val="21"/>
                <w:highlight w:val="none"/>
              </w:rPr>
              <w:t>人。讲解演示结束后按要求解答磋商小组提问。</w:t>
            </w:r>
          </w:p>
          <w:p w14:paraId="6D36167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（2）方案讲解演示可选择以下其中一种方式：</w:t>
            </w:r>
          </w:p>
          <w:p w14:paraId="68B86681">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方式一：政采云平台在线讲解演示。政采云平台在线讲解需供应商根据政采云平台操作要求做好准备工作，提前完善软硬件配置环境。</w:t>
            </w:r>
          </w:p>
          <w:p w14:paraId="4BB5EA7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方式二：现场讲解演示。现场讲解地点为</w:t>
            </w:r>
            <w:r>
              <w:rPr>
                <w:rFonts w:hint="eastAsia" w:ascii="宋体" w:hAnsi="宋体" w:eastAsia="宋体" w:cs="宋体"/>
                <w:snapToGrid/>
                <w:color w:val="auto"/>
                <w:sz w:val="21"/>
                <w:szCs w:val="21"/>
                <w:highlight w:val="none"/>
                <w:u w:val="single"/>
                <w:lang w:val="en-US" w:eastAsia="zh-CN"/>
              </w:rPr>
              <w:t>/</w:t>
            </w:r>
            <w:r>
              <w:rPr>
                <w:rFonts w:hint="eastAsia" w:ascii="宋体" w:hAnsi="宋体" w:eastAsia="宋体" w:cs="宋体"/>
                <w:snapToGrid/>
                <w:color w:val="auto"/>
                <w:kern w:val="0"/>
                <w:sz w:val="21"/>
                <w:szCs w:val="21"/>
                <w:highlight w:val="none"/>
              </w:rPr>
              <w:t>，讲解演示所用电脑等设备由供应商自备。现场讲解演示人员进场时提供讲解人员名单（加盖公章或授权代表签名）及身份证明，否则不得讲解演示。</w:t>
            </w:r>
          </w:p>
          <w:p w14:paraId="6521DCB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kern w:val="0"/>
                <w:sz w:val="21"/>
                <w:szCs w:val="21"/>
                <w:highlight w:val="none"/>
                <w:lang w:val="zh-CN"/>
              </w:rPr>
            </w:pPr>
            <w:r>
              <w:rPr>
                <w:rFonts w:hint="eastAsia" w:ascii="宋体" w:hAnsi="宋体" w:eastAsia="宋体" w:cs="宋体"/>
                <w:snapToGrid/>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C08118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restart"/>
            <w:tcBorders>
              <w:tl2br w:val="nil"/>
              <w:tr2bl w:val="nil"/>
            </w:tcBorders>
            <w:vAlign w:val="center"/>
          </w:tcPr>
          <w:p w14:paraId="3B8FAB14">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8</w:t>
            </w:r>
          </w:p>
        </w:tc>
        <w:tc>
          <w:tcPr>
            <w:tcW w:w="1052" w:type="pct"/>
            <w:vMerge w:val="restart"/>
            <w:tcBorders>
              <w:tl2br w:val="nil"/>
              <w:tr2bl w:val="nil"/>
            </w:tcBorders>
            <w:vAlign w:val="center"/>
          </w:tcPr>
          <w:p w14:paraId="7A2F0A3C">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供应商应当提供的资格、资信证明文件</w:t>
            </w:r>
          </w:p>
        </w:tc>
        <w:tc>
          <w:tcPr>
            <w:tcW w:w="3593" w:type="pct"/>
            <w:tcBorders>
              <w:tl2br w:val="nil"/>
              <w:tr2bl w:val="nil"/>
            </w:tcBorders>
            <w:vAlign w:val="center"/>
          </w:tcPr>
          <w:p w14:paraId="0C307FA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（1）资格证明文件：见竞争性磋商文件第二部分11.1。</w:t>
            </w:r>
          </w:p>
          <w:p w14:paraId="1759F10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lang w:val="zh-CN"/>
              </w:rPr>
              <w:t>供应商未提供有效的资格证明文件的，视为供应商不具备</w:t>
            </w:r>
            <w:r>
              <w:rPr>
                <w:rFonts w:hint="eastAsia" w:ascii="宋体" w:hAnsi="宋体" w:cs="宋体"/>
                <w:kern w:val="0"/>
                <w:szCs w:val="21"/>
              </w:rPr>
              <w:t>竞争性磋商</w:t>
            </w:r>
            <w:r>
              <w:rPr>
                <w:rFonts w:hint="eastAsia" w:ascii="宋体" w:hAnsi="宋体" w:eastAsia="宋体" w:cs="宋体"/>
                <w:snapToGrid/>
                <w:color w:val="auto"/>
                <w:kern w:val="0"/>
                <w:sz w:val="21"/>
                <w:szCs w:val="21"/>
                <w:highlight w:val="none"/>
                <w:lang w:val="zh-CN"/>
              </w:rPr>
              <w:t>文件中规定的资格要求，响应文件无效。</w:t>
            </w:r>
          </w:p>
        </w:tc>
      </w:tr>
      <w:tr w14:paraId="766B6CE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continue"/>
            <w:tcBorders>
              <w:tl2br w:val="nil"/>
              <w:tr2bl w:val="nil"/>
            </w:tcBorders>
            <w:vAlign w:val="center"/>
          </w:tcPr>
          <w:p w14:paraId="671C5EA9">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p>
        </w:tc>
        <w:tc>
          <w:tcPr>
            <w:tcW w:w="1052" w:type="pct"/>
            <w:vMerge w:val="continue"/>
            <w:tcBorders>
              <w:tl2br w:val="nil"/>
              <w:tr2bl w:val="nil"/>
            </w:tcBorders>
            <w:vAlign w:val="center"/>
          </w:tcPr>
          <w:p w14:paraId="6D536A3D">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p>
        </w:tc>
        <w:tc>
          <w:tcPr>
            <w:tcW w:w="3593" w:type="pct"/>
            <w:tcBorders>
              <w:tl2br w:val="nil"/>
              <w:tr2bl w:val="nil"/>
            </w:tcBorders>
            <w:vAlign w:val="center"/>
          </w:tcPr>
          <w:p w14:paraId="2E4197A0">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（2）资信证明文件：根据</w:t>
            </w:r>
            <w:r>
              <w:rPr>
                <w:rFonts w:hint="eastAsia" w:ascii="宋体" w:hAnsi="宋体" w:cs="宋体"/>
                <w:kern w:val="0"/>
                <w:szCs w:val="21"/>
              </w:rPr>
              <w:t>竞争性磋商文件</w:t>
            </w:r>
            <w:r>
              <w:rPr>
                <w:rFonts w:hint="eastAsia" w:ascii="宋体" w:hAnsi="宋体" w:eastAsia="宋体" w:cs="宋体"/>
                <w:snapToGrid/>
                <w:color w:val="auto"/>
                <w:sz w:val="21"/>
                <w:szCs w:val="21"/>
                <w:highlight w:val="none"/>
              </w:rPr>
              <w:t>第四部分评审标准提供。</w:t>
            </w:r>
          </w:p>
        </w:tc>
      </w:tr>
      <w:tr w14:paraId="720FC88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2D2E51A6">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9</w:t>
            </w:r>
          </w:p>
        </w:tc>
        <w:tc>
          <w:tcPr>
            <w:tcW w:w="1052" w:type="pct"/>
            <w:tcBorders>
              <w:tl2br w:val="nil"/>
              <w:tr2bl w:val="nil"/>
            </w:tcBorders>
            <w:vAlign w:val="center"/>
          </w:tcPr>
          <w:p w14:paraId="6CDC0F07">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节能产品、环境标志产品</w:t>
            </w:r>
          </w:p>
        </w:tc>
        <w:tc>
          <w:tcPr>
            <w:tcW w:w="3593" w:type="pct"/>
            <w:tcBorders>
              <w:tl2br w:val="nil"/>
              <w:tr2bl w:val="nil"/>
            </w:tcBorders>
            <w:vAlign w:val="center"/>
          </w:tcPr>
          <w:p w14:paraId="6F0BDA71">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019FB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3290D5E">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10</w:t>
            </w:r>
          </w:p>
        </w:tc>
        <w:tc>
          <w:tcPr>
            <w:tcW w:w="1052" w:type="pct"/>
            <w:tcBorders>
              <w:tl2br w:val="nil"/>
              <w:tr2bl w:val="nil"/>
            </w:tcBorders>
            <w:vAlign w:val="center"/>
          </w:tcPr>
          <w:p w14:paraId="459F7B01">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报价要求</w:t>
            </w:r>
          </w:p>
        </w:tc>
        <w:tc>
          <w:tcPr>
            <w:tcW w:w="3593" w:type="pct"/>
            <w:tcBorders>
              <w:tl2br w:val="nil"/>
              <w:tr2bl w:val="nil"/>
            </w:tcBorders>
            <w:vAlign w:val="center"/>
          </w:tcPr>
          <w:p w14:paraId="22FC3D25">
            <w:pPr>
              <w:snapToGrid w:val="0"/>
              <w:spacing w:line="36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最高限价（</w:t>
            </w:r>
            <w:r>
              <w:rPr>
                <w:rFonts w:hint="eastAsia" w:ascii="宋体" w:hAnsi="宋体" w:eastAsia="宋体" w:cs="宋体"/>
                <w:kern w:val="0"/>
                <w:sz w:val="21"/>
                <w:szCs w:val="21"/>
                <w:highlight w:val="none"/>
              </w:rPr>
              <w:t>含税</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u w:val="single"/>
                <w:lang w:val="zh-CN" w:eastAsia="zh-CN"/>
              </w:rPr>
              <w:t>1037123</w:t>
            </w:r>
            <w:r>
              <w:rPr>
                <w:rFonts w:hint="eastAsia" w:ascii="宋体" w:hAnsi="宋体" w:eastAsia="宋体" w:cs="宋体"/>
                <w:kern w:val="0"/>
                <w:sz w:val="21"/>
                <w:szCs w:val="21"/>
                <w:highlight w:val="none"/>
                <w:lang w:val="zh-CN"/>
              </w:rPr>
              <w:t>元人民币</w:t>
            </w:r>
            <w:r>
              <w:rPr>
                <w:rFonts w:hint="eastAsia" w:ascii="宋体" w:hAnsi="宋体" w:eastAsia="宋体" w:cs="宋体"/>
                <w:spacing w:val="-2"/>
                <w:sz w:val="21"/>
                <w:szCs w:val="21"/>
                <w:highlight w:val="none"/>
              </w:rPr>
              <w:t>（其中暂估价（含税）</w:t>
            </w:r>
            <w:r>
              <w:rPr>
                <w:rFonts w:hint="eastAsia" w:ascii="宋体" w:hAnsi="宋体" w:eastAsia="宋体" w:cs="宋体"/>
                <w:spacing w:val="9"/>
                <w:sz w:val="21"/>
                <w:szCs w:val="21"/>
                <w:highlight w:val="none"/>
              </w:rPr>
              <w:t>：</w:t>
            </w:r>
            <w:r>
              <w:rPr>
                <w:rFonts w:hint="eastAsia" w:ascii="宋体" w:hAnsi="宋体" w:cs="宋体"/>
                <w:spacing w:val="9"/>
                <w:sz w:val="21"/>
                <w:szCs w:val="21"/>
                <w:highlight w:val="none"/>
                <w:u w:val="single"/>
                <w:lang w:val="en-US" w:eastAsia="zh-CN"/>
              </w:rPr>
              <w:t>0</w:t>
            </w:r>
            <w:r>
              <w:rPr>
                <w:rFonts w:hint="eastAsia" w:ascii="宋体" w:hAnsi="宋体" w:eastAsia="宋体" w:cs="宋体"/>
                <w:spacing w:val="-2"/>
                <w:sz w:val="21"/>
                <w:szCs w:val="21"/>
                <w:highlight w:val="none"/>
              </w:rPr>
              <w:t>元，暂列金额（含税</w:t>
            </w:r>
            <w:r>
              <w:rPr>
                <w:rFonts w:hint="eastAsia" w:ascii="宋体" w:hAnsi="宋体" w:eastAsia="宋体" w:cs="宋体"/>
                <w:spacing w:val="-41"/>
                <w:sz w:val="21"/>
                <w:szCs w:val="21"/>
                <w:highlight w:val="none"/>
              </w:rPr>
              <w:t>）：</w:t>
            </w:r>
            <w:r>
              <w:rPr>
                <w:rFonts w:hint="eastAsia" w:ascii="宋体" w:hAnsi="宋体" w:eastAsia="宋体" w:cs="宋体"/>
                <w:spacing w:val="-41"/>
                <w:sz w:val="21"/>
                <w:szCs w:val="21"/>
                <w:highlight w:val="none"/>
                <w:u w:val="single"/>
                <w:lang w:val="en-US" w:eastAsia="zh-CN"/>
              </w:rPr>
              <w:t xml:space="preserve"> </w:t>
            </w:r>
            <w:r>
              <w:rPr>
                <w:rFonts w:hint="eastAsia" w:ascii="宋体" w:hAnsi="宋体" w:eastAsia="宋体" w:cs="宋体"/>
                <w:spacing w:val="9"/>
                <w:sz w:val="21"/>
                <w:szCs w:val="21"/>
                <w:highlight w:val="none"/>
                <w:u w:val="single"/>
                <w:lang w:val="en-US" w:eastAsia="zh-CN"/>
              </w:rPr>
              <w:t>53410</w:t>
            </w:r>
            <w:r>
              <w:rPr>
                <w:rFonts w:hint="eastAsia" w:ascii="宋体" w:hAnsi="宋体" w:eastAsia="宋体" w:cs="宋体"/>
                <w:spacing w:val="-2"/>
                <w:sz w:val="21"/>
                <w:szCs w:val="21"/>
                <w:highlight w:val="none"/>
              </w:rPr>
              <w:t>元，</w:t>
            </w:r>
            <w:r>
              <w:rPr>
                <w:rFonts w:hint="eastAsia" w:ascii="宋体" w:hAnsi="宋体" w:eastAsia="宋体" w:cs="宋体"/>
                <w:spacing w:val="6"/>
                <w:sz w:val="21"/>
                <w:szCs w:val="21"/>
                <w:highlight w:val="none"/>
              </w:rPr>
              <w:t>其他不可竞争费（含税</w:t>
            </w:r>
            <w:r>
              <w:rPr>
                <w:rFonts w:hint="eastAsia" w:ascii="宋体" w:hAnsi="宋体" w:eastAsia="宋体" w:cs="宋体"/>
                <w:spacing w:val="9"/>
                <w:sz w:val="21"/>
                <w:szCs w:val="21"/>
                <w:highlight w:val="none"/>
              </w:rPr>
              <w:t>）：</w:t>
            </w:r>
            <w:r>
              <w:rPr>
                <w:rFonts w:hint="eastAsia" w:ascii="宋体" w:hAnsi="宋体" w:eastAsia="宋体" w:cs="宋体"/>
                <w:spacing w:val="9"/>
                <w:sz w:val="21"/>
                <w:szCs w:val="21"/>
                <w:highlight w:val="none"/>
                <w:u w:val="single"/>
                <w:lang w:val="en-US" w:eastAsia="zh-CN"/>
              </w:rPr>
              <w:t>3505</w:t>
            </w:r>
            <w:r>
              <w:rPr>
                <w:rFonts w:hint="eastAsia" w:ascii="宋体" w:hAnsi="宋体" w:eastAsia="宋体" w:cs="宋体"/>
                <w:spacing w:val="6"/>
                <w:sz w:val="21"/>
                <w:szCs w:val="21"/>
                <w:highlight w:val="none"/>
              </w:rPr>
              <w:t>元）</w:t>
            </w:r>
            <w:r>
              <w:rPr>
                <w:rFonts w:hint="eastAsia" w:ascii="宋体" w:hAnsi="宋体" w:eastAsia="宋体" w:cs="宋体"/>
                <w:kern w:val="0"/>
                <w:sz w:val="21"/>
                <w:szCs w:val="21"/>
                <w:highlight w:val="none"/>
                <w:lang w:val="zh-CN"/>
              </w:rPr>
              <w:t>；</w:t>
            </w:r>
          </w:p>
          <w:p w14:paraId="07825015">
            <w:pPr>
              <w:snapToGrid w:val="0"/>
              <w:spacing w:line="36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磋商报价应包括：</w:t>
            </w:r>
            <w:r>
              <w:rPr>
                <w:rFonts w:hint="eastAsia" w:ascii="宋体" w:hAnsi="宋体" w:eastAsia="宋体" w:cs="宋体"/>
                <w:b w:val="0"/>
                <w:bCs/>
                <w:color w:val="auto"/>
                <w:sz w:val="21"/>
                <w:szCs w:val="21"/>
                <w:highlight w:val="none"/>
                <w:lang w:val="en-US" w:eastAsia="zh-CN"/>
              </w:rPr>
              <w:t>施工图范围内装修改造工程施工及保修期服务</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lang w:val="zh-CN"/>
              </w:rPr>
              <w:t>凡影响响应报价的所有相关费用应列入本次报价中。成交后，不得以不完全了解竞争性磋商文件、施工现场、周围环境、施工工序等情况为借口，而提出额外补偿或延长工期等的要求。如漏报，最终所发生的费用均由成交商承担，采购人一律不予承担。</w:t>
            </w:r>
          </w:p>
          <w:p w14:paraId="2D73384B">
            <w:pPr>
              <w:snapToGrid w:val="0"/>
              <w:spacing w:line="36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本次报价形式：以固定单价形式进行报价。</w:t>
            </w:r>
          </w:p>
          <w:p w14:paraId="7CE7251A">
            <w:pPr>
              <w:snapToGrid w:val="0"/>
              <w:spacing w:line="36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本工程合同综合单价应以采购人磋商时提供的工程造价咨询报告书为基础，按中标</w:t>
            </w:r>
            <w:r>
              <w:rPr>
                <w:rFonts w:hint="eastAsia" w:ascii="宋体" w:hAnsi="宋体" w:cs="宋体"/>
                <w:kern w:val="0"/>
                <w:sz w:val="21"/>
                <w:szCs w:val="21"/>
                <w:highlight w:val="none"/>
                <w:lang w:val="en-US" w:eastAsia="zh-CN"/>
              </w:rPr>
              <w:t>浮动率</w:t>
            </w:r>
            <w:r>
              <w:rPr>
                <w:rFonts w:hint="eastAsia" w:ascii="宋体" w:hAnsi="宋体" w:eastAsia="宋体" w:cs="宋体"/>
                <w:kern w:val="0"/>
                <w:sz w:val="21"/>
                <w:szCs w:val="21"/>
                <w:highlight w:val="none"/>
                <w:lang w:val="zh-CN"/>
              </w:rPr>
              <w:t>（合同</w:t>
            </w:r>
            <w:r>
              <w:rPr>
                <w:rFonts w:hint="eastAsia" w:ascii="宋体" w:hAnsi="宋体" w:cs="宋体"/>
                <w:kern w:val="0"/>
                <w:sz w:val="21"/>
                <w:szCs w:val="21"/>
                <w:highlight w:val="none"/>
                <w:lang w:val="en-US" w:eastAsia="zh-CN"/>
              </w:rPr>
              <w:t>浮动率</w:t>
            </w:r>
            <w:r>
              <w:rPr>
                <w:rFonts w:hint="eastAsia" w:ascii="宋体" w:hAnsi="宋体" w:eastAsia="宋体" w:cs="宋体"/>
                <w:kern w:val="0"/>
                <w:sz w:val="21"/>
                <w:szCs w:val="21"/>
                <w:highlight w:val="none"/>
                <w:lang w:val="zh-CN"/>
              </w:rPr>
              <w:t>）进行浮动后的价格</w:t>
            </w:r>
            <w:r>
              <w:rPr>
                <w:rFonts w:hint="eastAsia" w:ascii="宋体" w:hAnsi="宋体" w:eastAsia="宋体" w:cs="宋体"/>
                <w:b/>
                <w:bCs/>
                <w:kern w:val="0"/>
                <w:sz w:val="21"/>
                <w:szCs w:val="21"/>
                <w:highlight w:val="none"/>
                <w:lang w:val="zh-CN"/>
              </w:rPr>
              <w:t>（其中：</w:t>
            </w:r>
            <w:r>
              <w:rPr>
                <w:rFonts w:hint="eastAsia" w:ascii="宋体" w:hAnsi="宋体" w:cs="宋体"/>
                <w:b/>
                <w:bCs/>
                <w:kern w:val="0"/>
                <w:sz w:val="21"/>
                <w:szCs w:val="21"/>
                <w:highlight w:val="none"/>
                <w:lang w:val="en-US" w:eastAsia="zh-CN"/>
              </w:rPr>
              <w:t>暂估价、暂列金额、其他不可竞争费</w:t>
            </w:r>
            <w:r>
              <w:rPr>
                <w:rFonts w:hint="eastAsia" w:ascii="宋体" w:hAnsi="宋体" w:eastAsia="宋体" w:cs="宋体"/>
                <w:b/>
                <w:bCs/>
                <w:kern w:val="0"/>
                <w:sz w:val="21"/>
                <w:szCs w:val="21"/>
                <w:highlight w:val="none"/>
                <w:lang w:val="zh-CN"/>
              </w:rPr>
              <w:t>除外，</w:t>
            </w:r>
            <w:r>
              <w:rPr>
                <w:rFonts w:hint="eastAsia" w:ascii="宋体" w:hAnsi="宋体" w:cs="宋体"/>
                <w:b/>
                <w:bCs/>
                <w:kern w:val="0"/>
                <w:sz w:val="21"/>
                <w:szCs w:val="21"/>
                <w:highlight w:val="none"/>
                <w:lang w:val="en-US" w:eastAsia="zh-CN"/>
              </w:rPr>
              <w:t>暂估价、暂列金额、其他不可竞争费</w:t>
            </w:r>
            <w:r>
              <w:rPr>
                <w:rFonts w:hint="eastAsia" w:ascii="宋体" w:hAnsi="宋体" w:eastAsia="宋体" w:cs="宋体"/>
                <w:b/>
                <w:bCs/>
                <w:kern w:val="0"/>
                <w:sz w:val="21"/>
                <w:szCs w:val="21"/>
                <w:highlight w:val="none"/>
                <w:lang w:val="zh-CN"/>
              </w:rPr>
              <w:t>投标报价时应与采购人约定的相一致，合同结算办法详见合同专用条款）</w:t>
            </w:r>
            <w:r>
              <w:rPr>
                <w:rFonts w:hint="eastAsia" w:ascii="宋体" w:hAnsi="宋体" w:eastAsia="宋体" w:cs="宋体"/>
                <w:kern w:val="0"/>
                <w:sz w:val="21"/>
                <w:szCs w:val="21"/>
                <w:highlight w:val="none"/>
                <w:lang w:val="zh-CN"/>
              </w:rPr>
              <w:t>。</w:t>
            </w:r>
          </w:p>
          <w:p w14:paraId="2F51291D">
            <w:pPr>
              <w:snapToGrid w:val="0"/>
              <w:spacing w:line="360" w:lineRule="auto"/>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注：中标浮动率=【（最终报价-暂估价-暂列金额-其他不可竞争费）/（最高限价-暂估价-暂列金额-其他不可竞争费）-1】×100%，浮动率以“%”为单位，四舍五入保留至小数点后两位</w:t>
            </w:r>
          </w:p>
          <w:p w14:paraId="1313D418">
            <w:pPr>
              <w:snapToGrid w:val="0"/>
              <w:spacing w:line="36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所有有效供应商应在规定时间内（第二次报价开启后</w:t>
            </w:r>
            <w:r>
              <w:rPr>
                <w:rFonts w:hint="eastAsia" w:ascii="宋体" w:hAnsi="宋体" w:eastAsia="宋体" w:cs="宋体"/>
                <w:kern w:val="0"/>
                <w:sz w:val="21"/>
                <w:szCs w:val="21"/>
                <w:highlight w:val="none"/>
                <w:lang w:val="zh-CN"/>
              </w:rPr>
              <w:t>的</w:t>
            </w:r>
            <w:r>
              <w:rPr>
                <w:rFonts w:hint="eastAsia" w:ascii="宋体" w:hAnsi="宋体" w:eastAsia="宋体" w:cs="宋体"/>
                <w:b/>
                <w:bCs/>
                <w:kern w:val="0"/>
                <w:sz w:val="21"/>
                <w:szCs w:val="21"/>
                <w:highlight w:val="none"/>
                <w:lang w:val="zh-CN"/>
              </w:rPr>
              <w:t>30分钟内</w:t>
            </w:r>
            <w:r>
              <w:rPr>
                <w:rFonts w:hint="eastAsia" w:ascii="宋体" w:hAnsi="宋体" w:eastAsia="宋体" w:cs="宋体"/>
                <w:kern w:val="0"/>
                <w:sz w:val="21"/>
                <w:szCs w:val="21"/>
                <w:highlight w:val="none"/>
                <w:lang w:val="zh-CN"/>
              </w:rPr>
              <w:t>）在线提交第二次报价（即最终报价），磋商小组以第二次报价（即最终报价）作为价格评议的标准。有关本项目实施所需的所有费用（含税费）均计入报价。响应文件中价格全部采用人民币报价。竞争性磋商文件未列明，而供应商认为必需的费用也需列入报价。</w:t>
            </w:r>
          </w:p>
          <w:p w14:paraId="0C9ABFB2">
            <w:pPr>
              <w:snapToGrid w:val="0"/>
              <w:spacing w:line="360" w:lineRule="auto"/>
              <w:jc w:val="left"/>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最终报价出现下列情形的，响应文件无效：</w:t>
            </w:r>
          </w:p>
          <w:p w14:paraId="1A55A99F">
            <w:pPr>
              <w:snapToGrid w:val="0"/>
              <w:spacing w:line="360" w:lineRule="auto"/>
              <w:jc w:val="left"/>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响应文件出现不是唯一的、有选择性最后报价的；</w:t>
            </w:r>
          </w:p>
          <w:p w14:paraId="04C95F35">
            <w:pPr>
              <w:snapToGrid w:val="0"/>
              <w:spacing w:line="360" w:lineRule="auto"/>
              <w:jc w:val="left"/>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最后报价超过</w:t>
            </w:r>
            <w:r>
              <w:rPr>
                <w:rFonts w:hint="eastAsia" w:ascii="宋体" w:hAnsi="宋体" w:eastAsia="宋体" w:cs="宋体"/>
                <w:b/>
                <w:kern w:val="0"/>
                <w:sz w:val="21"/>
                <w:szCs w:val="21"/>
                <w:highlight w:val="none"/>
              </w:rPr>
              <w:t>竞争性磋商文件</w:t>
            </w:r>
            <w:r>
              <w:rPr>
                <w:rFonts w:hint="eastAsia" w:ascii="宋体" w:hAnsi="宋体" w:eastAsia="宋体" w:cs="宋体"/>
                <w:b/>
                <w:kern w:val="0"/>
                <w:sz w:val="21"/>
                <w:szCs w:val="21"/>
                <w:highlight w:val="none"/>
                <w:lang w:val="zh-CN"/>
              </w:rPr>
              <w:t>中规定的预算金额或者最高限价的；</w:t>
            </w:r>
          </w:p>
          <w:p w14:paraId="3723BE8C">
            <w:pPr>
              <w:spacing w:line="360" w:lineRule="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报价明显低于其他通过符合性审查供应商的报价（低于项目预算50%的），有可能影响产品质量或者不能诚信履约的，未能按要求提供书面说明或者提交相关证明材料证明其报价合理性的；</w:t>
            </w:r>
          </w:p>
          <w:p w14:paraId="243DF670">
            <w:pPr>
              <w:spacing w:line="360" w:lineRule="auto"/>
              <w:rPr>
                <w:rFonts w:hint="eastAsia" w:ascii="宋体" w:hAnsi="宋体" w:eastAsia="宋体" w:cs="宋体"/>
                <w:snapToGrid/>
                <w:color w:val="auto"/>
                <w:sz w:val="21"/>
                <w:szCs w:val="21"/>
                <w:highlight w:val="none"/>
              </w:rPr>
            </w:pPr>
            <w:r>
              <w:rPr>
                <w:rFonts w:hint="eastAsia" w:ascii="宋体" w:hAnsi="宋体" w:eastAsia="宋体" w:cs="宋体"/>
                <w:b/>
                <w:kern w:val="0"/>
                <w:sz w:val="21"/>
                <w:szCs w:val="21"/>
              </w:rPr>
              <w:t>供应商对根据修正原则修正后的报价不确认的</w:t>
            </w:r>
            <w:r>
              <w:rPr>
                <w:rFonts w:hint="eastAsia" w:ascii="宋体" w:hAnsi="宋体" w:eastAsia="宋体" w:cs="宋体"/>
                <w:b/>
                <w:sz w:val="21"/>
                <w:szCs w:val="21"/>
              </w:rPr>
              <w:t>。</w:t>
            </w:r>
          </w:p>
        </w:tc>
      </w:tr>
      <w:tr w14:paraId="4379BF7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F6D937D">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rPr>
            </w:pPr>
            <w:r>
              <w:rPr>
                <w:rFonts w:hint="eastAsia" w:ascii="宋体" w:hAnsi="宋体" w:eastAsia="宋体" w:cs="宋体"/>
                <w:snapToGrid/>
                <w:color w:val="auto"/>
                <w:sz w:val="21"/>
                <w:szCs w:val="21"/>
                <w:highlight w:val="none"/>
              </w:rPr>
              <w:t>1</w:t>
            </w:r>
            <w:r>
              <w:rPr>
                <w:rFonts w:hint="eastAsia" w:ascii="宋体" w:hAnsi="宋体" w:eastAsia="宋体" w:cs="宋体"/>
                <w:snapToGrid/>
                <w:color w:val="auto"/>
                <w:sz w:val="21"/>
                <w:szCs w:val="21"/>
                <w:highlight w:val="none"/>
                <w:lang w:val="en-US" w:eastAsia="zh-CN"/>
              </w:rPr>
              <w:t>1</w:t>
            </w:r>
          </w:p>
        </w:tc>
        <w:tc>
          <w:tcPr>
            <w:tcW w:w="1052" w:type="pct"/>
            <w:tcBorders>
              <w:tl2br w:val="nil"/>
              <w:tr2bl w:val="nil"/>
            </w:tcBorders>
            <w:vAlign w:val="center"/>
          </w:tcPr>
          <w:p w14:paraId="534FEC96">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1"/>
                <w:szCs w:val="21"/>
                <w:highlight w:val="none"/>
              </w:rPr>
            </w:pPr>
            <w:r>
              <w:rPr>
                <w:rFonts w:hint="eastAsia" w:ascii="宋体" w:hAnsi="宋体" w:eastAsia="宋体" w:cs="宋体"/>
                <w:b/>
                <w:snapToGrid/>
                <w:color w:val="auto"/>
                <w:sz w:val="21"/>
                <w:szCs w:val="21"/>
                <w:highlight w:val="none"/>
              </w:rPr>
              <w:t>备份响应文件送达地点和签收人员</w:t>
            </w:r>
          </w:p>
        </w:tc>
        <w:tc>
          <w:tcPr>
            <w:tcW w:w="3593" w:type="pct"/>
            <w:tcBorders>
              <w:tl2br w:val="nil"/>
              <w:tr2bl w:val="nil"/>
            </w:tcBorders>
            <w:vAlign w:val="center"/>
          </w:tcPr>
          <w:p w14:paraId="1F16C6A8">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snapToGrid/>
                <w:color w:val="auto"/>
                <w:kern w:val="0"/>
                <w:sz w:val="21"/>
                <w:szCs w:val="21"/>
                <w:highlight w:val="none"/>
              </w:rPr>
            </w:pPr>
            <w:r>
              <w:rPr>
                <w:rFonts w:hint="eastAsia" w:ascii="宋体" w:hAnsi="宋体" w:eastAsia="宋体" w:cs="宋体"/>
                <w:b w:val="0"/>
                <w:bCs/>
                <w:snapToGrid/>
                <w:color w:val="auto"/>
                <w:kern w:val="0"/>
                <w:sz w:val="21"/>
                <w:szCs w:val="21"/>
                <w:highlight w:val="none"/>
              </w:rPr>
              <w:t>供应商可以准备U盘存储的备份响应文件1份，备份响应文件应按政府采购云平台要求制作，以用于异常情况处理。供应商递交的备份响应文件送达地点和签收人员如下：</w:t>
            </w:r>
          </w:p>
          <w:p w14:paraId="17B0E182">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snapToGrid/>
                <w:color w:val="auto"/>
                <w:kern w:val="0"/>
                <w:sz w:val="21"/>
                <w:szCs w:val="21"/>
                <w:highlight w:val="none"/>
              </w:rPr>
            </w:pPr>
            <w:r>
              <w:rPr>
                <w:rFonts w:hint="eastAsia" w:ascii="宋体" w:hAnsi="宋体" w:eastAsia="宋体" w:cs="宋体"/>
                <w:b w:val="0"/>
                <w:bCs/>
                <w:snapToGrid/>
                <w:color w:val="auto"/>
                <w:kern w:val="0"/>
                <w:sz w:val="21"/>
                <w:szCs w:val="21"/>
                <w:highlight w:val="none"/>
              </w:rPr>
              <w:t>①采用邮寄（含快递）方式递交备份响应文件的，供应商须在响应文件提交截止时间前一工作日17：00（含）前将备份响应文件邮寄至规定地点，由采购代理机构签收人员进行签收。各供应商自行考虑邮寄在途时间，邮寄过程中无论何种因素导致备份响应文件未按时递交的后果，均由供应商自行负责。备份响应文件递交时间以签收人签收时间为准。迟到的备份响应文件将被拒收。请各供应商确保密封包装在邮寄过程中保持完好，并在邮寄包裹上注明项目名称、项目编号。因邮寄过程的密封破损造成不符合开启要求的，本采购代理机构及采购人概不负责。</w:t>
            </w:r>
          </w:p>
          <w:p w14:paraId="7191F8F5">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snapToGrid/>
                <w:color w:val="auto"/>
                <w:kern w:val="0"/>
                <w:sz w:val="21"/>
                <w:szCs w:val="21"/>
                <w:highlight w:val="none"/>
              </w:rPr>
            </w:pPr>
            <w:r>
              <w:rPr>
                <w:rFonts w:hint="eastAsia" w:ascii="宋体" w:hAnsi="宋体" w:eastAsia="宋体" w:cs="宋体"/>
                <w:b w:val="0"/>
                <w:bCs/>
                <w:snapToGrid/>
                <w:color w:val="auto"/>
                <w:kern w:val="0"/>
                <w:sz w:val="21"/>
                <w:szCs w:val="21"/>
                <w:highlight w:val="none"/>
              </w:rPr>
              <w:t>备份响应文件邮寄地址为：宁波市高新区科技广场4号楼3楼。</w:t>
            </w:r>
          </w:p>
          <w:p w14:paraId="31D7127F">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snapToGrid/>
                <w:color w:val="auto"/>
                <w:kern w:val="0"/>
                <w:sz w:val="21"/>
                <w:szCs w:val="21"/>
                <w:highlight w:val="none"/>
              </w:rPr>
            </w:pPr>
            <w:r>
              <w:rPr>
                <w:rFonts w:hint="eastAsia" w:ascii="宋体" w:hAnsi="宋体" w:eastAsia="宋体" w:cs="宋体"/>
                <w:b w:val="0"/>
                <w:bCs/>
                <w:snapToGrid/>
                <w:color w:val="auto"/>
                <w:kern w:val="0"/>
                <w:sz w:val="21"/>
                <w:szCs w:val="21"/>
                <w:highlight w:val="none"/>
              </w:rPr>
              <w:t>签收人：刘艳，联系方式：13957802059。</w:t>
            </w:r>
          </w:p>
          <w:p w14:paraId="4A56B019">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snapToGrid/>
                <w:color w:val="auto"/>
                <w:kern w:val="0"/>
                <w:sz w:val="21"/>
                <w:szCs w:val="21"/>
                <w:highlight w:val="none"/>
              </w:rPr>
            </w:pPr>
            <w:r>
              <w:rPr>
                <w:rFonts w:hint="eastAsia" w:ascii="宋体" w:hAnsi="宋体" w:eastAsia="宋体" w:cs="宋体"/>
                <w:b w:val="0"/>
                <w:bCs/>
                <w:snapToGrid/>
                <w:color w:val="auto"/>
                <w:kern w:val="0"/>
                <w:sz w:val="21"/>
                <w:szCs w:val="21"/>
                <w:highlight w:val="none"/>
              </w:rPr>
              <w:t>②采用直接提交方式递交备份响应文件的，供应商应在响应文件提交截止时间当天且提交截止时间前将备份响应文件送至</w:t>
            </w:r>
            <w:r>
              <w:rPr>
                <w:rFonts w:hint="eastAsia" w:ascii="宋体" w:hAnsi="宋体" w:eastAsia="宋体" w:cs="宋体"/>
                <w:b/>
                <w:bCs/>
                <w:snapToGrid w:val="0"/>
                <w:kern w:val="28"/>
                <w:sz w:val="21"/>
                <w:szCs w:val="21"/>
                <w:highlight w:val="none"/>
                <w:u w:val="single"/>
              </w:rPr>
              <w:t>宁波市鄞州区公共资源交易中心（鄞州区蕙江路567号，鄞州区政务服务中心5楼，具体开标厅室详见大厅大屏幕）开标室</w:t>
            </w:r>
            <w:r>
              <w:rPr>
                <w:rFonts w:hint="eastAsia" w:ascii="宋体" w:hAnsi="宋体" w:eastAsia="宋体" w:cs="宋体"/>
                <w:b w:val="0"/>
                <w:bCs/>
                <w:snapToGrid/>
                <w:color w:val="auto"/>
                <w:kern w:val="0"/>
                <w:sz w:val="21"/>
                <w:szCs w:val="21"/>
                <w:highlight w:val="none"/>
              </w:rPr>
              <w:t>。</w:t>
            </w:r>
          </w:p>
          <w:p w14:paraId="31D89A1A">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kern w:val="0"/>
                <w:sz w:val="21"/>
                <w:szCs w:val="21"/>
                <w:highlight w:val="none"/>
              </w:rPr>
            </w:pPr>
            <w:r>
              <w:rPr>
                <w:rFonts w:hint="eastAsia" w:ascii="宋体" w:hAnsi="宋体" w:eastAsia="宋体" w:cs="宋体"/>
                <w:b/>
                <w:bCs w:val="0"/>
                <w:snapToGrid/>
                <w:color w:val="auto"/>
                <w:kern w:val="0"/>
                <w:sz w:val="21"/>
                <w:szCs w:val="21"/>
                <w:highlight w:val="none"/>
              </w:rPr>
              <w:t>备注：采购人、采购代理机构不强制供应商提交备份响应文件。</w:t>
            </w:r>
          </w:p>
        </w:tc>
      </w:tr>
      <w:tr w14:paraId="7D9157E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658B2711">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12</w:t>
            </w:r>
          </w:p>
        </w:tc>
        <w:tc>
          <w:tcPr>
            <w:tcW w:w="1951" w:type="dxa"/>
            <w:tcBorders>
              <w:tl2br w:val="nil"/>
              <w:tr2bl w:val="nil"/>
            </w:tcBorders>
            <w:vAlign w:val="center"/>
          </w:tcPr>
          <w:p w14:paraId="4E702EA5">
            <w:pPr>
              <w:snapToGrid w:val="0"/>
              <w:spacing w:line="360" w:lineRule="auto"/>
              <w:jc w:val="center"/>
              <w:rPr>
                <w:rFonts w:hint="eastAsia" w:ascii="宋体" w:hAnsi="宋体" w:eastAsia="宋体" w:cs="宋体"/>
                <w:b/>
                <w:snapToGrid/>
                <w:color w:val="auto"/>
                <w:sz w:val="21"/>
                <w:szCs w:val="21"/>
                <w:highlight w:val="none"/>
              </w:rPr>
            </w:pPr>
            <w:r>
              <w:rPr>
                <w:rFonts w:hint="eastAsia" w:ascii="宋体" w:hAnsi="宋体" w:eastAsia="宋体" w:cs="宋体"/>
                <w:b/>
                <w:sz w:val="21"/>
                <w:szCs w:val="21"/>
                <w:highlight w:val="none"/>
              </w:rPr>
              <w:t>其它说明</w:t>
            </w:r>
          </w:p>
        </w:tc>
        <w:tc>
          <w:tcPr>
            <w:tcW w:w="6663" w:type="dxa"/>
            <w:tcBorders>
              <w:tl2br w:val="nil"/>
              <w:tr2bl w:val="nil"/>
            </w:tcBorders>
            <w:vAlign w:val="center"/>
          </w:tcPr>
          <w:p w14:paraId="71B8F3FA">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磋商响应报价</w:t>
            </w:r>
            <w:r>
              <w:rPr>
                <w:rFonts w:hint="eastAsia" w:ascii="宋体" w:hAnsi="宋体" w:eastAsia="宋体" w:cs="宋体"/>
                <w:b/>
                <w:bCs/>
                <w:color w:val="000000"/>
                <w:sz w:val="21"/>
                <w:szCs w:val="21"/>
                <w:highlight w:val="none"/>
                <w:lang w:val="en-US" w:eastAsia="zh-CN"/>
              </w:rPr>
              <w:t>以</w:t>
            </w:r>
            <w:r>
              <w:rPr>
                <w:rFonts w:hint="eastAsia" w:ascii="宋体" w:hAnsi="宋体" w:eastAsia="宋体" w:cs="宋体"/>
                <w:b/>
                <w:bCs/>
                <w:color w:val="000000"/>
                <w:sz w:val="21"/>
                <w:szCs w:val="21"/>
                <w:highlight w:val="none"/>
              </w:rPr>
              <w:t>采购人提供的《工程造价咨询报告书》为基础，以</w:t>
            </w:r>
            <w:r>
              <w:rPr>
                <w:rFonts w:hint="eastAsia" w:ascii="宋体" w:hAnsi="宋体" w:cs="宋体"/>
                <w:b/>
                <w:bCs/>
                <w:color w:val="000000"/>
                <w:sz w:val="21"/>
                <w:szCs w:val="21"/>
                <w:highlight w:val="none"/>
                <w:lang w:val="en-US" w:eastAsia="zh-CN"/>
              </w:rPr>
              <w:t>浮动率</w:t>
            </w:r>
            <w:r>
              <w:rPr>
                <w:rFonts w:hint="eastAsia" w:ascii="宋体" w:hAnsi="宋体" w:eastAsia="宋体" w:cs="宋体"/>
                <w:b/>
                <w:bCs/>
                <w:color w:val="000000"/>
                <w:sz w:val="21"/>
                <w:szCs w:val="21"/>
                <w:highlight w:val="none"/>
              </w:rPr>
              <w:t xml:space="preserve">形式进行报价，内容包含为完成本项目采购需求所包含的全部内容，达到合同目的的一切费用。 </w:t>
            </w:r>
          </w:p>
          <w:p w14:paraId="32E7F07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供应商应以竞争性磋商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 </w:t>
            </w:r>
          </w:p>
          <w:p w14:paraId="140DA49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的报价应在充分履行合同条款的基础上，并满足竞争性磋商文件规定的工期、质量、安全要求，完成竞争性磋商文件规定的报价范围内全部工作内容所发生的全部费用，包含以下费用（以下费用包括政策性文件规定的费用和由以下费用引起的各种税费）：</w:t>
            </w:r>
            <w:r>
              <w:rPr>
                <w:rFonts w:hint="eastAsia" w:ascii="宋体" w:hAnsi="宋体" w:eastAsia="宋体" w:cs="宋体"/>
                <w:b/>
                <w:bCs/>
                <w:color w:val="000000"/>
                <w:sz w:val="21"/>
                <w:szCs w:val="21"/>
                <w:highlight w:val="none"/>
              </w:rPr>
              <w:t>包含但不限于现场考察费、人工费、材料费、机械费、与施工方案相关的技术措施费、施工组织措施费、开办费、垃圾外运及处置费、成品保护、竣工保洁、保险费、管理费用、规费、利润、安全文明费、税金、招标代理费等交付采购人使用前产生的所有费用。</w:t>
            </w:r>
            <w:r>
              <w:rPr>
                <w:rFonts w:hint="eastAsia" w:ascii="宋体" w:hAnsi="宋体" w:eastAsia="宋体" w:cs="宋体"/>
                <w:color w:val="000000"/>
                <w:sz w:val="21"/>
                <w:szCs w:val="21"/>
                <w:highlight w:val="none"/>
              </w:rPr>
              <w:t xml:space="preserve">在响应文件中，采购人不接受任何有选择的报价。 </w:t>
            </w:r>
          </w:p>
          <w:p w14:paraId="516B08D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供应商在报价中要充分考虑合同规定的各种风险因素引起的费用变化。 </w:t>
            </w:r>
          </w:p>
          <w:p w14:paraId="207D9CD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供应商应根据采购人提供的资料，自行仔细踏勘施工现场的地质、地貌情况，进行全面、科学的设计，供应商要根据现场的实际情况结合自身经验，考虑各种可能存在的风险因素进行报价。</w:t>
            </w:r>
          </w:p>
          <w:p w14:paraId="0B0C6D9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到施工现场踏勘以充分了解工地位置、情况、道路、储存空间、装卸限制及任何其他足以影响承包价的情况。任何因忽视或误解工地情况而导致的索赔或工期延长申请将不被批准。采购人对供应商在磋商响应时自主作出的推论、解释和结论概不负责。</w:t>
            </w:r>
          </w:p>
          <w:p w14:paraId="03C4975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项为单位的暂估价及暂列金额按实际发生结算，结算方式以合同签订为准。成交人发现采购人提供的工程量有误差的，成交后5天内，将误差部分工程量提交采购人，同时提供计算底稿和相关说明，并加盖单位公章，经采购人核实，采购人认为确有调整必要的，采购人将予以调整，如采购人认为无调整必要的，采购人将不予调整。</w:t>
            </w:r>
          </w:p>
          <w:p w14:paraId="61B63C87">
            <w:pPr>
              <w:spacing w:line="360" w:lineRule="auto"/>
              <w:rPr>
                <w:rFonts w:hint="eastAsia" w:ascii="宋体" w:hAnsi="宋体" w:eastAsia="宋体" w:cs="宋体"/>
                <w:snapToGrid/>
                <w:color w:val="auto"/>
                <w:kern w:val="28"/>
                <w:sz w:val="21"/>
                <w:szCs w:val="21"/>
                <w:highlight w:val="none"/>
              </w:rPr>
            </w:pPr>
            <w:r>
              <w:rPr>
                <w:rFonts w:hint="eastAsia" w:ascii="宋体" w:hAnsi="宋体" w:eastAsia="宋体" w:cs="宋体"/>
                <w:color w:val="000000"/>
                <w:sz w:val="21"/>
                <w:szCs w:val="21"/>
                <w:highlight w:val="none"/>
              </w:rPr>
              <w:t>如工程量清单与施工图不一致的，以施工图为准。</w:t>
            </w:r>
          </w:p>
        </w:tc>
      </w:tr>
      <w:tr w14:paraId="186FE4A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28CEBC88">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rPr>
              <w:t>1</w:t>
            </w:r>
            <w:r>
              <w:rPr>
                <w:rFonts w:hint="eastAsia" w:ascii="宋体" w:hAnsi="宋体" w:eastAsia="宋体" w:cs="宋体"/>
                <w:snapToGrid/>
                <w:color w:val="auto"/>
                <w:sz w:val="21"/>
                <w:szCs w:val="21"/>
                <w:highlight w:val="none"/>
                <w:lang w:val="en-US" w:eastAsia="zh-CN"/>
              </w:rPr>
              <w:t>3</w:t>
            </w:r>
          </w:p>
        </w:tc>
        <w:tc>
          <w:tcPr>
            <w:tcW w:w="1052" w:type="pct"/>
            <w:tcBorders>
              <w:tl2br w:val="nil"/>
              <w:tr2bl w:val="nil"/>
            </w:tcBorders>
            <w:vAlign w:val="center"/>
          </w:tcPr>
          <w:p w14:paraId="5BFB83FC">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kern w:val="2"/>
                <w:sz w:val="21"/>
                <w:szCs w:val="21"/>
                <w:highlight w:val="none"/>
                <w:lang w:val="en-US" w:eastAsia="zh-CN" w:bidi="ar-SA"/>
              </w:rPr>
            </w:pPr>
            <w:r>
              <w:rPr>
                <w:rFonts w:hint="eastAsia" w:ascii="宋体" w:hAnsi="宋体" w:eastAsia="宋体" w:cs="宋体"/>
                <w:b/>
                <w:snapToGrid/>
                <w:color w:val="auto"/>
                <w:sz w:val="21"/>
                <w:szCs w:val="21"/>
                <w:highlight w:val="none"/>
              </w:rPr>
              <w:t>采购代理服务费</w:t>
            </w:r>
          </w:p>
        </w:tc>
        <w:tc>
          <w:tcPr>
            <w:tcW w:w="3593" w:type="pct"/>
            <w:tcBorders>
              <w:tl2br w:val="nil"/>
              <w:tr2bl w:val="nil"/>
            </w:tcBorders>
            <w:vAlign w:val="center"/>
          </w:tcPr>
          <w:p w14:paraId="59CF1ECD">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1"/>
                <w:szCs w:val="21"/>
                <w:highlight w:val="none"/>
                <w:lang w:eastAsia="zh-CN"/>
              </w:rPr>
            </w:pPr>
            <w:r>
              <w:rPr>
                <w:rFonts w:hint="eastAsia" w:ascii="宋体" w:hAnsi="宋体" w:eastAsia="宋体" w:cs="宋体"/>
                <w:snapToGrid/>
                <w:color w:val="auto"/>
                <w:kern w:val="28"/>
                <w:sz w:val="21"/>
                <w:szCs w:val="21"/>
                <w:highlight w:val="none"/>
              </w:rPr>
              <w:t>成交服务费的收取标准：本项目采购代理服务费用参照国家发改委发改办价格[2003]857号通知和国家计委计价格[2002]1980号文件规定的</w:t>
            </w:r>
            <w:r>
              <w:rPr>
                <w:rFonts w:hint="eastAsia" w:ascii="宋体" w:hAnsi="宋体" w:eastAsia="宋体" w:cs="宋体"/>
                <w:snapToGrid/>
                <w:color w:val="auto"/>
                <w:kern w:val="28"/>
                <w:sz w:val="21"/>
                <w:szCs w:val="21"/>
                <w:highlight w:val="none"/>
                <w:lang w:val="en-US" w:eastAsia="zh-CN"/>
              </w:rPr>
              <w:t>工程</w:t>
            </w:r>
            <w:r>
              <w:rPr>
                <w:rFonts w:hint="eastAsia" w:ascii="宋体" w:hAnsi="宋体" w:eastAsia="宋体" w:cs="宋体"/>
                <w:snapToGrid/>
                <w:color w:val="auto"/>
                <w:kern w:val="28"/>
                <w:sz w:val="21"/>
                <w:szCs w:val="21"/>
                <w:highlight w:val="none"/>
              </w:rPr>
              <w:t>招标费率标准浮动-20%</w:t>
            </w:r>
            <w:r>
              <w:rPr>
                <w:rFonts w:hint="eastAsia" w:ascii="宋体" w:hAnsi="宋体" w:eastAsia="宋体" w:cs="宋体"/>
                <w:snapToGrid/>
                <w:color w:val="auto"/>
                <w:kern w:val="28"/>
                <w:sz w:val="21"/>
                <w:szCs w:val="21"/>
                <w:highlight w:val="none"/>
                <w:lang w:val="en-US" w:eastAsia="zh-CN"/>
              </w:rPr>
              <w:t>，</w:t>
            </w:r>
            <w:r>
              <w:rPr>
                <w:rFonts w:hint="eastAsia" w:ascii="宋体" w:hAnsi="宋体" w:eastAsia="宋体" w:cs="宋体"/>
                <w:snapToGrid/>
                <w:color w:val="auto"/>
                <w:kern w:val="28"/>
                <w:sz w:val="21"/>
                <w:szCs w:val="21"/>
                <w:highlight w:val="none"/>
              </w:rPr>
              <w:t>向中标单位</w:t>
            </w:r>
            <w:r>
              <w:rPr>
                <w:rFonts w:hint="eastAsia" w:ascii="宋体" w:hAnsi="宋体" w:eastAsia="宋体" w:cs="宋体"/>
                <w:snapToGrid/>
                <w:color w:val="auto"/>
                <w:kern w:val="28"/>
                <w:sz w:val="21"/>
                <w:szCs w:val="21"/>
                <w:highlight w:val="none"/>
                <w:lang w:eastAsia="zh-CN"/>
              </w:rPr>
              <w:t>（成交供应商）</w:t>
            </w:r>
            <w:r>
              <w:rPr>
                <w:rFonts w:hint="eastAsia" w:ascii="宋体" w:hAnsi="宋体" w:eastAsia="宋体" w:cs="宋体"/>
                <w:snapToGrid/>
                <w:color w:val="auto"/>
                <w:kern w:val="28"/>
                <w:sz w:val="21"/>
                <w:szCs w:val="21"/>
                <w:highlight w:val="none"/>
              </w:rPr>
              <w:t>收取代理服务费</w:t>
            </w:r>
            <w:r>
              <w:rPr>
                <w:rFonts w:hint="eastAsia" w:ascii="宋体" w:hAnsi="宋体" w:cs="宋体"/>
                <w:snapToGrid/>
                <w:color w:val="auto"/>
                <w:kern w:val="28"/>
                <w:sz w:val="21"/>
                <w:szCs w:val="21"/>
                <w:highlight w:val="none"/>
                <w:lang w:eastAsia="zh-CN"/>
              </w:rPr>
              <w:t>。</w:t>
            </w:r>
          </w:p>
          <w:p w14:paraId="26AB7866">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1"/>
                <w:szCs w:val="21"/>
                <w:highlight w:val="none"/>
              </w:rPr>
            </w:pPr>
            <w:r>
              <w:rPr>
                <w:rFonts w:hint="eastAsia" w:ascii="宋体" w:hAnsi="宋体" w:eastAsia="宋体" w:cs="宋体"/>
                <w:snapToGrid/>
                <w:color w:val="auto"/>
                <w:kern w:val="28"/>
                <w:sz w:val="21"/>
                <w:szCs w:val="21"/>
                <w:highlight w:val="none"/>
              </w:rPr>
              <w:t>备注：成交服务费只收现金、银行票汇款、电汇款。汇入以下账户：</w:t>
            </w:r>
          </w:p>
          <w:p w14:paraId="16F676DA">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1"/>
                <w:szCs w:val="21"/>
                <w:highlight w:val="none"/>
              </w:rPr>
            </w:pPr>
            <w:r>
              <w:rPr>
                <w:rFonts w:hint="eastAsia" w:ascii="宋体" w:hAnsi="宋体" w:eastAsia="宋体" w:cs="宋体"/>
                <w:snapToGrid/>
                <w:color w:val="auto"/>
                <w:kern w:val="28"/>
                <w:sz w:val="21"/>
                <w:szCs w:val="21"/>
                <w:highlight w:val="none"/>
              </w:rPr>
              <w:t>开户银行：中国工商银行宁波东钱湖支行</w:t>
            </w:r>
          </w:p>
          <w:p w14:paraId="0AD79416">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1"/>
                <w:szCs w:val="21"/>
                <w:highlight w:val="none"/>
              </w:rPr>
            </w:pPr>
            <w:r>
              <w:rPr>
                <w:rFonts w:hint="eastAsia" w:ascii="宋体" w:hAnsi="宋体" w:eastAsia="宋体" w:cs="宋体"/>
                <w:snapToGrid/>
                <w:color w:val="auto"/>
                <w:kern w:val="28"/>
                <w:sz w:val="21"/>
                <w:szCs w:val="21"/>
                <w:highlight w:val="none"/>
              </w:rPr>
              <w:t>账号：3901150219000139804</w:t>
            </w:r>
          </w:p>
          <w:p w14:paraId="477F320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1"/>
                <w:szCs w:val="21"/>
                <w:highlight w:val="none"/>
                <w:lang w:val="en-US" w:eastAsia="zh-CN" w:bidi="ar-SA"/>
              </w:rPr>
            </w:pPr>
            <w:r>
              <w:rPr>
                <w:rFonts w:hint="eastAsia" w:ascii="宋体" w:hAnsi="宋体" w:eastAsia="宋体" w:cs="宋体"/>
                <w:snapToGrid/>
                <w:color w:val="auto"/>
                <w:kern w:val="28"/>
                <w:sz w:val="21"/>
                <w:szCs w:val="21"/>
                <w:highlight w:val="none"/>
              </w:rPr>
              <w:t>户名：浙江联达工程项目管理有限公司</w:t>
            </w:r>
          </w:p>
        </w:tc>
      </w:tr>
      <w:bookmarkEnd w:id="11"/>
    </w:tbl>
    <w:p w14:paraId="3208B2EE">
      <w:pPr>
        <w:rPr>
          <w:rFonts w:hint="eastAsia" w:ascii="宋体" w:hAnsi="宋体" w:cs="宋体"/>
          <w:b/>
          <w:color w:val="auto"/>
          <w:sz w:val="32"/>
          <w:szCs w:val="20"/>
          <w:highlight w:val="none"/>
        </w:rPr>
      </w:pPr>
      <w:bookmarkStart w:id="15" w:name="_Toc164416483"/>
      <w:bookmarkStart w:id="16" w:name="第三部分"/>
      <w:r>
        <w:rPr>
          <w:rFonts w:hint="eastAsia" w:ascii="宋体" w:hAnsi="宋体" w:cs="宋体"/>
          <w:b/>
          <w:color w:val="auto"/>
          <w:sz w:val="32"/>
          <w:szCs w:val="20"/>
          <w:highlight w:val="none"/>
        </w:rPr>
        <w:br w:type="page"/>
      </w:r>
    </w:p>
    <w:p w14:paraId="7C11B4E6">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AFB7E4A">
      <w:pPr>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13335DDE">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5A434AC3">
      <w:pPr>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5A60AAE9">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2.1“采购人”系指竞争性磋商公告中载明的本项目的采购人。</w:t>
      </w:r>
    </w:p>
    <w:p w14:paraId="7FB0F052">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”系指竞争性磋商公告中载明的本项目的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EF9975D">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2.3“供应商”系指是指提交响应文件和报价、参与竞争性磋商采购活动的法人、其他组织或者自然人。</w:t>
      </w:r>
    </w:p>
    <w:p w14:paraId="3B17B0DA">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2.4“负责人”系指法人企业的法定负责人，或其他组织为法律、行政法规规定代表单位行使职权的主要负责人，或自然人本人。</w:t>
      </w:r>
    </w:p>
    <w:p w14:paraId="56E765D6">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2.5“成交人”系指经评审确定的成交供应商。</w:t>
      </w:r>
    </w:p>
    <w:p w14:paraId="20C2352B">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2.6“响应文件”系指供应商提交的资格文件、商务技术文件、报价文件。供应商提交最后报价后，最后报价是供应商响应文件的有效组成部分。</w:t>
      </w:r>
    </w:p>
    <w:p w14:paraId="59EB890D">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w:t>
      </w:r>
      <w:r>
        <w:rPr>
          <w:rFonts w:hint="eastAsia" w:ascii="宋体" w:hAnsi="宋体" w:eastAsia="宋体" w:cs="宋体"/>
          <w:color w:val="auto"/>
          <w:sz w:val="21"/>
          <w:szCs w:val="21"/>
          <w:highlight w:val="none"/>
          <w:lang w:val="en-US" w:eastAsia="zh-CN"/>
        </w:rPr>
        <w:t>格式详见附件</w:t>
      </w:r>
      <w:r>
        <w:rPr>
          <w:rFonts w:hint="eastAsia" w:ascii="宋体" w:hAnsi="宋体" w:eastAsia="宋体" w:cs="宋体"/>
          <w:color w:val="auto"/>
          <w:sz w:val="21"/>
          <w:szCs w:val="21"/>
          <w:highlight w:val="none"/>
        </w:rPr>
        <w:t>）。</w:t>
      </w:r>
    </w:p>
    <w:p w14:paraId="736A38B5">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36D5DE16">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“书面形式”包括数据电文形式与纸质形式。数据电文形式与纸质形式的采购活动具有同等法律效力。</w:t>
      </w:r>
    </w:p>
    <w:p w14:paraId="709C2CEC">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”系指不适用本项目的要求。</w:t>
      </w:r>
    </w:p>
    <w:p w14:paraId="47D4D585">
      <w:pPr>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3.采购项目需要落实的政府采购政策</w:t>
      </w:r>
    </w:p>
    <w:p w14:paraId="3871C217">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51A029FC">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772528FD">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9C3919">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2BFB794F">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6C996E70">
      <w:pPr>
        <w:pageBreakBefore w:val="0"/>
        <w:tabs>
          <w:tab w:val="left" w:pos="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3.2.4 鼓励供应商在参加政府采购过程中开展绿色设计、选择绿色材料、打造绿色制造工艺、开展绿色运输、做好废弃产品回收处理，实现产品全周期的绿色环保。</w:t>
      </w:r>
    </w:p>
    <w:p w14:paraId="502104EF">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1A2FFCB7">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5BB983">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67A26349">
      <w:pPr>
        <w:pageBreakBefore w:val="0"/>
        <w:widowControl/>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在政府采购活动中，供应商提供的工程符合下列情形的，享受中小企业扶持政策：</w:t>
      </w:r>
      <w:r>
        <w:rPr>
          <w:rFonts w:hint="eastAsia" w:ascii="宋体" w:hAnsi="宋体" w:eastAsia="宋体" w:cs="宋体"/>
          <w:color w:val="auto"/>
          <w:sz w:val="21"/>
          <w:szCs w:val="21"/>
          <w:highlight w:val="none"/>
        </w:rPr>
        <w:t>在工程采购项目中，工程由中小企业承建，即工程施工单位为中小企业</w:t>
      </w:r>
      <w:r>
        <w:rPr>
          <w:rFonts w:hint="eastAsia" w:ascii="宋体" w:hAnsi="宋体" w:eastAsia="宋体" w:cs="宋体"/>
          <w:color w:val="auto"/>
          <w:kern w:val="0"/>
          <w:sz w:val="21"/>
          <w:szCs w:val="21"/>
          <w:highlight w:val="none"/>
        </w:rPr>
        <w:t>。</w:t>
      </w:r>
    </w:p>
    <w:p w14:paraId="68898556">
      <w:pPr>
        <w:pageBreakBefore w:val="0"/>
        <w:widowControl/>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1CCD0F7">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%的扣除，用扣除后的价格参与评审。接受大中型企业与小微企业组成联合体或者允许大中型企业向一家或者多家小微企业分包的政府采购工程项目，对于</w:t>
      </w:r>
      <w:bookmarkStart w:id="17" w:name="_Hlk101132181"/>
      <w:r>
        <w:rPr>
          <w:rFonts w:hint="eastAsia" w:ascii="宋体" w:hAnsi="宋体" w:eastAsia="宋体" w:cs="宋体"/>
          <w:color w:val="auto"/>
          <w:sz w:val="21"/>
          <w:szCs w:val="21"/>
          <w:highlight w:val="none"/>
        </w:rPr>
        <w:t>联合协议或者分包意向协议约定小微企业的合同份额占到合同总金额30%以上的</w:t>
      </w:r>
      <w:bookmarkEnd w:id="17"/>
      <w:r>
        <w:rPr>
          <w:rFonts w:hint="eastAsia" w:ascii="宋体" w:hAnsi="宋体" w:eastAsia="宋体" w:cs="宋体"/>
          <w:color w:val="auto"/>
          <w:sz w:val="21"/>
          <w:szCs w:val="21"/>
          <w:highlight w:val="none"/>
        </w:rPr>
        <w:t>，对联合体或者大中型企业的报价给予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49E4D795">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w:t>
      </w:r>
      <w:r>
        <w:rPr>
          <w:rFonts w:hint="eastAsia" w:ascii="宋体" w:hAnsi="宋体" w:eastAsia="宋体" w:cs="宋体"/>
          <w:color w:val="auto"/>
          <w:sz w:val="21"/>
          <w:szCs w:val="21"/>
          <w:highlight w:val="none"/>
          <w:lang w:val="en-US" w:eastAsia="zh-CN"/>
        </w:rPr>
        <w:t>格式详见附件</w:t>
      </w:r>
      <w:r>
        <w:rPr>
          <w:rFonts w:hint="eastAsia" w:ascii="宋体" w:hAnsi="宋体" w:eastAsia="宋体" w:cs="宋体"/>
          <w:color w:val="auto"/>
          <w:sz w:val="21"/>
          <w:szCs w:val="21"/>
          <w:highlight w:val="none"/>
        </w:rPr>
        <w:t>）的残疾人福利性单位视同小型、微型企业；</w:t>
      </w:r>
    </w:p>
    <w:p w14:paraId="604566C6">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3C6CAB">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17372CE">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0D45E08E">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5901FA6C">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对省级以上主管部门认定的首台套产品，自纳入《省推广应用指导目录》起三年内参加政府采购活动，视同已具备相应销售业绩，业绩分为满分。</w:t>
      </w:r>
    </w:p>
    <w:p w14:paraId="2C0EBEDF">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08647F67">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4.询问、质疑、投诉</w:t>
      </w:r>
    </w:p>
    <w:p w14:paraId="73AEF98D">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4.1在线询问、质疑</w:t>
      </w:r>
    </w:p>
    <w:p w14:paraId="428CA897">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0BB22E">
      <w:pPr>
        <w:pageBreakBefore w:val="0"/>
        <w:kinsoku/>
        <w:wordWrap/>
        <w:overflowPunct/>
        <w:topLinePunct w:val="0"/>
        <w:autoSpaceDE w:val="0"/>
        <w:autoSpaceDN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51DBF0C7">
      <w:pPr>
        <w:pageBreakBefore w:val="0"/>
        <w:kinsoku/>
        <w:wordWrap/>
        <w:overflowPunct/>
        <w:topLinePunct w:val="0"/>
        <w:autoSpaceDE w:val="0"/>
        <w:autoSpaceDN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D1D49B">
      <w:pPr>
        <w:pageBreakBefore w:val="0"/>
        <w:kinsoku/>
        <w:wordWrap/>
        <w:overflowPunct/>
        <w:topLinePunct w:val="0"/>
        <w:autoSpaceDE w:val="0"/>
        <w:autoSpaceDN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6B469251">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.1提出质疑的供应商应当是参与所质疑项目采购活动的供应商。潜在供应商已依法获取其可质疑的采购文件的，可以对该文件提出质疑。</w:t>
      </w:r>
    </w:p>
    <w:p w14:paraId="00DF0E05">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4B14DA48">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4.3.2.1对采购文件提出质疑的，质疑期限为供应商获得采购文件之日或者采购文件公告期限届满之日起计算。</w:t>
      </w:r>
    </w:p>
    <w:p w14:paraId="2C4D5851">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w:t>
      </w:r>
    </w:p>
    <w:p w14:paraId="7EA0A71F">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4.3.2.3对采购结果提出质疑的，质疑期限自采购结果公告期限届满之日起计算。</w:t>
      </w:r>
    </w:p>
    <w:p w14:paraId="7F3E84F4">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42233E51">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4.3.3.1供应商的姓名或者名称、地址、邮编、联系人及联系电话；</w:t>
      </w:r>
    </w:p>
    <w:p w14:paraId="0FF4FC3A">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4.3.3.2质疑项目的名称、编号；</w:t>
      </w:r>
    </w:p>
    <w:p w14:paraId="1657BF2D">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4.3.3.3具体、明确的质疑事项和与质疑事项相关的请求；</w:t>
      </w:r>
    </w:p>
    <w:p w14:paraId="4A4DB741">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4.3.3.4事实依据；</w:t>
      </w:r>
    </w:p>
    <w:p w14:paraId="7902FFEF">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4.3.3.5必要的法律依据；</w:t>
      </w:r>
    </w:p>
    <w:p w14:paraId="65D751B0">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271D942D">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2C2130AA">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lang w:val="zh-CN"/>
        </w:rPr>
        <w:t>质疑函范本请到浙江政府采购网下载专区下载</w:t>
      </w:r>
      <w:r>
        <w:rPr>
          <w:rFonts w:hint="eastAsia" w:ascii="宋体" w:hAnsi="宋体" w:eastAsia="宋体" w:cs="宋体"/>
          <w:color w:val="auto"/>
          <w:sz w:val="21"/>
          <w:szCs w:val="21"/>
          <w:highlight w:val="none"/>
        </w:rPr>
        <w:t>。</w:t>
      </w:r>
    </w:p>
    <w:p w14:paraId="0AC3AB77">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7510E132">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rPr>
        <w:t>关于进一步加强政府采购公</w:t>
      </w:r>
      <w:r>
        <w:rPr>
          <w:rFonts w:hint="eastAsia" w:ascii="宋体" w:hAnsi="宋体" w:eastAsia="宋体" w:cs="宋体"/>
          <w:color w:val="auto"/>
          <w:sz w:val="21"/>
          <w:szCs w:val="21"/>
          <w:highlight w:val="none"/>
          <w:lang w:val="en-US" w:eastAsia="zh-CN"/>
        </w:rPr>
        <w:t>平竞争打造最</w:t>
      </w:r>
      <w:r>
        <w:rPr>
          <w:rFonts w:hint="eastAsia" w:ascii="宋体" w:hAnsi="宋体" w:eastAsia="宋体" w:cs="宋体"/>
          <w:color w:val="auto"/>
          <w:sz w:val="21"/>
          <w:szCs w:val="21"/>
          <w:highlight w:val="none"/>
        </w:rPr>
        <w:t>优营商环境的通知》（</w:t>
      </w:r>
      <w:r>
        <w:rPr>
          <w:rFonts w:hint="eastAsia" w:ascii="宋体" w:hAnsi="宋体" w:eastAsia="宋体" w:cs="宋体"/>
          <w:color w:val="auto"/>
          <w:sz w:val="21"/>
          <w:szCs w:val="21"/>
          <w:highlight w:val="none"/>
          <w:lang w:val="en-US" w:eastAsia="zh-CN"/>
        </w:rPr>
        <w:t>浙</w:t>
      </w:r>
      <w:r>
        <w:rPr>
          <w:rFonts w:hint="eastAsia" w:ascii="宋体" w:hAnsi="宋体" w:eastAsia="宋体" w:cs="宋体"/>
          <w:color w:val="auto"/>
          <w:sz w:val="21"/>
          <w:szCs w:val="21"/>
          <w:highlight w:val="none"/>
        </w:rPr>
        <w:t>财采监〔2021〕</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w:t>
      </w:r>
      <w:r>
        <w:rPr>
          <w:rFonts w:hint="eastAsia" w:ascii="宋体" w:hAnsi="宋体" w:eastAsia="宋体" w:cs="宋体"/>
          <w:color w:val="auto"/>
          <w:sz w:val="21"/>
          <w:szCs w:val="21"/>
          <w:highlight w:val="none"/>
          <w:lang w:val="en-US" w:eastAsia="zh-CN"/>
        </w:rPr>
        <w:t>质疑回复</w:t>
      </w:r>
      <w:r>
        <w:rPr>
          <w:rFonts w:hint="eastAsia" w:ascii="宋体" w:hAnsi="宋体" w:eastAsia="宋体" w:cs="宋体"/>
          <w:color w:val="auto"/>
          <w:sz w:val="21"/>
          <w:szCs w:val="21"/>
          <w:highlight w:val="none"/>
        </w:rPr>
        <w:t>公告”栏目公开质疑答复，答复内容应当完整。质疑函作为附件上传。</w:t>
      </w:r>
    </w:p>
    <w:p w14:paraId="72FD7747">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56136B41">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64F31047">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03BE328C">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61CD291F">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4912D314">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3CE079FC">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4.5.5投诉材料可寄送至</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rPr>
        <w:t>宁波市鄞州区政府采购管理办公室，地址：宁波市鄞州区民惠东路16号，收件人：郑老师，电话：0574-89295894。</w:t>
      </w:r>
      <w:r>
        <w:rPr>
          <w:rFonts w:hint="eastAsia" w:ascii="宋体" w:hAnsi="宋体" w:eastAsia="宋体" w:cs="宋体"/>
          <w:color w:val="auto"/>
          <w:sz w:val="21"/>
          <w:szCs w:val="21"/>
          <w:highlight w:val="none"/>
          <w:lang w:val="en-US" w:eastAsia="zh-CN"/>
        </w:rPr>
        <w:t xml:space="preserve">  </w:t>
      </w:r>
    </w:p>
    <w:p w14:paraId="54E4DA7C">
      <w:pPr>
        <w:pStyle w:val="893"/>
        <w:pageBreakBefore w:val="0"/>
        <w:shd w:val="clear" w:color="auto" w:fill="FFFFFF"/>
        <w:kinsoku/>
        <w:wordWrap/>
        <w:overflowPunct/>
        <w:topLinePunct w:val="0"/>
        <w:bidi w:val="0"/>
        <w:adjustRightInd/>
        <w:snapToGrid/>
        <w:spacing w:before="0" w:beforeAutospacing="0" w:after="0" w:afterAutospacing="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投诉书范本请到浙江政府采购网下载专区下载</w:t>
      </w:r>
      <w:r>
        <w:rPr>
          <w:rFonts w:hint="eastAsia" w:ascii="宋体" w:hAnsi="宋体" w:eastAsia="宋体" w:cs="宋体"/>
          <w:color w:val="auto"/>
          <w:sz w:val="21"/>
          <w:szCs w:val="21"/>
          <w:highlight w:val="none"/>
        </w:rPr>
        <w:t>。</w:t>
      </w:r>
    </w:p>
    <w:p w14:paraId="632E33BA">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A2483F1">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Ansi="宋体" w:cs="宋体"/>
          <w:b/>
          <w:color w:val="auto"/>
          <w:sz w:val="21"/>
          <w:szCs w:val="21"/>
          <w:highlight w:val="none"/>
        </w:rPr>
      </w:pPr>
      <w:r>
        <w:rPr>
          <w:rFonts w:hint="eastAsia" w:hAnsi="宋体" w:cs="宋体"/>
          <w:b/>
          <w:color w:val="auto"/>
          <w:sz w:val="21"/>
          <w:szCs w:val="21"/>
          <w:highlight w:val="none"/>
        </w:rPr>
        <w:t>5</w:t>
      </w:r>
      <w:r>
        <w:rPr>
          <w:rFonts w:hint="eastAsia" w:hAnsi="宋体" w:cs="宋体"/>
          <w:b/>
          <w:color w:val="auto"/>
          <w:sz w:val="21"/>
          <w:szCs w:val="21"/>
          <w:highlight w:val="none"/>
          <w:lang w:val="en-US" w:eastAsia="zh-CN"/>
        </w:rPr>
        <w:t>.</w:t>
      </w:r>
      <w:r>
        <w:rPr>
          <w:rFonts w:hint="eastAsia" w:hAnsi="宋体" w:cs="宋体"/>
          <w:b/>
          <w:color w:val="auto"/>
          <w:sz w:val="21"/>
          <w:szCs w:val="21"/>
          <w:highlight w:val="none"/>
        </w:rPr>
        <w:t>采购文件的构成</w:t>
      </w:r>
    </w:p>
    <w:p w14:paraId="024C3388">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7B0C06DA">
      <w:pPr>
        <w:pStyle w:val="32"/>
        <w:pageBreakBefore w:val="0"/>
        <w:tabs>
          <w:tab w:val="left" w:pos="84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hAnsi="宋体" w:cs="宋体"/>
          <w:color w:val="auto"/>
          <w:sz w:val="21"/>
          <w:szCs w:val="21"/>
          <w:highlight w:val="none"/>
        </w:rPr>
      </w:pPr>
      <w:r>
        <w:rPr>
          <w:rFonts w:hint="eastAsia" w:hAnsi="宋体" w:cs="宋体"/>
          <w:color w:val="auto"/>
          <w:sz w:val="21"/>
          <w:szCs w:val="21"/>
          <w:highlight w:val="none"/>
        </w:rPr>
        <w:t>5.1.1竞争性磋商公告；</w:t>
      </w:r>
    </w:p>
    <w:p w14:paraId="2DD37997">
      <w:pPr>
        <w:pStyle w:val="32"/>
        <w:pageBreakBefore w:val="0"/>
        <w:tabs>
          <w:tab w:val="left" w:pos="84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hAnsi="宋体" w:cs="宋体"/>
          <w:color w:val="auto"/>
          <w:sz w:val="21"/>
          <w:szCs w:val="21"/>
          <w:highlight w:val="none"/>
        </w:rPr>
      </w:pPr>
      <w:r>
        <w:rPr>
          <w:rFonts w:hint="eastAsia" w:hAnsi="宋体" w:cs="宋体"/>
          <w:color w:val="auto"/>
          <w:sz w:val="21"/>
          <w:szCs w:val="21"/>
          <w:highlight w:val="none"/>
        </w:rPr>
        <w:t>5.1.2供应商须知；</w:t>
      </w:r>
    </w:p>
    <w:p w14:paraId="77E70F36">
      <w:pPr>
        <w:pStyle w:val="32"/>
        <w:pageBreakBefore w:val="0"/>
        <w:tabs>
          <w:tab w:val="left" w:pos="84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hAnsi="宋体" w:cs="宋体"/>
          <w:color w:val="auto"/>
          <w:sz w:val="21"/>
          <w:szCs w:val="21"/>
          <w:highlight w:val="none"/>
        </w:rPr>
      </w:pPr>
      <w:r>
        <w:rPr>
          <w:rFonts w:hint="eastAsia" w:hAnsi="宋体" w:cs="宋体"/>
          <w:color w:val="auto"/>
          <w:sz w:val="21"/>
          <w:szCs w:val="21"/>
          <w:highlight w:val="none"/>
        </w:rPr>
        <w:t>5.1.3采购需求；</w:t>
      </w:r>
    </w:p>
    <w:p w14:paraId="09642B45">
      <w:pPr>
        <w:pStyle w:val="32"/>
        <w:pageBreakBefore w:val="0"/>
        <w:tabs>
          <w:tab w:val="left" w:pos="84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hAnsi="宋体" w:cs="宋体"/>
          <w:color w:val="auto"/>
          <w:sz w:val="21"/>
          <w:szCs w:val="21"/>
          <w:highlight w:val="none"/>
        </w:rPr>
      </w:pPr>
      <w:r>
        <w:rPr>
          <w:rFonts w:hint="eastAsia" w:hAnsi="宋体" w:cs="宋体"/>
          <w:color w:val="auto"/>
          <w:sz w:val="21"/>
          <w:szCs w:val="21"/>
          <w:highlight w:val="none"/>
        </w:rPr>
        <w:t>5.1.4评审办法；</w:t>
      </w:r>
    </w:p>
    <w:p w14:paraId="6DE2B387">
      <w:pPr>
        <w:pStyle w:val="32"/>
        <w:pageBreakBefore w:val="0"/>
        <w:tabs>
          <w:tab w:val="left" w:pos="84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hAnsi="宋体" w:cs="宋体"/>
          <w:color w:val="auto"/>
          <w:sz w:val="21"/>
          <w:szCs w:val="21"/>
          <w:highlight w:val="none"/>
        </w:rPr>
      </w:pPr>
      <w:r>
        <w:rPr>
          <w:rFonts w:hint="eastAsia" w:hAnsi="宋体" w:cs="宋体"/>
          <w:color w:val="auto"/>
          <w:sz w:val="21"/>
          <w:szCs w:val="21"/>
          <w:highlight w:val="none"/>
        </w:rPr>
        <w:t>5.1.5拟签订的合同文本；</w:t>
      </w:r>
    </w:p>
    <w:p w14:paraId="3B8752B6">
      <w:pPr>
        <w:pStyle w:val="32"/>
        <w:pageBreakBefore w:val="0"/>
        <w:tabs>
          <w:tab w:val="left" w:pos="84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1C588223">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3A80A08B">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Ansi="宋体" w:cs="宋体"/>
          <w:b/>
          <w:color w:val="auto"/>
          <w:sz w:val="21"/>
          <w:szCs w:val="21"/>
          <w:highlight w:val="none"/>
        </w:rPr>
      </w:pPr>
      <w:r>
        <w:rPr>
          <w:rFonts w:hint="eastAsia" w:hAnsi="宋体" w:cs="宋体"/>
          <w:b/>
          <w:color w:val="auto"/>
          <w:sz w:val="21"/>
          <w:szCs w:val="21"/>
          <w:highlight w:val="none"/>
        </w:rPr>
        <w:t>6.采购文件的澄清、修改</w:t>
      </w:r>
    </w:p>
    <w:p w14:paraId="60F61780">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4518060B">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156B8EA">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075D3608">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★响应文件未按磋商文件的澄清、修改的内容编制，又不符合实质性要求的，响应无效。</w:t>
      </w:r>
    </w:p>
    <w:p w14:paraId="524EA075">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3CF1DFAA">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7.采购文件的获取</w:t>
      </w:r>
    </w:p>
    <w:p w14:paraId="708A3248">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详见竞争性磋商公告中获取采购文件的时间期限、地点、方式及采购文件售价。</w:t>
      </w:r>
    </w:p>
    <w:p w14:paraId="44A19089">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8.磋商前答疑会或现场考察</w:t>
      </w:r>
    </w:p>
    <w:p w14:paraId="3D2021E3">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采购人组织潜在供应商现场考察或者召开磋商前答疑会的，潜在供应商按第二部分供应商须知前附表的规定参加现场考察或者磋商前答疑会。</w:t>
      </w:r>
    </w:p>
    <w:p w14:paraId="76364E4E">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9.磋商保证金</w:t>
      </w:r>
    </w:p>
    <w:p w14:paraId="62C5D629">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本项目不需缴纳磋商保证金。</w:t>
      </w:r>
    </w:p>
    <w:p w14:paraId="797D855B">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10.响应文件的语言</w:t>
      </w:r>
    </w:p>
    <w:p w14:paraId="6CEF7744">
      <w:pPr>
        <w:pageBreakBefore w:val="0"/>
        <w:kinsoku/>
        <w:wordWrap/>
        <w:overflowPunct/>
        <w:topLinePunct w:val="0"/>
        <w:autoSpaceDE w:val="0"/>
        <w:autoSpaceDN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响应文件及供应商与采购有关的来往通知、函件和文件均应使用中文。</w:t>
      </w:r>
    </w:p>
    <w:p w14:paraId="49849140">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11.响应文件的组成</w:t>
      </w:r>
    </w:p>
    <w:p w14:paraId="1E134190">
      <w:pPr>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4ED74CD6">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11.1.1有效的企业法人营业执照（或事业法人登记证）、其他组织（个体工商户）的营业执照或者民办非企业单位登记证书</w:t>
      </w:r>
      <w:r>
        <w:rPr>
          <w:rFonts w:hint="eastAsia" w:ascii="宋体" w:hAnsi="宋体" w:eastAsia="宋体" w:cs="宋体"/>
          <w:color w:val="auto"/>
          <w:sz w:val="21"/>
          <w:szCs w:val="21"/>
          <w:highlight w:val="none"/>
          <w:lang w:val="en-US" w:eastAsia="zh-CN"/>
        </w:rPr>
        <w:t>。</w:t>
      </w:r>
    </w:p>
    <w:p w14:paraId="28407DA6">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w:t>
      </w:r>
      <w:r>
        <w:rPr>
          <w:rFonts w:hint="eastAsia" w:ascii="宋体" w:hAnsi="宋体" w:eastAsia="宋体" w:cs="宋体"/>
          <w:color w:val="auto"/>
          <w:sz w:val="21"/>
          <w:szCs w:val="21"/>
          <w:highlight w:val="none"/>
        </w:rPr>
        <w:t>符合参加政府采购活动应当具备的一般条件的承诺函；</w:t>
      </w:r>
    </w:p>
    <w:p w14:paraId="398294CC">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2CA13B8">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本项目专门面向中小企业采购（监狱企业及残疾人福利性单位视同小型、微型企业）</w:t>
      </w:r>
    </w:p>
    <w:p w14:paraId="391FA008">
      <w:pPr>
        <w:pageBreakBefore w:val="0"/>
        <w:numPr>
          <w:ilvl w:val="0"/>
          <w:numId w:val="0"/>
        </w:numPr>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中小企业声明函（如是，请提供）；</w:t>
      </w:r>
    </w:p>
    <w:p w14:paraId="20406CFD">
      <w:pPr>
        <w:pageBreakBefore w:val="0"/>
        <w:numPr>
          <w:ilvl w:val="0"/>
          <w:numId w:val="0"/>
        </w:numPr>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供应商为监狱企业的证明文件：省级以上监狱管理局、戒毒管理局（含新疆生产建设兵团）出具（如是，请提供）；</w:t>
      </w:r>
    </w:p>
    <w:p w14:paraId="42BC6FE0">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（3）残疾人福利性单位声明函（如是，请提供）。 </w:t>
      </w:r>
    </w:p>
    <w:p w14:paraId="33721778">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p>
    <w:p w14:paraId="70DC3736">
      <w:pPr>
        <w:pageBreakBefore w:val="0"/>
        <w:numPr>
          <w:ilvl w:val="0"/>
          <w:numId w:val="0"/>
        </w:numPr>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有效的建筑装修装饰工程专业承包二级及以上资质证书复印件；</w:t>
      </w:r>
    </w:p>
    <w:p w14:paraId="04B22F79">
      <w:pPr>
        <w:pageBreakBefore w:val="0"/>
        <w:numPr>
          <w:ilvl w:val="0"/>
          <w:numId w:val="0"/>
        </w:numPr>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供应商有效的安全生产许可证</w:t>
      </w:r>
      <w:r>
        <w:rPr>
          <w:rFonts w:hint="eastAsia" w:ascii="宋体" w:hAnsi="宋体" w:eastAsia="宋体" w:cs="宋体"/>
          <w:color w:val="auto"/>
          <w:sz w:val="21"/>
          <w:szCs w:val="21"/>
          <w:highlight w:val="none"/>
          <w:lang w:val="en-US" w:eastAsia="zh-CN"/>
        </w:rPr>
        <w:t>复印件。</w:t>
      </w:r>
    </w:p>
    <w:p w14:paraId="033B6BEB">
      <w:pPr>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p>
    <w:p w14:paraId="03ADFD7F">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11.2.1响应函；</w:t>
      </w:r>
      <w:r>
        <w:rPr>
          <w:rFonts w:hint="eastAsia" w:ascii="宋体" w:hAnsi="宋体" w:eastAsia="宋体" w:cs="宋体"/>
          <w:color w:val="auto"/>
          <w:sz w:val="21"/>
          <w:szCs w:val="21"/>
          <w:highlight w:val="none"/>
          <w:lang w:val="zh-CN"/>
        </w:rPr>
        <w:t xml:space="preserve"> </w:t>
      </w:r>
    </w:p>
    <w:p w14:paraId="26382C53">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539402BF">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14:paraId="0608864F">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评审标准相应的商务技术资料；</w:t>
      </w:r>
    </w:p>
    <w:p w14:paraId="2EAE8F3F">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672FFABD">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6项目管理机构；</w:t>
      </w:r>
    </w:p>
    <w:p w14:paraId="62C0B791">
      <w:pPr>
        <w:pageBreakBefore w:val="0"/>
        <w:numPr>
          <w:ilvl w:val="0"/>
          <w:numId w:val="0"/>
        </w:numPr>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11.2.7同类业绩情况一览表；</w:t>
      </w:r>
    </w:p>
    <w:p w14:paraId="232BADFA">
      <w:pPr>
        <w:pageBreakBefore w:val="0"/>
        <w:numPr>
          <w:ilvl w:val="0"/>
          <w:numId w:val="0"/>
        </w:numPr>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11.2.8项目经理无在建项目承诺书；</w:t>
      </w:r>
    </w:p>
    <w:p w14:paraId="66FD4A15">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9施工组织设计；</w:t>
      </w:r>
    </w:p>
    <w:p w14:paraId="1AD7D2D5">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11.2.10主要材料品牌响应表；</w:t>
      </w:r>
    </w:p>
    <w:p w14:paraId="0511D2F9">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11.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eastAsia="zh-CN"/>
        </w:rPr>
        <w:t>政府采购供</w:t>
      </w:r>
      <w:r>
        <w:rPr>
          <w:rFonts w:hint="eastAsia" w:ascii="宋体" w:hAnsi="宋体" w:eastAsia="宋体" w:cs="宋体"/>
          <w:color w:val="auto"/>
          <w:sz w:val="21"/>
          <w:szCs w:val="21"/>
          <w:highlight w:val="none"/>
          <w:lang w:val="zh-CN"/>
        </w:rPr>
        <w:t>应商廉洁自律承诺书；</w:t>
      </w:r>
    </w:p>
    <w:p w14:paraId="7969540E">
      <w:pPr>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hint="eastAsia" w:ascii="宋体" w:hAnsi="宋体" w:eastAsia="宋体" w:cs="宋体"/>
          <w:color w:val="auto"/>
          <w:sz w:val="21"/>
          <w:szCs w:val="21"/>
          <w:highlight w:val="none"/>
          <w:u w:val="single"/>
          <w:lang w:val="zh-CN"/>
        </w:rPr>
      </w:pPr>
      <w:r>
        <w:rPr>
          <w:rFonts w:hint="eastAsia" w:ascii="宋体" w:hAnsi="宋体" w:eastAsia="宋体" w:cs="宋体"/>
          <w:b/>
          <w:bCs/>
          <w:color w:val="auto"/>
          <w:kern w:val="0"/>
          <w:sz w:val="21"/>
          <w:szCs w:val="21"/>
          <w:highlight w:val="none"/>
          <w:lang w:val="zh-CN"/>
        </w:rPr>
        <w:t>11.</w:t>
      </w:r>
      <w:r>
        <w:rPr>
          <w:rFonts w:hint="eastAsia" w:ascii="宋体" w:hAnsi="宋体" w:eastAsia="宋体" w:cs="宋体"/>
          <w:b/>
          <w:bCs/>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71C2893D">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11.3.1报价单（初次报价）；</w:t>
      </w:r>
    </w:p>
    <w:p w14:paraId="13EBA82D">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11.3.2投标报价文件【供应商须将采购人提供的工程造价咨询报告书附于报价文件内，否则作否决投标处理】（工程量清单的封面及投标总价表等内容无需加盖编制人造价人员专用章及签字）。</w:t>
      </w:r>
    </w:p>
    <w:p w14:paraId="22347927">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11.3.</w:t>
      </w:r>
      <w:r>
        <w:rPr>
          <w:rFonts w:hint="eastAsia" w:ascii="宋体" w:hAnsi="宋体" w:cs="宋体"/>
          <w:szCs w:val="21"/>
          <w:lang w:val="en-US" w:eastAsia="zh-CN"/>
        </w:rPr>
        <w:t>3</w:t>
      </w:r>
      <w:r>
        <w:rPr>
          <w:rFonts w:hint="eastAsia" w:ascii="宋体" w:hAnsi="宋体" w:cs="宋体"/>
          <w:szCs w:val="21"/>
        </w:rPr>
        <w:t>供应商认为需要的其他资料（如有需提供）</w:t>
      </w:r>
    </w:p>
    <w:p w14:paraId="2AFC8453">
      <w:pPr>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响应文件含有采购人不能接受的附加条件的，响应文件无效；</w:t>
      </w:r>
    </w:p>
    <w:p w14:paraId="00BC423B">
      <w:pPr>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供应商提供虚假材料的，响应文件无效。</w:t>
      </w:r>
    </w:p>
    <w:p w14:paraId="6DFAC27A">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应对</w:t>
      </w:r>
      <w:r>
        <w:rPr>
          <w:rFonts w:hint="eastAsia" w:ascii="宋体" w:hAnsi="宋体" w:eastAsia="宋体" w:cs="宋体"/>
          <w:b/>
          <w:sz w:val="21"/>
          <w:szCs w:val="21"/>
          <w:highlight w:val="none"/>
          <w:lang w:val="en-US" w:eastAsia="zh-CN"/>
        </w:rPr>
        <w:t>响应</w:t>
      </w:r>
      <w:r>
        <w:rPr>
          <w:rFonts w:hint="eastAsia" w:ascii="宋体" w:hAnsi="宋体" w:eastAsia="宋体" w:cs="宋体"/>
          <w:b/>
          <w:sz w:val="21"/>
          <w:szCs w:val="21"/>
          <w:highlight w:val="none"/>
        </w:rPr>
        <w:t>文件中材料的真实性、合法性负责。</w:t>
      </w: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可事先在公开官网查询、核对相关证书和报告内容，确保响应文件资料准确无误。</w:t>
      </w:r>
    </w:p>
    <w:p w14:paraId="0DA6D8DA">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响应文件的编制</w:t>
      </w:r>
    </w:p>
    <w:p w14:paraId="3080E7FB">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2E4FEAA">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2E49DFA">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94FA11E">
      <w:pPr>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13.响应文件的签署、盖章</w:t>
      </w:r>
    </w:p>
    <w:p w14:paraId="78302CE1">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13.1响应文件按照采购文件第六部分格式要求进行签署、盖章。</w:t>
      </w:r>
      <w:r>
        <w:rPr>
          <w:rFonts w:hint="eastAsia" w:ascii="宋体" w:hAnsi="宋体" w:eastAsia="宋体" w:cs="宋体"/>
          <w:b/>
          <w:color w:val="auto"/>
          <w:sz w:val="21"/>
          <w:szCs w:val="21"/>
          <w:highlight w:val="none"/>
        </w:rPr>
        <w:t>▲供应商的响应文件未按照采购文件要求签署、盖章的，其响应文件无效</w:t>
      </w:r>
      <w:r>
        <w:rPr>
          <w:rFonts w:hint="eastAsia" w:ascii="宋体" w:hAnsi="宋体" w:eastAsia="宋体" w:cs="宋体"/>
          <w:color w:val="auto"/>
          <w:sz w:val="21"/>
          <w:szCs w:val="21"/>
          <w:highlight w:val="none"/>
        </w:rPr>
        <w:t>。</w:t>
      </w:r>
    </w:p>
    <w:p w14:paraId="005D94C1">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E87C4AA">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13.3采购文件对响应文件签署、盖章的要求适用于电子签名。</w:t>
      </w:r>
    </w:p>
    <w:p w14:paraId="76F93B80">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14.响应文件的提交、补充、修改、撤回</w:t>
      </w:r>
    </w:p>
    <w:p w14:paraId="777B790B">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FA95324">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在响应截止时间以后，不能补充、修改响应文件。</w:t>
      </w:r>
    </w:p>
    <w:p w14:paraId="3E9C305A">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在提交“最后报价”后，供应商不能退出磋商。</w:t>
      </w:r>
    </w:p>
    <w:p w14:paraId="7AD77EC3">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电子交易平台收到响应文件，将妥善保存并即时向供应商发出确认回执通知。在响应文件提交（上传）截止时间前，除供应商补充、修改或者撤回响应文件外，任何单位和个人不得解密或提取响应文件。</w:t>
      </w:r>
    </w:p>
    <w:p w14:paraId="2FD41FAD">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可以视情况延长响应文件提交的截止时间。在上述情况下，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与供应商以前在响应文件提交截止时间方面的全部权利、责任和义务，将适用于延长至新的响应文件提交截止时间。</w:t>
      </w:r>
    </w:p>
    <w:p w14:paraId="6C8835E2">
      <w:pPr>
        <w:pStyle w:val="32"/>
        <w:pageBreakBefore w:val="0"/>
        <w:kinsoku/>
        <w:wordWrap/>
        <w:overflowPunct/>
        <w:topLinePunct w:val="0"/>
        <w:bidi w:val="0"/>
        <w:adjustRightInd/>
        <w:snapToGrid/>
        <w:spacing w:before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15.备份响应文件</w:t>
      </w:r>
    </w:p>
    <w:p w14:paraId="71A007CE">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15.1供应商在电子交易平台传输递交响应文件后，还可以在响应文件提交（上传）截止时间前直接提交或者以快递方式递交备份响应文件1份，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不强制或变相强制供应商提交备份响应文件。</w:t>
      </w:r>
    </w:p>
    <w:p w14:paraId="3DB035CF">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15.2备份响应文件须在“政采云投标客户端”制作生成，并储存在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中。备份响应文件应当密封包装并在包装上加盖公章并注明采购项目名称，供应商名称。</w:t>
      </w:r>
      <w:r>
        <w:rPr>
          <w:rFonts w:hint="eastAsia" w:ascii="宋体" w:hAnsi="宋体" w:eastAsia="宋体" w:cs="宋体"/>
          <w:b/>
          <w:color w:val="auto"/>
          <w:sz w:val="21"/>
          <w:szCs w:val="21"/>
          <w:highlight w:val="none"/>
        </w:rPr>
        <w:t>不符合上述制作、存储、密封规定的备份响应文件将被视为无效或者被拒绝接收。</w:t>
      </w:r>
    </w:p>
    <w:p w14:paraId="27E94D6F">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将拒绝接受逾期送达的备份响应文件。</w:t>
      </w:r>
    </w:p>
    <w:p w14:paraId="5BC07968">
      <w:pPr>
        <w:pStyle w:val="32"/>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15.4以快递方式递交备份响应文件的，供应商应先将备份响应文件按要求密封和标记，再进行快递包装后邮寄。备份响应文件须在响应文件提交（上传）截止时间之前送达</w:t>
      </w:r>
      <w:r>
        <w:rPr>
          <w:rFonts w:hint="eastAsia" w:ascii="宋体" w:hAnsi="宋体" w:eastAsia="宋体" w:cs="宋体"/>
          <w:snapToGrid/>
          <w:color w:val="auto"/>
          <w:sz w:val="21"/>
          <w:szCs w:val="21"/>
          <w:highlight w:val="none"/>
        </w:rPr>
        <w:t>采购文件第二部分供应商须知前附表规定的备份响应文件送达地点；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将拒绝接受逾期送达的备份响应文件。邮寄过程中，电子备份响应文件发生泄露、遗失、损坏或延期送达等情况的，由供应商自行负责。</w:t>
      </w:r>
    </w:p>
    <w:p w14:paraId="7DAF5915">
      <w:pPr>
        <w:pStyle w:val="32"/>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15.5供应商仅提交备份响应文件，未在电子交易平台传输递交响应文件的，响应文件无效。</w:t>
      </w:r>
    </w:p>
    <w:p w14:paraId="6443F3C4">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16.响应文件的无效处理</w:t>
      </w:r>
    </w:p>
    <w:p w14:paraId="5A0668C8">
      <w:pPr>
        <w:pStyle w:val="24"/>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有采购文件第四部分4.2规定的情形之一的，响应文件无效：</w:t>
      </w:r>
    </w:p>
    <w:p w14:paraId="1FFF24AE">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17.响应文件有效期</w:t>
      </w:r>
    </w:p>
    <w:p w14:paraId="24953756">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17.1响应文件有效期为从提交响应文件的截止之日起90天。▲</w:t>
      </w:r>
      <w:r>
        <w:rPr>
          <w:rFonts w:hint="eastAsia" w:ascii="宋体" w:hAnsi="宋体" w:eastAsia="宋体" w:cs="宋体"/>
          <w:b/>
          <w:color w:val="auto"/>
          <w:sz w:val="21"/>
          <w:szCs w:val="21"/>
          <w:highlight w:val="none"/>
        </w:rPr>
        <w:t>供应商的响应文件中承诺的响应文件有效期少于采购文件中载明的响应文件有效期的，响应文件无效。</w:t>
      </w:r>
    </w:p>
    <w:p w14:paraId="78F32007">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17.2响应文件合格投递后，自响应文件提交截止时间起，在响应文件有效期内有效。</w:t>
      </w:r>
    </w:p>
    <w:p w14:paraId="03D0DEB9">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17.3在原定响应文件有效期满之前，如果出现特殊情况，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可以以书面形式通知供应商延长响应文件有效期。供应商同意延长的，不得要求或被允许修改其响应文件，供应商拒绝延长的，其响应文件无效。</w:t>
      </w:r>
    </w:p>
    <w:p w14:paraId="00916E0A">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CB92B86">
      <w:pPr>
        <w:pStyle w:val="561"/>
        <w:pageBreakBefore w:val="0"/>
        <w:kinsoku/>
        <w:wordWrap/>
        <w:overflowPunct/>
        <w:topLinePunct w:val="0"/>
        <w:bidi w:val="0"/>
        <w:adjustRightInd/>
        <w:snapToGrid/>
        <w:spacing w:before="0" w:beforeAutospacing="0" w:line="360" w:lineRule="auto"/>
        <w:ind w:left="0" w:leftChars="0" w:firstLine="422" w:firstLineChars="200"/>
        <w:contextualSpacing/>
        <w:jc w:val="both"/>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18.响应文件开启</w:t>
      </w:r>
      <w:r>
        <w:rPr>
          <w:rFonts w:hint="eastAsia" w:ascii="宋体" w:hAnsi="宋体" w:cs="宋体"/>
          <w:color w:val="auto"/>
          <w:sz w:val="21"/>
          <w:szCs w:val="21"/>
          <w:highlight w:val="none"/>
        </w:rPr>
        <w:t xml:space="preserve"> </w:t>
      </w:r>
    </w:p>
    <w:p w14:paraId="06A4AD32">
      <w:pPr>
        <w:pStyle w:val="561"/>
        <w:pageBreakBefore w:val="0"/>
        <w:kinsoku/>
        <w:wordWrap/>
        <w:overflowPunct/>
        <w:topLinePunct w:val="0"/>
        <w:bidi w:val="0"/>
        <w:adjustRightInd/>
        <w:snapToGrid/>
        <w:spacing w:before="0" w:beforeAutospacing="0" w:line="360" w:lineRule="auto"/>
        <w:ind w:left="0" w:leftChars="0" w:firstLine="420" w:firstLineChars="200"/>
        <w:contextualSpacing/>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按照采购文件规定的时间通过电子交易平台组织响应文件开启，所有供应商均应当准时在线参加。供应商不足3家的，不得开启。</w:t>
      </w:r>
    </w:p>
    <w:p w14:paraId="4455F891">
      <w:pPr>
        <w:pStyle w:val="561"/>
        <w:pageBreakBefore w:val="0"/>
        <w:kinsoku/>
        <w:wordWrap/>
        <w:overflowPunct/>
        <w:topLinePunct w:val="0"/>
        <w:bidi w:val="0"/>
        <w:adjustRightInd/>
        <w:snapToGrid/>
        <w:spacing w:before="0" w:beforeAutospacing="0" w:line="360" w:lineRule="auto"/>
        <w:ind w:left="0" w:leftChars="0" w:firstLine="420" w:firstLineChars="200"/>
        <w:contextualSpacing/>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依托电子交易平台发起开始解密指令，供应商按照平台提示和采购文件的规定在半小时内完成在线解密。</w:t>
      </w:r>
    </w:p>
    <w:p w14:paraId="3FB2D61B">
      <w:pPr>
        <w:pStyle w:val="561"/>
        <w:pageBreakBefore w:val="0"/>
        <w:kinsoku/>
        <w:wordWrap/>
        <w:overflowPunct/>
        <w:topLinePunct w:val="0"/>
        <w:bidi w:val="0"/>
        <w:adjustRightInd/>
        <w:snapToGrid/>
        <w:spacing w:before="0" w:beforeAutospacing="0" w:line="360" w:lineRule="auto"/>
        <w:ind w:left="0" w:leftChars="0" w:firstLine="420" w:firstLineChars="200"/>
        <w:contextualSpacing/>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62C37475">
      <w:pPr>
        <w:pStyle w:val="561"/>
        <w:pageBreakBefore w:val="0"/>
        <w:kinsoku/>
        <w:wordWrap/>
        <w:overflowPunct/>
        <w:topLinePunct w:val="0"/>
        <w:bidi w:val="0"/>
        <w:adjustRightInd/>
        <w:snapToGrid/>
        <w:spacing w:before="0" w:beforeAutospacing="0" w:line="360" w:lineRule="auto"/>
        <w:ind w:left="0" w:leftChars="0" w:firstLine="422" w:firstLineChars="200"/>
        <w:contextualSpacing/>
        <w:jc w:val="both"/>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资格审查</w:t>
      </w:r>
    </w:p>
    <w:p w14:paraId="1CC68D14">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或磋商小组依据法律法规和采购文件的规定，对供应商的资格进行审查。</w:t>
      </w:r>
    </w:p>
    <w:p w14:paraId="2582B9BE">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6E6525BE">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对未通过资格审查的供应商，采购人或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7F12B469">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合格供应商不足3家的，不再评审。</w:t>
      </w:r>
    </w:p>
    <w:p w14:paraId="35A4BE48">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20</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信用信息查询</w:t>
      </w:r>
    </w:p>
    <w:p w14:paraId="3AE5D258">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将在资格审查时通过“信用中国”网站(www.creditchina.gov.cn)、中国政府采购网(www.ccgp.gov.cn)渠道查询供应商接受资格审查时的信用记录。</w:t>
      </w:r>
    </w:p>
    <w:p w14:paraId="3B61BA11">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641B19C0">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、政府采购严重违法失信行为记录名单的供应商将被拒绝参与政府采购活动。</w:t>
      </w:r>
    </w:p>
    <w:p w14:paraId="61A38563">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630F7AC3">
      <w:pPr>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ascii="宋体" w:hAnsi="宋体" w:cs="宋体"/>
          <w:b/>
          <w:color w:val="auto"/>
          <w:sz w:val="21"/>
          <w:szCs w:val="21"/>
          <w:highlight w:val="none"/>
        </w:rPr>
      </w:pPr>
      <w:bookmarkStart w:id="18"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详见采购文件第四部分评审办法。</w:t>
      </w:r>
    </w:p>
    <w:p w14:paraId="51D3EF29">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2A238C5F">
      <w:pPr>
        <w:pStyle w:val="24"/>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cs="宋体"/>
          <w:b/>
          <w:color w:val="auto"/>
          <w:sz w:val="21"/>
          <w:szCs w:val="21"/>
          <w:highlight w:val="none"/>
        </w:rPr>
      </w:pPr>
      <w:r>
        <w:rPr>
          <w:rFonts w:hint="eastAsia" w:cs="宋体"/>
          <w:b/>
          <w:color w:val="auto"/>
          <w:sz w:val="21"/>
          <w:szCs w:val="21"/>
          <w:highlight w:val="none"/>
        </w:rPr>
        <w:t>22.确定成交供应商</w:t>
      </w:r>
    </w:p>
    <w:p w14:paraId="7E2965EA">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个工作日内在线确定中标或者成交供应商。中标、成交通知书和中标、成交结果公告应当在规定时间内同时发出。注：按评审后得分由高到低顺序确定1名成交人。</w:t>
      </w:r>
    </w:p>
    <w:p w14:paraId="29F778D5">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23.成交通知与成交结果公告</w:t>
      </w:r>
    </w:p>
    <w:p w14:paraId="79AF463C">
      <w:pPr>
        <w:pageBreakBefore w:val="0"/>
        <w:widowControl/>
        <w:shd w:val="clear" w:color="auto" w:fill="FFFFFF"/>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通过电子交易平台向成交供应商发出成交通知书，同时编制发布采购结果公告。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也可以以纸质形式进行成交通知。</w:t>
      </w:r>
    </w:p>
    <w:p w14:paraId="0872B972">
      <w:pPr>
        <w:pageBreakBefore w:val="0"/>
        <w:widowControl/>
        <w:shd w:val="clear" w:color="auto" w:fill="FFFFFF"/>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的名称、地址、联系方式，项目名称和项目编号，成交供应商名称、地址和成交金额，主要成交标的的名称、施工范围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施工工期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项目经理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执业证书信息，开标记录、资格审查情况、评审专家抽取规则、符合性审查情况、成交结果公告期限以及评审专家名单、评分汇总及明细。</w:t>
      </w:r>
    </w:p>
    <w:p w14:paraId="6DF2E67D">
      <w:pPr>
        <w:pageBreakBefore w:val="0"/>
        <w:widowControl/>
        <w:shd w:val="clear" w:color="auto" w:fill="FFFFFF"/>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4C170C7F">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5A824654">
      <w:pPr>
        <w:pStyle w:val="24"/>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cs="宋体"/>
          <w:b/>
          <w:color w:val="auto"/>
          <w:sz w:val="21"/>
          <w:szCs w:val="21"/>
          <w:highlight w:val="none"/>
        </w:rPr>
      </w:pPr>
      <w:r>
        <w:rPr>
          <w:rFonts w:hint="eastAsia" w:cs="宋体"/>
          <w:b/>
          <w:color w:val="auto"/>
          <w:sz w:val="21"/>
          <w:szCs w:val="21"/>
          <w:highlight w:val="none"/>
        </w:rPr>
        <w:t>24.</w:t>
      </w:r>
      <w:r>
        <w:rPr>
          <w:rFonts w:hint="eastAsia" w:cs="宋体"/>
          <w:color w:val="auto"/>
          <w:sz w:val="21"/>
          <w:szCs w:val="21"/>
          <w:highlight w:val="none"/>
        </w:rPr>
        <w:t>合同主要条款详见第五部分拟签订的合同文本。</w:t>
      </w:r>
    </w:p>
    <w:p w14:paraId="74C00D09">
      <w:pPr>
        <w:pStyle w:val="24"/>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cs="宋体"/>
          <w:b/>
          <w:color w:val="auto"/>
          <w:sz w:val="21"/>
          <w:szCs w:val="21"/>
          <w:highlight w:val="none"/>
        </w:rPr>
      </w:pPr>
      <w:r>
        <w:rPr>
          <w:rFonts w:hint="eastAsia" w:cs="宋体"/>
          <w:b/>
          <w:color w:val="auto"/>
          <w:sz w:val="21"/>
          <w:szCs w:val="21"/>
          <w:highlight w:val="none"/>
        </w:rPr>
        <w:t>25.合同的签订</w:t>
      </w:r>
    </w:p>
    <w:p w14:paraId="48A0EC59">
      <w:pPr>
        <w:pageBreakBefore w:val="0"/>
        <w:widowControl/>
        <w:shd w:val="clear" w:color="auto" w:fill="FFFFFF"/>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418845B">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w:t>
      </w:r>
    </w:p>
    <w:p w14:paraId="34E9C13D">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2524BA49">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5797531">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53FCB194">
      <w:pPr>
        <w:pStyle w:val="24"/>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cs="宋体"/>
          <w:b/>
          <w:color w:val="auto"/>
          <w:sz w:val="21"/>
          <w:szCs w:val="21"/>
          <w:highlight w:val="none"/>
        </w:rPr>
      </w:pPr>
      <w:r>
        <w:rPr>
          <w:rFonts w:hint="eastAsia" w:cs="宋体"/>
          <w:b/>
          <w:color w:val="auto"/>
          <w:sz w:val="21"/>
          <w:szCs w:val="21"/>
          <w:highlight w:val="none"/>
        </w:rPr>
        <w:t>26.履约保证金</w:t>
      </w:r>
    </w:p>
    <w:p w14:paraId="19A1F6BD">
      <w:pPr>
        <w:pageBreakBefore w:val="0"/>
        <w:tabs>
          <w:tab w:val="left" w:pos="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。确需收取履约保证金的，履约保证金缴纳最高比例由不超过</w:t>
      </w:r>
      <w:r>
        <w:rPr>
          <w:rFonts w:hint="eastAsia" w:ascii="宋体" w:hAnsi="宋体" w:cs="宋体"/>
          <w:color w:val="auto"/>
          <w:kern w:val="2"/>
          <w:sz w:val="21"/>
          <w:szCs w:val="21"/>
          <w:highlight w:val="none"/>
        </w:rPr>
        <w:t>合同金额的</w:t>
      </w:r>
      <w:r>
        <w:rPr>
          <w:rFonts w:ascii="宋体" w:hAnsi="宋体" w:cs="宋体"/>
          <w:color w:val="auto"/>
          <w:kern w:val="2"/>
          <w:sz w:val="21"/>
          <w:szCs w:val="21"/>
          <w:highlight w:val="none"/>
        </w:rPr>
        <w:t>1%</w:t>
      </w:r>
      <w:r>
        <w:rPr>
          <w:rFonts w:hint="eastAsia" w:ascii="宋体" w:hAnsi="宋体" w:cs="宋体"/>
          <w:color w:val="auto"/>
          <w:sz w:val="21"/>
          <w:szCs w:val="21"/>
          <w:highlight w:val="none"/>
        </w:rPr>
        <w:t>。</w:t>
      </w:r>
    </w:p>
    <w:p w14:paraId="4E9E7F79">
      <w:pPr>
        <w:pageBreakBefore w:val="0"/>
        <w:tabs>
          <w:tab w:val="left" w:pos="432"/>
        </w:tabs>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ascii="宋体" w:hAnsi="宋体" w:eastAsia="宋体"/>
          <w:b w:val="0"/>
          <w:bCs w:val="0"/>
          <w:color w:val="auto"/>
          <w:sz w:val="21"/>
          <w:szCs w:val="21"/>
          <w:highlight w:val="none"/>
          <w:lang w:val="en-US"/>
        </w:rPr>
        <w:t>400-903-9583</w:t>
      </w:r>
      <w:r>
        <w:rPr>
          <w:rFonts w:hint="eastAsia" w:ascii="宋体" w:hAnsi="宋体" w:eastAsia="宋体" w:cs="宋体"/>
          <w:b w:val="0"/>
          <w:bCs w:val="0"/>
          <w:snapToGrid w:val="0"/>
          <w:color w:val="auto"/>
          <w:kern w:val="28"/>
          <w:sz w:val="21"/>
          <w:szCs w:val="21"/>
          <w:highlight w:val="none"/>
        </w:rPr>
        <w:t>。</w:t>
      </w:r>
    </w:p>
    <w:p w14:paraId="67E2618C">
      <w:pPr>
        <w:pageBreakBefore w:val="0"/>
        <w:tabs>
          <w:tab w:val="left" w:pos="432"/>
        </w:tabs>
        <w:kinsoku/>
        <w:wordWrap/>
        <w:overflowPunct/>
        <w:topLinePunct w:val="0"/>
        <w:bidi w:val="0"/>
        <w:adjustRightInd/>
        <w:snapToGrid/>
        <w:spacing w:beforeAutospacing="0" w:line="360" w:lineRule="auto"/>
        <w:ind w:left="0" w:leftChars="0" w:firstLine="422" w:firstLineChars="200"/>
        <w:jc w:val="both"/>
        <w:textAlignment w:val="auto"/>
        <w:outlineLvl w:val="9"/>
        <w:rPr>
          <w:color w:val="auto"/>
          <w:sz w:val="21"/>
          <w:szCs w:val="21"/>
          <w:highlight w:val="none"/>
        </w:rPr>
      </w:pPr>
      <w:r>
        <w:rPr>
          <w:rFonts w:ascii="宋体" w:hAnsi="宋体" w:eastAsia="宋体" w:cs="Times New Roman"/>
          <w:b/>
          <w:bCs/>
          <w:color w:val="auto"/>
          <w:kern w:val="2"/>
          <w:sz w:val="21"/>
          <w:szCs w:val="21"/>
          <w:highlight w:val="none"/>
          <w:lang w:val="en-US"/>
        </w:rPr>
        <w:t>27.预付款</w:t>
      </w:r>
    </w:p>
    <w:p w14:paraId="0B8EAE2B">
      <w:pPr>
        <w:pageBreakBefore w:val="0"/>
        <w:kinsoku/>
        <w:wordWrap/>
        <w:overflowPunct/>
        <w:topLinePunct w:val="0"/>
        <w:bidi w:val="0"/>
        <w:adjustRightInd/>
        <w:snapToGrid/>
        <w:spacing w:beforeAutospacing="0" w:line="360" w:lineRule="auto"/>
        <w:ind w:left="0" w:leftChars="0" w:firstLine="420" w:firstLineChars="200"/>
        <w:jc w:val="both"/>
        <w:textAlignment w:val="auto"/>
        <w:outlineLvl w:val="9"/>
        <w:rPr>
          <w:color w:val="auto"/>
          <w:sz w:val="21"/>
          <w:szCs w:val="21"/>
          <w:highlight w:val="none"/>
        </w:rPr>
      </w:pPr>
      <w:r>
        <w:rPr>
          <w:rFonts w:hint="eastAsia" w:ascii="宋体" w:hAnsi="宋体" w:cs="Times New Roman"/>
          <w:color w:val="auto"/>
          <w:kern w:val="2"/>
          <w:sz w:val="21"/>
          <w:szCs w:val="21"/>
          <w:highlight w:val="none"/>
          <w:lang w:val="en-US" w:eastAsia="zh-CN"/>
        </w:rPr>
        <w:t>详见竞争性磋商文件第三部分采购需求</w:t>
      </w:r>
      <w:r>
        <w:rPr>
          <w:rFonts w:ascii="宋体" w:hAnsi="宋体" w:cs="Times New Roman"/>
          <w:color w:val="auto"/>
          <w:kern w:val="2"/>
          <w:sz w:val="21"/>
          <w:szCs w:val="21"/>
          <w:highlight w:val="none"/>
        </w:rPr>
        <w:t>。</w:t>
      </w:r>
    </w:p>
    <w:p w14:paraId="3F74A424">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4EB70625">
      <w:pPr>
        <w:pStyle w:val="135"/>
        <w:pageBreakBefore w:val="0"/>
        <w:kinsoku/>
        <w:wordWrap/>
        <w:overflowPunct/>
        <w:topLinePunct w:val="0"/>
        <w:bidi w:val="0"/>
        <w:adjustRightInd/>
        <w:snapToGrid/>
        <w:spacing w:before="0" w:beforeAutospacing="0" w:line="360" w:lineRule="auto"/>
        <w:ind w:left="0" w:leftChars="0" w:firstLine="422" w:firstLineChars="200"/>
        <w:jc w:val="both"/>
        <w:textAlignment w:val="auto"/>
        <w:outlineLvl w:val="9"/>
        <w:rPr>
          <w:rFonts w:ascii="宋体" w:hAnsi="宋体" w:cs="宋体"/>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6DB54CEF">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9580653">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E982E75">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7265AD9">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46424501">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2A7CE1E">
      <w:pPr>
        <w:pStyle w:val="135"/>
        <w:pageBreakBefore w:val="0"/>
        <w:kinsoku/>
        <w:wordWrap/>
        <w:overflowPunct/>
        <w:topLinePunct w:val="0"/>
        <w:bidi w:val="0"/>
        <w:adjustRightInd/>
        <w:snapToGrid/>
        <w:spacing w:before="0"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0A4E5DC">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6C552141">
      <w:pPr>
        <w:pStyle w:val="24"/>
        <w:pageBreakBefore w:val="0"/>
        <w:kinsoku/>
        <w:wordWrap/>
        <w:overflowPunct/>
        <w:topLinePunct w:val="0"/>
        <w:bidi w:val="0"/>
        <w:adjustRightInd/>
        <w:snapToGrid/>
        <w:spacing w:beforeAutospacing="0" w:line="360" w:lineRule="auto"/>
        <w:ind w:left="0" w:leftChars="0" w:firstLine="422" w:firstLineChars="200"/>
        <w:jc w:val="both"/>
        <w:textAlignment w:val="auto"/>
        <w:outlineLvl w:val="9"/>
        <w:rPr>
          <w:rFonts w:cs="宋体"/>
          <w:b/>
          <w:color w:val="auto"/>
          <w:sz w:val="21"/>
          <w:szCs w:val="21"/>
          <w:highlight w:val="none"/>
        </w:rPr>
      </w:pPr>
      <w:r>
        <w:rPr>
          <w:rFonts w:hint="eastAsia" w:cs="宋体"/>
          <w:b/>
          <w:color w:val="auto"/>
          <w:sz w:val="21"/>
          <w:szCs w:val="21"/>
          <w:highlight w:val="none"/>
        </w:rPr>
        <w:t>30.验收</w:t>
      </w:r>
    </w:p>
    <w:p w14:paraId="1A180217">
      <w:pPr>
        <w:pageBreakBefore w:val="0"/>
        <w:tabs>
          <w:tab w:val="left" w:pos="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D9622F">
      <w:pPr>
        <w:pageBreakBefore w:val="0"/>
        <w:tabs>
          <w:tab w:val="left" w:pos="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720AF6C1">
      <w:pPr>
        <w:pageBreakBefore w:val="0"/>
        <w:tabs>
          <w:tab w:val="left" w:pos="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3C7035">
      <w:pPr>
        <w:pageBreakBefore w:val="0"/>
        <w:tabs>
          <w:tab w:val="left" w:pos="0"/>
        </w:tabs>
        <w:kinsoku/>
        <w:wordWrap/>
        <w:overflowPunct/>
        <w:topLinePunct w:val="0"/>
        <w:bidi w:val="0"/>
        <w:adjustRightInd/>
        <w:snapToGrid/>
        <w:spacing w:beforeAutospacing="0" w:line="360" w:lineRule="auto"/>
        <w:ind w:left="0" w:leftChars="0" w:firstLine="420" w:firstLineChars="200"/>
        <w:jc w:val="both"/>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3359DB4">
      <w:pPr>
        <w:tabs>
          <w:tab w:val="left" w:pos="0"/>
        </w:tabs>
        <w:spacing w:line="360" w:lineRule="auto"/>
        <w:ind w:firstLine="480"/>
        <w:rPr>
          <w:rFonts w:ascii="宋体" w:hAnsi="宋体" w:cs="宋体"/>
          <w:color w:val="auto"/>
          <w:kern w:val="0"/>
          <w:sz w:val="21"/>
          <w:szCs w:val="21"/>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9" w:name="_Hlt68073093"/>
      <w:bookmarkEnd w:id="19"/>
      <w:bookmarkStart w:id="20" w:name="_Hlt68072998"/>
      <w:bookmarkEnd w:id="20"/>
      <w:bookmarkStart w:id="21" w:name="_Hlt75236011"/>
      <w:bookmarkEnd w:id="21"/>
      <w:bookmarkStart w:id="22" w:name="_Hlt75236101"/>
      <w:bookmarkEnd w:id="22"/>
      <w:bookmarkStart w:id="23" w:name="_Hlt74714665"/>
      <w:bookmarkEnd w:id="23"/>
      <w:bookmarkStart w:id="24" w:name="_Hlt74730295"/>
      <w:bookmarkEnd w:id="24"/>
      <w:bookmarkStart w:id="25" w:name="_Hlt68403820"/>
      <w:bookmarkEnd w:id="25"/>
      <w:bookmarkStart w:id="26" w:name="_Hlt75236290"/>
      <w:bookmarkEnd w:id="26"/>
      <w:bookmarkStart w:id="27" w:name="_Hlt74707468"/>
      <w:bookmarkEnd w:id="27"/>
      <w:bookmarkStart w:id="28" w:name="_Hlt68072990"/>
      <w:bookmarkEnd w:id="28"/>
      <w:bookmarkStart w:id="29" w:name="_Hlt74729768"/>
      <w:bookmarkEnd w:id="29"/>
      <w:bookmarkStart w:id="30" w:name="_Hlt68057669"/>
      <w:bookmarkEnd w:id="30"/>
    </w:p>
    <w:bookmarkEnd w:id="15"/>
    <w:bookmarkEnd w:id="16"/>
    <w:p w14:paraId="77593B87">
      <w:pPr>
        <w:pStyle w:val="32"/>
        <w:spacing w:line="360" w:lineRule="auto"/>
        <w:jc w:val="center"/>
        <w:outlineLvl w:val="0"/>
        <w:rPr>
          <w:rFonts w:hAnsi="宋体" w:cs="宋体"/>
          <w:b/>
          <w:snapToGrid/>
          <w:color w:val="auto"/>
          <w:sz w:val="36"/>
          <w:szCs w:val="20"/>
          <w:highlight w:val="none"/>
        </w:rPr>
      </w:pPr>
      <w:bookmarkStart w:id="31" w:name="_Toc12835"/>
      <w:bookmarkStart w:id="32" w:name="第四部分"/>
      <w:r>
        <w:rPr>
          <w:rFonts w:hint="eastAsia" w:hAnsi="宋体" w:cs="宋体"/>
          <w:b/>
          <w:snapToGrid/>
          <w:color w:val="auto"/>
          <w:sz w:val="36"/>
          <w:szCs w:val="20"/>
          <w:highlight w:val="none"/>
        </w:rPr>
        <w:t>第三部分 采购需求</w:t>
      </w:r>
      <w:bookmarkEnd w:id="31"/>
    </w:p>
    <w:p w14:paraId="5ED3440D">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、工程概况</w:t>
      </w:r>
    </w:p>
    <w:p w14:paraId="4C62665C">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none"/>
          <w:lang w:val="en-US" w:eastAsia="zh-CN"/>
        </w:rPr>
        <w:t>该工程由宁波市鄞州区下应街道社区卫生服务中心负责建设，由宁波理工建筑设计研究院有限公司负责施工图设计，工程建设地点</w:t>
      </w:r>
      <w:r>
        <w:rPr>
          <w:rFonts w:hint="eastAsia" w:ascii="宋体" w:hAnsi="宋体" w:eastAsia="宋体" w:cs="宋体"/>
          <w:b w:val="0"/>
          <w:bCs/>
          <w:color w:val="auto"/>
          <w:sz w:val="21"/>
          <w:szCs w:val="21"/>
          <w:highlight w:val="none"/>
          <w:lang w:val="en-US" w:eastAsia="zh-CN"/>
        </w:rPr>
        <w:t>位于宁波市鄞州区下应街道社区卫生服务中心</w:t>
      </w:r>
      <w:r>
        <w:rPr>
          <w:rFonts w:hint="eastAsia" w:ascii="宋体" w:hAnsi="宋体" w:eastAsia="宋体" w:cs="宋体"/>
          <w:color w:val="auto"/>
          <w:sz w:val="21"/>
          <w:szCs w:val="21"/>
          <w:highlight w:val="none"/>
          <w:u w:val="none"/>
          <w:lang w:val="en-US" w:eastAsia="zh-CN"/>
        </w:rPr>
        <w:t>。主要施工内容为施工图范围内装修改造工程。</w:t>
      </w:r>
    </w:p>
    <w:p w14:paraId="38B2D86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二、技术需求 </w:t>
      </w:r>
    </w:p>
    <w:p w14:paraId="4FFBC3C9">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按照国家及地方颁发的现行相关建筑工程施工及验收规范、标准，组织实施本项目工程的施工。</w:t>
      </w:r>
    </w:p>
    <w:p w14:paraId="1C34E48F">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2.质量要求：达到按国家施工验收规范一次性验收合格标准。</w:t>
      </w:r>
    </w:p>
    <w:p w14:paraId="7F0261DA">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3.安全要求：合格。</w:t>
      </w:r>
    </w:p>
    <w:p w14:paraId="01DE258B">
      <w:pPr>
        <w:spacing w:line="360" w:lineRule="auto"/>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.拟派本项目项目经理要求：须具备注册建造师贰级及以上执业资格，注册专业为建筑工程，具有有效的安全生产考核合格证（B证）且无在建工程。</w:t>
      </w:r>
    </w:p>
    <w:p w14:paraId="39D93FFD">
      <w:pPr>
        <w:spacing w:line="360" w:lineRule="auto"/>
        <w:ind w:firstLine="420" w:firstLineChars="20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供应商需提供</w:t>
      </w:r>
      <w:r>
        <w:rPr>
          <w:rFonts w:hint="eastAsia" w:ascii="宋体" w:hAnsi="宋体" w:eastAsia="宋体" w:cs="宋体"/>
          <w:snapToGrid w:val="0"/>
          <w:color w:val="auto"/>
          <w:sz w:val="21"/>
          <w:szCs w:val="21"/>
          <w:highlight w:val="none"/>
          <w:lang w:eastAsia="zh-CN"/>
        </w:rPr>
        <w:t>施工</w:t>
      </w:r>
      <w:r>
        <w:rPr>
          <w:rFonts w:hint="eastAsia" w:ascii="宋体" w:hAnsi="宋体" w:eastAsia="宋体" w:cs="宋体"/>
          <w:snapToGrid w:val="0"/>
          <w:color w:val="auto"/>
          <w:sz w:val="21"/>
          <w:szCs w:val="21"/>
          <w:highlight w:val="none"/>
        </w:rPr>
        <w:t>现场平面布置情况</w:t>
      </w:r>
      <w:r>
        <w:rPr>
          <w:rFonts w:hint="eastAsia" w:ascii="宋体" w:hAnsi="宋体" w:eastAsia="宋体" w:cs="宋体"/>
          <w:snapToGrid w:val="0"/>
          <w:color w:val="auto"/>
          <w:sz w:val="21"/>
          <w:szCs w:val="21"/>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eastAsia="宋体" w:cs="宋体"/>
          <w:b w:val="0"/>
          <w:bCs w:val="0"/>
          <w:color w:val="auto"/>
          <w:sz w:val="21"/>
          <w:szCs w:val="21"/>
          <w:highlight w:val="none"/>
          <w:lang w:eastAsia="zh-CN"/>
        </w:rPr>
        <w:t>。</w:t>
      </w:r>
    </w:p>
    <w:p w14:paraId="159BF29F">
      <w:pPr>
        <w:spacing w:line="360" w:lineRule="auto"/>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6.供应商需提供施工方案（包含但不仅限于安全保障措施，安全文明施工方案及措施，房屋建筑与装饰</w:t>
      </w:r>
      <w:r>
        <w:rPr>
          <w:rFonts w:hint="eastAsia" w:ascii="宋体" w:hAnsi="宋体" w:cs="宋体"/>
          <w:b w:val="0"/>
          <w:bCs/>
          <w:color w:val="auto"/>
          <w:sz w:val="21"/>
          <w:szCs w:val="21"/>
          <w:highlight w:val="none"/>
          <w:lang w:val="en-US" w:eastAsia="zh-CN"/>
        </w:rPr>
        <w:t>工程</w:t>
      </w:r>
      <w:r>
        <w:rPr>
          <w:rFonts w:hint="eastAsia" w:ascii="宋体" w:hAnsi="宋体" w:eastAsia="宋体" w:cs="宋体"/>
          <w:b w:val="0"/>
          <w:bCs/>
          <w:color w:val="auto"/>
          <w:sz w:val="21"/>
          <w:szCs w:val="21"/>
          <w:highlight w:val="none"/>
          <w:lang w:val="en-US" w:eastAsia="zh-CN"/>
        </w:rPr>
        <w:t>、电气安装工程、给排水安装工程等）。</w:t>
      </w:r>
    </w:p>
    <w:p w14:paraId="2426A433">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供应商需提供</w:t>
      </w:r>
      <w:r>
        <w:rPr>
          <w:rFonts w:hint="eastAsia" w:ascii="宋体" w:hAnsi="宋体" w:eastAsia="宋体" w:cs="宋体"/>
          <w:color w:val="auto"/>
          <w:sz w:val="21"/>
          <w:szCs w:val="21"/>
          <w:highlight w:val="none"/>
        </w:rPr>
        <w:t>施工进度计划安排</w:t>
      </w:r>
      <w:r>
        <w:rPr>
          <w:rFonts w:hint="eastAsia" w:ascii="宋体" w:hAnsi="宋体" w:eastAsia="宋体" w:cs="宋体"/>
          <w:color w:val="auto"/>
          <w:sz w:val="21"/>
          <w:szCs w:val="21"/>
          <w:highlight w:val="none"/>
          <w:lang w:eastAsia="zh-CN"/>
        </w:rPr>
        <w:t>（包含但不仅限于方案详实情况、时间节点安排情况等）</w:t>
      </w:r>
      <w:r>
        <w:rPr>
          <w:rFonts w:hint="eastAsia" w:ascii="宋体" w:hAnsi="宋体" w:eastAsia="宋体" w:cs="宋体"/>
          <w:b w:val="0"/>
          <w:bCs w:val="0"/>
          <w:color w:val="auto"/>
          <w:sz w:val="21"/>
          <w:szCs w:val="21"/>
          <w:highlight w:val="none"/>
        </w:rPr>
        <w:t>；</w:t>
      </w:r>
    </w:p>
    <w:p w14:paraId="1FC2ECC8">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供应商需提供</w:t>
      </w:r>
      <w:r>
        <w:rPr>
          <w:rFonts w:hint="eastAsia" w:ascii="宋体" w:hAnsi="宋体" w:eastAsia="宋体" w:cs="宋体"/>
          <w:color w:val="auto"/>
          <w:sz w:val="21"/>
          <w:szCs w:val="21"/>
          <w:highlight w:val="none"/>
        </w:rPr>
        <w:t>工程质量保证措施（包含但不仅限于项目质量目标及其分解、质量管理及保证体系、质量保证制度的内容）</w:t>
      </w:r>
      <w:r>
        <w:rPr>
          <w:rFonts w:hint="eastAsia" w:ascii="宋体" w:hAnsi="宋体" w:eastAsia="宋体" w:cs="宋体"/>
          <w:b w:val="0"/>
          <w:bCs w:val="0"/>
          <w:color w:val="auto"/>
          <w:sz w:val="21"/>
          <w:szCs w:val="21"/>
          <w:highlight w:val="none"/>
        </w:rPr>
        <w:t>；</w:t>
      </w:r>
    </w:p>
    <w:p w14:paraId="321947F0">
      <w:pPr>
        <w:spacing w:line="360" w:lineRule="auto"/>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9.供应商需提供安全生产措施（包含但不仅限于安全、文明施工的安排、技术和组织管理措施等）；</w:t>
      </w:r>
    </w:p>
    <w:p w14:paraId="40C63A79">
      <w:pPr>
        <w:spacing w:line="360" w:lineRule="auto"/>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10.供应商需提供项目关键点和重难点分析（包含但不仅限于房屋建筑与装饰</w:t>
      </w:r>
      <w:r>
        <w:rPr>
          <w:rFonts w:hint="eastAsia" w:ascii="宋体" w:hAnsi="宋体" w:cs="宋体"/>
          <w:b w:val="0"/>
          <w:bCs/>
          <w:color w:val="auto"/>
          <w:sz w:val="21"/>
          <w:szCs w:val="21"/>
          <w:highlight w:val="none"/>
          <w:lang w:val="en-US" w:eastAsia="zh-CN"/>
        </w:rPr>
        <w:t>工程</w:t>
      </w:r>
      <w:r>
        <w:rPr>
          <w:rFonts w:hint="eastAsia" w:ascii="宋体" w:hAnsi="宋体" w:eastAsia="宋体" w:cs="宋体"/>
          <w:b w:val="0"/>
          <w:bCs/>
          <w:color w:val="auto"/>
          <w:sz w:val="21"/>
          <w:szCs w:val="21"/>
          <w:highlight w:val="none"/>
          <w:lang w:val="en-US" w:eastAsia="zh-CN"/>
        </w:rPr>
        <w:t>、电气安装工程、给排水安装工程等）；</w:t>
      </w:r>
    </w:p>
    <w:p w14:paraId="1CE3D1A2">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供应商需提供</w:t>
      </w:r>
      <w:r>
        <w:rPr>
          <w:rFonts w:hint="eastAsia" w:ascii="宋体" w:hAnsi="宋体" w:eastAsia="宋体" w:cs="宋体"/>
          <w:color w:val="auto"/>
          <w:sz w:val="21"/>
          <w:szCs w:val="21"/>
          <w:highlight w:val="none"/>
        </w:rPr>
        <w:t>施工环保管理措施</w:t>
      </w:r>
      <w:r>
        <w:rPr>
          <w:rFonts w:hint="eastAsia" w:ascii="宋体" w:hAnsi="宋体" w:eastAsia="宋体" w:cs="宋体"/>
          <w:color w:val="auto"/>
          <w:sz w:val="21"/>
          <w:szCs w:val="21"/>
          <w:highlight w:val="none"/>
          <w:lang w:eastAsia="zh-CN"/>
        </w:rPr>
        <w:t>（包含但不仅限于防噪音、防扬尘、防刺鼻气味，空气检测、空气治理等施工环境维护保障措施等）</w:t>
      </w:r>
      <w:r>
        <w:rPr>
          <w:rFonts w:hint="eastAsia" w:ascii="宋体" w:hAnsi="宋体" w:eastAsia="宋体" w:cs="宋体"/>
          <w:b w:val="0"/>
          <w:bCs w:val="0"/>
          <w:color w:val="auto"/>
          <w:sz w:val="21"/>
          <w:szCs w:val="21"/>
          <w:highlight w:val="none"/>
        </w:rPr>
        <w:t>；</w:t>
      </w:r>
    </w:p>
    <w:p w14:paraId="2E80FDAB">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供应商需提供</w:t>
      </w:r>
      <w:r>
        <w:rPr>
          <w:rFonts w:hint="eastAsia" w:ascii="宋体" w:hAnsi="宋体" w:eastAsia="宋体" w:cs="宋体"/>
          <w:color w:val="auto"/>
          <w:sz w:val="21"/>
          <w:szCs w:val="21"/>
          <w:highlight w:val="none"/>
          <w:lang w:val="en-US" w:eastAsia="zh-CN"/>
        </w:rPr>
        <w:t>突发事件应急措施（包含但不仅限于发生火灾、触电、机械伤害、化学品伤害等事故的逃生和急救方案等）</w:t>
      </w:r>
      <w:r>
        <w:rPr>
          <w:rFonts w:hint="eastAsia" w:ascii="宋体" w:hAnsi="宋体" w:eastAsia="宋体" w:cs="宋体"/>
          <w:b w:val="0"/>
          <w:bCs w:val="0"/>
          <w:color w:val="auto"/>
          <w:sz w:val="21"/>
          <w:szCs w:val="21"/>
          <w:highlight w:val="none"/>
        </w:rPr>
        <w:t>；</w:t>
      </w:r>
    </w:p>
    <w:p w14:paraId="461FDAA9">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供应商需提供主要施工机械设备的选用和管理；</w:t>
      </w:r>
    </w:p>
    <w:p w14:paraId="53F886B0">
      <w:pPr>
        <w:adjustRightInd/>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供应商需提供拟派本项目的项目管理机构人员配备</w:t>
      </w:r>
      <w:r>
        <w:rPr>
          <w:rFonts w:hint="eastAsia" w:ascii="宋体" w:hAnsi="宋体" w:eastAsia="宋体" w:cs="宋体"/>
          <w:b w:val="0"/>
          <w:bCs w:val="0"/>
          <w:color w:val="auto"/>
          <w:sz w:val="21"/>
          <w:szCs w:val="21"/>
          <w:highlight w:val="none"/>
          <w:lang w:val="en-US" w:eastAsia="zh-CN"/>
        </w:rPr>
        <w:t>表</w:t>
      </w:r>
      <w:r>
        <w:rPr>
          <w:rFonts w:hint="eastAsia" w:ascii="宋体" w:hAnsi="宋体" w:eastAsia="宋体" w:cs="宋体"/>
          <w:b w:val="0"/>
          <w:bCs w:val="0"/>
          <w:color w:val="auto"/>
          <w:sz w:val="21"/>
          <w:szCs w:val="21"/>
          <w:highlight w:val="none"/>
        </w:rPr>
        <w:t>；</w:t>
      </w:r>
    </w:p>
    <w:p w14:paraId="74CF4C93">
      <w:pPr>
        <w:adjustRightInd/>
        <w:spacing w:line="360" w:lineRule="auto"/>
        <w:jc w:val="center"/>
        <w:rPr>
          <w:rFonts w:hint="eastAsia" w:ascii="宋体" w:hAnsi="宋体" w:eastAsia="宋体" w:cs="宋体"/>
          <w:b/>
          <w:bCs/>
          <w:spacing w:val="-3"/>
          <w:sz w:val="21"/>
          <w:szCs w:val="21"/>
          <w:highlight w:val="none"/>
        </w:rPr>
      </w:pPr>
    </w:p>
    <w:p w14:paraId="57E8DC6D">
      <w:pPr>
        <w:adjustRightInd/>
        <w:spacing w:line="360" w:lineRule="auto"/>
        <w:jc w:val="center"/>
        <w:rPr>
          <w:rFonts w:hint="eastAsia" w:ascii="宋体" w:hAnsi="宋体" w:eastAsia="宋体" w:cs="宋体"/>
          <w:b/>
          <w:bCs/>
          <w:spacing w:val="-3"/>
          <w:sz w:val="21"/>
          <w:szCs w:val="21"/>
          <w:highlight w:val="none"/>
        </w:rPr>
      </w:pPr>
    </w:p>
    <w:p w14:paraId="7FCA253D">
      <w:pPr>
        <w:adjustRightInd/>
        <w:spacing w:line="360" w:lineRule="auto"/>
        <w:jc w:val="center"/>
        <w:rPr>
          <w:rFonts w:hint="eastAsia" w:ascii="宋体" w:hAnsi="宋体" w:eastAsia="宋体" w:cs="宋体"/>
          <w:b/>
          <w:bCs/>
          <w:spacing w:val="-3"/>
          <w:sz w:val="21"/>
          <w:szCs w:val="21"/>
          <w:highlight w:val="none"/>
        </w:rPr>
      </w:pPr>
    </w:p>
    <w:p w14:paraId="7F80DA97">
      <w:pPr>
        <w:adjustRightInd/>
        <w:spacing w:line="360" w:lineRule="auto"/>
        <w:jc w:val="center"/>
        <w:rPr>
          <w:rFonts w:hint="eastAsia" w:ascii="宋体" w:hAnsi="宋体" w:eastAsia="宋体" w:cs="宋体"/>
          <w:b/>
          <w:bCs/>
          <w:spacing w:val="-3"/>
          <w:sz w:val="21"/>
          <w:szCs w:val="21"/>
          <w:highlight w:val="none"/>
        </w:rPr>
      </w:pPr>
    </w:p>
    <w:p w14:paraId="3AA7517D">
      <w:pPr>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项目管理机构人员配备要求</w:t>
      </w:r>
    </w:p>
    <w:p w14:paraId="5F5A4280">
      <w:pPr>
        <w:spacing w:line="121" w:lineRule="exact"/>
        <w:rPr>
          <w:rFonts w:hint="eastAsia" w:ascii="宋体" w:hAnsi="宋体" w:eastAsia="宋体" w:cs="宋体"/>
          <w:sz w:val="21"/>
          <w:szCs w:val="21"/>
        </w:rPr>
      </w:pPr>
    </w:p>
    <w:tbl>
      <w:tblPr>
        <w:tblStyle w:val="972"/>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536"/>
        <w:gridCol w:w="712"/>
        <w:gridCol w:w="3909"/>
        <w:gridCol w:w="2046"/>
      </w:tblGrid>
      <w:tr w14:paraId="2113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820" w:type="dxa"/>
          </w:tcPr>
          <w:p w14:paraId="701F9D43">
            <w:pPr>
              <w:pStyle w:val="344"/>
              <w:spacing w:before="125" w:line="229" w:lineRule="auto"/>
              <w:ind w:left="204"/>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序号</w:t>
            </w:r>
          </w:p>
        </w:tc>
        <w:tc>
          <w:tcPr>
            <w:tcW w:w="1536" w:type="dxa"/>
          </w:tcPr>
          <w:p w14:paraId="0D49BDE7">
            <w:pPr>
              <w:pStyle w:val="344"/>
              <w:spacing w:before="125" w:line="228" w:lineRule="auto"/>
              <w:ind w:left="584"/>
              <w:rPr>
                <w:rFonts w:hint="eastAsia" w:ascii="宋体" w:hAnsi="宋体" w:eastAsia="宋体" w:cs="宋体"/>
                <w:sz w:val="21"/>
                <w:szCs w:val="21"/>
                <w:highlight w:val="none"/>
              </w:rPr>
            </w:pPr>
            <w:r>
              <w:rPr>
                <w:rFonts w:hint="eastAsia" w:ascii="宋体" w:hAnsi="宋体" w:eastAsia="宋体" w:cs="宋体"/>
                <w:b/>
                <w:bCs/>
                <w:spacing w:val="-8"/>
                <w:sz w:val="21"/>
                <w:szCs w:val="21"/>
                <w:highlight w:val="none"/>
              </w:rPr>
              <w:t>岗位</w:t>
            </w:r>
          </w:p>
        </w:tc>
        <w:tc>
          <w:tcPr>
            <w:tcW w:w="712" w:type="dxa"/>
          </w:tcPr>
          <w:p w14:paraId="2A6C8148">
            <w:pPr>
              <w:pStyle w:val="344"/>
              <w:spacing w:before="125" w:line="228" w:lineRule="auto"/>
              <w:ind w:left="150"/>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数量</w:t>
            </w:r>
          </w:p>
        </w:tc>
        <w:tc>
          <w:tcPr>
            <w:tcW w:w="3909" w:type="dxa"/>
          </w:tcPr>
          <w:p w14:paraId="75BAC455">
            <w:pPr>
              <w:pStyle w:val="344"/>
              <w:spacing w:before="125" w:line="228" w:lineRule="auto"/>
              <w:ind w:left="1548"/>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资格要求</w:t>
            </w:r>
          </w:p>
        </w:tc>
        <w:tc>
          <w:tcPr>
            <w:tcW w:w="2046" w:type="dxa"/>
          </w:tcPr>
          <w:p w14:paraId="04094EF8">
            <w:pPr>
              <w:pStyle w:val="344"/>
              <w:spacing w:before="125" w:line="229" w:lineRule="auto"/>
              <w:ind w:left="819"/>
              <w:rPr>
                <w:rFonts w:hint="eastAsia" w:ascii="宋体" w:hAnsi="宋体" w:eastAsia="宋体" w:cs="宋体"/>
                <w:sz w:val="21"/>
                <w:szCs w:val="21"/>
                <w:highlight w:val="none"/>
              </w:rPr>
            </w:pPr>
            <w:r>
              <w:rPr>
                <w:rFonts w:hint="eastAsia" w:ascii="宋体" w:hAnsi="宋体" w:eastAsia="宋体" w:cs="宋体"/>
                <w:b/>
                <w:bCs/>
                <w:spacing w:val="2"/>
                <w:sz w:val="21"/>
                <w:szCs w:val="21"/>
                <w:highlight w:val="none"/>
              </w:rPr>
              <w:t>备注</w:t>
            </w:r>
          </w:p>
        </w:tc>
      </w:tr>
      <w:tr w14:paraId="1B5C3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820" w:type="dxa"/>
          </w:tcPr>
          <w:p w14:paraId="5756DE72">
            <w:pPr>
              <w:spacing w:line="288" w:lineRule="auto"/>
              <w:rPr>
                <w:rFonts w:hint="eastAsia" w:ascii="宋体" w:hAnsi="宋体" w:eastAsia="宋体" w:cs="宋体"/>
                <w:sz w:val="21"/>
                <w:szCs w:val="21"/>
                <w:highlight w:val="none"/>
              </w:rPr>
            </w:pPr>
          </w:p>
          <w:p w14:paraId="36F56FB7">
            <w:pPr>
              <w:pStyle w:val="344"/>
              <w:spacing w:before="65" w:line="189" w:lineRule="auto"/>
              <w:ind w:left="37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36" w:type="dxa"/>
          </w:tcPr>
          <w:p w14:paraId="164711AC">
            <w:pPr>
              <w:spacing w:line="255" w:lineRule="auto"/>
              <w:rPr>
                <w:rFonts w:hint="eastAsia" w:ascii="宋体" w:hAnsi="宋体" w:eastAsia="宋体" w:cs="宋体"/>
                <w:sz w:val="21"/>
                <w:szCs w:val="21"/>
                <w:highlight w:val="none"/>
              </w:rPr>
            </w:pPr>
          </w:p>
          <w:p w14:paraId="7EA7F8AD">
            <w:pPr>
              <w:pStyle w:val="344"/>
              <w:spacing w:before="65" w:line="228" w:lineRule="auto"/>
              <w:ind w:left="250"/>
              <w:rPr>
                <w:rFonts w:hint="eastAsia" w:ascii="宋体" w:hAnsi="宋体" w:eastAsia="宋体" w:cs="宋体"/>
                <w:sz w:val="21"/>
                <w:szCs w:val="21"/>
                <w:highlight w:val="none"/>
                <w:lang w:eastAsia="zh-CN"/>
              </w:rPr>
            </w:pPr>
            <w:r>
              <w:rPr>
                <w:rFonts w:hint="eastAsia" w:ascii="宋体" w:hAnsi="宋体" w:eastAsia="宋体" w:cs="宋体"/>
                <w:spacing w:val="7"/>
                <w:sz w:val="21"/>
                <w:szCs w:val="21"/>
                <w:highlight w:val="none"/>
              </w:rPr>
              <w:t>项目</w:t>
            </w:r>
            <w:r>
              <w:rPr>
                <w:rFonts w:hint="eastAsia" w:ascii="宋体" w:hAnsi="宋体" w:eastAsia="宋体" w:cs="宋体"/>
                <w:spacing w:val="7"/>
                <w:sz w:val="21"/>
                <w:szCs w:val="21"/>
                <w:highlight w:val="none"/>
                <w:lang w:val="en-US" w:eastAsia="zh-CN"/>
              </w:rPr>
              <w:t>经理</w:t>
            </w:r>
          </w:p>
        </w:tc>
        <w:tc>
          <w:tcPr>
            <w:tcW w:w="712" w:type="dxa"/>
          </w:tcPr>
          <w:p w14:paraId="0789B541">
            <w:pPr>
              <w:spacing w:line="288" w:lineRule="auto"/>
              <w:rPr>
                <w:rFonts w:hint="eastAsia" w:ascii="宋体" w:hAnsi="宋体" w:eastAsia="宋体" w:cs="宋体"/>
                <w:sz w:val="21"/>
                <w:szCs w:val="21"/>
                <w:highlight w:val="none"/>
              </w:rPr>
            </w:pPr>
          </w:p>
          <w:p w14:paraId="077CBA51">
            <w:pPr>
              <w:pStyle w:val="344"/>
              <w:spacing w:before="65" w:line="189" w:lineRule="auto"/>
              <w:ind w:left="32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909" w:type="dxa"/>
            <w:vAlign w:val="center"/>
          </w:tcPr>
          <w:p w14:paraId="3C321499">
            <w:pPr>
              <w:pStyle w:val="344"/>
              <w:spacing w:before="122" w:line="228" w:lineRule="auto"/>
              <w:ind w:left="180"/>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具备建筑工程专业二级及以上注册建造师执业资格</w:t>
            </w:r>
          </w:p>
        </w:tc>
        <w:tc>
          <w:tcPr>
            <w:tcW w:w="2046" w:type="dxa"/>
          </w:tcPr>
          <w:p w14:paraId="63A8BD9A">
            <w:pPr>
              <w:rPr>
                <w:rFonts w:hint="eastAsia" w:ascii="宋体" w:hAnsi="宋体" w:eastAsia="宋体" w:cs="宋体"/>
                <w:sz w:val="21"/>
                <w:szCs w:val="21"/>
                <w:highlight w:val="none"/>
              </w:rPr>
            </w:pPr>
          </w:p>
        </w:tc>
      </w:tr>
      <w:tr w14:paraId="08A45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20" w:type="dxa"/>
          </w:tcPr>
          <w:p w14:paraId="3D5C2B4F">
            <w:pPr>
              <w:pStyle w:val="344"/>
              <w:spacing w:before="155" w:line="189" w:lineRule="auto"/>
              <w:ind w:left="366"/>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36" w:type="dxa"/>
            <w:vAlign w:val="center"/>
          </w:tcPr>
          <w:p w14:paraId="13AEBB28">
            <w:pPr>
              <w:pStyle w:val="344"/>
              <w:spacing w:before="122" w:line="228" w:lineRule="auto"/>
              <w:ind w:left="247"/>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技术负责人</w:t>
            </w:r>
          </w:p>
        </w:tc>
        <w:tc>
          <w:tcPr>
            <w:tcW w:w="712" w:type="dxa"/>
          </w:tcPr>
          <w:p w14:paraId="46BC3C72">
            <w:pPr>
              <w:pStyle w:val="344"/>
              <w:spacing w:before="155" w:line="189" w:lineRule="auto"/>
              <w:ind w:left="32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909" w:type="dxa"/>
          </w:tcPr>
          <w:p w14:paraId="31EB865C">
            <w:pPr>
              <w:pStyle w:val="344"/>
              <w:spacing w:before="122" w:line="228" w:lineRule="auto"/>
              <w:ind w:left="180"/>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具有建筑类相关专业工程师及以上职称</w:t>
            </w:r>
          </w:p>
        </w:tc>
        <w:tc>
          <w:tcPr>
            <w:tcW w:w="2046" w:type="dxa"/>
          </w:tcPr>
          <w:p w14:paraId="3CDC44EC">
            <w:pPr>
              <w:rPr>
                <w:rFonts w:hint="eastAsia" w:ascii="宋体" w:hAnsi="宋体" w:eastAsia="宋体" w:cs="宋体"/>
                <w:sz w:val="21"/>
                <w:szCs w:val="21"/>
                <w:highlight w:val="none"/>
              </w:rPr>
            </w:pPr>
          </w:p>
        </w:tc>
      </w:tr>
      <w:tr w14:paraId="55873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820" w:type="dxa"/>
          </w:tcPr>
          <w:p w14:paraId="3839B14E">
            <w:pPr>
              <w:spacing w:line="290" w:lineRule="auto"/>
              <w:rPr>
                <w:rFonts w:hint="eastAsia" w:ascii="宋体" w:hAnsi="宋体" w:eastAsia="宋体" w:cs="宋体"/>
                <w:sz w:val="21"/>
                <w:szCs w:val="21"/>
                <w:highlight w:val="none"/>
              </w:rPr>
            </w:pPr>
          </w:p>
          <w:p w14:paraId="5056066D">
            <w:pPr>
              <w:pStyle w:val="344"/>
              <w:spacing w:before="65" w:line="189" w:lineRule="auto"/>
              <w:ind w:left="368"/>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36" w:type="dxa"/>
          </w:tcPr>
          <w:p w14:paraId="59EF5779">
            <w:pPr>
              <w:spacing w:line="258" w:lineRule="auto"/>
              <w:rPr>
                <w:rFonts w:hint="eastAsia" w:ascii="宋体" w:hAnsi="宋体" w:eastAsia="宋体" w:cs="宋体"/>
                <w:sz w:val="21"/>
                <w:szCs w:val="21"/>
                <w:highlight w:val="none"/>
              </w:rPr>
            </w:pPr>
          </w:p>
          <w:p w14:paraId="40DCCF47">
            <w:pPr>
              <w:pStyle w:val="344"/>
              <w:spacing w:before="65" w:line="229" w:lineRule="auto"/>
              <w:ind w:left="460"/>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安全员</w:t>
            </w:r>
          </w:p>
        </w:tc>
        <w:tc>
          <w:tcPr>
            <w:tcW w:w="712" w:type="dxa"/>
          </w:tcPr>
          <w:p w14:paraId="3B4FC05A">
            <w:pPr>
              <w:spacing w:line="258" w:lineRule="auto"/>
              <w:rPr>
                <w:rFonts w:hint="eastAsia" w:ascii="宋体" w:hAnsi="宋体" w:eastAsia="宋体" w:cs="宋体"/>
                <w:sz w:val="21"/>
                <w:szCs w:val="21"/>
                <w:highlight w:val="none"/>
              </w:rPr>
            </w:pPr>
          </w:p>
          <w:p w14:paraId="10215A1A">
            <w:pPr>
              <w:pStyle w:val="344"/>
              <w:spacing w:before="65" w:line="266" w:lineRule="exact"/>
              <w:ind w:left="224"/>
              <w:rPr>
                <w:rFonts w:hint="eastAsia" w:ascii="宋体" w:hAnsi="宋体" w:eastAsia="宋体" w:cs="宋体"/>
                <w:sz w:val="21"/>
                <w:szCs w:val="21"/>
                <w:highlight w:val="none"/>
              </w:rPr>
            </w:pPr>
            <w:r>
              <w:rPr>
                <w:rFonts w:hint="eastAsia" w:ascii="宋体" w:hAnsi="宋体" w:eastAsia="宋体" w:cs="宋体"/>
                <w:spacing w:val="-8"/>
                <w:position w:val="1"/>
                <w:sz w:val="21"/>
                <w:szCs w:val="21"/>
                <w:highlight w:val="none"/>
              </w:rPr>
              <w:t>≥1</w:t>
            </w:r>
          </w:p>
        </w:tc>
        <w:tc>
          <w:tcPr>
            <w:tcW w:w="3909" w:type="dxa"/>
          </w:tcPr>
          <w:p w14:paraId="2436B065">
            <w:pPr>
              <w:pStyle w:val="344"/>
              <w:spacing w:before="122" w:line="228" w:lineRule="auto"/>
              <w:ind w:left="180"/>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具有有效的安全生产考核合格证书（C 类）</w:t>
            </w:r>
          </w:p>
        </w:tc>
        <w:tc>
          <w:tcPr>
            <w:tcW w:w="2046" w:type="dxa"/>
          </w:tcPr>
          <w:p w14:paraId="06C484DC">
            <w:pPr>
              <w:rPr>
                <w:rFonts w:hint="eastAsia" w:ascii="宋体" w:hAnsi="宋体" w:eastAsia="宋体" w:cs="宋体"/>
                <w:sz w:val="21"/>
                <w:szCs w:val="21"/>
                <w:highlight w:val="none"/>
              </w:rPr>
            </w:pPr>
          </w:p>
        </w:tc>
      </w:tr>
      <w:tr w14:paraId="646A2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20" w:type="dxa"/>
          </w:tcPr>
          <w:p w14:paraId="347D2765">
            <w:pPr>
              <w:pStyle w:val="344"/>
              <w:spacing w:before="158" w:line="189" w:lineRule="auto"/>
              <w:ind w:left="363"/>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36" w:type="dxa"/>
          </w:tcPr>
          <w:p w14:paraId="45533FD9">
            <w:pPr>
              <w:pStyle w:val="344"/>
              <w:spacing w:before="125" w:line="229" w:lineRule="auto"/>
              <w:ind w:left="45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施工员</w:t>
            </w:r>
          </w:p>
        </w:tc>
        <w:tc>
          <w:tcPr>
            <w:tcW w:w="712" w:type="dxa"/>
          </w:tcPr>
          <w:p w14:paraId="4E7DE3EF">
            <w:pPr>
              <w:pStyle w:val="344"/>
              <w:spacing w:before="158" w:line="189" w:lineRule="auto"/>
              <w:ind w:left="32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909" w:type="dxa"/>
          </w:tcPr>
          <w:p w14:paraId="5C5D459C">
            <w:pPr>
              <w:pStyle w:val="344"/>
              <w:spacing w:before="125" w:line="227" w:lineRule="auto"/>
              <w:ind w:left="285"/>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具备施工员岗位证书（培训合格证）</w:t>
            </w:r>
          </w:p>
        </w:tc>
        <w:tc>
          <w:tcPr>
            <w:tcW w:w="2046" w:type="dxa"/>
          </w:tcPr>
          <w:p w14:paraId="2FAC5E41">
            <w:pPr>
              <w:rPr>
                <w:rFonts w:hint="eastAsia" w:ascii="宋体" w:hAnsi="宋体" w:eastAsia="宋体" w:cs="宋体"/>
                <w:sz w:val="21"/>
                <w:szCs w:val="21"/>
                <w:highlight w:val="none"/>
              </w:rPr>
            </w:pPr>
          </w:p>
        </w:tc>
      </w:tr>
      <w:tr w14:paraId="4B516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820" w:type="dxa"/>
          </w:tcPr>
          <w:p w14:paraId="44453B9E">
            <w:pPr>
              <w:pStyle w:val="344"/>
              <w:spacing w:before="160" w:line="187" w:lineRule="auto"/>
              <w:ind w:left="368"/>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36" w:type="dxa"/>
          </w:tcPr>
          <w:p w14:paraId="46570447">
            <w:pPr>
              <w:pStyle w:val="344"/>
              <w:spacing w:before="126" w:line="228" w:lineRule="auto"/>
              <w:ind w:left="456"/>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质量员</w:t>
            </w:r>
          </w:p>
        </w:tc>
        <w:tc>
          <w:tcPr>
            <w:tcW w:w="712" w:type="dxa"/>
          </w:tcPr>
          <w:p w14:paraId="38BC3A35">
            <w:pPr>
              <w:pStyle w:val="344"/>
              <w:spacing w:before="158" w:line="189" w:lineRule="auto"/>
              <w:ind w:left="32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909" w:type="dxa"/>
          </w:tcPr>
          <w:p w14:paraId="7989BFBE">
            <w:pPr>
              <w:pStyle w:val="344"/>
              <w:spacing w:before="125" w:line="227" w:lineRule="auto"/>
              <w:ind w:left="285"/>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具备质量员岗位证书（培训合格证）</w:t>
            </w:r>
          </w:p>
        </w:tc>
        <w:tc>
          <w:tcPr>
            <w:tcW w:w="2046" w:type="dxa"/>
          </w:tcPr>
          <w:p w14:paraId="39D62CD0">
            <w:pPr>
              <w:rPr>
                <w:rFonts w:hint="eastAsia" w:ascii="宋体" w:hAnsi="宋体" w:eastAsia="宋体" w:cs="宋体"/>
                <w:sz w:val="21"/>
                <w:szCs w:val="21"/>
                <w:highlight w:val="none"/>
              </w:rPr>
            </w:pPr>
          </w:p>
        </w:tc>
      </w:tr>
    </w:tbl>
    <w:p w14:paraId="288F8873">
      <w:pPr>
        <w:pStyle w:val="23"/>
        <w:spacing w:before="107" w:line="380" w:lineRule="auto"/>
        <w:ind w:left="285" w:right="-15" w:rightChars="0" w:firstLine="40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spacing w:val="10"/>
          <w:sz w:val="21"/>
          <w:szCs w:val="21"/>
        </w:rPr>
        <w:t>注：表格中列具的项目管理机构人员是</w:t>
      </w:r>
      <w:r>
        <w:rPr>
          <w:rFonts w:hint="eastAsia" w:ascii="宋体" w:hAnsi="宋体" w:eastAsia="宋体" w:cs="宋体"/>
          <w:b/>
          <w:bCs/>
          <w:spacing w:val="10"/>
          <w:sz w:val="21"/>
          <w:szCs w:val="21"/>
          <w:lang w:val="en-US"/>
        </w:rPr>
        <w:t>采购</w:t>
      </w:r>
      <w:r>
        <w:rPr>
          <w:rFonts w:hint="eastAsia" w:ascii="宋体" w:hAnsi="宋体" w:eastAsia="宋体" w:cs="宋体"/>
          <w:b/>
          <w:bCs/>
          <w:spacing w:val="10"/>
          <w:sz w:val="21"/>
          <w:szCs w:val="21"/>
        </w:rPr>
        <w:t>人要求</w:t>
      </w:r>
      <w:r>
        <w:rPr>
          <w:rFonts w:hint="eastAsia" w:ascii="宋体" w:hAnsi="宋体" w:eastAsia="宋体" w:cs="宋体"/>
          <w:b/>
          <w:bCs/>
          <w:spacing w:val="9"/>
          <w:sz w:val="21"/>
          <w:szCs w:val="21"/>
        </w:rPr>
        <w:t>的最低配置，</w:t>
      </w:r>
      <w:r>
        <w:rPr>
          <w:rFonts w:hint="eastAsia" w:ascii="宋体" w:hAnsi="宋体" w:eastAsia="宋体" w:cs="宋体"/>
          <w:b/>
          <w:bCs/>
          <w:spacing w:val="9"/>
          <w:sz w:val="21"/>
          <w:szCs w:val="21"/>
          <w:lang w:val="en-US"/>
        </w:rPr>
        <w:t>供应商</w:t>
      </w:r>
      <w:r>
        <w:rPr>
          <w:rFonts w:hint="eastAsia" w:ascii="宋体" w:hAnsi="宋体" w:eastAsia="宋体" w:cs="宋体"/>
          <w:b/>
          <w:bCs/>
          <w:spacing w:val="9"/>
          <w:sz w:val="21"/>
          <w:szCs w:val="21"/>
        </w:rPr>
        <w:t>也可根据工程实</w:t>
      </w:r>
      <w:r>
        <w:rPr>
          <w:rFonts w:hint="eastAsia" w:ascii="宋体" w:hAnsi="宋体" w:eastAsia="宋体" w:cs="宋体"/>
          <w:b/>
          <w:bCs/>
          <w:spacing w:val="7"/>
          <w:sz w:val="21"/>
          <w:szCs w:val="21"/>
        </w:rPr>
        <w:t>际情况提高人员配置情况</w:t>
      </w:r>
      <w:r>
        <w:rPr>
          <w:rFonts w:hint="eastAsia" w:ascii="宋体" w:hAnsi="宋体" w:eastAsia="宋体" w:cs="宋体"/>
          <w:b/>
          <w:bCs/>
          <w:spacing w:val="7"/>
          <w:sz w:val="21"/>
          <w:szCs w:val="21"/>
          <w:lang w:eastAsia="zh-CN"/>
        </w:rPr>
        <w:t>。</w:t>
      </w:r>
    </w:p>
    <w:p w14:paraId="28AAA012">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15.供应商需提供人员管理方案（包括但不限于人员考核方案、人员管理规范等）；</w:t>
      </w:r>
    </w:p>
    <w:p w14:paraId="762ED0AC">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供应商需提供</w:t>
      </w:r>
      <w:r>
        <w:rPr>
          <w:rFonts w:hint="eastAsia" w:ascii="宋体" w:hAnsi="宋体" w:eastAsia="宋体" w:cs="宋体"/>
          <w:snapToGrid w:val="0"/>
          <w:color w:val="auto"/>
          <w:sz w:val="21"/>
          <w:szCs w:val="21"/>
          <w:highlight w:val="none"/>
        </w:rPr>
        <w:t>产品保护措施（包括但不仅限于防止采购的原材料、样品、已完工的成品等失窃或失火）</w:t>
      </w:r>
      <w:r>
        <w:rPr>
          <w:rFonts w:hint="eastAsia" w:ascii="宋体" w:hAnsi="宋体" w:eastAsia="宋体" w:cs="宋体"/>
          <w:snapToGrid w:val="0"/>
          <w:color w:val="auto"/>
          <w:sz w:val="21"/>
          <w:szCs w:val="21"/>
          <w:highlight w:val="none"/>
          <w:lang w:eastAsia="zh-CN"/>
        </w:rPr>
        <w:t>；</w:t>
      </w:r>
    </w:p>
    <w:p w14:paraId="656B993A">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供应商需提供</w:t>
      </w:r>
      <w:r>
        <w:rPr>
          <w:rFonts w:hint="eastAsia" w:ascii="宋体" w:hAnsi="宋体" w:eastAsia="宋体" w:cs="宋体"/>
          <w:color w:val="auto"/>
          <w:sz w:val="21"/>
          <w:szCs w:val="21"/>
          <w:highlight w:val="none"/>
          <w:lang w:val="en-US" w:eastAsia="zh-CN"/>
        </w:rPr>
        <w:t>售后服务响应（包括但不限于保修期内接到采购人通知后到达时间、处理及时的承诺响应、一般事故、紧急抢修事故、涉及结构安全的质量问题等）；</w:t>
      </w:r>
    </w:p>
    <w:p w14:paraId="3269D3CF">
      <w:pPr>
        <w:spacing w:line="360" w:lineRule="auto"/>
        <w:ind w:firstLine="420" w:firstLineChars="20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供应商需提供承接过类似项目的情况</w:t>
      </w:r>
      <w:r>
        <w:rPr>
          <w:rFonts w:hint="eastAsia" w:ascii="宋体" w:hAnsi="宋体" w:eastAsia="宋体" w:cs="宋体"/>
          <w:b w:val="0"/>
          <w:bCs w:val="0"/>
          <w:color w:val="auto"/>
          <w:sz w:val="21"/>
          <w:szCs w:val="21"/>
          <w:highlight w:val="none"/>
          <w:lang w:eastAsia="zh-CN"/>
        </w:rPr>
        <w:t>；</w:t>
      </w:r>
    </w:p>
    <w:p w14:paraId="0D713948">
      <w:pPr>
        <w:spacing w:line="360" w:lineRule="auto"/>
        <w:ind w:firstLine="420" w:firstLineChars="20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rPr>
        <w:t>成交</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必须在施工前对所有参加施工的人员和该项目的施工标的进行相关的人身和财产保险投保</w:t>
      </w:r>
      <w:r>
        <w:rPr>
          <w:rFonts w:hint="eastAsia" w:ascii="宋体" w:hAnsi="宋体" w:eastAsia="宋体" w:cs="宋体"/>
          <w:b w:val="0"/>
          <w:bCs w:val="0"/>
          <w:color w:val="auto"/>
          <w:sz w:val="21"/>
          <w:szCs w:val="21"/>
          <w:highlight w:val="none"/>
          <w:lang w:eastAsia="zh-CN"/>
        </w:rPr>
        <w:t>；</w:t>
      </w:r>
    </w:p>
    <w:p w14:paraId="377B0F4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主要材料品牌</w:t>
      </w:r>
      <w:r>
        <w:rPr>
          <w:rFonts w:hint="eastAsia" w:ascii="宋体" w:hAnsi="宋体" w:cs="宋体"/>
          <w:color w:val="auto"/>
          <w:sz w:val="21"/>
          <w:szCs w:val="21"/>
          <w:highlight w:val="none"/>
          <w:lang w:val="en-US" w:eastAsia="zh-CN"/>
        </w:rPr>
        <w:t>参考</w:t>
      </w:r>
    </w:p>
    <w:tbl>
      <w:tblPr>
        <w:tblStyle w:val="62"/>
        <w:tblpPr w:leftFromText="180" w:rightFromText="180" w:vertAnchor="text" w:horzAnchor="margin" w:tblpXSpec="center" w:tblpY="1"/>
        <w:tblOverlap w:val="never"/>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894"/>
        <w:gridCol w:w="3570"/>
        <w:gridCol w:w="1697"/>
      </w:tblGrid>
      <w:tr w14:paraId="3809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0DF0FA0B">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894" w:type="dxa"/>
            <w:noWrap w:val="0"/>
            <w:vAlign w:val="center"/>
          </w:tcPr>
          <w:p w14:paraId="5885AFED">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材料名称</w:t>
            </w:r>
          </w:p>
        </w:tc>
        <w:tc>
          <w:tcPr>
            <w:tcW w:w="3570" w:type="dxa"/>
            <w:noWrap w:val="0"/>
            <w:vAlign w:val="center"/>
          </w:tcPr>
          <w:p w14:paraId="2026C90B">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参考品牌</w:t>
            </w:r>
          </w:p>
        </w:tc>
        <w:tc>
          <w:tcPr>
            <w:tcW w:w="1697" w:type="dxa"/>
            <w:noWrap w:val="0"/>
            <w:vAlign w:val="center"/>
          </w:tcPr>
          <w:p w14:paraId="6A76FD1A">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23A9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2B428AC7">
            <w:pPr>
              <w:keepNext w:val="0"/>
              <w:keepLines w:val="0"/>
              <w:widowControl/>
              <w:suppressLineNumbers w:val="0"/>
              <w:spacing w:line="360" w:lineRule="auto"/>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94" w:type="dxa"/>
            <w:noWrap w:val="0"/>
            <w:vAlign w:val="center"/>
          </w:tcPr>
          <w:p w14:paraId="50617ED5">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无机涂料</w:t>
            </w:r>
          </w:p>
        </w:tc>
        <w:tc>
          <w:tcPr>
            <w:tcW w:w="3570" w:type="dxa"/>
            <w:noWrap w:val="0"/>
            <w:vAlign w:val="center"/>
          </w:tcPr>
          <w:p w14:paraId="1F121EEF">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多乐士、立邦、华润</w:t>
            </w:r>
          </w:p>
        </w:tc>
        <w:tc>
          <w:tcPr>
            <w:tcW w:w="1697" w:type="dxa"/>
            <w:noWrap w:val="0"/>
            <w:vAlign w:val="center"/>
          </w:tcPr>
          <w:p w14:paraId="7E24E3BC">
            <w:pPr>
              <w:keepNext/>
              <w:keepLines/>
              <w:widowControl/>
              <w:spacing w:line="360" w:lineRule="auto"/>
              <w:jc w:val="center"/>
              <w:outlineLvl w:val="0"/>
              <w:rPr>
                <w:rFonts w:hint="eastAsia" w:ascii="宋体" w:hAnsi="宋体" w:eastAsia="宋体" w:cs="宋体"/>
                <w:kern w:val="0"/>
                <w:sz w:val="21"/>
                <w:szCs w:val="21"/>
                <w:highlight w:val="none"/>
                <w:lang w:eastAsia="zh-CN"/>
              </w:rPr>
            </w:pPr>
          </w:p>
        </w:tc>
      </w:tr>
      <w:tr w14:paraId="37E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29C349BC">
            <w:pPr>
              <w:keepNext w:val="0"/>
              <w:keepLines w:val="0"/>
              <w:widowControl/>
              <w:suppressLineNumbers w:val="0"/>
              <w:spacing w:line="360" w:lineRule="auto"/>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2894" w:type="dxa"/>
            <w:noWrap w:val="0"/>
            <w:vAlign w:val="center"/>
          </w:tcPr>
          <w:p w14:paraId="6518BF53">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板材</w:t>
            </w:r>
          </w:p>
        </w:tc>
        <w:tc>
          <w:tcPr>
            <w:tcW w:w="3570" w:type="dxa"/>
            <w:noWrap w:val="0"/>
            <w:vAlign w:val="center"/>
          </w:tcPr>
          <w:p w14:paraId="19AE2AEC">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莫干山、千年舟、兔宝宝</w:t>
            </w:r>
          </w:p>
        </w:tc>
        <w:tc>
          <w:tcPr>
            <w:tcW w:w="1697" w:type="dxa"/>
            <w:noWrap w:val="0"/>
            <w:vAlign w:val="center"/>
          </w:tcPr>
          <w:p w14:paraId="72053B5B">
            <w:pPr>
              <w:keepNext/>
              <w:keepLines/>
              <w:widowControl/>
              <w:spacing w:line="360" w:lineRule="auto"/>
              <w:jc w:val="center"/>
              <w:outlineLvl w:val="0"/>
              <w:rPr>
                <w:rFonts w:hint="eastAsia" w:ascii="宋体" w:hAnsi="宋体" w:eastAsia="宋体" w:cs="宋体"/>
                <w:kern w:val="0"/>
                <w:sz w:val="21"/>
                <w:szCs w:val="21"/>
                <w:highlight w:val="none"/>
                <w:lang w:eastAsia="zh-CN"/>
              </w:rPr>
            </w:pPr>
          </w:p>
        </w:tc>
      </w:tr>
      <w:tr w14:paraId="198F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39673B31">
            <w:pPr>
              <w:keepNext w:val="0"/>
              <w:keepLines w:val="0"/>
              <w:widowControl/>
              <w:suppressLineNumbers w:val="0"/>
              <w:spacing w:line="360" w:lineRule="auto"/>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w:t>
            </w:r>
          </w:p>
        </w:tc>
        <w:tc>
          <w:tcPr>
            <w:tcW w:w="2894" w:type="dxa"/>
            <w:noWrap w:val="0"/>
            <w:vAlign w:val="center"/>
          </w:tcPr>
          <w:p w14:paraId="6A508582">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纸面石膏板</w:t>
            </w:r>
          </w:p>
        </w:tc>
        <w:tc>
          <w:tcPr>
            <w:tcW w:w="3570" w:type="dxa"/>
            <w:noWrap w:val="0"/>
            <w:vAlign w:val="center"/>
          </w:tcPr>
          <w:p w14:paraId="121A4A85">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拉法基、龙牌、可耐福</w:t>
            </w:r>
          </w:p>
        </w:tc>
        <w:tc>
          <w:tcPr>
            <w:tcW w:w="1697" w:type="dxa"/>
            <w:noWrap w:val="0"/>
            <w:vAlign w:val="center"/>
          </w:tcPr>
          <w:p w14:paraId="646FC90F">
            <w:pPr>
              <w:keepNext/>
              <w:keepLines/>
              <w:widowControl/>
              <w:spacing w:line="360" w:lineRule="auto"/>
              <w:jc w:val="center"/>
              <w:outlineLvl w:val="0"/>
              <w:rPr>
                <w:rFonts w:hint="eastAsia" w:ascii="宋体" w:hAnsi="宋体" w:eastAsia="宋体" w:cs="宋体"/>
                <w:kern w:val="0"/>
                <w:sz w:val="21"/>
                <w:szCs w:val="21"/>
                <w:highlight w:val="none"/>
              </w:rPr>
            </w:pPr>
          </w:p>
        </w:tc>
      </w:tr>
      <w:tr w14:paraId="5AC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7FC934EF">
            <w:pPr>
              <w:keepNext w:val="0"/>
              <w:keepLines w:val="0"/>
              <w:widowControl/>
              <w:suppressLineNumbers w:val="0"/>
              <w:spacing w:line="360" w:lineRule="auto"/>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2894" w:type="dxa"/>
            <w:noWrap w:val="0"/>
            <w:vAlign w:val="center"/>
          </w:tcPr>
          <w:p w14:paraId="1846E781">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瓷砖</w:t>
            </w:r>
          </w:p>
        </w:tc>
        <w:tc>
          <w:tcPr>
            <w:tcW w:w="3570" w:type="dxa"/>
            <w:noWrap w:val="0"/>
            <w:vAlign w:val="center"/>
          </w:tcPr>
          <w:p w14:paraId="3803B007">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骆驼瓷砖</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鹰牌陶瓷</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蒙娜丽莎  </w:t>
            </w:r>
          </w:p>
        </w:tc>
        <w:tc>
          <w:tcPr>
            <w:tcW w:w="1697" w:type="dxa"/>
            <w:noWrap w:val="0"/>
            <w:vAlign w:val="center"/>
          </w:tcPr>
          <w:p w14:paraId="5EEE45A0">
            <w:pPr>
              <w:keepNext/>
              <w:keepLines/>
              <w:widowControl/>
              <w:spacing w:line="360" w:lineRule="auto"/>
              <w:jc w:val="center"/>
              <w:outlineLvl w:val="0"/>
              <w:rPr>
                <w:rFonts w:hint="eastAsia" w:ascii="宋体" w:hAnsi="宋体" w:eastAsia="宋体" w:cs="宋体"/>
                <w:kern w:val="0"/>
                <w:sz w:val="21"/>
                <w:szCs w:val="21"/>
                <w:highlight w:val="none"/>
              </w:rPr>
            </w:pPr>
          </w:p>
        </w:tc>
      </w:tr>
      <w:tr w14:paraId="6AB3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37D314F8">
            <w:pPr>
              <w:keepNext w:val="0"/>
              <w:keepLines w:val="0"/>
              <w:widowControl/>
              <w:suppressLineNumbers w:val="0"/>
              <w:spacing w:line="360" w:lineRule="auto"/>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w:t>
            </w:r>
          </w:p>
        </w:tc>
        <w:tc>
          <w:tcPr>
            <w:tcW w:w="2894" w:type="dxa"/>
            <w:noWrap w:val="0"/>
            <w:vAlign w:val="center"/>
          </w:tcPr>
          <w:p w14:paraId="7C27FF99">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电线电缆</w:t>
            </w:r>
          </w:p>
        </w:tc>
        <w:tc>
          <w:tcPr>
            <w:tcW w:w="3570" w:type="dxa"/>
            <w:noWrap w:val="0"/>
            <w:vAlign w:val="center"/>
          </w:tcPr>
          <w:p w14:paraId="4FBAC2AA">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宁波球冠、宁波东方明珠、宁波新光</w:t>
            </w:r>
          </w:p>
        </w:tc>
        <w:tc>
          <w:tcPr>
            <w:tcW w:w="1697" w:type="dxa"/>
            <w:noWrap w:val="0"/>
            <w:vAlign w:val="center"/>
          </w:tcPr>
          <w:p w14:paraId="0B1A10A5">
            <w:pPr>
              <w:keepNext/>
              <w:keepLines/>
              <w:widowControl/>
              <w:spacing w:line="360" w:lineRule="auto"/>
              <w:jc w:val="center"/>
              <w:outlineLvl w:val="0"/>
              <w:rPr>
                <w:rFonts w:hint="eastAsia" w:ascii="宋体" w:hAnsi="宋体" w:eastAsia="宋体" w:cs="宋体"/>
                <w:kern w:val="0"/>
                <w:sz w:val="21"/>
                <w:szCs w:val="21"/>
                <w:highlight w:val="none"/>
              </w:rPr>
            </w:pPr>
          </w:p>
        </w:tc>
      </w:tr>
      <w:tr w14:paraId="1E69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45327F35">
            <w:pPr>
              <w:keepNext w:val="0"/>
              <w:keepLines w:val="0"/>
              <w:widowControl/>
              <w:suppressLineNumbers w:val="0"/>
              <w:spacing w:line="360" w:lineRule="auto"/>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w:t>
            </w:r>
          </w:p>
        </w:tc>
        <w:tc>
          <w:tcPr>
            <w:tcW w:w="2894" w:type="dxa"/>
            <w:noWrap w:val="0"/>
            <w:vAlign w:val="center"/>
          </w:tcPr>
          <w:p w14:paraId="75EA2D3F">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开关插座</w:t>
            </w:r>
          </w:p>
        </w:tc>
        <w:tc>
          <w:tcPr>
            <w:tcW w:w="3570" w:type="dxa"/>
            <w:noWrap w:val="0"/>
            <w:vAlign w:val="center"/>
          </w:tcPr>
          <w:p w14:paraId="1A4FFCA3">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ABB、西蒙、施耐德</w:t>
            </w:r>
          </w:p>
        </w:tc>
        <w:tc>
          <w:tcPr>
            <w:tcW w:w="1697" w:type="dxa"/>
            <w:noWrap w:val="0"/>
            <w:vAlign w:val="center"/>
          </w:tcPr>
          <w:p w14:paraId="6A51E07E">
            <w:pPr>
              <w:keepNext/>
              <w:keepLines/>
              <w:widowControl/>
              <w:spacing w:line="360" w:lineRule="auto"/>
              <w:jc w:val="center"/>
              <w:outlineLvl w:val="0"/>
              <w:rPr>
                <w:rFonts w:hint="eastAsia" w:ascii="宋体" w:hAnsi="宋体" w:eastAsia="宋体" w:cs="宋体"/>
                <w:kern w:val="0"/>
                <w:sz w:val="21"/>
                <w:szCs w:val="21"/>
                <w:highlight w:val="none"/>
              </w:rPr>
            </w:pPr>
          </w:p>
        </w:tc>
      </w:tr>
      <w:tr w14:paraId="32E5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noWrap w:val="0"/>
            <w:vAlign w:val="center"/>
          </w:tcPr>
          <w:p w14:paraId="5498BEF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894" w:type="dxa"/>
            <w:noWrap w:val="0"/>
            <w:vAlign w:val="center"/>
          </w:tcPr>
          <w:p w14:paraId="41164158">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灯具</w:t>
            </w:r>
          </w:p>
        </w:tc>
        <w:tc>
          <w:tcPr>
            <w:tcW w:w="3570" w:type="dxa"/>
            <w:noWrap w:val="0"/>
            <w:vAlign w:val="center"/>
          </w:tcPr>
          <w:p w14:paraId="34A34E22">
            <w:pPr>
              <w:autoSpaceDE w:val="0"/>
              <w:autoSpaceDN w:val="0"/>
              <w:adjustRightInd w:val="0"/>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雷士、欧普、三雄极光</w:t>
            </w:r>
          </w:p>
        </w:tc>
        <w:tc>
          <w:tcPr>
            <w:tcW w:w="1697" w:type="dxa"/>
            <w:noWrap w:val="0"/>
            <w:vAlign w:val="center"/>
          </w:tcPr>
          <w:p w14:paraId="54DDC4F4">
            <w:pPr>
              <w:keepNext/>
              <w:keepLines/>
              <w:widowControl/>
              <w:spacing w:line="360" w:lineRule="auto"/>
              <w:jc w:val="center"/>
              <w:outlineLvl w:val="0"/>
              <w:rPr>
                <w:rFonts w:hint="eastAsia" w:ascii="宋体" w:hAnsi="宋体" w:eastAsia="宋体" w:cs="宋体"/>
                <w:kern w:val="0"/>
                <w:sz w:val="21"/>
                <w:szCs w:val="21"/>
                <w:highlight w:val="none"/>
              </w:rPr>
            </w:pPr>
          </w:p>
        </w:tc>
      </w:tr>
    </w:tbl>
    <w:p w14:paraId="48827F8D">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b w:val="0"/>
          <w:bCs w:val="0"/>
          <w:color w:val="auto"/>
          <w:sz w:val="21"/>
          <w:szCs w:val="21"/>
          <w:highlight w:val="none"/>
          <w:lang w:val="en-US" w:eastAsia="zh-CN"/>
        </w:rPr>
        <w:t>21.</w:t>
      </w:r>
      <w:r>
        <w:rPr>
          <w:rFonts w:hint="eastAsia" w:ascii="宋体" w:hAnsi="宋体" w:eastAsia="宋体" w:cs="宋体"/>
          <w:sz w:val="21"/>
          <w:szCs w:val="21"/>
          <w:highlight w:val="none"/>
        </w:rPr>
        <w:t>其他技术要求详见</w:t>
      </w:r>
      <w:r>
        <w:rPr>
          <w:rFonts w:hint="eastAsia" w:ascii="宋体" w:hAnsi="宋体" w:eastAsia="宋体" w:cs="宋体"/>
          <w:b/>
          <w:bCs/>
          <w:sz w:val="21"/>
          <w:szCs w:val="21"/>
          <w:highlight w:val="none"/>
        </w:rPr>
        <w:t>附件工程造价咨询报告书及图纸</w:t>
      </w:r>
      <w:r>
        <w:rPr>
          <w:rFonts w:hint="eastAsia" w:ascii="宋体" w:hAnsi="宋体" w:eastAsia="宋体" w:cs="宋体"/>
          <w:sz w:val="21"/>
          <w:szCs w:val="21"/>
          <w:highlight w:val="none"/>
        </w:rPr>
        <w:t>。</w:t>
      </w:r>
    </w:p>
    <w:p w14:paraId="239948EE">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三、图纸</w:t>
      </w:r>
    </w:p>
    <w:p w14:paraId="6D57FDD3">
      <w:pPr>
        <w:spacing w:line="360" w:lineRule="auto"/>
        <w:ind w:firstLine="420" w:firstLineChars="200"/>
        <w:jc w:val="left"/>
        <w:rPr>
          <w:rFonts w:hint="eastAsia" w:ascii="宋体" w:hAnsi="宋体" w:eastAsia="宋体" w:cs="宋体"/>
          <w:b/>
          <w:bCs/>
          <w:color w:val="auto"/>
          <w:sz w:val="21"/>
          <w:szCs w:val="21"/>
          <w:highlight w:val="yellow"/>
        </w:rPr>
      </w:pPr>
      <w:r>
        <w:rPr>
          <w:rFonts w:hint="eastAsia" w:ascii="宋体" w:hAnsi="宋体" w:eastAsia="宋体" w:cs="宋体"/>
          <w:b w:val="0"/>
          <w:bCs w:val="0"/>
          <w:color w:val="auto"/>
          <w:sz w:val="21"/>
          <w:szCs w:val="21"/>
          <w:highlight w:val="none"/>
        </w:rPr>
        <w:t>另附册</w:t>
      </w:r>
    </w:p>
    <w:p w14:paraId="5DCB5FBB">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四、工程造价咨询报告书</w:t>
      </w:r>
    </w:p>
    <w:p w14:paraId="0D17F7EE">
      <w:pPr>
        <w:spacing w:line="360" w:lineRule="auto"/>
        <w:ind w:firstLine="420"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rPr>
        <w:t>另附册</w:t>
      </w:r>
    </w:p>
    <w:p w14:paraId="42B9A4D5">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p>
    <w:p w14:paraId="289F007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工期要求：</w:t>
      </w:r>
      <w:r>
        <w:rPr>
          <w:rFonts w:hint="eastAsia" w:ascii="宋体" w:hAnsi="宋体" w:cs="宋体"/>
          <w:color w:val="auto"/>
          <w:sz w:val="21"/>
          <w:szCs w:val="21"/>
          <w:highlight w:val="none"/>
          <w:u w:val="single"/>
          <w:lang w:val="en-US" w:eastAsia="zh-CN"/>
        </w:rPr>
        <w:t>40日历天</w:t>
      </w:r>
      <w:r>
        <w:rPr>
          <w:rFonts w:hint="eastAsia" w:ascii="宋体" w:hAnsi="宋体" w:eastAsia="宋体" w:cs="宋体"/>
          <w:color w:val="auto"/>
          <w:sz w:val="21"/>
          <w:szCs w:val="21"/>
          <w:highlight w:val="none"/>
          <w:u w:val="single"/>
          <w:lang w:val="en-US" w:eastAsia="zh-CN"/>
        </w:rPr>
        <w:t>。</w:t>
      </w:r>
    </w:p>
    <w:p w14:paraId="395FED3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位于宁波市鄞州区下应街道社区卫生服务中心</w:t>
      </w:r>
      <w:r>
        <w:rPr>
          <w:rFonts w:hint="eastAsia" w:ascii="宋体" w:hAnsi="宋体" w:eastAsia="宋体" w:cs="宋体"/>
          <w:color w:val="auto"/>
          <w:sz w:val="21"/>
          <w:szCs w:val="21"/>
          <w:highlight w:val="none"/>
          <w:u w:val="single"/>
        </w:rPr>
        <w:t>。</w:t>
      </w:r>
    </w:p>
    <w:p w14:paraId="0C1B955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3.付款条件（</w:t>
      </w:r>
      <w:r>
        <w:rPr>
          <w:rFonts w:hint="eastAsia" w:ascii="宋体" w:hAnsi="宋体" w:eastAsia="宋体" w:cs="宋体"/>
          <w:color w:val="auto"/>
          <w:sz w:val="21"/>
          <w:szCs w:val="21"/>
          <w:highlight w:val="none"/>
          <w:lang w:val="en-US" w:eastAsia="zh-CN"/>
        </w:rPr>
        <w:t>付款比例</w:t>
      </w:r>
      <w:r>
        <w:rPr>
          <w:rFonts w:hint="eastAsia" w:ascii="宋体" w:hAnsi="宋体" w:eastAsia="宋体" w:cs="宋体"/>
          <w:color w:val="auto"/>
          <w:sz w:val="21"/>
          <w:szCs w:val="21"/>
          <w:highlight w:val="none"/>
        </w:rPr>
        <w:t>和方式）</w:t>
      </w:r>
    </w:p>
    <w:tbl>
      <w:tblPr>
        <w:tblStyle w:val="62"/>
        <w:tblW w:w="4997"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00"/>
        <w:gridCol w:w="2388"/>
        <w:gridCol w:w="5547"/>
      </w:tblGrid>
      <w:tr w14:paraId="74972D6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4" w:type="pct"/>
            <w:tcBorders>
              <w:tl2br w:val="nil"/>
              <w:tr2bl w:val="nil"/>
            </w:tcBorders>
            <w:shd w:val="clear" w:color="auto" w:fill="auto"/>
            <w:vAlign w:val="center"/>
          </w:tcPr>
          <w:p w14:paraId="7C12F21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pct"/>
            <w:tcBorders>
              <w:tl2br w:val="nil"/>
              <w:tr2bl w:val="nil"/>
            </w:tcBorders>
            <w:shd w:val="clear" w:color="auto" w:fill="auto"/>
            <w:vAlign w:val="center"/>
          </w:tcPr>
          <w:p w14:paraId="4DD977C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付款比例（%）</w:t>
            </w:r>
          </w:p>
        </w:tc>
        <w:tc>
          <w:tcPr>
            <w:tcW w:w="3002" w:type="pct"/>
            <w:tcBorders>
              <w:tl2br w:val="nil"/>
              <w:tr2bl w:val="nil"/>
            </w:tcBorders>
            <w:shd w:val="clear" w:color="auto" w:fill="auto"/>
            <w:vAlign w:val="center"/>
          </w:tcPr>
          <w:p w14:paraId="2513B25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付款方</w:t>
            </w:r>
            <w:r>
              <w:rPr>
                <w:rFonts w:hint="eastAsia" w:ascii="宋体" w:hAnsi="宋体" w:eastAsia="宋体" w:cs="宋体"/>
                <w:b/>
                <w:bCs/>
                <w:color w:val="auto"/>
                <w:sz w:val="21"/>
                <w:szCs w:val="21"/>
                <w:highlight w:val="none"/>
                <w:lang w:val="en-US" w:eastAsia="zh-CN"/>
              </w:rPr>
              <w:t>式</w:t>
            </w:r>
          </w:p>
        </w:tc>
      </w:tr>
      <w:tr w14:paraId="5A6DFA8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4" w:type="pct"/>
            <w:tcBorders>
              <w:tl2br w:val="nil"/>
              <w:tr2bl w:val="nil"/>
            </w:tcBorders>
            <w:shd w:val="clear" w:color="auto" w:fill="auto"/>
            <w:vAlign w:val="center"/>
          </w:tcPr>
          <w:p w14:paraId="1D66F7C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pct"/>
            <w:tcBorders>
              <w:tl2br w:val="nil"/>
              <w:tr2bl w:val="nil"/>
            </w:tcBorders>
            <w:shd w:val="clear" w:color="auto" w:fill="auto"/>
            <w:vAlign w:val="center"/>
          </w:tcPr>
          <w:p w14:paraId="2093D9B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w:t>
            </w:r>
          </w:p>
        </w:tc>
        <w:tc>
          <w:tcPr>
            <w:tcW w:w="3002" w:type="pct"/>
            <w:tcBorders>
              <w:tl2br w:val="nil"/>
              <w:tr2bl w:val="nil"/>
            </w:tcBorders>
            <w:shd w:val="clear" w:color="auto" w:fill="auto"/>
            <w:vAlign w:val="top"/>
          </w:tcPr>
          <w:p w14:paraId="60C2EA90">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合同生效以及具备实施条件后7个工作日内，</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于合同签订前书面承诺放弃预付款或降低预付款支付比例的，可不适用本条款</w:t>
            </w:r>
            <w:r>
              <w:rPr>
                <w:rFonts w:hint="eastAsia" w:ascii="宋体" w:hAnsi="宋体" w:eastAsia="宋体" w:cs="宋体"/>
                <w:color w:val="auto"/>
                <w:sz w:val="21"/>
                <w:szCs w:val="21"/>
                <w:highlight w:val="none"/>
                <w:lang w:val="en-US" w:eastAsia="zh-CN"/>
              </w:rPr>
              <w:t>。</w:t>
            </w:r>
          </w:p>
        </w:tc>
      </w:tr>
      <w:tr w14:paraId="33E5364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5129C23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pct"/>
            <w:tcBorders>
              <w:tl2br w:val="nil"/>
              <w:tr2bl w:val="nil"/>
            </w:tcBorders>
            <w:shd w:val="clear" w:color="auto" w:fill="auto"/>
            <w:vAlign w:val="center"/>
          </w:tcPr>
          <w:p w14:paraId="5AB87AA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2" w:type="pct"/>
            <w:tcBorders>
              <w:tl2br w:val="nil"/>
              <w:tr2bl w:val="nil"/>
            </w:tcBorders>
            <w:shd w:val="clear" w:color="auto" w:fill="auto"/>
          </w:tcPr>
          <w:p w14:paraId="6B4D2364">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签订合同后7日内，承包人向发包人递交签约合同价1%的履约保证金。</w:t>
            </w:r>
          </w:p>
        </w:tc>
      </w:tr>
      <w:tr w14:paraId="488AB23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33B343C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93" w:type="pct"/>
            <w:tcBorders>
              <w:tl2br w:val="nil"/>
              <w:tr2bl w:val="nil"/>
            </w:tcBorders>
            <w:shd w:val="clear" w:color="auto" w:fill="auto"/>
            <w:vAlign w:val="center"/>
          </w:tcPr>
          <w:p w14:paraId="204183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w:t>
            </w:r>
          </w:p>
        </w:tc>
        <w:tc>
          <w:tcPr>
            <w:tcW w:w="3002" w:type="pct"/>
            <w:tcBorders>
              <w:tl2br w:val="nil"/>
              <w:tr2bl w:val="nil"/>
            </w:tcBorders>
            <w:shd w:val="clear" w:color="auto" w:fill="auto"/>
          </w:tcPr>
          <w:p w14:paraId="1FFA2660">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工程现场初验后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lang w:eastAsia="zh-CN"/>
              </w:rPr>
              <w:t>，支付签约合同价的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w:t>
            </w:r>
          </w:p>
        </w:tc>
      </w:tr>
      <w:tr w14:paraId="5F16D65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283B57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93" w:type="pct"/>
            <w:tcBorders>
              <w:tl2br w:val="nil"/>
              <w:tr2bl w:val="nil"/>
            </w:tcBorders>
            <w:shd w:val="clear" w:color="auto" w:fill="auto"/>
            <w:vAlign w:val="center"/>
          </w:tcPr>
          <w:p w14:paraId="663BB9D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w:t>
            </w:r>
          </w:p>
        </w:tc>
        <w:tc>
          <w:tcPr>
            <w:tcW w:w="3002" w:type="pct"/>
            <w:tcBorders>
              <w:tl2br w:val="nil"/>
              <w:tr2bl w:val="nil"/>
            </w:tcBorders>
            <w:shd w:val="clear" w:color="auto" w:fill="auto"/>
          </w:tcPr>
          <w:p w14:paraId="4DB15840">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按合同约定提交完整工程结算资料后7个工作日内，支付签约合同价的</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w:t>
            </w:r>
          </w:p>
        </w:tc>
      </w:tr>
      <w:tr w14:paraId="0D74787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0B0EDD3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3" w:type="pct"/>
            <w:tcBorders>
              <w:tl2br w:val="nil"/>
              <w:tr2bl w:val="nil"/>
            </w:tcBorders>
            <w:shd w:val="clear" w:color="auto" w:fill="auto"/>
            <w:vAlign w:val="center"/>
          </w:tcPr>
          <w:p w14:paraId="1C3A89A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2" w:type="pct"/>
            <w:tcBorders>
              <w:tl2br w:val="nil"/>
              <w:tr2bl w:val="nil"/>
            </w:tcBorders>
            <w:shd w:val="clear" w:color="auto" w:fill="auto"/>
          </w:tcPr>
          <w:p w14:paraId="4269CDAC">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color w:val="auto"/>
                <w:sz w:val="21"/>
                <w:szCs w:val="21"/>
                <w:highlight w:val="none"/>
                <w:lang w:eastAsia="zh-CN"/>
              </w:rPr>
              <w:t>递交的履约保证金予以结算退还。</w:t>
            </w:r>
          </w:p>
        </w:tc>
      </w:tr>
      <w:tr w14:paraId="211DF6C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1A6B95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93" w:type="pct"/>
            <w:tcBorders>
              <w:tl2br w:val="nil"/>
              <w:tr2bl w:val="nil"/>
            </w:tcBorders>
            <w:shd w:val="clear" w:color="auto" w:fill="auto"/>
            <w:vAlign w:val="center"/>
          </w:tcPr>
          <w:p w14:paraId="784F6C2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p>
        </w:tc>
        <w:tc>
          <w:tcPr>
            <w:tcW w:w="3002" w:type="pct"/>
            <w:tcBorders>
              <w:tl2br w:val="nil"/>
              <w:tr2bl w:val="nil"/>
            </w:tcBorders>
            <w:shd w:val="clear" w:color="auto" w:fill="auto"/>
          </w:tcPr>
          <w:p w14:paraId="4F67ED56">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工程价款结算审核完成，</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eastAsia="zh-CN"/>
              </w:rPr>
              <w:t>提供全额发票（增值税专用发票）后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lang w:eastAsia="zh-CN"/>
              </w:rPr>
              <w:t>支付至结算造价的100%</w:t>
            </w:r>
          </w:p>
        </w:tc>
      </w:tr>
      <w:tr w14:paraId="48032B2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shd w:val="clear" w:color="auto" w:fill="auto"/>
            <w:vAlign w:val="center"/>
          </w:tcPr>
          <w:p w14:paraId="60B4455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注：支付上述款项前，成交供应商须开具同等数额的正规增值税发票（具体发票要求按采购人要求开具），否则采购人有权延迟支付。</w:t>
            </w:r>
          </w:p>
        </w:tc>
      </w:tr>
    </w:tbl>
    <w:p w14:paraId="6B7661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4.工程售后服务要求</w:t>
      </w:r>
    </w:p>
    <w:p w14:paraId="58174B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4.1缺陷责任期：</w:t>
      </w:r>
    </w:p>
    <w:p w14:paraId="4EB5EA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lang w:val="en-US" w:eastAsia="zh-CN"/>
        </w:rPr>
        <w:t>4.1.1</w:t>
      </w:r>
      <w:r>
        <w:rPr>
          <w:rFonts w:hint="eastAsia" w:ascii="宋体" w:hAnsi="宋体" w:eastAsia="宋体" w:cs="宋体"/>
          <w:color w:val="auto"/>
          <w:sz w:val="21"/>
          <w:szCs w:val="21"/>
          <w:highlight w:val="none"/>
          <w:u w:val="none"/>
        </w:rPr>
        <w:t>缺陷责任期：</w:t>
      </w:r>
      <w:r>
        <w:rPr>
          <w:rFonts w:hint="eastAsia" w:ascii="宋体" w:hAnsi="宋体" w:eastAsia="宋体" w:cs="宋体"/>
          <w:color w:val="auto"/>
          <w:sz w:val="21"/>
          <w:szCs w:val="21"/>
          <w:highlight w:val="none"/>
          <w:u w:val="single"/>
        </w:rPr>
        <w:t>自工程验收合格之日起</w:t>
      </w:r>
      <w:r>
        <w:rPr>
          <w:rFonts w:hint="eastAsia" w:ascii="宋体" w:hAnsi="宋体" w:eastAsia="宋体" w:cs="宋体"/>
          <w:color w:val="auto"/>
          <w:sz w:val="21"/>
          <w:szCs w:val="21"/>
          <w:highlight w:val="none"/>
          <w:u w:val="single"/>
          <w:lang w:val="en-US" w:eastAsia="zh-CN"/>
        </w:rPr>
        <w:t>24个月</w:t>
      </w:r>
      <w:r>
        <w:rPr>
          <w:rFonts w:hint="eastAsia" w:ascii="宋体" w:hAnsi="宋体" w:eastAsia="宋体" w:cs="宋体"/>
          <w:color w:val="auto"/>
          <w:sz w:val="21"/>
          <w:szCs w:val="21"/>
          <w:highlight w:val="none"/>
          <w:u w:val="none"/>
          <w:lang w:eastAsia="zh-CN"/>
        </w:rPr>
        <w:t>；</w:t>
      </w:r>
    </w:p>
    <w:p w14:paraId="2520C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4.1.2工程竣工验收合格后，因承包方原因导致的缺陷使工程或某项主要设备不能按原定目的使用的，发包人有权在原缺陷责任期届满前要求承包方延长缺陷责任期，但整体缺陷责任期（含延长）最长不能超过24个月。</w:t>
      </w:r>
    </w:p>
    <w:p w14:paraId="1924FC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4.2 保修的一般规定</w:t>
      </w:r>
    </w:p>
    <w:p w14:paraId="38C50F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4.2.1 根据国务院的《建设工程质量管理条例》第三十二条规定：施工单位对施工中出现质量问题的建设工程或者竣工验收不合格的建设工程，应当负责返修。</w:t>
      </w:r>
    </w:p>
    <w:p w14:paraId="0C585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4.2.2 基础设施工程、房屋建筑的地基基础工程和主体结构工程，为设计文件规定的该工程的合理使用年限。</w:t>
      </w:r>
    </w:p>
    <w:p w14:paraId="36953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4.2.3 电气管线、给排水管道、设备安装和装修工程，为2年，本项目质保期为2年。</w:t>
      </w:r>
    </w:p>
    <w:p w14:paraId="4A76D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4.2.4 根据国务院的《建设工程质量管理条例》第四十一条规定：建设工程在保修范围和保修期限内发生质量问题的，施工单位应当履行保修义务，并对造成的损失承担赔偿责任。</w:t>
      </w:r>
    </w:p>
    <w:p w14:paraId="626A4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4.3 修复通知</w:t>
      </w:r>
    </w:p>
    <w:p w14:paraId="21E509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w:t>
      </w:r>
      <w:r>
        <w:rPr>
          <w:rFonts w:hint="eastAsia" w:ascii="宋体" w:hAnsi="宋体" w:eastAsia="宋体" w:cs="宋体"/>
          <w:color w:val="auto"/>
          <w:kern w:val="2"/>
          <w:sz w:val="21"/>
          <w:szCs w:val="21"/>
          <w:highlight w:val="none"/>
          <w:u w:val="none"/>
          <w:lang w:val="en-US" w:eastAsia="zh-CN" w:bidi="ar-SA"/>
        </w:rPr>
        <w:t>若承包方未按约定时间到场，发包人有权自行组织修复或委托第三方修复，发生的修理费用由承包方承担，并视具体情况追究承包方延误维修时间造成的直接损失。</w:t>
      </w:r>
    </w:p>
    <w:p w14:paraId="166616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4.3.1本项目保修期执行《建设工程质量管理条例》及浙江省、宁波市相关保修规定。</w:t>
      </w:r>
    </w:p>
    <w:p w14:paraId="3B22B9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4.3.2本工程保修期为《工程质量保修书》所约定的期间，保修期始于项目正式竣工验收合格的日期。在保修期内承包方应无偿对项目进行修理。</w:t>
      </w:r>
    </w:p>
    <w:p w14:paraId="513B7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4.3.3在保修期内，接到发包人指令后，及时赶到现场并采取切实可行的措施进行抢险抢修，完成相关维修工作内容，否则发包人有权采取一切措施自行完成，相关费用由承包方承担。</w:t>
      </w:r>
    </w:p>
    <w:p w14:paraId="0FE647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4.3.4若因维修人员不到位，发包人有权向承包方索赔，且由此所造成的一切损失由承包方负责。</w:t>
      </w:r>
    </w:p>
    <w:p w14:paraId="422C2293">
      <w:pPr>
        <w:spacing w:line="360" w:lineRule="auto"/>
        <w:ind w:firstLine="480" w:firstLineChars="200"/>
        <w:jc w:val="left"/>
        <w:rPr>
          <w:rFonts w:ascii="宋体" w:hAnsi="宋体"/>
          <w:color w:val="auto"/>
          <w:sz w:val="24"/>
          <w:highlight w:val="none"/>
          <w:u w:val="single"/>
        </w:rPr>
      </w:pPr>
    </w:p>
    <w:p w14:paraId="7B258A2F">
      <w:pPr>
        <w:widowControl/>
        <w:ind w:firstLine="720" w:firstLineChars="300"/>
        <w:jc w:val="left"/>
        <w:rPr>
          <w:rFonts w:ascii="宋体" w:hAnsi="宋体" w:cs="宋体"/>
          <w:bCs/>
          <w:color w:val="auto"/>
          <w:sz w:val="24"/>
          <w:highlight w:val="none"/>
        </w:rPr>
      </w:pPr>
    </w:p>
    <w:p w14:paraId="29908568">
      <w:pPr>
        <w:rPr>
          <w:rFonts w:ascii="宋体" w:hAnsi="宋体" w:cs="宋体"/>
          <w:snapToGrid w:val="0"/>
          <w:color w:val="auto"/>
          <w:kern w:val="0"/>
          <w:sz w:val="24"/>
          <w:highlight w:val="none"/>
        </w:rPr>
      </w:pPr>
    </w:p>
    <w:p w14:paraId="34D0F512">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bookmarkStart w:id="33" w:name="_Toc8460"/>
      <w:r>
        <w:rPr>
          <w:rFonts w:hint="eastAsia" w:ascii="宋体" w:hAnsi="宋体" w:cs="宋体"/>
          <w:b/>
          <w:color w:val="auto"/>
          <w:sz w:val="36"/>
          <w:szCs w:val="20"/>
          <w:highlight w:val="none"/>
        </w:rPr>
        <w:t>第四部分</w:t>
      </w:r>
      <w:bookmarkStart w:id="34" w:name="_Toc184308042"/>
      <w:bookmarkEnd w:id="34"/>
      <w:bookmarkStart w:id="35" w:name="_Toc184314450"/>
      <w:bookmarkEnd w:id="35"/>
      <w:bookmarkStart w:id="36" w:name="_Toc184313264"/>
      <w:bookmarkEnd w:id="36"/>
      <w:bookmarkStart w:id="37" w:name="_Toc184308097"/>
      <w:bookmarkEnd w:id="37"/>
      <w:bookmarkStart w:id="38" w:name="_Toc184312067"/>
      <w:bookmarkEnd w:id="38"/>
      <w:bookmarkStart w:id="39" w:name="_Toc184310274"/>
      <w:bookmarkEnd w:id="39"/>
      <w:bookmarkStart w:id="40" w:name="_Toc184313242"/>
      <w:bookmarkEnd w:id="40"/>
      <w:bookmarkStart w:id="41" w:name="_Toc184314456"/>
      <w:bookmarkEnd w:id="41"/>
      <w:bookmarkStart w:id="42" w:name="_Toc184314414"/>
      <w:bookmarkEnd w:id="42"/>
      <w:bookmarkStart w:id="43" w:name="_Toc184310333"/>
      <w:bookmarkEnd w:id="43"/>
      <w:bookmarkStart w:id="44" w:name="_Toc184312114"/>
      <w:bookmarkEnd w:id="44"/>
      <w:bookmarkStart w:id="45" w:name="_Toc184310280"/>
      <w:bookmarkEnd w:id="45"/>
      <w:bookmarkStart w:id="46" w:name="_Toc184312109"/>
      <w:bookmarkEnd w:id="46"/>
      <w:bookmarkStart w:id="47" w:name="_Toc184308062"/>
      <w:bookmarkEnd w:id="47"/>
      <w:bookmarkStart w:id="48" w:name="_Toc184310288"/>
      <w:bookmarkEnd w:id="48"/>
      <w:bookmarkStart w:id="49" w:name="_Toc184313247"/>
      <w:bookmarkEnd w:id="49"/>
      <w:bookmarkStart w:id="50" w:name="_Toc184313279"/>
      <w:bookmarkEnd w:id="50"/>
      <w:bookmarkStart w:id="51" w:name="_Toc184314416"/>
      <w:bookmarkEnd w:id="51"/>
      <w:bookmarkStart w:id="52" w:name="_Toc184308090"/>
      <w:bookmarkEnd w:id="52"/>
      <w:bookmarkStart w:id="53" w:name="_Toc184314442"/>
      <w:bookmarkEnd w:id="53"/>
      <w:bookmarkStart w:id="54" w:name="_Toc184313288"/>
      <w:bookmarkEnd w:id="54"/>
      <w:bookmarkStart w:id="55" w:name="_Toc184314427"/>
      <w:bookmarkEnd w:id="55"/>
      <w:bookmarkStart w:id="56" w:name="_Toc184308043"/>
      <w:bookmarkEnd w:id="56"/>
      <w:bookmarkStart w:id="57" w:name="_Toc184312074"/>
      <w:bookmarkEnd w:id="57"/>
      <w:bookmarkStart w:id="58" w:name="_Toc184310316"/>
      <w:bookmarkEnd w:id="58"/>
      <w:bookmarkStart w:id="59" w:name="_Toc184314430"/>
      <w:bookmarkEnd w:id="59"/>
      <w:bookmarkStart w:id="60" w:name="_Toc184314435"/>
      <w:bookmarkEnd w:id="60"/>
      <w:bookmarkStart w:id="61" w:name="_Toc184314439"/>
      <w:bookmarkEnd w:id="61"/>
      <w:bookmarkStart w:id="62" w:name="_Toc184314421"/>
      <w:bookmarkEnd w:id="62"/>
      <w:bookmarkStart w:id="63" w:name="_Toc184313267"/>
      <w:bookmarkEnd w:id="63"/>
      <w:bookmarkStart w:id="64" w:name="_Toc184312094"/>
      <w:bookmarkEnd w:id="64"/>
      <w:bookmarkStart w:id="65" w:name="_Toc184313302"/>
      <w:bookmarkEnd w:id="65"/>
      <w:bookmarkStart w:id="66" w:name="_Toc184312103"/>
      <w:bookmarkEnd w:id="66"/>
      <w:bookmarkStart w:id="67" w:name="_Toc184313259"/>
      <w:bookmarkEnd w:id="67"/>
      <w:bookmarkStart w:id="68" w:name="_Toc184310332"/>
      <w:bookmarkEnd w:id="68"/>
      <w:bookmarkStart w:id="69" w:name="_Toc184310308"/>
      <w:bookmarkEnd w:id="69"/>
      <w:bookmarkStart w:id="70" w:name="_Toc184310299"/>
      <w:bookmarkEnd w:id="70"/>
      <w:bookmarkStart w:id="71" w:name="_Toc184308075"/>
      <w:bookmarkEnd w:id="71"/>
      <w:bookmarkStart w:id="72" w:name="_Toc184308038"/>
      <w:bookmarkEnd w:id="72"/>
      <w:bookmarkStart w:id="73" w:name="_Toc184313287"/>
      <w:bookmarkEnd w:id="73"/>
      <w:bookmarkStart w:id="74" w:name="_Toc184313252"/>
      <w:bookmarkEnd w:id="74"/>
      <w:bookmarkStart w:id="75" w:name="_Toc184312129"/>
      <w:bookmarkEnd w:id="75"/>
      <w:bookmarkStart w:id="76" w:name="_Toc184314469"/>
      <w:bookmarkEnd w:id="76"/>
      <w:bookmarkStart w:id="77" w:name="_Toc184308085"/>
      <w:bookmarkEnd w:id="77"/>
      <w:bookmarkStart w:id="78" w:name="_Toc184313300"/>
      <w:bookmarkEnd w:id="78"/>
      <w:bookmarkStart w:id="79" w:name="_Toc184314462"/>
      <w:bookmarkEnd w:id="79"/>
      <w:bookmarkStart w:id="80" w:name="_Toc184312128"/>
      <w:bookmarkEnd w:id="80"/>
      <w:bookmarkStart w:id="81" w:name="_Toc184308051"/>
      <w:bookmarkEnd w:id="81"/>
      <w:bookmarkStart w:id="82" w:name="_Toc184312119"/>
      <w:bookmarkEnd w:id="82"/>
      <w:bookmarkStart w:id="83" w:name="_Toc184314465"/>
      <w:bookmarkEnd w:id="83"/>
      <w:bookmarkStart w:id="84" w:name="_Toc184314463"/>
      <w:bookmarkEnd w:id="84"/>
      <w:bookmarkStart w:id="85" w:name="_Toc184312136"/>
      <w:bookmarkEnd w:id="85"/>
      <w:bookmarkStart w:id="86" w:name="_Toc184308046"/>
      <w:bookmarkEnd w:id="86"/>
      <w:bookmarkStart w:id="87" w:name="_Toc184310301"/>
      <w:bookmarkEnd w:id="87"/>
      <w:bookmarkStart w:id="88" w:name="_Toc184310294"/>
      <w:bookmarkEnd w:id="88"/>
      <w:bookmarkStart w:id="89" w:name="_Toc184308039"/>
      <w:bookmarkEnd w:id="89"/>
      <w:bookmarkStart w:id="90" w:name="_Toc184308067"/>
      <w:bookmarkEnd w:id="90"/>
      <w:bookmarkStart w:id="91" w:name="_Toc184308081"/>
      <w:bookmarkEnd w:id="91"/>
      <w:bookmarkStart w:id="92" w:name="_Toc184310326"/>
      <w:bookmarkEnd w:id="92"/>
      <w:bookmarkStart w:id="93" w:name="_Toc184308100"/>
      <w:bookmarkEnd w:id="93"/>
      <w:bookmarkStart w:id="94" w:name="_Toc184314458"/>
      <w:bookmarkEnd w:id="94"/>
      <w:bookmarkStart w:id="95" w:name="_Toc184308065"/>
      <w:bookmarkEnd w:id="95"/>
      <w:bookmarkStart w:id="96" w:name="_Toc184314454"/>
      <w:bookmarkEnd w:id="96"/>
      <w:bookmarkStart w:id="97" w:name="_Toc184312139"/>
      <w:bookmarkEnd w:id="97"/>
      <w:bookmarkStart w:id="98" w:name="_Toc184313248"/>
      <w:bookmarkEnd w:id="98"/>
      <w:bookmarkStart w:id="99" w:name="_Toc184312077"/>
      <w:bookmarkEnd w:id="99"/>
      <w:bookmarkStart w:id="100" w:name="_Toc184314429"/>
      <w:bookmarkEnd w:id="100"/>
      <w:bookmarkStart w:id="101" w:name="_Toc184314420"/>
      <w:bookmarkEnd w:id="101"/>
      <w:bookmarkStart w:id="102" w:name="_Toc184312095"/>
      <w:bookmarkEnd w:id="102"/>
      <w:bookmarkStart w:id="103" w:name="_Toc184312138"/>
      <w:bookmarkEnd w:id="103"/>
      <w:bookmarkStart w:id="104" w:name="_Toc184312125"/>
      <w:bookmarkEnd w:id="104"/>
      <w:bookmarkStart w:id="105" w:name="_Toc184312107"/>
      <w:bookmarkEnd w:id="105"/>
      <w:bookmarkStart w:id="106" w:name="_Toc184310320"/>
      <w:bookmarkEnd w:id="106"/>
      <w:bookmarkStart w:id="107" w:name="_Toc184313276"/>
      <w:bookmarkEnd w:id="107"/>
      <w:bookmarkStart w:id="108" w:name="_Toc184314445"/>
      <w:bookmarkEnd w:id="108"/>
      <w:bookmarkStart w:id="109" w:name="_Toc184308079"/>
      <w:bookmarkEnd w:id="109"/>
      <w:bookmarkStart w:id="110" w:name="_Toc184314455"/>
      <w:bookmarkEnd w:id="110"/>
      <w:bookmarkStart w:id="111" w:name="_Toc184312079"/>
      <w:bookmarkEnd w:id="111"/>
      <w:bookmarkStart w:id="112" w:name="_Toc184314452"/>
      <w:bookmarkEnd w:id="112"/>
      <w:bookmarkStart w:id="113" w:name="_Toc184308072"/>
      <w:bookmarkEnd w:id="113"/>
      <w:bookmarkStart w:id="114" w:name="_Toc184313255"/>
      <w:bookmarkEnd w:id="114"/>
      <w:bookmarkStart w:id="115" w:name="_Toc184308057"/>
      <w:bookmarkEnd w:id="115"/>
      <w:bookmarkStart w:id="116" w:name="_Toc184313280"/>
      <w:bookmarkEnd w:id="116"/>
      <w:bookmarkStart w:id="117" w:name="_Toc184314446"/>
      <w:bookmarkEnd w:id="117"/>
      <w:bookmarkStart w:id="118" w:name="_Toc184314431"/>
      <w:bookmarkEnd w:id="118"/>
      <w:bookmarkStart w:id="119" w:name="_Toc184310293"/>
      <w:bookmarkEnd w:id="119"/>
      <w:bookmarkStart w:id="120" w:name="_Toc184314466"/>
      <w:bookmarkEnd w:id="120"/>
      <w:bookmarkStart w:id="121" w:name="_Toc184312115"/>
      <w:bookmarkEnd w:id="121"/>
      <w:bookmarkStart w:id="122" w:name="_Toc184310344"/>
      <w:bookmarkEnd w:id="122"/>
      <w:bookmarkStart w:id="123" w:name="_Toc184308048"/>
      <w:bookmarkEnd w:id="123"/>
      <w:bookmarkStart w:id="124" w:name="_Toc184314479"/>
      <w:bookmarkEnd w:id="124"/>
      <w:bookmarkStart w:id="125" w:name="_Toc184312071"/>
      <w:bookmarkEnd w:id="125"/>
      <w:bookmarkStart w:id="126" w:name="_Toc184313294"/>
      <w:bookmarkEnd w:id="126"/>
      <w:bookmarkStart w:id="127" w:name="_Toc184313310"/>
      <w:bookmarkEnd w:id="127"/>
      <w:bookmarkStart w:id="128" w:name="_Toc184308107"/>
      <w:bookmarkEnd w:id="128"/>
      <w:bookmarkStart w:id="129" w:name="_Toc184314433"/>
      <w:bookmarkEnd w:id="129"/>
      <w:bookmarkStart w:id="130" w:name="_Toc184313282"/>
      <w:bookmarkEnd w:id="130"/>
      <w:bookmarkStart w:id="131" w:name="_Toc184313304"/>
      <w:bookmarkEnd w:id="131"/>
      <w:bookmarkStart w:id="132" w:name="_Toc184308092"/>
      <w:bookmarkEnd w:id="132"/>
      <w:bookmarkStart w:id="133" w:name="_Toc184314418"/>
      <w:bookmarkEnd w:id="133"/>
      <w:bookmarkStart w:id="134" w:name="_Toc184312089"/>
      <w:bookmarkEnd w:id="134"/>
      <w:bookmarkStart w:id="135" w:name="_Toc184314449"/>
      <w:bookmarkEnd w:id="135"/>
      <w:bookmarkStart w:id="136" w:name="_Toc184310324"/>
      <w:bookmarkEnd w:id="136"/>
      <w:bookmarkStart w:id="137" w:name="_Toc184314440"/>
      <w:bookmarkEnd w:id="137"/>
      <w:bookmarkStart w:id="138" w:name="_Toc184312076"/>
      <w:bookmarkEnd w:id="138"/>
      <w:bookmarkStart w:id="139" w:name="_Toc184310303"/>
      <w:bookmarkEnd w:id="139"/>
      <w:bookmarkStart w:id="140" w:name="_Toc184308094"/>
      <w:bookmarkEnd w:id="140"/>
      <w:bookmarkStart w:id="141" w:name="_Toc184313301"/>
      <w:bookmarkEnd w:id="141"/>
      <w:bookmarkStart w:id="142" w:name="_Toc184314480"/>
      <w:bookmarkEnd w:id="142"/>
      <w:bookmarkStart w:id="143" w:name="_Toc184313306"/>
      <w:bookmarkEnd w:id="143"/>
      <w:bookmarkStart w:id="144" w:name="_Toc184314448"/>
      <w:bookmarkEnd w:id="144"/>
      <w:bookmarkStart w:id="145" w:name="_Toc184314471"/>
      <w:bookmarkEnd w:id="145"/>
      <w:bookmarkStart w:id="146" w:name="_Toc184313239"/>
      <w:bookmarkEnd w:id="146"/>
      <w:bookmarkStart w:id="147" w:name="_Toc184312131"/>
      <w:bookmarkEnd w:id="147"/>
      <w:bookmarkStart w:id="148" w:name="_Toc184312135"/>
      <w:bookmarkEnd w:id="148"/>
      <w:bookmarkStart w:id="149" w:name="_Toc184310305"/>
      <w:bookmarkEnd w:id="149"/>
      <w:bookmarkStart w:id="150" w:name="_Toc184312082"/>
      <w:bookmarkEnd w:id="150"/>
      <w:bookmarkStart w:id="151" w:name="_Toc184308053"/>
      <w:bookmarkEnd w:id="151"/>
      <w:bookmarkStart w:id="152" w:name="_Toc184310282"/>
      <w:bookmarkEnd w:id="152"/>
      <w:bookmarkStart w:id="153" w:name="_Toc184312080"/>
      <w:bookmarkEnd w:id="153"/>
      <w:bookmarkStart w:id="154" w:name="_Toc184312086"/>
      <w:bookmarkEnd w:id="154"/>
      <w:bookmarkStart w:id="155" w:name="_Toc184314419"/>
      <w:bookmarkEnd w:id="155"/>
      <w:bookmarkStart w:id="156" w:name="_Toc184314467"/>
      <w:bookmarkEnd w:id="156"/>
      <w:bookmarkStart w:id="157" w:name="_Toc184312101"/>
      <w:bookmarkEnd w:id="157"/>
      <w:bookmarkStart w:id="158" w:name="_Toc184310319"/>
      <w:bookmarkEnd w:id="158"/>
      <w:bookmarkStart w:id="159" w:name="_Toc184310327"/>
      <w:bookmarkEnd w:id="159"/>
      <w:bookmarkStart w:id="160" w:name="_Toc184312092"/>
      <w:bookmarkEnd w:id="160"/>
      <w:bookmarkStart w:id="161" w:name="_Toc184308105"/>
      <w:bookmarkEnd w:id="161"/>
      <w:bookmarkStart w:id="162" w:name="_Toc184314434"/>
      <w:bookmarkEnd w:id="162"/>
      <w:bookmarkStart w:id="163" w:name="_Toc184310307"/>
      <w:bookmarkEnd w:id="163"/>
      <w:bookmarkStart w:id="164" w:name="_Toc184312098"/>
      <w:bookmarkEnd w:id="164"/>
      <w:bookmarkStart w:id="165" w:name="_Toc184312108"/>
      <w:bookmarkEnd w:id="165"/>
      <w:bookmarkStart w:id="166" w:name="_Toc184310312"/>
      <w:bookmarkEnd w:id="166"/>
      <w:bookmarkStart w:id="167" w:name="_Toc184308106"/>
      <w:bookmarkEnd w:id="167"/>
      <w:bookmarkStart w:id="168" w:name="_Toc184312113"/>
      <w:bookmarkEnd w:id="168"/>
      <w:bookmarkStart w:id="169" w:name="_Toc184314457"/>
      <w:bookmarkEnd w:id="169"/>
      <w:bookmarkStart w:id="170" w:name="_Toc184314461"/>
      <w:bookmarkEnd w:id="170"/>
      <w:bookmarkStart w:id="171" w:name="_Toc184313273"/>
      <w:bookmarkEnd w:id="171"/>
      <w:bookmarkStart w:id="172" w:name="_Toc184314460"/>
      <w:bookmarkEnd w:id="172"/>
      <w:bookmarkStart w:id="173" w:name="_Toc184313249"/>
      <w:bookmarkEnd w:id="173"/>
      <w:bookmarkStart w:id="174" w:name="_Toc184314459"/>
      <w:bookmarkEnd w:id="174"/>
      <w:bookmarkStart w:id="175" w:name="_Toc184313271"/>
      <w:bookmarkEnd w:id="175"/>
      <w:bookmarkStart w:id="176" w:name="_Toc184310343"/>
      <w:bookmarkEnd w:id="176"/>
      <w:bookmarkStart w:id="177" w:name="_Toc184313257"/>
      <w:bookmarkEnd w:id="177"/>
      <w:bookmarkStart w:id="178" w:name="_Toc184313297"/>
      <w:bookmarkEnd w:id="178"/>
      <w:bookmarkStart w:id="179" w:name="_Toc184314438"/>
      <w:bookmarkEnd w:id="179"/>
      <w:bookmarkStart w:id="180" w:name="_Toc184308071"/>
      <w:bookmarkEnd w:id="180"/>
      <w:bookmarkStart w:id="181" w:name="_Toc184314423"/>
      <w:bookmarkEnd w:id="181"/>
      <w:bookmarkStart w:id="182" w:name="_Toc184314410"/>
      <w:bookmarkEnd w:id="182"/>
      <w:bookmarkStart w:id="183" w:name="_Toc184313261"/>
      <w:bookmarkEnd w:id="183"/>
      <w:bookmarkStart w:id="184" w:name="_Toc184308047"/>
      <w:bookmarkEnd w:id="184"/>
      <w:bookmarkStart w:id="185" w:name="_Toc184314441"/>
      <w:bookmarkEnd w:id="185"/>
      <w:bookmarkStart w:id="186" w:name="_Toc184310335"/>
      <w:bookmarkEnd w:id="186"/>
      <w:bookmarkStart w:id="187" w:name="_Toc184308086"/>
      <w:bookmarkEnd w:id="187"/>
      <w:bookmarkStart w:id="188" w:name="_Toc184310334"/>
      <w:bookmarkEnd w:id="188"/>
      <w:bookmarkStart w:id="189" w:name="_Toc184308104"/>
      <w:bookmarkEnd w:id="189"/>
      <w:bookmarkStart w:id="190" w:name="_Toc184310277"/>
      <w:bookmarkEnd w:id="190"/>
      <w:bookmarkStart w:id="191" w:name="_Toc184308049"/>
      <w:bookmarkEnd w:id="191"/>
      <w:bookmarkStart w:id="192" w:name="_Toc184314424"/>
      <w:bookmarkEnd w:id="192"/>
      <w:bookmarkStart w:id="193" w:name="_Toc184308064"/>
      <w:bookmarkEnd w:id="193"/>
      <w:bookmarkStart w:id="194" w:name="_Toc184313246"/>
      <w:bookmarkEnd w:id="194"/>
      <w:bookmarkStart w:id="195" w:name="_Toc184308108"/>
      <w:bookmarkEnd w:id="195"/>
      <w:bookmarkStart w:id="196" w:name="_Toc184312102"/>
      <w:bookmarkEnd w:id="196"/>
      <w:bookmarkStart w:id="197" w:name="_Toc184314472"/>
      <w:bookmarkEnd w:id="197"/>
      <w:bookmarkStart w:id="198" w:name="_Toc184312096"/>
      <w:bookmarkEnd w:id="198"/>
      <w:bookmarkStart w:id="199" w:name="_Toc184312110"/>
      <w:bookmarkEnd w:id="199"/>
      <w:bookmarkStart w:id="200" w:name="_Toc184308095"/>
      <w:bookmarkEnd w:id="200"/>
      <w:bookmarkStart w:id="201" w:name="_Toc184312084"/>
      <w:bookmarkEnd w:id="201"/>
      <w:bookmarkStart w:id="202" w:name="_Toc184313262"/>
      <w:bookmarkEnd w:id="202"/>
      <w:bookmarkStart w:id="203" w:name="_Toc184314481"/>
      <w:bookmarkEnd w:id="203"/>
      <w:bookmarkStart w:id="204" w:name="_Toc184310290"/>
      <w:bookmarkEnd w:id="204"/>
      <w:bookmarkStart w:id="205" w:name="_Toc184313260"/>
      <w:bookmarkEnd w:id="205"/>
      <w:bookmarkStart w:id="206" w:name="_Toc184310338"/>
      <w:bookmarkEnd w:id="206"/>
      <w:bookmarkStart w:id="207" w:name="_Toc184313292"/>
      <w:bookmarkEnd w:id="207"/>
      <w:bookmarkStart w:id="208" w:name="_Toc184312069"/>
      <w:bookmarkEnd w:id="208"/>
      <w:bookmarkStart w:id="209" w:name="_Toc184308061"/>
      <w:bookmarkEnd w:id="209"/>
      <w:bookmarkStart w:id="210" w:name="_Toc184310309"/>
      <w:bookmarkEnd w:id="210"/>
      <w:bookmarkStart w:id="211" w:name="_Toc184313286"/>
      <w:bookmarkEnd w:id="211"/>
      <w:bookmarkStart w:id="212" w:name="_Toc184310278"/>
      <w:bookmarkEnd w:id="212"/>
      <w:bookmarkStart w:id="213" w:name="_Toc184308074"/>
      <w:bookmarkEnd w:id="213"/>
      <w:bookmarkStart w:id="214" w:name="_Toc184310339"/>
      <w:bookmarkEnd w:id="214"/>
      <w:bookmarkStart w:id="215" w:name="_Toc184310275"/>
      <w:bookmarkEnd w:id="215"/>
      <w:bookmarkStart w:id="216" w:name="_Toc184308103"/>
      <w:bookmarkEnd w:id="216"/>
      <w:bookmarkStart w:id="217" w:name="_Toc184312088"/>
      <w:bookmarkEnd w:id="217"/>
      <w:bookmarkStart w:id="218" w:name="_Toc184308058"/>
      <w:bookmarkEnd w:id="218"/>
      <w:bookmarkStart w:id="219" w:name="_Toc184313265"/>
      <w:bookmarkEnd w:id="219"/>
      <w:bookmarkStart w:id="220" w:name="_Toc184310315"/>
      <w:bookmarkEnd w:id="220"/>
      <w:bookmarkStart w:id="221" w:name="_Toc184310328"/>
      <w:bookmarkEnd w:id="221"/>
      <w:bookmarkStart w:id="222" w:name="_Toc184312078"/>
      <w:bookmarkEnd w:id="222"/>
      <w:bookmarkStart w:id="223" w:name="_Toc184308068"/>
      <w:bookmarkEnd w:id="223"/>
      <w:bookmarkStart w:id="224" w:name="_Toc184312081"/>
      <w:bookmarkEnd w:id="224"/>
      <w:bookmarkStart w:id="225" w:name="_Toc184308091"/>
      <w:bookmarkEnd w:id="225"/>
      <w:bookmarkStart w:id="226" w:name="_Toc184312122"/>
      <w:bookmarkEnd w:id="226"/>
      <w:bookmarkStart w:id="227" w:name="_Toc184313307"/>
      <w:bookmarkEnd w:id="227"/>
      <w:bookmarkStart w:id="228" w:name="_Toc184310296"/>
      <w:bookmarkEnd w:id="228"/>
      <w:bookmarkStart w:id="229" w:name="_Toc184314482"/>
      <w:bookmarkEnd w:id="229"/>
      <w:bookmarkStart w:id="230" w:name="_Toc184314432"/>
      <w:bookmarkEnd w:id="230"/>
      <w:bookmarkStart w:id="231" w:name="_Toc184314413"/>
      <w:bookmarkEnd w:id="231"/>
      <w:bookmarkStart w:id="232" w:name="_Toc184313289"/>
      <w:bookmarkEnd w:id="232"/>
      <w:bookmarkStart w:id="233" w:name="_Toc184308052"/>
      <w:bookmarkEnd w:id="233"/>
      <w:bookmarkStart w:id="234" w:name="_Toc184310331"/>
      <w:bookmarkEnd w:id="234"/>
      <w:bookmarkStart w:id="235" w:name="_Toc184312093"/>
      <w:bookmarkEnd w:id="235"/>
      <w:bookmarkStart w:id="236" w:name="_Toc184308084"/>
      <w:bookmarkEnd w:id="236"/>
      <w:bookmarkStart w:id="237" w:name="_Toc184313309"/>
      <w:bookmarkEnd w:id="237"/>
      <w:bookmarkStart w:id="238" w:name="_Toc184313258"/>
      <w:bookmarkEnd w:id="238"/>
      <w:bookmarkStart w:id="239" w:name="_Toc184313268"/>
      <w:bookmarkEnd w:id="239"/>
      <w:bookmarkStart w:id="240" w:name="_Toc184313283"/>
      <w:bookmarkEnd w:id="240"/>
      <w:bookmarkStart w:id="241" w:name="_Toc184310287"/>
      <w:bookmarkEnd w:id="241"/>
      <w:bookmarkStart w:id="242" w:name="_Toc184310329"/>
      <w:bookmarkEnd w:id="242"/>
      <w:bookmarkStart w:id="243" w:name="_Toc184314464"/>
      <w:bookmarkEnd w:id="243"/>
      <w:bookmarkStart w:id="244" w:name="_Toc184308069"/>
      <w:bookmarkEnd w:id="244"/>
      <w:bookmarkStart w:id="245" w:name="_Toc184312133"/>
      <w:bookmarkEnd w:id="245"/>
      <w:bookmarkStart w:id="246" w:name="_Toc184312132"/>
      <w:bookmarkEnd w:id="246"/>
      <w:bookmarkStart w:id="247" w:name="_Toc184313269"/>
      <w:bookmarkEnd w:id="247"/>
      <w:bookmarkStart w:id="248" w:name="_Toc184313240"/>
      <w:bookmarkEnd w:id="248"/>
      <w:bookmarkStart w:id="249" w:name="_Toc184312106"/>
      <w:bookmarkEnd w:id="249"/>
      <w:bookmarkStart w:id="250" w:name="_Toc184312090"/>
      <w:bookmarkEnd w:id="250"/>
      <w:bookmarkStart w:id="251" w:name="_Toc184308101"/>
      <w:bookmarkEnd w:id="251"/>
      <w:bookmarkStart w:id="252" w:name="_Toc184312072"/>
      <w:bookmarkEnd w:id="252"/>
      <w:bookmarkStart w:id="253" w:name="_Toc184313251"/>
      <w:bookmarkEnd w:id="253"/>
      <w:bookmarkStart w:id="254" w:name="_Toc184314437"/>
      <w:bookmarkEnd w:id="254"/>
      <w:bookmarkStart w:id="255" w:name="_Toc184312075"/>
      <w:bookmarkEnd w:id="255"/>
      <w:bookmarkStart w:id="256" w:name="_Toc184314447"/>
      <w:bookmarkEnd w:id="256"/>
      <w:bookmarkStart w:id="257" w:name="_Toc184313244"/>
      <w:bookmarkEnd w:id="257"/>
      <w:bookmarkStart w:id="258" w:name="_Toc184310321"/>
      <w:bookmarkEnd w:id="258"/>
      <w:bookmarkStart w:id="259" w:name="_Toc184310314"/>
      <w:bookmarkEnd w:id="259"/>
      <w:bookmarkStart w:id="260" w:name="_Toc184313250"/>
      <w:bookmarkEnd w:id="260"/>
      <w:bookmarkStart w:id="261" w:name="_Toc184308037"/>
      <w:bookmarkEnd w:id="261"/>
      <w:bookmarkStart w:id="262" w:name="_Toc184310289"/>
      <w:bookmarkEnd w:id="262"/>
      <w:bookmarkStart w:id="263" w:name="_Toc184310336"/>
      <w:bookmarkEnd w:id="263"/>
      <w:bookmarkStart w:id="264" w:name="_Toc184310292"/>
      <w:bookmarkEnd w:id="264"/>
      <w:bookmarkStart w:id="265" w:name="_Toc184310317"/>
      <w:bookmarkEnd w:id="265"/>
      <w:bookmarkStart w:id="266" w:name="_Toc184314428"/>
      <w:bookmarkEnd w:id="266"/>
      <w:bookmarkStart w:id="267" w:name="_Toc184314468"/>
      <w:bookmarkEnd w:id="267"/>
      <w:bookmarkStart w:id="268" w:name="_Toc184312111"/>
      <w:bookmarkEnd w:id="268"/>
      <w:bookmarkStart w:id="269" w:name="_Toc184313275"/>
      <w:bookmarkEnd w:id="269"/>
      <w:bookmarkStart w:id="270" w:name="_Toc184313299"/>
      <w:bookmarkEnd w:id="270"/>
      <w:bookmarkStart w:id="271" w:name="_Toc184308087"/>
      <w:bookmarkEnd w:id="271"/>
      <w:bookmarkStart w:id="272" w:name="_Toc184313291"/>
      <w:bookmarkEnd w:id="272"/>
      <w:bookmarkStart w:id="273" w:name="_Toc184314436"/>
      <w:bookmarkEnd w:id="273"/>
      <w:bookmarkStart w:id="274" w:name="_Toc184308041"/>
      <w:bookmarkEnd w:id="274"/>
      <w:bookmarkStart w:id="275" w:name="_Toc184314453"/>
      <w:bookmarkEnd w:id="275"/>
      <w:bookmarkStart w:id="276" w:name="_Toc184308096"/>
      <w:bookmarkEnd w:id="276"/>
      <w:bookmarkStart w:id="277" w:name="_Toc184308066"/>
      <w:bookmarkEnd w:id="277"/>
      <w:bookmarkStart w:id="278" w:name="_Toc184314475"/>
      <w:bookmarkEnd w:id="278"/>
      <w:bookmarkStart w:id="279" w:name="_Toc184308082"/>
      <w:bookmarkEnd w:id="279"/>
      <w:bookmarkStart w:id="280" w:name="_Toc184308077"/>
      <w:bookmarkEnd w:id="280"/>
      <w:bookmarkStart w:id="281" w:name="_Toc184313303"/>
      <w:bookmarkEnd w:id="281"/>
      <w:bookmarkStart w:id="282" w:name="_Toc184312083"/>
      <w:bookmarkEnd w:id="282"/>
      <w:bookmarkStart w:id="283" w:name="_Toc184313263"/>
      <w:bookmarkEnd w:id="283"/>
      <w:bookmarkStart w:id="284" w:name="_Toc184310318"/>
      <w:bookmarkEnd w:id="284"/>
      <w:bookmarkStart w:id="285" w:name="_Toc184313253"/>
      <w:bookmarkEnd w:id="285"/>
      <w:bookmarkStart w:id="286" w:name="_Toc184308093"/>
      <w:bookmarkEnd w:id="286"/>
      <w:bookmarkStart w:id="287" w:name="_Toc184310302"/>
      <w:bookmarkEnd w:id="287"/>
      <w:bookmarkStart w:id="288" w:name="_Toc184312091"/>
      <w:bookmarkEnd w:id="288"/>
      <w:bookmarkStart w:id="289" w:name="_Toc184312130"/>
      <w:bookmarkEnd w:id="289"/>
      <w:bookmarkStart w:id="290" w:name="_Toc184313254"/>
      <w:bookmarkEnd w:id="290"/>
      <w:bookmarkStart w:id="291" w:name="_Toc184308063"/>
      <w:bookmarkEnd w:id="291"/>
      <w:bookmarkStart w:id="292" w:name="_Toc184313290"/>
      <w:bookmarkEnd w:id="292"/>
      <w:bookmarkStart w:id="293" w:name="_Toc184310276"/>
      <w:bookmarkEnd w:id="293"/>
      <w:bookmarkStart w:id="294" w:name="_Toc184310298"/>
      <w:bookmarkEnd w:id="294"/>
      <w:bookmarkStart w:id="295" w:name="_Toc184308088"/>
      <w:bookmarkEnd w:id="295"/>
      <w:bookmarkStart w:id="296" w:name="_Toc184313277"/>
      <w:bookmarkEnd w:id="296"/>
      <w:bookmarkStart w:id="297" w:name="_Toc184313285"/>
      <w:bookmarkEnd w:id="297"/>
      <w:bookmarkStart w:id="298" w:name="_Toc184310300"/>
      <w:bookmarkEnd w:id="298"/>
      <w:bookmarkStart w:id="299" w:name="_Toc184308083"/>
      <w:bookmarkEnd w:id="299"/>
      <w:bookmarkStart w:id="300" w:name="_Toc184310323"/>
      <w:bookmarkEnd w:id="300"/>
      <w:bookmarkStart w:id="301" w:name="_Toc184312121"/>
      <w:bookmarkEnd w:id="301"/>
      <w:bookmarkStart w:id="302" w:name="_Toc184312099"/>
      <w:bookmarkEnd w:id="302"/>
      <w:bookmarkStart w:id="303" w:name="_Toc184308055"/>
      <w:bookmarkEnd w:id="303"/>
      <w:bookmarkStart w:id="304" w:name="_Toc184314476"/>
      <w:bookmarkEnd w:id="304"/>
      <w:bookmarkStart w:id="305" w:name="_Toc184310284"/>
      <w:bookmarkEnd w:id="305"/>
      <w:bookmarkStart w:id="306" w:name="_Toc184313270"/>
      <w:bookmarkEnd w:id="306"/>
      <w:bookmarkStart w:id="307" w:name="_Toc184310313"/>
      <w:bookmarkEnd w:id="307"/>
      <w:bookmarkStart w:id="308" w:name="_Toc184314444"/>
      <w:bookmarkEnd w:id="308"/>
      <w:bookmarkStart w:id="309" w:name="_Toc184310322"/>
      <w:bookmarkEnd w:id="309"/>
      <w:bookmarkStart w:id="310" w:name="_Toc184308054"/>
      <w:bookmarkEnd w:id="310"/>
      <w:bookmarkStart w:id="311" w:name="_Toc184313308"/>
      <w:bookmarkEnd w:id="311"/>
      <w:bookmarkStart w:id="312" w:name="_Toc184313241"/>
      <w:bookmarkEnd w:id="312"/>
      <w:bookmarkStart w:id="313" w:name="_Toc184310291"/>
      <w:bookmarkEnd w:id="313"/>
      <w:bookmarkStart w:id="314" w:name="_Toc184308045"/>
      <w:bookmarkEnd w:id="314"/>
      <w:bookmarkStart w:id="315" w:name="_Toc184308098"/>
      <w:bookmarkEnd w:id="315"/>
      <w:bookmarkStart w:id="316" w:name="_Toc184313256"/>
      <w:bookmarkEnd w:id="316"/>
      <w:bookmarkStart w:id="317" w:name="_Toc184314473"/>
      <w:bookmarkEnd w:id="317"/>
      <w:bookmarkStart w:id="318" w:name="_Toc184310285"/>
      <w:bookmarkEnd w:id="318"/>
      <w:bookmarkStart w:id="319" w:name="_Toc184314425"/>
      <w:bookmarkEnd w:id="319"/>
      <w:bookmarkStart w:id="320" w:name="_Toc184314412"/>
      <w:bookmarkEnd w:id="320"/>
      <w:bookmarkStart w:id="321" w:name="_Toc184313284"/>
      <w:bookmarkEnd w:id="321"/>
      <w:bookmarkStart w:id="322" w:name="_Toc184310297"/>
      <w:bookmarkEnd w:id="322"/>
      <w:bookmarkStart w:id="323" w:name="_Toc184310306"/>
      <w:bookmarkEnd w:id="323"/>
      <w:bookmarkStart w:id="324" w:name="_Toc184314470"/>
      <w:bookmarkEnd w:id="324"/>
      <w:bookmarkStart w:id="325" w:name="_Toc184314443"/>
      <w:bookmarkEnd w:id="325"/>
      <w:bookmarkStart w:id="326" w:name="_Toc184308044"/>
      <w:bookmarkEnd w:id="326"/>
      <w:bookmarkStart w:id="327" w:name="_Toc184310304"/>
      <w:bookmarkEnd w:id="327"/>
      <w:bookmarkStart w:id="328" w:name="_Toc184308073"/>
      <w:bookmarkEnd w:id="328"/>
      <w:bookmarkStart w:id="329" w:name="_Toc184310330"/>
      <w:bookmarkEnd w:id="329"/>
      <w:bookmarkStart w:id="330" w:name="_Toc184308056"/>
      <w:bookmarkEnd w:id="330"/>
      <w:bookmarkStart w:id="331" w:name="_Toc184313278"/>
      <w:bookmarkEnd w:id="331"/>
      <w:bookmarkStart w:id="332" w:name="_Toc184314422"/>
      <w:bookmarkEnd w:id="332"/>
      <w:bookmarkStart w:id="333" w:name="_Toc184308050"/>
      <w:bookmarkEnd w:id="333"/>
      <w:bookmarkStart w:id="334" w:name="_Toc184313266"/>
      <w:bookmarkEnd w:id="334"/>
      <w:bookmarkStart w:id="335" w:name="_Toc184313296"/>
      <w:bookmarkEnd w:id="335"/>
      <w:bookmarkStart w:id="336" w:name="_Toc184310342"/>
      <w:bookmarkEnd w:id="336"/>
      <w:bookmarkStart w:id="337" w:name="_Toc184314477"/>
      <w:bookmarkEnd w:id="337"/>
      <w:bookmarkStart w:id="338" w:name="_Toc184308059"/>
      <w:bookmarkEnd w:id="338"/>
      <w:bookmarkStart w:id="339" w:name="_Toc184314474"/>
      <w:bookmarkEnd w:id="339"/>
      <w:bookmarkStart w:id="340" w:name="_Toc184312112"/>
      <w:bookmarkEnd w:id="340"/>
      <w:bookmarkStart w:id="341" w:name="_Toc184308080"/>
      <w:bookmarkEnd w:id="341"/>
      <w:bookmarkStart w:id="342" w:name="_Toc184310283"/>
      <w:bookmarkEnd w:id="342"/>
      <w:bookmarkStart w:id="343" w:name="_Toc184310295"/>
      <w:bookmarkEnd w:id="343"/>
      <w:bookmarkStart w:id="344" w:name="_Toc184314417"/>
      <w:bookmarkEnd w:id="344"/>
      <w:bookmarkStart w:id="345" w:name="_Toc184310341"/>
      <w:bookmarkEnd w:id="345"/>
      <w:bookmarkStart w:id="346" w:name="_Toc184312123"/>
      <w:bookmarkEnd w:id="346"/>
      <w:bookmarkStart w:id="347" w:name="_Toc184314411"/>
      <w:bookmarkEnd w:id="347"/>
      <w:bookmarkStart w:id="348" w:name="_Toc184308076"/>
      <w:bookmarkEnd w:id="348"/>
      <w:bookmarkStart w:id="349" w:name="_Toc184310272"/>
      <w:bookmarkEnd w:id="349"/>
      <w:bookmarkStart w:id="350" w:name="_Toc184313243"/>
      <w:bookmarkEnd w:id="350"/>
      <w:bookmarkStart w:id="351" w:name="_Toc184310279"/>
      <w:bookmarkEnd w:id="351"/>
      <w:bookmarkStart w:id="352" w:name="_Toc184312097"/>
      <w:bookmarkEnd w:id="352"/>
      <w:bookmarkStart w:id="353" w:name="_Toc184314451"/>
      <w:bookmarkEnd w:id="353"/>
      <w:bookmarkStart w:id="354" w:name="_Toc184314426"/>
      <w:bookmarkEnd w:id="354"/>
      <w:bookmarkStart w:id="355" w:name="_Toc184313272"/>
      <w:bookmarkEnd w:id="355"/>
      <w:bookmarkStart w:id="356" w:name="_Toc184314478"/>
      <w:bookmarkEnd w:id="356"/>
      <w:bookmarkStart w:id="357" w:name="_Toc184312100"/>
      <w:bookmarkEnd w:id="357"/>
      <w:bookmarkStart w:id="358" w:name="_Toc184308102"/>
      <w:bookmarkEnd w:id="358"/>
      <w:bookmarkStart w:id="359" w:name="_Toc184312104"/>
      <w:bookmarkEnd w:id="359"/>
      <w:bookmarkStart w:id="360" w:name="_Toc184308070"/>
      <w:bookmarkEnd w:id="360"/>
      <w:bookmarkStart w:id="361" w:name="_Toc184310340"/>
      <w:bookmarkEnd w:id="361"/>
      <w:bookmarkStart w:id="362" w:name="_Toc184310325"/>
      <w:bookmarkEnd w:id="362"/>
      <w:bookmarkStart w:id="363" w:name="_Toc184312116"/>
      <w:bookmarkEnd w:id="363"/>
      <w:bookmarkStart w:id="364" w:name="_Toc184314415"/>
      <w:bookmarkEnd w:id="364"/>
      <w:bookmarkStart w:id="365" w:name="_Toc184313245"/>
      <w:bookmarkEnd w:id="365"/>
      <w:bookmarkStart w:id="366" w:name="_Toc184313295"/>
      <w:bookmarkEnd w:id="366"/>
      <w:bookmarkStart w:id="367" w:name="_Toc184312070"/>
      <w:bookmarkEnd w:id="367"/>
      <w:bookmarkStart w:id="368" w:name="_Toc184310273"/>
      <w:bookmarkEnd w:id="368"/>
      <w:bookmarkStart w:id="369" w:name="_Toc184308089"/>
      <w:bookmarkEnd w:id="369"/>
      <w:bookmarkStart w:id="370" w:name="_Toc184310310"/>
      <w:bookmarkEnd w:id="370"/>
      <w:bookmarkStart w:id="371" w:name="_Toc184312126"/>
      <w:bookmarkEnd w:id="371"/>
      <w:bookmarkStart w:id="372" w:name="_Toc184313238"/>
      <w:bookmarkEnd w:id="372"/>
      <w:bookmarkStart w:id="373" w:name="_Toc184310286"/>
      <w:bookmarkEnd w:id="373"/>
      <w:bookmarkStart w:id="374" w:name="_Toc184313274"/>
      <w:bookmarkEnd w:id="374"/>
      <w:bookmarkStart w:id="375" w:name="_Toc184312085"/>
      <w:bookmarkEnd w:id="375"/>
      <w:bookmarkStart w:id="376" w:name="_Toc184312124"/>
      <w:bookmarkEnd w:id="376"/>
      <w:bookmarkStart w:id="377" w:name="_Toc184313305"/>
      <w:bookmarkEnd w:id="377"/>
      <w:bookmarkStart w:id="378" w:name="_Toc184310281"/>
      <w:bookmarkEnd w:id="378"/>
      <w:bookmarkStart w:id="379" w:name="_Toc184312134"/>
      <w:bookmarkEnd w:id="379"/>
      <w:bookmarkStart w:id="380" w:name="_Toc184312087"/>
      <w:bookmarkEnd w:id="380"/>
      <w:bookmarkStart w:id="381" w:name="_Toc184308040"/>
      <w:bookmarkEnd w:id="381"/>
      <w:bookmarkStart w:id="382" w:name="_Toc184308078"/>
      <w:bookmarkEnd w:id="382"/>
      <w:bookmarkStart w:id="383" w:name="_Toc184310311"/>
      <w:bookmarkEnd w:id="383"/>
      <w:bookmarkStart w:id="384" w:name="_Toc184310337"/>
      <w:bookmarkEnd w:id="384"/>
      <w:bookmarkStart w:id="385" w:name="_Toc184312117"/>
      <w:bookmarkEnd w:id="385"/>
      <w:bookmarkStart w:id="386" w:name="_Toc184308060"/>
      <w:bookmarkEnd w:id="386"/>
      <w:bookmarkStart w:id="387" w:name="_Toc184313293"/>
      <w:bookmarkEnd w:id="387"/>
      <w:bookmarkStart w:id="388" w:name="_Toc184312073"/>
      <w:bookmarkEnd w:id="388"/>
      <w:bookmarkStart w:id="389" w:name="_Toc184312137"/>
      <w:bookmarkEnd w:id="389"/>
      <w:bookmarkStart w:id="390" w:name="_Toc184312120"/>
      <w:bookmarkEnd w:id="390"/>
      <w:bookmarkStart w:id="391" w:name="_Toc184313298"/>
      <w:bookmarkEnd w:id="391"/>
      <w:bookmarkStart w:id="392" w:name="_Toc184312127"/>
      <w:bookmarkEnd w:id="392"/>
      <w:bookmarkStart w:id="393" w:name="_Toc184308099"/>
      <w:bookmarkEnd w:id="393"/>
      <w:bookmarkStart w:id="394" w:name="_Toc184308036"/>
      <w:bookmarkEnd w:id="394"/>
      <w:bookmarkStart w:id="395" w:name="_Toc184312105"/>
      <w:bookmarkEnd w:id="395"/>
      <w:bookmarkStart w:id="396" w:name="_Toc184312068"/>
      <w:bookmarkEnd w:id="396"/>
      <w:bookmarkStart w:id="397" w:name="_Toc184313281"/>
      <w:bookmarkEnd w:id="397"/>
      <w:bookmarkStart w:id="398" w:name="_Toc184312118"/>
      <w:bookmarkEnd w:id="398"/>
      <w:r>
        <w:rPr>
          <w:rFonts w:hint="eastAsia" w:ascii="宋体" w:hAnsi="宋体" w:cs="宋体"/>
          <w:b/>
          <w:color w:val="auto"/>
          <w:sz w:val="36"/>
          <w:szCs w:val="20"/>
          <w:highlight w:val="none"/>
        </w:rPr>
        <w:t xml:space="preserve"> 评审办法</w:t>
      </w:r>
      <w:bookmarkEnd w:id="33"/>
    </w:p>
    <w:p w14:paraId="3859D60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584"/>
        <w:gridCol w:w="6788"/>
        <w:gridCol w:w="600"/>
        <w:gridCol w:w="387"/>
        <w:gridCol w:w="718"/>
      </w:tblGrid>
      <w:tr w14:paraId="65E1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8" w:type="pct"/>
            <w:gridSpan w:val="3"/>
            <w:vAlign w:val="center"/>
          </w:tcPr>
          <w:p w14:paraId="40005990">
            <w:pPr>
              <w:snapToGrid w:val="0"/>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评分内容</w:t>
            </w:r>
          </w:p>
        </w:tc>
        <w:tc>
          <w:tcPr>
            <w:tcW w:w="313" w:type="pct"/>
            <w:vAlign w:val="center"/>
          </w:tcPr>
          <w:p w14:paraId="20725108">
            <w:pPr>
              <w:snapToGrid w:val="0"/>
              <w:jc w:val="center"/>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分值</w:t>
            </w:r>
          </w:p>
        </w:tc>
        <w:tc>
          <w:tcPr>
            <w:tcW w:w="202" w:type="pct"/>
            <w:vAlign w:val="center"/>
          </w:tcPr>
          <w:p w14:paraId="2635B740">
            <w:pPr>
              <w:snapToGrid w:val="0"/>
              <w:jc w:val="center"/>
              <w:outlineLvl w:val="0"/>
              <w:rPr>
                <w:rFonts w:hint="eastAsia" w:ascii="宋体" w:hAnsi="宋体" w:eastAsia="宋体" w:cs="宋体"/>
                <w:b/>
                <w:bCs w:val="0"/>
                <w:color w:val="auto"/>
                <w:sz w:val="21"/>
                <w:szCs w:val="21"/>
                <w:highlight w:val="none"/>
                <w:lang w:val="en-US" w:eastAsia="zh-CN"/>
              </w:rPr>
            </w:pPr>
            <w:bookmarkStart w:id="399" w:name="_Toc22544"/>
            <w:r>
              <w:rPr>
                <w:rFonts w:hint="eastAsia" w:ascii="宋体" w:hAnsi="宋体" w:eastAsia="宋体" w:cs="宋体"/>
                <w:b/>
                <w:bCs w:val="0"/>
                <w:color w:val="auto"/>
                <w:sz w:val="21"/>
                <w:szCs w:val="21"/>
                <w:highlight w:val="none"/>
                <w:lang w:val="en-US" w:eastAsia="zh-CN"/>
              </w:rPr>
              <w:t>备注</w:t>
            </w:r>
            <w:bookmarkEnd w:id="399"/>
          </w:p>
        </w:tc>
        <w:tc>
          <w:tcPr>
            <w:tcW w:w="375" w:type="pct"/>
            <w:vAlign w:val="center"/>
          </w:tcPr>
          <w:p w14:paraId="43FBF95E">
            <w:pPr>
              <w:snapToGrid w:val="0"/>
              <w:jc w:val="center"/>
              <w:outlineLvl w:val="0"/>
              <w:rPr>
                <w:rFonts w:hint="eastAsia" w:ascii="宋体" w:hAnsi="宋体" w:eastAsia="宋体" w:cs="宋体"/>
                <w:b/>
                <w:bCs w:val="0"/>
                <w:color w:val="auto"/>
                <w:sz w:val="21"/>
                <w:szCs w:val="21"/>
                <w:highlight w:val="none"/>
              </w:rPr>
            </w:pPr>
            <w:bookmarkStart w:id="400" w:name="_Toc7113"/>
            <w:r>
              <w:rPr>
                <w:rFonts w:hint="eastAsia" w:ascii="宋体" w:hAnsi="宋体" w:eastAsia="宋体" w:cs="宋体"/>
                <w:b/>
                <w:bCs w:val="0"/>
                <w:color w:val="auto"/>
                <w:sz w:val="21"/>
                <w:szCs w:val="21"/>
                <w:highlight w:val="none"/>
              </w:rPr>
              <w:t>响应文件中评审标准相应的商务技术资料目录</w:t>
            </w:r>
            <w:bookmarkEnd w:id="400"/>
          </w:p>
        </w:tc>
      </w:tr>
      <w:tr w14:paraId="7FBA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restart"/>
            <w:vAlign w:val="center"/>
          </w:tcPr>
          <w:p w14:paraId="689BA6EC">
            <w:pPr>
              <w:adjustRightInd/>
              <w:spacing w:line="360" w:lineRule="auto"/>
              <w:jc w:val="center"/>
              <w:rPr>
                <w:rFonts w:ascii="宋体" w:hAnsi="宋体" w:cs="宋体"/>
                <w:szCs w:val="21"/>
                <w:highlight w:val="none"/>
              </w:rPr>
            </w:pPr>
            <w:bookmarkStart w:id="401" w:name="_Toc25601"/>
            <w:r>
              <w:rPr>
                <w:rFonts w:hint="eastAsia" w:ascii="宋体" w:hAnsi="宋体" w:cs="宋体"/>
                <w:szCs w:val="21"/>
                <w:highlight w:val="none"/>
              </w:rPr>
              <w:t>技术商务分</w:t>
            </w:r>
          </w:p>
          <w:p w14:paraId="01E08D95">
            <w:pPr>
              <w:snapToGrid w:val="0"/>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szCs w:val="21"/>
                <w:highlight w:val="none"/>
              </w:rPr>
              <w:t>90分</w:t>
            </w:r>
          </w:p>
        </w:tc>
        <w:tc>
          <w:tcPr>
            <w:tcW w:w="305" w:type="pct"/>
            <w:vAlign w:val="center"/>
          </w:tcPr>
          <w:p w14:paraId="4B1C1F10">
            <w:pPr>
              <w:snapToGrid w:val="0"/>
              <w:spacing w:line="240" w:lineRule="auto"/>
              <w:jc w:val="center"/>
              <w:outlineLvl w:val="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bookmarkEnd w:id="401"/>
          </w:p>
        </w:tc>
        <w:tc>
          <w:tcPr>
            <w:tcW w:w="3549" w:type="pct"/>
            <w:vAlign w:val="center"/>
          </w:tcPr>
          <w:p w14:paraId="6AE5611A">
            <w:pPr>
              <w:snapToGrid w:val="0"/>
              <w:spacing w:line="240" w:lineRule="auto"/>
              <w:jc w:val="both"/>
              <w:outlineLvl w:val="0"/>
              <w:rPr>
                <w:rFonts w:hint="eastAsia" w:ascii="宋体" w:hAnsi="宋体" w:eastAsia="宋体" w:cs="宋体"/>
                <w:b/>
                <w:bCs/>
                <w:snapToGrid w:val="0"/>
                <w:color w:val="auto"/>
                <w:sz w:val="21"/>
                <w:szCs w:val="21"/>
                <w:highlight w:val="none"/>
                <w:lang w:eastAsia="zh-CN"/>
              </w:rPr>
            </w:pPr>
            <w:bookmarkStart w:id="402" w:name="_Toc10844"/>
            <w:r>
              <w:rPr>
                <w:rFonts w:hint="eastAsia" w:ascii="宋体" w:hAnsi="宋体" w:eastAsia="宋体" w:cs="宋体"/>
                <w:b/>
                <w:bCs/>
                <w:snapToGrid w:val="0"/>
                <w:color w:val="auto"/>
                <w:sz w:val="21"/>
                <w:szCs w:val="21"/>
                <w:highlight w:val="none"/>
                <w:lang w:eastAsia="zh-CN"/>
              </w:rPr>
              <w:t>施工</w:t>
            </w:r>
            <w:r>
              <w:rPr>
                <w:rFonts w:hint="eastAsia" w:ascii="宋体" w:hAnsi="宋体" w:eastAsia="宋体" w:cs="宋体"/>
                <w:b/>
                <w:bCs/>
                <w:snapToGrid w:val="0"/>
                <w:color w:val="auto"/>
                <w:sz w:val="21"/>
                <w:szCs w:val="21"/>
                <w:highlight w:val="none"/>
              </w:rPr>
              <w:t>现场平面布置情况</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bookmarkEnd w:id="402"/>
          </w:p>
          <w:p w14:paraId="33EE2712">
            <w:pPr>
              <w:snapToGrid w:val="0"/>
              <w:spacing w:line="240" w:lineRule="auto"/>
              <w:jc w:val="both"/>
              <w:outlineLvl w:val="0"/>
              <w:rPr>
                <w:rFonts w:hint="eastAsia" w:ascii="宋体" w:hAnsi="宋体" w:eastAsia="宋体" w:cs="宋体"/>
                <w:snapToGrid w:val="0"/>
                <w:color w:val="auto"/>
                <w:sz w:val="21"/>
                <w:szCs w:val="21"/>
                <w:highlight w:val="none"/>
              </w:rPr>
            </w:pPr>
            <w:bookmarkStart w:id="403" w:name="_Toc11956"/>
            <w:r>
              <w:rPr>
                <w:rFonts w:hint="eastAsia" w:ascii="宋体" w:hAnsi="宋体" w:eastAsia="宋体" w:cs="宋体"/>
                <w:snapToGrid w:val="0"/>
                <w:color w:val="auto"/>
                <w:sz w:val="21"/>
                <w:szCs w:val="21"/>
                <w:highlight w:val="none"/>
              </w:rPr>
              <w:t>根据供应商提供的</w:t>
            </w:r>
            <w:r>
              <w:rPr>
                <w:rFonts w:hint="eastAsia" w:ascii="宋体" w:hAnsi="宋体" w:eastAsia="宋体" w:cs="宋体"/>
                <w:snapToGrid w:val="0"/>
                <w:color w:val="auto"/>
                <w:sz w:val="21"/>
                <w:szCs w:val="21"/>
                <w:highlight w:val="none"/>
                <w:lang w:eastAsia="zh-CN"/>
              </w:rPr>
              <w:t>施工</w:t>
            </w:r>
            <w:r>
              <w:rPr>
                <w:rFonts w:hint="eastAsia" w:ascii="宋体" w:hAnsi="宋体" w:eastAsia="宋体" w:cs="宋体"/>
                <w:snapToGrid w:val="0"/>
                <w:color w:val="auto"/>
                <w:sz w:val="21"/>
                <w:szCs w:val="21"/>
                <w:highlight w:val="none"/>
              </w:rPr>
              <w:t>现场平面布置情况</w:t>
            </w:r>
            <w:r>
              <w:rPr>
                <w:rFonts w:hint="eastAsia" w:ascii="宋体" w:hAnsi="宋体" w:eastAsia="宋体" w:cs="宋体"/>
                <w:snapToGrid w:val="0"/>
                <w:color w:val="auto"/>
                <w:sz w:val="21"/>
                <w:szCs w:val="21"/>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eastAsia="宋体" w:cs="宋体"/>
                <w:snapToGrid w:val="0"/>
                <w:color w:val="auto"/>
                <w:sz w:val="21"/>
                <w:szCs w:val="21"/>
                <w:highlight w:val="none"/>
              </w:rPr>
              <w:t>进行评议：</w:t>
            </w:r>
            <w:bookmarkEnd w:id="403"/>
          </w:p>
          <w:p w14:paraId="17233012">
            <w:pPr>
              <w:snapToGrid w:val="0"/>
              <w:spacing w:line="240" w:lineRule="auto"/>
              <w:jc w:val="both"/>
              <w:outlineLvl w:val="0"/>
              <w:rPr>
                <w:rFonts w:hint="eastAsia" w:ascii="宋体" w:hAnsi="宋体" w:eastAsia="宋体" w:cs="宋体"/>
                <w:snapToGrid w:val="0"/>
                <w:color w:val="auto"/>
                <w:sz w:val="21"/>
                <w:szCs w:val="21"/>
                <w:highlight w:val="none"/>
              </w:rPr>
            </w:pPr>
            <w:bookmarkStart w:id="404" w:name="_Toc15906"/>
            <w:r>
              <w:rPr>
                <w:rFonts w:hint="eastAsia" w:ascii="宋体" w:hAnsi="宋体" w:eastAsia="宋体" w:cs="宋体"/>
                <w:snapToGrid w:val="0"/>
                <w:color w:val="auto"/>
                <w:sz w:val="21"/>
                <w:szCs w:val="21"/>
                <w:highlight w:val="none"/>
              </w:rPr>
              <w:t>①平面布置方案详实完整，</w:t>
            </w:r>
            <w:r>
              <w:rPr>
                <w:rFonts w:hint="eastAsia" w:ascii="宋体" w:hAnsi="宋体" w:eastAsia="宋体" w:cs="宋体"/>
                <w:snapToGrid w:val="0"/>
                <w:color w:val="auto"/>
                <w:sz w:val="21"/>
                <w:szCs w:val="21"/>
                <w:highlight w:val="none"/>
                <w:lang w:eastAsia="zh-CN"/>
              </w:rPr>
              <w:t>施工现场临时设施布置齐全，施工设备、原材料堆放有序，安全警示醒目，施工现场安全通道、消防设施配备充足，可执行力高</w:t>
            </w:r>
            <w:r>
              <w:rPr>
                <w:rFonts w:hint="eastAsia" w:ascii="宋体" w:hAnsi="宋体" w:eastAsia="宋体" w:cs="宋体"/>
                <w:snapToGrid w:val="0"/>
                <w:color w:val="auto"/>
                <w:sz w:val="21"/>
                <w:szCs w:val="21"/>
                <w:highlight w:val="none"/>
              </w:rPr>
              <w:t>的得</w:t>
            </w:r>
            <w:r>
              <w:rPr>
                <w:rFonts w:hint="eastAsia" w:ascii="宋体" w:hAnsi="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分；</w:t>
            </w:r>
            <w:bookmarkEnd w:id="404"/>
          </w:p>
          <w:p w14:paraId="1B311317">
            <w:pPr>
              <w:snapToGrid w:val="0"/>
              <w:spacing w:line="240" w:lineRule="auto"/>
              <w:jc w:val="both"/>
              <w:outlineLvl w:val="0"/>
              <w:rPr>
                <w:rFonts w:hint="eastAsia" w:ascii="宋体" w:hAnsi="宋体" w:eastAsia="宋体" w:cs="宋体"/>
                <w:snapToGrid w:val="0"/>
                <w:color w:val="auto"/>
                <w:sz w:val="21"/>
                <w:szCs w:val="21"/>
                <w:highlight w:val="none"/>
              </w:rPr>
            </w:pPr>
            <w:bookmarkStart w:id="405" w:name="_Toc4712"/>
            <w:r>
              <w:rPr>
                <w:rFonts w:hint="eastAsia" w:ascii="宋体" w:hAnsi="宋体" w:eastAsia="宋体" w:cs="宋体"/>
                <w:snapToGrid w:val="0"/>
                <w:color w:val="auto"/>
                <w:sz w:val="21"/>
                <w:szCs w:val="21"/>
                <w:highlight w:val="none"/>
              </w:rPr>
              <w:t>②平面布置方案内容充分，较详细，</w:t>
            </w:r>
            <w:r>
              <w:rPr>
                <w:rFonts w:hint="eastAsia" w:ascii="宋体" w:hAnsi="宋体" w:eastAsia="宋体" w:cs="宋体"/>
                <w:snapToGrid w:val="0"/>
                <w:color w:val="auto"/>
                <w:sz w:val="21"/>
                <w:szCs w:val="21"/>
                <w:highlight w:val="none"/>
                <w:lang w:eastAsia="zh-CN"/>
              </w:rPr>
              <w:t>施工现场临时设施布置较齐全，施工设备、原材料堆放较有序，安全警示较醒目，施工现场安全通道、消防设施配备较充足，</w:t>
            </w:r>
            <w:r>
              <w:rPr>
                <w:rFonts w:hint="eastAsia" w:ascii="宋体" w:hAnsi="宋体" w:eastAsia="宋体" w:cs="宋体"/>
                <w:snapToGrid w:val="0"/>
                <w:color w:val="auto"/>
                <w:sz w:val="21"/>
                <w:szCs w:val="21"/>
                <w:highlight w:val="none"/>
              </w:rPr>
              <w:t>可执行力度较高的得</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bookmarkEnd w:id="405"/>
          </w:p>
          <w:p w14:paraId="1A6C8944">
            <w:pPr>
              <w:snapToGrid w:val="0"/>
              <w:spacing w:line="240" w:lineRule="auto"/>
              <w:jc w:val="both"/>
              <w:outlineLvl w:val="0"/>
              <w:rPr>
                <w:rFonts w:hint="eastAsia" w:ascii="宋体" w:hAnsi="宋体" w:eastAsia="宋体" w:cs="宋体"/>
                <w:snapToGrid w:val="0"/>
                <w:color w:val="auto"/>
                <w:sz w:val="21"/>
                <w:szCs w:val="21"/>
                <w:highlight w:val="none"/>
              </w:rPr>
            </w:pPr>
            <w:bookmarkStart w:id="406" w:name="_Toc17940"/>
            <w:r>
              <w:rPr>
                <w:rFonts w:hint="eastAsia" w:ascii="宋体" w:hAnsi="宋体" w:eastAsia="宋体" w:cs="宋体"/>
                <w:snapToGrid w:val="0"/>
                <w:color w:val="auto"/>
                <w:sz w:val="21"/>
                <w:szCs w:val="21"/>
                <w:highlight w:val="none"/>
              </w:rPr>
              <w:t>③平面布置方案内容简单，</w:t>
            </w:r>
            <w:r>
              <w:rPr>
                <w:rFonts w:hint="eastAsia" w:ascii="宋体" w:hAnsi="宋体" w:eastAsia="宋体" w:cs="宋体"/>
                <w:snapToGrid w:val="0"/>
                <w:color w:val="auto"/>
                <w:sz w:val="21"/>
                <w:szCs w:val="21"/>
                <w:highlight w:val="none"/>
                <w:lang w:eastAsia="zh-CN"/>
              </w:rPr>
              <w:t>施工现场临时设施布置缺失，施工设备、原材料堆放混乱，安全警示不醒目，施工现场安全通道、消防设施配备不充足，</w:t>
            </w:r>
            <w:r>
              <w:rPr>
                <w:rFonts w:hint="eastAsia" w:ascii="宋体" w:hAnsi="宋体" w:eastAsia="宋体" w:cs="宋体"/>
                <w:snapToGrid w:val="0"/>
                <w:color w:val="auto"/>
                <w:sz w:val="21"/>
                <w:szCs w:val="21"/>
                <w:highlight w:val="none"/>
              </w:rPr>
              <w:t>可执行力低的得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w:t>
            </w:r>
            <w:bookmarkEnd w:id="406"/>
          </w:p>
          <w:p w14:paraId="01D6691A">
            <w:pPr>
              <w:snapToGrid w:val="0"/>
              <w:spacing w:line="240" w:lineRule="auto"/>
              <w:jc w:val="both"/>
              <w:outlineLvl w:val="0"/>
              <w:rPr>
                <w:rFonts w:hint="eastAsia" w:ascii="宋体" w:hAnsi="宋体" w:eastAsia="宋体" w:cs="宋体"/>
                <w:snapToGrid w:val="0"/>
                <w:color w:val="auto"/>
                <w:sz w:val="21"/>
                <w:szCs w:val="21"/>
                <w:highlight w:val="none"/>
              </w:rPr>
            </w:pPr>
            <w:bookmarkStart w:id="407" w:name="_Toc12548"/>
            <w:r>
              <w:rPr>
                <w:rFonts w:hint="eastAsia" w:ascii="宋体" w:hAnsi="宋体" w:eastAsia="宋体" w:cs="宋体"/>
                <w:snapToGrid w:val="0"/>
                <w:color w:val="auto"/>
                <w:sz w:val="21"/>
                <w:szCs w:val="21"/>
                <w:highlight w:val="none"/>
              </w:rPr>
              <w:t>④未提供施工现场平面布置情况的本项不得分。</w:t>
            </w:r>
            <w:bookmarkEnd w:id="407"/>
          </w:p>
        </w:tc>
        <w:tc>
          <w:tcPr>
            <w:tcW w:w="313" w:type="pct"/>
            <w:vAlign w:val="center"/>
          </w:tcPr>
          <w:p w14:paraId="7E804AF7">
            <w:pPr>
              <w:snapToGrid w:val="0"/>
              <w:spacing w:line="24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202" w:type="pct"/>
            <w:vAlign w:val="center"/>
          </w:tcPr>
          <w:p w14:paraId="70F6CC3D">
            <w:pPr>
              <w:snapToGrid w:val="0"/>
              <w:spacing w:line="240" w:lineRule="auto"/>
              <w:jc w:val="center"/>
              <w:outlineLvl w:val="0"/>
              <w:rPr>
                <w:rFonts w:hint="eastAsia" w:ascii="宋体" w:hAnsi="宋体" w:eastAsia="宋体" w:cs="宋体"/>
                <w:bCs/>
                <w:color w:val="auto"/>
                <w:sz w:val="21"/>
                <w:szCs w:val="21"/>
                <w:highlight w:val="none"/>
                <w:lang w:val="en-US" w:eastAsia="zh-CN"/>
              </w:rPr>
            </w:pPr>
            <w:bookmarkStart w:id="408" w:name="_Toc32346"/>
            <w:r>
              <w:rPr>
                <w:rFonts w:hint="eastAsia" w:ascii="宋体" w:hAnsi="宋体" w:eastAsia="宋体" w:cs="宋体"/>
                <w:bCs/>
                <w:color w:val="auto"/>
                <w:sz w:val="21"/>
                <w:szCs w:val="21"/>
                <w:highlight w:val="none"/>
                <w:lang w:val="en-US" w:eastAsia="zh-CN"/>
              </w:rPr>
              <w:t>主观评审</w:t>
            </w:r>
            <w:bookmarkEnd w:id="408"/>
          </w:p>
        </w:tc>
        <w:tc>
          <w:tcPr>
            <w:tcW w:w="375" w:type="pct"/>
            <w:vAlign w:val="center"/>
          </w:tcPr>
          <w:p w14:paraId="717BF0FE">
            <w:pPr>
              <w:snapToGrid w:val="0"/>
              <w:spacing w:line="240" w:lineRule="auto"/>
              <w:jc w:val="center"/>
              <w:outlineLvl w:val="0"/>
              <w:rPr>
                <w:rFonts w:hint="eastAsia" w:ascii="宋体" w:hAnsi="宋体" w:eastAsia="宋体" w:cs="宋体"/>
                <w:color w:val="auto"/>
                <w:sz w:val="21"/>
                <w:szCs w:val="21"/>
                <w:highlight w:val="none"/>
                <w:lang w:val="en-US" w:eastAsia="zh-CN"/>
              </w:rPr>
            </w:pPr>
          </w:p>
        </w:tc>
      </w:tr>
      <w:tr w14:paraId="7938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69503831">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3CB28028">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549" w:type="pct"/>
            <w:vAlign w:val="center"/>
          </w:tcPr>
          <w:p w14:paraId="5D596AF5">
            <w:pPr>
              <w:snapToGrid w:val="0"/>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房屋建筑与装饰</w:t>
            </w:r>
            <w:r>
              <w:rPr>
                <w:rFonts w:hint="eastAsia" w:ascii="宋体" w:hAnsi="宋体" w:cs="宋体"/>
                <w:b/>
                <w:bCs/>
                <w:color w:val="auto"/>
                <w:sz w:val="21"/>
                <w:szCs w:val="21"/>
                <w:highlight w:val="none"/>
                <w:lang w:val="en-US" w:eastAsia="zh-CN"/>
              </w:rPr>
              <w:t>工程</w:t>
            </w:r>
            <w:r>
              <w:rPr>
                <w:rFonts w:hint="eastAsia" w:ascii="宋体" w:hAnsi="宋体" w:eastAsia="宋体" w:cs="宋体"/>
                <w:b/>
                <w:bCs/>
                <w:color w:val="auto"/>
                <w:sz w:val="21"/>
                <w:szCs w:val="21"/>
                <w:highlight w:val="none"/>
                <w:lang w:eastAsia="zh-CN"/>
              </w:rPr>
              <w:t>施工</w:t>
            </w:r>
            <w:r>
              <w:rPr>
                <w:rFonts w:hint="eastAsia" w:ascii="宋体" w:hAnsi="宋体" w:eastAsia="宋体" w:cs="宋体"/>
                <w:b/>
                <w:bCs/>
                <w:color w:val="auto"/>
                <w:sz w:val="21"/>
                <w:szCs w:val="21"/>
                <w:highlight w:val="none"/>
              </w:rPr>
              <w:t>方案</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14608C6F">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eastAsia="zh-CN"/>
              </w:rPr>
              <w:t>房屋建筑与装饰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方案进行评议：</w:t>
            </w:r>
          </w:p>
          <w:p w14:paraId="6F897A99">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eastAsia="宋体" w:cs="宋体"/>
                <w:snapToGrid w:val="0"/>
                <w:color w:val="auto"/>
                <w:sz w:val="21"/>
                <w:szCs w:val="21"/>
                <w:highlight w:val="none"/>
                <w:lang w:eastAsia="zh-CN"/>
              </w:rPr>
              <w:t>房屋建筑与装饰</w:t>
            </w:r>
            <w:r>
              <w:rPr>
                <w:rFonts w:hint="eastAsia" w:ascii="宋体" w:hAnsi="宋体" w:eastAsia="宋体" w:cs="宋体"/>
                <w:snapToGrid w:val="0"/>
                <w:color w:val="auto"/>
                <w:sz w:val="21"/>
                <w:szCs w:val="21"/>
                <w:highlight w:val="none"/>
                <w:lang w:val="en-US" w:eastAsia="zh-CN"/>
              </w:rPr>
              <w:t>工程</w:t>
            </w:r>
            <w:r>
              <w:rPr>
                <w:rFonts w:hint="eastAsia" w:ascii="宋体" w:hAnsi="宋体" w:eastAsia="宋体" w:cs="宋体"/>
                <w:color w:val="auto"/>
                <w:sz w:val="21"/>
                <w:szCs w:val="21"/>
                <w:highlight w:val="none"/>
              </w:rPr>
              <w:t>施工方案详实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内容清晰有针对性，</w:t>
            </w:r>
            <w:r>
              <w:rPr>
                <w:rFonts w:hint="eastAsia" w:ascii="宋体" w:hAnsi="宋体" w:eastAsia="宋体" w:cs="宋体"/>
                <w:color w:val="auto"/>
                <w:sz w:val="21"/>
                <w:szCs w:val="21"/>
                <w:highlight w:val="none"/>
              </w:rPr>
              <w:t>措施得力，可执行力度高的得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40254A2">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eastAsia="宋体" w:cs="宋体"/>
                <w:snapToGrid w:val="0"/>
                <w:color w:val="auto"/>
                <w:sz w:val="21"/>
                <w:szCs w:val="21"/>
                <w:highlight w:val="none"/>
                <w:lang w:eastAsia="zh-CN"/>
              </w:rPr>
              <w:t>房屋建筑与装饰</w:t>
            </w:r>
            <w:r>
              <w:rPr>
                <w:rFonts w:hint="eastAsia" w:ascii="宋体" w:hAnsi="宋体" w:eastAsia="宋体" w:cs="宋体"/>
                <w:snapToGrid w:val="0"/>
                <w:color w:val="auto"/>
                <w:sz w:val="21"/>
                <w:szCs w:val="21"/>
                <w:highlight w:val="none"/>
                <w:lang w:val="en-US" w:eastAsia="zh-CN"/>
              </w:rPr>
              <w:t>工程</w:t>
            </w:r>
            <w:r>
              <w:rPr>
                <w:rFonts w:hint="eastAsia" w:ascii="宋体" w:hAnsi="宋体" w:eastAsia="宋体" w:cs="宋体"/>
                <w:color w:val="auto"/>
                <w:sz w:val="21"/>
                <w:szCs w:val="21"/>
                <w:highlight w:val="none"/>
              </w:rPr>
              <w:t>施工方案内容充分，</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措施得当，可执行力度较高的得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D57E6D9">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eastAsia="宋体" w:cs="宋体"/>
                <w:snapToGrid w:val="0"/>
                <w:color w:val="auto"/>
                <w:sz w:val="21"/>
                <w:szCs w:val="21"/>
                <w:highlight w:val="none"/>
                <w:lang w:eastAsia="zh-CN"/>
              </w:rPr>
              <w:t>房屋建筑与装饰</w:t>
            </w:r>
            <w:r>
              <w:rPr>
                <w:rFonts w:hint="eastAsia" w:ascii="宋体" w:hAnsi="宋体" w:eastAsia="宋体" w:cs="宋体"/>
                <w:snapToGrid w:val="0"/>
                <w:color w:val="auto"/>
                <w:sz w:val="21"/>
                <w:szCs w:val="21"/>
                <w:highlight w:val="none"/>
                <w:lang w:val="en-US" w:eastAsia="zh-CN"/>
              </w:rPr>
              <w:t>工程</w:t>
            </w:r>
            <w:r>
              <w:rPr>
                <w:rFonts w:hint="eastAsia" w:ascii="宋体" w:hAnsi="宋体" w:eastAsia="宋体" w:cs="宋体"/>
                <w:color w:val="auto"/>
                <w:sz w:val="21"/>
                <w:szCs w:val="21"/>
                <w:highlight w:val="none"/>
              </w:rPr>
              <w:t>施工方案内容简单，</w:t>
            </w:r>
            <w:r>
              <w:rPr>
                <w:rFonts w:hint="eastAsia" w:ascii="宋体" w:hAnsi="宋体" w:eastAsia="宋体" w:cs="宋体"/>
                <w:color w:val="auto"/>
                <w:sz w:val="21"/>
                <w:szCs w:val="21"/>
                <w:highlight w:val="none"/>
                <w:lang w:val="en-US" w:eastAsia="zh-CN"/>
              </w:rPr>
              <w:t>针对性差，</w:t>
            </w:r>
            <w:r>
              <w:rPr>
                <w:rFonts w:hint="eastAsia" w:ascii="宋体" w:hAnsi="宋体" w:eastAsia="宋体" w:cs="宋体"/>
                <w:color w:val="auto"/>
                <w:sz w:val="21"/>
                <w:szCs w:val="21"/>
                <w:highlight w:val="none"/>
              </w:rPr>
              <w:t>可执行力低的得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9D18708">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房屋建筑与装饰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施工方案的本项不得分。</w:t>
            </w:r>
          </w:p>
        </w:tc>
        <w:tc>
          <w:tcPr>
            <w:tcW w:w="313" w:type="pct"/>
            <w:vAlign w:val="center"/>
          </w:tcPr>
          <w:p w14:paraId="5CA230E1">
            <w:pPr>
              <w:snapToGrid w:val="0"/>
              <w:spacing w:line="24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202" w:type="pct"/>
            <w:vAlign w:val="center"/>
          </w:tcPr>
          <w:p w14:paraId="025315E2">
            <w:pPr>
              <w:snapToGrid w:val="0"/>
              <w:spacing w:line="240" w:lineRule="auto"/>
              <w:jc w:val="center"/>
              <w:outlineLvl w:val="0"/>
              <w:rPr>
                <w:rFonts w:hint="eastAsia" w:ascii="宋体" w:hAnsi="宋体" w:eastAsia="宋体" w:cs="宋体"/>
                <w:bCs/>
                <w:color w:val="auto"/>
                <w:sz w:val="21"/>
                <w:szCs w:val="21"/>
                <w:highlight w:val="none"/>
                <w:lang w:val="en-US" w:eastAsia="zh-CN"/>
              </w:rPr>
            </w:pPr>
            <w:bookmarkStart w:id="409" w:name="_Toc1478"/>
            <w:r>
              <w:rPr>
                <w:rFonts w:hint="eastAsia" w:ascii="宋体" w:hAnsi="宋体" w:eastAsia="宋体" w:cs="宋体"/>
                <w:bCs/>
                <w:color w:val="auto"/>
                <w:sz w:val="21"/>
                <w:szCs w:val="21"/>
                <w:highlight w:val="none"/>
                <w:lang w:val="en-US" w:eastAsia="zh-CN"/>
              </w:rPr>
              <w:t>主观评审</w:t>
            </w:r>
            <w:bookmarkEnd w:id="409"/>
          </w:p>
        </w:tc>
        <w:tc>
          <w:tcPr>
            <w:tcW w:w="375" w:type="pct"/>
            <w:vAlign w:val="center"/>
          </w:tcPr>
          <w:p w14:paraId="3BCC78B4">
            <w:pPr>
              <w:snapToGrid w:val="0"/>
              <w:spacing w:line="240" w:lineRule="auto"/>
              <w:jc w:val="center"/>
              <w:rPr>
                <w:rFonts w:hint="eastAsia" w:ascii="宋体" w:hAnsi="宋体" w:eastAsia="宋体" w:cs="宋体"/>
                <w:color w:val="auto"/>
                <w:sz w:val="21"/>
                <w:szCs w:val="21"/>
                <w:highlight w:val="none"/>
              </w:rPr>
            </w:pPr>
          </w:p>
        </w:tc>
      </w:tr>
      <w:tr w14:paraId="7C1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73BFFBA0">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shd w:val="clear" w:color="auto" w:fill="auto"/>
            <w:vAlign w:val="center"/>
          </w:tcPr>
          <w:p w14:paraId="66DA8D88">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3549" w:type="pct"/>
            <w:shd w:val="clear" w:color="auto" w:fill="auto"/>
            <w:vAlign w:val="center"/>
          </w:tcPr>
          <w:p w14:paraId="01F15F90">
            <w:pPr>
              <w:snapToGrid w:val="0"/>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电气安装工程施工</w:t>
            </w:r>
            <w:r>
              <w:rPr>
                <w:rFonts w:hint="eastAsia" w:ascii="宋体" w:hAnsi="宋体" w:eastAsia="宋体" w:cs="宋体"/>
                <w:b/>
                <w:bCs/>
                <w:color w:val="auto"/>
                <w:sz w:val="21"/>
                <w:szCs w:val="21"/>
                <w:highlight w:val="none"/>
              </w:rPr>
              <w:t>方案</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258344DC">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eastAsia="zh-CN"/>
              </w:rPr>
              <w:t>电气安装工程施工</w:t>
            </w:r>
            <w:r>
              <w:rPr>
                <w:rFonts w:hint="eastAsia" w:ascii="宋体" w:hAnsi="宋体" w:eastAsia="宋体" w:cs="宋体"/>
                <w:color w:val="auto"/>
                <w:sz w:val="21"/>
                <w:szCs w:val="21"/>
                <w:highlight w:val="none"/>
              </w:rPr>
              <w:t>方案进行评议：</w:t>
            </w:r>
          </w:p>
          <w:p w14:paraId="36FC8F1F">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eastAsia="宋体" w:cs="宋体"/>
                <w:color w:val="auto"/>
                <w:sz w:val="21"/>
                <w:szCs w:val="21"/>
                <w:highlight w:val="none"/>
                <w:lang w:eastAsia="zh-CN"/>
              </w:rPr>
              <w:t>电气安装工程</w:t>
            </w:r>
            <w:r>
              <w:rPr>
                <w:rFonts w:hint="eastAsia" w:ascii="宋体" w:hAnsi="宋体" w:eastAsia="宋体" w:cs="宋体"/>
                <w:color w:val="auto"/>
                <w:sz w:val="21"/>
                <w:szCs w:val="21"/>
                <w:highlight w:val="none"/>
              </w:rPr>
              <w:t>施工方案详实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内容清晰有针对性，</w:t>
            </w:r>
            <w:r>
              <w:rPr>
                <w:rFonts w:hint="eastAsia" w:ascii="宋体" w:hAnsi="宋体" w:eastAsia="宋体" w:cs="宋体"/>
                <w:color w:val="auto"/>
                <w:sz w:val="21"/>
                <w:szCs w:val="21"/>
                <w:highlight w:val="none"/>
              </w:rPr>
              <w:t>措施得力，可执行力度高的得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11A781B">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eastAsia="宋体" w:cs="宋体"/>
                <w:color w:val="auto"/>
                <w:sz w:val="21"/>
                <w:szCs w:val="21"/>
                <w:highlight w:val="none"/>
                <w:lang w:eastAsia="zh-CN"/>
              </w:rPr>
              <w:t>电气安装工程</w:t>
            </w:r>
            <w:r>
              <w:rPr>
                <w:rFonts w:hint="eastAsia" w:ascii="宋体" w:hAnsi="宋体" w:eastAsia="宋体" w:cs="宋体"/>
                <w:color w:val="auto"/>
                <w:sz w:val="21"/>
                <w:szCs w:val="21"/>
                <w:highlight w:val="none"/>
              </w:rPr>
              <w:t>施工方案内容充分，</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措施得当，可执行力度较高的得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106BC42">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eastAsia="宋体" w:cs="宋体"/>
                <w:color w:val="auto"/>
                <w:sz w:val="21"/>
                <w:szCs w:val="21"/>
                <w:highlight w:val="none"/>
                <w:lang w:eastAsia="zh-CN"/>
              </w:rPr>
              <w:t>电气安装工程</w:t>
            </w:r>
            <w:r>
              <w:rPr>
                <w:rFonts w:hint="eastAsia" w:ascii="宋体" w:hAnsi="宋体" w:eastAsia="宋体" w:cs="宋体"/>
                <w:color w:val="auto"/>
                <w:sz w:val="21"/>
                <w:szCs w:val="21"/>
                <w:highlight w:val="none"/>
              </w:rPr>
              <w:t>施工方案内容简单，</w:t>
            </w:r>
            <w:r>
              <w:rPr>
                <w:rFonts w:hint="eastAsia" w:ascii="宋体" w:hAnsi="宋体" w:eastAsia="宋体" w:cs="宋体"/>
                <w:color w:val="auto"/>
                <w:sz w:val="21"/>
                <w:szCs w:val="21"/>
                <w:highlight w:val="none"/>
                <w:lang w:val="en-US" w:eastAsia="zh-CN"/>
              </w:rPr>
              <w:t>针对性差，</w:t>
            </w:r>
            <w:r>
              <w:rPr>
                <w:rFonts w:hint="eastAsia" w:ascii="宋体" w:hAnsi="宋体" w:eastAsia="宋体" w:cs="宋体"/>
                <w:color w:val="auto"/>
                <w:sz w:val="21"/>
                <w:szCs w:val="21"/>
                <w:highlight w:val="none"/>
              </w:rPr>
              <w:t>可执行力低的得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7FA6373">
            <w:pPr>
              <w:snapToGrid w:val="0"/>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电气安装工程</w:t>
            </w:r>
            <w:r>
              <w:rPr>
                <w:rFonts w:hint="eastAsia" w:ascii="宋体" w:hAnsi="宋体" w:eastAsia="宋体" w:cs="宋体"/>
                <w:color w:val="auto"/>
                <w:sz w:val="21"/>
                <w:szCs w:val="21"/>
                <w:highlight w:val="none"/>
              </w:rPr>
              <w:t>施工方案的本项不得分。</w:t>
            </w:r>
          </w:p>
        </w:tc>
        <w:tc>
          <w:tcPr>
            <w:tcW w:w="313" w:type="pct"/>
            <w:shd w:val="clear" w:color="auto" w:fill="auto"/>
            <w:vAlign w:val="center"/>
          </w:tcPr>
          <w:p w14:paraId="649DF2A6">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202" w:type="pct"/>
            <w:shd w:val="clear" w:color="auto" w:fill="auto"/>
            <w:vAlign w:val="center"/>
          </w:tcPr>
          <w:p w14:paraId="773DE4A3">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主观评审</w:t>
            </w:r>
          </w:p>
        </w:tc>
        <w:tc>
          <w:tcPr>
            <w:tcW w:w="375" w:type="pct"/>
            <w:shd w:val="clear" w:color="auto" w:fill="auto"/>
            <w:vAlign w:val="center"/>
          </w:tcPr>
          <w:p w14:paraId="15D39750">
            <w:pPr>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613C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04811297">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shd w:val="clear" w:color="auto" w:fill="auto"/>
            <w:vAlign w:val="center"/>
          </w:tcPr>
          <w:p w14:paraId="0BB065BC">
            <w:pPr>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3549" w:type="pct"/>
            <w:shd w:val="clear" w:color="auto" w:fill="auto"/>
            <w:vAlign w:val="center"/>
          </w:tcPr>
          <w:p w14:paraId="4921CF8A">
            <w:pPr>
              <w:snapToGrid w:val="0"/>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给排水安装工程施工</w:t>
            </w:r>
            <w:r>
              <w:rPr>
                <w:rFonts w:hint="eastAsia" w:ascii="宋体" w:hAnsi="宋体" w:eastAsia="宋体" w:cs="宋体"/>
                <w:b/>
                <w:bCs/>
                <w:color w:val="auto"/>
                <w:sz w:val="21"/>
                <w:szCs w:val="21"/>
                <w:highlight w:val="none"/>
              </w:rPr>
              <w:t>方案</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25D01E2E">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根据供应商提供的给排水安装工程</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方案进行评议：</w:t>
            </w:r>
          </w:p>
          <w:p w14:paraId="5FA87E65">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eastAsia="宋体" w:cs="宋体"/>
                <w:color w:val="auto"/>
                <w:sz w:val="21"/>
                <w:szCs w:val="21"/>
                <w:highlight w:val="none"/>
              </w:rPr>
              <w:t>给排水安装工程施工方案详实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内容清晰有针对性，</w:t>
            </w:r>
            <w:r>
              <w:rPr>
                <w:rFonts w:hint="eastAsia" w:ascii="宋体" w:hAnsi="宋体" w:eastAsia="宋体" w:cs="宋体"/>
                <w:color w:val="auto"/>
                <w:sz w:val="21"/>
                <w:szCs w:val="21"/>
                <w:highlight w:val="none"/>
              </w:rPr>
              <w:t>措施得力，可执行力度高的得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10D9ED8">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eastAsia="宋体" w:cs="宋体"/>
                <w:color w:val="auto"/>
                <w:sz w:val="21"/>
                <w:szCs w:val="21"/>
                <w:highlight w:val="none"/>
              </w:rPr>
              <w:t>给排水安装工程施工方案内容充分，</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措施得当，可执行力度较高的得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88BDBBF">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eastAsia="宋体" w:cs="宋体"/>
                <w:color w:val="auto"/>
                <w:sz w:val="21"/>
                <w:szCs w:val="21"/>
                <w:highlight w:val="none"/>
              </w:rPr>
              <w:t>给排水安装工程施工方案内容简单，</w:t>
            </w:r>
            <w:r>
              <w:rPr>
                <w:rFonts w:hint="eastAsia" w:ascii="宋体" w:hAnsi="宋体" w:eastAsia="宋体" w:cs="宋体"/>
                <w:color w:val="auto"/>
                <w:sz w:val="21"/>
                <w:szCs w:val="21"/>
                <w:highlight w:val="none"/>
                <w:lang w:val="en-US" w:eastAsia="zh-CN"/>
              </w:rPr>
              <w:t>针对性差，</w:t>
            </w:r>
            <w:r>
              <w:rPr>
                <w:rFonts w:hint="eastAsia" w:ascii="宋体" w:hAnsi="宋体" w:eastAsia="宋体" w:cs="宋体"/>
                <w:color w:val="auto"/>
                <w:sz w:val="21"/>
                <w:szCs w:val="21"/>
                <w:highlight w:val="none"/>
              </w:rPr>
              <w:t>可执行力低的得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0940695">
            <w:pPr>
              <w:snapToGrid w:val="0"/>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rPr>
              <w:t>未提供给排水安装工程施工方案的本项不得分。</w:t>
            </w:r>
          </w:p>
        </w:tc>
        <w:tc>
          <w:tcPr>
            <w:tcW w:w="313" w:type="pct"/>
            <w:shd w:val="clear" w:color="auto" w:fill="auto"/>
            <w:vAlign w:val="center"/>
          </w:tcPr>
          <w:p w14:paraId="36879BB8">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202" w:type="pct"/>
            <w:shd w:val="clear" w:color="auto" w:fill="auto"/>
            <w:vAlign w:val="center"/>
          </w:tcPr>
          <w:p w14:paraId="60FE2794">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主观评审</w:t>
            </w:r>
          </w:p>
        </w:tc>
        <w:tc>
          <w:tcPr>
            <w:tcW w:w="375" w:type="pct"/>
            <w:shd w:val="clear" w:color="auto" w:fill="auto"/>
            <w:vAlign w:val="center"/>
          </w:tcPr>
          <w:p w14:paraId="4C698591">
            <w:pPr>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54BF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4A4E52D9">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593508A4">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3549" w:type="pct"/>
            <w:vAlign w:val="center"/>
          </w:tcPr>
          <w:p w14:paraId="1FC0245C">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施工进度计划安排</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6FA43ADF">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根据供应商提供的施工进度计划安排</w:t>
            </w:r>
            <w:r>
              <w:rPr>
                <w:rFonts w:hint="eastAsia" w:ascii="宋体" w:hAnsi="宋体" w:eastAsia="宋体" w:cs="宋体"/>
                <w:color w:val="auto"/>
                <w:sz w:val="21"/>
                <w:szCs w:val="21"/>
                <w:highlight w:val="none"/>
                <w:lang w:eastAsia="zh-CN"/>
              </w:rPr>
              <w:t>（包含但不仅限于方案详实情况、时间节点安排情况等）</w:t>
            </w:r>
            <w:r>
              <w:rPr>
                <w:rFonts w:hint="eastAsia" w:ascii="宋体" w:hAnsi="宋体" w:eastAsia="宋体" w:cs="宋体"/>
                <w:color w:val="auto"/>
                <w:sz w:val="21"/>
                <w:szCs w:val="21"/>
                <w:highlight w:val="none"/>
              </w:rPr>
              <w:t>进行评议：</w:t>
            </w:r>
          </w:p>
          <w:p w14:paraId="5C0B4837">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eastAsia="宋体" w:cs="宋体"/>
                <w:color w:val="auto"/>
                <w:sz w:val="21"/>
                <w:szCs w:val="21"/>
                <w:highlight w:val="none"/>
              </w:rPr>
              <w:t>施工进度计划安排方案详实，时间节点明确，具有充分可靠计划的得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9C0F785">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eastAsia="宋体" w:cs="宋体"/>
                <w:color w:val="auto"/>
                <w:sz w:val="21"/>
                <w:szCs w:val="21"/>
                <w:highlight w:val="none"/>
              </w:rPr>
              <w:t>施工进度计划安排方案内容充分，项目实施计划基本满足项目实施的得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8588F60">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eastAsia="宋体" w:cs="宋体"/>
                <w:color w:val="auto"/>
                <w:sz w:val="21"/>
                <w:szCs w:val="21"/>
                <w:highlight w:val="none"/>
              </w:rPr>
              <w:t>施工进度计划安排方案内容简单，工期计划不足的得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67ABB86">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rPr>
              <w:t>未提供施工进度计划安排的本项不得分。</w:t>
            </w:r>
          </w:p>
        </w:tc>
        <w:tc>
          <w:tcPr>
            <w:tcW w:w="313" w:type="pct"/>
            <w:vAlign w:val="center"/>
          </w:tcPr>
          <w:p w14:paraId="6A71F494">
            <w:pPr>
              <w:snapToGrid w:val="0"/>
              <w:spacing w:line="24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202" w:type="pct"/>
            <w:vAlign w:val="center"/>
          </w:tcPr>
          <w:p w14:paraId="42855B98">
            <w:pPr>
              <w:snapToGrid w:val="0"/>
              <w:spacing w:line="240" w:lineRule="auto"/>
              <w:jc w:val="center"/>
              <w:outlineLvl w:val="0"/>
              <w:rPr>
                <w:rFonts w:hint="eastAsia" w:ascii="宋体" w:hAnsi="宋体" w:eastAsia="宋体" w:cs="宋体"/>
                <w:bCs/>
                <w:color w:val="auto"/>
                <w:sz w:val="21"/>
                <w:szCs w:val="21"/>
                <w:highlight w:val="none"/>
                <w:lang w:val="en-US" w:eastAsia="zh-CN"/>
              </w:rPr>
            </w:pPr>
            <w:bookmarkStart w:id="410" w:name="_Toc3440"/>
            <w:r>
              <w:rPr>
                <w:rFonts w:hint="eastAsia" w:ascii="宋体" w:hAnsi="宋体" w:eastAsia="宋体" w:cs="宋体"/>
                <w:bCs/>
                <w:color w:val="auto"/>
                <w:sz w:val="21"/>
                <w:szCs w:val="21"/>
                <w:highlight w:val="none"/>
                <w:lang w:val="en-US" w:eastAsia="zh-CN"/>
              </w:rPr>
              <w:t>主观评审</w:t>
            </w:r>
            <w:bookmarkEnd w:id="410"/>
          </w:p>
        </w:tc>
        <w:tc>
          <w:tcPr>
            <w:tcW w:w="375" w:type="pct"/>
            <w:vAlign w:val="center"/>
          </w:tcPr>
          <w:p w14:paraId="6229472B">
            <w:pPr>
              <w:snapToGrid w:val="0"/>
              <w:spacing w:line="240" w:lineRule="auto"/>
              <w:jc w:val="center"/>
              <w:rPr>
                <w:rFonts w:hint="eastAsia" w:ascii="宋体" w:hAnsi="宋体" w:eastAsia="宋体" w:cs="宋体"/>
                <w:color w:val="auto"/>
                <w:sz w:val="21"/>
                <w:szCs w:val="21"/>
                <w:highlight w:val="none"/>
              </w:rPr>
            </w:pPr>
          </w:p>
        </w:tc>
      </w:tr>
      <w:tr w14:paraId="4483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 w:type="pct"/>
            <w:vMerge w:val="continue"/>
            <w:vAlign w:val="center"/>
          </w:tcPr>
          <w:p w14:paraId="1A23E59A">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0D6F8D3C">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549" w:type="pct"/>
            <w:vAlign w:val="center"/>
          </w:tcPr>
          <w:p w14:paraId="57364EB1">
            <w:pPr>
              <w:snapToGrid w:val="0"/>
              <w:spacing w:line="240" w:lineRule="auto"/>
              <w:jc w:val="both"/>
              <w:rPr>
                <w:rFonts w:hint="eastAsia" w:ascii="宋体" w:hAnsi="宋体" w:eastAsia="宋体" w:cs="宋体"/>
                <w:b/>
                <w:bCs/>
                <w:snapToGrid w:val="0"/>
                <w:color w:val="auto"/>
                <w:sz w:val="21"/>
                <w:szCs w:val="21"/>
                <w:highlight w:val="none"/>
                <w:lang w:val="en-US" w:eastAsia="zh-CN"/>
              </w:rPr>
            </w:pPr>
            <w:bookmarkStart w:id="411" w:name="_Toc31646"/>
            <w:r>
              <w:rPr>
                <w:rFonts w:hint="eastAsia" w:ascii="宋体" w:hAnsi="宋体" w:eastAsia="宋体" w:cs="宋体"/>
                <w:b/>
                <w:bCs/>
                <w:snapToGrid w:val="0"/>
                <w:color w:val="auto"/>
                <w:sz w:val="21"/>
                <w:szCs w:val="21"/>
                <w:highlight w:val="none"/>
                <w:lang w:val="en-US" w:eastAsia="zh-CN"/>
              </w:rPr>
              <w:t>工程质量保障措施（</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p>
          <w:p w14:paraId="0EBEB0AB">
            <w:pPr>
              <w:snapToGrid w:val="0"/>
              <w:spacing w:line="240" w:lineRule="auto"/>
              <w:jc w:val="both"/>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val="en-US" w:eastAsia="zh-CN"/>
              </w:rPr>
              <w:t>根据</w:t>
            </w:r>
            <w:r>
              <w:rPr>
                <w:rFonts w:hint="eastAsia" w:ascii="宋体" w:hAnsi="宋体" w:eastAsia="宋体" w:cs="宋体"/>
                <w:snapToGrid w:val="0"/>
                <w:color w:val="auto"/>
                <w:sz w:val="21"/>
                <w:szCs w:val="21"/>
                <w:highlight w:val="none"/>
              </w:rPr>
              <w:t>供应商提供的工程质量保证措施，包括项目质量目标及其分解、质量管理及保证体系、质量保证制度的内容是否全面、描述是否清晰、是否切实可行进行评议</w:t>
            </w:r>
            <w:r>
              <w:rPr>
                <w:rFonts w:hint="eastAsia" w:ascii="宋体" w:hAnsi="宋体" w:eastAsia="宋体" w:cs="宋体"/>
                <w:snapToGrid w:val="0"/>
                <w:color w:val="auto"/>
                <w:sz w:val="21"/>
                <w:szCs w:val="21"/>
                <w:highlight w:val="none"/>
                <w:lang w:eastAsia="zh-CN"/>
              </w:rPr>
              <w:t>：</w:t>
            </w:r>
          </w:p>
          <w:p w14:paraId="68599A3D">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①工程质量保证措施内容全面完整、描述清晰，措施得力，切实可行的得</w:t>
            </w:r>
            <w:r>
              <w:rPr>
                <w:rFonts w:hint="eastAsia" w:ascii="宋体" w:hAnsi="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分；</w:t>
            </w:r>
          </w:p>
          <w:p w14:paraId="7864E46B">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②工程质量保证措施内容比较详细，措施适当，合理可行的得</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p>
          <w:p w14:paraId="37BAAA62">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③工程质量保证措施内容比较笼统，细化程度不足，措施欠妥的得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w:t>
            </w:r>
          </w:p>
          <w:p w14:paraId="7C375F94">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④</w:t>
            </w:r>
            <w:r>
              <w:rPr>
                <w:rFonts w:hint="eastAsia" w:ascii="宋体" w:hAnsi="宋体" w:eastAsia="宋体" w:cs="宋体"/>
                <w:snapToGrid w:val="0"/>
                <w:color w:val="auto"/>
                <w:sz w:val="21"/>
                <w:szCs w:val="21"/>
                <w:highlight w:val="none"/>
                <w:lang w:val="en-US" w:eastAsia="zh-CN"/>
              </w:rPr>
              <w:t>未提供工程质量保障措施的</w:t>
            </w:r>
            <w:r>
              <w:rPr>
                <w:rFonts w:hint="eastAsia" w:ascii="宋体" w:hAnsi="宋体" w:eastAsia="宋体" w:cs="宋体"/>
                <w:snapToGrid w:val="0"/>
                <w:color w:val="auto"/>
                <w:sz w:val="21"/>
                <w:szCs w:val="21"/>
                <w:highlight w:val="none"/>
              </w:rPr>
              <w:t>不得分。</w:t>
            </w:r>
          </w:p>
          <w:bookmarkEnd w:id="411"/>
        </w:tc>
        <w:tc>
          <w:tcPr>
            <w:tcW w:w="313" w:type="pct"/>
            <w:vAlign w:val="center"/>
          </w:tcPr>
          <w:p w14:paraId="6A98B9B0">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202" w:type="pct"/>
            <w:vAlign w:val="center"/>
          </w:tcPr>
          <w:p w14:paraId="7D5610E2">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主观评审</w:t>
            </w:r>
          </w:p>
        </w:tc>
        <w:tc>
          <w:tcPr>
            <w:tcW w:w="375" w:type="pct"/>
            <w:vAlign w:val="center"/>
          </w:tcPr>
          <w:p w14:paraId="48F495EF">
            <w:pPr>
              <w:snapToGrid w:val="0"/>
              <w:spacing w:line="240" w:lineRule="auto"/>
              <w:jc w:val="center"/>
              <w:rPr>
                <w:rFonts w:hint="eastAsia" w:ascii="宋体" w:hAnsi="宋体" w:eastAsia="宋体" w:cs="宋体"/>
                <w:color w:val="auto"/>
                <w:sz w:val="21"/>
                <w:szCs w:val="21"/>
                <w:highlight w:val="none"/>
              </w:rPr>
            </w:pPr>
          </w:p>
        </w:tc>
      </w:tr>
      <w:tr w14:paraId="7C6B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 w:type="pct"/>
            <w:vMerge w:val="continue"/>
            <w:vAlign w:val="center"/>
          </w:tcPr>
          <w:p w14:paraId="7D6182C2">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5691F89E">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549" w:type="pct"/>
            <w:vAlign w:val="center"/>
          </w:tcPr>
          <w:p w14:paraId="5CC4D35F">
            <w:pPr>
              <w:snapToGrid w:val="0"/>
              <w:spacing w:line="240" w:lineRule="auto"/>
              <w:jc w:val="both"/>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工程安全保障措施（</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p>
          <w:p w14:paraId="79B72159">
            <w:pPr>
              <w:snapToGrid w:val="0"/>
              <w:spacing w:line="240" w:lineRule="auto"/>
              <w:jc w:val="both"/>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根据供应商</w:t>
            </w:r>
            <w:r>
              <w:rPr>
                <w:rFonts w:hint="eastAsia" w:ascii="宋体" w:hAnsi="宋体" w:eastAsia="宋体" w:cs="宋体"/>
                <w:snapToGrid w:val="0"/>
                <w:color w:val="auto"/>
                <w:sz w:val="21"/>
                <w:szCs w:val="21"/>
                <w:highlight w:val="none"/>
                <w:lang w:val="en-US" w:eastAsia="zh-CN"/>
              </w:rPr>
              <w:t>提供的</w:t>
            </w:r>
            <w:r>
              <w:rPr>
                <w:rFonts w:hint="eastAsia" w:ascii="宋体" w:hAnsi="宋体" w:eastAsia="宋体" w:cs="宋体"/>
                <w:snapToGrid w:val="0"/>
                <w:color w:val="auto"/>
                <w:sz w:val="21"/>
                <w:szCs w:val="21"/>
                <w:highlight w:val="none"/>
              </w:rPr>
              <w:t>安全生产</w:t>
            </w:r>
            <w:r>
              <w:rPr>
                <w:rFonts w:hint="eastAsia" w:ascii="宋体" w:hAnsi="宋体" w:eastAsia="宋体" w:cs="宋体"/>
                <w:snapToGrid w:val="0"/>
                <w:color w:val="auto"/>
                <w:sz w:val="21"/>
                <w:szCs w:val="21"/>
                <w:highlight w:val="none"/>
                <w:lang w:val="en-US" w:eastAsia="zh-CN"/>
              </w:rPr>
              <w:t>措施</w:t>
            </w:r>
            <w:r>
              <w:rPr>
                <w:rFonts w:hint="eastAsia" w:ascii="宋体" w:hAnsi="宋体" w:eastAsia="宋体" w:cs="宋体"/>
                <w:color w:val="auto"/>
                <w:sz w:val="21"/>
                <w:szCs w:val="21"/>
                <w:highlight w:val="none"/>
                <w:lang w:eastAsia="zh-CN"/>
              </w:rPr>
              <w:t>（包含但不仅限于</w:t>
            </w:r>
            <w:r>
              <w:rPr>
                <w:rFonts w:hint="eastAsia" w:ascii="宋体" w:hAnsi="宋体" w:eastAsia="宋体" w:cs="宋体"/>
                <w:color w:val="auto"/>
                <w:sz w:val="21"/>
                <w:szCs w:val="21"/>
                <w:highlight w:val="none"/>
                <w:lang w:val="en-US" w:eastAsia="zh-CN"/>
              </w:rPr>
              <w:t>安全、</w:t>
            </w:r>
            <w:r>
              <w:rPr>
                <w:rFonts w:hint="eastAsia" w:ascii="宋体" w:hAnsi="宋体" w:eastAsia="宋体" w:cs="宋体"/>
                <w:snapToGrid w:val="0"/>
                <w:color w:val="auto"/>
                <w:sz w:val="21"/>
                <w:szCs w:val="21"/>
                <w:highlight w:val="none"/>
              </w:rPr>
              <w:t>文明施工的安排</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sz w:val="21"/>
                <w:szCs w:val="21"/>
                <w:highlight w:val="none"/>
              </w:rPr>
              <w:t>技术和组织管理措施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进行评议</w:t>
            </w:r>
            <w:r>
              <w:rPr>
                <w:rFonts w:hint="eastAsia" w:ascii="宋体" w:hAnsi="宋体" w:cs="宋体"/>
                <w:color w:val="auto"/>
                <w:sz w:val="21"/>
                <w:szCs w:val="21"/>
                <w:highlight w:val="none"/>
                <w:lang w:eastAsia="zh-CN"/>
              </w:rPr>
              <w:t>：</w:t>
            </w:r>
          </w:p>
          <w:p w14:paraId="5BE822A7">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①工程安全保障</w:t>
            </w:r>
            <w:r>
              <w:rPr>
                <w:rFonts w:hint="eastAsia" w:ascii="宋体" w:hAnsi="宋体" w:eastAsia="宋体" w:cs="宋体"/>
                <w:snapToGrid w:val="0"/>
                <w:color w:val="auto"/>
                <w:sz w:val="21"/>
                <w:szCs w:val="21"/>
                <w:highlight w:val="none"/>
                <w:lang w:val="en-US" w:eastAsia="zh-CN"/>
              </w:rPr>
              <w:t>措施</w:t>
            </w:r>
            <w:r>
              <w:rPr>
                <w:rFonts w:hint="eastAsia" w:ascii="宋体" w:hAnsi="宋体" w:eastAsia="宋体" w:cs="宋体"/>
                <w:snapToGrid w:val="0"/>
                <w:color w:val="auto"/>
                <w:sz w:val="21"/>
                <w:szCs w:val="21"/>
                <w:highlight w:val="none"/>
              </w:rPr>
              <w:t>内容全面完整、描述清晰，措施得力，切实可行的得</w:t>
            </w:r>
            <w:r>
              <w:rPr>
                <w:rFonts w:hint="eastAsia" w:ascii="宋体" w:hAnsi="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分；</w:t>
            </w:r>
          </w:p>
          <w:p w14:paraId="2682D429">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②工程安全保证措施内容比较详细，措施适当，合理可行的得</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p>
          <w:p w14:paraId="5C78CF33">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③工程安全保证措施内容比较笼统，细化程度不足，措施欠妥的得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w:t>
            </w:r>
          </w:p>
          <w:p w14:paraId="5E878F02">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④</w:t>
            </w:r>
            <w:r>
              <w:rPr>
                <w:rFonts w:hint="eastAsia" w:ascii="宋体" w:hAnsi="宋体" w:eastAsia="宋体" w:cs="宋体"/>
                <w:snapToGrid w:val="0"/>
                <w:color w:val="auto"/>
                <w:sz w:val="21"/>
                <w:szCs w:val="21"/>
                <w:highlight w:val="none"/>
                <w:lang w:val="en-US" w:eastAsia="zh-CN"/>
              </w:rPr>
              <w:t>未提供工程</w:t>
            </w:r>
            <w:r>
              <w:rPr>
                <w:rFonts w:hint="eastAsia" w:ascii="宋体" w:hAnsi="宋体" w:eastAsia="宋体" w:cs="宋体"/>
                <w:snapToGrid w:val="0"/>
                <w:color w:val="auto"/>
                <w:sz w:val="21"/>
                <w:szCs w:val="21"/>
                <w:highlight w:val="none"/>
              </w:rPr>
              <w:t>安全</w:t>
            </w:r>
            <w:r>
              <w:rPr>
                <w:rFonts w:hint="eastAsia" w:ascii="宋体" w:hAnsi="宋体" w:eastAsia="宋体" w:cs="宋体"/>
                <w:snapToGrid w:val="0"/>
                <w:color w:val="auto"/>
                <w:sz w:val="21"/>
                <w:szCs w:val="21"/>
                <w:highlight w:val="none"/>
                <w:lang w:val="en-US" w:eastAsia="zh-CN"/>
              </w:rPr>
              <w:t>保障措施的</w:t>
            </w:r>
            <w:r>
              <w:rPr>
                <w:rFonts w:hint="eastAsia" w:ascii="宋体" w:hAnsi="宋体" w:eastAsia="宋体" w:cs="宋体"/>
                <w:snapToGrid w:val="0"/>
                <w:color w:val="auto"/>
                <w:sz w:val="21"/>
                <w:szCs w:val="21"/>
                <w:highlight w:val="none"/>
              </w:rPr>
              <w:t>不得分。</w:t>
            </w:r>
          </w:p>
        </w:tc>
        <w:tc>
          <w:tcPr>
            <w:tcW w:w="313" w:type="pct"/>
            <w:shd w:val="clear" w:color="auto" w:fill="auto"/>
            <w:vAlign w:val="center"/>
          </w:tcPr>
          <w:p w14:paraId="58ADC0B9">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202" w:type="pct"/>
            <w:shd w:val="clear" w:color="auto" w:fill="auto"/>
            <w:vAlign w:val="center"/>
          </w:tcPr>
          <w:p w14:paraId="5F84C1C1">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主观评审</w:t>
            </w:r>
          </w:p>
        </w:tc>
        <w:tc>
          <w:tcPr>
            <w:tcW w:w="375" w:type="pct"/>
            <w:vAlign w:val="center"/>
          </w:tcPr>
          <w:p w14:paraId="6772CCC7">
            <w:pPr>
              <w:snapToGrid w:val="0"/>
              <w:spacing w:line="240" w:lineRule="auto"/>
              <w:jc w:val="center"/>
              <w:rPr>
                <w:rFonts w:hint="eastAsia" w:ascii="宋体" w:hAnsi="宋体" w:eastAsia="宋体" w:cs="宋体"/>
                <w:color w:val="auto"/>
                <w:sz w:val="21"/>
                <w:szCs w:val="21"/>
                <w:highlight w:val="none"/>
              </w:rPr>
            </w:pPr>
          </w:p>
        </w:tc>
      </w:tr>
      <w:tr w14:paraId="3B20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254" w:type="pct"/>
            <w:vMerge w:val="continue"/>
            <w:vAlign w:val="center"/>
          </w:tcPr>
          <w:p w14:paraId="17542799">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127A1694">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549" w:type="pct"/>
            <w:vAlign w:val="center"/>
          </w:tcPr>
          <w:p w14:paraId="5D57F212">
            <w:pPr>
              <w:snapToGrid w:val="0"/>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项目关键点</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重难点分析</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22E79507">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根据供应商提供的项目关键点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重难点分析（包含但不仅限于房屋建筑与装饰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lang w:eastAsia="zh-CN"/>
              </w:rPr>
              <w:t>、电气安装工程、给排水安装工程等）</w:t>
            </w:r>
            <w:r>
              <w:rPr>
                <w:rFonts w:hint="eastAsia" w:ascii="宋体" w:hAnsi="宋体" w:eastAsia="宋体" w:cs="宋体"/>
                <w:color w:val="auto"/>
                <w:sz w:val="21"/>
                <w:szCs w:val="21"/>
                <w:highlight w:val="none"/>
              </w:rPr>
              <w:t>进行评议：</w:t>
            </w:r>
          </w:p>
          <w:p w14:paraId="1D021EBE">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eastAsia="宋体" w:cs="宋体"/>
                <w:color w:val="auto"/>
                <w:sz w:val="21"/>
                <w:szCs w:val="21"/>
                <w:highlight w:val="none"/>
              </w:rPr>
              <w:t>项目关键点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重难点分析到位的得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64355EC">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eastAsia="宋体" w:cs="宋体"/>
                <w:color w:val="auto"/>
                <w:sz w:val="21"/>
                <w:szCs w:val="21"/>
                <w:highlight w:val="none"/>
              </w:rPr>
              <w:t>项目关键点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重难点分析较到位的得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44771AE">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eastAsia="宋体" w:cs="宋体"/>
                <w:color w:val="auto"/>
                <w:sz w:val="21"/>
                <w:szCs w:val="21"/>
                <w:highlight w:val="none"/>
              </w:rPr>
              <w:t>项目关键点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重难点分析不准确的得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7654749">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rPr>
              <w:t>未提供项目关键点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重难点分析的本项不得分。</w:t>
            </w:r>
          </w:p>
        </w:tc>
        <w:tc>
          <w:tcPr>
            <w:tcW w:w="313" w:type="pct"/>
            <w:vAlign w:val="center"/>
          </w:tcPr>
          <w:p w14:paraId="2AEA8FEF">
            <w:pPr>
              <w:snapToGrid w:val="0"/>
              <w:spacing w:line="24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202" w:type="pct"/>
            <w:vAlign w:val="center"/>
          </w:tcPr>
          <w:p w14:paraId="40E81602">
            <w:pPr>
              <w:snapToGrid w:val="0"/>
              <w:spacing w:line="240" w:lineRule="auto"/>
              <w:jc w:val="center"/>
              <w:outlineLvl w:val="0"/>
              <w:rPr>
                <w:rFonts w:hint="eastAsia" w:ascii="宋体" w:hAnsi="宋体" w:eastAsia="宋体" w:cs="宋体"/>
                <w:bCs/>
                <w:color w:val="auto"/>
                <w:sz w:val="21"/>
                <w:szCs w:val="21"/>
                <w:highlight w:val="none"/>
                <w:lang w:val="en-US" w:eastAsia="zh-CN"/>
              </w:rPr>
            </w:pPr>
            <w:bookmarkStart w:id="412" w:name="_Toc23165"/>
            <w:r>
              <w:rPr>
                <w:rFonts w:hint="eastAsia" w:ascii="宋体" w:hAnsi="宋体" w:eastAsia="宋体" w:cs="宋体"/>
                <w:bCs/>
                <w:color w:val="auto"/>
                <w:sz w:val="21"/>
                <w:szCs w:val="21"/>
                <w:highlight w:val="none"/>
                <w:lang w:val="en-US" w:eastAsia="zh-CN"/>
              </w:rPr>
              <w:t>主观评审</w:t>
            </w:r>
            <w:bookmarkEnd w:id="412"/>
          </w:p>
        </w:tc>
        <w:tc>
          <w:tcPr>
            <w:tcW w:w="375" w:type="pct"/>
            <w:vAlign w:val="center"/>
          </w:tcPr>
          <w:p w14:paraId="018FE5F8">
            <w:pPr>
              <w:snapToGrid w:val="0"/>
              <w:spacing w:line="240" w:lineRule="auto"/>
              <w:jc w:val="center"/>
              <w:rPr>
                <w:rFonts w:hint="eastAsia" w:ascii="宋体" w:hAnsi="宋体" w:eastAsia="宋体" w:cs="宋体"/>
                <w:color w:val="auto"/>
                <w:sz w:val="21"/>
                <w:szCs w:val="21"/>
                <w:highlight w:val="none"/>
              </w:rPr>
            </w:pPr>
          </w:p>
        </w:tc>
      </w:tr>
      <w:tr w14:paraId="3BF3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54" w:type="pct"/>
            <w:vMerge w:val="continue"/>
            <w:vAlign w:val="center"/>
          </w:tcPr>
          <w:p w14:paraId="283BEBF3">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4287EDFF">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549" w:type="pct"/>
            <w:vAlign w:val="center"/>
          </w:tcPr>
          <w:p w14:paraId="6C71AF4E">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施工环保管理措施</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499BA4E9">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根据供应商提供的施工环保管理措施</w:t>
            </w:r>
            <w:r>
              <w:rPr>
                <w:rFonts w:hint="eastAsia" w:ascii="宋体" w:hAnsi="宋体" w:eastAsia="宋体" w:cs="宋体"/>
                <w:color w:val="auto"/>
                <w:sz w:val="21"/>
                <w:szCs w:val="21"/>
                <w:highlight w:val="none"/>
                <w:lang w:eastAsia="zh-CN"/>
              </w:rPr>
              <w:t>（包含但不仅限于防噪音、防扬尘、防刺鼻气味，空气检测、空气治理等施工环境维护保障措施等）</w:t>
            </w:r>
            <w:r>
              <w:rPr>
                <w:rFonts w:hint="eastAsia" w:ascii="宋体" w:hAnsi="宋体" w:eastAsia="宋体" w:cs="宋体"/>
                <w:color w:val="auto"/>
                <w:sz w:val="21"/>
                <w:szCs w:val="21"/>
                <w:highlight w:val="none"/>
              </w:rPr>
              <w:t>进行评议：</w:t>
            </w:r>
          </w:p>
          <w:p w14:paraId="77F7848F">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eastAsia="宋体" w:cs="宋体"/>
                <w:color w:val="auto"/>
                <w:sz w:val="21"/>
                <w:szCs w:val="21"/>
                <w:highlight w:val="none"/>
              </w:rPr>
              <w:t>施工环保管理完善，防噪音、防扬尘、防刺鼻气味等施工环境维护保障措施可行，空气检测及时到位，空气治理方案完善的得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D46AE45">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eastAsia="宋体" w:cs="宋体"/>
                <w:color w:val="auto"/>
                <w:sz w:val="21"/>
                <w:szCs w:val="21"/>
                <w:highlight w:val="none"/>
              </w:rPr>
              <w:t>施工环保管理完善，防噪音、防扬尘、防刺鼻气味等施工环境维护保障措施基本可行，空气检测较及时到位，空气治理方案较完善的得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68EC3A0">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eastAsia="宋体" w:cs="宋体"/>
                <w:color w:val="auto"/>
                <w:sz w:val="21"/>
                <w:szCs w:val="21"/>
                <w:highlight w:val="none"/>
              </w:rPr>
              <w:t>施工环保管理完善，防噪音、防扬尘、防刺鼻气味等施工环境维护保障措施不可行，空气检测不及时、不到位，空气治理方案不完善的得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FB0C0ED">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rPr>
              <w:t>未提供施工环保管理措施的本项不得分。</w:t>
            </w:r>
          </w:p>
        </w:tc>
        <w:tc>
          <w:tcPr>
            <w:tcW w:w="313" w:type="pct"/>
            <w:vAlign w:val="center"/>
          </w:tcPr>
          <w:p w14:paraId="540A9575">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202" w:type="pct"/>
            <w:vAlign w:val="center"/>
          </w:tcPr>
          <w:p w14:paraId="0F181AFF">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bookmarkStart w:id="413" w:name="_Toc31601"/>
            <w:r>
              <w:rPr>
                <w:rFonts w:hint="eastAsia" w:ascii="宋体" w:hAnsi="宋体" w:eastAsia="宋体" w:cs="宋体"/>
                <w:bCs/>
                <w:color w:val="auto"/>
                <w:sz w:val="21"/>
                <w:szCs w:val="21"/>
                <w:highlight w:val="none"/>
                <w:lang w:val="en-US" w:eastAsia="zh-CN"/>
              </w:rPr>
              <w:t>主观评审</w:t>
            </w:r>
            <w:bookmarkEnd w:id="413"/>
          </w:p>
        </w:tc>
        <w:tc>
          <w:tcPr>
            <w:tcW w:w="375" w:type="pct"/>
            <w:vAlign w:val="center"/>
          </w:tcPr>
          <w:p w14:paraId="0BF429F0">
            <w:pPr>
              <w:snapToGrid w:val="0"/>
              <w:spacing w:line="240" w:lineRule="auto"/>
              <w:jc w:val="center"/>
              <w:rPr>
                <w:rFonts w:hint="eastAsia" w:ascii="宋体" w:hAnsi="宋体" w:eastAsia="宋体" w:cs="宋体"/>
                <w:color w:val="auto"/>
                <w:sz w:val="21"/>
                <w:szCs w:val="21"/>
                <w:highlight w:val="none"/>
              </w:rPr>
            </w:pPr>
          </w:p>
        </w:tc>
      </w:tr>
      <w:tr w14:paraId="034D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5E9F9063">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1A74C995">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3549" w:type="pct"/>
            <w:vAlign w:val="center"/>
          </w:tcPr>
          <w:p w14:paraId="4E1EDF60">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主要施工机械设备的选用和管理</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52A5DD4D">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根据供应商提供的主要施工机械设备的选用和管理进行评议：</w:t>
            </w:r>
          </w:p>
          <w:p w14:paraId="7468DC2A">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①</w:t>
            </w:r>
            <w:r>
              <w:rPr>
                <w:rFonts w:hint="eastAsia" w:ascii="宋体" w:hAnsi="宋体" w:eastAsia="宋体" w:cs="宋体"/>
                <w:snapToGrid w:val="0"/>
                <w:color w:val="auto"/>
                <w:sz w:val="21"/>
                <w:szCs w:val="21"/>
                <w:highlight w:val="none"/>
                <w:lang w:val="en-US" w:eastAsia="zh-CN"/>
              </w:rPr>
              <w:t>主要施工机械设备配备齐全、设备管理制度完善、保障措施详实的得</w:t>
            </w:r>
            <w:r>
              <w:rPr>
                <w:rFonts w:hint="eastAsia" w:ascii="宋体" w:hAnsi="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lang w:val="en-US" w:eastAsia="zh-CN"/>
              </w:rPr>
              <w:t>分；</w:t>
            </w:r>
          </w:p>
          <w:p w14:paraId="4CC23B49">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②</w:t>
            </w:r>
            <w:r>
              <w:rPr>
                <w:rFonts w:hint="eastAsia" w:ascii="宋体" w:hAnsi="宋体" w:eastAsia="宋体" w:cs="宋体"/>
                <w:snapToGrid w:val="0"/>
                <w:color w:val="auto"/>
                <w:sz w:val="21"/>
                <w:szCs w:val="21"/>
                <w:highlight w:val="none"/>
                <w:lang w:val="en-US" w:eastAsia="zh-CN"/>
              </w:rPr>
              <w:t>主要施工机械设备配备较齐全、设备管理制度较完善、保障措施较详实的得</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lang w:val="en-US" w:eastAsia="zh-CN"/>
              </w:rPr>
              <w:t>分；</w:t>
            </w:r>
          </w:p>
          <w:p w14:paraId="622D8BD3">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③</w:t>
            </w:r>
            <w:r>
              <w:rPr>
                <w:rFonts w:hint="eastAsia" w:ascii="宋体" w:hAnsi="宋体" w:eastAsia="宋体" w:cs="宋体"/>
                <w:snapToGrid w:val="0"/>
                <w:color w:val="auto"/>
                <w:sz w:val="21"/>
                <w:szCs w:val="21"/>
                <w:highlight w:val="none"/>
                <w:lang w:val="en-US" w:eastAsia="zh-CN"/>
              </w:rPr>
              <w:t>主要施工机械设备配备不充分、设备管理制度不到位、保障措施缺失的得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lang w:val="en-US" w:eastAsia="zh-CN"/>
              </w:rPr>
              <w:t>分；</w:t>
            </w:r>
          </w:p>
          <w:p w14:paraId="198D9F77">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④</w:t>
            </w:r>
            <w:r>
              <w:rPr>
                <w:rFonts w:hint="eastAsia" w:ascii="宋体" w:hAnsi="宋体" w:eastAsia="宋体" w:cs="宋体"/>
                <w:snapToGrid w:val="0"/>
                <w:color w:val="auto"/>
                <w:sz w:val="21"/>
                <w:szCs w:val="21"/>
                <w:highlight w:val="none"/>
                <w:lang w:val="en-US" w:eastAsia="zh-CN"/>
              </w:rPr>
              <w:t>未提供主要施工机械设备的选用和管理的本项不得分。</w:t>
            </w:r>
          </w:p>
        </w:tc>
        <w:tc>
          <w:tcPr>
            <w:tcW w:w="313" w:type="pct"/>
            <w:vAlign w:val="center"/>
          </w:tcPr>
          <w:p w14:paraId="2C0114CB">
            <w:pPr>
              <w:snapToGrid w:val="0"/>
              <w:spacing w:line="24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202" w:type="pct"/>
            <w:vAlign w:val="center"/>
          </w:tcPr>
          <w:p w14:paraId="71DE776A">
            <w:pPr>
              <w:snapToGrid w:val="0"/>
              <w:spacing w:line="240" w:lineRule="auto"/>
              <w:jc w:val="center"/>
              <w:outlineLvl w:val="0"/>
              <w:rPr>
                <w:rFonts w:hint="eastAsia" w:ascii="宋体" w:hAnsi="宋体" w:eastAsia="宋体" w:cs="宋体"/>
                <w:bCs/>
                <w:color w:val="auto"/>
                <w:sz w:val="21"/>
                <w:szCs w:val="21"/>
                <w:highlight w:val="none"/>
                <w:lang w:val="en-US" w:eastAsia="zh-CN"/>
              </w:rPr>
            </w:pPr>
            <w:bookmarkStart w:id="414" w:name="_Toc24190"/>
            <w:r>
              <w:rPr>
                <w:rFonts w:hint="eastAsia" w:ascii="宋体" w:hAnsi="宋体" w:eastAsia="宋体" w:cs="宋体"/>
                <w:bCs/>
                <w:color w:val="auto"/>
                <w:sz w:val="21"/>
                <w:szCs w:val="21"/>
                <w:highlight w:val="none"/>
                <w:lang w:val="en-US" w:eastAsia="zh-CN"/>
              </w:rPr>
              <w:t>主观评审</w:t>
            </w:r>
            <w:bookmarkEnd w:id="414"/>
          </w:p>
        </w:tc>
        <w:tc>
          <w:tcPr>
            <w:tcW w:w="375" w:type="pct"/>
            <w:vAlign w:val="center"/>
          </w:tcPr>
          <w:p w14:paraId="58FF40FD">
            <w:pPr>
              <w:snapToGrid w:val="0"/>
              <w:spacing w:line="240" w:lineRule="auto"/>
              <w:jc w:val="center"/>
              <w:rPr>
                <w:rFonts w:hint="eastAsia" w:ascii="宋体" w:hAnsi="宋体" w:eastAsia="宋体" w:cs="宋体"/>
                <w:color w:val="auto"/>
                <w:sz w:val="21"/>
                <w:szCs w:val="21"/>
                <w:highlight w:val="none"/>
              </w:rPr>
            </w:pPr>
          </w:p>
        </w:tc>
      </w:tr>
      <w:tr w14:paraId="0ABB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254" w:type="pct"/>
            <w:vMerge w:val="continue"/>
            <w:vAlign w:val="center"/>
          </w:tcPr>
          <w:p w14:paraId="3C2659D4">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25BBC508">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3549" w:type="pct"/>
            <w:vAlign w:val="center"/>
          </w:tcPr>
          <w:p w14:paraId="24975421">
            <w:pPr>
              <w:snapToGrid w:val="0"/>
              <w:spacing w:line="24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拟派本项目人员配备情况</w:t>
            </w:r>
            <w:r>
              <w:rPr>
                <w:rFonts w:hint="eastAsia" w:ascii="宋体" w:hAnsi="宋体" w:eastAsia="宋体" w:cs="宋体"/>
                <w:b/>
                <w:bCs/>
                <w:snapToGrid w:val="0"/>
                <w:color w:val="auto"/>
                <w:sz w:val="21"/>
                <w:szCs w:val="21"/>
                <w:highlight w:val="none"/>
              </w:rPr>
              <w:t>（</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rPr>
              <w:t>分）</w:t>
            </w:r>
            <w:r>
              <w:rPr>
                <w:rFonts w:hint="eastAsia" w:ascii="宋体" w:hAnsi="宋体" w:eastAsia="宋体" w:cs="宋体"/>
                <w:b/>
                <w:bCs/>
                <w:snapToGrid w:val="0"/>
                <w:color w:val="auto"/>
                <w:sz w:val="21"/>
                <w:szCs w:val="21"/>
                <w:highlight w:val="none"/>
                <w:lang w:eastAsia="zh-CN"/>
              </w:rPr>
              <w:t>：</w:t>
            </w:r>
          </w:p>
          <w:p w14:paraId="1F18D0C1">
            <w:pPr>
              <w:snapToGrid w:val="0"/>
              <w:spacing w:line="24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根据供应商拟派本项目人员配备情况（包括但不仅限于项目经理、技术负责人、安全员、施工员、质量员从事本项目相关行业工作年限及经验等）进行评议：</w:t>
            </w:r>
          </w:p>
          <w:p w14:paraId="3FF3E7B4">
            <w:pPr>
              <w:snapToGrid w:val="0"/>
              <w:spacing w:line="24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①</w:t>
            </w:r>
            <w:r>
              <w:rPr>
                <w:rFonts w:hint="eastAsia" w:ascii="宋体" w:hAnsi="宋体" w:eastAsia="宋体" w:cs="宋体"/>
                <w:b w:val="0"/>
                <w:bCs w:val="0"/>
                <w:snapToGrid w:val="0"/>
                <w:color w:val="auto"/>
                <w:sz w:val="21"/>
                <w:szCs w:val="21"/>
                <w:highlight w:val="none"/>
                <w:lang w:val="en-US" w:eastAsia="zh-CN"/>
              </w:rPr>
              <w:t>拟派本项目人员配备齐全，经验丰富的得</w:t>
            </w:r>
            <w:r>
              <w:rPr>
                <w:rFonts w:hint="eastAsia" w:ascii="宋体" w:hAnsi="宋体" w:cs="宋体"/>
                <w:b w:val="0"/>
                <w:bCs w:val="0"/>
                <w:snapToGrid w:val="0"/>
                <w:color w:val="auto"/>
                <w:sz w:val="21"/>
                <w:szCs w:val="21"/>
                <w:highlight w:val="none"/>
                <w:lang w:val="en-US" w:eastAsia="zh-CN"/>
              </w:rPr>
              <w:t>6</w:t>
            </w:r>
            <w:r>
              <w:rPr>
                <w:rFonts w:hint="eastAsia" w:ascii="宋体" w:hAnsi="宋体" w:eastAsia="宋体" w:cs="宋体"/>
                <w:b w:val="0"/>
                <w:bCs w:val="0"/>
                <w:snapToGrid w:val="0"/>
                <w:color w:val="auto"/>
                <w:sz w:val="21"/>
                <w:szCs w:val="21"/>
                <w:highlight w:val="none"/>
                <w:lang w:val="en-US" w:eastAsia="zh-CN"/>
              </w:rPr>
              <w:t>分；</w:t>
            </w:r>
          </w:p>
          <w:p w14:paraId="29BBE2E9">
            <w:pPr>
              <w:snapToGrid w:val="0"/>
              <w:spacing w:line="24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②</w:t>
            </w:r>
            <w:r>
              <w:rPr>
                <w:rFonts w:hint="eastAsia" w:ascii="宋体" w:hAnsi="宋体" w:eastAsia="宋体" w:cs="宋体"/>
                <w:b w:val="0"/>
                <w:bCs w:val="0"/>
                <w:snapToGrid w:val="0"/>
                <w:color w:val="auto"/>
                <w:sz w:val="21"/>
                <w:szCs w:val="21"/>
                <w:highlight w:val="none"/>
                <w:lang w:val="en-US" w:eastAsia="zh-CN"/>
              </w:rPr>
              <w:t>拟派本项目人员配备较齐全、经验较丰富的得</w:t>
            </w:r>
            <w:r>
              <w:rPr>
                <w:rFonts w:hint="eastAsia" w:ascii="宋体" w:hAnsi="宋体" w:cs="宋体"/>
                <w:b w:val="0"/>
                <w:bCs w:val="0"/>
                <w:snapToGrid w:val="0"/>
                <w:color w:val="auto"/>
                <w:sz w:val="21"/>
                <w:szCs w:val="21"/>
                <w:highlight w:val="none"/>
                <w:lang w:val="en-US" w:eastAsia="zh-CN"/>
              </w:rPr>
              <w:t>4</w:t>
            </w:r>
            <w:r>
              <w:rPr>
                <w:rFonts w:hint="eastAsia" w:ascii="宋体" w:hAnsi="宋体" w:eastAsia="宋体" w:cs="宋体"/>
                <w:b w:val="0"/>
                <w:bCs w:val="0"/>
                <w:snapToGrid w:val="0"/>
                <w:color w:val="auto"/>
                <w:sz w:val="21"/>
                <w:szCs w:val="21"/>
                <w:highlight w:val="none"/>
                <w:lang w:val="en-US" w:eastAsia="zh-CN"/>
              </w:rPr>
              <w:t>分；</w:t>
            </w:r>
          </w:p>
          <w:p w14:paraId="294B4E98">
            <w:pPr>
              <w:snapToGrid w:val="0"/>
              <w:spacing w:line="24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③</w:t>
            </w:r>
            <w:r>
              <w:rPr>
                <w:rFonts w:hint="eastAsia" w:ascii="宋体" w:hAnsi="宋体" w:eastAsia="宋体" w:cs="宋体"/>
                <w:b w:val="0"/>
                <w:bCs w:val="0"/>
                <w:snapToGrid w:val="0"/>
                <w:color w:val="auto"/>
                <w:sz w:val="21"/>
                <w:szCs w:val="21"/>
                <w:highlight w:val="none"/>
                <w:lang w:val="en-US" w:eastAsia="zh-CN"/>
              </w:rPr>
              <w:t>拟派本项目人员配备不齐全，没有经验的得</w:t>
            </w:r>
            <w:r>
              <w:rPr>
                <w:rFonts w:hint="eastAsia" w:ascii="宋体" w:hAnsi="宋体" w:cs="宋体"/>
                <w:b w:val="0"/>
                <w:bCs w:val="0"/>
                <w:snapToGrid w:val="0"/>
                <w:color w:val="auto"/>
                <w:sz w:val="21"/>
                <w:szCs w:val="21"/>
                <w:highlight w:val="none"/>
                <w:lang w:val="en-US" w:eastAsia="zh-CN"/>
              </w:rPr>
              <w:t>2</w:t>
            </w:r>
            <w:r>
              <w:rPr>
                <w:rFonts w:hint="eastAsia" w:ascii="宋体" w:hAnsi="宋体" w:eastAsia="宋体" w:cs="宋体"/>
                <w:b w:val="0"/>
                <w:bCs w:val="0"/>
                <w:snapToGrid w:val="0"/>
                <w:color w:val="auto"/>
                <w:sz w:val="21"/>
                <w:szCs w:val="21"/>
                <w:highlight w:val="none"/>
                <w:lang w:val="en-US" w:eastAsia="zh-CN"/>
              </w:rPr>
              <w:t>分；</w:t>
            </w:r>
          </w:p>
          <w:p w14:paraId="05F768E5">
            <w:pPr>
              <w:snapToGrid w:val="0"/>
              <w:spacing w:line="240" w:lineRule="auto"/>
              <w:jc w:val="both"/>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④</w:t>
            </w:r>
            <w:r>
              <w:rPr>
                <w:rFonts w:hint="eastAsia" w:ascii="宋体" w:hAnsi="宋体" w:eastAsia="宋体" w:cs="宋体"/>
                <w:b w:val="0"/>
                <w:bCs w:val="0"/>
                <w:snapToGrid w:val="0"/>
                <w:color w:val="auto"/>
                <w:sz w:val="21"/>
                <w:szCs w:val="21"/>
                <w:highlight w:val="none"/>
                <w:lang w:val="en-US" w:eastAsia="zh-CN"/>
              </w:rPr>
              <w:t>未提供拟派本项目其他人员配备情况的不得分。</w:t>
            </w:r>
          </w:p>
        </w:tc>
        <w:tc>
          <w:tcPr>
            <w:tcW w:w="313" w:type="pct"/>
            <w:vAlign w:val="center"/>
          </w:tcPr>
          <w:p w14:paraId="2EE326B4">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202" w:type="pct"/>
            <w:vAlign w:val="center"/>
          </w:tcPr>
          <w:p w14:paraId="7FCF3957">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bookmarkStart w:id="415" w:name="_Toc31880"/>
            <w:r>
              <w:rPr>
                <w:rFonts w:hint="eastAsia" w:ascii="宋体" w:hAnsi="宋体" w:eastAsia="宋体" w:cs="宋体"/>
                <w:bCs/>
                <w:color w:val="auto"/>
                <w:sz w:val="21"/>
                <w:szCs w:val="21"/>
                <w:highlight w:val="none"/>
                <w:lang w:val="en-US" w:eastAsia="zh-CN"/>
              </w:rPr>
              <w:t>主观评审</w:t>
            </w:r>
            <w:bookmarkEnd w:id="415"/>
          </w:p>
        </w:tc>
        <w:tc>
          <w:tcPr>
            <w:tcW w:w="375" w:type="pct"/>
            <w:vAlign w:val="center"/>
          </w:tcPr>
          <w:p w14:paraId="4F99E96D">
            <w:pPr>
              <w:snapToGrid w:val="0"/>
              <w:spacing w:line="240" w:lineRule="auto"/>
              <w:jc w:val="center"/>
              <w:rPr>
                <w:rFonts w:hint="eastAsia" w:ascii="宋体" w:hAnsi="宋体" w:eastAsia="宋体" w:cs="宋体"/>
                <w:color w:val="auto"/>
                <w:sz w:val="21"/>
                <w:szCs w:val="21"/>
                <w:highlight w:val="none"/>
                <w:lang w:val="en-US" w:eastAsia="zh-CN"/>
              </w:rPr>
            </w:pPr>
          </w:p>
        </w:tc>
      </w:tr>
      <w:tr w14:paraId="0D27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vMerge w:val="continue"/>
            <w:vAlign w:val="center"/>
          </w:tcPr>
          <w:p w14:paraId="0ABD129C">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4D4F56F5">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3549" w:type="pct"/>
            <w:vAlign w:val="center"/>
          </w:tcPr>
          <w:p w14:paraId="224187A6">
            <w:pPr>
              <w:snapToGrid w:val="0"/>
              <w:spacing w:line="240" w:lineRule="auto"/>
              <w:jc w:val="both"/>
              <w:rPr>
                <w:rFonts w:hint="eastAsia" w:ascii="宋体" w:hAnsi="宋体" w:eastAsia="宋体" w:cs="宋体"/>
                <w:b/>
                <w:bCs/>
                <w:snapToGrid w:val="0"/>
                <w:color w:val="auto"/>
                <w:sz w:val="21"/>
                <w:szCs w:val="21"/>
                <w:highlight w:val="none"/>
                <w:lang w:val="zh-CN" w:eastAsia="zh-CN"/>
              </w:rPr>
            </w:pPr>
            <w:r>
              <w:rPr>
                <w:rFonts w:hint="eastAsia" w:ascii="宋体" w:hAnsi="宋体" w:eastAsia="宋体" w:cs="宋体"/>
                <w:b/>
                <w:bCs/>
                <w:snapToGrid w:val="0"/>
                <w:color w:val="auto"/>
                <w:sz w:val="21"/>
                <w:szCs w:val="21"/>
                <w:highlight w:val="none"/>
                <w:lang w:val="zh-CN" w:eastAsia="zh-CN"/>
              </w:rPr>
              <w:t>人员管理方案（</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zh-CN" w:eastAsia="zh-CN"/>
              </w:rPr>
              <w:t>分）：</w:t>
            </w:r>
          </w:p>
          <w:p w14:paraId="6950F150">
            <w:pPr>
              <w:snapToGrid w:val="0"/>
              <w:spacing w:line="240" w:lineRule="auto"/>
              <w:jc w:val="both"/>
              <w:rPr>
                <w:rFonts w:hint="eastAsia" w:ascii="宋体" w:hAnsi="宋体" w:eastAsia="宋体" w:cs="宋体"/>
                <w:snapToGrid w:val="0"/>
                <w:color w:val="auto"/>
                <w:sz w:val="21"/>
                <w:szCs w:val="21"/>
                <w:highlight w:val="none"/>
                <w:lang w:val="zh-CN" w:eastAsia="zh-CN"/>
              </w:rPr>
            </w:pPr>
            <w:r>
              <w:rPr>
                <w:rFonts w:hint="eastAsia" w:ascii="宋体" w:hAnsi="宋体" w:eastAsia="宋体" w:cs="宋体"/>
                <w:snapToGrid w:val="0"/>
                <w:color w:val="auto"/>
                <w:sz w:val="21"/>
                <w:szCs w:val="21"/>
                <w:highlight w:val="none"/>
                <w:lang w:val="zh-CN" w:eastAsia="zh-CN"/>
              </w:rPr>
              <w:t>根据供应商提供的本项目的人员管理方案（</w:t>
            </w:r>
            <w:r>
              <w:rPr>
                <w:rFonts w:hint="eastAsia" w:ascii="宋体" w:hAnsi="宋体" w:eastAsia="宋体" w:cs="宋体"/>
                <w:snapToGrid w:val="0"/>
                <w:color w:val="auto"/>
                <w:sz w:val="21"/>
                <w:szCs w:val="21"/>
                <w:highlight w:val="none"/>
                <w:lang w:val="en-US" w:eastAsia="zh-CN"/>
              </w:rPr>
              <w:t>包括但不限于</w:t>
            </w:r>
            <w:r>
              <w:rPr>
                <w:rFonts w:hint="eastAsia" w:ascii="宋体" w:hAnsi="宋体" w:eastAsia="宋体" w:cs="宋体"/>
                <w:snapToGrid w:val="0"/>
                <w:color w:val="auto"/>
                <w:sz w:val="21"/>
                <w:szCs w:val="21"/>
                <w:highlight w:val="none"/>
                <w:lang w:val="zh-CN" w:eastAsia="zh-CN"/>
              </w:rPr>
              <w:t>人员考核方案、人员管理规范等）进行评议</w:t>
            </w:r>
            <w:r>
              <w:rPr>
                <w:rFonts w:hint="eastAsia" w:ascii="宋体" w:hAnsi="宋体" w:cs="宋体"/>
                <w:snapToGrid w:val="0"/>
                <w:color w:val="auto"/>
                <w:sz w:val="21"/>
                <w:szCs w:val="21"/>
                <w:highlight w:val="none"/>
                <w:lang w:val="zh-CN" w:eastAsia="zh-CN"/>
              </w:rPr>
              <w:t>：</w:t>
            </w:r>
          </w:p>
          <w:p w14:paraId="5B522B80">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①方案内容合理、可行性强、完全满足采购需求的得</w:t>
            </w:r>
            <w:r>
              <w:rPr>
                <w:rFonts w:hint="eastAsia" w:ascii="宋体" w:hAnsi="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lang w:val="en-US" w:eastAsia="zh-CN"/>
              </w:rPr>
              <w:t>分；</w:t>
            </w:r>
          </w:p>
          <w:p w14:paraId="066BF770">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②方案内容基本合理、可行性一般、基本满足采购需求的得</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lang w:val="en-US" w:eastAsia="zh-CN"/>
              </w:rPr>
              <w:t>分；</w:t>
            </w:r>
          </w:p>
          <w:p w14:paraId="0ECA974F">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③方案可行性低、难以满足采购需求的得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lang w:val="en-US" w:eastAsia="zh-CN"/>
              </w:rPr>
              <w:t>分；</w:t>
            </w:r>
          </w:p>
          <w:p w14:paraId="3E7F2ADF">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④无相关内容不得分。</w:t>
            </w:r>
          </w:p>
        </w:tc>
        <w:tc>
          <w:tcPr>
            <w:tcW w:w="313" w:type="pct"/>
            <w:vAlign w:val="center"/>
          </w:tcPr>
          <w:p w14:paraId="1EBF0063">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202" w:type="pct"/>
            <w:vAlign w:val="center"/>
          </w:tcPr>
          <w:p w14:paraId="53153819">
            <w:pPr>
              <w:snapToGrid w:val="0"/>
              <w:spacing w:line="24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主观评审</w:t>
            </w:r>
          </w:p>
        </w:tc>
        <w:tc>
          <w:tcPr>
            <w:tcW w:w="375" w:type="pct"/>
            <w:vAlign w:val="center"/>
          </w:tcPr>
          <w:p w14:paraId="459B1424">
            <w:pPr>
              <w:snapToGrid w:val="0"/>
              <w:spacing w:line="240" w:lineRule="auto"/>
              <w:jc w:val="center"/>
              <w:rPr>
                <w:rFonts w:hint="eastAsia" w:ascii="宋体" w:hAnsi="宋体" w:eastAsia="宋体" w:cs="宋体"/>
                <w:color w:val="auto"/>
                <w:sz w:val="21"/>
                <w:szCs w:val="21"/>
                <w:highlight w:val="none"/>
                <w:lang w:val="en-US" w:eastAsia="zh-CN"/>
              </w:rPr>
            </w:pPr>
          </w:p>
        </w:tc>
      </w:tr>
      <w:tr w14:paraId="13FE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75E6DEC2">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34D6EB2A">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3549" w:type="pct"/>
            <w:vAlign w:val="center"/>
          </w:tcPr>
          <w:p w14:paraId="06C0F555">
            <w:pPr>
              <w:snapToGrid w:val="0"/>
              <w:spacing w:line="240" w:lineRule="auto"/>
              <w:jc w:val="both"/>
              <w:rPr>
                <w:rFonts w:hint="eastAsia" w:ascii="宋体" w:hAnsi="宋体" w:eastAsia="宋体" w:cs="宋体"/>
                <w:b/>
                <w:bCs/>
                <w:snapToGrid w:val="0"/>
                <w:color w:val="auto"/>
                <w:sz w:val="21"/>
                <w:szCs w:val="21"/>
                <w:highlight w:val="none"/>
                <w:lang w:eastAsia="zh-CN"/>
              </w:rPr>
            </w:pPr>
            <w:r>
              <w:rPr>
                <w:rFonts w:hint="eastAsia" w:ascii="宋体" w:hAnsi="宋体" w:eastAsia="宋体" w:cs="宋体"/>
                <w:b/>
                <w:bCs/>
                <w:snapToGrid w:val="0"/>
                <w:color w:val="auto"/>
                <w:sz w:val="21"/>
                <w:szCs w:val="21"/>
                <w:highlight w:val="none"/>
              </w:rPr>
              <w:t>产品保护措施（</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rPr>
              <w:t>分）</w:t>
            </w:r>
            <w:r>
              <w:rPr>
                <w:rFonts w:hint="eastAsia" w:ascii="宋体" w:hAnsi="宋体" w:eastAsia="宋体" w:cs="宋体"/>
                <w:b/>
                <w:bCs/>
                <w:snapToGrid w:val="0"/>
                <w:color w:val="auto"/>
                <w:sz w:val="21"/>
                <w:szCs w:val="21"/>
                <w:highlight w:val="none"/>
                <w:lang w:eastAsia="zh-CN"/>
              </w:rPr>
              <w:t>：</w:t>
            </w:r>
          </w:p>
          <w:p w14:paraId="0F347586">
            <w:pPr>
              <w:snapToGrid w:val="0"/>
              <w:spacing w:line="240" w:lineRule="auto"/>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根据供应商提供的本项目的产品保护措施（包括但不仅限于防止采购的原材料、样品、已完工的成品等失窃或失火）进行评议</w:t>
            </w:r>
            <w:r>
              <w:rPr>
                <w:rFonts w:hint="eastAsia" w:ascii="宋体" w:hAnsi="宋体" w:eastAsia="宋体" w:cs="宋体"/>
                <w:snapToGrid w:val="0"/>
                <w:color w:val="auto"/>
                <w:sz w:val="21"/>
                <w:szCs w:val="21"/>
                <w:highlight w:val="none"/>
                <w:lang w:eastAsia="zh-CN"/>
              </w:rPr>
              <w:t>：</w:t>
            </w:r>
          </w:p>
          <w:p w14:paraId="338AB243">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①保护措施内容合理、可行性强、完全满足采购需求的得</w:t>
            </w:r>
            <w:r>
              <w:rPr>
                <w:rFonts w:hint="eastAsia" w:ascii="宋体" w:hAnsi="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分；</w:t>
            </w:r>
          </w:p>
          <w:p w14:paraId="10D681A5">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②保护措施内容基本合理、可行性一般、基本满足采购需求的得</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p>
          <w:p w14:paraId="7AFB727F">
            <w:p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③保护措施合理、可行性低、难以满足采购需求的得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w:t>
            </w:r>
          </w:p>
          <w:p w14:paraId="22E41180">
            <w:pPr>
              <w:snapToGrid w:val="0"/>
              <w:spacing w:line="240" w:lineRule="auto"/>
              <w:jc w:val="both"/>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④未提供产品保护措施的不得分</w:t>
            </w:r>
            <w:r>
              <w:rPr>
                <w:rFonts w:hint="eastAsia" w:ascii="宋体" w:hAnsi="宋体" w:eastAsia="宋体" w:cs="宋体"/>
                <w:snapToGrid w:val="0"/>
                <w:color w:val="auto"/>
                <w:sz w:val="21"/>
                <w:szCs w:val="21"/>
                <w:highlight w:val="none"/>
                <w:lang w:eastAsia="zh-CN"/>
              </w:rPr>
              <w:t>。</w:t>
            </w:r>
          </w:p>
        </w:tc>
        <w:tc>
          <w:tcPr>
            <w:tcW w:w="313" w:type="pct"/>
            <w:vAlign w:val="center"/>
          </w:tcPr>
          <w:p w14:paraId="4DED9BCB">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202" w:type="pct"/>
            <w:vAlign w:val="center"/>
          </w:tcPr>
          <w:p w14:paraId="25790F46">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bookmarkStart w:id="416" w:name="_Toc3714"/>
            <w:r>
              <w:rPr>
                <w:rFonts w:hint="eastAsia" w:ascii="宋体" w:hAnsi="宋体" w:eastAsia="宋体" w:cs="宋体"/>
                <w:bCs/>
                <w:color w:val="auto"/>
                <w:sz w:val="21"/>
                <w:szCs w:val="21"/>
                <w:highlight w:val="none"/>
                <w:lang w:val="en-US" w:eastAsia="zh-CN"/>
              </w:rPr>
              <w:t>主观评审</w:t>
            </w:r>
            <w:bookmarkEnd w:id="416"/>
          </w:p>
        </w:tc>
        <w:tc>
          <w:tcPr>
            <w:tcW w:w="375" w:type="pct"/>
            <w:vAlign w:val="center"/>
          </w:tcPr>
          <w:p w14:paraId="0D4DE0EF">
            <w:pPr>
              <w:snapToGrid w:val="0"/>
              <w:spacing w:line="240" w:lineRule="auto"/>
              <w:jc w:val="center"/>
              <w:rPr>
                <w:rFonts w:hint="eastAsia" w:ascii="宋体" w:hAnsi="宋体" w:eastAsia="宋体" w:cs="宋体"/>
                <w:color w:val="auto"/>
                <w:sz w:val="21"/>
                <w:szCs w:val="21"/>
                <w:highlight w:val="none"/>
                <w:lang w:val="en-US" w:eastAsia="zh-CN"/>
              </w:rPr>
            </w:pPr>
          </w:p>
        </w:tc>
      </w:tr>
      <w:tr w14:paraId="343B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15366398">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vAlign w:val="center"/>
          </w:tcPr>
          <w:p w14:paraId="76F4559B">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3549" w:type="pct"/>
            <w:vAlign w:val="center"/>
          </w:tcPr>
          <w:p w14:paraId="4EC353FF">
            <w:pPr>
              <w:numPr>
                <w:ilvl w:val="-1"/>
                <w:numId w:val="0"/>
              </w:numPr>
              <w:snapToGrid w:val="0"/>
              <w:spacing w:line="240" w:lineRule="auto"/>
              <w:jc w:val="both"/>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售后</w:t>
            </w:r>
            <w:r>
              <w:rPr>
                <w:rFonts w:hint="eastAsia" w:ascii="宋体" w:hAnsi="宋体" w:eastAsia="宋体" w:cs="宋体"/>
                <w:b/>
                <w:bCs/>
                <w:snapToGrid w:val="0"/>
                <w:color w:val="auto"/>
                <w:sz w:val="21"/>
                <w:szCs w:val="21"/>
                <w:highlight w:val="none"/>
                <w:lang w:eastAsia="zh-CN"/>
              </w:rPr>
              <w:t>服务响应（</w:t>
            </w:r>
            <w:r>
              <w:rPr>
                <w:rFonts w:hint="eastAsia" w:ascii="宋体" w:hAnsi="宋体" w:cs="宋体"/>
                <w:b/>
                <w:bCs/>
                <w:snapToGrid w:val="0"/>
                <w:color w:val="auto"/>
                <w:sz w:val="21"/>
                <w:szCs w:val="21"/>
                <w:highlight w:val="none"/>
                <w:lang w:val="en-US" w:eastAsia="zh-CN"/>
              </w:rPr>
              <w:t>6</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r>
              <w:rPr>
                <w:rFonts w:hint="eastAsia" w:ascii="宋体" w:hAnsi="宋体" w:eastAsia="宋体" w:cs="宋体"/>
                <w:b/>
                <w:bCs/>
                <w:snapToGrid w:val="0"/>
                <w:color w:val="auto"/>
                <w:sz w:val="21"/>
                <w:szCs w:val="21"/>
                <w:highlight w:val="none"/>
              </w:rPr>
              <w:t>：</w:t>
            </w:r>
          </w:p>
          <w:p w14:paraId="5DFD638D">
            <w:pPr>
              <w:spacing w:line="240" w:lineRule="auto"/>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根据供应商提供的售后服务响应（包括但不限于保修期内接到采购人通知后到达时间、处理及时的承诺响应、一般事故、紧急抢修事故、涉及结构安全的质量问题等），服务措施等承诺函资料进行评议</w:t>
            </w:r>
            <w:r>
              <w:rPr>
                <w:rFonts w:hint="eastAsia" w:ascii="宋体" w:hAnsi="宋体" w:eastAsia="宋体" w:cs="宋体"/>
                <w:b w:val="0"/>
                <w:bCs w:val="0"/>
                <w:snapToGrid w:val="0"/>
                <w:color w:val="auto"/>
                <w:sz w:val="21"/>
                <w:szCs w:val="21"/>
                <w:highlight w:val="none"/>
                <w:lang w:val="en-US" w:eastAsia="zh-CN"/>
              </w:rPr>
              <w:t>：</w:t>
            </w:r>
          </w:p>
          <w:p w14:paraId="7C8B0B37">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rPr>
              <w:t>①</w:t>
            </w:r>
            <w:r>
              <w:rPr>
                <w:rFonts w:hint="eastAsia" w:ascii="宋体" w:hAnsi="宋体" w:eastAsia="宋体" w:cs="宋体"/>
                <w:color w:val="auto"/>
                <w:sz w:val="21"/>
                <w:szCs w:val="21"/>
                <w:highlight w:val="none"/>
                <w:lang w:val="en-US" w:eastAsia="zh-CN"/>
              </w:rPr>
              <w:t>响应时间迅速、处理方案完全满足采购需求的得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53E011B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rPr>
              <w:t>②</w:t>
            </w:r>
            <w:r>
              <w:rPr>
                <w:rFonts w:hint="eastAsia" w:ascii="宋体" w:hAnsi="宋体" w:eastAsia="宋体" w:cs="宋体"/>
                <w:color w:val="auto"/>
                <w:sz w:val="21"/>
                <w:szCs w:val="21"/>
                <w:highlight w:val="none"/>
                <w:lang w:val="en-US" w:eastAsia="zh-CN"/>
              </w:rPr>
              <w:t>响应时间及时、处理方案基本满足采购需求的得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8A62628">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rPr>
              <w:t>③</w:t>
            </w:r>
            <w:r>
              <w:rPr>
                <w:rFonts w:hint="eastAsia" w:ascii="宋体" w:hAnsi="宋体" w:eastAsia="宋体" w:cs="宋体"/>
                <w:color w:val="auto"/>
                <w:sz w:val="21"/>
                <w:szCs w:val="21"/>
                <w:highlight w:val="none"/>
                <w:lang w:val="en-US" w:eastAsia="zh-CN"/>
              </w:rPr>
              <w:t>响应时间不及时、处理方案难以满足采购需求的得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2B5911E">
            <w:pPr>
              <w:numPr>
                <w:ilvl w:val="-1"/>
                <w:numId w:val="0"/>
              </w:numPr>
              <w:snapToGrid w:val="0"/>
              <w:spacing w:line="240" w:lineRule="auto"/>
              <w:ind w:left="0" w:leftChars="0" w:firstLine="0" w:firstLineChars="0"/>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lang w:val="en-US" w:eastAsia="zh-CN"/>
              </w:rPr>
              <w:t>未提供的本项不得分。</w:t>
            </w:r>
          </w:p>
        </w:tc>
        <w:tc>
          <w:tcPr>
            <w:tcW w:w="313" w:type="pct"/>
            <w:vAlign w:val="center"/>
          </w:tcPr>
          <w:p w14:paraId="13FB11AA">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202" w:type="pct"/>
            <w:vAlign w:val="center"/>
          </w:tcPr>
          <w:p w14:paraId="5AFB811C">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bookmarkStart w:id="417" w:name="_Toc10666"/>
            <w:r>
              <w:rPr>
                <w:rFonts w:hint="eastAsia" w:ascii="宋体" w:hAnsi="宋体" w:eastAsia="宋体" w:cs="宋体"/>
                <w:bCs/>
                <w:color w:val="auto"/>
                <w:sz w:val="21"/>
                <w:szCs w:val="21"/>
                <w:highlight w:val="none"/>
                <w:lang w:val="en-US" w:eastAsia="zh-CN"/>
              </w:rPr>
              <w:t>主观评审</w:t>
            </w:r>
            <w:bookmarkEnd w:id="417"/>
          </w:p>
        </w:tc>
        <w:tc>
          <w:tcPr>
            <w:tcW w:w="375" w:type="pct"/>
            <w:vAlign w:val="center"/>
          </w:tcPr>
          <w:p w14:paraId="70F4AA29">
            <w:pPr>
              <w:snapToGrid w:val="0"/>
              <w:spacing w:line="240" w:lineRule="auto"/>
              <w:jc w:val="center"/>
              <w:rPr>
                <w:rFonts w:hint="eastAsia" w:ascii="宋体" w:hAnsi="宋体" w:eastAsia="宋体" w:cs="宋体"/>
                <w:color w:val="auto"/>
                <w:sz w:val="21"/>
                <w:szCs w:val="21"/>
                <w:highlight w:val="none"/>
                <w:lang w:val="en-US" w:eastAsia="zh-CN"/>
              </w:rPr>
            </w:pPr>
          </w:p>
        </w:tc>
      </w:tr>
      <w:tr w14:paraId="5269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62B322C2">
            <w:pPr>
              <w:snapToGrid w:val="0"/>
              <w:spacing w:line="240" w:lineRule="auto"/>
              <w:jc w:val="center"/>
              <w:rPr>
                <w:rFonts w:hint="eastAsia" w:ascii="宋体" w:hAnsi="宋体" w:eastAsia="宋体" w:cs="宋体"/>
                <w:color w:val="auto"/>
                <w:sz w:val="21"/>
                <w:szCs w:val="21"/>
                <w:highlight w:val="none"/>
                <w:lang w:val="en-US" w:eastAsia="zh-CN"/>
              </w:rPr>
            </w:pPr>
          </w:p>
        </w:tc>
        <w:tc>
          <w:tcPr>
            <w:tcW w:w="305" w:type="pct"/>
            <w:shd w:val="clear" w:color="auto" w:fill="auto"/>
            <w:vAlign w:val="center"/>
          </w:tcPr>
          <w:p w14:paraId="0DCD4BA1">
            <w:pPr>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3549" w:type="pct"/>
            <w:shd w:val="clear" w:color="auto" w:fill="auto"/>
            <w:vAlign w:val="center"/>
          </w:tcPr>
          <w:p w14:paraId="3CB3153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突发事件应急措施</w:t>
            </w:r>
            <w:r>
              <w:rPr>
                <w:rFonts w:hint="eastAsia" w:ascii="宋体" w:hAnsi="宋体" w:eastAsia="宋体" w:cs="宋体"/>
                <w:b/>
                <w:bCs/>
                <w:snapToGrid w:val="0"/>
                <w:color w:val="auto"/>
                <w:sz w:val="21"/>
                <w:szCs w:val="21"/>
                <w:highlight w:val="none"/>
                <w:lang w:eastAsia="zh-CN"/>
              </w:rPr>
              <w:t>（</w:t>
            </w:r>
            <w:r>
              <w:rPr>
                <w:rFonts w:hint="eastAsia" w:ascii="宋体" w:hAnsi="宋体" w:cs="宋体"/>
                <w:b/>
                <w:bCs/>
                <w:snapToGrid w:val="0"/>
                <w:color w:val="auto"/>
                <w:sz w:val="21"/>
                <w:szCs w:val="21"/>
                <w:highlight w:val="none"/>
                <w:lang w:val="en-US" w:eastAsia="zh-CN"/>
              </w:rPr>
              <w:t>5.5</w:t>
            </w:r>
            <w:r>
              <w:rPr>
                <w:rFonts w:hint="eastAsia" w:ascii="宋体" w:hAnsi="宋体" w:eastAsia="宋体" w:cs="宋体"/>
                <w:b/>
                <w:bCs/>
                <w:snapToGrid w:val="0"/>
                <w:color w:val="auto"/>
                <w:sz w:val="21"/>
                <w:szCs w:val="21"/>
                <w:highlight w:val="none"/>
                <w:lang w:val="en-US" w:eastAsia="zh-CN"/>
              </w:rPr>
              <w:t>分</w:t>
            </w:r>
            <w:r>
              <w:rPr>
                <w:rFonts w:hint="eastAsia" w:ascii="宋体" w:hAnsi="宋体" w:eastAsia="宋体" w:cs="宋体"/>
                <w:b/>
                <w:bCs/>
                <w:snapToGrid w:val="0"/>
                <w:color w:val="auto"/>
                <w:sz w:val="21"/>
                <w:szCs w:val="21"/>
                <w:highlight w:val="none"/>
                <w:lang w:eastAsia="zh-CN"/>
              </w:rPr>
              <w:t>）：</w:t>
            </w:r>
          </w:p>
          <w:p w14:paraId="04B1F5A7">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根据供应商提供的突发事件应急措施（包含但不仅限于发生火灾、触电、机械伤害、化学品伤害等事故的逃生和急救方案等）进行评议：</w:t>
            </w:r>
          </w:p>
          <w:p w14:paraId="7CDB0AC1">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rPr>
              <w:t>①</w:t>
            </w:r>
            <w:r>
              <w:rPr>
                <w:rFonts w:hint="eastAsia" w:ascii="宋体" w:hAnsi="宋体" w:eastAsia="宋体" w:cs="宋体"/>
                <w:color w:val="auto"/>
                <w:sz w:val="21"/>
                <w:szCs w:val="21"/>
                <w:highlight w:val="none"/>
                <w:lang w:val="en-US" w:eastAsia="zh-CN"/>
              </w:rPr>
              <w:t>应急措施方案完善，发生火灾、触电、机械伤害、化学品伤害等事故的逃生和急救方案具体有效，措施得力，可执行力度高的得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.5分；</w:t>
            </w:r>
          </w:p>
          <w:p w14:paraId="19F4BB3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rPr>
              <w:t>②</w:t>
            </w:r>
            <w:r>
              <w:rPr>
                <w:rFonts w:hint="eastAsia" w:ascii="宋体" w:hAnsi="宋体" w:eastAsia="宋体" w:cs="宋体"/>
                <w:color w:val="auto"/>
                <w:sz w:val="21"/>
                <w:szCs w:val="21"/>
                <w:highlight w:val="none"/>
                <w:lang w:val="en-US" w:eastAsia="zh-CN"/>
              </w:rPr>
              <w:t>应急措施方案内容充分，发生火灾、触电、机械伤害、化学品伤害等事故的逃生和急救方案措施得当，可执行力度较高的得3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58A1FD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rPr>
              <w:t>③</w:t>
            </w:r>
            <w:r>
              <w:rPr>
                <w:rFonts w:hint="eastAsia" w:ascii="宋体" w:hAnsi="宋体" w:eastAsia="宋体" w:cs="宋体"/>
                <w:color w:val="auto"/>
                <w:sz w:val="21"/>
                <w:szCs w:val="21"/>
                <w:highlight w:val="none"/>
                <w:lang w:val="en-US" w:eastAsia="zh-CN"/>
              </w:rPr>
              <w:t>应急措施方案内容简单，发生火灾、触电、机械伤害、化学品伤害等事故的逃生和急救方案措施不力，可执行力低的得1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51703C1">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④</w:t>
            </w:r>
            <w:r>
              <w:rPr>
                <w:rFonts w:hint="eastAsia" w:ascii="宋体" w:hAnsi="宋体" w:eastAsia="宋体" w:cs="宋体"/>
                <w:color w:val="auto"/>
                <w:sz w:val="21"/>
                <w:szCs w:val="21"/>
                <w:highlight w:val="none"/>
                <w:lang w:val="en-US" w:eastAsia="zh-CN"/>
              </w:rPr>
              <w:t>未提供突发事件应急措施的本项不得分。</w:t>
            </w:r>
          </w:p>
        </w:tc>
        <w:tc>
          <w:tcPr>
            <w:tcW w:w="313" w:type="pct"/>
            <w:shd w:val="clear" w:color="auto" w:fill="auto"/>
            <w:vAlign w:val="center"/>
          </w:tcPr>
          <w:p w14:paraId="4BFE5A92">
            <w:pPr>
              <w:snapToGrid w:val="0"/>
              <w:spacing w:line="24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5.5</w:t>
            </w:r>
          </w:p>
        </w:tc>
        <w:tc>
          <w:tcPr>
            <w:tcW w:w="202" w:type="pct"/>
            <w:shd w:val="clear" w:color="auto" w:fill="auto"/>
            <w:vAlign w:val="center"/>
          </w:tcPr>
          <w:p w14:paraId="38FF2A51">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主观评审</w:t>
            </w:r>
          </w:p>
        </w:tc>
        <w:tc>
          <w:tcPr>
            <w:tcW w:w="375" w:type="pct"/>
            <w:shd w:val="clear" w:color="auto" w:fill="auto"/>
            <w:vAlign w:val="center"/>
          </w:tcPr>
          <w:p w14:paraId="0910A58C">
            <w:pPr>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1A4A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vMerge w:val="continue"/>
            <w:vAlign w:val="center"/>
          </w:tcPr>
          <w:p w14:paraId="4C0DC14B">
            <w:pPr>
              <w:snapToGrid w:val="0"/>
              <w:spacing w:line="240" w:lineRule="auto"/>
              <w:jc w:val="center"/>
              <w:rPr>
                <w:rFonts w:hint="eastAsia" w:ascii="宋体" w:hAnsi="宋体" w:eastAsia="宋体" w:cs="宋体"/>
                <w:color w:val="auto"/>
                <w:sz w:val="21"/>
                <w:szCs w:val="21"/>
                <w:highlight w:val="yellow"/>
                <w:lang w:val="en-US" w:eastAsia="zh-CN"/>
              </w:rPr>
            </w:pPr>
          </w:p>
        </w:tc>
        <w:tc>
          <w:tcPr>
            <w:tcW w:w="305" w:type="pct"/>
            <w:vAlign w:val="center"/>
          </w:tcPr>
          <w:p w14:paraId="1D78B4A3">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3549" w:type="pct"/>
            <w:vAlign w:val="center"/>
          </w:tcPr>
          <w:p w14:paraId="648B877C">
            <w:pPr>
              <w:numPr>
                <w:ilvl w:val="-1"/>
                <w:numId w:val="0"/>
              </w:numPr>
              <w:snapToGrid w:val="0"/>
              <w:spacing w:line="240" w:lineRule="auto"/>
              <w:jc w:val="both"/>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业绩</w:t>
            </w:r>
            <w:r>
              <w:rPr>
                <w:rFonts w:hint="eastAsia" w:ascii="宋体" w:hAnsi="宋体" w:eastAsia="宋体" w:cs="宋体"/>
                <w:b/>
                <w:bCs/>
                <w:snapToGrid w:val="0"/>
                <w:color w:val="auto"/>
                <w:sz w:val="21"/>
                <w:szCs w:val="21"/>
                <w:highlight w:val="none"/>
                <w:lang w:eastAsia="zh-CN"/>
              </w:rPr>
              <w:t>（</w:t>
            </w:r>
            <w:r>
              <w:rPr>
                <w:rFonts w:hint="eastAsia" w:ascii="宋体" w:hAnsi="宋体" w:eastAsia="宋体" w:cs="宋体"/>
                <w:b/>
                <w:bCs/>
                <w:snapToGrid w:val="0"/>
                <w:color w:val="auto"/>
                <w:sz w:val="21"/>
                <w:szCs w:val="21"/>
                <w:highlight w:val="none"/>
                <w:lang w:val="en-US" w:eastAsia="zh-CN"/>
              </w:rPr>
              <w:t>0.5分</w:t>
            </w:r>
            <w:r>
              <w:rPr>
                <w:rFonts w:hint="eastAsia" w:ascii="宋体" w:hAnsi="宋体" w:eastAsia="宋体" w:cs="宋体"/>
                <w:b/>
                <w:bCs/>
                <w:snapToGrid w:val="0"/>
                <w:color w:val="auto"/>
                <w:sz w:val="21"/>
                <w:szCs w:val="21"/>
                <w:highlight w:val="none"/>
                <w:lang w:eastAsia="zh-CN"/>
              </w:rPr>
              <w:t>）</w:t>
            </w:r>
            <w:r>
              <w:rPr>
                <w:rFonts w:hint="eastAsia" w:ascii="宋体" w:hAnsi="宋体" w:eastAsia="宋体" w:cs="宋体"/>
                <w:b/>
                <w:bCs/>
                <w:snapToGrid w:val="0"/>
                <w:color w:val="auto"/>
                <w:sz w:val="21"/>
                <w:szCs w:val="21"/>
                <w:highlight w:val="none"/>
              </w:rPr>
              <w:t>：</w:t>
            </w:r>
          </w:p>
          <w:p w14:paraId="5DF99152">
            <w:pPr>
              <w:numPr>
                <w:ilvl w:val="-1"/>
                <w:numId w:val="0"/>
              </w:numPr>
              <w:snapToGrid w:val="0"/>
              <w:spacing w:line="240" w:lineRule="auto"/>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自202</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年1月1日以来</w:t>
            </w:r>
            <w:r>
              <w:rPr>
                <w:rFonts w:hint="eastAsia" w:ascii="宋体" w:hAnsi="宋体" w:eastAsia="宋体" w:cs="宋体"/>
                <w:snapToGrid w:val="0"/>
                <w:color w:val="auto"/>
                <w:sz w:val="21"/>
                <w:szCs w:val="21"/>
                <w:highlight w:val="none"/>
                <w:lang w:eastAsia="zh-CN"/>
              </w:rPr>
              <w:t>（以合同签订时间为准）</w:t>
            </w:r>
            <w:r>
              <w:rPr>
                <w:rFonts w:hint="eastAsia" w:ascii="宋体" w:hAnsi="宋体" w:eastAsia="宋体" w:cs="宋体"/>
                <w:snapToGrid w:val="0"/>
                <w:color w:val="auto"/>
                <w:sz w:val="21"/>
                <w:szCs w:val="21"/>
                <w:highlight w:val="none"/>
              </w:rPr>
              <w:t>供应商承接过类似项目的，每提供1个有效业绩得</w:t>
            </w:r>
            <w:r>
              <w:rPr>
                <w:rFonts w:hint="eastAsia" w:ascii="宋体" w:hAnsi="宋体" w:eastAsia="宋体" w:cs="宋体"/>
                <w:snapToGrid w:val="0"/>
                <w:color w:val="auto"/>
                <w:sz w:val="21"/>
                <w:szCs w:val="21"/>
                <w:highlight w:val="none"/>
                <w:lang w:val="en-US" w:eastAsia="zh-CN"/>
              </w:rPr>
              <w:t>0.5</w:t>
            </w:r>
            <w:r>
              <w:rPr>
                <w:rFonts w:hint="eastAsia" w:ascii="宋体" w:hAnsi="宋体" w:eastAsia="宋体" w:cs="宋体"/>
                <w:snapToGrid w:val="0"/>
                <w:color w:val="auto"/>
                <w:sz w:val="21"/>
                <w:szCs w:val="21"/>
                <w:highlight w:val="none"/>
              </w:rPr>
              <w:t>分，本项最高</w:t>
            </w:r>
            <w:r>
              <w:rPr>
                <w:rFonts w:hint="eastAsia" w:ascii="宋体" w:hAnsi="宋体" w:eastAsia="宋体" w:cs="宋体"/>
                <w:snapToGrid w:val="0"/>
                <w:color w:val="auto"/>
                <w:sz w:val="21"/>
                <w:szCs w:val="21"/>
                <w:highlight w:val="none"/>
                <w:lang w:eastAsia="zh-CN"/>
              </w:rPr>
              <w:t>得</w:t>
            </w:r>
            <w:r>
              <w:rPr>
                <w:rFonts w:hint="eastAsia" w:ascii="宋体" w:hAnsi="宋体" w:eastAsia="宋体" w:cs="宋体"/>
                <w:snapToGrid w:val="0"/>
                <w:color w:val="auto"/>
                <w:sz w:val="21"/>
                <w:szCs w:val="21"/>
                <w:highlight w:val="none"/>
                <w:lang w:val="en-US" w:eastAsia="zh-CN"/>
              </w:rPr>
              <w:t>0.5</w:t>
            </w:r>
            <w:r>
              <w:rPr>
                <w:rFonts w:hint="eastAsia" w:ascii="宋体" w:hAnsi="宋体" w:eastAsia="宋体" w:cs="宋体"/>
                <w:snapToGrid w:val="0"/>
                <w:color w:val="auto"/>
                <w:sz w:val="21"/>
                <w:szCs w:val="21"/>
                <w:highlight w:val="none"/>
              </w:rPr>
              <w:t>分。</w:t>
            </w:r>
          </w:p>
          <w:p w14:paraId="220A7050">
            <w:pPr>
              <w:spacing w:line="240" w:lineRule="auto"/>
              <w:rPr>
                <w:rFonts w:hint="eastAsia" w:ascii="宋体" w:hAnsi="宋体" w:eastAsia="宋体" w:cs="宋体"/>
                <w:color w:val="auto"/>
                <w:sz w:val="21"/>
                <w:szCs w:val="21"/>
                <w:highlight w:val="none"/>
              </w:rPr>
            </w:pPr>
            <w:r>
              <w:rPr>
                <w:rFonts w:hint="eastAsia" w:ascii="宋体" w:hAnsi="宋体" w:eastAsia="宋体" w:cs="宋体"/>
                <w:b/>
                <w:bCs/>
                <w:snapToGrid w:val="0"/>
                <w:color w:val="auto"/>
                <w:sz w:val="21"/>
                <w:szCs w:val="21"/>
                <w:highlight w:val="none"/>
                <w:lang w:val="en-US" w:eastAsia="zh-CN"/>
              </w:rPr>
              <w:t>注：</w:t>
            </w:r>
            <w:r>
              <w:rPr>
                <w:rFonts w:hint="eastAsia" w:ascii="宋体" w:hAnsi="宋体" w:eastAsia="宋体" w:cs="宋体"/>
                <w:b/>
                <w:bCs/>
                <w:snapToGrid w:val="0"/>
                <w:color w:val="auto"/>
                <w:sz w:val="21"/>
                <w:szCs w:val="21"/>
                <w:highlight w:val="none"/>
              </w:rPr>
              <w:t>磋商响应文件中提供合同关键页、竣工验收报告复印件并加盖供应商公章，缺一不得分。</w:t>
            </w:r>
          </w:p>
        </w:tc>
        <w:tc>
          <w:tcPr>
            <w:tcW w:w="313" w:type="pct"/>
            <w:vAlign w:val="center"/>
          </w:tcPr>
          <w:p w14:paraId="31246C1F">
            <w:pPr>
              <w:snapToGrid w:val="0"/>
              <w:spacing w:line="24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0.5</w:t>
            </w:r>
          </w:p>
        </w:tc>
        <w:tc>
          <w:tcPr>
            <w:tcW w:w="202" w:type="pct"/>
            <w:vAlign w:val="center"/>
          </w:tcPr>
          <w:p w14:paraId="0321C6BA">
            <w:pPr>
              <w:snapToGrid w:val="0"/>
              <w:spacing w:line="240" w:lineRule="auto"/>
              <w:jc w:val="center"/>
              <w:outlineLvl w:val="0"/>
              <w:rPr>
                <w:rFonts w:hint="eastAsia" w:ascii="宋体" w:hAnsi="宋体" w:eastAsia="宋体" w:cs="宋体"/>
                <w:bCs/>
                <w:color w:val="auto"/>
                <w:kern w:val="2"/>
                <w:sz w:val="21"/>
                <w:szCs w:val="21"/>
                <w:highlight w:val="none"/>
                <w:lang w:val="en-US" w:eastAsia="zh-CN" w:bidi="ar-SA"/>
              </w:rPr>
            </w:pPr>
            <w:bookmarkStart w:id="418" w:name="_Toc3303"/>
            <w:r>
              <w:rPr>
                <w:rFonts w:hint="eastAsia" w:ascii="宋体" w:hAnsi="宋体" w:eastAsia="宋体" w:cs="宋体"/>
                <w:bCs/>
                <w:color w:val="auto"/>
                <w:sz w:val="21"/>
                <w:szCs w:val="21"/>
                <w:highlight w:val="none"/>
                <w:lang w:val="en-US" w:eastAsia="zh-CN"/>
              </w:rPr>
              <w:t>客观评审</w:t>
            </w:r>
            <w:bookmarkEnd w:id="418"/>
          </w:p>
        </w:tc>
        <w:tc>
          <w:tcPr>
            <w:tcW w:w="375" w:type="pct"/>
            <w:vAlign w:val="center"/>
          </w:tcPr>
          <w:p w14:paraId="7B8B9755">
            <w:pPr>
              <w:snapToGrid w:val="0"/>
              <w:spacing w:line="240" w:lineRule="auto"/>
              <w:jc w:val="center"/>
              <w:rPr>
                <w:rFonts w:hint="eastAsia" w:ascii="宋体" w:hAnsi="宋体" w:eastAsia="宋体" w:cs="宋体"/>
                <w:color w:val="auto"/>
                <w:sz w:val="21"/>
                <w:szCs w:val="21"/>
                <w:highlight w:val="none"/>
              </w:rPr>
            </w:pPr>
          </w:p>
        </w:tc>
      </w:tr>
      <w:tr w14:paraId="0FBD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14:paraId="4FD12C6C">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p w14:paraId="05BDBE30">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3854" w:type="pct"/>
            <w:gridSpan w:val="2"/>
            <w:vAlign w:val="center"/>
          </w:tcPr>
          <w:p w14:paraId="091E5E95">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满足磋商文件要求且最后报价最低的供应商的价格为磋商基准价，其价格分为10分</w:t>
            </w:r>
            <w:r>
              <w:rPr>
                <w:rFonts w:hint="eastAsia" w:ascii="宋体" w:hAnsi="宋体" w:eastAsia="宋体" w:cs="宋体"/>
                <w:bCs/>
                <w:color w:val="auto"/>
                <w:sz w:val="21"/>
                <w:szCs w:val="21"/>
                <w:highlight w:val="none"/>
              </w:rPr>
              <w:t>。其他</w:t>
            </w:r>
            <w:r>
              <w:rPr>
                <w:rFonts w:hint="eastAsia" w:ascii="宋体" w:hAnsi="宋体" w:eastAsia="宋体" w:cs="宋体"/>
                <w:bCs/>
                <w:color w:val="auto"/>
                <w:sz w:val="21"/>
                <w:szCs w:val="21"/>
                <w:highlight w:val="none"/>
                <w:lang w:val="en-US" w:eastAsia="zh-CN"/>
              </w:rPr>
              <w:t>供应商的</w:t>
            </w:r>
            <w:r>
              <w:rPr>
                <w:rFonts w:hint="eastAsia" w:ascii="宋体" w:hAnsi="宋体" w:eastAsia="宋体" w:cs="宋体"/>
                <w:bCs/>
                <w:color w:val="auto"/>
                <w:sz w:val="21"/>
                <w:szCs w:val="21"/>
                <w:highlight w:val="none"/>
              </w:rPr>
              <w:t>报价得分计算公式如下：</w:t>
            </w:r>
          </w:p>
          <w:p w14:paraId="28303BB3">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报价得分=（</w:t>
            </w:r>
            <w:r>
              <w:rPr>
                <w:rFonts w:hint="eastAsia" w:ascii="宋体" w:hAnsi="宋体" w:eastAsia="宋体" w:cs="宋体"/>
                <w:bCs/>
                <w:color w:val="auto"/>
                <w:sz w:val="21"/>
                <w:szCs w:val="21"/>
                <w:highlight w:val="none"/>
                <w:lang w:val="en-US" w:eastAsia="zh-CN"/>
              </w:rPr>
              <w:t>磋商基准价/最后磋商报价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%×100。</w:t>
            </w:r>
          </w:p>
          <w:p w14:paraId="11A3BC67">
            <w:pPr>
              <w:tabs>
                <w:tab w:val="left" w:pos="0"/>
              </w:tabs>
              <w:spacing w:line="300" w:lineRule="exac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注：最终报价是指磋商结束后，磋商小组要求所有实质性响应的供应商在规定时间内提交的最后报价。</w:t>
            </w:r>
          </w:p>
        </w:tc>
        <w:tc>
          <w:tcPr>
            <w:tcW w:w="313" w:type="pct"/>
            <w:vAlign w:val="center"/>
          </w:tcPr>
          <w:p w14:paraId="24895CD0">
            <w:pPr>
              <w:snapToGrid w:val="0"/>
              <w:spacing w:line="24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202" w:type="pct"/>
            <w:vAlign w:val="center"/>
          </w:tcPr>
          <w:p w14:paraId="7792582F">
            <w:pPr>
              <w:snapToGrid w:val="0"/>
              <w:spacing w:line="240" w:lineRule="auto"/>
              <w:jc w:val="center"/>
              <w:outlineLvl w:val="0"/>
              <w:rPr>
                <w:rFonts w:hint="eastAsia" w:ascii="宋体" w:hAnsi="宋体" w:eastAsia="宋体" w:cs="宋体"/>
                <w:bCs/>
                <w:color w:val="auto"/>
                <w:sz w:val="21"/>
                <w:szCs w:val="21"/>
                <w:highlight w:val="none"/>
                <w:lang w:val="en-US" w:eastAsia="zh-CN"/>
              </w:rPr>
            </w:pPr>
            <w:bookmarkStart w:id="419" w:name="_Toc28150"/>
            <w:r>
              <w:rPr>
                <w:rFonts w:hint="eastAsia" w:ascii="宋体" w:hAnsi="宋体" w:eastAsia="宋体" w:cs="宋体"/>
                <w:bCs/>
                <w:color w:val="auto"/>
                <w:sz w:val="21"/>
                <w:szCs w:val="21"/>
                <w:highlight w:val="none"/>
                <w:lang w:val="en-US" w:eastAsia="zh-CN"/>
              </w:rPr>
              <w:t>客观评审</w:t>
            </w:r>
            <w:bookmarkEnd w:id="419"/>
          </w:p>
        </w:tc>
        <w:tc>
          <w:tcPr>
            <w:tcW w:w="375" w:type="pct"/>
            <w:vAlign w:val="center"/>
          </w:tcPr>
          <w:p w14:paraId="5453AC2B">
            <w:pPr>
              <w:snapToGrid w:val="0"/>
              <w:spacing w:line="240" w:lineRule="auto"/>
              <w:jc w:val="center"/>
              <w:rPr>
                <w:rFonts w:hint="eastAsia" w:ascii="宋体" w:hAnsi="宋体" w:eastAsia="宋体" w:cs="宋体"/>
                <w:color w:val="auto"/>
                <w:sz w:val="21"/>
                <w:szCs w:val="21"/>
                <w:highlight w:val="none"/>
              </w:rPr>
            </w:pPr>
          </w:p>
        </w:tc>
      </w:tr>
      <w:tr w14:paraId="517D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8" w:type="pct"/>
            <w:gridSpan w:val="3"/>
            <w:vAlign w:val="center"/>
          </w:tcPr>
          <w:p w14:paraId="08C33323">
            <w:pPr>
              <w:tabs>
                <w:tab w:val="left" w:pos="0"/>
              </w:tabs>
              <w:spacing w:line="30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cs="宋体"/>
                <w:szCs w:val="21"/>
                <w:highlight w:val="none"/>
              </w:rPr>
              <w:t>满分100分</w:t>
            </w:r>
          </w:p>
        </w:tc>
        <w:tc>
          <w:tcPr>
            <w:tcW w:w="313" w:type="pct"/>
            <w:vAlign w:val="center"/>
          </w:tcPr>
          <w:p w14:paraId="1658C88F">
            <w:pPr>
              <w:snapToGrid w:val="0"/>
              <w:spacing w:line="24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w:t>
            </w:r>
          </w:p>
        </w:tc>
        <w:tc>
          <w:tcPr>
            <w:tcW w:w="202" w:type="pct"/>
            <w:vAlign w:val="center"/>
          </w:tcPr>
          <w:p w14:paraId="4CAE1B04">
            <w:pPr>
              <w:snapToGrid w:val="0"/>
              <w:spacing w:line="240" w:lineRule="auto"/>
              <w:jc w:val="center"/>
              <w:outlineLvl w:val="0"/>
              <w:rPr>
                <w:rFonts w:hint="eastAsia" w:ascii="宋体" w:hAnsi="宋体" w:eastAsia="宋体" w:cs="宋体"/>
                <w:bCs/>
                <w:color w:val="auto"/>
                <w:sz w:val="21"/>
                <w:szCs w:val="21"/>
                <w:highlight w:val="none"/>
                <w:lang w:val="en-US" w:eastAsia="zh-CN"/>
              </w:rPr>
            </w:pPr>
          </w:p>
        </w:tc>
        <w:tc>
          <w:tcPr>
            <w:tcW w:w="375" w:type="pct"/>
            <w:vAlign w:val="center"/>
          </w:tcPr>
          <w:p w14:paraId="093D671F">
            <w:pPr>
              <w:snapToGrid w:val="0"/>
              <w:spacing w:line="240" w:lineRule="auto"/>
              <w:jc w:val="center"/>
              <w:rPr>
                <w:rFonts w:hint="eastAsia" w:ascii="宋体" w:hAnsi="宋体" w:eastAsia="宋体" w:cs="宋体"/>
                <w:color w:val="auto"/>
                <w:sz w:val="21"/>
                <w:szCs w:val="21"/>
                <w:highlight w:val="none"/>
              </w:rPr>
            </w:pPr>
          </w:p>
        </w:tc>
      </w:tr>
    </w:tbl>
    <w:p w14:paraId="4EC185A3">
      <w:pPr>
        <w:snapToGrid w:val="0"/>
        <w:spacing w:line="360" w:lineRule="auto"/>
        <w:rPr>
          <w:rFonts w:ascii="宋体" w:hAnsi="宋体" w:cs="宋体"/>
          <w:b/>
          <w:szCs w:val="21"/>
        </w:rPr>
      </w:pPr>
      <w:r>
        <w:rPr>
          <w:rFonts w:hint="eastAsia" w:ascii="宋体" w:hAnsi="宋体" w:cs="宋体"/>
          <w:b/>
          <w:szCs w:val="21"/>
        </w:rPr>
        <w:t>备注：1、供应商编制响应文件时，建议按此目录（序号和内容）提供评审标准相应的商务技术资料。</w:t>
      </w:r>
    </w:p>
    <w:p w14:paraId="538AC7B5">
      <w:pPr>
        <w:snapToGrid w:val="0"/>
        <w:spacing w:line="360" w:lineRule="auto"/>
        <w:ind w:firstLine="632" w:firstLineChars="300"/>
        <w:rPr>
          <w:rFonts w:ascii="宋体" w:hAnsi="宋体" w:cs="宋体"/>
          <w:b/>
          <w:szCs w:val="21"/>
        </w:rPr>
      </w:pPr>
      <w:r>
        <w:rPr>
          <w:rFonts w:hint="eastAsia" w:ascii="宋体" w:hAnsi="宋体" w:cs="宋体"/>
          <w:b/>
          <w:szCs w:val="21"/>
        </w:rPr>
        <w:t>2、小数点后保留二位数。</w:t>
      </w:r>
    </w:p>
    <w:p w14:paraId="56005162">
      <w:pPr>
        <w:snapToGrid w:val="0"/>
        <w:spacing w:line="360" w:lineRule="auto"/>
        <w:ind w:firstLine="632" w:firstLineChars="300"/>
        <w:rPr>
          <w:rFonts w:ascii="宋体" w:hAnsi="宋体" w:cs="宋体"/>
          <w:b/>
          <w:szCs w:val="21"/>
        </w:rPr>
      </w:pPr>
      <w:r>
        <w:rPr>
          <w:rFonts w:hint="eastAsia" w:ascii="宋体" w:hAnsi="宋体" w:cs="宋体"/>
          <w:b/>
          <w:szCs w:val="21"/>
        </w:rPr>
        <w:t>3、各磋商小组成员自行按以上参考分值评分。</w:t>
      </w:r>
    </w:p>
    <w:p w14:paraId="6B70BCA9">
      <w:pPr>
        <w:snapToGrid w:val="0"/>
        <w:spacing w:line="360" w:lineRule="auto"/>
        <w:ind w:firstLine="632" w:firstLineChars="300"/>
        <w:rPr>
          <w:rFonts w:ascii="宋体" w:hAnsi="宋体" w:cs="宋体"/>
          <w:b/>
          <w:szCs w:val="21"/>
        </w:rPr>
      </w:pPr>
      <w:r>
        <w:rPr>
          <w:rFonts w:hint="eastAsia" w:ascii="宋体" w:hAnsi="宋体" w:cs="宋体"/>
          <w:b/>
          <w:szCs w:val="21"/>
        </w:rPr>
        <w:t>4、重大事件由磋商小组集体讨论，应当按照少数服从多数的原则作出结论。</w:t>
      </w:r>
    </w:p>
    <w:p w14:paraId="6246F4CA">
      <w:pPr>
        <w:snapToGrid w:val="0"/>
        <w:spacing w:line="360" w:lineRule="auto"/>
        <w:ind w:firstLine="964" w:firstLineChars="300"/>
        <w:rPr>
          <w:rFonts w:ascii="宋体" w:hAnsi="宋体" w:cs="宋体"/>
          <w:b/>
          <w:szCs w:val="21"/>
        </w:rPr>
      </w:pPr>
      <w:r>
        <w:rPr>
          <w:rFonts w:hint="eastAsia" w:ascii="宋体" w:hAnsi="宋体" w:cs="宋体"/>
          <w:b/>
          <w:color w:val="auto"/>
          <w:sz w:val="32"/>
          <w:highlight w:val="none"/>
        </w:rPr>
        <w:br w:type="page"/>
      </w:r>
    </w:p>
    <w:p w14:paraId="68AC38B3">
      <w:pPr>
        <w:jc w:val="left"/>
        <w:rPr>
          <w:rFonts w:ascii="宋体" w:hAnsi="宋体" w:cs="宋体"/>
          <w:b/>
          <w:color w:val="auto"/>
          <w:sz w:val="32"/>
          <w:highlight w:val="none"/>
        </w:rPr>
      </w:pPr>
    </w:p>
    <w:p w14:paraId="5514EEF9">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一、评审方法</w:t>
      </w:r>
    </w:p>
    <w:p w14:paraId="408228A5">
      <w:pPr>
        <w:adjustRightInd/>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综合评分法，是指响应文件满足</w:t>
      </w:r>
      <w:r>
        <w:rPr>
          <w:rFonts w:hint="eastAsia" w:ascii="宋体" w:hAnsi="宋体" w:eastAsia="宋体" w:cs="宋体"/>
          <w:color w:val="auto"/>
          <w:kern w:val="0"/>
          <w:sz w:val="21"/>
          <w:szCs w:val="21"/>
          <w:highlight w:val="none"/>
          <w:lang w:val="en-US" w:eastAsia="zh-CN"/>
        </w:rPr>
        <w:t>竞争性</w:t>
      </w:r>
      <w:r>
        <w:rPr>
          <w:rFonts w:hint="eastAsia" w:ascii="宋体" w:hAnsi="宋体" w:eastAsia="宋体" w:cs="宋体"/>
          <w:color w:val="auto"/>
          <w:kern w:val="0"/>
          <w:sz w:val="21"/>
          <w:szCs w:val="21"/>
          <w:highlight w:val="none"/>
        </w:rPr>
        <w:t>磋商文件全部实质性要求且按评审因素的量化指标评审得分最高的供应商为成交候选供应商的评审方法。</w:t>
      </w:r>
    </w:p>
    <w:p w14:paraId="747E422B">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44AF5899">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评审标准：</w:t>
      </w:r>
      <w:r>
        <w:rPr>
          <w:rFonts w:hint="eastAsia" w:ascii="宋体" w:hAnsi="宋体" w:eastAsia="宋体" w:cs="宋体"/>
          <w:color w:val="auto"/>
          <w:kern w:val="0"/>
          <w:sz w:val="21"/>
          <w:szCs w:val="21"/>
          <w:highlight w:val="none"/>
        </w:rPr>
        <w:t>见评审办法前附表。</w:t>
      </w:r>
    </w:p>
    <w:p w14:paraId="1CF9A664">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1FB67906">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4DDE0F94">
      <w:pPr>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3.2 磋商。</w:t>
      </w:r>
      <w:r>
        <w:rPr>
          <w:rFonts w:hint="eastAsia" w:ascii="宋体" w:hAnsi="宋体" w:eastAsia="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1"/>
          <w:szCs w:val="21"/>
          <w:highlight w:val="none"/>
        </w:rPr>
        <w:t>符合性审查合格的</w:t>
      </w:r>
      <w:r>
        <w:rPr>
          <w:rFonts w:hint="eastAsia" w:ascii="宋体" w:hAnsi="宋体" w:eastAsia="宋体" w:cs="宋体"/>
          <w:color w:val="auto"/>
          <w:sz w:val="21"/>
          <w:szCs w:val="21"/>
          <w:highlight w:val="none"/>
        </w:rPr>
        <w:t>供应商逐一进行磋商。</w:t>
      </w:r>
    </w:p>
    <w:p w14:paraId="18A71EAD">
      <w:pPr>
        <w:spacing w:line="360" w:lineRule="auto"/>
        <w:ind w:firstLine="411" w:firstLineChars="196"/>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3.2.1 </w:t>
      </w:r>
      <w:r>
        <w:rPr>
          <w:rFonts w:hint="eastAsia" w:ascii="宋体" w:hAnsi="宋体" w:eastAsia="宋体" w:cs="宋体"/>
          <w:b/>
          <w:color w:val="auto"/>
          <w:sz w:val="21"/>
          <w:szCs w:val="21"/>
          <w:highlight w:val="none"/>
        </w:rPr>
        <w:t>磋商轮次根据实际情况进行。</w:t>
      </w:r>
    </w:p>
    <w:p w14:paraId="38066036">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3.2.2 </w:t>
      </w:r>
      <w:r>
        <w:rPr>
          <w:rFonts w:hint="eastAsia" w:ascii="宋体" w:hAnsi="宋体" w:eastAsia="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27D7B2B7">
      <w:pPr>
        <w:spacing w:line="360" w:lineRule="auto"/>
        <w:ind w:firstLine="411" w:firstLineChars="196"/>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 xml:space="preserve">3.2.3 </w:t>
      </w:r>
      <w:r>
        <w:rPr>
          <w:rFonts w:hint="eastAsia" w:ascii="宋体" w:hAnsi="宋体" w:eastAsia="宋体" w:cs="宋体"/>
          <w:b/>
          <w:bCs/>
          <w:color w:val="auto"/>
          <w:sz w:val="21"/>
          <w:szCs w:val="21"/>
          <w:highlight w:val="none"/>
        </w:rPr>
        <w:t>在磋商过程中，磋商小组可以根据</w:t>
      </w:r>
      <w:r>
        <w:rPr>
          <w:rFonts w:hint="eastAsia" w:ascii="宋体" w:hAnsi="宋体" w:eastAsia="宋体" w:cs="宋体"/>
          <w:b/>
          <w:bCs/>
          <w:color w:val="auto"/>
          <w:sz w:val="21"/>
          <w:szCs w:val="21"/>
          <w:highlight w:val="none"/>
          <w:lang w:val="en-US" w:eastAsia="zh-CN"/>
        </w:rPr>
        <w:t>竞争性</w:t>
      </w:r>
      <w:r>
        <w:rPr>
          <w:rFonts w:hint="eastAsia" w:ascii="宋体" w:hAnsi="宋体" w:eastAsia="宋体" w:cs="宋体"/>
          <w:b/>
          <w:bCs/>
          <w:color w:val="auto"/>
          <w:sz w:val="21"/>
          <w:szCs w:val="21"/>
          <w:highlight w:val="none"/>
        </w:rPr>
        <w:t>磋商文件和磋商情况实质性变动采购需求中技术、服务要求以及合同草案中的条款，但不得变动</w:t>
      </w:r>
      <w:r>
        <w:rPr>
          <w:rFonts w:hint="eastAsia" w:ascii="宋体" w:hAnsi="宋体" w:eastAsia="宋体" w:cs="宋体"/>
          <w:b/>
          <w:bCs/>
          <w:color w:val="auto"/>
          <w:sz w:val="21"/>
          <w:szCs w:val="21"/>
          <w:highlight w:val="none"/>
          <w:lang w:val="en-US" w:eastAsia="zh-CN"/>
        </w:rPr>
        <w:t>竞争性</w:t>
      </w:r>
      <w:r>
        <w:rPr>
          <w:rFonts w:hint="eastAsia" w:ascii="宋体" w:hAnsi="宋体" w:eastAsia="宋体" w:cs="宋体"/>
          <w:b/>
          <w:bCs/>
          <w:color w:val="auto"/>
          <w:sz w:val="21"/>
          <w:szCs w:val="21"/>
          <w:highlight w:val="none"/>
        </w:rPr>
        <w:t>磋商文件中的其他内容。</w:t>
      </w:r>
      <w:r>
        <w:rPr>
          <w:rFonts w:hint="eastAsia" w:ascii="宋体" w:hAnsi="宋体" w:eastAsia="宋体" w:cs="宋体"/>
          <w:color w:val="auto"/>
          <w:sz w:val="21"/>
          <w:szCs w:val="21"/>
          <w:highlight w:val="none"/>
        </w:rPr>
        <w:t>实质性变动的内容，须经采购人代表确认。磋商文件有实质性变动的，磋商小组将以书面形式通知所有</w:t>
      </w:r>
      <w:r>
        <w:rPr>
          <w:rFonts w:hint="eastAsia" w:ascii="宋体" w:hAnsi="宋体" w:eastAsia="宋体" w:cs="宋体"/>
          <w:color w:val="auto"/>
          <w:kern w:val="0"/>
          <w:sz w:val="21"/>
          <w:szCs w:val="21"/>
          <w:highlight w:val="none"/>
        </w:rPr>
        <w:t>符合性审查合格的</w:t>
      </w:r>
      <w:r>
        <w:rPr>
          <w:rFonts w:hint="eastAsia" w:ascii="宋体" w:hAnsi="宋体" w:eastAsia="宋体" w:cs="宋体"/>
          <w:color w:val="auto"/>
          <w:sz w:val="21"/>
          <w:szCs w:val="21"/>
          <w:highlight w:val="none"/>
        </w:rPr>
        <w:t xml:space="preserve">供应商。 </w:t>
      </w:r>
    </w:p>
    <w:p w14:paraId="35BFA0E5">
      <w:pPr>
        <w:spacing w:line="360" w:lineRule="auto"/>
        <w:ind w:firstLine="411" w:firstLineChars="196"/>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6A003A9">
      <w:pPr>
        <w:spacing w:line="360" w:lineRule="auto"/>
        <w:ind w:firstLine="413" w:firstLineChars="196"/>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3.3最后报价</w:t>
      </w:r>
    </w:p>
    <w:p w14:paraId="46762AB2">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270B16F">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9E7836B">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3.3.3 已提交响应文件的供应商，在提交最后报价之前，可以根据磋商情况退出磋商</w:t>
      </w:r>
      <w:r>
        <w:rPr>
          <w:rFonts w:hint="eastAsia" w:ascii="宋体" w:hAnsi="宋体" w:eastAsia="宋体" w:cs="宋体"/>
          <w:color w:val="auto"/>
          <w:kern w:val="0"/>
          <w:sz w:val="21"/>
          <w:szCs w:val="21"/>
          <w:highlight w:val="none"/>
          <w:lang w:eastAsia="zh-CN"/>
        </w:rPr>
        <w:t>。如供应商未按磋商小组的要求在规定的时间内提交最后报价的，视为退出磋商。</w:t>
      </w:r>
    </w:p>
    <w:p w14:paraId="79E75919">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3.4 综合评分。</w:t>
      </w:r>
      <w:r>
        <w:rPr>
          <w:rFonts w:hint="eastAsia" w:ascii="宋体" w:hAnsi="宋体" w:eastAsia="宋体" w:cs="宋体"/>
          <w:bCs/>
          <w:color w:val="auto"/>
          <w:kern w:val="0"/>
          <w:sz w:val="21"/>
          <w:szCs w:val="21"/>
          <w:highlight w:val="none"/>
        </w:rPr>
        <w:t>经磋商确定最终采购需求和提交最后报价的供应商后，</w:t>
      </w:r>
      <w:r>
        <w:rPr>
          <w:rFonts w:hint="eastAsia" w:ascii="宋体" w:hAnsi="宋体" w:eastAsia="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6B984A75">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3.5汇总商务技术得分。</w:t>
      </w:r>
      <w:r>
        <w:rPr>
          <w:rFonts w:hint="eastAsia" w:ascii="宋体" w:hAnsi="宋体" w:eastAsia="宋体" w:cs="宋体"/>
          <w:color w:val="auto"/>
          <w:kern w:val="0"/>
          <w:sz w:val="21"/>
          <w:szCs w:val="21"/>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86A0446">
      <w:pPr>
        <w:spacing w:line="360" w:lineRule="auto"/>
        <w:ind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3.6报价评审</w:t>
      </w:r>
    </w:p>
    <w:p w14:paraId="7B15772B">
      <w:pPr>
        <w:pStyle w:val="135"/>
        <w:spacing w:before="0"/>
        <w:ind w:firstLine="445" w:firstLineChars="212"/>
        <w:rPr>
          <w:rFonts w:hint="eastAsia" w:ascii="宋体" w:hAnsi="宋体" w:eastAsia="宋体" w:cs="宋体"/>
          <w:kern w:val="0"/>
          <w:sz w:val="21"/>
          <w:szCs w:val="21"/>
        </w:rPr>
      </w:pPr>
      <w:r>
        <w:rPr>
          <w:rFonts w:hint="eastAsia" w:ascii="宋体" w:hAnsi="宋体" w:eastAsia="宋体" w:cs="宋体"/>
          <w:kern w:val="0"/>
          <w:sz w:val="21"/>
          <w:szCs w:val="21"/>
        </w:rPr>
        <w:t>3.6.1响应文件报价出现前后不一致的，按照下列规定修正（修正原则）：</w:t>
      </w:r>
    </w:p>
    <w:p w14:paraId="1E9A9D3A">
      <w:pPr>
        <w:pStyle w:val="135"/>
        <w:spacing w:before="0"/>
        <w:ind w:firstLine="420"/>
        <w:rPr>
          <w:rFonts w:hint="eastAsia" w:ascii="宋体" w:hAnsi="宋体" w:eastAsia="宋体" w:cs="宋体"/>
          <w:kern w:val="0"/>
          <w:sz w:val="21"/>
          <w:szCs w:val="21"/>
        </w:rPr>
      </w:pPr>
      <w:r>
        <w:rPr>
          <w:rFonts w:hint="eastAsia" w:ascii="宋体" w:hAnsi="宋体" w:eastAsia="宋体" w:cs="宋体"/>
          <w:kern w:val="0"/>
          <w:sz w:val="21"/>
          <w:szCs w:val="21"/>
        </w:rPr>
        <w:t>3.6.1.1大写金额和小写金额不一致的，以大写金额为准；</w:t>
      </w:r>
    </w:p>
    <w:p w14:paraId="23BBB57E">
      <w:pPr>
        <w:pStyle w:val="135"/>
        <w:spacing w:before="0"/>
        <w:ind w:firstLine="420"/>
        <w:rPr>
          <w:rFonts w:hint="eastAsia" w:ascii="宋体" w:hAnsi="宋体" w:eastAsia="宋体" w:cs="宋体"/>
          <w:kern w:val="0"/>
          <w:sz w:val="21"/>
          <w:szCs w:val="21"/>
        </w:rPr>
      </w:pPr>
      <w:r>
        <w:rPr>
          <w:rFonts w:hint="eastAsia" w:ascii="宋体" w:hAnsi="宋体" w:eastAsia="宋体" w:cs="宋体"/>
          <w:kern w:val="0"/>
          <w:sz w:val="21"/>
          <w:szCs w:val="21"/>
        </w:rPr>
        <w:t>3.6.1.2同时出现两种以上不一致的，按照3.6.1规定的顺序修正。修正后的报价经供应商确认后产生约束力。</w:t>
      </w:r>
    </w:p>
    <w:p w14:paraId="45EE8665">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3.6.2响应文件出现不是唯一的、有选择性最后报价的，响应文件无效。</w:t>
      </w:r>
    </w:p>
    <w:p w14:paraId="36CFF6D2">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3.6.3最后报价超过采购文件中规定的预算金额或者最高限价的，响应文件无效。</w:t>
      </w:r>
    </w:p>
    <w:p w14:paraId="5E28B1C8">
      <w:pPr>
        <w:pStyle w:val="135"/>
        <w:spacing w:before="0"/>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rPr>
        <w:t>3.6.4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1%的扣除，用扣除后的价格参加评审。组成联合体或者接受分包的小微企业与联合体内其他企业、分</w:t>
      </w:r>
      <w:r>
        <w:rPr>
          <w:rFonts w:hint="eastAsia" w:ascii="宋体" w:hAnsi="宋体" w:eastAsia="宋体" w:cs="宋体"/>
          <w:kern w:val="0"/>
          <w:sz w:val="21"/>
          <w:szCs w:val="21"/>
          <w:highlight w:val="none"/>
        </w:rPr>
        <w:t>包企业之间存在直接控股、管理关系的，不享受价格扣除优惠政策。</w:t>
      </w:r>
    </w:p>
    <w:p w14:paraId="392FD370">
      <w:pPr>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3.7排序与推荐。</w:t>
      </w:r>
      <w:r>
        <w:rPr>
          <w:rFonts w:hint="eastAsia" w:ascii="宋体" w:hAnsi="宋体" w:eastAsia="宋体" w:cs="宋体"/>
          <w:color w:val="auto"/>
          <w:kern w:val="0"/>
          <w:sz w:val="21"/>
          <w:szCs w:val="21"/>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成交候选供应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 w:eastAsia="zh-CN"/>
        </w:rPr>
        <w:t>本项目推荐的</w:t>
      </w:r>
      <w:r>
        <w:rPr>
          <w:rFonts w:hint="eastAsia" w:ascii="宋体" w:hAnsi="宋体" w:eastAsia="宋体" w:cs="宋体"/>
          <w:color w:val="auto"/>
          <w:kern w:val="0"/>
          <w:sz w:val="21"/>
          <w:szCs w:val="21"/>
          <w:highlight w:val="none"/>
        </w:rPr>
        <w:t>成交候选供应商</w:t>
      </w:r>
      <w:r>
        <w:rPr>
          <w:rFonts w:hint="eastAsia" w:ascii="宋体" w:hAnsi="宋体" w:eastAsia="宋体" w:cs="宋体"/>
          <w:color w:val="auto"/>
          <w:kern w:val="0"/>
          <w:sz w:val="21"/>
          <w:szCs w:val="21"/>
          <w:highlight w:val="none"/>
          <w:lang w:val="en" w:eastAsia="zh-CN"/>
        </w:rPr>
        <w:t>数量：</w:t>
      </w:r>
      <w:r>
        <w:rPr>
          <w:rFonts w:hint="eastAsia" w:ascii="宋体" w:hAnsi="宋体" w:eastAsia="宋体" w:cs="宋体"/>
          <w:color w:val="auto"/>
          <w:kern w:val="0"/>
          <w:sz w:val="21"/>
          <w:szCs w:val="21"/>
          <w:highlight w:val="none"/>
          <w:lang w:val="en-US" w:eastAsia="zh-CN"/>
        </w:rPr>
        <w:t>3家</w:t>
      </w:r>
      <w:r>
        <w:rPr>
          <w:rFonts w:hint="eastAsia" w:ascii="宋体" w:hAnsi="宋体" w:eastAsia="宋体" w:cs="宋体"/>
          <w:color w:val="auto"/>
          <w:kern w:val="0"/>
          <w:sz w:val="21"/>
          <w:szCs w:val="21"/>
          <w:highlight w:val="none"/>
          <w:lang w:val="en" w:eastAsia="zh-CN"/>
        </w:rPr>
        <w:t>。</w:t>
      </w:r>
    </w:p>
    <w:p w14:paraId="5D1D64DF">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3.8编写评审报告。</w:t>
      </w:r>
      <w:r>
        <w:rPr>
          <w:rFonts w:hint="eastAsia" w:ascii="宋体" w:hAnsi="宋体" w:eastAsia="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00F78EF">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2CA8CE5F">
      <w:pPr>
        <w:pStyle w:val="135"/>
        <w:spacing w:before="0"/>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4.1供应商澄清、说明或者补正。</w:t>
      </w:r>
      <w:r>
        <w:rPr>
          <w:rFonts w:hint="eastAsia" w:ascii="宋体" w:hAnsi="宋体" w:eastAsia="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A2FBBA9">
      <w:pPr>
        <w:pStyle w:val="24"/>
        <w:spacing w:line="360" w:lineRule="auto"/>
        <w:ind w:left="954" w:leftChars="226" w:hanging="479" w:firstLineChars="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4.2响应文件无效。</w:t>
      </w:r>
      <w:r>
        <w:rPr>
          <w:rFonts w:hint="eastAsia" w:ascii="宋体" w:hAnsi="宋体" w:eastAsia="宋体" w:cs="宋体"/>
          <w:color w:val="auto"/>
          <w:sz w:val="21"/>
          <w:szCs w:val="21"/>
          <w:highlight w:val="none"/>
        </w:rPr>
        <w:t>有下列情形之一的，响应文件无效：</w:t>
      </w:r>
    </w:p>
    <w:p w14:paraId="7DC84E3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4.2.1供应商不具备采购文件中规定的资格要求的（供应商未提供有效的资格文件的，视为供应商不具备采购文件中规定的资格要求）；</w:t>
      </w:r>
    </w:p>
    <w:p w14:paraId="305D118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4.2.2响应文件未按照采购文件要求签署、盖章的；</w:t>
      </w:r>
    </w:p>
    <w:p w14:paraId="0CEA750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27024E7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4.2.4响应文件含有采购人不能接受的附加条件的；</w:t>
      </w:r>
    </w:p>
    <w:p w14:paraId="1708947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4.2.5响应文件中承诺的响应文件有效期少于采购文件中载明的响应文件有效期的；</w:t>
      </w:r>
    </w:p>
    <w:p w14:paraId="4C8BA5C9">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4.2.6响应文件出现不是唯一的、有选择性最后报价的；</w:t>
      </w:r>
    </w:p>
    <w:p w14:paraId="440385C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4.2.7最后报价超过采购文件中规定的预算金额或者最高限价的；</w:t>
      </w:r>
    </w:p>
    <w:p w14:paraId="45035F1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3BE18E1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4.2.9供应商对根据修正原则修正后的报价不确认的；</w:t>
      </w:r>
    </w:p>
    <w:p w14:paraId="0C4924F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4.2.10供应商提供虚假材料响应的；</w:t>
      </w:r>
    </w:p>
    <w:p w14:paraId="256C1DA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4.2.11供应商有恶意串通、妨碍其他供应商的竞争行为、损害采购人或者其他供应商的合法权益情形的；</w:t>
      </w:r>
    </w:p>
    <w:p w14:paraId="0F339B4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4.2.12供应商仅提交备份响应文件，未在电子交易平台传输递交响应文件的，响应文件无效；</w:t>
      </w:r>
    </w:p>
    <w:p w14:paraId="7118BA1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4.2.13 响应文件不满足采购文件的其它实质性要求的；</w:t>
      </w:r>
    </w:p>
    <w:p w14:paraId="6EF72B25">
      <w:pPr>
        <w:adjustRightInd/>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4.2.1</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参与同一个采购包（标段）的供应商存在下列情形之一且无法合理解释的，其投标（响应）文件无效：</w:t>
      </w:r>
    </w:p>
    <w:p w14:paraId="350A5AD6">
      <w:pPr>
        <w:adjustRightInd/>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（1）不同供应商的电子响应文件上传计算机的网卡MAC地址或硬盘序列号等硬件信息相同的。</w:t>
      </w:r>
    </w:p>
    <w:p w14:paraId="72440D8C">
      <w:pPr>
        <w:adjustRightInd/>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（2）上传的电子响应文件若出现使用本项目其他响应供应商的数字证书加密的，或者加盖本项目其他响应供应商的电子印章的。</w:t>
      </w:r>
    </w:p>
    <w:p w14:paraId="1F500370">
      <w:pPr>
        <w:adjustRightInd/>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（3）不同供应商的响应文件的内容存在3处（含）以上错误一致的。</w:t>
      </w:r>
    </w:p>
    <w:p w14:paraId="4340E8D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（4）不同供应商联系人为同一人或不同联系人的联系电话一致的。</w:t>
      </w:r>
    </w:p>
    <w:p w14:paraId="53C3635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6021105C">
      <w:pPr>
        <w:pStyle w:val="24"/>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5.终止竞争性磋商采购活动。</w:t>
      </w:r>
      <w:r>
        <w:rPr>
          <w:rFonts w:hint="eastAsia" w:ascii="宋体" w:hAnsi="宋体" w:eastAsia="宋体" w:cs="宋体"/>
          <w:color w:val="auto"/>
          <w:sz w:val="21"/>
          <w:szCs w:val="21"/>
          <w:highlight w:val="none"/>
        </w:rPr>
        <w:t>出现下列情形之一的，采购人或者采购代理机构应当终止竞争性磋商采购活动，发布项目终止公告并说明原因，重新开展采购活动：</w:t>
      </w:r>
    </w:p>
    <w:p w14:paraId="7C5F05F8">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5.1因情况变化，不再符合规定的竞争性磋商采购方式适用情形的；</w:t>
      </w:r>
    </w:p>
    <w:p w14:paraId="1C84A59F">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4127A69D">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sz w:val="21"/>
          <w:szCs w:val="21"/>
        </w:rPr>
        <w:t>除《政府采购竞争性磋商采购方式管理暂行办法》第三条第四项情形外，在采购过程中符合要求的供应商或者报价未超过采购预算的供应商不足3家的</w:t>
      </w:r>
      <w:r>
        <w:rPr>
          <w:rFonts w:hint="eastAsia" w:ascii="宋体" w:hAnsi="宋体" w:eastAsia="宋体" w:cs="宋体"/>
          <w:color w:val="auto"/>
          <w:sz w:val="21"/>
          <w:szCs w:val="21"/>
          <w:highlight w:val="none"/>
        </w:rPr>
        <w:t>。</w:t>
      </w:r>
    </w:p>
    <w:p w14:paraId="3DE37BD3">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3C2C3F9">
      <w:pPr>
        <w:pStyle w:val="24"/>
        <w:snapToGrid w:val="0"/>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6.重新开展采购。</w:t>
      </w:r>
      <w:r>
        <w:rPr>
          <w:rFonts w:hint="eastAsia" w:ascii="宋体" w:hAnsi="宋体" w:eastAsia="宋体" w:cs="宋体"/>
          <w:color w:val="auto"/>
          <w:sz w:val="21"/>
          <w:szCs w:val="21"/>
          <w:highlight w:val="none"/>
        </w:rPr>
        <w:t>有政府采购法第七十一条、第七十二条规定的违法行为之一，影响或者可能影响成交结果的，依照下列规定处理：</w:t>
      </w:r>
    </w:p>
    <w:p w14:paraId="6C949F7D">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6.1未确定成交供应商的，终止本次政府采购活动，重新开展政府采购活动。</w:t>
      </w:r>
    </w:p>
    <w:p w14:paraId="0C680C9F">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32E660AC">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1DBC9E3B">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6.4政府采购合同已经履行，给采购人、供应商造成损失的，由责任人承担赔偿责任。</w:t>
      </w:r>
    </w:p>
    <w:p w14:paraId="5FE33F1F">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0732843">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五、磋商小组的组成</w:t>
      </w:r>
    </w:p>
    <w:p w14:paraId="7166E2BB">
      <w:pPr>
        <w:spacing w:line="348" w:lineRule="auto"/>
        <w:rPr>
          <w:rFonts w:hint="eastAsia" w:ascii="宋体" w:hAnsi="宋体" w:eastAsia="宋体" w:cs="宋体"/>
          <w:b/>
          <w:kern w:val="0"/>
          <w:sz w:val="21"/>
          <w:szCs w:val="21"/>
        </w:rPr>
      </w:pPr>
      <w:r>
        <w:rPr>
          <w:rFonts w:hint="eastAsia" w:ascii="宋体" w:hAnsi="宋体" w:eastAsia="宋体" w:cs="宋体"/>
          <w:b/>
          <w:kern w:val="0"/>
          <w:sz w:val="21"/>
          <w:szCs w:val="21"/>
        </w:rPr>
        <w:t>1.磋商小组的组成。</w:t>
      </w:r>
    </w:p>
    <w:p w14:paraId="4BB34120">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0CC26AA">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67CE1CD">
      <w:pPr>
        <w:snapToGrid w:val="0"/>
        <w:spacing w:line="348" w:lineRule="auto"/>
        <w:rPr>
          <w:rFonts w:hint="eastAsia" w:ascii="宋体" w:hAnsi="宋体" w:eastAsia="宋体" w:cs="宋体"/>
          <w:b/>
          <w:kern w:val="0"/>
          <w:sz w:val="21"/>
          <w:szCs w:val="21"/>
        </w:rPr>
      </w:pPr>
      <w:r>
        <w:rPr>
          <w:rFonts w:hint="eastAsia" w:ascii="宋体" w:hAnsi="宋体" w:eastAsia="宋体" w:cs="宋体"/>
          <w:b/>
          <w:kern w:val="0"/>
          <w:sz w:val="21"/>
          <w:szCs w:val="21"/>
        </w:rPr>
        <w:t>2.磋商小组的组成人员的回避。</w:t>
      </w:r>
    </w:p>
    <w:p w14:paraId="3B8E992F">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在政府采购活动中，磋商小组的组成人员与供应商有下列利害关系之一的，应当回避：</w:t>
      </w:r>
    </w:p>
    <w:p w14:paraId="2C30A726">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2.1参加采购活动前三年内，与供应商存在劳动关系，或者担任过供应商的董事、监事，或者是供应商的控股股东或实际控制人；</w:t>
      </w:r>
    </w:p>
    <w:p w14:paraId="144EA411">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2.2与供应商的法定代表人或者负责人有夫妻、直系血亲、三代以内旁系血亲或者近姻亲关系；</w:t>
      </w:r>
    </w:p>
    <w:p w14:paraId="14BA9F36">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2.3与供应商有其他可能影响政府采购活动公平、公正进行的关系。</w:t>
      </w:r>
    </w:p>
    <w:p w14:paraId="7F4AC506">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2.4参与过采购项目进口产品论证。</w:t>
      </w:r>
    </w:p>
    <w:p w14:paraId="26990552">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2.5通过随机抽到本单位的评审专家，采购人已经指定了采购人代表，该评审专家应当回避，采购人自行选定相应专业领域评审专家情形除外。</w:t>
      </w:r>
    </w:p>
    <w:p w14:paraId="62B32578">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2.6法律、法规、规章规定应当回避以及其他可能影响公正评审的。</w:t>
      </w:r>
    </w:p>
    <w:p w14:paraId="616A0F3F">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六、磋商小组的职责</w:t>
      </w:r>
    </w:p>
    <w:p w14:paraId="0ED402F1">
      <w:pPr>
        <w:spacing w:line="348" w:lineRule="auto"/>
        <w:rPr>
          <w:rFonts w:hint="eastAsia" w:ascii="宋体" w:hAnsi="宋体" w:eastAsia="宋体" w:cs="宋体"/>
          <w:b/>
          <w:kern w:val="0"/>
          <w:sz w:val="21"/>
          <w:szCs w:val="21"/>
        </w:rPr>
      </w:pPr>
      <w:r>
        <w:rPr>
          <w:rFonts w:hint="eastAsia" w:ascii="宋体" w:hAnsi="宋体" w:eastAsia="宋体" w:cs="宋体"/>
          <w:b/>
          <w:kern w:val="0"/>
          <w:sz w:val="21"/>
          <w:szCs w:val="21"/>
        </w:rPr>
        <w:t>1.磋商小组负责具体评审事务，并独立履行下列职责：</w:t>
      </w:r>
    </w:p>
    <w:p w14:paraId="2424E2EA">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1.1对响应文件的有效性、完整性和响应程度进行审查；</w:t>
      </w:r>
    </w:p>
    <w:p w14:paraId="230AD350">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1.2审查、评价响应文件是否符合磋商文件的商务、技术等实质性要求；</w:t>
      </w:r>
    </w:p>
    <w:p w14:paraId="559FE071">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1.3要求供应商对响应文件有关事项作出澄清、说明或者更正；</w:t>
      </w:r>
    </w:p>
    <w:p w14:paraId="0C6A9AF4">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1.4磋商小组集中与单一供应商分别进行磋商；</w:t>
      </w:r>
    </w:p>
    <w:p w14:paraId="5C07CB0B">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1.5确定磋商文件的变动情况，并确定提交最后报价的供应商；</w:t>
      </w:r>
    </w:p>
    <w:p w14:paraId="778FDE51">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1.6根据磋商文件确定的评审办法及评审标准对提交最后报价的供应商的响应文件和最后报价采用综合评分法进行综合评分；</w:t>
      </w:r>
    </w:p>
    <w:p w14:paraId="6D0BD557">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1.7编制评审报告，确定成交候选人名单，以及根据采购人委托直接确定成交人；</w:t>
      </w:r>
    </w:p>
    <w:p w14:paraId="5B5C650C">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1.8向采购人、采购代理机构或者有关部门报告评审中发现的违法行为；</w:t>
      </w:r>
    </w:p>
    <w:p w14:paraId="0A30B8F7">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1.9法律、法规、规章、磋商文件等规定的其他事项。</w:t>
      </w:r>
    </w:p>
    <w:p w14:paraId="7494958C">
      <w:pPr>
        <w:spacing w:line="348" w:lineRule="auto"/>
        <w:rPr>
          <w:rFonts w:hint="eastAsia" w:ascii="宋体" w:hAnsi="宋体" w:eastAsia="宋体" w:cs="宋体"/>
          <w:b/>
          <w:kern w:val="0"/>
          <w:sz w:val="21"/>
          <w:szCs w:val="21"/>
        </w:rPr>
      </w:pPr>
      <w:r>
        <w:rPr>
          <w:rFonts w:hint="eastAsia" w:ascii="宋体" w:hAnsi="宋体" w:eastAsia="宋体" w:cs="宋体"/>
          <w:b/>
          <w:kern w:val="0"/>
          <w:sz w:val="21"/>
          <w:szCs w:val="21"/>
        </w:rPr>
        <w:t>2.磋商小组及其成员不得有下列行为：</w:t>
      </w:r>
    </w:p>
    <w:p w14:paraId="2F3B3404">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2.1确定参与本项目至评审结束前私自接触供应商；</w:t>
      </w:r>
    </w:p>
    <w:p w14:paraId="218AC396">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2.2接受供应商提出的“超出响应文件的范围或者改变响应文件的实质性内容”的澄清、说明或者更正； </w:t>
      </w:r>
    </w:p>
    <w:p w14:paraId="4863A5C3">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2.3违反评审纪律发表倾向性意见或者征询采购人的倾向性意见；</w:t>
      </w:r>
    </w:p>
    <w:p w14:paraId="08440FAC">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2.4对需要专业判断的主观评审因素协商评分；</w:t>
      </w:r>
    </w:p>
    <w:p w14:paraId="4A90E896">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2.5在评审过程中擅离职守，影响评审程序正常进行的；</w:t>
      </w:r>
    </w:p>
    <w:p w14:paraId="6FDB2273">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2.6记录、复制或者带走任何评审资料；</w:t>
      </w:r>
    </w:p>
    <w:p w14:paraId="5EE752F2">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2.7其他不遵守评审纪律的行为。</w:t>
      </w:r>
    </w:p>
    <w:p w14:paraId="3DDBBA71">
      <w:pPr>
        <w:spacing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磋商小组成员有2.1-2.5行为之一的，其评审意见无效，并不得获取评审劳务报酬和报销异地评审差旅费。</w:t>
      </w:r>
    </w:p>
    <w:p w14:paraId="58354D3B">
      <w:pPr>
        <w:pStyle w:val="24"/>
        <w:snapToGrid w:val="0"/>
        <w:spacing w:line="360" w:lineRule="auto"/>
        <w:ind w:firstLine="0" w:firstLineChars="0"/>
        <w:rPr>
          <w:rFonts w:hint="eastAsia" w:ascii="宋体" w:hAnsi="宋体" w:eastAsia="宋体" w:cs="宋体"/>
          <w:color w:val="auto"/>
          <w:sz w:val="21"/>
          <w:szCs w:val="21"/>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bookmarkEnd w:id="32"/>
    <w:p w14:paraId="18E5EC88">
      <w:pPr>
        <w:spacing w:line="360" w:lineRule="auto"/>
        <w:jc w:val="center"/>
        <w:outlineLvl w:val="0"/>
        <w:rPr>
          <w:rFonts w:ascii="宋体" w:hAnsi="宋体" w:cs="宋体"/>
          <w:b/>
          <w:color w:val="auto"/>
          <w:sz w:val="36"/>
          <w:szCs w:val="36"/>
          <w:highlight w:val="none"/>
        </w:rPr>
      </w:pPr>
      <w:bookmarkStart w:id="420" w:name="_Toc8825"/>
      <w:bookmarkStart w:id="421" w:name="第五部分"/>
      <w:bookmarkStart w:id="422" w:name="_Toc86217003"/>
      <w:r>
        <w:rPr>
          <w:rFonts w:hint="eastAsia" w:ascii="宋体" w:hAnsi="宋体" w:cs="宋体"/>
          <w:b/>
          <w:color w:val="auto"/>
          <w:sz w:val="36"/>
          <w:szCs w:val="36"/>
          <w:highlight w:val="none"/>
        </w:rPr>
        <w:t>第五部分 拟签订的合同文本</w:t>
      </w:r>
      <w:bookmarkEnd w:id="420"/>
    </w:p>
    <w:p w14:paraId="44EB2EE9">
      <w:pPr>
        <w:snapToGrid w:val="0"/>
        <w:spacing w:line="360" w:lineRule="auto"/>
        <w:ind w:firstLine="42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1"/>
          <w:szCs w:val="21"/>
          <w:highlight w:val="none"/>
        </w:rPr>
        <w:t>参考住房城乡建设部、原国家工商行政管理总局制定的《建设工程施工合同（示范文本）》（GF-2017-0201）。</w:t>
      </w:r>
    </w:p>
    <w:p w14:paraId="0A264C3B">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23" w:name="_Toc32130"/>
      <w:bookmarkStart w:id="424" w:name="_Toc97299497"/>
      <w:r>
        <w:rPr>
          <w:rFonts w:hint="eastAsia" w:ascii="宋体" w:hAnsi="宋体" w:cs="宋体"/>
          <w:snapToGrid w:val="0"/>
          <w:color w:val="auto"/>
          <w:kern w:val="44"/>
          <w:sz w:val="28"/>
          <w:szCs w:val="20"/>
          <w:highlight w:val="none"/>
        </w:rPr>
        <w:t>第一部分  合同协议书</w:t>
      </w:r>
      <w:bookmarkEnd w:id="423"/>
      <w:bookmarkEnd w:id="424"/>
    </w:p>
    <w:p w14:paraId="37A90C2A">
      <w:pPr>
        <w:snapToGrid w:val="0"/>
        <w:spacing w:line="360" w:lineRule="auto"/>
        <w:ind w:firstLine="411" w:firstLineChars="196"/>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发包人（全称）：</w:t>
      </w:r>
      <w:r>
        <w:rPr>
          <w:rFonts w:hint="eastAsia" w:ascii="宋体" w:hAnsi="宋体" w:eastAsia="宋体" w:cs="宋体"/>
          <w:snapToGrid w:val="0"/>
          <w:color w:val="auto"/>
          <w:kern w:val="0"/>
          <w:sz w:val="21"/>
          <w:szCs w:val="21"/>
          <w:highlight w:val="none"/>
          <w:u w:val="single"/>
        </w:rPr>
        <w:t xml:space="preserve">    </w:t>
      </w:r>
      <w:bookmarkStart w:id="425" w:name="SOA_hhxys_fbr"/>
      <w:r>
        <w:rPr>
          <w:rFonts w:hint="eastAsia" w:ascii="宋体" w:hAnsi="宋体" w:eastAsia="宋体" w:cs="宋体"/>
          <w:snapToGrid w:val="0"/>
          <w:color w:val="auto"/>
          <w:kern w:val="0"/>
          <w:sz w:val="21"/>
          <w:szCs w:val="21"/>
          <w:highlight w:val="none"/>
          <w:u w:val="single"/>
        </w:rPr>
        <w:t xml:space="preserve">                  </w:t>
      </w:r>
      <w:bookmarkEnd w:id="425"/>
      <w:r>
        <w:rPr>
          <w:rFonts w:hint="eastAsia" w:ascii="宋体" w:hAnsi="宋体" w:eastAsia="宋体" w:cs="宋体"/>
          <w:snapToGrid w:val="0"/>
          <w:color w:val="auto"/>
          <w:kern w:val="0"/>
          <w:sz w:val="21"/>
          <w:szCs w:val="21"/>
          <w:highlight w:val="none"/>
          <w:u w:val="single"/>
        </w:rPr>
        <w:t xml:space="preserve"> </w:t>
      </w:r>
    </w:p>
    <w:p w14:paraId="52DDD827">
      <w:pPr>
        <w:snapToGrid w:val="0"/>
        <w:spacing w:line="360" w:lineRule="auto"/>
        <w:ind w:firstLine="411" w:firstLineChars="196"/>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承包人（全称）：</w:t>
      </w:r>
      <w:r>
        <w:rPr>
          <w:rFonts w:hint="eastAsia" w:ascii="宋体" w:hAnsi="宋体" w:eastAsia="宋体" w:cs="宋体"/>
          <w:snapToGrid w:val="0"/>
          <w:color w:val="auto"/>
          <w:kern w:val="0"/>
          <w:sz w:val="21"/>
          <w:szCs w:val="21"/>
          <w:highlight w:val="none"/>
          <w:u w:val="single"/>
        </w:rPr>
        <w:t xml:space="preserve">                  </w:t>
      </w:r>
      <w:bookmarkStart w:id="426" w:name="SOA_hhxys_cb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b/>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bookmarkEnd w:id="426"/>
      <w:r>
        <w:rPr>
          <w:rFonts w:hint="eastAsia" w:ascii="宋体" w:hAnsi="宋体" w:eastAsia="宋体" w:cs="宋体"/>
          <w:snapToGrid w:val="0"/>
          <w:color w:val="auto"/>
          <w:kern w:val="0"/>
          <w:sz w:val="21"/>
          <w:szCs w:val="21"/>
          <w:highlight w:val="none"/>
          <w:u w:val="single"/>
        </w:rPr>
        <w:t xml:space="preserve">   </w:t>
      </w:r>
    </w:p>
    <w:p w14:paraId="4D226DFF">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根据《中华人民共和国民法典》、 《中华人民共和国建筑法》及有关法律规定，遵循平等、自愿、公平和诚实信用的原则，双方就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工程施工及有关事项协商一致，共同达成如下协议：</w:t>
      </w:r>
    </w:p>
    <w:p w14:paraId="6CD91A67">
      <w:pPr>
        <w:snapToGrid w:val="0"/>
        <w:spacing w:before="24" w:beforeLines="10" w:after="24" w:afterLines="10" w:line="360" w:lineRule="auto"/>
        <w:outlineLvl w:val="1"/>
        <w:rPr>
          <w:rFonts w:hint="eastAsia" w:ascii="宋体" w:hAnsi="宋体" w:eastAsia="宋体" w:cs="宋体"/>
          <w:b/>
          <w:bCs/>
          <w:snapToGrid w:val="0"/>
          <w:color w:val="auto"/>
          <w:kern w:val="0"/>
          <w:sz w:val="21"/>
          <w:szCs w:val="21"/>
          <w:highlight w:val="none"/>
        </w:rPr>
      </w:pPr>
      <w:bookmarkStart w:id="427" w:name="_Toc97299498"/>
      <w:bookmarkStart w:id="428" w:name="_Toc361220410"/>
      <w:bookmarkStart w:id="429" w:name="_Toc19782"/>
      <w:r>
        <w:rPr>
          <w:rFonts w:hint="eastAsia" w:ascii="宋体" w:hAnsi="宋体" w:eastAsia="宋体" w:cs="宋体"/>
          <w:b/>
          <w:bCs/>
          <w:snapToGrid w:val="0"/>
          <w:color w:val="auto"/>
          <w:kern w:val="0"/>
          <w:sz w:val="21"/>
          <w:szCs w:val="21"/>
          <w:highlight w:val="none"/>
        </w:rPr>
        <w:t>一、工程概况</w:t>
      </w:r>
      <w:bookmarkEnd w:id="427"/>
      <w:bookmarkEnd w:id="428"/>
      <w:bookmarkEnd w:id="429"/>
    </w:p>
    <w:p w14:paraId="04B074AB">
      <w:pPr>
        <w:snapToGrid w:val="0"/>
        <w:spacing w:line="360" w:lineRule="auto"/>
        <w:ind w:firstLine="411" w:firstLineChars="196"/>
        <w:rPr>
          <w:rFonts w:hint="eastAsia" w:ascii="宋体" w:hAnsi="宋体" w:eastAsia="宋体" w:cs="宋体"/>
          <w:snapToGrid w:val="0"/>
          <w:color w:val="auto"/>
          <w:kern w:val="0"/>
          <w:sz w:val="21"/>
          <w:szCs w:val="21"/>
          <w:highlight w:val="none"/>
          <w:u w:val="single"/>
        </w:rPr>
      </w:pPr>
      <w:r>
        <w:rPr>
          <w:rFonts w:hint="eastAsia" w:ascii="宋体" w:hAnsi="宋体" w:eastAsia="宋体" w:cs="宋体"/>
          <w:bCs/>
          <w:snapToGrid w:val="0"/>
          <w:color w:val="auto"/>
          <w:kern w:val="0"/>
          <w:sz w:val="21"/>
          <w:szCs w:val="21"/>
          <w:highlight w:val="none"/>
        </w:rPr>
        <w:t>1.工程名称</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302F9850">
      <w:pPr>
        <w:snapToGrid w:val="0"/>
        <w:spacing w:line="360" w:lineRule="auto"/>
        <w:ind w:firstLine="411" w:firstLineChars="196"/>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2.工程地点：</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72D34D90">
      <w:pPr>
        <w:snapToGrid w:val="0"/>
        <w:spacing w:line="360" w:lineRule="auto"/>
        <w:ind w:firstLine="405" w:firstLineChars="193"/>
        <w:rPr>
          <w:rFonts w:hint="eastAsia" w:ascii="宋体" w:hAnsi="宋体" w:eastAsia="宋体" w:cs="宋体"/>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rPr>
        <w:t>3</w:t>
      </w:r>
      <w:r>
        <w:rPr>
          <w:rFonts w:hint="eastAsia" w:ascii="宋体" w:hAnsi="宋体" w:eastAsia="宋体" w:cs="宋体"/>
          <w:bCs/>
          <w:snapToGrid w:val="0"/>
          <w:color w:val="auto"/>
          <w:kern w:val="0"/>
          <w:sz w:val="21"/>
          <w:szCs w:val="21"/>
          <w:highlight w:val="none"/>
        </w:rPr>
        <w:t>.工程内容：</w:t>
      </w:r>
      <w:r>
        <w:rPr>
          <w:rFonts w:hint="eastAsia" w:ascii="宋体" w:hAnsi="宋体" w:eastAsia="宋体" w:cs="宋体"/>
          <w:snapToGrid w:val="0"/>
          <w:color w:val="auto"/>
          <w:kern w:val="0"/>
          <w:sz w:val="21"/>
          <w:szCs w:val="21"/>
          <w:highlight w:val="none"/>
          <w:u w:val="single"/>
        </w:rPr>
        <w:t>        </w:t>
      </w:r>
      <w:r>
        <w:rPr>
          <w:rFonts w:hint="eastAsia" w:ascii="宋体" w:hAnsi="宋体" w:eastAsia="宋体" w:cs="宋体"/>
          <w:bCs/>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rPr>
        <w:t xml:space="preserve"> </w:t>
      </w:r>
    </w:p>
    <w:p w14:paraId="7046D96E">
      <w:pPr>
        <w:snapToGrid w:val="0"/>
        <w:spacing w:line="360" w:lineRule="auto"/>
        <w:ind w:firstLine="411" w:firstLineChars="196"/>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rPr>
        <w:t>4</w:t>
      </w:r>
      <w:r>
        <w:rPr>
          <w:rFonts w:hint="eastAsia" w:ascii="宋体" w:hAnsi="宋体" w:eastAsia="宋体" w:cs="宋体"/>
          <w:bCs/>
          <w:snapToGrid w:val="0"/>
          <w:color w:val="auto"/>
          <w:kern w:val="0"/>
          <w:sz w:val="21"/>
          <w:szCs w:val="21"/>
          <w:highlight w:val="none"/>
        </w:rPr>
        <w:t>.工程承包范围：</w:t>
      </w:r>
      <w:bookmarkStart w:id="430" w:name="_Toc361220411"/>
      <w:r>
        <w:rPr>
          <w:rFonts w:hint="eastAsia" w:ascii="宋体" w:hAnsi="宋体" w:eastAsia="宋体" w:cs="宋体"/>
          <w:snapToGrid w:val="0"/>
          <w:color w:val="auto"/>
          <w:kern w:val="0"/>
          <w:sz w:val="21"/>
          <w:szCs w:val="21"/>
          <w:highlight w:val="none"/>
          <w:u w:val="single"/>
        </w:rPr>
        <w:t>        </w:t>
      </w:r>
      <w:r>
        <w:rPr>
          <w:rFonts w:hint="eastAsia" w:ascii="宋体" w:hAnsi="宋体" w:eastAsia="宋体" w:cs="宋体"/>
          <w:bCs/>
          <w:snapToGrid w:val="0"/>
          <w:color w:val="auto"/>
          <w:kern w:val="0"/>
          <w:sz w:val="21"/>
          <w:szCs w:val="21"/>
          <w:highlight w:val="none"/>
        </w:rPr>
        <w:t>。</w:t>
      </w:r>
    </w:p>
    <w:p w14:paraId="51619DC2">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31" w:name="_Toc29454"/>
      <w:bookmarkStart w:id="432" w:name="_Toc97299499"/>
      <w:r>
        <w:rPr>
          <w:rFonts w:hint="eastAsia" w:ascii="宋体" w:hAnsi="宋体" w:eastAsia="宋体" w:cs="宋体"/>
          <w:b/>
          <w:bCs/>
          <w:snapToGrid w:val="0"/>
          <w:color w:val="auto"/>
          <w:kern w:val="0"/>
          <w:sz w:val="21"/>
          <w:szCs w:val="21"/>
          <w:highlight w:val="none"/>
        </w:rPr>
        <w:t>二、合同工期</w:t>
      </w:r>
      <w:bookmarkEnd w:id="430"/>
      <w:bookmarkEnd w:id="431"/>
      <w:bookmarkEnd w:id="432"/>
    </w:p>
    <w:p w14:paraId="3A3F06D5">
      <w:pPr>
        <w:snapToGrid w:val="0"/>
        <w:spacing w:line="360" w:lineRule="auto"/>
        <w:ind w:firstLine="45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计划开工日期：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6A98BCDF">
      <w:pPr>
        <w:snapToGrid w:val="0"/>
        <w:spacing w:line="360" w:lineRule="auto"/>
        <w:ind w:firstLine="459"/>
        <w:rPr>
          <w:rFonts w:hint="eastAsia" w:ascii="宋体" w:hAnsi="宋体" w:eastAsia="宋体" w:cs="宋体"/>
          <w:snapToGrid w:val="0"/>
          <w:color w:val="auto"/>
          <w:kern w:val="0"/>
          <w:sz w:val="21"/>
          <w:szCs w:val="21"/>
          <w:highlight w:val="none"/>
        </w:rPr>
      </w:pPr>
      <w:bookmarkStart w:id="433" w:name="SOA_hhxys_jgn"/>
      <w:r>
        <w:rPr>
          <w:rFonts w:hint="eastAsia" w:ascii="宋体" w:hAnsi="宋体" w:eastAsia="宋体" w:cs="宋体"/>
          <w:snapToGrid w:val="0"/>
          <w:color w:val="auto"/>
          <w:kern w:val="0"/>
          <w:sz w:val="21"/>
          <w:szCs w:val="21"/>
          <w:highlight w:val="none"/>
        </w:rPr>
        <w:t>计划竣工日期：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bookmarkEnd w:id="433"/>
    </w:p>
    <w:p w14:paraId="3A1BF684">
      <w:pPr>
        <w:snapToGrid w:val="0"/>
        <w:spacing w:line="360" w:lineRule="auto"/>
        <w:ind w:firstLine="45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工期总日历天数：</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天。工期总日历天数与根据前述计划开竣工日期计算的工期天数不一致的，以工期总日历天数为准。</w:t>
      </w:r>
    </w:p>
    <w:p w14:paraId="0793620A">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34" w:name="_Toc361220412"/>
      <w:bookmarkStart w:id="435" w:name="_Toc20892"/>
      <w:bookmarkStart w:id="436" w:name="_Toc97299500"/>
      <w:r>
        <w:rPr>
          <w:rFonts w:hint="eastAsia" w:ascii="宋体" w:hAnsi="宋体" w:eastAsia="宋体" w:cs="宋体"/>
          <w:b/>
          <w:bCs/>
          <w:snapToGrid w:val="0"/>
          <w:color w:val="auto"/>
          <w:kern w:val="0"/>
          <w:sz w:val="21"/>
          <w:szCs w:val="21"/>
          <w:highlight w:val="none"/>
        </w:rPr>
        <w:t>三、质量标准</w:t>
      </w:r>
      <w:bookmarkEnd w:id="434"/>
      <w:bookmarkEnd w:id="435"/>
      <w:bookmarkEnd w:id="436"/>
    </w:p>
    <w:p w14:paraId="12EFB50C">
      <w:pPr>
        <w:snapToGrid w:val="0"/>
        <w:spacing w:line="360" w:lineRule="auto"/>
        <w:ind w:firstLine="45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工程质量符合</w:t>
      </w:r>
      <w:r>
        <w:rPr>
          <w:rFonts w:hint="eastAsia" w:ascii="宋体" w:hAnsi="宋体" w:eastAsia="宋体" w:cs="宋体"/>
          <w:snapToGrid w:val="0"/>
          <w:color w:val="auto"/>
          <w:kern w:val="0"/>
          <w:sz w:val="21"/>
          <w:szCs w:val="21"/>
          <w:highlight w:val="none"/>
          <w:u w:val="single"/>
        </w:rPr>
        <w:t></w:t>
      </w:r>
      <w:bookmarkStart w:id="437" w:name="SOA_hhxys_zlbz"/>
      <w:r>
        <w:rPr>
          <w:rFonts w:hint="eastAsia" w:ascii="宋体" w:hAnsi="宋体" w:eastAsia="宋体" w:cs="宋体"/>
          <w:snapToGrid w:val="0"/>
          <w:color w:val="auto"/>
          <w:kern w:val="0"/>
          <w:sz w:val="21"/>
          <w:szCs w:val="21"/>
          <w:highlight w:val="none"/>
          <w:u w:val="single"/>
        </w:rPr>
        <w:t xml:space="preserve">       </w:t>
      </w:r>
      <w:bookmarkEnd w:id="437"/>
      <w:r>
        <w:rPr>
          <w:rFonts w:hint="eastAsia" w:ascii="宋体" w:hAnsi="宋体" w:eastAsia="宋体" w:cs="宋体"/>
          <w:snapToGrid w:val="0"/>
          <w:color w:val="auto"/>
          <w:kern w:val="0"/>
          <w:sz w:val="21"/>
          <w:szCs w:val="21"/>
          <w:highlight w:val="none"/>
          <w:u w:val="single"/>
        </w:rPr>
        <w:t></w:t>
      </w:r>
      <w:r>
        <w:rPr>
          <w:rFonts w:hint="eastAsia" w:ascii="宋体" w:hAnsi="宋体" w:eastAsia="宋体" w:cs="宋体"/>
          <w:snapToGrid w:val="0"/>
          <w:color w:val="auto"/>
          <w:kern w:val="0"/>
          <w:sz w:val="21"/>
          <w:szCs w:val="21"/>
          <w:highlight w:val="none"/>
        </w:rPr>
        <w:t>标准。</w:t>
      </w:r>
    </w:p>
    <w:p w14:paraId="4FE79AFD">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38" w:name="_Toc361220413"/>
      <w:bookmarkStart w:id="439" w:name="_Toc16110"/>
      <w:bookmarkStart w:id="440" w:name="_Toc97299501"/>
      <w:r>
        <w:rPr>
          <w:rFonts w:hint="eastAsia" w:ascii="宋体" w:hAnsi="宋体" w:eastAsia="宋体" w:cs="宋体"/>
          <w:b/>
          <w:bCs/>
          <w:snapToGrid w:val="0"/>
          <w:color w:val="auto"/>
          <w:kern w:val="0"/>
          <w:sz w:val="21"/>
          <w:szCs w:val="21"/>
          <w:highlight w:val="none"/>
        </w:rPr>
        <w:t>四、签约合同价与合同价格形式</w:t>
      </w:r>
      <w:bookmarkEnd w:id="438"/>
      <w:bookmarkEnd w:id="439"/>
      <w:bookmarkEnd w:id="440"/>
    </w:p>
    <w:p w14:paraId="5BDC96DE">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1.签约合同价为：</w:t>
      </w:r>
    </w:p>
    <w:p w14:paraId="665F1ECD">
      <w:pPr>
        <w:snapToGrid w:val="0"/>
        <w:spacing w:line="360" w:lineRule="auto"/>
        <w:ind w:firstLine="525" w:firstLineChars="2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人民币（大写）</w:t>
      </w:r>
      <w:bookmarkStart w:id="441" w:name="SOA_hhxys_htjdx"/>
      <w:r>
        <w:rPr>
          <w:rFonts w:hint="eastAsia" w:ascii="宋体" w:hAnsi="宋体" w:eastAsia="宋体" w:cs="宋体"/>
          <w:snapToGrid w:val="0"/>
          <w:color w:val="auto"/>
          <w:kern w:val="0"/>
          <w:sz w:val="21"/>
          <w:szCs w:val="21"/>
          <w:highlight w:val="none"/>
          <w:u w:val="single"/>
        </w:rPr>
        <w:t xml:space="preserve">                   </w:t>
      </w:r>
      <w:bookmarkEnd w:id="441"/>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 xml:space="preserve"> </w:t>
      </w:r>
      <w:bookmarkStart w:id="442" w:name="SOA_hhxys_htjxx"/>
      <w:r>
        <w:rPr>
          <w:rFonts w:hint="eastAsia" w:ascii="宋体" w:hAnsi="宋体" w:eastAsia="宋体" w:cs="宋体"/>
          <w:snapToGrid w:val="0"/>
          <w:color w:val="auto"/>
          <w:kern w:val="0"/>
          <w:sz w:val="21"/>
          <w:szCs w:val="21"/>
          <w:highlight w:val="none"/>
          <w:u w:val="single"/>
        </w:rPr>
        <w:t xml:space="preserve">            </w:t>
      </w:r>
      <w:bookmarkEnd w:id="442"/>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元)；</w:t>
      </w:r>
    </w:p>
    <w:p w14:paraId="49952EED">
      <w:pPr>
        <w:snapToGrid w:val="0"/>
        <w:spacing w:line="360" w:lineRule="auto"/>
        <w:ind w:firstLine="525" w:firstLineChars="250"/>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中标浮动率：</w:t>
      </w:r>
      <w:r>
        <w:rPr>
          <w:rFonts w:hint="eastAsia" w:ascii="宋体" w:hAnsi="宋体" w:eastAsia="宋体" w:cs="宋体"/>
          <w:snapToGrid w:val="0"/>
          <w:color w:val="auto"/>
          <w:kern w:val="0"/>
          <w:sz w:val="21"/>
          <w:szCs w:val="21"/>
          <w:highlight w:val="none"/>
          <w:u w:val="single"/>
        </w:rPr>
        <w:t xml:space="preserve">         </w:t>
      </w:r>
    </w:p>
    <w:p w14:paraId="5C349473">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其中：</w:t>
      </w:r>
    </w:p>
    <w:p w14:paraId="55AB6FDC">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（1）安全文明施工费：</w:t>
      </w:r>
    </w:p>
    <w:p w14:paraId="103410A7">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bookmarkStart w:id="443" w:name="SOA_hhxys_wmsgfdx"/>
      <w:r>
        <w:rPr>
          <w:rFonts w:hint="eastAsia" w:ascii="宋体" w:hAnsi="宋体" w:eastAsia="宋体" w:cs="宋体"/>
          <w:snapToGrid w:val="0"/>
          <w:color w:val="auto"/>
          <w:kern w:val="0"/>
          <w:sz w:val="21"/>
          <w:szCs w:val="21"/>
          <w:highlight w:val="none"/>
          <w:u w:val="single"/>
        </w:rPr>
        <w:t xml:space="preserve">                </w:t>
      </w:r>
      <w:bookmarkEnd w:id="443"/>
      <w:r>
        <w:rPr>
          <w:rFonts w:hint="eastAsia" w:ascii="宋体" w:hAnsi="宋体" w:eastAsia="宋体" w:cs="宋体"/>
          <w:snapToGrid w:val="0"/>
          <w:color w:val="auto"/>
          <w:kern w:val="0"/>
          <w:sz w:val="21"/>
          <w:szCs w:val="21"/>
          <w:highlight w:val="none"/>
        </w:rPr>
        <w:t>(¥</w:t>
      </w:r>
      <w:bookmarkStart w:id="444" w:name="SOA_hhxys_wmsgfxx"/>
      <w:r>
        <w:rPr>
          <w:rFonts w:hint="eastAsia" w:ascii="宋体" w:hAnsi="宋体" w:eastAsia="宋体" w:cs="宋体"/>
          <w:snapToGrid w:val="0"/>
          <w:color w:val="auto"/>
          <w:kern w:val="0"/>
          <w:sz w:val="21"/>
          <w:szCs w:val="21"/>
          <w:highlight w:val="none"/>
          <w:u w:val="single"/>
        </w:rPr>
        <w:t xml:space="preserve">                  </w:t>
      </w:r>
      <w:bookmarkEnd w:id="444"/>
      <w:r>
        <w:rPr>
          <w:rFonts w:hint="eastAsia" w:ascii="宋体" w:hAnsi="宋体" w:eastAsia="宋体" w:cs="宋体"/>
          <w:snapToGrid w:val="0"/>
          <w:color w:val="auto"/>
          <w:kern w:val="0"/>
          <w:sz w:val="21"/>
          <w:szCs w:val="21"/>
          <w:highlight w:val="none"/>
        </w:rPr>
        <w:t>元)；</w:t>
      </w:r>
    </w:p>
    <w:p w14:paraId="7B8DF507">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（2）材料和工程设备暂估价金额</w:t>
      </w:r>
      <w:r>
        <w:rPr>
          <w:rFonts w:hint="eastAsia" w:ascii="宋体" w:hAnsi="宋体" w:cs="宋体"/>
          <w:snapToGrid w:val="0"/>
          <w:color w:val="auto"/>
          <w:kern w:val="0"/>
          <w:sz w:val="21"/>
          <w:szCs w:val="21"/>
          <w:highlight w:val="none"/>
          <w:lang w:val="en-US" w:eastAsia="zh-CN"/>
        </w:rPr>
        <w:t>（含税）</w:t>
      </w:r>
      <w:r>
        <w:rPr>
          <w:rFonts w:hint="eastAsia" w:ascii="宋体" w:hAnsi="宋体" w:eastAsia="宋体" w:cs="宋体"/>
          <w:snapToGrid w:val="0"/>
          <w:color w:val="auto"/>
          <w:kern w:val="0"/>
          <w:sz w:val="21"/>
          <w:szCs w:val="21"/>
          <w:highlight w:val="none"/>
        </w:rPr>
        <w:t>：</w:t>
      </w:r>
    </w:p>
    <w:p w14:paraId="3A18065E">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bookmarkStart w:id="445" w:name="SOA_hhxys_sbzgjdx"/>
      <w:r>
        <w:rPr>
          <w:rFonts w:hint="eastAsia" w:ascii="宋体" w:hAnsi="宋体" w:eastAsia="宋体" w:cs="宋体"/>
          <w:snapToGrid w:val="0"/>
          <w:color w:val="auto"/>
          <w:kern w:val="0"/>
          <w:sz w:val="21"/>
          <w:szCs w:val="21"/>
          <w:highlight w:val="none"/>
          <w:u w:val="single"/>
        </w:rPr>
        <w:t xml:space="preserve">       </w:t>
      </w:r>
      <w:bookmarkEnd w:id="445"/>
      <w:r>
        <w:rPr>
          <w:rFonts w:hint="eastAsia" w:ascii="宋体" w:hAnsi="宋体" w:eastAsia="宋体" w:cs="宋体"/>
          <w:snapToGrid w:val="0"/>
          <w:color w:val="auto"/>
          <w:kern w:val="0"/>
          <w:sz w:val="21"/>
          <w:szCs w:val="21"/>
          <w:highlight w:val="none"/>
        </w:rPr>
        <w:t>(¥</w:t>
      </w:r>
      <w:bookmarkStart w:id="446" w:name="SOA_hhxys_sbzgjxx"/>
      <w:r>
        <w:rPr>
          <w:rFonts w:hint="eastAsia" w:ascii="宋体" w:hAnsi="宋体" w:eastAsia="宋体" w:cs="宋体"/>
          <w:snapToGrid w:val="0"/>
          <w:color w:val="auto"/>
          <w:kern w:val="0"/>
          <w:sz w:val="21"/>
          <w:szCs w:val="21"/>
          <w:highlight w:val="none"/>
          <w:u w:val="single"/>
        </w:rPr>
        <w:t xml:space="preserve">      </w:t>
      </w:r>
      <w:bookmarkEnd w:id="446"/>
      <w:r>
        <w:rPr>
          <w:rFonts w:hint="eastAsia" w:ascii="宋体" w:hAnsi="宋体" w:eastAsia="宋体" w:cs="宋体"/>
          <w:snapToGrid w:val="0"/>
          <w:color w:val="auto"/>
          <w:kern w:val="0"/>
          <w:sz w:val="21"/>
          <w:szCs w:val="21"/>
          <w:highlight w:val="none"/>
        </w:rPr>
        <w:t>元)；</w:t>
      </w:r>
    </w:p>
    <w:p w14:paraId="0F348BA3">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（3）专业工程暂估价金额</w:t>
      </w:r>
      <w:r>
        <w:rPr>
          <w:rFonts w:hint="eastAsia" w:ascii="宋体" w:hAnsi="宋体" w:cs="宋体"/>
          <w:snapToGrid w:val="0"/>
          <w:color w:val="auto"/>
          <w:kern w:val="0"/>
          <w:sz w:val="21"/>
          <w:szCs w:val="21"/>
          <w:highlight w:val="none"/>
          <w:lang w:val="en-US" w:eastAsia="zh-CN"/>
        </w:rPr>
        <w:t>（含税）</w:t>
      </w:r>
      <w:r>
        <w:rPr>
          <w:rFonts w:hint="eastAsia" w:ascii="宋体" w:hAnsi="宋体" w:eastAsia="宋体" w:cs="宋体"/>
          <w:snapToGrid w:val="0"/>
          <w:color w:val="auto"/>
          <w:kern w:val="0"/>
          <w:sz w:val="21"/>
          <w:szCs w:val="21"/>
          <w:highlight w:val="none"/>
        </w:rPr>
        <w:t>：</w:t>
      </w:r>
    </w:p>
    <w:p w14:paraId="5E44996C">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bookmarkStart w:id="447" w:name="SOA_hhxys_gczgjdx"/>
      <w:r>
        <w:rPr>
          <w:rFonts w:hint="eastAsia" w:ascii="宋体" w:hAnsi="宋体" w:eastAsia="宋体" w:cs="宋体"/>
          <w:snapToGrid w:val="0"/>
          <w:color w:val="auto"/>
          <w:kern w:val="0"/>
          <w:sz w:val="21"/>
          <w:szCs w:val="21"/>
          <w:highlight w:val="none"/>
          <w:u w:val="single"/>
        </w:rPr>
        <w:t xml:space="preserve">       </w:t>
      </w:r>
      <w:bookmarkEnd w:id="447"/>
      <w:r>
        <w:rPr>
          <w:rFonts w:hint="eastAsia" w:ascii="宋体" w:hAnsi="宋体" w:eastAsia="宋体" w:cs="宋体"/>
          <w:snapToGrid w:val="0"/>
          <w:color w:val="auto"/>
          <w:kern w:val="0"/>
          <w:sz w:val="21"/>
          <w:szCs w:val="21"/>
          <w:highlight w:val="none"/>
        </w:rPr>
        <w:t>(¥</w:t>
      </w:r>
      <w:bookmarkStart w:id="448" w:name="SOA_hhxys_gczgjxx"/>
      <w:r>
        <w:rPr>
          <w:rFonts w:hint="eastAsia" w:ascii="宋体" w:hAnsi="宋体" w:eastAsia="宋体" w:cs="宋体"/>
          <w:snapToGrid w:val="0"/>
          <w:color w:val="auto"/>
          <w:kern w:val="0"/>
          <w:sz w:val="21"/>
          <w:szCs w:val="21"/>
          <w:highlight w:val="none"/>
          <w:u w:val="single"/>
        </w:rPr>
        <w:t xml:space="preserve">       </w:t>
      </w:r>
      <w:bookmarkEnd w:id="448"/>
      <w:r>
        <w:rPr>
          <w:rFonts w:hint="eastAsia" w:ascii="宋体" w:hAnsi="宋体" w:eastAsia="宋体" w:cs="宋体"/>
          <w:snapToGrid w:val="0"/>
          <w:color w:val="auto"/>
          <w:kern w:val="0"/>
          <w:sz w:val="21"/>
          <w:szCs w:val="21"/>
          <w:highlight w:val="none"/>
        </w:rPr>
        <w:t>元)；</w:t>
      </w:r>
    </w:p>
    <w:p w14:paraId="7574A820">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（4）暂列金额</w:t>
      </w:r>
      <w:r>
        <w:rPr>
          <w:rFonts w:hint="eastAsia" w:ascii="宋体" w:hAnsi="宋体" w:cs="宋体"/>
          <w:snapToGrid w:val="0"/>
          <w:color w:val="auto"/>
          <w:kern w:val="0"/>
          <w:sz w:val="21"/>
          <w:szCs w:val="21"/>
          <w:highlight w:val="none"/>
          <w:lang w:val="en-US" w:eastAsia="zh-CN"/>
        </w:rPr>
        <w:t>（含税）</w:t>
      </w:r>
      <w:r>
        <w:rPr>
          <w:rFonts w:hint="eastAsia" w:ascii="宋体" w:hAnsi="宋体" w:eastAsia="宋体" w:cs="宋体"/>
          <w:snapToGrid w:val="0"/>
          <w:color w:val="auto"/>
          <w:kern w:val="0"/>
          <w:sz w:val="21"/>
          <w:szCs w:val="21"/>
          <w:highlight w:val="none"/>
        </w:rPr>
        <w:t>：</w:t>
      </w:r>
    </w:p>
    <w:p w14:paraId="015FEF74">
      <w:pPr>
        <w:snapToGrid w:val="0"/>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 xml:space="preserve">     人民币（大写）</w:t>
      </w:r>
      <w:bookmarkStart w:id="449" w:name="SOA_hhxys_zljedx"/>
      <w:r>
        <w:rPr>
          <w:rFonts w:hint="eastAsia" w:ascii="宋体" w:hAnsi="宋体" w:eastAsia="宋体" w:cs="宋体"/>
          <w:snapToGrid w:val="0"/>
          <w:color w:val="auto"/>
          <w:kern w:val="0"/>
          <w:sz w:val="21"/>
          <w:szCs w:val="21"/>
          <w:highlight w:val="none"/>
          <w:u w:val="single"/>
        </w:rPr>
        <w:t xml:space="preserve">       </w:t>
      </w:r>
      <w:bookmarkEnd w:id="449"/>
      <w:r>
        <w:rPr>
          <w:rFonts w:hint="eastAsia" w:ascii="宋体" w:hAnsi="宋体" w:eastAsia="宋体" w:cs="宋体"/>
          <w:snapToGrid w:val="0"/>
          <w:color w:val="auto"/>
          <w:kern w:val="0"/>
          <w:sz w:val="21"/>
          <w:szCs w:val="21"/>
          <w:highlight w:val="none"/>
        </w:rPr>
        <w:t>(¥</w:t>
      </w:r>
      <w:bookmarkStart w:id="450" w:name="SOA_hhxys_zljexx"/>
      <w:r>
        <w:rPr>
          <w:rFonts w:hint="eastAsia" w:ascii="宋体" w:hAnsi="宋体" w:eastAsia="宋体" w:cs="宋体"/>
          <w:snapToGrid w:val="0"/>
          <w:color w:val="auto"/>
          <w:kern w:val="0"/>
          <w:sz w:val="21"/>
          <w:szCs w:val="21"/>
          <w:highlight w:val="none"/>
          <w:u w:val="single"/>
        </w:rPr>
        <w:t xml:space="preserve">        </w:t>
      </w:r>
      <w:bookmarkEnd w:id="450"/>
      <w:r>
        <w:rPr>
          <w:rFonts w:hint="eastAsia" w:ascii="宋体" w:hAnsi="宋体" w:eastAsia="宋体" w:cs="宋体"/>
          <w:snapToGrid w:val="0"/>
          <w:color w:val="auto"/>
          <w:kern w:val="0"/>
          <w:sz w:val="21"/>
          <w:szCs w:val="21"/>
          <w:highlight w:val="none"/>
        </w:rPr>
        <w:t>元)</w:t>
      </w:r>
      <w:r>
        <w:rPr>
          <w:rFonts w:hint="eastAsia" w:ascii="宋体" w:hAnsi="宋体" w:cs="宋体"/>
          <w:snapToGrid w:val="0"/>
          <w:color w:val="auto"/>
          <w:kern w:val="0"/>
          <w:sz w:val="21"/>
          <w:szCs w:val="21"/>
          <w:highlight w:val="none"/>
          <w:lang w:eastAsia="zh-CN"/>
        </w:rPr>
        <w:t>；</w:t>
      </w:r>
    </w:p>
    <w:p w14:paraId="30265CE1">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其他不可竞争费（含税）</w:t>
      </w:r>
      <w:r>
        <w:rPr>
          <w:rFonts w:hint="eastAsia" w:ascii="宋体" w:hAnsi="宋体" w:eastAsia="宋体" w:cs="宋体"/>
          <w:snapToGrid w:val="0"/>
          <w:color w:val="auto"/>
          <w:kern w:val="0"/>
          <w:sz w:val="21"/>
          <w:szCs w:val="21"/>
          <w:highlight w:val="none"/>
        </w:rPr>
        <w:t>：</w:t>
      </w:r>
    </w:p>
    <w:p w14:paraId="18F890FB">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元)。</w:t>
      </w:r>
    </w:p>
    <w:p w14:paraId="2B61749D">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2.合同价格形式：</w:t>
      </w:r>
      <w:r>
        <w:rPr>
          <w:rFonts w:hint="eastAsia" w:ascii="宋体" w:hAnsi="宋体" w:eastAsia="宋体" w:cs="宋体"/>
          <w:snapToGrid w:val="0"/>
          <w:color w:val="auto"/>
          <w:kern w:val="0"/>
          <w:sz w:val="21"/>
          <w:szCs w:val="21"/>
          <w:highlight w:val="none"/>
          <w:u w:val="single"/>
        </w:rPr>
        <w:t></w:t>
      </w:r>
      <w:bookmarkStart w:id="451" w:name="SOA_hhxys_htjgxs"/>
      <w:r>
        <w:rPr>
          <w:rFonts w:hint="eastAsia" w:ascii="宋体" w:hAnsi="宋体" w:eastAsia="宋体" w:cs="宋体"/>
          <w:snapToGrid w:val="0"/>
          <w:color w:val="auto"/>
          <w:kern w:val="0"/>
          <w:sz w:val="21"/>
          <w:szCs w:val="21"/>
          <w:highlight w:val="none"/>
          <w:u w:val="single"/>
        </w:rPr>
        <w:t xml:space="preserve">  </w:t>
      </w:r>
      <w:bookmarkEnd w:id="451"/>
      <w:r>
        <w:rPr>
          <w:rFonts w:hint="eastAsia" w:ascii="宋体" w:hAnsi="宋体" w:eastAsia="宋体" w:cs="宋体"/>
          <w:snapToGrid w:val="0"/>
          <w:color w:val="auto"/>
          <w:kern w:val="0"/>
          <w:sz w:val="21"/>
          <w:szCs w:val="21"/>
          <w:highlight w:val="none"/>
          <w:u w:val="single"/>
        </w:rPr>
        <w:t xml:space="preserve">      </w:t>
      </w:r>
      <w:r>
        <w:rPr>
          <w:rFonts w:hint="eastAsia" w:ascii="宋体" w:hAnsi="宋体" w:eastAsia="宋体" w:cs="宋体"/>
          <w:snapToGrid w:val="0"/>
          <w:color w:val="auto"/>
          <w:kern w:val="0"/>
          <w:sz w:val="21"/>
          <w:szCs w:val="21"/>
          <w:highlight w:val="none"/>
        </w:rPr>
        <w:t>。</w:t>
      </w:r>
    </w:p>
    <w:p w14:paraId="76305555">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52" w:name="_Toc97299502"/>
      <w:bookmarkStart w:id="453" w:name="_Toc361220414"/>
      <w:bookmarkStart w:id="454" w:name="_Toc12786"/>
      <w:r>
        <w:rPr>
          <w:rFonts w:hint="eastAsia" w:ascii="宋体" w:hAnsi="宋体" w:eastAsia="宋体" w:cs="宋体"/>
          <w:b/>
          <w:bCs/>
          <w:snapToGrid w:val="0"/>
          <w:color w:val="auto"/>
          <w:kern w:val="0"/>
          <w:sz w:val="21"/>
          <w:szCs w:val="21"/>
          <w:highlight w:val="none"/>
        </w:rPr>
        <w:t>五、项目经理</w:t>
      </w:r>
      <w:bookmarkEnd w:id="452"/>
      <w:bookmarkEnd w:id="453"/>
      <w:bookmarkEnd w:id="454"/>
    </w:p>
    <w:p w14:paraId="6B63A8A3">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承包人项目经理：</w:t>
      </w:r>
      <w:r>
        <w:rPr>
          <w:rFonts w:hint="eastAsia" w:ascii="宋体" w:hAnsi="宋体" w:eastAsia="宋体" w:cs="宋体"/>
          <w:snapToGrid w:val="0"/>
          <w:color w:val="auto"/>
          <w:kern w:val="0"/>
          <w:sz w:val="21"/>
          <w:szCs w:val="21"/>
          <w:highlight w:val="none"/>
          <w:u w:val="single"/>
        </w:rPr>
        <w:t></w:t>
      </w:r>
      <w:bookmarkStart w:id="455" w:name="SOA_hhxys_cbrxmjl"/>
      <w:r>
        <w:rPr>
          <w:rFonts w:hint="eastAsia" w:ascii="宋体" w:hAnsi="宋体" w:eastAsia="宋体" w:cs="宋体"/>
          <w:snapToGrid w:val="0"/>
          <w:color w:val="auto"/>
          <w:kern w:val="0"/>
          <w:sz w:val="21"/>
          <w:szCs w:val="21"/>
          <w:highlight w:val="none"/>
          <w:u w:val="single"/>
        </w:rPr>
        <w:t xml:space="preserve">        </w:t>
      </w:r>
      <w:bookmarkEnd w:id="455"/>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2C7661A8">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56" w:name="_Toc26153"/>
      <w:bookmarkStart w:id="457" w:name="_Toc97299503"/>
      <w:bookmarkStart w:id="458" w:name="_Toc361220415"/>
      <w:r>
        <w:rPr>
          <w:rFonts w:hint="eastAsia" w:ascii="宋体" w:hAnsi="宋体" w:eastAsia="宋体" w:cs="宋体"/>
          <w:b/>
          <w:bCs/>
          <w:snapToGrid w:val="0"/>
          <w:color w:val="auto"/>
          <w:kern w:val="0"/>
          <w:sz w:val="21"/>
          <w:szCs w:val="21"/>
          <w:highlight w:val="none"/>
        </w:rPr>
        <w:t>六、合同文件构成</w:t>
      </w:r>
      <w:bookmarkEnd w:id="456"/>
      <w:bookmarkEnd w:id="457"/>
      <w:bookmarkEnd w:id="458"/>
    </w:p>
    <w:p w14:paraId="0E9DCB95">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本协议书与下列文件一起构成合同文件：</w:t>
      </w:r>
    </w:p>
    <w:p w14:paraId="1E78C32F">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（1）成交通知书（如果有）；</w:t>
      </w:r>
    </w:p>
    <w:p w14:paraId="4E99B64B">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（2）响应函（如果有）； </w:t>
      </w:r>
    </w:p>
    <w:p w14:paraId="2E1B9542">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（3）专用合同条款及其附件；</w:t>
      </w:r>
    </w:p>
    <w:p w14:paraId="03CCB061">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（4）通用合同条款；</w:t>
      </w:r>
    </w:p>
    <w:p w14:paraId="61E8C30F">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（5）技术标准和要求；</w:t>
      </w:r>
    </w:p>
    <w:p w14:paraId="6AFB38B0">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（6）图纸；</w:t>
      </w:r>
    </w:p>
    <w:p w14:paraId="37AF344D">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（7）已标价工程量清单或预算书；</w:t>
      </w:r>
    </w:p>
    <w:p w14:paraId="30E8C034">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（8）其他合同文件。</w:t>
      </w:r>
    </w:p>
    <w:p w14:paraId="5F2AD92E">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在合同订立及履行过程中形成的与合同有关的文件均构成合同文件组成部分。</w:t>
      </w:r>
    </w:p>
    <w:p w14:paraId="3AD3E584">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3CD64800">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59" w:name="_Toc10028"/>
      <w:bookmarkStart w:id="460" w:name="_Toc97299504"/>
      <w:bookmarkStart w:id="461" w:name="_Toc361220416"/>
      <w:r>
        <w:rPr>
          <w:rFonts w:hint="eastAsia" w:ascii="宋体" w:hAnsi="宋体" w:eastAsia="宋体" w:cs="宋体"/>
          <w:b/>
          <w:bCs/>
          <w:snapToGrid w:val="0"/>
          <w:color w:val="auto"/>
          <w:kern w:val="0"/>
          <w:sz w:val="21"/>
          <w:szCs w:val="21"/>
          <w:highlight w:val="none"/>
        </w:rPr>
        <w:t>七、承诺</w:t>
      </w:r>
      <w:bookmarkEnd w:id="459"/>
      <w:bookmarkEnd w:id="460"/>
      <w:bookmarkEnd w:id="461"/>
    </w:p>
    <w:p w14:paraId="6298E39C">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1.发包人承诺按照法律规定履行项目审批手续、筹集工程建设资金并按照合同约定的期限和方式支付合同价款。</w:t>
      </w:r>
    </w:p>
    <w:p w14:paraId="64FB47B4">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2.承包人承诺按照法律规定及合同约定组织完成工程施工，确保工程质量和安全，不进行转包及违法分包，并在缺陷责任期及保修期内承担相应的工程维修责任。</w:t>
      </w:r>
    </w:p>
    <w:p w14:paraId="7111991A">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3.发包人和承包人通过</w:t>
      </w:r>
      <w:r>
        <w:rPr>
          <w:rFonts w:hint="eastAsia" w:ascii="宋体" w:hAnsi="宋体" w:eastAsia="宋体" w:cs="宋体"/>
          <w:color w:val="auto"/>
          <w:sz w:val="21"/>
          <w:szCs w:val="21"/>
          <w:highlight w:val="none"/>
        </w:rPr>
        <w:t>政府采购</w:t>
      </w:r>
      <w:r>
        <w:rPr>
          <w:rFonts w:hint="eastAsia" w:ascii="宋体" w:hAnsi="宋体" w:eastAsia="宋体" w:cs="宋体"/>
          <w:bCs/>
          <w:snapToGrid w:val="0"/>
          <w:color w:val="auto"/>
          <w:kern w:val="0"/>
          <w:sz w:val="21"/>
          <w:szCs w:val="21"/>
          <w:highlight w:val="none"/>
        </w:rPr>
        <w:t>形式签订合同的，双方理解并承诺不再就同一工程另行签订与合同实质性内容相背离的协议。</w:t>
      </w:r>
    </w:p>
    <w:p w14:paraId="5B432974">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62" w:name="_Toc97299505"/>
      <w:bookmarkStart w:id="463" w:name="_Toc361220417"/>
      <w:bookmarkStart w:id="464" w:name="_Toc31451"/>
      <w:r>
        <w:rPr>
          <w:rFonts w:hint="eastAsia" w:ascii="宋体" w:hAnsi="宋体" w:eastAsia="宋体" w:cs="宋体"/>
          <w:b/>
          <w:bCs/>
          <w:snapToGrid w:val="0"/>
          <w:color w:val="auto"/>
          <w:kern w:val="0"/>
          <w:sz w:val="21"/>
          <w:szCs w:val="21"/>
          <w:highlight w:val="none"/>
        </w:rPr>
        <w:t>八、词语含义</w:t>
      </w:r>
      <w:bookmarkEnd w:id="462"/>
      <w:bookmarkEnd w:id="463"/>
      <w:bookmarkEnd w:id="464"/>
    </w:p>
    <w:p w14:paraId="2A43ED2B">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本协议书中词语含义与第二部分通用合同条款中赋予的含义相同。</w:t>
      </w:r>
    </w:p>
    <w:p w14:paraId="7BC084A9">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65" w:name="_Toc361220418"/>
      <w:bookmarkStart w:id="466" w:name="_Toc97299506"/>
      <w:bookmarkStart w:id="467" w:name="_Toc27800"/>
      <w:r>
        <w:rPr>
          <w:rFonts w:hint="eastAsia" w:ascii="宋体" w:hAnsi="宋体" w:eastAsia="宋体" w:cs="宋体"/>
          <w:b/>
          <w:bCs/>
          <w:snapToGrid w:val="0"/>
          <w:color w:val="auto"/>
          <w:kern w:val="0"/>
          <w:sz w:val="21"/>
          <w:szCs w:val="21"/>
          <w:highlight w:val="none"/>
        </w:rPr>
        <w:t>九、签订时间</w:t>
      </w:r>
      <w:bookmarkEnd w:id="465"/>
      <w:bookmarkEnd w:id="466"/>
      <w:bookmarkEnd w:id="467"/>
    </w:p>
    <w:p w14:paraId="073FF0B1">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本合同于</w:t>
      </w:r>
      <w:bookmarkStart w:id="468" w:name="SOA_hhxys_htqdn"/>
      <w:r>
        <w:rPr>
          <w:rFonts w:hint="eastAsia" w:ascii="宋体" w:hAnsi="宋体" w:eastAsia="宋体" w:cs="宋体"/>
          <w:bCs/>
          <w:snapToGrid w:val="0"/>
          <w:color w:val="auto"/>
          <w:kern w:val="0"/>
          <w:sz w:val="21"/>
          <w:szCs w:val="21"/>
          <w:highlight w:val="none"/>
          <w:u w:val="single"/>
        </w:rPr>
        <w:t xml:space="preserve">      </w:t>
      </w:r>
      <w:bookmarkEnd w:id="468"/>
      <w:r>
        <w:rPr>
          <w:rFonts w:hint="eastAsia" w:ascii="宋体" w:hAnsi="宋体" w:eastAsia="宋体" w:cs="宋体"/>
          <w:bCs/>
          <w:snapToGrid w:val="0"/>
          <w:color w:val="auto"/>
          <w:kern w:val="0"/>
          <w:sz w:val="21"/>
          <w:szCs w:val="21"/>
          <w:highlight w:val="none"/>
        </w:rPr>
        <w:t>年</w:t>
      </w:r>
      <w:bookmarkStart w:id="469" w:name="SOA_hhxys_htqdy"/>
      <w:r>
        <w:rPr>
          <w:rFonts w:hint="eastAsia" w:ascii="宋体" w:hAnsi="宋体" w:eastAsia="宋体" w:cs="宋体"/>
          <w:bCs/>
          <w:snapToGrid w:val="0"/>
          <w:color w:val="auto"/>
          <w:kern w:val="0"/>
          <w:sz w:val="21"/>
          <w:szCs w:val="21"/>
          <w:highlight w:val="none"/>
          <w:u w:val="single"/>
        </w:rPr>
        <w:t xml:space="preserve">      </w:t>
      </w:r>
      <w:bookmarkEnd w:id="469"/>
      <w:r>
        <w:rPr>
          <w:rFonts w:hint="eastAsia" w:ascii="宋体" w:hAnsi="宋体" w:eastAsia="宋体" w:cs="宋体"/>
          <w:bCs/>
          <w:snapToGrid w:val="0"/>
          <w:color w:val="auto"/>
          <w:kern w:val="0"/>
          <w:sz w:val="21"/>
          <w:szCs w:val="21"/>
          <w:highlight w:val="none"/>
        </w:rPr>
        <w:t>月</w:t>
      </w:r>
      <w:bookmarkStart w:id="470" w:name="SOA_hhxys_htqdr"/>
      <w:r>
        <w:rPr>
          <w:rFonts w:hint="eastAsia" w:ascii="宋体" w:hAnsi="宋体" w:eastAsia="宋体" w:cs="宋体"/>
          <w:bCs/>
          <w:snapToGrid w:val="0"/>
          <w:color w:val="auto"/>
          <w:kern w:val="0"/>
          <w:sz w:val="21"/>
          <w:szCs w:val="21"/>
          <w:highlight w:val="none"/>
          <w:u w:val="single"/>
        </w:rPr>
        <w:t xml:space="preserve">      </w:t>
      </w:r>
      <w:bookmarkEnd w:id="470"/>
      <w:r>
        <w:rPr>
          <w:rFonts w:hint="eastAsia" w:ascii="宋体" w:hAnsi="宋体" w:eastAsia="宋体" w:cs="宋体"/>
          <w:bCs/>
          <w:snapToGrid w:val="0"/>
          <w:color w:val="auto"/>
          <w:kern w:val="0"/>
          <w:sz w:val="21"/>
          <w:szCs w:val="21"/>
          <w:highlight w:val="none"/>
        </w:rPr>
        <w:t>日签订。</w:t>
      </w:r>
    </w:p>
    <w:p w14:paraId="3BDBC639">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71" w:name="_Toc361220419"/>
      <w:bookmarkStart w:id="472" w:name="_Toc97299507"/>
      <w:bookmarkStart w:id="473" w:name="_Toc32307"/>
      <w:r>
        <w:rPr>
          <w:rFonts w:hint="eastAsia" w:ascii="宋体" w:hAnsi="宋体" w:eastAsia="宋体" w:cs="宋体"/>
          <w:b/>
          <w:bCs/>
          <w:snapToGrid w:val="0"/>
          <w:color w:val="auto"/>
          <w:kern w:val="0"/>
          <w:sz w:val="21"/>
          <w:szCs w:val="21"/>
          <w:highlight w:val="none"/>
        </w:rPr>
        <w:t>十、签订地点</w:t>
      </w:r>
      <w:bookmarkEnd w:id="471"/>
      <w:bookmarkEnd w:id="472"/>
      <w:bookmarkEnd w:id="473"/>
    </w:p>
    <w:p w14:paraId="33F496CE">
      <w:pPr>
        <w:snapToGrid w:val="0"/>
        <w:spacing w:line="360" w:lineRule="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    本合同在</w:t>
      </w:r>
      <w:r>
        <w:rPr>
          <w:rFonts w:hint="eastAsia" w:ascii="宋体" w:hAnsi="宋体" w:eastAsia="宋体" w:cs="宋体"/>
          <w:bCs/>
          <w:snapToGrid w:val="0"/>
          <w:color w:val="auto"/>
          <w:kern w:val="0"/>
          <w:sz w:val="21"/>
          <w:szCs w:val="21"/>
          <w:highlight w:val="none"/>
          <w:u w:val="single"/>
        </w:rPr>
        <w:t xml:space="preserve">   </w:t>
      </w:r>
      <w:bookmarkStart w:id="474" w:name="SOA_zyht_htqddd"/>
      <w:r>
        <w:rPr>
          <w:rFonts w:hint="eastAsia" w:ascii="宋体" w:hAnsi="宋体" w:eastAsia="宋体" w:cs="宋体"/>
          <w:bCs/>
          <w:snapToGrid w:val="0"/>
          <w:color w:val="auto"/>
          <w:kern w:val="0"/>
          <w:sz w:val="21"/>
          <w:szCs w:val="21"/>
          <w:highlight w:val="none"/>
          <w:u w:val="single"/>
        </w:rPr>
        <w:t xml:space="preserve">     </w:t>
      </w:r>
      <w:bookmarkEnd w:id="474"/>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签订。</w:t>
      </w:r>
    </w:p>
    <w:p w14:paraId="14D7275E">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75" w:name="_Toc361220420"/>
      <w:bookmarkStart w:id="476" w:name="_Toc19801"/>
      <w:bookmarkStart w:id="477" w:name="_Toc97299508"/>
      <w:r>
        <w:rPr>
          <w:rFonts w:hint="eastAsia" w:ascii="宋体" w:hAnsi="宋体" w:eastAsia="宋体" w:cs="宋体"/>
          <w:b/>
          <w:bCs/>
          <w:snapToGrid w:val="0"/>
          <w:color w:val="auto"/>
          <w:kern w:val="0"/>
          <w:sz w:val="21"/>
          <w:szCs w:val="21"/>
          <w:highlight w:val="none"/>
        </w:rPr>
        <w:t>十一、补充协议</w:t>
      </w:r>
      <w:bookmarkEnd w:id="475"/>
      <w:bookmarkEnd w:id="476"/>
      <w:bookmarkEnd w:id="477"/>
    </w:p>
    <w:p w14:paraId="05FED1AE">
      <w:pPr>
        <w:snapToGrid w:val="0"/>
        <w:spacing w:line="360" w:lineRule="auto"/>
        <w:ind w:firstLine="420"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合同未尽事宜，合同当事人另行签订补充协议，补充协议是合同的组成部分。</w:t>
      </w:r>
    </w:p>
    <w:p w14:paraId="0C2F2432">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78" w:name="_Toc361220421"/>
      <w:bookmarkStart w:id="479" w:name="_Toc97299509"/>
      <w:bookmarkStart w:id="480" w:name="_Toc27318"/>
      <w:r>
        <w:rPr>
          <w:rFonts w:hint="eastAsia" w:ascii="宋体" w:hAnsi="宋体" w:eastAsia="宋体" w:cs="宋体"/>
          <w:b/>
          <w:bCs/>
          <w:snapToGrid w:val="0"/>
          <w:color w:val="auto"/>
          <w:kern w:val="0"/>
          <w:sz w:val="21"/>
          <w:szCs w:val="21"/>
          <w:highlight w:val="none"/>
        </w:rPr>
        <w:t>十二、合同生效</w:t>
      </w:r>
      <w:bookmarkEnd w:id="478"/>
      <w:bookmarkEnd w:id="479"/>
      <w:bookmarkEnd w:id="480"/>
    </w:p>
    <w:p w14:paraId="15F6B3E3">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本合同自</w:t>
      </w:r>
      <w:r>
        <w:rPr>
          <w:rFonts w:hint="eastAsia" w:ascii="宋体" w:hAnsi="宋体" w:eastAsia="宋体" w:cs="宋体"/>
          <w:bCs/>
          <w:snapToGrid w:val="0"/>
          <w:color w:val="auto"/>
          <w:kern w:val="0"/>
          <w:sz w:val="21"/>
          <w:szCs w:val="21"/>
          <w:highlight w:val="none"/>
          <w:u w:val="single"/>
        </w:rPr>
        <w:t xml:space="preserve">  </w:t>
      </w:r>
      <w:bookmarkStart w:id="481" w:name="SOA_hhxys_htsx"/>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u w:val="single"/>
        </w:rPr>
        <w:t xml:space="preserve">   </w:t>
      </w:r>
      <w:bookmarkEnd w:id="481"/>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生效。</w:t>
      </w:r>
    </w:p>
    <w:p w14:paraId="7BE8FC2C">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82" w:name="_Toc361220422"/>
      <w:bookmarkStart w:id="483" w:name="_Toc28195"/>
      <w:bookmarkStart w:id="484" w:name="_Toc97299510"/>
      <w:r>
        <w:rPr>
          <w:rFonts w:hint="eastAsia" w:ascii="宋体" w:hAnsi="宋体" w:eastAsia="宋体" w:cs="宋体"/>
          <w:b/>
          <w:bCs/>
          <w:snapToGrid w:val="0"/>
          <w:color w:val="auto"/>
          <w:kern w:val="0"/>
          <w:sz w:val="21"/>
          <w:szCs w:val="21"/>
          <w:highlight w:val="none"/>
        </w:rPr>
        <w:t>十三、合同份数</w:t>
      </w:r>
      <w:bookmarkEnd w:id="482"/>
      <w:bookmarkEnd w:id="483"/>
      <w:bookmarkEnd w:id="484"/>
    </w:p>
    <w:p w14:paraId="2DC3249A">
      <w:pPr>
        <w:snapToGrid w:val="0"/>
        <w:spacing w:line="360" w:lineRule="auto"/>
        <w:ind w:left="210" w:leftChars="100" w:firstLine="210" w:firstLineChars="1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本合同一式</w:t>
      </w:r>
      <w:r>
        <w:rPr>
          <w:rFonts w:hint="eastAsia" w:ascii="宋体" w:hAnsi="宋体" w:eastAsia="宋体" w:cs="宋体"/>
          <w:b/>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份，均具有同等法律效力，发包人执</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份，承包人执</w:t>
      </w:r>
      <w:r>
        <w:rPr>
          <w:rFonts w:hint="eastAsia" w:ascii="宋体" w:hAnsi="宋体" w:eastAsia="宋体" w:cs="宋体"/>
          <w:b/>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份。</w:t>
      </w:r>
    </w:p>
    <w:p w14:paraId="6F75A918">
      <w:pPr>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35B43F6B">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  (公章)</w:t>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承包人：  (公章)</w:t>
      </w:r>
    </w:p>
    <w:p w14:paraId="7291D2C0">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法定代表人或其委托代理人：</w:t>
      </w:r>
    </w:p>
    <w:p w14:paraId="1234E03D">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（签字</w:t>
      </w:r>
      <w:r>
        <w:rPr>
          <w:rFonts w:hint="eastAsia" w:ascii="宋体" w:hAnsi="宋体" w:cs="宋体"/>
          <w:snapToGrid w:val="0"/>
          <w:color w:val="auto"/>
          <w:kern w:val="0"/>
          <w:sz w:val="21"/>
          <w:szCs w:val="21"/>
          <w:highlight w:val="none"/>
          <w:lang w:val="en-US" w:eastAsia="zh-CN"/>
        </w:rPr>
        <w:t>或盖章</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（签字</w:t>
      </w:r>
      <w:r>
        <w:rPr>
          <w:rFonts w:hint="eastAsia" w:ascii="宋体" w:hAnsi="宋体" w:cs="宋体"/>
          <w:snapToGrid w:val="0"/>
          <w:color w:val="auto"/>
          <w:kern w:val="0"/>
          <w:sz w:val="21"/>
          <w:szCs w:val="21"/>
          <w:highlight w:val="none"/>
          <w:lang w:val="en-US" w:eastAsia="zh-CN"/>
        </w:rPr>
        <w:t>或盖章</w:t>
      </w:r>
      <w:r>
        <w:rPr>
          <w:rFonts w:hint="eastAsia" w:ascii="宋体" w:hAnsi="宋体" w:eastAsia="宋体" w:cs="宋体"/>
          <w:snapToGrid w:val="0"/>
          <w:color w:val="auto"/>
          <w:kern w:val="0"/>
          <w:sz w:val="21"/>
          <w:szCs w:val="21"/>
          <w:highlight w:val="none"/>
        </w:rPr>
        <w:t>）</w:t>
      </w:r>
    </w:p>
    <w:p w14:paraId="52D575F5">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组织机构代码：</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组织机构代码：</w:t>
      </w:r>
      <w:bookmarkStart w:id="485" w:name="SOA_hhxys_zjjgdm1"/>
      <w:r>
        <w:rPr>
          <w:rFonts w:hint="eastAsia" w:ascii="宋体" w:hAnsi="宋体" w:eastAsia="宋体" w:cs="宋体"/>
          <w:snapToGrid w:val="0"/>
          <w:color w:val="auto"/>
          <w:kern w:val="0"/>
          <w:sz w:val="21"/>
          <w:szCs w:val="21"/>
          <w:highlight w:val="none"/>
          <w:u w:val="single"/>
        </w:rPr>
        <w:t xml:space="preserve">      </w:t>
      </w:r>
      <w:bookmarkEnd w:id="485"/>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1DE34412">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6C4B1AEC">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邮政编码：</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邮政编码：</w:t>
      </w:r>
      <w:bookmarkStart w:id="486" w:name="SOA_hhxys_cbryb"/>
      <w:r>
        <w:rPr>
          <w:rFonts w:hint="eastAsia" w:ascii="宋体" w:hAnsi="宋体" w:eastAsia="宋体" w:cs="宋体"/>
          <w:snapToGrid w:val="0"/>
          <w:color w:val="auto"/>
          <w:kern w:val="0"/>
          <w:sz w:val="21"/>
          <w:szCs w:val="21"/>
          <w:highlight w:val="none"/>
          <w:u w:val="single"/>
        </w:rPr>
        <w:t xml:space="preserve">             </w:t>
      </w:r>
      <w:bookmarkEnd w:id="486"/>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7523C2AC">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法定代表人：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法定代表人：</w:t>
      </w:r>
      <w:bookmarkStart w:id="487" w:name="SOA_hhxys_fddbr1"/>
      <w:r>
        <w:rPr>
          <w:rFonts w:hint="eastAsia" w:ascii="宋体" w:hAnsi="宋体" w:eastAsia="宋体" w:cs="宋体"/>
          <w:snapToGrid w:val="0"/>
          <w:color w:val="auto"/>
          <w:kern w:val="0"/>
          <w:sz w:val="21"/>
          <w:szCs w:val="21"/>
          <w:highlight w:val="none"/>
          <w:u w:val="single"/>
        </w:rPr>
        <w:t xml:space="preserve">     </w:t>
      </w:r>
      <w:bookmarkEnd w:id="487"/>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3E10669B">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委托代理人：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委托代理人：</w:t>
      </w:r>
      <w:bookmarkStart w:id="488" w:name="SOA_hhxys_wtdlr1"/>
      <w:r>
        <w:rPr>
          <w:rFonts w:hint="eastAsia" w:ascii="宋体" w:hAnsi="宋体" w:eastAsia="宋体" w:cs="宋体"/>
          <w:snapToGrid w:val="0"/>
          <w:color w:val="auto"/>
          <w:kern w:val="0"/>
          <w:sz w:val="21"/>
          <w:szCs w:val="21"/>
          <w:highlight w:val="none"/>
          <w:u w:val="single"/>
        </w:rPr>
        <w:t xml:space="preserve">    </w:t>
      </w:r>
      <w:bookmarkEnd w:id="488"/>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50767F28">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电  话：</w:t>
      </w:r>
      <w:bookmarkStart w:id="489" w:name="SOA_hhxys_cbrdh"/>
      <w:r>
        <w:rPr>
          <w:rFonts w:hint="eastAsia" w:ascii="宋体" w:hAnsi="宋体" w:eastAsia="宋体" w:cs="宋体"/>
          <w:snapToGrid w:val="0"/>
          <w:color w:val="auto"/>
          <w:kern w:val="0"/>
          <w:sz w:val="21"/>
          <w:szCs w:val="21"/>
          <w:highlight w:val="none"/>
          <w:u w:val="single"/>
        </w:rPr>
        <w:t xml:space="preserve">            </w:t>
      </w:r>
      <w:bookmarkEnd w:id="489"/>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45003BBE">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传  真：</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传  真：</w:t>
      </w:r>
      <w:bookmarkStart w:id="490" w:name="SOA_hhxys_cbrcz"/>
      <w:r>
        <w:rPr>
          <w:rFonts w:hint="eastAsia" w:ascii="宋体" w:hAnsi="宋体" w:eastAsia="宋体" w:cs="宋体"/>
          <w:snapToGrid w:val="0"/>
          <w:color w:val="auto"/>
          <w:kern w:val="0"/>
          <w:sz w:val="21"/>
          <w:szCs w:val="21"/>
          <w:highlight w:val="none"/>
          <w:u w:val="single"/>
        </w:rPr>
        <w:t xml:space="preserve">              </w:t>
      </w:r>
      <w:bookmarkEnd w:id="490"/>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3EB741DB">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电子信箱：</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电子信箱：</w:t>
      </w:r>
      <w:bookmarkStart w:id="491" w:name="SOA_hhxys_cbrdzxx"/>
      <w:r>
        <w:rPr>
          <w:rFonts w:hint="eastAsia" w:ascii="宋体" w:hAnsi="宋体" w:eastAsia="宋体" w:cs="宋体"/>
          <w:snapToGrid w:val="0"/>
          <w:color w:val="auto"/>
          <w:kern w:val="0"/>
          <w:sz w:val="21"/>
          <w:szCs w:val="21"/>
          <w:highlight w:val="none"/>
          <w:u w:val="single"/>
        </w:rPr>
        <w:t xml:space="preserve">      </w:t>
      </w:r>
      <w:bookmarkEnd w:id="491"/>
      <w:r>
        <w:rPr>
          <w:rFonts w:hint="eastAsia" w:ascii="宋体" w:hAnsi="宋体" w:eastAsia="宋体" w:cs="宋体"/>
          <w:snapToGrid w:val="0"/>
          <w:color w:val="auto"/>
          <w:kern w:val="0"/>
          <w:sz w:val="21"/>
          <w:szCs w:val="21"/>
          <w:highlight w:val="none"/>
          <w:u w:val="single"/>
        </w:rPr>
        <w:t xml:space="preserve">  </w:t>
      </w:r>
    </w:p>
    <w:p w14:paraId="371DBFBD">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kern w:val="0"/>
          <w:sz w:val="21"/>
          <w:szCs w:val="21"/>
          <w:highlight w:val="none"/>
          <w:u w:val="single"/>
        </w:rPr>
        <w:t xml:space="preserve">                 </w:t>
      </w:r>
    </w:p>
    <w:p w14:paraId="0DF5A51D">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kern w:val="0"/>
          <w:sz w:val="21"/>
          <w:szCs w:val="21"/>
          <w:highlight w:val="none"/>
          <w:u w:val="single"/>
        </w:rPr>
        <w:t></w:t>
      </w:r>
      <w:bookmarkStart w:id="492" w:name="SOA_hhxys_cbrzh"/>
      <w:r>
        <w:rPr>
          <w:rFonts w:hint="eastAsia" w:ascii="宋体" w:hAnsi="宋体" w:eastAsia="宋体" w:cs="宋体"/>
          <w:snapToGrid w:val="0"/>
          <w:color w:val="auto"/>
          <w:kern w:val="0"/>
          <w:sz w:val="21"/>
          <w:szCs w:val="21"/>
          <w:highlight w:val="none"/>
          <w:u w:val="single"/>
        </w:rPr>
        <w:t xml:space="preserve"> </w:t>
      </w:r>
      <w:bookmarkEnd w:id="492"/>
      <w:r>
        <w:rPr>
          <w:rFonts w:hint="eastAsia" w:ascii="宋体" w:hAnsi="宋体" w:eastAsia="宋体" w:cs="宋体"/>
          <w:snapToGrid w:val="0"/>
          <w:color w:val="auto"/>
          <w:kern w:val="0"/>
          <w:sz w:val="21"/>
          <w:szCs w:val="21"/>
          <w:highlight w:val="none"/>
          <w:u w:val="single"/>
        </w:rPr>
        <w:t xml:space="preserve">        </w:t>
      </w:r>
    </w:p>
    <w:p w14:paraId="3221C805">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93" w:name="_Toc7550"/>
      <w:bookmarkStart w:id="494" w:name="_Toc97299511"/>
      <w:bookmarkStart w:id="495" w:name="_Toc69485879"/>
      <w:bookmarkStart w:id="496" w:name="_Toc31640"/>
      <w:r>
        <w:rPr>
          <w:rFonts w:hint="eastAsia" w:ascii="宋体" w:hAnsi="宋体" w:cs="宋体"/>
          <w:snapToGrid w:val="0"/>
          <w:color w:val="auto"/>
          <w:kern w:val="44"/>
          <w:sz w:val="28"/>
          <w:szCs w:val="20"/>
          <w:highlight w:val="none"/>
        </w:rPr>
        <w:t>第二部分  通用条款（略）</w:t>
      </w:r>
      <w:bookmarkEnd w:id="493"/>
      <w:bookmarkEnd w:id="494"/>
      <w:bookmarkEnd w:id="495"/>
      <w:bookmarkEnd w:id="496"/>
    </w:p>
    <w:p w14:paraId="726BF859">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97" w:name="_Toc8278"/>
      <w:bookmarkStart w:id="498" w:name="_Toc15868"/>
      <w:bookmarkStart w:id="499" w:name="_Toc69485880"/>
      <w:bookmarkStart w:id="500" w:name="_Toc97299512"/>
      <w:r>
        <w:rPr>
          <w:rFonts w:hint="eastAsia" w:ascii="宋体" w:hAnsi="宋体" w:cs="宋体"/>
          <w:snapToGrid w:val="0"/>
          <w:color w:val="auto"/>
          <w:kern w:val="44"/>
          <w:sz w:val="28"/>
          <w:szCs w:val="20"/>
          <w:highlight w:val="none"/>
        </w:rPr>
        <w:t>第三部分  专用条款</w:t>
      </w:r>
      <w:bookmarkEnd w:id="497"/>
      <w:bookmarkEnd w:id="498"/>
      <w:bookmarkEnd w:id="499"/>
      <w:bookmarkEnd w:id="500"/>
    </w:p>
    <w:p w14:paraId="5AEB890E">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501" w:name="_Toc351203633"/>
      <w:r>
        <w:rPr>
          <w:rFonts w:hint="eastAsia" w:ascii="宋体" w:hAnsi="宋体"/>
          <w:b/>
          <w:color w:val="auto"/>
          <w:szCs w:val="21"/>
          <w:highlight w:val="none"/>
        </w:rPr>
        <w:t>1</w:t>
      </w:r>
      <w:bookmarkStart w:id="502" w:name="_Toc296347155"/>
      <w:bookmarkStart w:id="503" w:name="_Toc296890984"/>
      <w:bookmarkStart w:id="504" w:name="_Toc292559866"/>
      <w:bookmarkStart w:id="505" w:name="_Toc292559361"/>
      <w:bookmarkStart w:id="506" w:name="_Toc297120456"/>
      <w:bookmarkStart w:id="507" w:name="_Toc297048342"/>
      <w:bookmarkStart w:id="508" w:name="_Toc296944495"/>
      <w:bookmarkStart w:id="509" w:name="_Toc296891196"/>
      <w:bookmarkStart w:id="510" w:name="_Toc296503156"/>
      <w:bookmarkStart w:id="511" w:name="_Toc296346657"/>
      <w:r>
        <w:rPr>
          <w:rFonts w:hint="eastAsia" w:ascii="宋体" w:hAnsi="宋体"/>
          <w:b/>
          <w:color w:val="auto"/>
          <w:szCs w:val="21"/>
          <w:highlight w:val="none"/>
        </w:rPr>
        <w:t>. 一般约定</w:t>
      </w:r>
      <w:bookmarkEnd w:id="501"/>
    </w:p>
    <w:bookmarkEnd w:id="502"/>
    <w:bookmarkEnd w:id="503"/>
    <w:bookmarkEnd w:id="504"/>
    <w:bookmarkEnd w:id="505"/>
    <w:bookmarkEnd w:id="506"/>
    <w:bookmarkEnd w:id="507"/>
    <w:bookmarkEnd w:id="508"/>
    <w:bookmarkEnd w:id="509"/>
    <w:bookmarkEnd w:id="510"/>
    <w:bookmarkEnd w:id="511"/>
    <w:p w14:paraId="403CCABE">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5BFA8397">
      <w:pPr>
        <w:shd w:val="clea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74DA2D05">
      <w:pPr>
        <w:shd w:val="clear" w:color="auto"/>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（1）成交通知书（如果有）；（2）响应函（如果有）； （3）专用合同条款及其附件；（4）通用合同条款；（5）技术标准和要求；（6）图纸；（7）已标价工程量清单或预算书；（8）其他合同文件</w:t>
      </w:r>
      <w:r>
        <w:rPr>
          <w:rFonts w:hint="eastAsia" w:ascii="宋体" w:hAnsi="宋体"/>
          <w:snapToGrid w:val="0"/>
          <w:color w:val="auto"/>
          <w:kern w:val="0"/>
          <w:szCs w:val="21"/>
          <w:highlight w:val="none"/>
        </w:rPr>
        <w:t>。</w:t>
      </w:r>
    </w:p>
    <w:p w14:paraId="05A23DE6">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1D4CC2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5220D8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3EF803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773B9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C88DC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F6BE4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BE9F6C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6C08633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lang w:val="en-US" w:eastAsia="zh-CN"/>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A0F622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lang w:val="en-US" w:eastAsia="zh-CN"/>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64FCF79F">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A8CF06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78968E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40F971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10F66C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902E7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6F572BCC">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2C2A880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729FD6F5">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Cs/>
          <w:color w:val="auto"/>
          <w:kern w:val="0"/>
          <w:highlight w:val="none"/>
          <w:u w:val="single"/>
        </w:rPr>
        <w:t>《中华人民共和国民法典》及国家、浙江省、宁波市有关工程建设的法律、法规、规章、条例及规范性文件</w:t>
      </w:r>
      <w:r>
        <w:rPr>
          <w:rFonts w:hint="eastAsia" w:ascii="宋体" w:hAnsi="宋体" w:cs="宋体"/>
          <w:color w:val="auto"/>
          <w:szCs w:val="21"/>
          <w:highlight w:val="none"/>
        </w:rPr>
        <w:t>。</w:t>
      </w:r>
    </w:p>
    <w:p w14:paraId="4C7671DA">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246229EA">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Cs/>
          <w:color w:val="auto"/>
          <w:kern w:val="0"/>
          <w:highlight w:val="none"/>
          <w:u w:val="single"/>
        </w:rPr>
        <w:t>浙江省、宁波市工程建设相关的施工及验收规范</w:t>
      </w:r>
      <w:r>
        <w:rPr>
          <w:rFonts w:hint="eastAsia" w:ascii="Arial" w:hAnsi="Arial" w:cs="Arial"/>
          <w:snapToGrid w:val="0"/>
          <w:color w:val="auto"/>
          <w:kern w:val="0"/>
          <w:szCs w:val="21"/>
          <w:highlight w:val="none"/>
          <w:u w:val="single"/>
        </w:rPr>
        <w:t>。</w:t>
      </w:r>
    </w:p>
    <w:p w14:paraId="2223D8B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rPr>
        <w:t>。</w:t>
      </w:r>
    </w:p>
    <w:p w14:paraId="4C31FAE0">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4B5D7043">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65B13B10">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5510BE4E">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5C63C56C">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32CB947A">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1C7078D6">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3A38626B">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3E58941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4812536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765D82A6">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1DD05DE7">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059EF978">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②其他：</w:t>
      </w:r>
      <w:r>
        <w:rPr>
          <w:rFonts w:hint="eastAsia" w:ascii="宋体" w:hAnsi="宋体"/>
          <w:b/>
          <w:snapToGrid w:val="0"/>
          <w:color w:val="auto"/>
          <w:kern w:val="0"/>
          <w:szCs w:val="21"/>
          <w:highlight w:val="none"/>
          <w:u w:val="single"/>
          <w:lang w:val="en-US" w:eastAsia="zh-CN"/>
        </w:rPr>
        <w:t>竞争性磋商</w:t>
      </w:r>
      <w:r>
        <w:rPr>
          <w:rFonts w:hint="eastAsia" w:ascii="宋体" w:hAnsi="宋体"/>
          <w:b/>
          <w:snapToGrid w:val="0"/>
          <w:color w:val="auto"/>
          <w:kern w:val="0"/>
          <w:szCs w:val="21"/>
          <w:highlight w:val="none"/>
          <w:u w:val="single"/>
        </w:rPr>
        <w:t xml:space="preserve">文件及采购答疑（如果有）。      </w:t>
      </w:r>
    </w:p>
    <w:p w14:paraId="576803B2">
      <w:pPr>
        <w:snapToGrid w:val="0"/>
        <w:spacing w:line="360" w:lineRule="auto"/>
        <w:ind w:firstLine="420" w:firstLineChars="200"/>
        <w:outlineLvl w:val="0"/>
        <w:rPr>
          <w:rFonts w:ascii="宋体" w:hAnsi="宋体" w:cs="宋体"/>
          <w:color w:val="auto"/>
          <w:szCs w:val="21"/>
          <w:highlight w:val="none"/>
        </w:rPr>
      </w:pPr>
      <w:bookmarkStart w:id="512" w:name="_Toc32386"/>
      <w:r>
        <w:rPr>
          <w:rFonts w:hint="eastAsia" w:ascii="宋体" w:hAnsi="宋体" w:cs="宋体"/>
          <w:color w:val="auto"/>
          <w:szCs w:val="21"/>
          <w:highlight w:val="none"/>
        </w:rPr>
        <w:t>1.6 图纸和承包人文件</w:t>
      </w:r>
      <w:bookmarkEnd w:id="512"/>
      <w:r>
        <w:rPr>
          <w:rFonts w:hint="eastAsia" w:ascii="宋体" w:hAnsi="宋体" w:cs="宋体"/>
          <w:color w:val="auto"/>
          <w:szCs w:val="21"/>
          <w:highlight w:val="none"/>
        </w:rPr>
        <w:tab/>
      </w:r>
    </w:p>
    <w:p w14:paraId="7B7BF2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19CFCE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bCs/>
          <w:color w:val="auto"/>
          <w:kern w:val="0"/>
          <w:highlight w:val="none"/>
          <w:u w:val="single"/>
        </w:rPr>
        <w:t>向承包人发出中标通知书后3天内</w:t>
      </w:r>
      <w:r>
        <w:rPr>
          <w:rFonts w:hint="eastAsia" w:ascii="宋体" w:hAnsi="宋体" w:cs="宋体"/>
          <w:color w:val="auto"/>
          <w:szCs w:val="21"/>
          <w:highlight w:val="none"/>
        </w:rPr>
        <w:t>；</w:t>
      </w:r>
    </w:p>
    <w:p w14:paraId="111359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套</w:t>
      </w:r>
      <w:r>
        <w:rPr>
          <w:rFonts w:hint="eastAsia" w:ascii="宋体" w:hAnsi="宋体" w:cs="宋体"/>
          <w:color w:val="auto"/>
          <w:szCs w:val="21"/>
          <w:highlight w:val="none"/>
        </w:rPr>
        <w:t>；</w:t>
      </w:r>
    </w:p>
    <w:p w14:paraId="25181C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72AA8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7171041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olor w:val="auto"/>
          <w:szCs w:val="21"/>
          <w:highlight w:val="none"/>
          <w:u w:val="single"/>
        </w:rPr>
        <w:t>竣工图及竣工资料</w:t>
      </w:r>
      <w:r>
        <w:rPr>
          <w:rFonts w:hint="eastAsia" w:ascii="宋体" w:hAnsi="宋体" w:cs="宋体"/>
          <w:color w:val="auto"/>
          <w:szCs w:val="21"/>
          <w:highlight w:val="none"/>
        </w:rPr>
        <w:t>；</w:t>
      </w:r>
    </w:p>
    <w:p w14:paraId="014BB3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olor w:val="auto"/>
          <w:szCs w:val="21"/>
          <w:highlight w:val="none"/>
          <w:u w:val="single"/>
        </w:rPr>
        <w:t>竣工验收后30天内</w:t>
      </w:r>
      <w:r>
        <w:rPr>
          <w:rFonts w:hint="eastAsia" w:ascii="宋体" w:hAnsi="宋体" w:cs="宋体"/>
          <w:color w:val="auto"/>
          <w:szCs w:val="21"/>
          <w:highlight w:val="none"/>
        </w:rPr>
        <w:t>；</w:t>
      </w:r>
    </w:p>
    <w:p w14:paraId="6D4507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olor w:val="auto"/>
          <w:szCs w:val="21"/>
          <w:highlight w:val="none"/>
          <w:u w:val="single"/>
        </w:rPr>
        <w:t>一式四份</w:t>
      </w:r>
      <w:r>
        <w:rPr>
          <w:rFonts w:hint="eastAsia" w:ascii="宋体" w:hAnsi="宋体" w:cs="宋体"/>
          <w:color w:val="auto"/>
          <w:szCs w:val="21"/>
          <w:highlight w:val="none"/>
        </w:rPr>
        <w:t>；</w:t>
      </w:r>
    </w:p>
    <w:p w14:paraId="73A611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lang w:val="en-US" w:eastAsia="zh-CN"/>
        </w:rPr>
        <w:t>三份纸质，一份电子文件</w:t>
      </w:r>
      <w:r>
        <w:rPr>
          <w:rFonts w:hint="eastAsia" w:ascii="宋体" w:hAnsi="宋体" w:cs="宋体"/>
          <w:color w:val="auto"/>
          <w:szCs w:val="21"/>
          <w:highlight w:val="none"/>
        </w:rPr>
        <w:t>；</w:t>
      </w:r>
    </w:p>
    <w:p w14:paraId="620EC1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564BF31">
      <w:pPr>
        <w:snapToGrid w:val="0"/>
        <w:spacing w:line="360" w:lineRule="auto"/>
        <w:ind w:firstLine="420" w:firstLineChars="200"/>
        <w:outlineLvl w:val="0"/>
        <w:rPr>
          <w:rFonts w:ascii="宋体" w:hAnsi="宋体" w:cs="宋体"/>
          <w:color w:val="auto"/>
          <w:szCs w:val="21"/>
          <w:highlight w:val="none"/>
        </w:rPr>
      </w:pPr>
      <w:bookmarkStart w:id="513" w:name="_Toc3548"/>
      <w:r>
        <w:rPr>
          <w:rFonts w:hint="eastAsia" w:ascii="宋体" w:hAnsi="宋体" w:cs="宋体"/>
          <w:color w:val="auto"/>
          <w:szCs w:val="21"/>
          <w:highlight w:val="none"/>
        </w:rPr>
        <w:t>1.7 联络</w:t>
      </w:r>
      <w:bookmarkEnd w:id="513"/>
    </w:p>
    <w:p w14:paraId="1B787C1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olor w:val="auto"/>
          <w:szCs w:val="21"/>
          <w:highlight w:val="none"/>
          <w:u w:val="single"/>
        </w:rPr>
        <w:t>3</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1A45685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0843989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059006B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617BB55D">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51E9D9F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421687F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32A1D12B">
      <w:pPr>
        <w:snapToGrid w:val="0"/>
        <w:spacing w:line="360" w:lineRule="auto"/>
        <w:ind w:firstLine="420" w:firstLineChars="200"/>
        <w:outlineLvl w:val="0"/>
        <w:rPr>
          <w:rFonts w:ascii="宋体" w:hAnsi="宋体" w:cs="宋体"/>
          <w:color w:val="auto"/>
          <w:szCs w:val="21"/>
          <w:highlight w:val="none"/>
        </w:rPr>
      </w:pPr>
      <w:bookmarkStart w:id="514" w:name="_Toc2103"/>
      <w:r>
        <w:rPr>
          <w:rFonts w:hint="eastAsia" w:ascii="宋体" w:hAnsi="宋体" w:cs="宋体"/>
          <w:color w:val="auto"/>
          <w:szCs w:val="21"/>
          <w:highlight w:val="none"/>
        </w:rPr>
        <w:t>1.10 交通运输</w:t>
      </w:r>
      <w:bookmarkEnd w:id="514"/>
    </w:p>
    <w:p w14:paraId="45151733">
      <w:pPr>
        <w:snapToGrid w:val="0"/>
        <w:spacing w:line="360" w:lineRule="auto"/>
        <w:ind w:firstLine="420" w:firstLineChars="200"/>
        <w:outlineLvl w:val="0"/>
        <w:rPr>
          <w:rFonts w:ascii="宋体" w:hAnsi="宋体" w:cs="宋体"/>
          <w:color w:val="auto"/>
          <w:szCs w:val="21"/>
          <w:highlight w:val="none"/>
        </w:rPr>
      </w:pPr>
      <w:bookmarkStart w:id="515" w:name="_Toc3676"/>
      <w:r>
        <w:rPr>
          <w:rFonts w:hint="eastAsia" w:ascii="宋体" w:hAnsi="宋体" w:cs="宋体"/>
          <w:color w:val="auto"/>
          <w:szCs w:val="21"/>
          <w:highlight w:val="none"/>
        </w:rPr>
        <w:t>1</w:t>
      </w:r>
      <w:bookmarkStart w:id="516" w:name="_Toc318581155"/>
      <w:bookmarkStart w:id="517" w:name="_Toc312677986"/>
      <w:bookmarkStart w:id="518" w:name="_Toc300934943"/>
      <w:bookmarkStart w:id="519" w:name="_Toc304295521"/>
      <w:bookmarkStart w:id="520" w:name="_Toc303539100"/>
      <w:r>
        <w:rPr>
          <w:rFonts w:hint="eastAsia" w:ascii="宋体" w:hAnsi="宋体" w:cs="宋体"/>
          <w:color w:val="auto"/>
          <w:szCs w:val="21"/>
          <w:highlight w:val="none"/>
        </w:rPr>
        <w:t>.10.1 出入现场的权利</w:t>
      </w:r>
      <w:bookmarkEnd w:id="515"/>
    </w:p>
    <w:p w14:paraId="1B7EF4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bookmarkEnd w:id="516"/>
    <w:bookmarkEnd w:id="517"/>
    <w:bookmarkEnd w:id="518"/>
    <w:bookmarkEnd w:id="519"/>
    <w:bookmarkEnd w:id="520"/>
    <w:p w14:paraId="508D8DFE">
      <w:pPr>
        <w:snapToGrid w:val="0"/>
        <w:spacing w:line="360" w:lineRule="auto"/>
        <w:ind w:firstLine="420" w:firstLineChars="200"/>
        <w:jc w:val="left"/>
        <w:outlineLvl w:val="0"/>
        <w:rPr>
          <w:rFonts w:ascii="宋体" w:hAnsi="宋体" w:cs="宋体"/>
          <w:color w:val="auto"/>
          <w:szCs w:val="21"/>
          <w:highlight w:val="none"/>
        </w:rPr>
      </w:pPr>
      <w:bookmarkStart w:id="521" w:name="_Toc4351"/>
      <w:r>
        <w:rPr>
          <w:rFonts w:hint="eastAsia" w:ascii="宋体" w:hAnsi="宋体" w:cs="宋体"/>
          <w:color w:val="auto"/>
          <w:szCs w:val="21"/>
          <w:highlight w:val="none"/>
        </w:rPr>
        <w:t>1</w:t>
      </w:r>
      <w:bookmarkStart w:id="522" w:name="_Toc312677987"/>
      <w:bookmarkStart w:id="523" w:name="_Toc304295522"/>
      <w:bookmarkStart w:id="524" w:name="_Toc300934944"/>
      <w:bookmarkStart w:id="525" w:name="_Toc303539101"/>
      <w:bookmarkStart w:id="526" w:name="_Toc318581156"/>
      <w:r>
        <w:rPr>
          <w:rFonts w:hint="eastAsia" w:ascii="宋体" w:hAnsi="宋体" w:cs="宋体"/>
          <w:color w:val="auto"/>
          <w:szCs w:val="21"/>
          <w:highlight w:val="none"/>
        </w:rPr>
        <w:t>.10.3 场内交通</w:t>
      </w:r>
      <w:bookmarkEnd w:id="521"/>
    </w:p>
    <w:p w14:paraId="798F6CC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bCs/>
          <w:color w:val="auto"/>
          <w:kern w:val="0"/>
          <w:highlight w:val="none"/>
          <w:u w:val="single"/>
          <w:lang w:val="en-US" w:eastAsia="zh-CN"/>
        </w:rPr>
        <w:t xml:space="preserve">  </w:t>
      </w:r>
      <w:r>
        <w:rPr>
          <w:rFonts w:hint="eastAsia" w:ascii="宋体" w:hAnsi="宋体" w:cs="宋体"/>
          <w:color w:val="auto"/>
          <w:szCs w:val="21"/>
          <w:highlight w:val="none"/>
        </w:rPr>
        <w:t>。</w:t>
      </w:r>
    </w:p>
    <w:p w14:paraId="0B64994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bookmarkEnd w:id="522"/>
      <w:bookmarkEnd w:id="523"/>
      <w:bookmarkEnd w:id="524"/>
      <w:bookmarkEnd w:id="525"/>
      <w:bookmarkEnd w:id="526"/>
      <w:r>
        <w:rPr>
          <w:rFonts w:hint="eastAsia" w:ascii="宋体" w:hAnsi="宋体" w:cs="宋体"/>
          <w:color w:val="auto"/>
          <w:szCs w:val="21"/>
          <w:highlight w:val="none"/>
        </w:rPr>
        <w:t xml:space="preserve">  </w:t>
      </w:r>
      <w:bookmarkStart w:id="527" w:name="_Toc318581157"/>
    </w:p>
    <w:p w14:paraId="4F7168A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5E9AA17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rPr>
        <w:t>承担。</w:t>
      </w:r>
    </w:p>
    <w:bookmarkEnd w:id="527"/>
    <w:p w14:paraId="5948E266">
      <w:pPr>
        <w:snapToGrid w:val="0"/>
        <w:spacing w:line="360" w:lineRule="auto"/>
        <w:ind w:firstLine="420" w:firstLineChars="200"/>
        <w:outlineLvl w:val="0"/>
        <w:rPr>
          <w:rFonts w:ascii="宋体" w:hAnsi="宋体" w:cs="宋体"/>
          <w:color w:val="auto"/>
          <w:szCs w:val="21"/>
          <w:highlight w:val="none"/>
        </w:rPr>
      </w:pPr>
      <w:bookmarkStart w:id="528" w:name="_Toc11222"/>
      <w:r>
        <w:rPr>
          <w:rFonts w:hint="eastAsia" w:ascii="宋体" w:hAnsi="宋体" w:cs="宋体"/>
          <w:color w:val="auto"/>
          <w:szCs w:val="21"/>
          <w:highlight w:val="none"/>
        </w:rPr>
        <w:t>1.11 知识产权</w:t>
      </w:r>
      <w:bookmarkEnd w:id="528"/>
    </w:p>
    <w:p w14:paraId="76AC98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63CE30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5800BD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6AE77A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12AF51BF">
      <w:pPr>
        <w:snapToGrid w:val="0"/>
        <w:spacing w:line="360" w:lineRule="auto"/>
        <w:ind w:firstLine="420" w:firstLineChars="200"/>
        <w:outlineLvl w:val="0"/>
        <w:rPr>
          <w:rFonts w:ascii="宋体" w:hAnsi="宋体" w:cs="宋体"/>
          <w:color w:val="auto"/>
          <w:kern w:val="0"/>
          <w:szCs w:val="21"/>
          <w:highlight w:val="none"/>
        </w:rPr>
      </w:pPr>
      <w:bookmarkStart w:id="529" w:name="_Toc3390"/>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olor w:val="auto"/>
          <w:szCs w:val="21"/>
          <w:highlight w:val="none"/>
        </w:rPr>
        <w:t>执行通用条款</w:t>
      </w:r>
      <w:r>
        <w:rPr>
          <w:rFonts w:hint="eastAsia" w:ascii="宋体" w:hAnsi="宋体" w:cs="宋体"/>
          <w:color w:val="auto"/>
          <w:kern w:val="0"/>
          <w:szCs w:val="21"/>
          <w:highlight w:val="none"/>
        </w:rPr>
        <w:t>。</w:t>
      </w:r>
      <w:bookmarkEnd w:id="529"/>
    </w:p>
    <w:p w14:paraId="0C12EE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2ED618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32DFD4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14EFFE5D">
      <w:pPr>
        <w:pStyle w:val="5"/>
        <w:snapToGrid w:val="0"/>
        <w:spacing w:before="0" w:after="0" w:line="360" w:lineRule="auto"/>
        <w:rPr>
          <w:rFonts w:ascii="宋体" w:hAnsi="宋体" w:eastAsia="宋体" w:cs="宋体"/>
          <w:b w:val="0"/>
          <w:color w:val="auto"/>
          <w:sz w:val="21"/>
          <w:szCs w:val="21"/>
          <w:highlight w:val="none"/>
        </w:rPr>
      </w:pPr>
      <w:bookmarkStart w:id="530" w:name="_Toc351203634"/>
      <w:r>
        <w:rPr>
          <w:rFonts w:hint="eastAsia" w:ascii="宋体" w:hAnsi="宋体" w:eastAsia="宋体" w:cs="宋体"/>
          <w:b w:val="0"/>
          <w:color w:val="auto"/>
          <w:sz w:val="21"/>
          <w:szCs w:val="21"/>
          <w:highlight w:val="none"/>
        </w:rPr>
        <w:t>2</w:t>
      </w:r>
      <w:bookmarkStart w:id="531" w:name="_Toc296346658"/>
      <w:bookmarkStart w:id="532" w:name="_Toc296503157"/>
      <w:bookmarkStart w:id="533" w:name="_Toc297048343"/>
      <w:bookmarkStart w:id="534" w:name="_Toc296347156"/>
      <w:bookmarkStart w:id="535" w:name="_Toc296891197"/>
      <w:bookmarkStart w:id="536" w:name="_Toc296944496"/>
      <w:bookmarkStart w:id="537" w:name="_Toc296890985"/>
      <w:bookmarkStart w:id="538" w:name="_Toc292559362"/>
      <w:bookmarkStart w:id="539" w:name="_Toc297120457"/>
      <w:bookmarkStart w:id="540" w:name="_Toc292559867"/>
      <w:r>
        <w:rPr>
          <w:rFonts w:hint="eastAsia" w:ascii="宋体" w:hAnsi="宋体" w:eastAsia="宋体" w:cs="宋体"/>
          <w:b w:val="0"/>
          <w:color w:val="auto"/>
          <w:sz w:val="21"/>
          <w:szCs w:val="21"/>
          <w:highlight w:val="none"/>
        </w:rPr>
        <w:t>. 发包人</w:t>
      </w:r>
      <w:bookmarkEnd w:id="530"/>
    </w:p>
    <w:bookmarkEnd w:id="531"/>
    <w:bookmarkEnd w:id="532"/>
    <w:bookmarkEnd w:id="533"/>
    <w:bookmarkEnd w:id="534"/>
    <w:bookmarkEnd w:id="535"/>
    <w:bookmarkEnd w:id="536"/>
    <w:bookmarkEnd w:id="537"/>
    <w:bookmarkEnd w:id="538"/>
    <w:bookmarkEnd w:id="539"/>
    <w:bookmarkEnd w:id="540"/>
    <w:p w14:paraId="278951D0">
      <w:pPr>
        <w:snapToGrid w:val="0"/>
        <w:spacing w:line="360" w:lineRule="auto"/>
        <w:ind w:firstLine="420" w:firstLineChars="200"/>
        <w:outlineLvl w:val="0"/>
        <w:rPr>
          <w:rFonts w:ascii="宋体" w:hAnsi="宋体" w:cs="宋体"/>
          <w:color w:val="auto"/>
          <w:szCs w:val="21"/>
          <w:highlight w:val="none"/>
        </w:rPr>
      </w:pPr>
      <w:bookmarkStart w:id="541" w:name="_Toc17580"/>
      <w:r>
        <w:rPr>
          <w:rFonts w:hint="eastAsia" w:ascii="宋体" w:hAnsi="宋体" w:cs="宋体"/>
          <w:color w:val="auto"/>
          <w:szCs w:val="21"/>
          <w:highlight w:val="none"/>
        </w:rPr>
        <w:t>2.2 发包人代表</w:t>
      </w:r>
      <w:bookmarkEnd w:id="541"/>
    </w:p>
    <w:p w14:paraId="327584A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3FF08D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05FE58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27AD3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6DDB19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5A614C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084DB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AED62EC">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Cs/>
          <w:color w:val="auto"/>
          <w:highlight w:val="none"/>
          <w:u w:val="single"/>
        </w:rPr>
        <w:t>代表发包人履行发包人对工程建设管理的权利和义务，签发（或会签）各项工程联系单，对承包人有监督、协调的权利。工程价款洽商、索赔事项的处理、合同的变更等事项，由发包人代表完成，但需经发包人同意</w:t>
      </w:r>
      <w:r>
        <w:rPr>
          <w:rFonts w:hint="eastAsia" w:ascii="宋体" w:hAnsi="宋体" w:cs="宋体"/>
          <w:color w:val="auto"/>
          <w:szCs w:val="21"/>
          <w:highlight w:val="none"/>
        </w:rPr>
        <w:t>。</w:t>
      </w:r>
    </w:p>
    <w:p w14:paraId="5C141FBE">
      <w:pPr>
        <w:snapToGrid w:val="0"/>
        <w:spacing w:line="360" w:lineRule="auto"/>
        <w:ind w:firstLine="420" w:firstLineChars="200"/>
        <w:outlineLvl w:val="0"/>
        <w:rPr>
          <w:rFonts w:ascii="宋体" w:hAnsi="宋体" w:cs="宋体"/>
          <w:color w:val="auto"/>
          <w:szCs w:val="21"/>
          <w:highlight w:val="none"/>
        </w:rPr>
      </w:pPr>
      <w:bookmarkStart w:id="542" w:name="_Toc30494"/>
      <w:r>
        <w:rPr>
          <w:rFonts w:hint="eastAsia" w:ascii="宋体" w:hAnsi="宋体" w:cs="宋体"/>
          <w:color w:val="auto"/>
          <w:szCs w:val="21"/>
          <w:highlight w:val="none"/>
        </w:rPr>
        <w:t>2.4 施工现场、施工条件和基础资料的提供</w:t>
      </w:r>
      <w:bookmarkEnd w:id="542"/>
    </w:p>
    <w:p w14:paraId="29CC18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35A974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2987C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4FD42837">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66DAB866">
      <w:pPr>
        <w:snapToGrid w:val="0"/>
        <w:spacing w:line="360" w:lineRule="auto"/>
        <w:ind w:firstLine="420" w:firstLineChars="200"/>
        <w:outlineLvl w:val="0"/>
        <w:rPr>
          <w:rFonts w:ascii="宋体" w:hAnsi="宋体" w:cs="宋体"/>
          <w:color w:val="auto"/>
          <w:szCs w:val="21"/>
          <w:highlight w:val="none"/>
        </w:rPr>
      </w:pPr>
      <w:bookmarkStart w:id="543" w:name="_Toc21129"/>
      <w:r>
        <w:rPr>
          <w:rFonts w:hint="eastAsia" w:ascii="宋体" w:hAnsi="宋体" w:cs="宋体"/>
          <w:color w:val="auto"/>
          <w:szCs w:val="21"/>
          <w:highlight w:val="none"/>
        </w:rPr>
        <w:t>2.5 资金来源证明及支付担保</w:t>
      </w:r>
      <w:bookmarkEnd w:id="543"/>
    </w:p>
    <w:p w14:paraId="1DC8F2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1FAB6D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w:t>
      </w:r>
    </w:p>
    <w:p w14:paraId="307B6A6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76B3282C">
      <w:pPr>
        <w:pStyle w:val="5"/>
        <w:snapToGrid w:val="0"/>
        <w:spacing w:before="0" w:after="0" w:line="360" w:lineRule="auto"/>
        <w:rPr>
          <w:rFonts w:ascii="宋体" w:hAnsi="宋体" w:eastAsia="宋体" w:cs="宋体"/>
          <w:b w:val="0"/>
          <w:color w:val="auto"/>
          <w:sz w:val="21"/>
          <w:szCs w:val="21"/>
          <w:highlight w:val="none"/>
        </w:rPr>
      </w:pPr>
      <w:bookmarkStart w:id="544" w:name="_Toc351203635"/>
      <w:r>
        <w:rPr>
          <w:rFonts w:hint="eastAsia" w:ascii="宋体" w:hAnsi="宋体" w:eastAsia="宋体" w:cs="宋体"/>
          <w:b w:val="0"/>
          <w:color w:val="auto"/>
          <w:sz w:val="21"/>
          <w:szCs w:val="21"/>
          <w:highlight w:val="none"/>
        </w:rPr>
        <w:t>3</w:t>
      </w:r>
      <w:bookmarkStart w:id="545" w:name="_Toc292559868"/>
      <w:bookmarkStart w:id="546" w:name="_Toc296347157"/>
      <w:bookmarkStart w:id="547" w:name="_Toc296503158"/>
      <w:bookmarkStart w:id="548" w:name="_Toc296346659"/>
      <w:bookmarkStart w:id="549" w:name="_Toc297120458"/>
      <w:bookmarkStart w:id="550" w:name="_Toc296891198"/>
      <w:bookmarkStart w:id="551" w:name="_Toc297048344"/>
      <w:bookmarkStart w:id="552" w:name="_Toc296944497"/>
      <w:bookmarkStart w:id="553" w:name="_Toc292559363"/>
      <w:bookmarkStart w:id="554" w:name="_Toc296890986"/>
      <w:r>
        <w:rPr>
          <w:rFonts w:hint="eastAsia" w:ascii="宋体" w:hAnsi="宋体" w:eastAsia="宋体" w:cs="宋体"/>
          <w:b w:val="0"/>
          <w:color w:val="auto"/>
          <w:sz w:val="21"/>
          <w:szCs w:val="21"/>
          <w:highlight w:val="none"/>
        </w:rPr>
        <w:t>. 承包人</w:t>
      </w:r>
      <w:bookmarkEnd w:id="544"/>
    </w:p>
    <w:bookmarkEnd w:id="545"/>
    <w:bookmarkEnd w:id="546"/>
    <w:bookmarkEnd w:id="547"/>
    <w:bookmarkEnd w:id="548"/>
    <w:bookmarkEnd w:id="549"/>
    <w:bookmarkEnd w:id="550"/>
    <w:bookmarkEnd w:id="551"/>
    <w:bookmarkEnd w:id="552"/>
    <w:bookmarkEnd w:id="553"/>
    <w:bookmarkEnd w:id="554"/>
    <w:p w14:paraId="3DCE3E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56FADE5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承包人提交的竣工资料的内容：完整竣工验收资料及竣工验收报告、竣工图。</w:t>
      </w:r>
    </w:p>
    <w:p w14:paraId="0421274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承包人需要提交的竣工资料套数：一式肆份。</w:t>
      </w:r>
    </w:p>
    <w:p w14:paraId="0456AC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承包人提交的竣工资料的费用承担：承包人。</w:t>
      </w:r>
    </w:p>
    <w:p w14:paraId="25FB170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承包人提交的竣工资料移交时间：工程具备竣工验收条件后30天内。</w:t>
      </w:r>
    </w:p>
    <w:p w14:paraId="7B8633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lang w:val="en-US" w:eastAsia="zh-CN"/>
        </w:rPr>
        <w:t>纸质</w:t>
      </w:r>
      <w:r>
        <w:rPr>
          <w:rFonts w:hint="eastAsia" w:ascii="宋体" w:hAnsi="宋体" w:cs="宋体"/>
          <w:color w:val="auto"/>
          <w:szCs w:val="21"/>
          <w:highlight w:val="none"/>
        </w:rPr>
        <w:t>。</w:t>
      </w:r>
    </w:p>
    <w:p w14:paraId="034B77E6">
      <w:pPr>
        <w:numPr>
          <w:ilvl w:val="0"/>
          <w:numId w:val="1"/>
        </w:numPr>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50374C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根据工程实际情况配备发电设备，不得因停电影响施工。发包人仅提供水接入点，承包人负责从发包人提供的水接入点到施工现场的供水设施的架设、维护、拆除，相关费用由承包人承担。施工用水、电费用由承包人承担。由发包人提供的水、电设备在施工期间由承包人负责保管，如有丢失或损坏等情况，由承包人按实赔偿。电讯线路及设备由承包人自行解决，并承担该部分费用。</w:t>
      </w:r>
    </w:p>
    <w:p w14:paraId="2FEBC5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负责场地内临时道路及出入通道的修建及养护。工程完工前承包人应对因施工造成的已有道路、挡墙、人行道砖、附属设施及由于施工产生的便道等的损坏进行修复，恢复原状，该费用由承包人自行考虑到报价中，结算时不作调整。如不修复，发包人有权委托其他人完成，所需费用从</w:t>
      </w:r>
      <w:r>
        <w:rPr>
          <w:rFonts w:hint="eastAsia" w:ascii="宋体" w:hAnsi="宋体" w:cs="宋体"/>
          <w:color w:val="auto"/>
          <w:kern w:val="0"/>
          <w:szCs w:val="21"/>
          <w:highlight w:val="none"/>
          <w:u w:val="single"/>
        </w:rPr>
        <w:t>合同结算价款</w:t>
      </w:r>
      <w:r>
        <w:rPr>
          <w:rFonts w:hint="eastAsia" w:ascii="宋体" w:hAnsi="宋体" w:cs="宋体"/>
          <w:color w:val="auto"/>
          <w:szCs w:val="21"/>
          <w:highlight w:val="none"/>
        </w:rPr>
        <w:t>中扣除。并应保证发包人免于承担因上述临时道路和设施的使用所引起的补偿费、诉讼费、损害赔偿、指控费及其他开支。</w:t>
      </w:r>
    </w:p>
    <w:p w14:paraId="191514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3）根据工程需要，提供和维修施工使用的照明、围栏设施，并负责安全保卫，相关费用包含在投标报价中。</w:t>
      </w:r>
    </w:p>
    <w:p w14:paraId="08CCA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在工程竣工验收合格并正式交付使用前，对已完工程成品的所有保护及费用均由承包人负责，费用包含在承包人的投标报价中。</w:t>
      </w:r>
    </w:p>
    <w:p w14:paraId="776BA314">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施工场地周围地下管线和邻近建筑物、树木的保护要求及费用承担：承包人应按照发包人要求做好施工场地周围地下管线和邻近建筑物、构筑物（含文物保护建筑）、古树名木的保护工作，并承担相关费用。在发包人提供现场基础资料后，承包人应进一步做好核实调查，并在施工中应充分考虑地下、地上管线及其他建筑物、构筑物的不确定因素，而采用有效的施工方法和加固措施来避免损坏事件发生，相关费用由承包人承担，一旦发生损坏及出现其他损失，承包人承担由此造成的所有直接、间接损失，若承包人不加以修复、赔偿，则发包人将指派他人进行修复工作，由此发生的费用，发包人将从应支付给承包人的款项中扣除。</w:t>
      </w:r>
    </w:p>
    <w:p w14:paraId="27F17EB6">
      <w:pPr>
        <w:spacing w:line="360" w:lineRule="auto"/>
        <w:ind w:firstLine="420" w:firstLineChars="200"/>
        <w:rPr>
          <w:rFonts w:ascii="宋体" w:hAnsi="宋体"/>
          <w:color w:val="auto"/>
          <w:szCs w:val="21"/>
          <w:highlight w:val="none"/>
        </w:rPr>
      </w:pPr>
      <w:bookmarkStart w:id="555" w:name="_Toc472493651"/>
      <w:bookmarkStart w:id="556" w:name="_Toc431321460"/>
      <w:r>
        <w:rPr>
          <w:rFonts w:hint="eastAsia" w:ascii="宋体" w:hAnsi="宋体" w:cs="宋体"/>
          <w:color w:val="auto"/>
          <w:szCs w:val="21"/>
          <w:highlight w:val="none"/>
        </w:rPr>
        <w:t>6）达到规定的文明施工要求，夜间施工时间应符合建设和环保部门要求。施工场地内建筑垃圾、土方、泥浆及垃圾应按建设单位指定区域堆放，挖填和短驳费用自行考虑计入投标报价中。工程完工移交时，应做好卫生清理，达到发包人的要求。承包人在开工前需根据施工所在地有关规定办理施工现场交通、环卫、</w:t>
      </w:r>
      <w:r>
        <w:rPr>
          <w:rFonts w:hint="eastAsia" w:ascii="宋体" w:hAnsi="宋体"/>
          <w:color w:val="auto"/>
          <w:szCs w:val="21"/>
          <w:highlight w:val="none"/>
        </w:rPr>
        <w:t>市政排污、</w:t>
      </w:r>
      <w:r>
        <w:rPr>
          <w:rFonts w:hint="eastAsia" w:ascii="宋体" w:hAnsi="宋体" w:cs="宋体"/>
          <w:color w:val="auto"/>
          <w:szCs w:val="21"/>
          <w:highlight w:val="none"/>
        </w:rPr>
        <w:t>施工噪音</w:t>
      </w:r>
      <w:r>
        <w:rPr>
          <w:rFonts w:hint="eastAsia" w:ascii="宋体" w:hAnsi="宋体"/>
          <w:color w:val="auto"/>
          <w:szCs w:val="21"/>
          <w:highlight w:val="none"/>
        </w:rPr>
        <w:t>、渣土及泥浆外运</w:t>
      </w:r>
      <w:r>
        <w:rPr>
          <w:rFonts w:hint="eastAsia" w:ascii="宋体" w:hAnsi="宋体" w:cs="宋体"/>
          <w:color w:val="auto"/>
          <w:szCs w:val="21"/>
          <w:highlight w:val="none"/>
        </w:rPr>
        <w:t>等手续，费用由承包人承担</w:t>
      </w:r>
      <w:bookmarkEnd w:id="555"/>
      <w:bookmarkEnd w:id="556"/>
      <w:r>
        <w:rPr>
          <w:rFonts w:hint="eastAsia" w:ascii="宋体" w:hAnsi="宋体"/>
          <w:color w:val="auto"/>
          <w:szCs w:val="21"/>
          <w:highlight w:val="none"/>
        </w:rPr>
        <w:t>。因承包人责任造成不良影响和罚款等均由承包人承担，与发包人无涉。为迎接各种上级检查、领导参观，必须做好场地清洁卫生及其他安全文明措施，费用包含在承包人的投标报价中，不得再向发包人要求增加任何费用。</w:t>
      </w:r>
    </w:p>
    <w:p w14:paraId="2A5173BB">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7）承包人有义务承担发包人提出的图纸变更带来的工程量实施工作，承包人对发包人提出的要求承包人工作配合、工程变更等要求，必须在24小时内作出反馈并组织实施，否则承包人将被视作违反合同，发包人有权在承包人工程款中扣除由此而引起的一切费用，直至解除合同</w:t>
      </w:r>
      <w:r>
        <w:rPr>
          <w:rFonts w:hint="eastAsia" w:ascii="宋体" w:hAnsi="宋体" w:cs="宋体"/>
          <w:color w:val="auto"/>
          <w:szCs w:val="21"/>
          <w:highlight w:val="none"/>
        </w:rPr>
        <w:t>。</w:t>
      </w:r>
    </w:p>
    <w:p w14:paraId="29FEAF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56FE35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53B449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183BD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7A276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190A5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9D0E3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B1670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30FAF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BB6B7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54230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8A0670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olor w:val="auto"/>
          <w:szCs w:val="21"/>
          <w:highlight w:val="none"/>
          <w:u w:val="single"/>
        </w:rPr>
        <w:t>在承包人授权范围内履行承包人的职权，对工程建设的质量、安全、工期以及工程造价控制负责，所有上报给发包人的文件均需项目经理签字</w:t>
      </w:r>
      <w:r>
        <w:rPr>
          <w:rFonts w:hint="eastAsia" w:ascii="宋体" w:hAnsi="宋体" w:cs="宋体"/>
          <w:color w:val="auto"/>
          <w:szCs w:val="21"/>
          <w:highlight w:val="none"/>
        </w:rPr>
        <w:t>。</w:t>
      </w:r>
    </w:p>
    <w:p w14:paraId="2EFEB00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13170E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发包人有权解除合同，由此造成的费用增加和工期延误损失均由承包人承担</w:t>
      </w:r>
      <w:r>
        <w:rPr>
          <w:rFonts w:hint="eastAsia" w:ascii="宋体" w:hAnsi="宋体" w:cs="宋体"/>
          <w:color w:val="auto"/>
          <w:szCs w:val="21"/>
          <w:highlight w:val="none"/>
        </w:rPr>
        <w:t>。</w:t>
      </w:r>
    </w:p>
    <w:p w14:paraId="2AC81CFD">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kern w:val="0"/>
          <w:szCs w:val="21"/>
          <w:highlight w:val="none"/>
          <w:u w:val="single"/>
        </w:rPr>
        <w:t>处违约金1000元/次</w:t>
      </w:r>
      <w:r>
        <w:rPr>
          <w:rFonts w:hint="eastAsia" w:ascii="宋体" w:hAnsi="宋体" w:cs="宋体"/>
          <w:color w:val="auto"/>
          <w:kern w:val="0"/>
          <w:szCs w:val="21"/>
          <w:highlight w:val="none"/>
          <w:u w:val="single"/>
          <w:lang w:eastAsia="zh-CN"/>
        </w:rPr>
        <w:t>。</w:t>
      </w:r>
      <w:r>
        <w:rPr>
          <w:rFonts w:hint="eastAsia" w:ascii="宋体" w:hAnsi="宋体" w:cs="宋体"/>
          <w:kern w:val="0"/>
          <w:szCs w:val="21"/>
          <w:highlight w:val="none"/>
          <w:u w:val="single"/>
        </w:rPr>
        <w:t>违约金从</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lang w:val="en-US" w:eastAsia="zh-CN"/>
        </w:rPr>
        <w:t>履约保证金</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中扣除，该项限额不足时，发包人有权从结算价款中予以扣除</w:t>
      </w:r>
      <w:r>
        <w:rPr>
          <w:rFonts w:hint="eastAsia" w:ascii="宋体" w:hAnsi="宋体" w:cs="宋体"/>
          <w:kern w:val="0"/>
          <w:szCs w:val="21"/>
          <w:highlight w:val="none"/>
        </w:rPr>
        <w:t>。</w:t>
      </w:r>
    </w:p>
    <w:p w14:paraId="105C74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kern w:val="0"/>
          <w:szCs w:val="21"/>
          <w:highlight w:val="none"/>
          <w:u w:val="single"/>
        </w:rPr>
        <w:t>处违约金3000元/次</w:t>
      </w:r>
      <w:r>
        <w:rPr>
          <w:rFonts w:hint="eastAsia" w:ascii="宋体" w:hAnsi="宋体" w:cs="宋体"/>
          <w:color w:val="auto"/>
          <w:kern w:val="0"/>
          <w:szCs w:val="21"/>
          <w:highlight w:val="none"/>
          <w:u w:val="single"/>
          <w:lang w:eastAsia="zh-CN"/>
        </w:rPr>
        <w:t>。</w:t>
      </w:r>
      <w:r>
        <w:rPr>
          <w:rFonts w:hint="eastAsia" w:ascii="宋体" w:hAnsi="宋体" w:cs="宋体"/>
          <w:kern w:val="0"/>
          <w:szCs w:val="21"/>
          <w:highlight w:val="none"/>
          <w:u w:val="single"/>
        </w:rPr>
        <w:t>违约金从</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lang w:val="en-US" w:eastAsia="zh-CN"/>
        </w:rPr>
        <w:t>履约保证金</w:t>
      </w:r>
      <w:r>
        <w:rPr>
          <w:rFonts w:hint="eastAsia" w:ascii="宋体" w:hAnsi="宋体" w:cs="宋体"/>
          <w:kern w:val="0"/>
          <w:szCs w:val="21"/>
          <w:highlight w:val="none"/>
          <w:u w:val="single"/>
          <w:lang w:eastAsia="zh-CN"/>
        </w:rPr>
        <w:t>”</w:t>
      </w:r>
      <w:r>
        <w:rPr>
          <w:rFonts w:hint="eastAsia" w:ascii="宋体" w:hAnsi="宋体" w:cs="宋体"/>
          <w:kern w:val="0"/>
          <w:szCs w:val="21"/>
          <w:highlight w:val="none"/>
          <w:u w:val="single"/>
        </w:rPr>
        <w:t>中扣除，该项限额不足时，发包人有权从结算价款中予以扣除，</w:t>
      </w:r>
      <w:r>
        <w:rPr>
          <w:rFonts w:hint="eastAsia" w:ascii="宋体" w:hAnsi="宋体" w:cs="宋体"/>
          <w:color w:val="auto"/>
          <w:kern w:val="0"/>
          <w:szCs w:val="21"/>
          <w:highlight w:val="none"/>
          <w:u w:val="single"/>
        </w:rPr>
        <w:t>发包人有权拒绝接受其擅自更换的项目经理</w:t>
      </w:r>
      <w:r>
        <w:rPr>
          <w:rFonts w:hint="eastAsia" w:ascii="宋体" w:hAnsi="宋体" w:cs="宋体"/>
          <w:color w:val="auto"/>
          <w:szCs w:val="21"/>
          <w:highlight w:val="none"/>
        </w:rPr>
        <w:t>。</w:t>
      </w:r>
    </w:p>
    <w:p w14:paraId="2BD9486D">
      <w:pPr>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 xml:space="preserve">    </w:t>
      </w:r>
      <w:bookmarkStart w:id="557" w:name="_Toc12597"/>
      <w:r>
        <w:rPr>
          <w:rFonts w:hint="eastAsia" w:ascii="宋体" w:hAnsi="宋体" w:cs="宋体"/>
          <w:color w:val="auto"/>
          <w:szCs w:val="21"/>
          <w:highlight w:val="none"/>
        </w:rPr>
        <w:t>3.2.4 承包人无正当理由拒绝更换项目经理的违约责任：</w:t>
      </w:r>
      <w:r>
        <w:rPr>
          <w:rFonts w:hint="eastAsia" w:ascii="宋体" w:hAnsi="宋体" w:cs="宋体"/>
          <w:color w:val="auto"/>
          <w:kern w:val="0"/>
          <w:szCs w:val="21"/>
          <w:highlight w:val="none"/>
          <w:u w:val="single"/>
        </w:rPr>
        <w:t>发包人认为项目经理无法履行职责的，应提供相关证明材料，并签发《整改通知书》，承包人在收到《整改通知书》后仍无改善的，发包人有权要求承包人更换项目经理。承包人无正当理由拒绝更换的，违约金为合同结算价款总额的30%。情节严重的，发包人有权解除合同，由此造成的一切损失由承包人承担</w:t>
      </w:r>
      <w:r>
        <w:rPr>
          <w:rFonts w:hint="eastAsia" w:ascii="宋体" w:hAnsi="宋体" w:cs="宋体"/>
          <w:color w:val="auto"/>
          <w:szCs w:val="21"/>
          <w:highlight w:val="none"/>
        </w:rPr>
        <w:t>。</w:t>
      </w:r>
      <w:bookmarkEnd w:id="557"/>
    </w:p>
    <w:p w14:paraId="0C93A5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286911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kern w:val="0"/>
          <w:szCs w:val="21"/>
          <w:highlight w:val="none"/>
          <w:u w:val="single"/>
        </w:rPr>
        <w:t>承包人应在合同签订后5天内提交与</w:t>
      </w:r>
      <w:r>
        <w:rPr>
          <w:rFonts w:hint="eastAsia" w:ascii="宋体" w:hAnsi="宋体" w:cs="宋体"/>
          <w:color w:val="auto"/>
          <w:szCs w:val="21"/>
          <w:highlight w:val="none"/>
          <w:u w:val="single"/>
        </w:rPr>
        <w:t>投标时所承诺的人员一致的</w:t>
      </w:r>
      <w:r>
        <w:rPr>
          <w:rFonts w:hint="eastAsia" w:ascii="宋体" w:hAnsi="宋体" w:cs="宋体"/>
          <w:color w:val="auto"/>
          <w:kern w:val="0"/>
          <w:szCs w:val="21"/>
          <w:highlight w:val="none"/>
          <w:u w:val="single"/>
        </w:rPr>
        <w:t>项目管理机构及施工现场管理人员安排报告</w:t>
      </w:r>
      <w:r>
        <w:rPr>
          <w:rFonts w:hint="eastAsia" w:ascii="宋体" w:hAnsi="宋体" w:cs="宋体"/>
          <w:color w:val="auto"/>
          <w:szCs w:val="21"/>
          <w:highlight w:val="none"/>
        </w:rPr>
        <w:t>。</w:t>
      </w:r>
    </w:p>
    <w:p w14:paraId="3AA4D7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421D323B">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6B5840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5A9851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D6F4E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58" w:name="_Toc297048345"/>
      <w:bookmarkStart w:id="559" w:name="_Toc300934945"/>
      <w:bookmarkStart w:id="560" w:name="_Toc292559869"/>
      <w:bookmarkStart w:id="561" w:name="_Toc297120459"/>
      <w:bookmarkStart w:id="562" w:name="_Toc296890987"/>
      <w:bookmarkStart w:id="563" w:name="_Toc304295523"/>
      <w:bookmarkStart w:id="564" w:name="_Toc297123492"/>
      <w:bookmarkStart w:id="565" w:name="_Toc303539102"/>
      <w:bookmarkStart w:id="566" w:name="_Toc312677988"/>
      <w:bookmarkStart w:id="567" w:name="_Toc296503159"/>
      <w:bookmarkStart w:id="568" w:name="_Toc296347158"/>
      <w:bookmarkStart w:id="569" w:name="_Toc296346660"/>
      <w:bookmarkStart w:id="570" w:name="_Toc296944498"/>
      <w:bookmarkStart w:id="571" w:name="_Toc296891199"/>
      <w:bookmarkStart w:id="572" w:name="_Toc297216151"/>
      <w:bookmarkStart w:id="573" w:name="_Toc292559364"/>
      <w:r>
        <w:rPr>
          <w:rFonts w:hint="eastAsia" w:ascii="宋体" w:hAnsi="宋体" w:cs="宋体"/>
          <w:color w:val="auto"/>
          <w:szCs w:val="21"/>
          <w:highlight w:val="none"/>
        </w:rPr>
        <w:t>.5 分包</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14:paraId="74A09E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74" w:name="_Toc304295524"/>
      <w:bookmarkStart w:id="575" w:name="_Toc296503160"/>
      <w:bookmarkStart w:id="576" w:name="_Toc296944499"/>
      <w:bookmarkStart w:id="577" w:name="_Toc303539103"/>
      <w:bookmarkStart w:id="578" w:name="_Toc297048346"/>
      <w:bookmarkStart w:id="579" w:name="_Toc296890988"/>
      <w:bookmarkStart w:id="580" w:name="_Toc296891200"/>
      <w:bookmarkStart w:id="581" w:name="_Toc297216152"/>
      <w:bookmarkStart w:id="582" w:name="_Toc297120460"/>
      <w:bookmarkStart w:id="583" w:name="_Toc318581158"/>
      <w:bookmarkStart w:id="584" w:name="_Toc296347159"/>
      <w:bookmarkStart w:id="585" w:name="_Toc292559365"/>
      <w:bookmarkStart w:id="586" w:name="_Toc296346661"/>
      <w:bookmarkStart w:id="587" w:name="_Toc292559870"/>
      <w:bookmarkStart w:id="588" w:name="_Toc300934946"/>
      <w:bookmarkStart w:id="589" w:name="_Toc297123493"/>
      <w:bookmarkStart w:id="590" w:name="_Toc312677989"/>
      <w:r>
        <w:rPr>
          <w:rFonts w:hint="eastAsia" w:ascii="宋体" w:hAnsi="宋体" w:cs="宋体"/>
          <w:color w:val="auto"/>
          <w:szCs w:val="21"/>
          <w:highlight w:val="none"/>
        </w:rPr>
        <w:t>.5.1 分包的一般约定</w:t>
      </w:r>
    </w:p>
    <w:p w14:paraId="4BB6638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lang w:val="en-US" w:eastAsia="zh-CN"/>
        </w:rPr>
        <w:t>本项目不允许分包</w:t>
      </w:r>
      <w:r>
        <w:rPr>
          <w:rFonts w:hint="eastAsia" w:ascii="宋体" w:hAnsi="宋体" w:cs="宋体"/>
          <w:color w:val="auto"/>
          <w:szCs w:val="21"/>
          <w:highlight w:val="none"/>
        </w:rPr>
        <w:t>。</w:t>
      </w:r>
    </w:p>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79B37D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4BAF568D">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7D37C4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377A3C7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BC85B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964234">
      <w:pPr>
        <w:pStyle w:val="5"/>
        <w:snapToGrid w:val="0"/>
        <w:spacing w:before="0" w:after="0" w:line="360" w:lineRule="auto"/>
        <w:rPr>
          <w:rFonts w:ascii="宋体" w:hAnsi="宋体" w:eastAsia="宋体" w:cs="宋体"/>
          <w:b w:val="0"/>
          <w:color w:val="auto"/>
          <w:sz w:val="21"/>
          <w:szCs w:val="21"/>
          <w:highlight w:val="none"/>
        </w:rPr>
      </w:pPr>
      <w:bookmarkStart w:id="591" w:name="_Toc351203636"/>
      <w:r>
        <w:rPr>
          <w:rFonts w:hint="eastAsia" w:ascii="宋体" w:hAnsi="宋体" w:eastAsia="宋体" w:cs="宋体"/>
          <w:b w:val="0"/>
          <w:color w:val="auto"/>
          <w:sz w:val="21"/>
          <w:szCs w:val="21"/>
          <w:highlight w:val="none"/>
        </w:rPr>
        <w:t>4</w:t>
      </w:r>
      <w:bookmarkStart w:id="592" w:name="_Toc297120462"/>
      <w:bookmarkStart w:id="593" w:name="_Toc297048348"/>
      <w:bookmarkStart w:id="594" w:name="_Toc296347161"/>
      <w:bookmarkStart w:id="595" w:name="_Toc296890990"/>
      <w:bookmarkStart w:id="596" w:name="_Toc267251413"/>
      <w:bookmarkStart w:id="597" w:name="_Toc296891202"/>
      <w:bookmarkStart w:id="598" w:name="_Toc292559366"/>
      <w:bookmarkStart w:id="599" w:name="_Toc292559871"/>
      <w:bookmarkStart w:id="600" w:name="_Toc296944501"/>
      <w:bookmarkStart w:id="601" w:name="_Toc296346663"/>
      <w:bookmarkStart w:id="602" w:name="_Toc296503162"/>
      <w:r>
        <w:rPr>
          <w:rFonts w:hint="eastAsia" w:ascii="宋体" w:hAnsi="宋体" w:eastAsia="宋体" w:cs="宋体"/>
          <w:b w:val="0"/>
          <w:color w:val="auto"/>
          <w:sz w:val="21"/>
          <w:szCs w:val="21"/>
          <w:highlight w:val="none"/>
        </w:rPr>
        <w:t>. 监</w:t>
      </w:r>
      <w:bookmarkEnd w:id="592"/>
      <w:bookmarkEnd w:id="593"/>
      <w:bookmarkEnd w:id="594"/>
      <w:bookmarkEnd w:id="595"/>
      <w:bookmarkEnd w:id="596"/>
      <w:bookmarkEnd w:id="597"/>
      <w:bookmarkEnd w:id="598"/>
      <w:bookmarkEnd w:id="599"/>
      <w:bookmarkEnd w:id="600"/>
      <w:bookmarkEnd w:id="601"/>
      <w:bookmarkEnd w:id="602"/>
      <w:r>
        <w:rPr>
          <w:rFonts w:hint="eastAsia" w:ascii="宋体" w:hAnsi="宋体" w:eastAsia="宋体" w:cs="宋体"/>
          <w:b w:val="0"/>
          <w:color w:val="auto"/>
          <w:sz w:val="21"/>
          <w:szCs w:val="21"/>
          <w:highlight w:val="none"/>
        </w:rPr>
        <w:t>理人</w:t>
      </w:r>
      <w:bookmarkEnd w:id="591"/>
    </w:p>
    <w:p w14:paraId="0CAC5F8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1AAC4C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B085F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7FFB8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AF614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0EC510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5B28E8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ED4EF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1407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57B2B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B3E2C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ED067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CD9E0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61674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430EC916">
      <w:pPr>
        <w:snapToGrid w:val="0"/>
        <w:spacing w:line="360" w:lineRule="auto"/>
        <w:ind w:firstLine="420" w:firstLineChars="200"/>
        <w:rPr>
          <w:rFonts w:ascii="宋体" w:hAnsi="宋体" w:cs="宋体"/>
          <w:color w:val="auto"/>
          <w:szCs w:val="21"/>
          <w:highlight w:val="none"/>
        </w:rPr>
      </w:pPr>
      <w:bookmarkStart w:id="603" w:name="_Toc267251418"/>
      <w:r>
        <w:rPr>
          <w:rFonts w:hint="eastAsia" w:ascii="宋体" w:hAnsi="宋体" w:cs="宋体"/>
          <w:color w:val="auto"/>
          <w:szCs w:val="21"/>
          <w:highlight w:val="none"/>
        </w:rPr>
        <w:t>在发包人和承包人不能通过协商达成一致意见时，发包人授权监理人对以下事项进行确定：</w:t>
      </w:r>
    </w:p>
    <w:p w14:paraId="6D76586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5E2B98">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6A0E1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18DE4F">
      <w:pPr>
        <w:pStyle w:val="5"/>
        <w:snapToGrid w:val="0"/>
        <w:spacing w:before="0" w:after="0" w:line="360" w:lineRule="auto"/>
        <w:rPr>
          <w:rFonts w:ascii="宋体" w:hAnsi="宋体" w:eastAsia="宋体" w:cs="宋体"/>
          <w:b w:val="0"/>
          <w:color w:val="auto"/>
          <w:sz w:val="21"/>
          <w:szCs w:val="21"/>
          <w:highlight w:val="none"/>
        </w:rPr>
      </w:pPr>
      <w:bookmarkStart w:id="604" w:name="_Toc351203637"/>
      <w:r>
        <w:rPr>
          <w:rFonts w:hint="eastAsia" w:ascii="宋体" w:hAnsi="宋体" w:eastAsia="宋体" w:cs="宋体"/>
          <w:b w:val="0"/>
          <w:color w:val="auto"/>
          <w:sz w:val="21"/>
          <w:szCs w:val="21"/>
          <w:highlight w:val="none"/>
        </w:rPr>
        <w:t>5</w:t>
      </w:r>
      <w:bookmarkEnd w:id="603"/>
      <w:bookmarkStart w:id="605" w:name="_Toc297048349"/>
      <w:bookmarkStart w:id="606" w:name="_Toc292559872"/>
      <w:bookmarkStart w:id="607" w:name="_Toc297120463"/>
      <w:bookmarkStart w:id="608" w:name="_Toc296346664"/>
      <w:bookmarkStart w:id="609" w:name="_Toc296891203"/>
      <w:bookmarkStart w:id="610" w:name="_Toc296347162"/>
      <w:bookmarkStart w:id="611" w:name="_Toc296944502"/>
      <w:bookmarkStart w:id="612" w:name="_Toc296503163"/>
      <w:bookmarkStart w:id="613" w:name="_Toc296890991"/>
      <w:bookmarkStart w:id="614" w:name="_Toc292559367"/>
      <w:r>
        <w:rPr>
          <w:rFonts w:hint="eastAsia" w:ascii="宋体" w:hAnsi="宋体" w:eastAsia="宋体" w:cs="宋体"/>
          <w:b w:val="0"/>
          <w:color w:val="auto"/>
          <w:sz w:val="21"/>
          <w:szCs w:val="21"/>
          <w:highlight w:val="none"/>
        </w:rPr>
        <w:t>. 工程质量</w:t>
      </w:r>
      <w:bookmarkEnd w:id="604"/>
    </w:p>
    <w:p w14:paraId="47DBC405">
      <w:pPr>
        <w:snapToGrid w:val="0"/>
        <w:spacing w:line="360" w:lineRule="auto"/>
        <w:ind w:firstLine="420" w:firstLineChars="200"/>
        <w:outlineLvl w:val="0"/>
        <w:rPr>
          <w:rFonts w:ascii="宋体" w:hAnsi="宋体" w:cs="宋体"/>
          <w:color w:val="auto"/>
          <w:szCs w:val="21"/>
          <w:highlight w:val="yellow"/>
        </w:rPr>
      </w:pPr>
      <w:bookmarkStart w:id="615" w:name="_Toc9941"/>
      <w:r>
        <w:rPr>
          <w:rFonts w:hint="eastAsia" w:ascii="宋体" w:hAnsi="宋体" w:cs="宋体"/>
          <w:color w:val="auto"/>
          <w:szCs w:val="21"/>
          <w:highlight w:val="none"/>
        </w:rPr>
        <w:t>5.1 质量要求</w:t>
      </w:r>
      <w:bookmarkEnd w:id="615"/>
      <w:bookmarkStart w:id="616" w:name="_Toc300934949"/>
      <w:bookmarkStart w:id="617" w:name="_Toc303539106"/>
      <w:bookmarkStart w:id="618" w:name="_Toc297123496"/>
      <w:bookmarkStart w:id="619" w:name="_Toc304295527"/>
      <w:bookmarkStart w:id="620" w:name="_Toc318581164"/>
      <w:bookmarkStart w:id="621" w:name="_Toc312677997"/>
      <w:bookmarkStart w:id="622" w:name="_Toc297216155"/>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5E92AA52">
      <w:pPr>
        <w:pStyle w:val="5"/>
        <w:snapToGrid w:val="0"/>
        <w:spacing w:before="0" w:after="0" w:line="360" w:lineRule="auto"/>
        <w:rPr>
          <w:rFonts w:ascii="宋体" w:hAnsi="宋体" w:eastAsia="宋体" w:cs="宋体"/>
          <w:b w:val="0"/>
          <w:color w:val="auto"/>
          <w:sz w:val="21"/>
          <w:szCs w:val="21"/>
          <w:highlight w:val="none"/>
        </w:rPr>
      </w:pPr>
      <w:bookmarkStart w:id="623" w:name="_Toc351203638"/>
      <w:r>
        <w:rPr>
          <w:rFonts w:hint="eastAsia" w:ascii="宋体" w:hAnsi="宋体" w:eastAsia="宋体" w:cs="宋体"/>
          <w:b w:val="0"/>
          <w:color w:val="auto"/>
          <w:sz w:val="21"/>
          <w:szCs w:val="21"/>
          <w:highlight w:val="none"/>
        </w:rPr>
        <w:t>6. 安全文明施工与环境保护</w:t>
      </w:r>
      <w:bookmarkEnd w:id="623"/>
    </w:p>
    <w:p w14:paraId="32FFBE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6DD9AF8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olor w:val="auto"/>
          <w:szCs w:val="21"/>
          <w:highlight w:val="none"/>
          <w:u w:val="single"/>
        </w:rPr>
        <w:t>合格</w:t>
      </w:r>
      <w:r>
        <w:rPr>
          <w:rFonts w:hint="eastAsia" w:ascii="宋体" w:hAnsi="宋体" w:cs="宋体"/>
          <w:color w:val="auto"/>
          <w:szCs w:val="21"/>
          <w:highlight w:val="none"/>
        </w:rPr>
        <w:t>。</w:t>
      </w:r>
    </w:p>
    <w:p w14:paraId="6985B19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6C763BF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25035BC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olor w:val="auto"/>
          <w:szCs w:val="21"/>
          <w:highlight w:val="none"/>
          <w:u w:val="single"/>
        </w:rPr>
        <w:t>文明施工应按《宁波市建设工程文明施工管理规定》文件要求执行</w:t>
      </w:r>
      <w:r>
        <w:rPr>
          <w:rFonts w:hint="eastAsia" w:ascii="宋体" w:hAnsi="宋体" w:cs="宋体"/>
          <w:color w:val="auto"/>
          <w:szCs w:val="21"/>
          <w:highlight w:val="none"/>
        </w:rPr>
        <w:t>。</w:t>
      </w:r>
    </w:p>
    <w:p w14:paraId="36CB64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olor w:val="auto"/>
          <w:szCs w:val="21"/>
          <w:highlight w:val="none"/>
          <w:u w:val="single"/>
        </w:rPr>
        <w:t>/</w:t>
      </w:r>
      <w:r>
        <w:rPr>
          <w:rFonts w:hint="eastAsia" w:ascii="宋体" w:hAnsi="宋体" w:cs="宋体"/>
          <w:color w:val="auto"/>
          <w:szCs w:val="21"/>
          <w:highlight w:val="none"/>
        </w:rPr>
        <w:t>。</w:t>
      </w:r>
    </w:p>
    <w:bookmarkEnd w:id="616"/>
    <w:bookmarkEnd w:id="617"/>
    <w:bookmarkEnd w:id="618"/>
    <w:bookmarkEnd w:id="619"/>
    <w:bookmarkEnd w:id="620"/>
    <w:bookmarkEnd w:id="621"/>
    <w:bookmarkEnd w:id="622"/>
    <w:p w14:paraId="3C9CB1B4">
      <w:pPr>
        <w:pStyle w:val="5"/>
        <w:snapToGrid w:val="0"/>
        <w:spacing w:before="0" w:after="0" w:line="360" w:lineRule="auto"/>
        <w:rPr>
          <w:rFonts w:ascii="宋体" w:hAnsi="宋体" w:eastAsia="宋体" w:cs="宋体"/>
          <w:b w:val="0"/>
          <w:color w:val="auto"/>
          <w:sz w:val="21"/>
          <w:szCs w:val="21"/>
          <w:highlight w:val="none"/>
        </w:rPr>
      </w:pPr>
      <w:bookmarkStart w:id="624" w:name="_Toc351203639"/>
      <w:r>
        <w:rPr>
          <w:rFonts w:hint="eastAsia" w:ascii="宋体" w:hAnsi="宋体" w:eastAsia="宋体" w:cs="宋体"/>
          <w:b w:val="0"/>
          <w:color w:val="auto"/>
          <w:sz w:val="21"/>
          <w:szCs w:val="21"/>
          <w:highlight w:val="none"/>
        </w:rPr>
        <w:t>7. 工期和进度</w:t>
      </w:r>
      <w:bookmarkEnd w:id="624"/>
    </w:p>
    <w:p w14:paraId="07889A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36FA93C9">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5A242A52">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5A9B459A">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4C87C5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1C0E8E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5" w:name="_Toc304295541"/>
      <w:bookmarkStart w:id="626" w:name="_Toc303539123"/>
      <w:bookmarkStart w:id="627" w:name="_Toc297123514"/>
      <w:bookmarkStart w:id="628" w:name="_Toc312677479"/>
      <w:bookmarkStart w:id="629" w:name="_Toc300934966"/>
      <w:bookmarkStart w:id="630" w:name="_Toc312678005"/>
      <w:bookmarkStart w:id="631" w:name="_Toc297216173"/>
      <w:r>
        <w:rPr>
          <w:rFonts w:hint="eastAsia" w:ascii="宋体" w:hAnsi="宋体" w:cs="宋体"/>
          <w:color w:val="auto"/>
          <w:szCs w:val="21"/>
          <w:highlight w:val="none"/>
        </w:rPr>
        <w:t>.2 施工进度计划</w:t>
      </w:r>
    </w:p>
    <w:p w14:paraId="7137BB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7F4AEE5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收到正式进度计划文件的3日内</w:t>
      </w:r>
      <w:r>
        <w:rPr>
          <w:rFonts w:hint="eastAsia" w:ascii="宋体" w:hAnsi="宋体" w:cs="宋体"/>
          <w:color w:val="auto"/>
          <w:szCs w:val="21"/>
          <w:highlight w:val="none"/>
        </w:rPr>
        <w:t>。</w:t>
      </w:r>
    </w:p>
    <w:p w14:paraId="2ED26C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38257DD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5AAABA63">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kern w:val="0"/>
          <w:szCs w:val="21"/>
          <w:highlight w:val="none"/>
          <w:u w:val="single"/>
        </w:rPr>
        <w:t>合同签订后3日内</w:t>
      </w:r>
      <w:r>
        <w:rPr>
          <w:rFonts w:hint="eastAsia" w:ascii="宋体" w:hAnsi="宋体" w:cs="宋体"/>
          <w:color w:val="auto"/>
          <w:szCs w:val="21"/>
          <w:highlight w:val="none"/>
        </w:rPr>
        <w:t>。</w:t>
      </w:r>
    </w:p>
    <w:p w14:paraId="20F646E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69BD763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kern w:val="0"/>
          <w:szCs w:val="21"/>
          <w:highlight w:val="none"/>
          <w:u w:val="single"/>
        </w:rPr>
        <w:t>承包人应在合同签订后3日内完成劳动力、材料、机械的进场安排</w:t>
      </w:r>
      <w:r>
        <w:rPr>
          <w:rFonts w:hint="eastAsia" w:ascii="宋体" w:hAnsi="宋体" w:cs="宋体"/>
          <w:color w:val="auto"/>
          <w:szCs w:val="21"/>
          <w:highlight w:val="none"/>
        </w:rPr>
        <w:t>。</w:t>
      </w:r>
    </w:p>
    <w:p w14:paraId="3D5B4D8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2E43853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625"/>
    <w:bookmarkEnd w:id="626"/>
    <w:bookmarkEnd w:id="627"/>
    <w:bookmarkEnd w:id="628"/>
    <w:bookmarkEnd w:id="629"/>
    <w:bookmarkEnd w:id="630"/>
    <w:bookmarkEnd w:id="631"/>
    <w:p w14:paraId="3CE581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649625F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kern w:val="0"/>
          <w:szCs w:val="21"/>
          <w:highlight w:val="none"/>
          <w:u w:val="single"/>
        </w:rPr>
        <w:t>不得晚于合同签订后3天</w:t>
      </w:r>
      <w:r>
        <w:rPr>
          <w:rFonts w:hint="eastAsia" w:ascii="宋体" w:hAnsi="宋体" w:cs="宋体"/>
          <w:color w:val="auto"/>
          <w:szCs w:val="21"/>
          <w:highlight w:val="none"/>
        </w:rPr>
        <w:t>。</w:t>
      </w:r>
    </w:p>
    <w:p w14:paraId="3CD2A7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32" w:name="_Toc297216175"/>
      <w:bookmarkStart w:id="633" w:name="_Toc304295546"/>
      <w:bookmarkStart w:id="634" w:name="_Toc312678010"/>
      <w:bookmarkStart w:id="635" w:name="_Toc312677484"/>
      <w:bookmarkStart w:id="636" w:name="_Toc303539125"/>
      <w:bookmarkStart w:id="637" w:name="_Toc300934968"/>
      <w:bookmarkStart w:id="638" w:name="_Toc297123516"/>
      <w:r>
        <w:rPr>
          <w:rFonts w:hint="eastAsia" w:ascii="宋体" w:hAnsi="宋体" w:cs="宋体"/>
          <w:color w:val="auto"/>
          <w:szCs w:val="21"/>
          <w:highlight w:val="none"/>
        </w:rPr>
        <w:t>.5 工期延误</w:t>
      </w:r>
    </w:p>
    <w:bookmarkEnd w:id="632"/>
    <w:bookmarkEnd w:id="633"/>
    <w:bookmarkEnd w:id="634"/>
    <w:bookmarkEnd w:id="635"/>
    <w:bookmarkEnd w:id="636"/>
    <w:bookmarkEnd w:id="637"/>
    <w:bookmarkEnd w:id="638"/>
    <w:p w14:paraId="4B8F07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7141824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w:t>
      </w:r>
    </w:p>
    <w:p w14:paraId="31107E4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39" w:name="_Toc312678012"/>
      <w:bookmarkStart w:id="640" w:name="_Toc318581169"/>
      <w:bookmarkStart w:id="641" w:name="_Toc312677486"/>
      <w:bookmarkStart w:id="642" w:name="_Toc304295548"/>
      <w:bookmarkStart w:id="643" w:name="_Toc300934970"/>
      <w:bookmarkStart w:id="644" w:name="_Toc297216177"/>
      <w:bookmarkStart w:id="645" w:name="_Toc297123518"/>
      <w:bookmarkStart w:id="646" w:name="_Toc303539127"/>
      <w:r>
        <w:rPr>
          <w:rFonts w:hint="eastAsia" w:ascii="宋体" w:hAnsi="宋体" w:cs="宋体"/>
          <w:color w:val="auto"/>
          <w:szCs w:val="21"/>
          <w:highlight w:val="none"/>
        </w:rPr>
        <w:t>.5.2 因承包人原因导致工期延误</w:t>
      </w:r>
    </w:p>
    <w:bookmarkEnd w:id="639"/>
    <w:bookmarkEnd w:id="640"/>
    <w:bookmarkEnd w:id="641"/>
    <w:p w14:paraId="3C1A37A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w:t>
      </w:r>
      <w:bookmarkStart w:id="647" w:name="_Toc312677487"/>
      <w:bookmarkStart w:id="648" w:name="_Toc312678013"/>
      <w:bookmarkStart w:id="649"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kern w:val="0"/>
          <w:szCs w:val="21"/>
          <w:highlight w:val="none"/>
          <w:u w:val="single"/>
        </w:rPr>
        <w:t>因承包人原因造成工期延误，逾期竣工违约金为1000元/天</w:t>
      </w:r>
      <w:r>
        <w:rPr>
          <w:rFonts w:hint="eastAsia" w:ascii="宋体" w:hAnsi="宋体" w:cs="宋体"/>
          <w:color w:val="auto"/>
          <w:szCs w:val="21"/>
          <w:highlight w:val="none"/>
        </w:rPr>
        <w:t>。</w:t>
      </w:r>
      <w:bookmarkEnd w:id="642"/>
      <w:bookmarkEnd w:id="643"/>
      <w:bookmarkEnd w:id="644"/>
      <w:bookmarkEnd w:id="645"/>
      <w:bookmarkEnd w:id="646"/>
      <w:bookmarkEnd w:id="647"/>
      <w:bookmarkEnd w:id="648"/>
    </w:p>
    <w:bookmarkEnd w:id="649"/>
    <w:p w14:paraId="61A4F9E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50" w:name="_Toc312678014"/>
      <w:bookmarkStart w:id="651" w:name="_Toc318581171"/>
      <w:r>
        <w:rPr>
          <w:rFonts w:hint="eastAsia" w:ascii="宋体" w:hAnsi="宋体" w:cs="宋体"/>
          <w:color w:val="auto"/>
          <w:szCs w:val="21"/>
          <w:highlight w:val="none"/>
        </w:rPr>
        <w:t>期竣工违约金的上限：</w:t>
      </w:r>
      <w:r>
        <w:rPr>
          <w:rFonts w:hint="eastAsia" w:ascii="宋体" w:hAnsi="宋体" w:cs="宋体"/>
          <w:color w:val="auto"/>
          <w:kern w:val="0"/>
          <w:szCs w:val="21"/>
          <w:highlight w:val="none"/>
          <w:u w:val="single"/>
        </w:rPr>
        <w:t>合同结算价款15%</w:t>
      </w:r>
      <w:r>
        <w:rPr>
          <w:rFonts w:hint="eastAsia" w:ascii="宋体" w:hAnsi="宋体" w:cs="宋体"/>
          <w:color w:val="auto"/>
          <w:szCs w:val="21"/>
          <w:highlight w:val="none"/>
        </w:rPr>
        <w:t>。</w:t>
      </w:r>
    </w:p>
    <w:bookmarkEnd w:id="650"/>
    <w:bookmarkEnd w:id="651"/>
    <w:p w14:paraId="606D03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52" w:name="_Toc297123519"/>
      <w:bookmarkStart w:id="653" w:name="_Toc297216178"/>
      <w:bookmarkStart w:id="654" w:name="_Toc300934971"/>
      <w:bookmarkStart w:id="655" w:name="_Toc304295549"/>
      <w:bookmarkStart w:id="656" w:name="_Toc312678015"/>
      <w:bookmarkStart w:id="657" w:name="_Toc303539128"/>
      <w:r>
        <w:rPr>
          <w:rFonts w:hint="eastAsia" w:ascii="宋体" w:hAnsi="宋体" w:cs="宋体"/>
          <w:color w:val="auto"/>
          <w:szCs w:val="21"/>
          <w:highlight w:val="none"/>
        </w:rPr>
        <w:t>.6 不</w:t>
      </w:r>
      <w:bookmarkEnd w:id="652"/>
      <w:bookmarkEnd w:id="653"/>
      <w:bookmarkEnd w:id="654"/>
      <w:bookmarkEnd w:id="655"/>
      <w:bookmarkEnd w:id="656"/>
      <w:bookmarkEnd w:id="657"/>
      <w:r>
        <w:rPr>
          <w:rFonts w:hint="eastAsia" w:ascii="宋体" w:hAnsi="宋体" w:cs="宋体"/>
          <w:color w:val="auto"/>
          <w:szCs w:val="21"/>
          <w:highlight w:val="none"/>
        </w:rPr>
        <w:t>利物质条件</w:t>
      </w:r>
    </w:p>
    <w:p w14:paraId="16A458C2">
      <w:pPr>
        <w:snapToGrid w:val="0"/>
        <w:spacing w:line="360" w:lineRule="auto"/>
        <w:ind w:firstLine="420" w:firstLineChars="200"/>
        <w:jc w:val="left"/>
        <w:rPr>
          <w:rFonts w:ascii="宋体" w:hAnsi="宋体" w:cs="宋体"/>
          <w:color w:val="auto"/>
          <w:szCs w:val="21"/>
          <w:highlight w:val="none"/>
        </w:rPr>
      </w:pPr>
      <w:bookmarkStart w:id="658" w:name="_Toc303539129"/>
      <w:bookmarkStart w:id="659" w:name="_Toc318581172"/>
      <w:bookmarkStart w:id="660" w:name="_Toc297123520"/>
      <w:bookmarkStart w:id="661" w:name="_Toc297216179"/>
      <w:bookmarkStart w:id="662" w:name="_Toc300934972"/>
      <w:bookmarkStart w:id="663" w:name="_Toc312678016"/>
      <w:bookmarkStart w:id="664" w:name="_Toc304295550"/>
      <w:r>
        <w:rPr>
          <w:rFonts w:hint="eastAsia" w:ascii="宋体" w:hAnsi="宋体" w:cs="宋体"/>
          <w:color w:val="auto"/>
          <w:szCs w:val="21"/>
          <w:highlight w:val="none"/>
        </w:rPr>
        <w:t>不利物质条件的其他情形和有关约定：</w:t>
      </w:r>
      <w:r>
        <w:rPr>
          <w:rFonts w:hint="eastAsia" w:ascii="宋体" w:hAnsi="宋体" w:cs="宋体"/>
          <w:color w:val="auto"/>
          <w:kern w:val="0"/>
          <w:szCs w:val="21"/>
          <w:highlight w:val="none"/>
          <w:u w:val="single"/>
        </w:rPr>
        <w:t>地勘资料未涉及的地下管道、文物、岩层等，但不包括气候条件</w:t>
      </w:r>
      <w:r>
        <w:rPr>
          <w:rFonts w:hint="eastAsia" w:ascii="宋体" w:hAnsi="宋体" w:cs="宋体"/>
          <w:color w:val="auto"/>
          <w:szCs w:val="21"/>
          <w:highlight w:val="none"/>
        </w:rPr>
        <w:t>。</w:t>
      </w:r>
    </w:p>
    <w:bookmarkEnd w:id="658"/>
    <w:bookmarkEnd w:id="659"/>
    <w:bookmarkEnd w:id="660"/>
    <w:bookmarkEnd w:id="661"/>
    <w:bookmarkEnd w:id="662"/>
    <w:bookmarkEnd w:id="663"/>
    <w:bookmarkEnd w:id="664"/>
    <w:p w14:paraId="793425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65" w:name="_Toc304295551"/>
      <w:bookmarkStart w:id="666" w:name="_Toc312678017"/>
      <w:bookmarkStart w:id="667" w:name="_Toc300934973"/>
      <w:bookmarkStart w:id="668" w:name="_Toc297123521"/>
      <w:bookmarkStart w:id="669" w:name="_Toc297216180"/>
      <w:bookmarkStart w:id="670" w:name="_Toc303539130"/>
      <w:r>
        <w:rPr>
          <w:rFonts w:hint="eastAsia" w:ascii="宋体" w:hAnsi="宋体" w:cs="宋体"/>
          <w:color w:val="auto"/>
          <w:szCs w:val="21"/>
          <w:highlight w:val="none"/>
        </w:rPr>
        <w:t>.7异常恶劣的气候条件</w:t>
      </w:r>
    </w:p>
    <w:bookmarkEnd w:id="665"/>
    <w:bookmarkEnd w:id="666"/>
    <w:bookmarkEnd w:id="667"/>
    <w:bookmarkEnd w:id="668"/>
    <w:bookmarkEnd w:id="669"/>
    <w:bookmarkEnd w:id="670"/>
    <w:p w14:paraId="7D273C2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1BF8870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highlight w:val="none"/>
          <w:u w:val="single"/>
        </w:rPr>
        <w:t>以宁波市气象部门公布的达到灾害标准的气象条件为准</w:t>
      </w:r>
      <w:r>
        <w:rPr>
          <w:rFonts w:hint="eastAsia" w:ascii="宋体" w:hAnsi="宋体" w:cs="宋体"/>
          <w:color w:val="auto"/>
          <w:szCs w:val="21"/>
          <w:highlight w:val="none"/>
        </w:rPr>
        <w:t>。</w:t>
      </w:r>
    </w:p>
    <w:p w14:paraId="13440D70">
      <w:pPr>
        <w:snapToGrid w:val="0"/>
        <w:spacing w:line="360" w:lineRule="auto"/>
        <w:ind w:firstLine="420" w:firstLineChars="200"/>
        <w:outlineLvl w:val="0"/>
        <w:rPr>
          <w:rFonts w:ascii="宋体" w:hAnsi="宋体" w:cs="宋体"/>
          <w:color w:val="auto"/>
          <w:szCs w:val="21"/>
          <w:highlight w:val="none"/>
        </w:rPr>
      </w:pPr>
      <w:bookmarkStart w:id="671" w:name="_Toc9143"/>
      <w:r>
        <w:rPr>
          <w:rFonts w:hint="eastAsia" w:ascii="宋体" w:hAnsi="宋体" w:cs="宋体"/>
          <w:color w:val="auto"/>
          <w:szCs w:val="21"/>
          <w:highlight w:val="none"/>
        </w:rPr>
        <w:t>7.9 提前竣工的奖励</w:t>
      </w:r>
      <w:bookmarkEnd w:id="671"/>
    </w:p>
    <w:p w14:paraId="15DF148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2871A77F">
      <w:pPr>
        <w:pStyle w:val="5"/>
        <w:snapToGrid w:val="0"/>
        <w:spacing w:before="0" w:after="0" w:line="360" w:lineRule="auto"/>
        <w:rPr>
          <w:rFonts w:ascii="宋体" w:hAnsi="宋体" w:eastAsia="宋体" w:cs="宋体"/>
          <w:b w:val="0"/>
          <w:color w:val="auto"/>
          <w:sz w:val="21"/>
          <w:szCs w:val="21"/>
          <w:highlight w:val="none"/>
        </w:rPr>
      </w:pPr>
      <w:bookmarkStart w:id="672" w:name="_Toc351203640"/>
      <w:r>
        <w:rPr>
          <w:rFonts w:hint="eastAsia" w:ascii="宋体" w:hAnsi="宋体" w:eastAsia="宋体" w:cs="宋体"/>
          <w:b w:val="0"/>
          <w:color w:val="auto"/>
          <w:sz w:val="21"/>
          <w:szCs w:val="21"/>
          <w:highlight w:val="none"/>
        </w:rPr>
        <w:t>8. 材料与设备</w:t>
      </w:r>
      <w:bookmarkEnd w:id="672"/>
    </w:p>
    <w:bookmarkEnd w:id="605"/>
    <w:bookmarkEnd w:id="606"/>
    <w:bookmarkEnd w:id="607"/>
    <w:bookmarkEnd w:id="608"/>
    <w:bookmarkEnd w:id="609"/>
    <w:bookmarkEnd w:id="610"/>
    <w:bookmarkEnd w:id="611"/>
    <w:bookmarkEnd w:id="612"/>
    <w:bookmarkEnd w:id="613"/>
    <w:bookmarkEnd w:id="614"/>
    <w:p w14:paraId="2E029782">
      <w:pPr>
        <w:pStyle w:val="971"/>
        <w:spacing w:line="36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8.2承包人采购材料与工程设备</w:t>
      </w:r>
    </w:p>
    <w:p w14:paraId="5F3DA69D">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b w:val="0"/>
          <w:sz w:val="21"/>
          <w:szCs w:val="21"/>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w:t>
      </w:r>
      <w:r>
        <w:rPr>
          <w:rFonts w:hint="eastAsia" w:ascii="宋体" w:hAnsi="宋体" w:cs="宋体"/>
          <w:b w:val="0"/>
          <w:sz w:val="21"/>
          <w:szCs w:val="21"/>
          <w:lang w:val="en-US" w:eastAsia="zh-CN"/>
        </w:rPr>
        <w:t>人</w:t>
      </w:r>
      <w:r>
        <w:rPr>
          <w:rFonts w:hint="eastAsia" w:ascii="宋体" w:hAnsi="宋体" w:eastAsia="宋体" w:cs="宋体"/>
          <w:b w:val="0"/>
          <w:sz w:val="21"/>
          <w:szCs w:val="21"/>
        </w:rPr>
        <w:t>员参加选点、看样，其品牌、型号、性能须经发包人、监理人确认后，承包人方可采购。（3）承包人所采购的材料设备应与磋商时注明的设备、材料、品牌、生产厂家、产地、规格、型号、性能等相符，进场的材料、设备如需变更，必须符合施工图纸要求及采购文件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w:t>
      </w:r>
      <w:r>
        <w:rPr>
          <w:rFonts w:hint="eastAsia" w:ascii="宋体" w:hAnsi="宋体" w:eastAsia="宋体" w:cs="宋体"/>
          <w:b w:val="0"/>
          <w:sz w:val="21"/>
          <w:szCs w:val="21"/>
          <w:highlight w:val="none"/>
        </w:rPr>
        <w:t>损失。（6）承包人选用的材料品牌应参照采购文件中的参考品牌或采用经发包人认可的不低于参考品牌档次的产品，价格不作调整。</w:t>
      </w:r>
    </w:p>
    <w:p w14:paraId="7A2050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73" w:name="_Toc292559372"/>
      <w:bookmarkStart w:id="674" w:name="_Toc296944506"/>
      <w:bookmarkStart w:id="675" w:name="_Toc296503167"/>
      <w:bookmarkStart w:id="676" w:name="_Toc312678019"/>
      <w:bookmarkStart w:id="677" w:name="_Toc297123527"/>
      <w:bookmarkStart w:id="678" w:name="_Toc280868654"/>
      <w:bookmarkStart w:id="679" w:name="_Toc296890995"/>
      <w:bookmarkStart w:id="680" w:name="_Toc297120467"/>
      <w:bookmarkStart w:id="681" w:name="_Toc304295556"/>
      <w:bookmarkStart w:id="682" w:name="_Toc303539136"/>
      <w:bookmarkStart w:id="683" w:name="_Toc292559877"/>
      <w:bookmarkStart w:id="684" w:name="_Toc296346668"/>
      <w:bookmarkStart w:id="685" w:name="_Toc312677493"/>
      <w:bookmarkStart w:id="686" w:name="_Toc297048353"/>
      <w:bookmarkStart w:id="687" w:name="_Toc297216186"/>
      <w:bookmarkStart w:id="688" w:name="_Toc296347166"/>
      <w:bookmarkStart w:id="689" w:name="_Toc296891207"/>
      <w:bookmarkStart w:id="690" w:name="_Toc300934979"/>
      <w:bookmarkStart w:id="691" w:name="_Toc280868655"/>
      <w:bookmarkStart w:id="692" w:name="_Toc267251424"/>
      <w:bookmarkStart w:id="693" w:name="_Toc280868656"/>
      <w:r>
        <w:rPr>
          <w:rFonts w:hint="eastAsia" w:ascii="宋体" w:hAnsi="宋体" w:cs="宋体"/>
          <w:color w:val="auto"/>
          <w:szCs w:val="21"/>
          <w:highlight w:val="none"/>
        </w:rPr>
        <w:t>.4材料与工程设备的保管与使用</w:t>
      </w:r>
    </w:p>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14:paraId="0694542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bookmarkStart w:id="694" w:name="_Toc292559878"/>
      <w:bookmarkStart w:id="695" w:name="_Toc292559373"/>
      <w:bookmarkStart w:id="696" w:name="_Toc297216187"/>
      <w:bookmarkStart w:id="697" w:name="_Toc296891208"/>
      <w:bookmarkStart w:id="698" w:name="_Toc296347167"/>
      <w:bookmarkStart w:id="699" w:name="_Toc312678020"/>
      <w:bookmarkStart w:id="700" w:name="_Toc297048354"/>
      <w:bookmarkStart w:id="701" w:name="_Toc304295557"/>
      <w:bookmarkStart w:id="702" w:name="_Toc297120468"/>
      <w:bookmarkStart w:id="703" w:name="_Toc296944507"/>
      <w:bookmarkStart w:id="704" w:name="_Toc296890996"/>
      <w:bookmarkStart w:id="705" w:name="_Toc296346669"/>
      <w:bookmarkStart w:id="706" w:name="_Toc312677494"/>
      <w:bookmarkStart w:id="707" w:name="_Toc300934980"/>
      <w:bookmarkStart w:id="708" w:name="_Toc296503168"/>
      <w:bookmarkStart w:id="709" w:name="_Toc318581173"/>
      <w:bookmarkStart w:id="710" w:name="_Toc297123528"/>
      <w:bookmarkStart w:id="711" w:name="_Toc303539137"/>
      <w:r>
        <w:rPr>
          <w:rFonts w:hint="eastAsia" w:ascii="宋体" w:hAnsi="宋体" w:cs="宋体"/>
          <w:color w:val="auto"/>
          <w:szCs w:val="21"/>
          <w:highlight w:val="none"/>
        </w:rPr>
        <w:t>.4.1发包人供应的材料设备的保管费用的承担：</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bookmarkEnd w:id="694"/>
      <w:bookmarkEnd w:id="695"/>
    </w:p>
    <w:p w14:paraId="2D6FBB75">
      <w:pPr>
        <w:snapToGrid w:val="0"/>
        <w:spacing w:line="360" w:lineRule="auto"/>
        <w:ind w:firstLine="420" w:firstLineChars="200"/>
        <w:outlineLvl w:val="0"/>
        <w:rPr>
          <w:rFonts w:ascii="宋体" w:hAnsi="宋体" w:cs="宋体"/>
          <w:color w:val="auto"/>
          <w:szCs w:val="21"/>
          <w:highlight w:val="none"/>
        </w:rPr>
      </w:pPr>
      <w:bookmarkStart w:id="712" w:name="_Toc7101"/>
      <w:r>
        <w:rPr>
          <w:rFonts w:hint="eastAsia" w:ascii="宋体" w:hAnsi="宋体" w:cs="宋体"/>
          <w:color w:val="auto"/>
          <w:szCs w:val="21"/>
          <w:highlight w:val="none"/>
        </w:rPr>
        <w:t>8.6 样品</w:t>
      </w:r>
      <w:bookmarkEnd w:id="712"/>
    </w:p>
    <w:p w14:paraId="166CD18B">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8.6.1样品的报送与封存</w:t>
      </w:r>
    </w:p>
    <w:p w14:paraId="03D0E0CF">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68E557EF">
      <w:pPr>
        <w:snapToGrid w:val="0"/>
        <w:spacing w:line="360" w:lineRule="auto"/>
        <w:ind w:firstLine="420" w:firstLineChars="200"/>
        <w:outlineLvl w:val="0"/>
        <w:rPr>
          <w:rFonts w:ascii="宋体" w:hAnsi="宋体" w:cs="宋体"/>
          <w:color w:val="auto"/>
          <w:szCs w:val="21"/>
          <w:highlight w:val="none"/>
        </w:rPr>
      </w:pPr>
      <w:bookmarkStart w:id="713" w:name="_Toc4056"/>
      <w:r>
        <w:rPr>
          <w:rFonts w:hint="eastAsia" w:ascii="宋体" w:hAnsi="宋体" w:cs="宋体"/>
          <w:color w:val="auto"/>
          <w:szCs w:val="21"/>
          <w:highlight w:val="none"/>
        </w:rPr>
        <w:t>8.8 施工设备和临时设施</w:t>
      </w:r>
      <w:bookmarkEnd w:id="713"/>
    </w:p>
    <w:p w14:paraId="36F9EE13">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6040C730">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u w:val="single"/>
          <w:lang w:val="en-US" w:eastAsia="zh-CN"/>
        </w:rPr>
        <w:t>且</w:t>
      </w:r>
      <w:r>
        <w:rPr>
          <w:rFonts w:hint="eastAsia" w:ascii="宋体" w:hAnsi="宋体" w:cs="宋体"/>
          <w:szCs w:val="21"/>
          <w:u w:val="single"/>
        </w:rPr>
        <w:t>已包含在合同价款中，结算不另计取</w:t>
      </w:r>
      <w:r>
        <w:rPr>
          <w:rFonts w:hint="eastAsia" w:ascii="宋体" w:hAnsi="宋体" w:cs="宋体"/>
          <w:color w:val="auto"/>
          <w:szCs w:val="21"/>
          <w:highlight w:val="none"/>
        </w:rPr>
        <w:t>。</w:t>
      </w:r>
    </w:p>
    <w:p w14:paraId="21694891">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承包人应现场自备发电机组，功率满足不同施工阶段的正常施工需要，不得因外供停电或现场供电容量不足而影响工期，费用不再另计。</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2FA7B53F">
      <w:pPr>
        <w:pStyle w:val="5"/>
        <w:snapToGrid w:val="0"/>
        <w:spacing w:before="0" w:after="0" w:line="360" w:lineRule="auto"/>
        <w:rPr>
          <w:rFonts w:ascii="宋体" w:hAnsi="宋体" w:eastAsia="宋体" w:cs="宋体"/>
          <w:b w:val="0"/>
          <w:color w:val="auto"/>
          <w:sz w:val="21"/>
          <w:szCs w:val="21"/>
          <w:highlight w:val="none"/>
        </w:rPr>
      </w:pPr>
      <w:bookmarkStart w:id="714" w:name="_Toc351203641"/>
      <w:r>
        <w:rPr>
          <w:rFonts w:hint="eastAsia" w:ascii="宋体" w:hAnsi="宋体" w:eastAsia="宋体" w:cs="宋体"/>
          <w:b w:val="0"/>
          <w:color w:val="auto"/>
          <w:sz w:val="21"/>
          <w:szCs w:val="21"/>
          <w:highlight w:val="none"/>
        </w:rPr>
        <w:t>9</w:t>
      </w:r>
      <w:bookmarkEnd w:id="691"/>
      <w:bookmarkEnd w:id="692"/>
      <w:bookmarkEnd w:id="693"/>
      <w:bookmarkStart w:id="715" w:name="_Toc303539139"/>
      <w:bookmarkStart w:id="716" w:name="_Toc297216192"/>
      <w:bookmarkStart w:id="717" w:name="_Toc312677495"/>
      <w:bookmarkStart w:id="718" w:name="_Toc304295559"/>
      <w:bookmarkStart w:id="719" w:name="_Toc312678021"/>
      <w:bookmarkStart w:id="720" w:name="_Toc300934982"/>
      <w:bookmarkStart w:id="721" w:name="_Toc297123533"/>
      <w:bookmarkStart w:id="722" w:name="_Toc296944512"/>
      <w:bookmarkStart w:id="723" w:name="_Toc296347172"/>
      <w:bookmarkStart w:id="724" w:name="_Toc296891001"/>
      <w:bookmarkStart w:id="725" w:name="_Toc292559883"/>
      <w:bookmarkStart w:id="726" w:name="_Toc297048359"/>
      <w:bookmarkStart w:id="727" w:name="_Toc296891213"/>
      <w:bookmarkStart w:id="728" w:name="_Toc267251427"/>
      <w:bookmarkStart w:id="729" w:name="_Toc296346674"/>
      <w:bookmarkStart w:id="730" w:name="_Toc297120473"/>
      <w:bookmarkStart w:id="731" w:name="_Toc267251428"/>
      <w:bookmarkStart w:id="732" w:name="_Toc296503173"/>
      <w:bookmarkStart w:id="733" w:name="_Toc292559378"/>
      <w:r>
        <w:rPr>
          <w:rFonts w:hint="eastAsia" w:ascii="宋体" w:hAnsi="宋体" w:eastAsia="宋体" w:cs="宋体"/>
          <w:b w:val="0"/>
          <w:color w:val="auto"/>
          <w:sz w:val="21"/>
          <w:szCs w:val="21"/>
          <w:highlight w:val="none"/>
        </w:rPr>
        <w:t>. 试验与检验</w:t>
      </w:r>
      <w:bookmarkEnd w:id="714"/>
    </w:p>
    <w:bookmarkEnd w:id="715"/>
    <w:bookmarkEnd w:id="716"/>
    <w:bookmarkEnd w:id="717"/>
    <w:bookmarkEnd w:id="718"/>
    <w:bookmarkEnd w:id="719"/>
    <w:bookmarkEnd w:id="720"/>
    <w:bookmarkEnd w:id="721"/>
    <w:p w14:paraId="598DB89A">
      <w:pPr>
        <w:snapToGrid w:val="0"/>
        <w:spacing w:line="360" w:lineRule="auto"/>
        <w:ind w:firstLine="420" w:firstLineChars="200"/>
        <w:jc w:val="left"/>
        <w:rPr>
          <w:rFonts w:ascii="宋体" w:hAnsi="宋体" w:cs="宋体"/>
          <w:color w:val="auto"/>
          <w:szCs w:val="21"/>
          <w:highlight w:val="none"/>
        </w:rPr>
      </w:pPr>
      <w:bookmarkStart w:id="734" w:name="_Toc312677498"/>
      <w:bookmarkStart w:id="735" w:name="_Toc303539142"/>
      <w:bookmarkStart w:id="736" w:name="_Toc297216195"/>
      <w:bookmarkStart w:id="737" w:name="_Toc300934985"/>
      <w:bookmarkStart w:id="738" w:name="_Toc312678024"/>
      <w:bookmarkStart w:id="739" w:name="_Toc318581174"/>
      <w:bookmarkStart w:id="740" w:name="_Toc304295562"/>
      <w:bookmarkStart w:id="741" w:name="_Toc297123536"/>
      <w:r>
        <w:rPr>
          <w:rFonts w:hint="eastAsia" w:ascii="宋体" w:hAnsi="宋体"/>
          <w:color w:val="auto"/>
          <w:szCs w:val="21"/>
          <w:highlight w:val="none"/>
        </w:rPr>
        <w:t>承包人必须对采购的材料质量全面负责，提供产品合格证书、质保书、试验报告。发包人对材料质量有疑问时，有权要求复验，复验合格其相关费用由要求复验方支付，复验不合格其经济损失及复验费用由材料采购方承担</w:t>
      </w:r>
      <w:r>
        <w:rPr>
          <w:rFonts w:hint="eastAsia" w:ascii="宋体" w:hAnsi="宋体" w:cs="宋体"/>
          <w:color w:val="auto"/>
          <w:szCs w:val="21"/>
          <w:highlight w:val="none"/>
        </w:rPr>
        <w:t>。</w:t>
      </w:r>
    </w:p>
    <w:bookmarkEnd w:id="734"/>
    <w:bookmarkEnd w:id="735"/>
    <w:bookmarkEnd w:id="736"/>
    <w:bookmarkEnd w:id="737"/>
    <w:bookmarkEnd w:id="738"/>
    <w:bookmarkEnd w:id="739"/>
    <w:bookmarkEnd w:id="740"/>
    <w:bookmarkEnd w:id="741"/>
    <w:p w14:paraId="55D818AC">
      <w:pPr>
        <w:pStyle w:val="5"/>
        <w:snapToGrid w:val="0"/>
        <w:spacing w:before="0" w:after="0" w:line="360" w:lineRule="auto"/>
        <w:rPr>
          <w:rFonts w:ascii="宋体" w:hAnsi="宋体" w:eastAsia="宋体" w:cs="宋体"/>
          <w:b w:val="0"/>
          <w:color w:val="auto"/>
          <w:sz w:val="21"/>
          <w:szCs w:val="21"/>
          <w:highlight w:val="none"/>
        </w:rPr>
      </w:pPr>
      <w:bookmarkStart w:id="742" w:name="_Toc351203642"/>
      <w:r>
        <w:rPr>
          <w:rFonts w:hint="eastAsia" w:ascii="宋体" w:hAnsi="宋体" w:eastAsia="宋体" w:cs="宋体"/>
          <w:b w:val="0"/>
          <w:color w:val="auto"/>
          <w:sz w:val="21"/>
          <w:szCs w:val="21"/>
          <w:highlight w:val="none"/>
        </w:rPr>
        <w:t>1</w:t>
      </w:r>
      <w:bookmarkEnd w:id="722"/>
      <w:bookmarkEnd w:id="723"/>
      <w:bookmarkEnd w:id="724"/>
      <w:bookmarkEnd w:id="725"/>
      <w:bookmarkEnd w:id="726"/>
      <w:bookmarkEnd w:id="727"/>
      <w:bookmarkEnd w:id="728"/>
      <w:bookmarkEnd w:id="729"/>
      <w:bookmarkEnd w:id="730"/>
      <w:bookmarkEnd w:id="731"/>
      <w:bookmarkEnd w:id="732"/>
      <w:bookmarkEnd w:id="733"/>
      <w:bookmarkStart w:id="743" w:name="_Toc297123540"/>
      <w:bookmarkStart w:id="744" w:name="_Toc297216199"/>
      <w:bookmarkStart w:id="745" w:name="_Toc292559398"/>
      <w:bookmarkStart w:id="746" w:name="_Toc296346694"/>
      <w:bookmarkStart w:id="747" w:name="_Toc296503193"/>
      <w:bookmarkStart w:id="748" w:name="_Toc297048379"/>
      <w:bookmarkStart w:id="749" w:name="_Toc300934989"/>
      <w:bookmarkStart w:id="750" w:name="_Toc296891233"/>
      <w:bookmarkStart w:id="751" w:name="_Toc292559903"/>
      <w:bookmarkStart w:id="752" w:name="_Toc303539146"/>
      <w:bookmarkStart w:id="753" w:name="_Toc297120493"/>
      <w:bookmarkStart w:id="754" w:name="_Toc304295566"/>
      <w:bookmarkStart w:id="755" w:name="_Toc296944532"/>
      <w:bookmarkStart w:id="756" w:name="_Toc296347192"/>
      <w:bookmarkStart w:id="757" w:name="_Toc296891021"/>
      <w:bookmarkStart w:id="758" w:name="_Toc312678025"/>
      <w:bookmarkStart w:id="759" w:name="_Toc312677499"/>
      <w:bookmarkStart w:id="760" w:name="_Toc267251437"/>
      <w:bookmarkStart w:id="761" w:name="_Toc267251440"/>
      <w:bookmarkStart w:id="762" w:name="_Toc267251441"/>
      <w:bookmarkStart w:id="763" w:name="_Toc267251433"/>
      <w:bookmarkStart w:id="764" w:name="_Toc267251439"/>
      <w:bookmarkStart w:id="765" w:name="_Toc267251435"/>
      <w:bookmarkStart w:id="766" w:name="_Toc267251442"/>
      <w:r>
        <w:rPr>
          <w:rFonts w:hint="eastAsia" w:ascii="宋体" w:hAnsi="宋体" w:eastAsia="宋体" w:cs="宋体"/>
          <w:b w:val="0"/>
          <w:color w:val="auto"/>
          <w:sz w:val="21"/>
          <w:szCs w:val="21"/>
          <w:highlight w:val="none"/>
        </w:rPr>
        <w:t>0. 变更</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58"/>
    <w:bookmarkEnd w:id="759"/>
    <w:p w14:paraId="75BD90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67" w:name="_Toc296346695"/>
      <w:bookmarkStart w:id="768" w:name="_Toc297216200"/>
      <w:bookmarkStart w:id="769" w:name="_Toc296347193"/>
      <w:bookmarkStart w:id="770" w:name="_Toc300934990"/>
      <w:bookmarkStart w:id="771" w:name="_Toc312678026"/>
      <w:bookmarkStart w:id="772" w:name="_Toc296503194"/>
      <w:bookmarkStart w:id="773" w:name="_Toc292559904"/>
      <w:bookmarkStart w:id="774" w:name="_Toc296944533"/>
      <w:bookmarkStart w:id="775" w:name="_Toc296891022"/>
      <w:bookmarkStart w:id="776" w:name="_Toc297123541"/>
      <w:bookmarkStart w:id="777" w:name="_Toc296891234"/>
      <w:bookmarkStart w:id="778" w:name="_Toc297048380"/>
      <w:bookmarkStart w:id="779" w:name="_Toc303539147"/>
      <w:bookmarkStart w:id="780" w:name="_Toc292559399"/>
      <w:bookmarkStart w:id="781" w:name="_Toc304295567"/>
      <w:bookmarkStart w:id="782" w:name="_Toc312677500"/>
      <w:bookmarkStart w:id="783" w:name="_Toc297120494"/>
      <w:r>
        <w:rPr>
          <w:rFonts w:hint="eastAsia" w:ascii="宋体" w:hAnsi="宋体" w:cs="宋体"/>
          <w:color w:val="auto"/>
          <w:szCs w:val="21"/>
          <w:highlight w:val="none"/>
        </w:rPr>
        <w:t>0.1变更的范围</w:t>
      </w:r>
    </w:p>
    <w:p w14:paraId="683319C1">
      <w:pPr>
        <w:spacing w:line="360" w:lineRule="auto"/>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kern w:val="0"/>
          <w:szCs w:val="21"/>
          <w:highlight w:val="none"/>
        </w:rPr>
        <w:t>合同履行过程中发生以下情形时，应当按照本条约定进行变更。</w:t>
      </w:r>
    </w:p>
    <w:p w14:paraId="0CFB1E07">
      <w:pPr>
        <w:spacing w:after="120" w:line="360" w:lineRule="auto"/>
        <w:ind w:firstLine="424" w:firstLineChars="202"/>
        <w:rPr>
          <w:rFonts w:hint="eastAsia" w:ascii="宋体" w:hAnsi="宋体" w:eastAsia="宋体" w:cs="宋体"/>
          <w:color w:val="auto"/>
          <w:highlight w:val="none"/>
        </w:rPr>
      </w:pPr>
      <w:r>
        <w:rPr>
          <w:rFonts w:hint="eastAsia"/>
          <w:color w:val="auto"/>
          <w:highlight w:val="none"/>
        </w:rPr>
        <w:t>当本工程需要变更时，由发包人、监理人、承包人联合签发工程洽商单，结构变更由设计单位出具正式修改通知书和修改图，并经发包人认可，承包人予以实施。若因特殊原因，发包人或监理人要求承包人对变更内容先予以实施，</w:t>
      </w:r>
      <w:r>
        <w:rPr>
          <w:rFonts w:hint="eastAsia" w:ascii="宋体" w:hAnsi="宋体" w:eastAsia="宋体" w:cs="宋体"/>
          <w:color w:val="auto"/>
          <w:highlight w:val="none"/>
        </w:rPr>
        <w:t>则承包人须在工程变更实施完后5天内会同监理工程师完成“工程变更计量单”，否则发包人有权决定是否调整费用及调整数额；除经发包人确认的经济签证外，一律不作为价格调整依据。</w:t>
      </w:r>
    </w:p>
    <w:p w14:paraId="37CAF995">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1．法律法规以及政府主管部门的政策性调整；</w:t>
      </w:r>
    </w:p>
    <w:p w14:paraId="347C9D2A">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2．发包人要求的工程变更；</w:t>
      </w:r>
    </w:p>
    <w:p w14:paraId="1D0AB7A5">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3．项目特征描述不符；</w:t>
      </w:r>
    </w:p>
    <w:p w14:paraId="08ADF603">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4．工程量清单缺项；</w:t>
      </w:r>
    </w:p>
    <w:p w14:paraId="3C2D4356">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5．工程量偏差；</w:t>
      </w:r>
    </w:p>
    <w:p w14:paraId="096F753C">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6．暂估价；</w:t>
      </w:r>
    </w:p>
    <w:p w14:paraId="372FADDF">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7．计日工；</w:t>
      </w:r>
    </w:p>
    <w:p w14:paraId="757A71D7">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8．现场签证；</w:t>
      </w:r>
    </w:p>
    <w:p w14:paraId="23847A87">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9．不可抗力；</w:t>
      </w:r>
    </w:p>
    <w:p w14:paraId="7E8397FA">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10．提前竣工；</w:t>
      </w:r>
    </w:p>
    <w:p w14:paraId="22410768">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11．误期赔偿；</w:t>
      </w:r>
    </w:p>
    <w:p w14:paraId="03254876">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12．施工索赔；</w:t>
      </w:r>
    </w:p>
    <w:p w14:paraId="5EFF0898">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13．暂列金额；</w:t>
      </w:r>
    </w:p>
    <w:p w14:paraId="187D20F6">
      <w:pPr>
        <w:spacing w:line="360" w:lineRule="auto"/>
        <w:ind w:firstLine="426"/>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rPr>
        <w:t>14．发承包双方约定的其他调整事项：</w:t>
      </w:r>
      <w:r>
        <w:rPr>
          <w:rFonts w:hint="eastAsia" w:ascii="宋体" w:hAnsi="宋体" w:cs="宋体"/>
          <w:b/>
          <w:bCs/>
          <w:color w:val="auto"/>
          <w:kern w:val="0"/>
          <w:szCs w:val="21"/>
          <w:highlight w:val="none"/>
          <w:u w:val="single"/>
        </w:rPr>
        <w:t>按通用条款执行，其余按双方协商约定处理</w:t>
      </w:r>
      <w:r>
        <w:rPr>
          <w:rFonts w:hint="eastAsia" w:ascii="宋体" w:hAnsi="宋体" w:cs="宋体"/>
          <w:b/>
          <w:bCs/>
          <w:color w:val="auto"/>
          <w:kern w:val="0"/>
          <w:szCs w:val="21"/>
          <w:highlight w:val="none"/>
          <w:u w:val="none"/>
        </w:rPr>
        <w:t>。</w:t>
      </w:r>
    </w:p>
    <w:p w14:paraId="4D2FA710">
      <w:pPr>
        <w:snapToGrid w:val="0"/>
        <w:spacing w:line="360" w:lineRule="auto"/>
        <w:ind w:firstLine="420" w:firstLineChars="200"/>
        <w:jc w:val="left"/>
        <w:rPr>
          <w:rFonts w:ascii="宋体" w:hAnsi="宋体" w:cs="宋体"/>
          <w:color w:val="auto"/>
          <w:szCs w:val="21"/>
          <w:highlight w:val="none"/>
        </w:rPr>
      </w:pPr>
      <w:r>
        <w:rPr>
          <w:rFonts w:hint="eastAsia"/>
          <w:color w:val="auto"/>
          <w:highlight w:val="none"/>
        </w:rPr>
        <w:t>所有涉及合同价款的调整均需经发包人或其委托的咨询单位确认</w:t>
      </w:r>
      <w:r>
        <w:rPr>
          <w:rFonts w:hint="eastAsia" w:ascii="宋体" w:hAnsi="宋体" w:cs="宋体"/>
          <w:color w:val="auto"/>
          <w:szCs w:val="21"/>
          <w:highlight w:val="none"/>
        </w:rPr>
        <w:t>。</w:t>
      </w:r>
    </w:p>
    <w:p w14:paraId="2F273F58">
      <w:pPr>
        <w:snapToGrid w:val="0"/>
        <w:spacing w:line="360" w:lineRule="auto"/>
        <w:ind w:firstLine="420" w:firstLineChars="200"/>
        <w:outlineLvl w:val="0"/>
        <w:rPr>
          <w:rFonts w:ascii="宋体" w:hAnsi="宋体" w:cs="宋体"/>
          <w:color w:val="auto"/>
          <w:szCs w:val="21"/>
          <w:highlight w:val="none"/>
        </w:rPr>
      </w:pPr>
      <w:bookmarkStart w:id="784" w:name="_Toc26230"/>
      <w:r>
        <w:rPr>
          <w:rFonts w:hint="eastAsia" w:ascii="宋体" w:hAnsi="宋体" w:cs="宋体"/>
          <w:color w:val="auto"/>
          <w:szCs w:val="21"/>
          <w:highlight w:val="none"/>
        </w:rPr>
        <w:t>10.4 变更估价</w:t>
      </w:r>
      <w:bookmarkEnd w:id="784"/>
    </w:p>
    <w:p w14:paraId="14A3FAC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134EE03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p>
    <w:p w14:paraId="628B994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 在合同期内发生下列情况的，合同价格可以相应调整：</w:t>
      </w:r>
    </w:p>
    <w:p w14:paraId="65A719A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（1）法律法规以及政府主管部门的政策性调整：指开工以后至竣工验收验收合格之日为止，宁波市政府部门颁布的适用本合同的政策性调价文件（本合同有约定的除外），结算时按文件规定可以调整。</w:t>
      </w:r>
    </w:p>
    <w:p w14:paraId="6860C0D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（2）工程变更、现场签证：设计变更、发包人原因引起的变更造成的工程造价增减；经发包人、监理人确认的工程联系单、签证的变更情况；</w:t>
      </w:r>
    </w:p>
    <w:p w14:paraId="43053FB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（3）项目特征描述不符、工程量清单缺项、工程量偏差：清单编制说明明确未计入的内容；发包人提供的工程量清单项目或数量有误；</w:t>
      </w:r>
    </w:p>
    <w:p w14:paraId="3132AFA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（4）暂估价：暂估材料价、暂估综合单价、暂估总价按规定进行公开招标、议标询价等方式调整。</w:t>
      </w:r>
    </w:p>
    <w:p w14:paraId="04AB457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（5）重新组价计价依据：</w:t>
      </w:r>
      <w:r>
        <w:rPr>
          <w:rFonts w:hint="eastAsia" w:ascii="宋体" w:hAnsi="宋体" w:cs="宋体"/>
          <w:color w:val="auto"/>
          <w:szCs w:val="21"/>
          <w:highlight w:val="none"/>
          <w:lang w:val="en-US" w:eastAsia="zh-CN"/>
        </w:rPr>
        <w:t>《浙江省建筑工程预算定额》(2018版)、《浙江省市政工程预算定额》(2018版)、《浙江省园林绿化及仿古建筑工程预算定额》(2018版)、《浙江省安装工程预算定额》（2018版）、《浙江省建设工程施工费用定额》(2018版)《浙江省施工机械台班费用参考单价》(2018版)</w:t>
      </w:r>
      <w:r>
        <w:rPr>
          <w:rFonts w:hint="eastAsia" w:ascii="宋体" w:hAnsi="宋体" w:cs="宋体"/>
          <w:color w:val="auto"/>
          <w:szCs w:val="21"/>
          <w:highlight w:val="none"/>
        </w:rPr>
        <w:t>，其他省、市有关造价文件等。</w:t>
      </w:r>
    </w:p>
    <w:p w14:paraId="7CB79FB3">
      <w:pPr>
        <w:snapToGrid w:val="0"/>
        <w:spacing w:line="360" w:lineRule="auto"/>
        <w:ind w:firstLine="420" w:firstLineChars="200"/>
        <w:jc w:val="left"/>
        <w:rPr>
          <w:rFonts w:hint="eastAsia"/>
          <w:color w:val="auto"/>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合同中没有类似工程项目单价的，但又不能套用浙江省2018版工程预算定额确定综合单价的，则由承包人根据市场价格进行组价，并按成交</w:t>
      </w:r>
      <w:r>
        <w:rPr>
          <w:rFonts w:hint="eastAsia" w:ascii="宋体" w:hAnsi="宋体" w:cs="宋体"/>
          <w:bCs/>
          <w:color w:val="auto"/>
          <w:szCs w:val="21"/>
          <w:highlight w:val="none"/>
          <w:lang w:val="en-US" w:eastAsia="zh-CN"/>
        </w:rPr>
        <w:t>浮动</w:t>
      </w:r>
      <w:r>
        <w:rPr>
          <w:rFonts w:hint="eastAsia" w:ascii="宋体" w:hAnsi="宋体" w:cs="宋体"/>
          <w:bCs/>
          <w:color w:val="auto"/>
          <w:szCs w:val="21"/>
          <w:highlight w:val="none"/>
        </w:rPr>
        <w:t>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计算，将该组价上报，经发包人审定后作执行，最终以发包人或其委托的造价咨询单位审定价格为准。</w:t>
      </w:r>
    </w:p>
    <w:p w14:paraId="37FA784E">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成交</w:t>
      </w:r>
      <w:r>
        <w:rPr>
          <w:rFonts w:hint="eastAsia" w:ascii="宋体" w:hAnsi="宋体" w:cs="宋体"/>
          <w:color w:val="auto"/>
          <w:szCs w:val="21"/>
          <w:highlight w:val="none"/>
        </w:rPr>
        <w:t>浮动率=（</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磋商响应总价/磋商控制价-1）×100%（浮动率:%号前保留两位小数）</w:t>
      </w:r>
      <w:r>
        <w:rPr>
          <w:rFonts w:hint="eastAsia"/>
          <w:lang w:eastAsia="zh-CN"/>
        </w:rPr>
        <w:t>（</w:t>
      </w:r>
      <w:r>
        <w:rPr>
          <w:rFonts w:hint="eastAsia"/>
          <w:lang w:val="en-US" w:eastAsia="zh-CN"/>
        </w:rPr>
        <w:t>须扣除暂估价和暂列金额和其他不可竞争费</w:t>
      </w:r>
      <w:r>
        <w:rPr>
          <w:rFonts w:hint="eastAsia"/>
          <w:lang w:eastAsia="zh-CN"/>
        </w:rPr>
        <w:t>）</w:t>
      </w:r>
    </w:p>
    <w:p w14:paraId="3431989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.2取费标准</w:t>
      </w:r>
    </w:p>
    <w:p w14:paraId="752FE3E4">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编制依据：</w:t>
      </w:r>
    </w:p>
    <w:p w14:paraId="48F301F6">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1）委托方提供的《下应街道社区卫生服务中心医康养护一体化建设项目施工图》</w:t>
      </w:r>
      <w:r>
        <w:rPr>
          <w:rFonts w:hint="eastAsia" w:ascii="宋体" w:hAnsi="宋体" w:eastAsia="宋体" w:cs="宋体"/>
          <w:color w:val="auto"/>
          <w:szCs w:val="21"/>
          <w:highlight w:val="none"/>
          <w:lang w:val="en-US" w:eastAsia="zh-CN"/>
        </w:rPr>
        <w:t>；</w:t>
      </w:r>
    </w:p>
    <w:p w14:paraId="7F8B1D15">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2）《建设工程工程量清单计价规范》（GB50500-2013）</w:t>
      </w:r>
      <w:r>
        <w:rPr>
          <w:rFonts w:hint="eastAsia" w:ascii="宋体" w:hAnsi="宋体" w:eastAsia="宋体" w:cs="宋体"/>
          <w:color w:val="auto"/>
          <w:szCs w:val="21"/>
          <w:highlight w:val="none"/>
          <w:lang w:val="en-US" w:eastAsia="zh-CN"/>
        </w:rPr>
        <w:t>；</w:t>
      </w:r>
    </w:p>
    <w:p w14:paraId="1DA8821C">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bookmarkStart w:id="785" w:name="OLE_LINK3"/>
      <w:r>
        <w:rPr>
          <w:rFonts w:hint="eastAsia" w:ascii="宋体" w:hAnsi="宋体" w:cs="宋体"/>
          <w:color w:val="auto"/>
          <w:szCs w:val="21"/>
          <w:highlight w:val="none"/>
          <w:lang w:val="en-US" w:eastAsia="zh-CN"/>
        </w:rPr>
        <w:t>建设工程工程量</w:t>
      </w:r>
      <w:bookmarkEnd w:id="785"/>
      <w:r>
        <w:rPr>
          <w:rFonts w:hint="eastAsia" w:ascii="宋体" w:hAnsi="宋体" w:cs="宋体"/>
          <w:color w:val="auto"/>
          <w:szCs w:val="21"/>
          <w:highlight w:val="none"/>
          <w:lang w:val="en-US" w:eastAsia="zh-CN"/>
        </w:rPr>
        <w:t>计算规范》（GB50856-2013）《市政工程工程量计算规范》（GB50857-2013）、《园林绿化工程工程量计算规范》（GB50858-2013）、《通用安装工程工程量计算规范》（GB50856-2013）</w:t>
      </w:r>
      <w:r>
        <w:rPr>
          <w:rFonts w:hint="eastAsia" w:ascii="宋体" w:hAnsi="宋体" w:eastAsia="宋体" w:cs="宋体"/>
          <w:color w:val="auto"/>
          <w:szCs w:val="21"/>
          <w:highlight w:val="none"/>
          <w:lang w:val="en-US" w:eastAsia="zh-CN"/>
        </w:rPr>
        <w:t>；</w:t>
      </w:r>
    </w:p>
    <w:p w14:paraId="7B3D5D4F">
      <w:pPr>
        <w:snapToGrid w:val="0"/>
        <w:spacing w:line="360" w:lineRule="auto"/>
        <w:ind w:firstLine="420" w:firstLineChars="200"/>
        <w:jc w:val="left"/>
        <w:rPr>
          <w:rFonts w:hint="eastAsia" w:ascii="宋体" w:hAnsi="宋体" w:eastAsia="宋体" w:cs="宋体"/>
          <w:color w:val="auto"/>
          <w:szCs w:val="21"/>
          <w:highlight w:val="none"/>
          <w:lang w:val="en-US" w:eastAsia="zh-CN"/>
        </w:rPr>
      </w:pPr>
      <w:bookmarkStart w:id="786" w:name="OLE_LINK2"/>
      <w:r>
        <w:rPr>
          <w:rFonts w:hint="eastAsia" w:ascii="宋体" w:hAnsi="宋体" w:cs="宋体"/>
          <w:color w:val="auto"/>
          <w:szCs w:val="21"/>
          <w:highlight w:val="none"/>
          <w:lang w:val="en-US" w:eastAsia="zh-CN"/>
        </w:rPr>
        <w:t>4）《</w:t>
      </w:r>
      <w:bookmarkStart w:id="787" w:name="OLE_LINK4"/>
      <w:r>
        <w:rPr>
          <w:rFonts w:hint="eastAsia" w:ascii="宋体" w:hAnsi="宋体" w:cs="宋体"/>
          <w:color w:val="auto"/>
          <w:szCs w:val="21"/>
          <w:highlight w:val="none"/>
          <w:lang w:val="en-US" w:eastAsia="zh-CN"/>
        </w:rPr>
        <w:t>浙江省建筑工程</w:t>
      </w:r>
      <w:bookmarkEnd w:id="787"/>
      <w:r>
        <w:rPr>
          <w:rFonts w:hint="eastAsia" w:ascii="宋体" w:hAnsi="宋体" w:cs="宋体"/>
          <w:color w:val="auto"/>
          <w:szCs w:val="21"/>
          <w:highlight w:val="none"/>
          <w:lang w:val="en-US" w:eastAsia="zh-CN"/>
        </w:rPr>
        <w:t>预算定额》(2018版)、《浙江省市政工程预算定额》(2018版)、《浙江省园林绿化及仿古建筑工程预算定额》(2018版)、《浙江省安装工程预算定额》（2018版）</w:t>
      </w:r>
      <w:r>
        <w:rPr>
          <w:rFonts w:hint="eastAsia" w:ascii="宋体" w:hAnsi="宋体" w:eastAsia="宋体" w:cs="宋体"/>
          <w:color w:val="auto"/>
          <w:szCs w:val="21"/>
          <w:highlight w:val="none"/>
          <w:lang w:val="en-US" w:eastAsia="zh-CN"/>
        </w:rPr>
        <w:t>；</w:t>
      </w:r>
    </w:p>
    <w:bookmarkEnd w:id="786"/>
    <w:p w14:paraId="189A4696">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5）《浙江省建设工程施工费用定额》(2018版)</w:t>
      </w:r>
      <w:r>
        <w:rPr>
          <w:rFonts w:hint="eastAsia" w:ascii="宋体" w:hAnsi="宋体" w:eastAsia="宋体" w:cs="宋体"/>
          <w:color w:val="auto"/>
          <w:szCs w:val="21"/>
          <w:highlight w:val="none"/>
          <w:lang w:val="en-US" w:eastAsia="zh-CN"/>
        </w:rPr>
        <w:t>；</w:t>
      </w:r>
    </w:p>
    <w:p w14:paraId="0D90A682">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6）《浙江省施工机械台班费用参考单价》(2018版)</w:t>
      </w:r>
      <w:r>
        <w:rPr>
          <w:rFonts w:hint="eastAsia" w:ascii="宋体" w:hAnsi="宋体" w:eastAsia="宋体" w:cs="宋体"/>
          <w:color w:val="auto"/>
          <w:szCs w:val="21"/>
          <w:highlight w:val="none"/>
          <w:lang w:val="en-US" w:eastAsia="zh-CN"/>
        </w:rPr>
        <w:t>；</w:t>
      </w:r>
    </w:p>
    <w:p w14:paraId="29F1A037">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7）省、市其他相关文件</w:t>
      </w:r>
      <w:r>
        <w:rPr>
          <w:rFonts w:hint="eastAsia" w:ascii="宋体" w:hAnsi="宋体" w:eastAsia="宋体" w:cs="宋体"/>
          <w:color w:val="auto"/>
          <w:szCs w:val="21"/>
          <w:highlight w:val="none"/>
          <w:lang w:val="en-US" w:eastAsia="zh-CN"/>
        </w:rPr>
        <w:t>。</w:t>
      </w:r>
    </w:p>
    <w:p w14:paraId="50D08B3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（2）取费标准：</w:t>
      </w:r>
    </w:p>
    <w:p w14:paraId="1A033A1D">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工程按相应工程中值计取，施工组织措施费按中值计取，其中安全文明施工费按市区工程考虑，提前竣工增加费、行车、行人干扰增加费、创标化工地增加费、特殊地区增加费不计，规费参考浙建建[2018]61号文件按标准费率的30%计入，税金根据建建发[2019]92号文按9%计取。</w:t>
      </w:r>
    </w:p>
    <w:p w14:paraId="5C25CC73">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材料价格：按照《宁波建设工程造价信息（综合版）》（2025年第5期）市区栏中除税信息价计取，无宁波市区除税信息价的材料按同期《浙江造价信息》中除税信息价计取，无除税信息价的材料按除税市场价计取；缺项的参照《浙江造价信息》价格，无信息价的采用市场调查价。</w:t>
      </w:r>
    </w:p>
    <w:p w14:paraId="7246DBDE">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3）机械费价格：机上人工费、燃料动力费按2025年第5期《宁波建设工程造价信息》中的人工市场信息价及燃料动力除税市场信息价确定。</w:t>
      </w:r>
    </w:p>
    <w:p w14:paraId="74E7C38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4）人工市场价参照2025年第5期《宁波建设工程造价信息》中人工市场信息价调整。</w:t>
      </w:r>
    </w:p>
    <w:p w14:paraId="72F6732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Start w:id="788" w:name="_Toc296503197"/>
      <w:bookmarkStart w:id="789" w:name="_Toc296891025"/>
      <w:bookmarkStart w:id="790" w:name="_Toc303539150"/>
      <w:bookmarkStart w:id="791" w:name="_Toc296346698"/>
      <w:bookmarkStart w:id="792" w:name="_Toc292559907"/>
      <w:bookmarkStart w:id="793" w:name="_Toc296347196"/>
      <w:bookmarkStart w:id="794" w:name="_Toc292559402"/>
      <w:bookmarkStart w:id="795" w:name="_Toc297048383"/>
      <w:bookmarkStart w:id="796" w:name="_Toc296891237"/>
      <w:bookmarkStart w:id="797" w:name="_Toc297216203"/>
      <w:bookmarkStart w:id="798" w:name="_Toc296944536"/>
      <w:bookmarkStart w:id="799" w:name="_Toc297123544"/>
      <w:bookmarkStart w:id="800" w:name="_Toc300934993"/>
      <w:bookmarkStart w:id="801" w:name="_Toc297120497"/>
      <w:bookmarkStart w:id="802" w:name="_Toc304295570"/>
      <w:bookmarkStart w:id="803" w:name="_Toc312677503"/>
      <w:bookmarkStart w:id="804" w:name="_Toc312678029"/>
      <w:r>
        <w:rPr>
          <w:rFonts w:hint="eastAsia" w:ascii="宋体" w:hAnsi="宋体" w:eastAsia="宋体" w:cs="宋体"/>
          <w:color w:val="auto"/>
          <w:szCs w:val="21"/>
          <w:highlight w:val="none"/>
        </w:rPr>
        <w:t>0.5承</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Start w:id="805" w:name="_Toc297120503"/>
      <w:bookmarkStart w:id="806" w:name="_Toc296891031"/>
      <w:bookmarkStart w:id="807" w:name="_Toc297123545"/>
      <w:bookmarkStart w:id="808" w:name="_Toc296347202"/>
      <w:bookmarkStart w:id="809" w:name="_Toc296346704"/>
      <w:bookmarkStart w:id="810" w:name="_Toc297216204"/>
      <w:bookmarkStart w:id="811" w:name="_Toc296503203"/>
      <w:bookmarkStart w:id="812" w:name="_Toc300934994"/>
      <w:bookmarkStart w:id="813" w:name="_Toc296891243"/>
      <w:bookmarkStart w:id="814" w:name="_Toc292559408"/>
      <w:bookmarkStart w:id="815" w:name="_Toc297048389"/>
      <w:bookmarkStart w:id="816" w:name="_Toc292559913"/>
      <w:bookmarkStart w:id="817" w:name="_Toc296944542"/>
      <w:bookmarkStart w:id="818" w:name="_Toc303539151"/>
      <w:r>
        <w:rPr>
          <w:rFonts w:hint="eastAsia" w:ascii="宋体" w:hAnsi="宋体" w:eastAsia="宋体" w:cs="宋体"/>
          <w:color w:val="auto"/>
          <w:szCs w:val="21"/>
          <w:highlight w:val="none"/>
        </w:rPr>
        <w:t>包人的合理化建议</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79912A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4DE6333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338FD32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819" w:name="_Toc292559914"/>
      <w:bookmarkStart w:id="820" w:name="_Toc300934995"/>
      <w:bookmarkStart w:id="821" w:name="_Toc312677504"/>
      <w:bookmarkStart w:id="822" w:name="_Toc297120504"/>
      <w:bookmarkStart w:id="823" w:name="_Toc296944543"/>
      <w:bookmarkStart w:id="824" w:name="_Toc296347203"/>
      <w:bookmarkStart w:id="825" w:name="_Toc312678030"/>
      <w:bookmarkStart w:id="826" w:name="_Toc304295571"/>
      <w:bookmarkStart w:id="827" w:name="_Toc296891244"/>
      <w:bookmarkStart w:id="828" w:name="_Toc292559409"/>
      <w:bookmarkStart w:id="829" w:name="_Toc296346705"/>
      <w:bookmarkStart w:id="830" w:name="_Toc303539152"/>
      <w:bookmarkStart w:id="831" w:name="_Toc297048390"/>
      <w:bookmarkStart w:id="832" w:name="_Toc296503204"/>
      <w:bookmarkStart w:id="833" w:name="_Toc296891032"/>
      <w:bookmarkStart w:id="834" w:name="_Toc297216205"/>
      <w:bookmarkStart w:id="835" w:name="_Toc297123546"/>
      <w:bookmarkStart w:id="836" w:name="_Toc31858117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7F686831">
      <w:pPr>
        <w:snapToGrid w:val="0"/>
        <w:spacing w:line="360" w:lineRule="auto"/>
        <w:ind w:firstLine="420" w:firstLineChars="200"/>
        <w:outlineLvl w:val="0"/>
        <w:rPr>
          <w:rFonts w:ascii="宋体" w:hAnsi="宋体" w:cs="宋体"/>
          <w:color w:val="auto"/>
          <w:szCs w:val="21"/>
          <w:highlight w:val="none"/>
        </w:rPr>
      </w:pPr>
      <w:bookmarkStart w:id="837" w:name="_Toc13182"/>
      <w:r>
        <w:rPr>
          <w:rFonts w:hint="eastAsia" w:ascii="宋体" w:hAnsi="宋体" w:cs="宋体"/>
          <w:color w:val="auto"/>
          <w:szCs w:val="21"/>
          <w:highlight w:val="none"/>
        </w:rPr>
        <w:t>1</w:t>
      </w:r>
      <w:bookmarkStart w:id="838" w:name="_Toc304295574"/>
      <w:bookmarkStart w:id="839" w:name="_Toc296944538"/>
      <w:bookmarkStart w:id="840" w:name="_Toc292559404"/>
      <w:bookmarkStart w:id="841" w:name="_Toc303539154"/>
      <w:bookmarkStart w:id="842" w:name="_Toc312678033"/>
      <w:bookmarkStart w:id="843" w:name="_Toc297123548"/>
      <w:bookmarkStart w:id="844" w:name="_Toc296346700"/>
      <w:bookmarkStart w:id="845" w:name="_Toc297216207"/>
      <w:bookmarkStart w:id="846" w:name="_Toc296891239"/>
      <w:bookmarkStart w:id="847" w:name="_Toc296503199"/>
      <w:bookmarkStart w:id="848" w:name="_Toc312677507"/>
      <w:bookmarkStart w:id="849" w:name="_Toc297120499"/>
      <w:bookmarkStart w:id="850" w:name="_Toc297048385"/>
      <w:bookmarkStart w:id="851" w:name="_Toc300934997"/>
      <w:bookmarkStart w:id="852" w:name="_Toc296347198"/>
      <w:bookmarkStart w:id="853" w:name="_Toc292559909"/>
      <w:bookmarkStart w:id="854" w:name="_Toc296891027"/>
      <w:r>
        <w:rPr>
          <w:rFonts w:hint="eastAsia" w:ascii="宋体" w:hAnsi="宋体" w:cs="宋体"/>
          <w:color w:val="auto"/>
          <w:szCs w:val="21"/>
          <w:highlight w:val="none"/>
        </w:rPr>
        <w:t>0.7 暂估价</w:t>
      </w:r>
      <w:bookmarkEnd w:id="837"/>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3A2DDD9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55" w:name="_Toc312677508"/>
      <w:bookmarkStart w:id="856" w:name="_Toc312678034"/>
      <w:bookmarkStart w:id="857" w:name="_Toc318581176"/>
      <w:r>
        <w:rPr>
          <w:rFonts w:hint="eastAsia" w:ascii="宋体" w:hAnsi="宋体" w:cs="宋体"/>
          <w:color w:val="auto"/>
          <w:kern w:val="0"/>
          <w:szCs w:val="21"/>
          <w:highlight w:val="none"/>
        </w:rPr>
        <w:t>估价材料和工程设备的明细详见：《</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55"/>
    <w:bookmarkEnd w:id="856"/>
    <w:bookmarkEnd w:id="857"/>
    <w:p w14:paraId="3D8992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30C4A87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olor w:val="auto"/>
          <w:szCs w:val="21"/>
          <w:highlight w:val="none"/>
          <w:u w:val="single"/>
        </w:rPr>
        <w:t>执行通用条款</w:t>
      </w:r>
      <w:r>
        <w:rPr>
          <w:rFonts w:hint="eastAsia" w:ascii="宋体" w:hAnsi="宋体" w:cs="宋体"/>
          <w:color w:val="auto"/>
          <w:kern w:val="0"/>
          <w:szCs w:val="21"/>
          <w:highlight w:val="none"/>
        </w:rPr>
        <w:t>。</w:t>
      </w:r>
    </w:p>
    <w:p w14:paraId="67967341">
      <w:pPr>
        <w:pStyle w:val="5"/>
        <w:snapToGrid w:val="0"/>
        <w:spacing w:before="0" w:after="0" w:line="360" w:lineRule="auto"/>
        <w:rPr>
          <w:rFonts w:ascii="宋体" w:hAnsi="宋体" w:eastAsia="宋体" w:cs="宋体"/>
          <w:b w:val="0"/>
          <w:color w:val="auto"/>
          <w:sz w:val="21"/>
          <w:szCs w:val="21"/>
          <w:highlight w:val="none"/>
        </w:rPr>
      </w:pPr>
      <w:bookmarkStart w:id="858" w:name="_Toc351203643"/>
      <w:r>
        <w:rPr>
          <w:rFonts w:hint="eastAsia" w:ascii="宋体" w:hAnsi="宋体" w:eastAsia="宋体" w:cs="宋体"/>
          <w:b w:val="0"/>
          <w:color w:val="auto"/>
          <w:sz w:val="21"/>
          <w:szCs w:val="21"/>
          <w:highlight w:val="none"/>
        </w:rPr>
        <w:t>11. 价格调整</w:t>
      </w:r>
      <w:bookmarkEnd w:id="858"/>
    </w:p>
    <w:p w14:paraId="4339F672">
      <w:pPr>
        <w:snapToGrid w:val="0"/>
        <w:spacing w:line="360" w:lineRule="auto"/>
        <w:ind w:firstLine="420" w:firstLineChars="200"/>
        <w:rPr>
          <w:rFonts w:ascii="宋体" w:hAnsi="宋体" w:cs="宋体"/>
          <w:color w:val="auto"/>
          <w:szCs w:val="21"/>
          <w:highlight w:val="none"/>
        </w:rPr>
      </w:pPr>
      <w:bookmarkStart w:id="859" w:name="_Toc304295577"/>
      <w:bookmarkStart w:id="860" w:name="_Toc300935000"/>
      <w:bookmarkStart w:id="861" w:name="_Toc292559406"/>
      <w:bookmarkStart w:id="862" w:name="_Toc303539157"/>
      <w:bookmarkStart w:id="863" w:name="_Toc296503201"/>
      <w:bookmarkStart w:id="864" w:name="_Toc296944540"/>
      <w:bookmarkStart w:id="865" w:name="_Toc292559911"/>
      <w:bookmarkStart w:id="866" w:name="_Toc312678039"/>
      <w:bookmarkStart w:id="867" w:name="_Toc297123550"/>
      <w:bookmarkStart w:id="868" w:name="_Toc297048387"/>
      <w:bookmarkStart w:id="869" w:name="_Toc296891241"/>
      <w:bookmarkStart w:id="870" w:name="_Toc296346702"/>
      <w:bookmarkStart w:id="871" w:name="_Toc297120501"/>
      <w:bookmarkStart w:id="872" w:name="_Toc297216209"/>
      <w:bookmarkStart w:id="873" w:name="_Toc296347200"/>
      <w:bookmarkStart w:id="874" w:name="_Toc296891029"/>
      <w:r>
        <w:rPr>
          <w:rFonts w:hint="eastAsia" w:ascii="宋体" w:hAnsi="宋体" w:cs="宋体"/>
          <w:color w:val="auto"/>
          <w:szCs w:val="21"/>
          <w:highlight w:val="none"/>
        </w:rPr>
        <w:t>11.1 市场价格波动引起的调整</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15AB8FA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lang w:val="en-US" w:eastAsia="zh-CN"/>
        </w:rPr>
        <w:t>不调整</w:t>
      </w:r>
      <w:r>
        <w:rPr>
          <w:rFonts w:hint="eastAsia" w:ascii="宋体" w:hAnsi="宋体" w:cs="宋体"/>
          <w:color w:val="auto"/>
          <w:szCs w:val="21"/>
          <w:highlight w:val="none"/>
        </w:rPr>
        <w:t>。</w:t>
      </w:r>
    </w:p>
    <w:bookmarkEnd w:id="760"/>
    <w:bookmarkEnd w:id="761"/>
    <w:bookmarkEnd w:id="762"/>
    <w:bookmarkEnd w:id="763"/>
    <w:bookmarkEnd w:id="764"/>
    <w:bookmarkEnd w:id="765"/>
    <w:p w14:paraId="3B5A7338">
      <w:pPr>
        <w:pStyle w:val="5"/>
        <w:snapToGrid w:val="0"/>
        <w:spacing w:before="0" w:after="0" w:line="360" w:lineRule="auto"/>
        <w:rPr>
          <w:rFonts w:ascii="宋体" w:hAnsi="宋体" w:eastAsia="宋体" w:cs="宋体"/>
          <w:b w:val="0"/>
          <w:color w:val="auto"/>
          <w:sz w:val="21"/>
          <w:szCs w:val="21"/>
          <w:highlight w:val="none"/>
        </w:rPr>
      </w:pPr>
      <w:bookmarkStart w:id="875" w:name="_Toc296891033"/>
      <w:bookmarkStart w:id="876" w:name="_Toc296346706"/>
      <w:bookmarkStart w:id="877" w:name="_Toc292559410"/>
      <w:bookmarkStart w:id="878" w:name="_Toc296944544"/>
      <w:bookmarkStart w:id="879" w:name="_Toc296891245"/>
      <w:bookmarkStart w:id="880" w:name="_Toc292559915"/>
      <w:bookmarkStart w:id="881" w:name="_Toc297120505"/>
      <w:bookmarkStart w:id="882" w:name="_Toc296503205"/>
      <w:bookmarkStart w:id="883" w:name="_Toc297048391"/>
      <w:bookmarkStart w:id="884" w:name="_Toc296347204"/>
      <w:bookmarkStart w:id="885" w:name="_Toc351203644"/>
      <w:bookmarkStart w:id="886" w:name="_Toc300935002"/>
      <w:bookmarkStart w:id="887" w:name="_Toc312678040"/>
      <w:bookmarkStart w:id="888" w:name="_Toc304295579"/>
      <w:bookmarkStart w:id="889" w:name="_Toc303539159"/>
      <w:bookmarkStart w:id="890" w:name="_Toc297123552"/>
      <w:bookmarkStart w:id="891" w:name="_Toc297216211"/>
      <w:r>
        <w:rPr>
          <w:rFonts w:hint="eastAsia" w:ascii="宋体" w:hAnsi="宋体" w:eastAsia="宋体" w:cs="宋体"/>
          <w:b w:val="0"/>
          <w:color w:val="auto"/>
          <w:sz w:val="21"/>
          <w:szCs w:val="21"/>
          <w:highlight w:val="none"/>
        </w:rPr>
        <w:t xml:space="preserve">12. </w:t>
      </w:r>
      <w:bookmarkEnd w:id="875"/>
      <w:bookmarkEnd w:id="876"/>
      <w:bookmarkEnd w:id="877"/>
      <w:bookmarkEnd w:id="878"/>
      <w:bookmarkEnd w:id="879"/>
      <w:bookmarkEnd w:id="880"/>
      <w:bookmarkEnd w:id="881"/>
      <w:bookmarkEnd w:id="882"/>
      <w:bookmarkEnd w:id="883"/>
      <w:bookmarkEnd w:id="884"/>
      <w:r>
        <w:rPr>
          <w:rFonts w:hint="eastAsia" w:ascii="宋体" w:hAnsi="宋体" w:eastAsia="宋体" w:cs="宋体"/>
          <w:b w:val="0"/>
          <w:color w:val="auto"/>
          <w:sz w:val="21"/>
          <w:szCs w:val="21"/>
          <w:highlight w:val="none"/>
        </w:rPr>
        <w:t>合同价格、计量与支付</w:t>
      </w:r>
      <w:bookmarkEnd w:id="885"/>
    </w:p>
    <w:bookmarkEnd w:id="886"/>
    <w:bookmarkEnd w:id="887"/>
    <w:bookmarkEnd w:id="888"/>
    <w:bookmarkEnd w:id="889"/>
    <w:bookmarkEnd w:id="890"/>
    <w:bookmarkEnd w:id="891"/>
    <w:p w14:paraId="336A33DF">
      <w:pPr>
        <w:snapToGrid w:val="0"/>
        <w:spacing w:line="360" w:lineRule="auto"/>
        <w:ind w:firstLine="420" w:firstLineChars="200"/>
        <w:rPr>
          <w:rFonts w:ascii="宋体" w:hAnsi="宋体" w:cs="宋体"/>
          <w:color w:val="auto"/>
          <w:szCs w:val="21"/>
          <w:highlight w:val="none"/>
        </w:rPr>
      </w:pPr>
      <w:bookmarkStart w:id="892" w:name="_Toc267251461"/>
      <w:bookmarkStart w:id="893" w:name="_Toc292559411"/>
      <w:bookmarkStart w:id="894" w:name="_Toc292559916"/>
      <w:bookmarkStart w:id="895" w:name="_Toc297048392"/>
      <w:bookmarkStart w:id="896" w:name="_Toc297120506"/>
      <w:bookmarkStart w:id="897" w:name="_Toc296944545"/>
      <w:bookmarkStart w:id="898" w:name="_Toc296891034"/>
      <w:bookmarkStart w:id="899" w:name="_Toc296503206"/>
      <w:bookmarkStart w:id="900" w:name="_Toc296346707"/>
      <w:bookmarkStart w:id="901" w:name="_Toc296891246"/>
      <w:bookmarkStart w:id="902" w:name="_Toc296347205"/>
      <w:bookmarkStart w:id="903" w:name="_Toc297123553"/>
      <w:bookmarkStart w:id="904" w:name="_Toc312678041"/>
      <w:bookmarkStart w:id="905" w:name="_Toc303539160"/>
      <w:bookmarkStart w:id="906" w:name="_Toc300935003"/>
      <w:bookmarkStart w:id="907" w:name="_Toc297216212"/>
      <w:bookmarkStart w:id="908" w:name="_Toc304295580"/>
      <w:r>
        <w:rPr>
          <w:rFonts w:hint="eastAsia" w:ascii="宋体" w:hAnsi="宋体" w:cs="宋体"/>
          <w:color w:val="auto"/>
          <w:szCs w:val="21"/>
          <w:highlight w:val="none"/>
        </w:rPr>
        <w:t>12.1 合</w:t>
      </w:r>
      <w:bookmarkEnd w:id="892"/>
      <w:bookmarkEnd w:id="893"/>
      <w:bookmarkEnd w:id="894"/>
      <w:r>
        <w:rPr>
          <w:rFonts w:hint="eastAsia" w:ascii="宋体" w:hAnsi="宋体" w:cs="宋体"/>
          <w:color w:val="auto"/>
          <w:szCs w:val="21"/>
          <w:highlight w:val="none"/>
        </w:rPr>
        <w:t>同价</w:t>
      </w:r>
      <w:bookmarkEnd w:id="895"/>
      <w:bookmarkEnd w:id="896"/>
      <w:bookmarkEnd w:id="897"/>
      <w:bookmarkEnd w:id="898"/>
      <w:bookmarkEnd w:id="899"/>
      <w:bookmarkEnd w:id="900"/>
      <w:bookmarkEnd w:id="901"/>
      <w:bookmarkEnd w:id="902"/>
      <w:r>
        <w:rPr>
          <w:rFonts w:hint="eastAsia" w:ascii="宋体" w:hAnsi="宋体" w:cs="宋体"/>
          <w:color w:val="auto"/>
          <w:szCs w:val="21"/>
          <w:highlight w:val="none"/>
        </w:rPr>
        <w:t>格形式</w:t>
      </w:r>
    </w:p>
    <w:bookmarkEnd w:id="903"/>
    <w:bookmarkEnd w:id="904"/>
    <w:bookmarkEnd w:id="905"/>
    <w:bookmarkEnd w:id="906"/>
    <w:bookmarkEnd w:id="907"/>
    <w:bookmarkEnd w:id="908"/>
    <w:p w14:paraId="3500D2F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010965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0407931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0BB2936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23C27F11">
      <w:pPr>
        <w:snapToGrid w:val="0"/>
        <w:spacing w:line="360" w:lineRule="auto"/>
        <w:ind w:firstLine="420" w:firstLineChars="200"/>
        <w:rPr>
          <w:rFonts w:ascii="宋体" w:hAnsi="宋体" w:cs="宋体"/>
          <w:color w:val="auto"/>
          <w:szCs w:val="21"/>
          <w:highlight w:val="none"/>
        </w:rPr>
      </w:pPr>
      <w:bookmarkStart w:id="909" w:name="_Toc303539161"/>
      <w:bookmarkStart w:id="910" w:name="_Toc297216213"/>
      <w:bookmarkStart w:id="911" w:name="_Toc300935004"/>
      <w:bookmarkStart w:id="912" w:name="_Toc304295581"/>
      <w:bookmarkStart w:id="913" w:name="_Toc312678042"/>
      <w:bookmarkStart w:id="914" w:name="_Toc297123554"/>
      <w:bookmarkStart w:id="915" w:name="_Toc296944546"/>
      <w:bookmarkStart w:id="916" w:name="_Toc292559412"/>
      <w:bookmarkStart w:id="917" w:name="_Toc297048393"/>
      <w:bookmarkStart w:id="918" w:name="_Toc296347206"/>
      <w:bookmarkStart w:id="919" w:name="_Toc296346708"/>
      <w:bookmarkStart w:id="920" w:name="_Toc297120507"/>
      <w:bookmarkStart w:id="921" w:name="_Toc296891035"/>
      <w:bookmarkStart w:id="922" w:name="_Toc296503207"/>
      <w:bookmarkStart w:id="923" w:name="_Toc296891247"/>
      <w:bookmarkStart w:id="924" w:name="_Toc292559917"/>
      <w:r>
        <w:rPr>
          <w:rFonts w:hint="eastAsia" w:ascii="宋体" w:hAnsi="宋体" w:cs="宋体"/>
          <w:color w:val="auto"/>
          <w:szCs w:val="21"/>
          <w:highlight w:val="none"/>
        </w:rPr>
        <w:t>12.2 预付款</w:t>
      </w:r>
    </w:p>
    <w:bookmarkEnd w:id="909"/>
    <w:bookmarkEnd w:id="910"/>
    <w:bookmarkEnd w:id="911"/>
    <w:bookmarkEnd w:id="912"/>
    <w:bookmarkEnd w:id="913"/>
    <w:bookmarkEnd w:id="914"/>
    <w:p w14:paraId="2860245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63D279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olor w:val="auto"/>
          <w:szCs w:val="21"/>
          <w:highlight w:val="none"/>
          <w:u w:val="single"/>
        </w:rPr>
        <w:t>签约合同价的</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0%。</w:t>
      </w:r>
    </w:p>
    <w:p w14:paraId="1A0945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合同生效以及具备实施条件后7个工作日内</w:t>
      </w:r>
      <w:r>
        <w:rPr>
          <w:rFonts w:hint="eastAsia" w:ascii="宋体" w:hAnsi="宋体" w:cs="宋体"/>
          <w:color w:val="auto"/>
          <w:szCs w:val="21"/>
          <w:highlight w:val="none"/>
        </w:rPr>
        <w:t>。</w:t>
      </w:r>
    </w:p>
    <w:p w14:paraId="63F9A6C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2BC24A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4E38E3A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493C9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olor w:val="auto"/>
          <w:szCs w:val="21"/>
          <w:highlight w:val="none"/>
          <w:u w:val="single"/>
        </w:rPr>
        <w:t>/</w:t>
      </w:r>
      <w:r>
        <w:rPr>
          <w:rFonts w:hint="eastAsia" w:ascii="宋体" w:hAnsi="宋体" w:cs="宋体"/>
          <w:color w:val="auto"/>
          <w:szCs w:val="21"/>
          <w:highlight w:val="none"/>
        </w:rPr>
        <w:t>。</w:t>
      </w:r>
    </w:p>
    <w:bookmarkEnd w:id="915"/>
    <w:bookmarkEnd w:id="916"/>
    <w:bookmarkEnd w:id="917"/>
    <w:bookmarkEnd w:id="918"/>
    <w:bookmarkEnd w:id="919"/>
    <w:bookmarkEnd w:id="920"/>
    <w:bookmarkEnd w:id="921"/>
    <w:bookmarkEnd w:id="922"/>
    <w:bookmarkEnd w:id="923"/>
    <w:bookmarkEnd w:id="924"/>
    <w:p w14:paraId="6A7CDA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1595EA0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762FB7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54BE586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4EDE69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35824EC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6EE4E7E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5E6B2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49B99357">
      <w:pPr>
        <w:snapToGrid w:val="0"/>
        <w:spacing w:line="360" w:lineRule="auto"/>
        <w:ind w:firstLine="420" w:firstLineChars="200"/>
        <w:jc w:val="left"/>
        <w:rPr>
          <w:rFonts w:ascii="宋体" w:hAnsi="宋体" w:cs="宋体"/>
          <w:color w:val="auto"/>
          <w:szCs w:val="21"/>
          <w:highlight w:val="none"/>
        </w:rPr>
      </w:pPr>
      <w:bookmarkStart w:id="925" w:name="_Toc292559416"/>
      <w:bookmarkStart w:id="926" w:name="_Toc292559921"/>
      <w:bookmarkStart w:id="927" w:name="_Toc296347210"/>
      <w:bookmarkStart w:id="928" w:name="_Toc296346712"/>
      <w:bookmarkStart w:id="929" w:name="_Toc296891039"/>
      <w:bookmarkStart w:id="930" w:name="_Toc296944550"/>
      <w:bookmarkStart w:id="931" w:name="_Toc297048397"/>
      <w:bookmarkStart w:id="932" w:name="_Toc297216215"/>
      <w:bookmarkStart w:id="933" w:name="_Toc300935006"/>
      <w:bookmarkStart w:id="934" w:name="_Toc297120511"/>
      <w:bookmarkStart w:id="935" w:name="_Toc296503211"/>
      <w:bookmarkStart w:id="936" w:name="_Toc303539163"/>
      <w:bookmarkStart w:id="937" w:name="_Toc297123556"/>
      <w:bookmarkStart w:id="938" w:name="_Toc296891251"/>
      <w:r>
        <w:rPr>
          <w:rFonts w:hint="eastAsia" w:ascii="宋体" w:hAnsi="宋体" w:cs="宋体"/>
          <w:color w:val="auto"/>
          <w:szCs w:val="21"/>
          <w:highlight w:val="none"/>
        </w:rPr>
        <w:t>12.4.1 付款周期</w:t>
      </w:r>
    </w:p>
    <w:p w14:paraId="51ACC9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关于付款周期的约定：</w:t>
      </w:r>
    </w:p>
    <w:tbl>
      <w:tblPr>
        <w:tblStyle w:val="62"/>
        <w:tblW w:w="4997"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00"/>
        <w:gridCol w:w="2388"/>
        <w:gridCol w:w="5547"/>
      </w:tblGrid>
      <w:tr w14:paraId="0BA3D73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4" w:type="pct"/>
            <w:tcBorders>
              <w:tl2br w:val="nil"/>
              <w:tr2bl w:val="nil"/>
            </w:tcBorders>
            <w:shd w:val="clear" w:color="auto" w:fill="auto"/>
            <w:vAlign w:val="center"/>
          </w:tcPr>
          <w:p w14:paraId="2529192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pct"/>
            <w:tcBorders>
              <w:tl2br w:val="nil"/>
              <w:tr2bl w:val="nil"/>
            </w:tcBorders>
            <w:shd w:val="clear" w:color="auto" w:fill="auto"/>
            <w:vAlign w:val="center"/>
          </w:tcPr>
          <w:p w14:paraId="4187556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付款比例（%）</w:t>
            </w:r>
          </w:p>
        </w:tc>
        <w:tc>
          <w:tcPr>
            <w:tcW w:w="3002" w:type="pct"/>
            <w:tcBorders>
              <w:tl2br w:val="nil"/>
              <w:tr2bl w:val="nil"/>
            </w:tcBorders>
            <w:shd w:val="clear" w:color="auto" w:fill="auto"/>
            <w:vAlign w:val="center"/>
          </w:tcPr>
          <w:p w14:paraId="0E65661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付款方</w:t>
            </w:r>
            <w:r>
              <w:rPr>
                <w:rFonts w:hint="eastAsia" w:ascii="宋体" w:hAnsi="宋体" w:eastAsia="宋体" w:cs="宋体"/>
                <w:b/>
                <w:bCs/>
                <w:color w:val="auto"/>
                <w:sz w:val="21"/>
                <w:szCs w:val="21"/>
                <w:highlight w:val="none"/>
                <w:lang w:val="en-US" w:eastAsia="zh-CN"/>
              </w:rPr>
              <w:t>式</w:t>
            </w:r>
          </w:p>
        </w:tc>
      </w:tr>
      <w:tr w14:paraId="31D2CF9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4" w:type="pct"/>
            <w:tcBorders>
              <w:tl2br w:val="nil"/>
              <w:tr2bl w:val="nil"/>
            </w:tcBorders>
            <w:shd w:val="clear" w:color="auto" w:fill="auto"/>
            <w:vAlign w:val="center"/>
          </w:tcPr>
          <w:p w14:paraId="5C46CF3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pct"/>
            <w:tcBorders>
              <w:tl2br w:val="nil"/>
              <w:tr2bl w:val="nil"/>
            </w:tcBorders>
            <w:shd w:val="clear" w:color="auto" w:fill="auto"/>
            <w:vAlign w:val="center"/>
          </w:tcPr>
          <w:p w14:paraId="7FF465B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w:t>
            </w:r>
          </w:p>
        </w:tc>
        <w:tc>
          <w:tcPr>
            <w:tcW w:w="3002" w:type="pct"/>
            <w:tcBorders>
              <w:tl2br w:val="nil"/>
              <w:tr2bl w:val="nil"/>
            </w:tcBorders>
            <w:shd w:val="clear" w:color="auto" w:fill="auto"/>
            <w:vAlign w:val="top"/>
          </w:tcPr>
          <w:p w14:paraId="5BF83394">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合同生效以及具备实施条件后7个工作日内，</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于合同签订前书面承诺放弃预付款或降低预付款支付比例的，可不适用本条款</w:t>
            </w:r>
            <w:r>
              <w:rPr>
                <w:rFonts w:hint="eastAsia" w:ascii="宋体" w:hAnsi="宋体" w:eastAsia="宋体" w:cs="宋体"/>
                <w:color w:val="auto"/>
                <w:sz w:val="21"/>
                <w:szCs w:val="21"/>
                <w:highlight w:val="none"/>
                <w:lang w:val="en-US" w:eastAsia="zh-CN"/>
              </w:rPr>
              <w:t>。</w:t>
            </w:r>
          </w:p>
        </w:tc>
      </w:tr>
      <w:tr w14:paraId="143EB5C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4CE417A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pct"/>
            <w:tcBorders>
              <w:tl2br w:val="nil"/>
              <w:tr2bl w:val="nil"/>
            </w:tcBorders>
            <w:shd w:val="clear" w:color="auto" w:fill="auto"/>
            <w:vAlign w:val="center"/>
          </w:tcPr>
          <w:p w14:paraId="7828901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2" w:type="pct"/>
            <w:tcBorders>
              <w:tl2br w:val="nil"/>
              <w:tr2bl w:val="nil"/>
            </w:tcBorders>
            <w:shd w:val="clear" w:color="auto" w:fill="auto"/>
          </w:tcPr>
          <w:p w14:paraId="53B57233">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签订合同后7日内，承包人向发包人递交签约合同价1%的履约保证金。</w:t>
            </w:r>
          </w:p>
        </w:tc>
      </w:tr>
      <w:tr w14:paraId="3504000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7359B4E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93" w:type="pct"/>
            <w:tcBorders>
              <w:tl2br w:val="nil"/>
              <w:tr2bl w:val="nil"/>
            </w:tcBorders>
            <w:shd w:val="clear" w:color="auto" w:fill="auto"/>
            <w:vAlign w:val="center"/>
          </w:tcPr>
          <w:p w14:paraId="65BCB47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w:t>
            </w:r>
          </w:p>
        </w:tc>
        <w:tc>
          <w:tcPr>
            <w:tcW w:w="3002" w:type="pct"/>
            <w:tcBorders>
              <w:tl2br w:val="nil"/>
              <w:tr2bl w:val="nil"/>
            </w:tcBorders>
            <w:shd w:val="clear" w:color="auto" w:fill="auto"/>
          </w:tcPr>
          <w:p w14:paraId="41F3EB03">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工程现场初验后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lang w:eastAsia="zh-CN"/>
              </w:rPr>
              <w:t>，支付签约合同价的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w:t>
            </w:r>
          </w:p>
        </w:tc>
      </w:tr>
      <w:tr w14:paraId="255D0A7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1EBA38B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93" w:type="pct"/>
            <w:tcBorders>
              <w:tl2br w:val="nil"/>
              <w:tr2bl w:val="nil"/>
            </w:tcBorders>
            <w:shd w:val="clear" w:color="auto" w:fill="auto"/>
            <w:vAlign w:val="center"/>
          </w:tcPr>
          <w:p w14:paraId="0F45867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w:t>
            </w:r>
          </w:p>
        </w:tc>
        <w:tc>
          <w:tcPr>
            <w:tcW w:w="3002" w:type="pct"/>
            <w:tcBorders>
              <w:tl2br w:val="nil"/>
              <w:tr2bl w:val="nil"/>
            </w:tcBorders>
            <w:shd w:val="clear" w:color="auto" w:fill="auto"/>
          </w:tcPr>
          <w:p w14:paraId="19149D73">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按合同约定提交完整工程结算资料后7个工作日内，支付签约合同价的</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w:t>
            </w:r>
          </w:p>
        </w:tc>
      </w:tr>
      <w:tr w14:paraId="5497FEB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3F9EF58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3" w:type="pct"/>
            <w:tcBorders>
              <w:tl2br w:val="nil"/>
              <w:tr2bl w:val="nil"/>
            </w:tcBorders>
            <w:shd w:val="clear" w:color="auto" w:fill="auto"/>
            <w:vAlign w:val="center"/>
          </w:tcPr>
          <w:p w14:paraId="3B8E2B8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2" w:type="pct"/>
            <w:tcBorders>
              <w:tl2br w:val="nil"/>
              <w:tr2bl w:val="nil"/>
            </w:tcBorders>
            <w:shd w:val="clear" w:color="auto" w:fill="auto"/>
          </w:tcPr>
          <w:p w14:paraId="276E1160">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color w:val="auto"/>
                <w:sz w:val="21"/>
                <w:szCs w:val="21"/>
                <w:highlight w:val="none"/>
                <w:lang w:eastAsia="zh-CN"/>
              </w:rPr>
              <w:t>递交的履约保证金予以结算退还。</w:t>
            </w:r>
          </w:p>
        </w:tc>
      </w:tr>
      <w:tr w14:paraId="25741B2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0696B8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93" w:type="pct"/>
            <w:tcBorders>
              <w:tl2br w:val="nil"/>
              <w:tr2bl w:val="nil"/>
            </w:tcBorders>
            <w:shd w:val="clear" w:color="auto" w:fill="auto"/>
            <w:vAlign w:val="center"/>
          </w:tcPr>
          <w:p w14:paraId="43E42B5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p>
        </w:tc>
        <w:tc>
          <w:tcPr>
            <w:tcW w:w="3002" w:type="pct"/>
            <w:tcBorders>
              <w:tl2br w:val="nil"/>
              <w:tr2bl w:val="nil"/>
            </w:tcBorders>
            <w:shd w:val="clear" w:color="auto" w:fill="auto"/>
          </w:tcPr>
          <w:p w14:paraId="70C429FF">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工程价款结算审核完成，</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eastAsia="zh-CN"/>
              </w:rPr>
              <w:t>提供全额发票（增值税专用发票）后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lang w:eastAsia="zh-CN"/>
              </w:rPr>
              <w:t>支付至结算造价的100%</w:t>
            </w:r>
          </w:p>
        </w:tc>
      </w:tr>
      <w:tr w14:paraId="005B5E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shd w:val="clear" w:color="auto" w:fill="auto"/>
            <w:vAlign w:val="center"/>
          </w:tcPr>
          <w:p w14:paraId="12A73F2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注：支付上述款项前，成交供应商须开具同等数额的正规增值税发票（具体发票要求按采购人要求开具），否则采购人有权延迟支付。</w:t>
            </w:r>
          </w:p>
        </w:tc>
      </w:tr>
    </w:tbl>
    <w:p w14:paraId="7B44E68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）联系单调整费用：</w:t>
      </w:r>
    </w:p>
    <w:p w14:paraId="63A1106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以上工程款均不包括联系单调整费用，联系单预算书及工程量计算稿需作为联系单的附件与联系单同时报审，及时上报代建人、跟踪审计单位和发包人审核确认。联系单调整费用在工程结算完成后支付。</w:t>
      </w:r>
    </w:p>
    <w:p w14:paraId="0B0B10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承包人违约金必须在余款结清前提交发包人，否则发包人有权不支付余款，待承包人提交违约金后支付</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hint="eastAsia" w:ascii="宋体" w:hAnsi="宋体" w:cs="宋体"/>
          <w:color w:val="auto"/>
          <w:szCs w:val="21"/>
          <w:highlight w:val="none"/>
        </w:rPr>
        <w:t>。</w:t>
      </w:r>
    </w:p>
    <w:bookmarkEnd w:id="766"/>
    <w:p w14:paraId="121205BA">
      <w:pPr>
        <w:pStyle w:val="5"/>
        <w:snapToGrid w:val="0"/>
        <w:spacing w:before="0" w:after="0" w:line="360" w:lineRule="auto"/>
        <w:rPr>
          <w:rFonts w:ascii="宋体" w:hAnsi="宋体" w:eastAsia="宋体" w:cs="宋体"/>
          <w:b w:val="0"/>
          <w:color w:val="auto"/>
          <w:sz w:val="21"/>
          <w:szCs w:val="21"/>
          <w:highlight w:val="none"/>
        </w:rPr>
      </w:pPr>
      <w:bookmarkStart w:id="939" w:name="_Toc351203645"/>
      <w:bookmarkStart w:id="940" w:name="_Toc297123564"/>
      <w:bookmarkStart w:id="941" w:name="_Toc296944558"/>
      <w:bookmarkStart w:id="942" w:name="_Toc297216223"/>
      <w:bookmarkStart w:id="943" w:name="_Toc300935015"/>
      <w:bookmarkStart w:id="944" w:name="_Toc296503219"/>
      <w:bookmarkStart w:id="945" w:name="_Toc303539172"/>
      <w:bookmarkStart w:id="946" w:name="_Toc296346720"/>
      <w:bookmarkStart w:id="947" w:name="_Toc297120519"/>
      <w:bookmarkStart w:id="948" w:name="_Toc296891047"/>
      <w:bookmarkStart w:id="949" w:name="_Toc296891259"/>
      <w:bookmarkStart w:id="950" w:name="_Toc292559929"/>
      <w:bookmarkStart w:id="951" w:name="_Toc297048405"/>
      <w:bookmarkStart w:id="952" w:name="_Toc304295593"/>
      <w:bookmarkStart w:id="953" w:name="_Toc296347218"/>
      <w:bookmarkStart w:id="954" w:name="_Toc312678053"/>
      <w:bookmarkStart w:id="955" w:name="_Toc292559424"/>
      <w:r>
        <w:rPr>
          <w:rFonts w:hint="eastAsia" w:ascii="宋体" w:hAnsi="宋体" w:eastAsia="宋体" w:cs="宋体"/>
          <w:b w:val="0"/>
          <w:color w:val="auto"/>
          <w:sz w:val="21"/>
          <w:szCs w:val="21"/>
          <w:highlight w:val="none"/>
        </w:rPr>
        <w:t>13. 验收和工程试车</w:t>
      </w:r>
      <w:bookmarkEnd w:id="939"/>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14:paraId="4083C3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57D1F2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3EFC046D">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37723865">
      <w:pPr>
        <w:snapToGrid w:val="0"/>
        <w:spacing w:line="360" w:lineRule="auto"/>
        <w:ind w:firstLine="420" w:firstLineChars="200"/>
        <w:rPr>
          <w:rFonts w:ascii="宋体" w:hAnsi="宋体" w:cs="宋体"/>
          <w:color w:val="auto"/>
          <w:szCs w:val="21"/>
          <w:highlight w:val="none"/>
        </w:rPr>
      </w:pPr>
      <w:bookmarkStart w:id="956" w:name="_Toc292559933"/>
      <w:bookmarkStart w:id="957" w:name="_Toc296503223"/>
      <w:bookmarkStart w:id="958" w:name="_Toc297048409"/>
      <w:bookmarkStart w:id="959" w:name="_Toc304295596"/>
      <w:bookmarkStart w:id="960" w:name="_Toc300935016"/>
      <w:bookmarkStart w:id="961" w:name="_Toc296891263"/>
      <w:bookmarkStart w:id="962" w:name="_Toc296944562"/>
      <w:bookmarkStart w:id="963" w:name="_Toc296347222"/>
      <w:bookmarkStart w:id="964" w:name="_Toc292559428"/>
      <w:bookmarkStart w:id="965" w:name="_Toc297216224"/>
      <w:bookmarkStart w:id="966" w:name="_Toc296891051"/>
      <w:bookmarkStart w:id="967" w:name="_Toc303539173"/>
      <w:bookmarkStart w:id="968" w:name="_Toc312678056"/>
      <w:bookmarkStart w:id="969" w:name="_Toc297123565"/>
      <w:bookmarkStart w:id="970" w:name="_Toc296346724"/>
      <w:bookmarkStart w:id="971" w:name="_Toc297120523"/>
      <w:bookmarkStart w:id="972" w:name="_Toc267251470"/>
      <w:bookmarkStart w:id="973" w:name="_Toc267251476"/>
      <w:bookmarkStart w:id="974" w:name="_Toc267251473"/>
      <w:bookmarkStart w:id="975" w:name="_Toc267251474"/>
      <w:bookmarkStart w:id="976" w:name="_Toc267251475"/>
      <w:bookmarkStart w:id="977" w:name="_Toc267251472"/>
      <w:bookmarkStart w:id="978" w:name="_Toc267251471"/>
      <w:r>
        <w:rPr>
          <w:rFonts w:hint="eastAsia" w:ascii="宋体" w:hAnsi="宋体" w:cs="宋体"/>
          <w:color w:val="auto"/>
          <w:szCs w:val="21"/>
          <w:highlight w:val="none"/>
        </w:rPr>
        <w:t>13.2 竣工验收</w:t>
      </w:r>
    </w:p>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14:paraId="14122DCC">
      <w:pPr>
        <w:snapToGrid w:val="0"/>
        <w:spacing w:line="360" w:lineRule="auto"/>
        <w:ind w:firstLine="420" w:firstLineChars="200"/>
        <w:jc w:val="left"/>
        <w:rPr>
          <w:rFonts w:ascii="宋体" w:hAnsi="宋体" w:cs="宋体"/>
          <w:color w:val="auto"/>
          <w:szCs w:val="21"/>
          <w:highlight w:val="none"/>
        </w:rPr>
      </w:pPr>
      <w:bookmarkStart w:id="979" w:name="_Toc280868704"/>
      <w:bookmarkStart w:id="980" w:name="_Toc280868705"/>
      <w:bookmarkStart w:id="981" w:name="_Toc280868706"/>
      <w:bookmarkStart w:id="982" w:name="_Toc280868707"/>
      <w:bookmarkStart w:id="983" w:name="_Toc280868708"/>
      <w:bookmarkStart w:id="984" w:name="_Toc280868709"/>
      <w:r>
        <w:rPr>
          <w:rFonts w:hint="eastAsia" w:ascii="宋体" w:hAnsi="宋体" w:cs="宋体"/>
          <w:color w:val="auto"/>
          <w:szCs w:val="21"/>
          <w:highlight w:val="none"/>
        </w:rPr>
        <w:t>13.2.2竣工验收程序</w:t>
      </w:r>
    </w:p>
    <w:bookmarkEnd w:id="979"/>
    <w:p w14:paraId="547E4BAB">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CA06E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80"/>
    <w:p w14:paraId="45AE92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81"/>
    <w:p w14:paraId="788B5B6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7EF938B4">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82"/>
    <w:p w14:paraId="4D68BB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承包人无正当理由未按时移交工程的，除承担自应接收工程之日起的工程照管、成本保护、保管等与工程有关的各项费用外，应当按本合同约定的工期延误赔偿标准的5倍向发包人支付逾期移交工程的违约金</w:t>
      </w:r>
      <w:r>
        <w:rPr>
          <w:rFonts w:hint="eastAsia" w:ascii="宋体" w:hAnsi="宋体" w:cs="宋体"/>
          <w:color w:val="auto"/>
          <w:szCs w:val="21"/>
          <w:highlight w:val="none"/>
        </w:rPr>
        <w:t>。</w:t>
      </w:r>
    </w:p>
    <w:bookmarkEnd w:id="983"/>
    <w:p w14:paraId="1F677C5A">
      <w:pPr>
        <w:snapToGrid w:val="0"/>
        <w:spacing w:line="360" w:lineRule="auto"/>
        <w:ind w:firstLine="420" w:firstLineChars="200"/>
        <w:outlineLvl w:val="0"/>
        <w:rPr>
          <w:rFonts w:ascii="宋体" w:hAnsi="宋体" w:cs="宋体"/>
          <w:color w:val="auto"/>
          <w:szCs w:val="21"/>
          <w:highlight w:val="none"/>
        </w:rPr>
      </w:pPr>
      <w:bookmarkStart w:id="985" w:name="_Toc23722"/>
      <w:r>
        <w:rPr>
          <w:rFonts w:hint="eastAsia" w:ascii="宋体" w:hAnsi="宋体" w:cs="宋体"/>
          <w:color w:val="auto"/>
          <w:szCs w:val="21"/>
          <w:highlight w:val="none"/>
        </w:rPr>
        <w:t>13.6 竣工退场</w:t>
      </w:r>
      <w:bookmarkEnd w:id="985"/>
    </w:p>
    <w:p w14:paraId="20C863A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0AC51DF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承包人应当在发包人颁发工程接收证书后14天内完成竣工退场，逾期未完成的，按通用条款执行</w:t>
      </w:r>
      <w:r>
        <w:rPr>
          <w:rFonts w:hint="eastAsia" w:ascii="宋体" w:hAnsi="宋体" w:cs="宋体"/>
          <w:color w:val="auto"/>
          <w:kern w:val="0"/>
          <w:szCs w:val="21"/>
          <w:highlight w:val="none"/>
        </w:rPr>
        <w:t>。</w:t>
      </w:r>
    </w:p>
    <w:p w14:paraId="665E101D">
      <w:pPr>
        <w:pStyle w:val="5"/>
        <w:snapToGrid w:val="0"/>
        <w:spacing w:before="0" w:after="0" w:line="360" w:lineRule="auto"/>
        <w:rPr>
          <w:rFonts w:ascii="宋体" w:hAnsi="宋体" w:eastAsia="宋体" w:cs="宋体"/>
          <w:b w:val="0"/>
          <w:color w:val="auto"/>
          <w:sz w:val="21"/>
          <w:szCs w:val="21"/>
          <w:highlight w:val="none"/>
        </w:rPr>
      </w:pPr>
      <w:bookmarkStart w:id="986" w:name="_Toc351203646"/>
      <w:r>
        <w:rPr>
          <w:rFonts w:hint="eastAsia" w:ascii="宋体" w:hAnsi="宋体" w:eastAsia="宋体" w:cs="宋体"/>
          <w:b w:val="0"/>
          <w:color w:val="auto"/>
          <w:sz w:val="21"/>
          <w:szCs w:val="21"/>
          <w:highlight w:val="none"/>
        </w:rPr>
        <w:t>14. 竣工结算</w:t>
      </w:r>
      <w:bookmarkEnd w:id="986"/>
    </w:p>
    <w:p w14:paraId="7C3D95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798278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16391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7C2A43A">
      <w:pPr>
        <w:snapToGrid w:val="0"/>
        <w:spacing w:line="360" w:lineRule="auto"/>
        <w:ind w:firstLine="420" w:firstLineChars="200"/>
        <w:outlineLvl w:val="0"/>
        <w:rPr>
          <w:rFonts w:ascii="宋体" w:hAnsi="宋体" w:cs="宋体"/>
          <w:color w:val="auto"/>
          <w:szCs w:val="21"/>
          <w:highlight w:val="none"/>
        </w:rPr>
      </w:pPr>
      <w:bookmarkStart w:id="987" w:name="_Toc26508"/>
      <w:r>
        <w:rPr>
          <w:rFonts w:hint="eastAsia" w:ascii="宋体" w:hAnsi="宋体" w:cs="宋体"/>
          <w:color w:val="auto"/>
          <w:szCs w:val="21"/>
          <w:highlight w:val="none"/>
        </w:rPr>
        <w:t>14.2 竣工结算审核</w:t>
      </w:r>
      <w:bookmarkEnd w:id="987"/>
    </w:p>
    <w:p w14:paraId="66170C4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2764EF8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0C58E12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033C7F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335E67E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18653CA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6782DA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 xml:space="preserve">。 </w:t>
      </w:r>
    </w:p>
    <w:p w14:paraId="1EC9EDF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4900658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F2252B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bookmarkEnd w:id="972"/>
    <w:bookmarkEnd w:id="973"/>
    <w:bookmarkEnd w:id="974"/>
    <w:bookmarkEnd w:id="975"/>
    <w:bookmarkEnd w:id="976"/>
    <w:bookmarkEnd w:id="977"/>
    <w:bookmarkEnd w:id="978"/>
    <w:bookmarkEnd w:id="984"/>
    <w:p w14:paraId="25F4F28B">
      <w:pPr>
        <w:pStyle w:val="5"/>
        <w:snapToGrid w:val="0"/>
        <w:spacing w:before="0" w:after="0" w:line="360" w:lineRule="auto"/>
        <w:rPr>
          <w:rFonts w:ascii="宋体" w:hAnsi="宋体" w:eastAsia="宋体" w:cs="宋体"/>
          <w:b w:val="0"/>
          <w:color w:val="auto"/>
          <w:sz w:val="21"/>
          <w:szCs w:val="21"/>
          <w:highlight w:val="none"/>
        </w:rPr>
      </w:pPr>
      <w:bookmarkStart w:id="988" w:name="_Toc351203647"/>
      <w:bookmarkStart w:id="989" w:name="_Toc267251483"/>
      <w:bookmarkStart w:id="990" w:name="_Toc267251484"/>
      <w:bookmarkStart w:id="991" w:name="_Toc267251482"/>
      <w:bookmarkStart w:id="992" w:name="_Toc267251485"/>
      <w:bookmarkStart w:id="993" w:name="_Toc267251488"/>
      <w:bookmarkStart w:id="994" w:name="_Toc267251490"/>
      <w:bookmarkStart w:id="995" w:name="_Toc267251486"/>
      <w:bookmarkStart w:id="996" w:name="_Toc267251489"/>
      <w:bookmarkStart w:id="997" w:name="_Toc267251491"/>
      <w:bookmarkStart w:id="998" w:name="_Toc267251503"/>
      <w:bookmarkStart w:id="999" w:name="_Toc267251492"/>
      <w:bookmarkStart w:id="1000" w:name="_Toc267251499"/>
      <w:bookmarkStart w:id="1001" w:name="_Toc267251493"/>
      <w:bookmarkStart w:id="1002" w:name="_Toc267251502"/>
      <w:bookmarkStart w:id="1003" w:name="_Toc267251497"/>
      <w:bookmarkStart w:id="1004" w:name="_Toc267251498"/>
      <w:bookmarkStart w:id="1005" w:name="_Toc267251494"/>
      <w:bookmarkStart w:id="1006" w:name="_Toc267251501"/>
      <w:bookmarkStart w:id="1007" w:name="_Toc267251496"/>
      <w:bookmarkStart w:id="1008" w:name="_Toc267251495"/>
      <w:bookmarkStart w:id="1009" w:name="_Toc267251506"/>
      <w:bookmarkStart w:id="1010" w:name="_Toc267251504"/>
      <w:bookmarkStart w:id="1011" w:name="_Toc267251507"/>
      <w:bookmarkStart w:id="1012" w:name="_Toc267251508"/>
      <w:bookmarkStart w:id="1013" w:name="_Toc267251515"/>
      <w:bookmarkStart w:id="1014" w:name="_Toc267251513"/>
      <w:bookmarkStart w:id="1015" w:name="_Toc267251511"/>
      <w:bookmarkStart w:id="1016" w:name="_Toc267251509"/>
      <w:bookmarkStart w:id="1017" w:name="_Toc267251510"/>
      <w:bookmarkStart w:id="1018" w:name="_Toc267251514"/>
      <w:r>
        <w:rPr>
          <w:rFonts w:hint="eastAsia" w:ascii="宋体" w:hAnsi="宋体" w:eastAsia="宋体" w:cs="宋体"/>
          <w:b w:val="0"/>
          <w:color w:val="auto"/>
          <w:sz w:val="21"/>
          <w:szCs w:val="21"/>
          <w:highlight w:val="none"/>
        </w:rPr>
        <w:t>15. 缺陷责任期与保修</w:t>
      </w:r>
      <w:bookmarkEnd w:id="988"/>
    </w:p>
    <w:p w14:paraId="6C8F1F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89"/>
    </w:p>
    <w:p w14:paraId="412394C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自本工程竣工验收合格之日起24个月</w:t>
      </w:r>
      <w:r>
        <w:rPr>
          <w:rFonts w:hint="eastAsia" w:ascii="宋体" w:hAnsi="宋体" w:cs="宋体"/>
          <w:color w:val="auto"/>
          <w:szCs w:val="21"/>
          <w:highlight w:val="none"/>
        </w:rPr>
        <w:t>。</w:t>
      </w:r>
    </w:p>
    <w:p w14:paraId="0550A903">
      <w:pPr>
        <w:snapToGrid w:val="0"/>
        <w:spacing w:line="360" w:lineRule="auto"/>
        <w:ind w:firstLine="420" w:firstLineChars="200"/>
        <w:outlineLvl w:val="0"/>
        <w:rPr>
          <w:rFonts w:ascii="宋体" w:hAnsi="宋体" w:cs="宋体"/>
          <w:color w:val="auto"/>
          <w:szCs w:val="21"/>
          <w:highlight w:val="none"/>
        </w:rPr>
      </w:pPr>
      <w:bookmarkStart w:id="1019" w:name="_Toc20009"/>
      <w:r>
        <w:rPr>
          <w:rFonts w:hint="eastAsia" w:ascii="宋体" w:hAnsi="宋体" w:cs="宋体"/>
          <w:color w:val="auto"/>
          <w:szCs w:val="21"/>
          <w:highlight w:val="none"/>
        </w:rPr>
        <w:t>15.3 质量保证金</w:t>
      </w:r>
      <w:bookmarkEnd w:id="1019"/>
    </w:p>
    <w:p w14:paraId="5A01B7B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不扣留</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3355D75A">
      <w:pPr>
        <w:snapToGrid w:val="0"/>
        <w:spacing w:line="360" w:lineRule="auto"/>
        <w:ind w:firstLine="420" w:firstLineChars="200"/>
        <w:jc w:val="left"/>
        <w:outlineLvl w:val="0"/>
        <w:rPr>
          <w:rFonts w:ascii="宋体" w:hAnsi="宋体" w:cs="宋体"/>
          <w:color w:val="auto"/>
          <w:szCs w:val="21"/>
          <w:highlight w:val="none"/>
        </w:rPr>
      </w:pPr>
      <w:bookmarkStart w:id="1020" w:name="_Toc30004"/>
      <w:r>
        <w:rPr>
          <w:rFonts w:hint="eastAsia" w:ascii="宋体" w:hAnsi="宋体" w:cs="宋体"/>
          <w:color w:val="auto"/>
          <w:szCs w:val="21"/>
          <w:highlight w:val="none"/>
        </w:rPr>
        <w:t>15.3.1 承包人提供质量保证金的方式</w:t>
      </w:r>
      <w:bookmarkEnd w:id="1020"/>
    </w:p>
    <w:p w14:paraId="276988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4A084A6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B3ECD2E">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0A1EC92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439D49C">
      <w:pPr>
        <w:snapToGrid w:val="0"/>
        <w:spacing w:line="360" w:lineRule="auto"/>
        <w:ind w:firstLine="420" w:firstLineChars="200"/>
        <w:jc w:val="left"/>
        <w:outlineLvl w:val="0"/>
        <w:rPr>
          <w:rFonts w:ascii="宋体" w:hAnsi="宋体" w:cs="宋体"/>
          <w:color w:val="auto"/>
          <w:szCs w:val="21"/>
          <w:highlight w:val="none"/>
        </w:rPr>
      </w:pPr>
      <w:bookmarkStart w:id="1021" w:name="_Toc23901"/>
      <w:r>
        <w:rPr>
          <w:rFonts w:hint="eastAsia" w:ascii="宋体" w:hAnsi="宋体" w:cs="宋体"/>
          <w:color w:val="auto"/>
          <w:szCs w:val="21"/>
          <w:highlight w:val="none"/>
        </w:rPr>
        <w:t>15.3.2 质量保证金的扣留</w:t>
      </w:r>
      <w:bookmarkEnd w:id="1021"/>
      <w:r>
        <w:rPr>
          <w:rFonts w:hint="eastAsia" w:ascii="宋体" w:hAnsi="宋体" w:cs="宋体"/>
          <w:color w:val="auto"/>
          <w:szCs w:val="21"/>
          <w:highlight w:val="none"/>
        </w:rPr>
        <w:t xml:space="preserve"> </w:t>
      </w:r>
    </w:p>
    <w:p w14:paraId="4DA000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48B07F68">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59A021C4">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bookmarkStart w:id="1022" w:name="_Toc826"/>
      <w:r>
        <w:rPr>
          <w:rFonts w:hint="eastAsia" w:ascii="宋体" w:hAnsi="宋体" w:cs="宋体"/>
          <w:color w:val="auto"/>
          <w:kern w:val="0"/>
          <w:szCs w:val="21"/>
          <w:highlight w:val="none"/>
        </w:rPr>
        <w:t>（2）工程竣工结算时一次性扣留质量保证金；</w:t>
      </w:r>
      <w:bookmarkEnd w:id="1022"/>
    </w:p>
    <w:p w14:paraId="603A07E9">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6B6BF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90"/>
    <w:bookmarkEnd w:id="991"/>
    <w:p w14:paraId="1EA787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92"/>
    <w:p w14:paraId="6AA3FCB1">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6D3EDB6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本项目保修期执行《建设工程质量管理条例》及浙江省、宁波市相关保修规定</w:t>
      </w:r>
      <w:r>
        <w:rPr>
          <w:rFonts w:hint="eastAsia" w:ascii="宋体" w:hAnsi="宋体" w:cs="宋体"/>
          <w:color w:val="auto"/>
          <w:kern w:val="0"/>
          <w:szCs w:val="21"/>
          <w:highlight w:val="none"/>
        </w:rPr>
        <w:t>。</w:t>
      </w:r>
    </w:p>
    <w:p w14:paraId="0C014EDF">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7AD1EE2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w:t>
      </w:r>
      <w:r>
        <w:rPr>
          <w:rFonts w:hint="eastAsia" w:ascii="宋体" w:hAnsi="宋体" w:cs="宋体"/>
          <w:color w:val="auto"/>
          <w:kern w:val="0"/>
          <w:szCs w:val="21"/>
          <w:highlight w:val="none"/>
          <w:u w:val="single"/>
          <w:lang w:val="en-US" w:eastAsia="zh-CN"/>
        </w:rPr>
        <w:t>由承包人承担</w:t>
      </w:r>
      <w:r>
        <w:rPr>
          <w:rFonts w:hint="eastAsia" w:ascii="宋体" w:hAnsi="宋体" w:cs="宋体"/>
          <w:color w:val="auto"/>
          <w:kern w:val="0"/>
          <w:szCs w:val="21"/>
          <w:highlight w:val="none"/>
          <w:u w:val="single"/>
        </w:rPr>
        <w:t>，并视具体情况追究承包方延误维修时间造成的直接损失</w:t>
      </w:r>
      <w:r>
        <w:rPr>
          <w:rFonts w:hint="eastAsia" w:ascii="宋体" w:hAnsi="宋体" w:cs="宋体"/>
          <w:color w:val="auto"/>
          <w:kern w:val="0"/>
          <w:szCs w:val="21"/>
          <w:highlight w:val="none"/>
        </w:rPr>
        <w:t>。</w:t>
      </w:r>
    </w:p>
    <w:bookmarkEnd w:id="993"/>
    <w:bookmarkEnd w:id="994"/>
    <w:bookmarkEnd w:id="995"/>
    <w:bookmarkEnd w:id="996"/>
    <w:p w14:paraId="790F5C7D">
      <w:pPr>
        <w:pStyle w:val="5"/>
        <w:snapToGrid w:val="0"/>
        <w:spacing w:before="0" w:after="0" w:line="360" w:lineRule="auto"/>
        <w:rPr>
          <w:rFonts w:ascii="宋体" w:hAnsi="宋体" w:eastAsia="宋体" w:cs="宋体"/>
          <w:b w:val="0"/>
          <w:color w:val="auto"/>
          <w:sz w:val="21"/>
          <w:szCs w:val="21"/>
          <w:highlight w:val="none"/>
        </w:rPr>
      </w:pPr>
      <w:bookmarkStart w:id="1023" w:name="_Toc351203648"/>
      <w:bookmarkStart w:id="1024" w:name="_Toc280868717"/>
      <w:bookmarkStart w:id="1025" w:name="_Toc280868718"/>
      <w:r>
        <w:rPr>
          <w:rFonts w:hint="eastAsia" w:ascii="宋体" w:hAnsi="宋体" w:eastAsia="宋体" w:cs="宋体"/>
          <w:b w:val="0"/>
          <w:color w:val="auto"/>
          <w:sz w:val="21"/>
          <w:szCs w:val="21"/>
          <w:highlight w:val="none"/>
        </w:rPr>
        <w:t>16. 违约</w:t>
      </w:r>
      <w:bookmarkEnd w:id="1023"/>
    </w:p>
    <w:p w14:paraId="1F357810">
      <w:pPr>
        <w:snapToGrid w:val="0"/>
        <w:spacing w:line="360" w:lineRule="auto"/>
        <w:ind w:firstLine="420" w:firstLineChars="200"/>
        <w:outlineLvl w:val="0"/>
        <w:rPr>
          <w:rFonts w:ascii="宋体" w:hAnsi="宋体" w:cs="宋体"/>
          <w:color w:val="auto"/>
          <w:szCs w:val="21"/>
          <w:highlight w:val="none"/>
        </w:rPr>
      </w:pPr>
      <w:bookmarkStart w:id="1026" w:name="_Toc21513"/>
      <w:r>
        <w:rPr>
          <w:rFonts w:hint="eastAsia" w:ascii="宋体" w:hAnsi="宋体" w:cs="宋体"/>
          <w:color w:val="auto"/>
          <w:szCs w:val="21"/>
          <w:highlight w:val="none"/>
        </w:rPr>
        <w:t>16.1 发包人违约</w:t>
      </w:r>
      <w:bookmarkEnd w:id="1026"/>
    </w:p>
    <w:p w14:paraId="2DA19DB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693577F3">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3E71B43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66B63E2F">
      <w:pPr>
        <w:snapToGrid w:val="0"/>
        <w:spacing w:line="360" w:lineRule="auto"/>
        <w:ind w:firstLine="420" w:firstLineChars="200"/>
        <w:outlineLvl w:val="0"/>
        <w:rPr>
          <w:rFonts w:ascii="宋体" w:hAnsi="宋体" w:cs="宋体"/>
          <w:color w:val="auto"/>
          <w:szCs w:val="21"/>
          <w:highlight w:val="none"/>
        </w:rPr>
      </w:pPr>
      <w:bookmarkStart w:id="1027" w:name="_Toc16922"/>
      <w:r>
        <w:rPr>
          <w:rFonts w:hint="eastAsia" w:ascii="宋体" w:hAnsi="宋体" w:cs="宋体"/>
          <w:color w:val="auto"/>
          <w:szCs w:val="21"/>
          <w:highlight w:val="none"/>
        </w:rPr>
        <w:t>16.2 承包人违约</w:t>
      </w:r>
      <w:bookmarkEnd w:id="1027"/>
    </w:p>
    <w:p w14:paraId="10D36C9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49D060A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703B2C3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11716607">
      <w:pPr>
        <w:snapToGrid w:val="0"/>
        <w:spacing w:line="360" w:lineRule="auto"/>
        <w:ind w:left="1050" w:leftChars="200" w:hanging="630" w:hangingChars="3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673FE0C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69A8BFC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4C98FBC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604F98B2">
      <w:pPr>
        <w:pStyle w:val="5"/>
        <w:snapToGrid w:val="0"/>
        <w:spacing w:before="0" w:after="0" w:line="360" w:lineRule="auto"/>
        <w:rPr>
          <w:rFonts w:ascii="宋体" w:hAnsi="宋体" w:eastAsia="宋体" w:cs="宋体"/>
          <w:b w:val="0"/>
          <w:color w:val="auto"/>
          <w:sz w:val="21"/>
          <w:szCs w:val="21"/>
          <w:highlight w:val="none"/>
        </w:rPr>
      </w:pPr>
      <w:bookmarkStart w:id="1028" w:name="_Toc351203649"/>
      <w:r>
        <w:rPr>
          <w:rFonts w:hint="eastAsia" w:ascii="宋体" w:hAnsi="宋体" w:eastAsia="宋体" w:cs="宋体"/>
          <w:b w:val="0"/>
          <w:color w:val="auto"/>
          <w:sz w:val="21"/>
          <w:szCs w:val="21"/>
          <w:highlight w:val="none"/>
        </w:rPr>
        <w:t>17. 不可抗力</w:t>
      </w:r>
      <w:bookmarkEnd w:id="1028"/>
      <w:r>
        <w:rPr>
          <w:rFonts w:hint="eastAsia" w:ascii="宋体" w:hAnsi="宋体" w:eastAsia="宋体" w:cs="宋体"/>
          <w:b w:val="0"/>
          <w:color w:val="auto"/>
          <w:sz w:val="21"/>
          <w:szCs w:val="21"/>
          <w:highlight w:val="none"/>
        </w:rPr>
        <w:t xml:space="preserve"> </w:t>
      </w:r>
      <w:bookmarkEnd w:id="1024"/>
    </w:p>
    <w:p w14:paraId="6E3C91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34D9F729">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bCs/>
          <w:color w:val="auto"/>
          <w:kern w:val="0"/>
          <w:highlight w:val="none"/>
          <w:u w:val="single"/>
        </w:rPr>
        <w:t>火灾、洪水、罢工、政府征用、政府禁止令等</w:t>
      </w:r>
      <w:r>
        <w:rPr>
          <w:rFonts w:hint="eastAsia" w:ascii="宋体" w:hAnsi="宋体" w:cs="宋体"/>
          <w:color w:val="auto"/>
          <w:kern w:val="0"/>
          <w:szCs w:val="21"/>
          <w:highlight w:val="none"/>
        </w:rPr>
        <w:t>。</w:t>
      </w:r>
    </w:p>
    <w:p w14:paraId="69C0CECC">
      <w:pPr>
        <w:snapToGrid w:val="0"/>
        <w:spacing w:line="360" w:lineRule="auto"/>
        <w:ind w:firstLine="420" w:firstLineChars="200"/>
        <w:outlineLvl w:val="0"/>
        <w:rPr>
          <w:rFonts w:ascii="宋体" w:hAnsi="宋体" w:cs="宋体"/>
          <w:color w:val="auto"/>
          <w:szCs w:val="21"/>
          <w:highlight w:val="none"/>
        </w:rPr>
      </w:pPr>
      <w:bookmarkStart w:id="1029" w:name="_Toc8029"/>
      <w:r>
        <w:rPr>
          <w:rFonts w:hint="eastAsia" w:ascii="宋体" w:hAnsi="宋体" w:cs="宋体"/>
          <w:color w:val="auto"/>
          <w:szCs w:val="21"/>
          <w:highlight w:val="none"/>
        </w:rPr>
        <w:t>17.4 因不可抗力解除合同</w:t>
      </w:r>
      <w:bookmarkEnd w:id="1029"/>
    </w:p>
    <w:p w14:paraId="74FF62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281B2B1C">
      <w:pPr>
        <w:pStyle w:val="5"/>
        <w:snapToGrid w:val="0"/>
        <w:spacing w:before="0" w:after="0" w:line="360" w:lineRule="auto"/>
        <w:rPr>
          <w:rFonts w:ascii="宋体" w:hAnsi="宋体" w:eastAsia="宋体" w:cs="宋体"/>
          <w:b w:val="0"/>
          <w:color w:val="auto"/>
          <w:sz w:val="21"/>
          <w:szCs w:val="21"/>
          <w:highlight w:val="none"/>
        </w:rPr>
      </w:pPr>
      <w:bookmarkStart w:id="1030" w:name="_Toc351203650"/>
      <w:r>
        <w:rPr>
          <w:rFonts w:hint="eastAsia" w:ascii="宋体" w:hAnsi="宋体" w:eastAsia="宋体" w:cs="宋体"/>
          <w:b w:val="0"/>
          <w:color w:val="auto"/>
          <w:sz w:val="21"/>
          <w:szCs w:val="21"/>
          <w:highlight w:val="none"/>
        </w:rPr>
        <w:t>18. 保险</w:t>
      </w:r>
      <w:bookmarkEnd w:id="1030"/>
    </w:p>
    <w:bookmarkEnd w:id="1025"/>
    <w:p w14:paraId="539694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1FB5A5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208AEC38">
      <w:pPr>
        <w:snapToGrid w:val="0"/>
        <w:spacing w:line="360" w:lineRule="auto"/>
        <w:ind w:firstLine="420" w:firstLineChars="200"/>
        <w:outlineLvl w:val="0"/>
        <w:rPr>
          <w:rFonts w:ascii="宋体" w:hAnsi="宋体" w:cs="宋体"/>
          <w:color w:val="auto"/>
          <w:szCs w:val="21"/>
          <w:highlight w:val="none"/>
        </w:rPr>
      </w:pPr>
      <w:bookmarkStart w:id="1031" w:name="_Toc30301"/>
      <w:r>
        <w:rPr>
          <w:rFonts w:hint="eastAsia" w:ascii="宋体" w:hAnsi="宋体" w:cs="宋体"/>
          <w:color w:val="auto"/>
          <w:szCs w:val="21"/>
          <w:highlight w:val="none"/>
        </w:rPr>
        <w:t>18.3 其他保险</w:t>
      </w:r>
      <w:bookmarkEnd w:id="1031"/>
    </w:p>
    <w:p w14:paraId="4D36978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2F3CE4F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0E4C6E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13192D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olor w:val="auto"/>
          <w:kern w:val="0"/>
          <w:szCs w:val="21"/>
          <w:highlight w:val="none"/>
          <w:u w:val="single"/>
        </w:rPr>
        <w:t>执行通用条款</w:t>
      </w:r>
      <w:r>
        <w:rPr>
          <w:rFonts w:hint="eastAsia" w:ascii="宋体" w:hAnsi="宋体" w:cs="宋体"/>
          <w:color w:val="auto"/>
          <w:szCs w:val="21"/>
          <w:highlight w:val="none"/>
        </w:rPr>
        <w:t>。</w:t>
      </w:r>
    </w:p>
    <w:bookmarkEnd w:id="997"/>
    <w:bookmarkEnd w:id="998"/>
    <w:bookmarkEnd w:id="999"/>
    <w:bookmarkEnd w:id="1000"/>
    <w:bookmarkEnd w:id="1001"/>
    <w:bookmarkEnd w:id="1002"/>
    <w:bookmarkEnd w:id="1003"/>
    <w:bookmarkEnd w:id="1004"/>
    <w:bookmarkEnd w:id="1005"/>
    <w:bookmarkEnd w:id="1006"/>
    <w:bookmarkEnd w:id="1007"/>
    <w:bookmarkEnd w:id="1008"/>
    <w:p w14:paraId="20D4BC3F">
      <w:pPr>
        <w:pStyle w:val="5"/>
        <w:snapToGrid w:val="0"/>
        <w:spacing w:before="0" w:after="0" w:line="360" w:lineRule="auto"/>
        <w:rPr>
          <w:rFonts w:ascii="宋体" w:hAnsi="宋体" w:eastAsia="宋体" w:cs="宋体"/>
          <w:b w:val="0"/>
          <w:color w:val="auto"/>
          <w:sz w:val="21"/>
          <w:szCs w:val="21"/>
          <w:highlight w:val="none"/>
        </w:rPr>
      </w:pPr>
      <w:bookmarkStart w:id="1032" w:name="_Toc351203651"/>
      <w:r>
        <w:rPr>
          <w:rFonts w:hint="eastAsia" w:ascii="宋体" w:hAnsi="宋体" w:eastAsia="宋体" w:cs="宋体"/>
          <w:b w:val="0"/>
          <w:color w:val="auto"/>
          <w:sz w:val="21"/>
          <w:szCs w:val="21"/>
          <w:highlight w:val="none"/>
        </w:rPr>
        <w:t>20. 争议解决</w:t>
      </w:r>
      <w:bookmarkEnd w:id="1032"/>
    </w:p>
    <w:bookmarkEnd w:id="1009"/>
    <w:bookmarkEnd w:id="1010"/>
    <w:p w14:paraId="584E1540">
      <w:pPr>
        <w:snapToGrid w:val="0"/>
        <w:spacing w:line="360" w:lineRule="auto"/>
        <w:ind w:firstLine="420" w:firstLineChars="200"/>
        <w:outlineLvl w:val="0"/>
        <w:rPr>
          <w:rFonts w:ascii="宋体" w:hAnsi="宋体" w:cs="宋体"/>
          <w:color w:val="auto"/>
          <w:szCs w:val="21"/>
          <w:highlight w:val="none"/>
        </w:rPr>
      </w:pPr>
      <w:bookmarkStart w:id="1033" w:name="_Toc13681"/>
      <w:r>
        <w:rPr>
          <w:rFonts w:hint="eastAsia" w:ascii="宋体" w:hAnsi="宋体" w:cs="宋体"/>
          <w:color w:val="auto"/>
          <w:szCs w:val="21"/>
          <w:highlight w:val="none"/>
        </w:rPr>
        <w:t>20.3 争</w:t>
      </w:r>
      <w:bookmarkEnd w:id="1011"/>
      <w:r>
        <w:rPr>
          <w:rFonts w:hint="eastAsia" w:ascii="宋体" w:hAnsi="宋体" w:cs="宋体"/>
          <w:color w:val="auto"/>
          <w:szCs w:val="21"/>
          <w:highlight w:val="none"/>
        </w:rPr>
        <w:t>议评审</w:t>
      </w:r>
      <w:bookmarkEnd w:id="1033"/>
    </w:p>
    <w:p w14:paraId="5427C1A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不同意</w:t>
      </w:r>
      <w:r>
        <w:rPr>
          <w:rFonts w:hint="eastAsia" w:ascii="宋体" w:hAnsi="宋体" w:cs="宋体"/>
          <w:color w:val="auto"/>
          <w:szCs w:val="21"/>
          <w:highlight w:val="none"/>
        </w:rPr>
        <w:t xml:space="preserve">。  </w:t>
      </w:r>
    </w:p>
    <w:p w14:paraId="06FA0565">
      <w:pPr>
        <w:snapToGrid w:val="0"/>
        <w:spacing w:line="360" w:lineRule="auto"/>
        <w:ind w:firstLine="420" w:firstLineChars="200"/>
        <w:outlineLvl w:val="0"/>
        <w:rPr>
          <w:rFonts w:ascii="宋体" w:hAnsi="宋体" w:cs="宋体"/>
          <w:color w:val="auto"/>
          <w:szCs w:val="21"/>
          <w:highlight w:val="none"/>
        </w:rPr>
      </w:pPr>
      <w:bookmarkStart w:id="1034" w:name="_Toc15019"/>
      <w:r>
        <w:rPr>
          <w:rFonts w:hint="eastAsia" w:ascii="宋体" w:hAnsi="宋体" w:cs="宋体"/>
          <w:color w:val="auto"/>
          <w:szCs w:val="21"/>
          <w:highlight w:val="none"/>
        </w:rPr>
        <w:t>20.4仲裁或诉讼</w:t>
      </w:r>
      <w:bookmarkEnd w:id="1012"/>
      <w:bookmarkEnd w:id="1034"/>
    </w:p>
    <w:p w14:paraId="22D66A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p>
    <w:p w14:paraId="1AD9771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lang w:val="en-US" w:eastAsia="zh-CN"/>
        </w:rPr>
        <w:t>宁波</w:t>
      </w:r>
      <w:r>
        <w:rPr>
          <w:rFonts w:hint="eastAsia" w:ascii="宋体" w:hAnsi="宋体" w:cs="宋体"/>
          <w:color w:val="auto"/>
          <w:szCs w:val="21"/>
          <w:highlight w:val="none"/>
        </w:rPr>
        <w:t>仲裁委员会申请仲裁；</w:t>
      </w:r>
    </w:p>
    <w:p w14:paraId="69062AA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lang w:val="en-US" w:eastAsia="zh-CN"/>
        </w:rPr>
        <w:t>宁波市鄞州区</w:t>
      </w:r>
      <w:r>
        <w:rPr>
          <w:rFonts w:hint="eastAsia" w:ascii="宋体" w:hAnsi="宋体" w:cs="宋体"/>
          <w:color w:val="auto"/>
          <w:szCs w:val="21"/>
          <w:highlight w:val="none"/>
        </w:rPr>
        <w:t>人民法院起诉。</w:t>
      </w:r>
      <w:bookmarkEnd w:id="1013"/>
      <w:bookmarkEnd w:id="1014"/>
      <w:bookmarkEnd w:id="1015"/>
      <w:bookmarkEnd w:id="1016"/>
      <w:bookmarkEnd w:id="1017"/>
      <w:bookmarkEnd w:id="1018"/>
    </w:p>
    <w:p w14:paraId="2DBA6704">
      <w:pPr>
        <w:snapToGrid w:val="0"/>
        <w:spacing w:line="360" w:lineRule="auto"/>
        <w:ind w:firstLine="482"/>
        <w:rPr>
          <w:rFonts w:ascii="宋体" w:hAnsi="宋体"/>
          <w:color w:val="auto"/>
          <w:sz w:val="18"/>
          <w:szCs w:val="21"/>
          <w:highlight w:val="none"/>
        </w:rPr>
      </w:pPr>
      <w:r>
        <w:rPr>
          <w:rFonts w:hint="eastAsia" w:ascii="宋体" w:hAnsi="宋体"/>
          <w:b/>
          <w:color w:val="auto"/>
          <w:sz w:val="18"/>
          <w:szCs w:val="21"/>
          <w:highlight w:val="none"/>
        </w:rPr>
        <w:t>附件：</w:t>
      </w:r>
    </w:p>
    <w:p w14:paraId="23361FAB">
      <w:pPr>
        <w:adjustRightInd/>
        <w:snapToGrid w:val="0"/>
        <w:spacing w:line="360" w:lineRule="auto"/>
        <w:ind w:firstLine="371" w:firstLineChars="177"/>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附件1：工程质量保修书</w:t>
      </w:r>
    </w:p>
    <w:p w14:paraId="5138FFAD">
      <w:pPr>
        <w:adjustRightInd/>
        <w:snapToGrid w:val="0"/>
        <w:spacing w:line="360" w:lineRule="auto"/>
        <w:ind w:firstLine="371" w:firstLineChars="177"/>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附件2：廉政合同</w:t>
      </w:r>
    </w:p>
    <w:p w14:paraId="77C7C4C8">
      <w:pPr>
        <w:adjustRightInd/>
        <w:ind w:firstLine="371" w:firstLineChars="177"/>
        <w:jc w:val="left"/>
        <w:rPr>
          <w:rFonts w:ascii="宋体" w:hAnsi="宋体"/>
          <w:snapToGrid w:val="0"/>
          <w:color w:val="auto"/>
          <w:kern w:val="0"/>
          <w:szCs w:val="21"/>
          <w:highlight w:val="none"/>
        </w:rPr>
      </w:pPr>
    </w:p>
    <w:p w14:paraId="5A6A0560">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1035" w:name="_Toc249091536"/>
      <w:bookmarkStart w:id="1036" w:name="_Toc534620509"/>
      <w:r>
        <w:rPr>
          <w:rFonts w:hint="eastAsia" w:ascii="宋体" w:hAnsi="宋体"/>
          <w:b/>
          <w:bCs/>
          <w:color w:val="auto"/>
          <w:sz w:val="21"/>
          <w:szCs w:val="21"/>
          <w:highlight w:val="none"/>
        </w:rPr>
        <w:t>附件1:</w:t>
      </w:r>
    </w:p>
    <w:bookmarkEnd w:id="1035"/>
    <w:bookmarkEnd w:id="1036"/>
    <w:p w14:paraId="5F8F6CA5">
      <w:pPr>
        <w:widowControl/>
        <w:snapToGrid w:val="0"/>
        <w:spacing w:afterLines="50" w:line="360" w:lineRule="auto"/>
        <w:jc w:val="center"/>
        <w:rPr>
          <w:rFonts w:hint="eastAsia" w:ascii="宋体" w:hAnsi="宋体" w:eastAsia="宋体" w:cs="宋体"/>
          <w:b/>
          <w:sz w:val="24"/>
        </w:rPr>
      </w:pPr>
      <w:r>
        <w:rPr>
          <w:rFonts w:hint="eastAsia" w:ascii="宋体" w:hAnsi="宋体" w:eastAsia="宋体" w:cs="宋体"/>
          <w:b/>
          <w:sz w:val="24"/>
        </w:rPr>
        <w:t>工程质量保修书</w:t>
      </w:r>
    </w:p>
    <w:p w14:paraId="1D515EEF">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1037" w:name="SOA_zyht_zlbx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44319B7">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1038" w:name="SOA_zyht_zlbxcbr"/>
      <w:r>
        <w:rPr>
          <w:rFonts w:ascii="宋体" w:hAnsi="宋体"/>
          <w:snapToGrid w:val="0"/>
          <w:color w:val="auto"/>
          <w:kern w:val="0"/>
          <w:szCs w:val="21"/>
          <w:highlight w:val="none"/>
          <w:u w:val="single"/>
        </w:rPr>
        <w:t xml:space="preserve"> </w:t>
      </w:r>
      <w:bookmarkEnd w:id="1038"/>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18C6109">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39"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9"/>
      <w:r>
        <w:rPr>
          <w:rFonts w:ascii="宋体" w:hAnsi="宋体"/>
          <w:snapToGrid w:val="0"/>
          <w:color w:val="auto"/>
          <w:kern w:val="0"/>
          <w:szCs w:val="21"/>
          <w:highlight w:val="none"/>
          <w:u w:val="single"/>
        </w:rPr>
        <w:t xml:space="preserve">   （工程全称）</w:t>
      </w:r>
      <w:r>
        <w:rPr>
          <w:rFonts w:ascii="宋体" w:hAnsi="宋体"/>
          <w:snapToGrid w:val="0"/>
          <w:color w:val="auto"/>
          <w:kern w:val="0"/>
          <w:szCs w:val="21"/>
          <w:highlight w:val="none"/>
        </w:rPr>
        <w:t>签订工程质量保修书。</w:t>
      </w:r>
    </w:p>
    <w:p w14:paraId="364A449F">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35224DD9">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70A65DED">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1040" w:name="SOA_zyht_gczlbxfw"/>
      <w:r>
        <w:rPr>
          <w:rFonts w:hint="eastAsia" w:ascii="宋体" w:hAnsi="宋体"/>
          <w:snapToGrid w:val="0"/>
          <w:color w:val="auto"/>
          <w:kern w:val="0"/>
          <w:szCs w:val="21"/>
          <w:highlight w:val="none"/>
          <w:u w:val="single"/>
        </w:rPr>
        <w:t>双方约定对施工承包范围内的所有内容实行保修</w:t>
      </w:r>
      <w:bookmarkEnd w:id="1040"/>
      <w:r>
        <w:rPr>
          <w:rFonts w:ascii="宋体" w:hAnsi="宋体"/>
          <w:snapToGrid w:val="0"/>
          <w:color w:val="auto"/>
          <w:kern w:val="0"/>
          <w:szCs w:val="21"/>
          <w:highlight w:val="none"/>
        </w:rPr>
        <w:t>。</w:t>
      </w:r>
    </w:p>
    <w:p w14:paraId="6F98632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55D13D0">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0B6FFCA1">
      <w:pPr>
        <w:adjustRightInd/>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4C1F0649">
      <w:pPr>
        <w:adjustRightInd/>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355439D8">
      <w:pPr>
        <w:adjustRightInd/>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6DDAF6E">
      <w:pPr>
        <w:adjustRightInd/>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41" w:name="SOA_zyht_azbxnx"/>
      <w:r>
        <w:rPr>
          <w:rFonts w:ascii="宋体" w:hAnsi="宋体"/>
          <w:snapToGrid w:val="0"/>
          <w:color w:val="auto"/>
          <w:kern w:val="0"/>
          <w:szCs w:val="21"/>
          <w:highlight w:val="none"/>
          <w:u w:val="single"/>
        </w:rPr>
        <w:t xml:space="preserve"> </w:t>
      </w:r>
      <w:bookmarkEnd w:id="1041"/>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ACA1A27">
      <w:pPr>
        <w:adjustRightInd/>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42"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42"/>
      <w:r>
        <w:rPr>
          <w:rFonts w:ascii="宋体" w:hAnsi="宋体"/>
          <w:snapToGrid w:val="0"/>
          <w:color w:val="auto"/>
          <w:kern w:val="0"/>
          <w:szCs w:val="21"/>
          <w:highlight w:val="none"/>
        </w:rPr>
        <w:t>个采暖期、供冷期；</w:t>
      </w:r>
    </w:p>
    <w:p w14:paraId="3D1E8769">
      <w:pPr>
        <w:adjustRightInd/>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3FCA064C">
      <w:pPr>
        <w:adjustRightInd/>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7D7D875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50D45D18">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60C2A416">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43"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bookmarkEnd w:id="1043"/>
      <w:r>
        <w:rPr>
          <w:rFonts w:ascii="宋体" w:hAnsi="宋体"/>
          <w:snapToGrid w:val="0"/>
          <w:color w:val="auto"/>
          <w:kern w:val="0"/>
          <w:szCs w:val="21"/>
          <w:highlight w:val="none"/>
        </w:rPr>
        <w:t>个月，</w:t>
      </w:r>
      <w:r>
        <w:rPr>
          <w:rFonts w:ascii="宋体" w:hAnsi="宋体"/>
          <w:snapToGrid w:val="0"/>
          <w:color w:val="auto"/>
          <w:kern w:val="0"/>
          <w:szCs w:val="21"/>
          <w:highlight w:val="none"/>
        </w:rPr>
        <w:t>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1B1BC18E">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24C1A05B">
      <w:pPr>
        <w:adjustRightInd/>
        <w:spacing w:line="36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10E195B4">
      <w:pPr>
        <w:adjustRightInd/>
        <w:spacing w:line="36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19F0E7DF">
      <w:pPr>
        <w:adjustRightInd/>
        <w:spacing w:line="36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50EA63E">
      <w:pPr>
        <w:adjustRightInd/>
        <w:spacing w:line="36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2C7BFD5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2E198490">
      <w:pPr>
        <w:adjustRightInd/>
        <w:spacing w:line="36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6B8ABDE2">
      <w:pPr>
        <w:adjustRightInd/>
        <w:spacing w:line="360" w:lineRule="auto"/>
        <w:jc w:val="left"/>
        <w:rPr>
          <w:rFonts w:ascii="宋体" w:hAnsi="宋体"/>
          <w:snapToGrid w:val="0"/>
          <w:color w:val="auto"/>
          <w:kern w:val="0"/>
          <w:szCs w:val="21"/>
          <w:highlight w:val="none"/>
        </w:rPr>
      </w:pPr>
      <w:r>
        <w:rPr>
          <w:rFonts w:ascii="宋体" w:hAnsi="宋体"/>
          <w:b w:val="0"/>
          <w:bCs/>
          <w:snapToGrid w:val="0"/>
          <w:color w:val="auto"/>
          <w:kern w:val="0"/>
          <w:szCs w:val="21"/>
          <w:highlight w:val="none"/>
        </w:rPr>
        <w:t>六、双</w:t>
      </w:r>
      <w:r>
        <w:rPr>
          <w:rFonts w:ascii="宋体" w:hAnsi="宋体"/>
          <w:snapToGrid w:val="0"/>
          <w:color w:val="auto"/>
          <w:kern w:val="0"/>
          <w:szCs w:val="21"/>
          <w:highlight w:val="none"/>
        </w:rPr>
        <w:t>方约定的其他工程质量保修事项：</w:t>
      </w: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w:t>
      </w:r>
      <w:r>
        <w:rPr>
          <w:rFonts w:hint="eastAsia" w:ascii="宋体" w:hAnsi="宋体"/>
          <w:snapToGrid w:val="0"/>
          <w:color w:val="auto"/>
          <w:kern w:val="0"/>
          <w:szCs w:val="21"/>
          <w:highlight w:val="none"/>
          <w:u w:val="single"/>
          <w:lang w:val="en-US" w:eastAsia="zh-CN"/>
        </w:rPr>
        <w:t>由</w:t>
      </w:r>
      <w:r>
        <w:rPr>
          <w:rFonts w:hint="eastAsia" w:ascii="宋体" w:hAnsi="宋体"/>
          <w:snapToGrid w:val="0"/>
          <w:color w:val="auto"/>
          <w:kern w:val="0"/>
          <w:szCs w:val="21"/>
          <w:highlight w:val="none"/>
          <w:u w:val="single"/>
        </w:rPr>
        <w:t>乙方</w:t>
      </w:r>
      <w:r>
        <w:rPr>
          <w:rFonts w:hint="eastAsia" w:ascii="宋体" w:hAnsi="宋体"/>
          <w:snapToGrid w:val="0"/>
          <w:color w:val="auto"/>
          <w:kern w:val="0"/>
          <w:szCs w:val="21"/>
          <w:highlight w:val="none"/>
          <w:u w:val="single"/>
          <w:lang w:val="en-US" w:eastAsia="zh-CN"/>
        </w:rPr>
        <w:t>支付</w:t>
      </w:r>
      <w:r>
        <w:rPr>
          <w:rFonts w:hint="eastAsia" w:ascii="宋体" w:hAnsi="宋体"/>
          <w:snapToGrid w:val="0"/>
          <w:color w:val="auto"/>
          <w:kern w:val="0"/>
          <w:szCs w:val="21"/>
          <w:highlight w:val="none"/>
          <w:u w:val="single"/>
        </w:rPr>
        <w:t>，同时乙方将承担因维修延误给甲方造成的一切损失</w:t>
      </w:r>
      <w:r>
        <w:rPr>
          <w:rFonts w:ascii="宋体" w:hAnsi="宋体"/>
          <w:snapToGrid w:val="0"/>
          <w:color w:val="auto"/>
          <w:kern w:val="0"/>
          <w:szCs w:val="21"/>
          <w:highlight w:val="none"/>
        </w:rPr>
        <w:t>。</w:t>
      </w:r>
    </w:p>
    <w:p w14:paraId="04F9462E">
      <w:pPr>
        <w:adjustRightInd/>
        <w:spacing w:line="36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73DC4E9B">
      <w:pPr>
        <w:adjustRightInd/>
        <w:spacing w:line="360" w:lineRule="auto"/>
        <w:rPr>
          <w:rFonts w:ascii="宋体" w:hAnsi="宋体"/>
          <w:snapToGrid w:val="0"/>
          <w:color w:val="auto"/>
          <w:kern w:val="0"/>
          <w:szCs w:val="21"/>
          <w:highlight w:val="none"/>
        </w:rPr>
      </w:pPr>
    </w:p>
    <w:p w14:paraId="4F0EBACA">
      <w:pPr>
        <w:adjustRightInd/>
        <w:spacing w:line="360" w:lineRule="auto"/>
        <w:rPr>
          <w:rFonts w:ascii="宋体" w:hAnsi="宋体"/>
          <w:snapToGrid w:val="0"/>
          <w:color w:val="auto"/>
          <w:kern w:val="0"/>
          <w:szCs w:val="21"/>
          <w:highlight w:val="none"/>
        </w:rPr>
      </w:pPr>
    </w:p>
    <w:p w14:paraId="0D34FB62">
      <w:pPr>
        <w:adjustRightInd/>
        <w:spacing w:line="360" w:lineRule="auto"/>
        <w:rPr>
          <w:rFonts w:ascii="宋体" w:hAnsi="宋体"/>
          <w:snapToGrid w:val="0"/>
          <w:color w:val="auto"/>
          <w:kern w:val="0"/>
          <w:szCs w:val="21"/>
          <w:highlight w:val="none"/>
        </w:rPr>
      </w:pPr>
    </w:p>
    <w:p w14:paraId="229CE575">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44"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4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45"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45"/>
      <w:r>
        <w:rPr>
          <w:rFonts w:hint="eastAsia" w:ascii="宋体" w:hAnsi="宋体"/>
          <w:snapToGrid w:val="0"/>
          <w:color w:val="auto"/>
          <w:kern w:val="0"/>
          <w:szCs w:val="21"/>
          <w:highlight w:val="none"/>
          <w:u w:val="single"/>
        </w:rPr>
        <w:t xml:space="preserve">  </w:t>
      </w:r>
    </w:p>
    <w:p w14:paraId="724156B5">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46"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4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47" w:name="SOA_zyht_cbrdz"/>
      <w:r>
        <w:rPr>
          <w:rFonts w:ascii="宋体" w:hAnsi="宋体"/>
          <w:snapToGrid w:val="0"/>
          <w:color w:val="auto"/>
          <w:kern w:val="0"/>
          <w:szCs w:val="21"/>
          <w:highlight w:val="none"/>
          <w:u w:val="single"/>
        </w:rPr>
        <w:t xml:space="preserve">      </w:t>
      </w:r>
      <w:bookmarkEnd w:id="1047"/>
      <w:r>
        <w:rPr>
          <w:rFonts w:ascii="宋体" w:hAnsi="宋体"/>
          <w:snapToGrid w:val="0"/>
          <w:color w:val="auto"/>
          <w:kern w:val="0"/>
          <w:szCs w:val="21"/>
          <w:highlight w:val="none"/>
          <w:u w:val="single"/>
        </w:rPr>
        <w:t></w:t>
      </w:r>
    </w:p>
    <w:p w14:paraId="2FFF47E7">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48" w:name="SOA_zyht_fddbr1"/>
      <w:r>
        <w:rPr>
          <w:rFonts w:ascii="宋体" w:hAnsi="宋体"/>
          <w:snapToGrid w:val="0"/>
          <w:color w:val="auto"/>
          <w:kern w:val="0"/>
          <w:szCs w:val="21"/>
          <w:highlight w:val="none"/>
          <w:u w:val="single"/>
        </w:rPr>
        <w:t xml:space="preserve">      </w:t>
      </w:r>
      <w:bookmarkEnd w:id="1048"/>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49" w:name="SOA_zyht_fddbr2"/>
      <w:r>
        <w:rPr>
          <w:rFonts w:ascii="宋体" w:hAnsi="宋体"/>
          <w:snapToGrid w:val="0"/>
          <w:color w:val="auto"/>
          <w:kern w:val="0"/>
          <w:szCs w:val="21"/>
          <w:highlight w:val="none"/>
          <w:u w:val="single"/>
        </w:rPr>
        <w:t xml:space="preserve">      </w:t>
      </w:r>
      <w:bookmarkEnd w:id="1049"/>
      <w:r>
        <w:rPr>
          <w:rFonts w:hint="eastAsia" w:ascii="宋体" w:hAnsi="宋体"/>
          <w:snapToGrid w:val="0"/>
          <w:color w:val="auto"/>
          <w:kern w:val="0"/>
          <w:szCs w:val="21"/>
          <w:highlight w:val="none"/>
          <w:u w:val="single"/>
        </w:rPr>
        <w:t xml:space="preserve">  </w:t>
      </w:r>
    </w:p>
    <w:p w14:paraId="3A5E9B14">
      <w:pPr>
        <w:adjustRightInd/>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或</w:t>
      </w:r>
      <w:r>
        <w:rPr>
          <w:rFonts w:ascii="宋体" w:hAnsi="宋体"/>
          <w:snapToGrid w:val="0"/>
          <w:color w:val="auto"/>
          <w:kern w:val="0"/>
          <w:szCs w:val="21"/>
          <w:highlight w:val="none"/>
        </w:rPr>
        <w:t>委托代理人(签字)：</w:t>
      </w:r>
      <w:bookmarkStart w:id="1050" w:name="SOA_zyht_wtdlr1"/>
      <w:r>
        <w:rPr>
          <w:rFonts w:ascii="宋体" w:hAnsi="宋体"/>
          <w:snapToGrid w:val="0"/>
          <w:color w:val="auto"/>
          <w:kern w:val="0"/>
          <w:szCs w:val="21"/>
          <w:highlight w:val="none"/>
          <w:u w:val="single"/>
        </w:rPr>
        <w:t xml:space="preserve">      </w:t>
      </w:r>
      <w:bookmarkEnd w:id="1050"/>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或</w:t>
      </w:r>
      <w:r>
        <w:rPr>
          <w:rFonts w:ascii="宋体" w:hAnsi="宋体"/>
          <w:snapToGrid w:val="0"/>
          <w:color w:val="auto"/>
          <w:kern w:val="0"/>
          <w:szCs w:val="21"/>
          <w:highlight w:val="none"/>
        </w:rPr>
        <w:t>委托代理人(签字)：</w:t>
      </w:r>
      <w:bookmarkStart w:id="1051" w:name="SOA_zyht_wtdlr2"/>
      <w:r>
        <w:rPr>
          <w:rFonts w:ascii="宋体" w:hAnsi="宋体"/>
          <w:snapToGrid w:val="0"/>
          <w:color w:val="auto"/>
          <w:kern w:val="0"/>
          <w:szCs w:val="21"/>
          <w:highlight w:val="none"/>
          <w:u w:val="single"/>
        </w:rPr>
        <w:t xml:space="preserve">      </w:t>
      </w:r>
      <w:bookmarkEnd w:id="1051"/>
      <w:r>
        <w:rPr>
          <w:rFonts w:hint="eastAsia" w:ascii="宋体" w:hAnsi="宋体"/>
          <w:snapToGrid w:val="0"/>
          <w:color w:val="auto"/>
          <w:kern w:val="0"/>
          <w:szCs w:val="21"/>
          <w:highlight w:val="none"/>
          <w:u w:val="single"/>
        </w:rPr>
        <w:t xml:space="preserve">  </w:t>
      </w:r>
    </w:p>
    <w:p w14:paraId="66F2ADFF">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52" w:name="SOA_zyht_fbrdh1"/>
      <w:r>
        <w:rPr>
          <w:rFonts w:ascii="宋体" w:hAnsi="宋体"/>
          <w:snapToGrid w:val="0"/>
          <w:color w:val="auto"/>
          <w:kern w:val="0"/>
          <w:szCs w:val="21"/>
          <w:highlight w:val="none"/>
          <w:u w:val="single"/>
        </w:rPr>
        <w:t xml:space="preserve">      </w:t>
      </w:r>
      <w:bookmarkEnd w:id="1052"/>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53" w:name="SOA_zyht_cbrdh"/>
      <w:r>
        <w:rPr>
          <w:rFonts w:ascii="宋体" w:hAnsi="宋体"/>
          <w:snapToGrid w:val="0"/>
          <w:color w:val="auto"/>
          <w:kern w:val="0"/>
          <w:szCs w:val="21"/>
          <w:highlight w:val="none"/>
          <w:u w:val="single"/>
        </w:rPr>
        <w:t xml:space="preserve">      </w:t>
      </w:r>
      <w:bookmarkEnd w:id="1053"/>
      <w:r>
        <w:rPr>
          <w:rFonts w:ascii="宋体" w:hAnsi="宋体"/>
          <w:snapToGrid w:val="0"/>
          <w:color w:val="auto"/>
          <w:kern w:val="0"/>
          <w:szCs w:val="21"/>
          <w:highlight w:val="none"/>
          <w:u w:val="single"/>
        </w:rPr>
        <w:t xml:space="preserve"> </w:t>
      </w:r>
    </w:p>
    <w:p w14:paraId="485EB5D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54" w:name="SOA_zyht_fbrcz"/>
      <w:r>
        <w:rPr>
          <w:rFonts w:ascii="宋体" w:hAnsi="宋体"/>
          <w:snapToGrid w:val="0"/>
          <w:color w:val="auto"/>
          <w:kern w:val="0"/>
          <w:szCs w:val="21"/>
          <w:highlight w:val="none"/>
          <w:u w:val="single"/>
        </w:rPr>
        <w:t xml:space="preserve">      </w:t>
      </w:r>
      <w:bookmarkEnd w:id="105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55" w:name="SOA_zyht_cbrcz"/>
      <w:r>
        <w:rPr>
          <w:rFonts w:ascii="宋体" w:hAnsi="宋体"/>
          <w:snapToGrid w:val="0"/>
          <w:color w:val="auto"/>
          <w:kern w:val="0"/>
          <w:szCs w:val="21"/>
          <w:highlight w:val="none"/>
          <w:u w:val="single"/>
        </w:rPr>
        <w:t xml:space="preserve">      </w:t>
      </w:r>
      <w:bookmarkEnd w:id="105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3BEFB368">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56" w:name="SOA_zyht_fbrkhyh"/>
      <w:r>
        <w:rPr>
          <w:rFonts w:ascii="宋体" w:hAnsi="宋体"/>
          <w:snapToGrid w:val="0"/>
          <w:color w:val="auto"/>
          <w:kern w:val="0"/>
          <w:szCs w:val="21"/>
          <w:highlight w:val="none"/>
          <w:u w:val="single"/>
        </w:rPr>
        <w:t xml:space="preserve">      </w:t>
      </w:r>
      <w:bookmarkEnd w:id="105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57" w:name="SOA_zyht_cbrkhyh"/>
      <w:r>
        <w:rPr>
          <w:rFonts w:ascii="宋体" w:hAnsi="宋体"/>
          <w:snapToGrid w:val="0"/>
          <w:color w:val="auto"/>
          <w:kern w:val="0"/>
          <w:szCs w:val="21"/>
          <w:highlight w:val="none"/>
          <w:u w:val="single"/>
        </w:rPr>
        <w:t xml:space="preserve">      </w:t>
      </w:r>
      <w:bookmarkEnd w:id="1057"/>
      <w:r>
        <w:rPr>
          <w:rFonts w:hint="eastAsia" w:ascii="宋体" w:hAnsi="宋体"/>
          <w:snapToGrid w:val="0"/>
          <w:color w:val="auto"/>
          <w:kern w:val="0"/>
          <w:szCs w:val="21"/>
          <w:highlight w:val="none"/>
          <w:u w:val="single"/>
        </w:rPr>
        <w:t xml:space="preserve">  </w:t>
      </w:r>
    </w:p>
    <w:p w14:paraId="6857DABF">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58" w:name="SOA_zyht_fbrzh"/>
      <w:r>
        <w:rPr>
          <w:rFonts w:ascii="宋体" w:hAnsi="宋体"/>
          <w:snapToGrid w:val="0"/>
          <w:color w:val="auto"/>
          <w:kern w:val="0"/>
          <w:szCs w:val="21"/>
          <w:highlight w:val="none"/>
          <w:u w:val="single"/>
        </w:rPr>
        <w:t xml:space="preserve">      </w:t>
      </w:r>
      <w:bookmarkEnd w:id="1058"/>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59" w:name="SOA_zyht_cbrzh"/>
      <w:r>
        <w:rPr>
          <w:rFonts w:ascii="宋体" w:hAnsi="宋体"/>
          <w:snapToGrid w:val="0"/>
          <w:color w:val="auto"/>
          <w:kern w:val="0"/>
          <w:szCs w:val="21"/>
          <w:highlight w:val="none"/>
          <w:u w:val="single"/>
        </w:rPr>
        <w:t xml:space="preserve">      </w:t>
      </w:r>
      <w:bookmarkEnd w:id="1059"/>
      <w:r>
        <w:rPr>
          <w:rFonts w:hint="eastAsia" w:ascii="宋体" w:hAnsi="宋体"/>
          <w:snapToGrid w:val="0"/>
          <w:color w:val="auto"/>
          <w:kern w:val="0"/>
          <w:szCs w:val="21"/>
          <w:highlight w:val="none"/>
          <w:u w:val="single"/>
        </w:rPr>
        <w:t xml:space="preserve">  </w:t>
      </w:r>
    </w:p>
    <w:p w14:paraId="339FE4B4">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60" w:name="SOA_zyht_fbryb"/>
      <w:r>
        <w:rPr>
          <w:rFonts w:ascii="宋体" w:hAnsi="宋体"/>
          <w:snapToGrid w:val="0"/>
          <w:color w:val="auto"/>
          <w:kern w:val="0"/>
          <w:szCs w:val="21"/>
          <w:highlight w:val="none"/>
          <w:u w:val="single"/>
        </w:rPr>
        <w:t xml:space="preserve">      </w:t>
      </w:r>
      <w:bookmarkEnd w:id="1060"/>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61" w:name="SOA_zyht_cbryb"/>
      <w:r>
        <w:rPr>
          <w:rFonts w:ascii="宋体" w:hAnsi="宋体"/>
          <w:snapToGrid w:val="0"/>
          <w:color w:val="auto"/>
          <w:kern w:val="0"/>
          <w:szCs w:val="21"/>
          <w:highlight w:val="none"/>
          <w:u w:val="single"/>
        </w:rPr>
        <w:t xml:space="preserve">     </w:t>
      </w:r>
      <w:bookmarkEnd w:id="106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C6A28DF">
      <w:pPr>
        <w:spacing w:line="480" w:lineRule="auto"/>
        <w:jc w:val="center"/>
        <w:rPr>
          <w:rFonts w:ascii="宋体" w:hAnsi="宋体" w:cs="宋体"/>
          <w:b/>
          <w:color w:val="auto"/>
          <w:sz w:val="28"/>
          <w:szCs w:val="28"/>
          <w:highlight w:val="none"/>
        </w:rPr>
      </w:pPr>
    </w:p>
    <w:p w14:paraId="667E10A2">
      <w:pPr>
        <w:spacing w:line="360" w:lineRule="auto"/>
        <w:ind w:left="-420" w:leftChars="-200" w:right="-420" w:rightChars="-200" w:firstLine="480" w:firstLineChars="200"/>
        <w:jc w:val="center"/>
        <w:outlineLvl w:val="0"/>
        <w:rPr>
          <w:rFonts w:ascii="宋体" w:hAnsi="宋体" w:cs="宋体"/>
          <w:color w:val="auto"/>
          <w:sz w:val="24"/>
          <w:highlight w:val="none"/>
        </w:rPr>
      </w:pPr>
    </w:p>
    <w:p w14:paraId="6FA5C2E5">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E84816A">
      <w:pPr>
        <w:widowControl/>
        <w:snapToGrid w:val="0"/>
        <w:spacing w:afterLines="50" w:line="360" w:lineRule="auto"/>
        <w:jc w:val="left"/>
        <w:rPr>
          <w:rFonts w:hint="eastAsia" w:ascii="宋体" w:hAnsi="宋体"/>
          <w:b/>
          <w:bCs/>
          <w:color w:val="auto"/>
          <w:sz w:val="21"/>
          <w:szCs w:val="21"/>
          <w:highlight w:val="none"/>
        </w:rPr>
      </w:pPr>
      <w:bookmarkStart w:id="1062" w:name="_Toc30607"/>
      <w:r>
        <w:rPr>
          <w:rFonts w:hint="eastAsia" w:ascii="宋体" w:hAnsi="宋体"/>
          <w:b/>
          <w:bCs/>
          <w:color w:val="auto"/>
          <w:sz w:val="21"/>
          <w:szCs w:val="21"/>
          <w:highlight w:val="none"/>
        </w:rPr>
        <w:t>附件</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w:t>
      </w:r>
    </w:p>
    <w:p w14:paraId="382D8F3B">
      <w:pPr>
        <w:widowControl/>
        <w:snapToGrid w:val="0"/>
        <w:spacing w:afterLines="50" w:line="360" w:lineRule="auto"/>
        <w:jc w:val="center"/>
        <w:rPr>
          <w:rFonts w:ascii="宋体" w:hAnsi="宋体" w:cs="宋体"/>
          <w:b/>
          <w:sz w:val="24"/>
        </w:rPr>
      </w:pPr>
      <w:r>
        <w:rPr>
          <w:rFonts w:hint="eastAsia" w:ascii="宋体" w:hAnsi="宋体" w:cs="宋体"/>
          <w:b/>
          <w:sz w:val="24"/>
        </w:rPr>
        <w:t>廉政合同</w:t>
      </w:r>
    </w:p>
    <w:p w14:paraId="626C9D25">
      <w:pPr>
        <w:adjustRightInd/>
        <w:spacing w:line="360" w:lineRule="auto"/>
        <w:ind w:firstLine="420" w:firstLineChars="200"/>
        <w:rPr>
          <w:rFonts w:ascii="宋体" w:hAnsi="宋体" w:cs="宋体"/>
          <w:szCs w:val="21"/>
        </w:rPr>
      </w:pPr>
    </w:p>
    <w:p w14:paraId="1C2DCD76">
      <w:pPr>
        <w:adjustRightInd/>
        <w:spacing w:line="360" w:lineRule="auto"/>
        <w:rPr>
          <w:rFonts w:ascii="宋体" w:hAnsi="宋体" w:cs="宋体"/>
          <w:szCs w:val="21"/>
          <w:u w:val="single"/>
        </w:rPr>
      </w:pPr>
      <w:r>
        <w:rPr>
          <w:rFonts w:hint="eastAsia" w:ascii="宋体" w:hAnsi="宋体" w:cs="宋体"/>
          <w:szCs w:val="21"/>
        </w:rPr>
        <w:t>发包人名称（甲方）：</w:t>
      </w:r>
    </w:p>
    <w:p w14:paraId="306BB78F">
      <w:pPr>
        <w:adjustRightInd/>
        <w:spacing w:line="360" w:lineRule="auto"/>
        <w:rPr>
          <w:rFonts w:ascii="宋体" w:hAnsi="宋体" w:cs="宋体"/>
          <w:szCs w:val="21"/>
        </w:rPr>
      </w:pPr>
      <w:r>
        <w:rPr>
          <w:rFonts w:hint="eastAsia" w:ascii="宋体" w:hAnsi="宋体" w:cs="宋体"/>
          <w:szCs w:val="21"/>
        </w:rPr>
        <w:t>承包人名称（乙方）：</w:t>
      </w:r>
    </w:p>
    <w:p w14:paraId="4603D6E6">
      <w:pPr>
        <w:adjustRightInd/>
        <w:spacing w:line="360" w:lineRule="auto"/>
        <w:ind w:firstLine="420" w:firstLineChars="200"/>
        <w:rPr>
          <w:rFonts w:ascii="宋体" w:hAnsi="宋体" w:cs="宋体"/>
          <w:szCs w:val="21"/>
        </w:rPr>
      </w:pPr>
      <w:r>
        <w:rPr>
          <w:rFonts w:hint="eastAsia" w:ascii="宋体" w:hAnsi="宋体" w:cs="宋体"/>
          <w:szCs w:val="21"/>
        </w:rPr>
        <w:t>为加强工程建设中的廉政建设，规范工程建设项目双方的各项活动，防止发生各种谋取不正当利益的违法违纪行为，保护国家、集体和当事人的合法权益，根据国家有关工程建设的法律法规和廉政建设的相关规定，特订立本《廉政合同》。</w:t>
      </w:r>
    </w:p>
    <w:p w14:paraId="2976A4A7">
      <w:pPr>
        <w:adjustRightInd/>
        <w:spacing w:line="360" w:lineRule="auto"/>
        <w:ind w:firstLine="420" w:firstLineChars="200"/>
        <w:rPr>
          <w:rFonts w:ascii="宋体" w:hAnsi="宋体" w:cs="宋体"/>
          <w:szCs w:val="21"/>
        </w:rPr>
      </w:pPr>
      <w:r>
        <w:rPr>
          <w:rFonts w:hint="eastAsia" w:ascii="宋体" w:hAnsi="宋体" w:cs="宋体"/>
          <w:szCs w:val="21"/>
        </w:rPr>
        <w:t>第一条</w:t>
      </w:r>
      <w:r>
        <w:rPr>
          <w:rFonts w:hint="eastAsia" w:ascii="宋体" w:hAnsi="宋体" w:cs="宋体"/>
          <w:szCs w:val="21"/>
          <w:lang w:val="en-US" w:eastAsia="zh-CN"/>
        </w:rPr>
        <w:t xml:space="preserve"> </w:t>
      </w:r>
      <w:r>
        <w:rPr>
          <w:rFonts w:hint="eastAsia" w:ascii="宋体" w:hAnsi="宋体" w:cs="宋体"/>
          <w:szCs w:val="21"/>
        </w:rPr>
        <w:t>甲乙两方的约定</w:t>
      </w:r>
    </w:p>
    <w:p w14:paraId="61619544">
      <w:pPr>
        <w:adjustRightInd/>
        <w:spacing w:line="360" w:lineRule="auto"/>
        <w:ind w:firstLine="420" w:firstLineChars="200"/>
        <w:rPr>
          <w:rFonts w:ascii="宋体" w:hAnsi="宋体" w:cs="宋体"/>
          <w:szCs w:val="21"/>
        </w:rPr>
      </w:pPr>
      <w:r>
        <w:rPr>
          <w:rFonts w:hint="eastAsia" w:ascii="宋体" w:hAnsi="宋体" w:cs="宋体"/>
          <w:szCs w:val="21"/>
        </w:rPr>
        <w:t>（一）严格遵守党和国家（包括省、市）关于加强工程建设管理的有关法律、法规，以及廉政建设的各项规定。</w:t>
      </w:r>
    </w:p>
    <w:p w14:paraId="66921934">
      <w:pPr>
        <w:adjustRightInd/>
        <w:spacing w:line="360" w:lineRule="auto"/>
        <w:ind w:firstLine="420" w:firstLineChars="200"/>
        <w:rPr>
          <w:rFonts w:ascii="宋体" w:hAnsi="宋体" w:cs="宋体"/>
          <w:szCs w:val="21"/>
        </w:rPr>
      </w:pPr>
      <w:r>
        <w:rPr>
          <w:rFonts w:hint="eastAsia" w:ascii="宋体" w:hAnsi="宋体" w:cs="宋体"/>
          <w:szCs w:val="21"/>
        </w:rPr>
        <w:t>（二）严格执行</w:t>
      </w:r>
      <w:r>
        <w:rPr>
          <w:rFonts w:hint="eastAsia" w:ascii="宋体" w:hAnsi="宋体" w:cs="宋体"/>
          <w:szCs w:val="21"/>
          <w:highlight w:val="none"/>
        </w:rPr>
        <w:t>《下应街道社区卫生服务中心医康养护一体化建设项目》规</w:t>
      </w:r>
      <w:r>
        <w:rPr>
          <w:rFonts w:hint="eastAsia" w:ascii="宋体" w:hAnsi="宋体" w:cs="宋体"/>
          <w:szCs w:val="21"/>
        </w:rPr>
        <w:t>定，自觉按合同办事。</w:t>
      </w:r>
    </w:p>
    <w:p w14:paraId="1EC78C14">
      <w:pPr>
        <w:adjustRightInd/>
        <w:spacing w:line="360" w:lineRule="auto"/>
        <w:ind w:firstLine="420" w:firstLineChars="200"/>
        <w:rPr>
          <w:rFonts w:ascii="宋体" w:hAnsi="宋体" w:cs="宋体"/>
          <w:szCs w:val="21"/>
        </w:rPr>
      </w:pPr>
      <w:r>
        <w:rPr>
          <w:rFonts w:hint="eastAsia" w:ascii="宋体" w:hAnsi="宋体" w:cs="宋体"/>
          <w:szCs w:val="21"/>
        </w:rPr>
        <w:t>（三）双方业务活动必须坚持公开、公平、公正、诚信、透明的原则（除法律法规认定的商业秘密和合同另有规定者外），不得损害国家、集体和各方利益，违反工程建设管理相关规章制度。</w:t>
      </w:r>
    </w:p>
    <w:p w14:paraId="2520E6BF">
      <w:pPr>
        <w:adjustRightInd/>
        <w:spacing w:line="360" w:lineRule="auto"/>
        <w:ind w:firstLine="420" w:firstLineChars="200"/>
        <w:rPr>
          <w:rFonts w:ascii="宋体" w:hAnsi="宋体" w:cs="宋体"/>
          <w:szCs w:val="21"/>
        </w:rPr>
      </w:pPr>
      <w:r>
        <w:rPr>
          <w:rFonts w:hint="eastAsia" w:ascii="宋体" w:hAnsi="宋体" w:cs="宋体"/>
          <w:szCs w:val="21"/>
        </w:rPr>
        <w:t>（四）有对本方人员开展廉政告知、廉政教育和职业道德教育的义务。应加强本方人员廉政监督，建立健全廉政制度，认真查处本方人员的违规违纪行为。</w:t>
      </w:r>
    </w:p>
    <w:p w14:paraId="69679BAC">
      <w:pPr>
        <w:adjustRightInd/>
        <w:spacing w:line="360" w:lineRule="auto"/>
        <w:ind w:firstLine="420" w:firstLineChars="200"/>
        <w:rPr>
          <w:rFonts w:ascii="宋体" w:hAnsi="宋体" w:cs="宋体"/>
          <w:szCs w:val="21"/>
        </w:rPr>
      </w:pPr>
      <w:r>
        <w:rPr>
          <w:rFonts w:hint="eastAsia" w:ascii="宋体" w:hAnsi="宋体" w:cs="宋体"/>
          <w:szCs w:val="21"/>
        </w:rPr>
        <w:t>（五）发现一方在业务活动中有不廉洁行为时，有及时提醒对方并监督其纠正的权利和义务。</w:t>
      </w:r>
    </w:p>
    <w:p w14:paraId="2B8309D6">
      <w:pPr>
        <w:adjustRightInd/>
        <w:spacing w:line="360" w:lineRule="auto"/>
        <w:ind w:firstLine="420" w:firstLineChars="200"/>
        <w:rPr>
          <w:rFonts w:ascii="宋体" w:hAnsi="宋体" w:cs="宋体"/>
          <w:szCs w:val="21"/>
        </w:rPr>
      </w:pPr>
      <w:r>
        <w:rPr>
          <w:rFonts w:hint="eastAsia" w:ascii="宋体" w:hAnsi="宋体" w:cs="宋体"/>
          <w:szCs w:val="21"/>
        </w:rPr>
        <w:t>（六）发现一方严重违反本合同条款的行为，有向其上级有关部门举报、建议给予处理并要求告知处理结果的权利。</w:t>
      </w:r>
    </w:p>
    <w:p w14:paraId="21B53448">
      <w:pPr>
        <w:adjustRightInd/>
        <w:spacing w:line="360" w:lineRule="auto"/>
        <w:ind w:firstLine="420" w:firstLineChars="200"/>
        <w:rPr>
          <w:rFonts w:ascii="宋体" w:hAnsi="宋体" w:cs="宋体"/>
          <w:szCs w:val="21"/>
        </w:rPr>
      </w:pPr>
      <w:r>
        <w:rPr>
          <w:rFonts w:hint="eastAsia" w:ascii="宋体" w:hAnsi="宋体" w:cs="宋体"/>
          <w:szCs w:val="21"/>
        </w:rPr>
        <w:t>第二条</w:t>
      </w:r>
      <w:r>
        <w:rPr>
          <w:rFonts w:hint="eastAsia" w:ascii="宋体" w:hAnsi="宋体" w:cs="宋体"/>
          <w:szCs w:val="21"/>
          <w:lang w:val="en-US" w:eastAsia="zh-CN"/>
        </w:rPr>
        <w:t xml:space="preserve"> </w:t>
      </w:r>
      <w:r>
        <w:rPr>
          <w:rFonts w:hint="eastAsia" w:ascii="宋体" w:hAnsi="宋体" w:cs="宋体"/>
          <w:szCs w:val="21"/>
        </w:rPr>
        <w:t>甲方的责任</w:t>
      </w:r>
    </w:p>
    <w:p w14:paraId="3B433B93">
      <w:pPr>
        <w:adjustRightInd/>
        <w:spacing w:line="360" w:lineRule="auto"/>
        <w:ind w:firstLine="420" w:firstLineChars="200"/>
        <w:rPr>
          <w:rFonts w:ascii="宋体" w:hAnsi="宋体" w:cs="宋体"/>
          <w:szCs w:val="21"/>
        </w:rPr>
      </w:pPr>
      <w:r>
        <w:rPr>
          <w:rFonts w:hint="eastAsia" w:ascii="宋体" w:hAnsi="宋体" w:cs="宋体"/>
          <w:szCs w:val="21"/>
        </w:rPr>
        <w:t>（一）甲方及其工作人员不得以任何形式向乙方索要或收受回扣、礼金、有价证券和贵重物品等。不得在乙方报销任何应由甲方或个人支付的费用。</w:t>
      </w:r>
    </w:p>
    <w:p w14:paraId="54734C87">
      <w:pPr>
        <w:adjustRightInd/>
        <w:spacing w:line="360" w:lineRule="auto"/>
        <w:ind w:firstLine="420" w:firstLineChars="200"/>
        <w:rPr>
          <w:rFonts w:ascii="宋体" w:hAnsi="宋体" w:cs="宋体"/>
          <w:szCs w:val="21"/>
        </w:rPr>
      </w:pPr>
      <w:r>
        <w:rPr>
          <w:rFonts w:hint="eastAsia" w:ascii="宋体" w:hAnsi="宋体" w:cs="宋体"/>
          <w:szCs w:val="21"/>
        </w:rPr>
        <w:t>（二）甲方工作人员不得参加有可能影响公正执行公务的宴请及娱乐等活动。</w:t>
      </w:r>
    </w:p>
    <w:p w14:paraId="789EEEEC">
      <w:pPr>
        <w:adjustRightInd/>
        <w:spacing w:line="360" w:lineRule="auto"/>
        <w:ind w:firstLine="420" w:firstLineChars="200"/>
        <w:rPr>
          <w:rFonts w:ascii="宋体" w:hAnsi="宋体" w:cs="宋体"/>
          <w:szCs w:val="21"/>
        </w:rPr>
      </w:pPr>
      <w:r>
        <w:rPr>
          <w:rFonts w:hint="eastAsia" w:ascii="宋体" w:hAnsi="宋体" w:cs="宋体"/>
          <w:szCs w:val="21"/>
        </w:rPr>
        <w:t>（三）甲方及其工作人员不得要求、暗示或接受乙方为个人装修住房、婚丧嫁娶、配偶子女的工作安排以及出国（境）、旅游等提供方便。</w:t>
      </w:r>
    </w:p>
    <w:p w14:paraId="5D180748">
      <w:pPr>
        <w:adjustRightInd/>
        <w:spacing w:line="360" w:lineRule="auto"/>
        <w:ind w:firstLine="420" w:firstLineChars="200"/>
        <w:rPr>
          <w:rFonts w:ascii="宋体" w:hAnsi="宋体" w:cs="宋体"/>
          <w:szCs w:val="21"/>
        </w:rPr>
      </w:pPr>
      <w:r>
        <w:rPr>
          <w:rFonts w:hint="eastAsia" w:ascii="宋体" w:hAnsi="宋体" w:cs="宋体"/>
          <w:szCs w:val="21"/>
        </w:rPr>
        <w:t>（四）甲方及其工作人员不得以任何理由向乙方推荐分包单位。</w:t>
      </w:r>
    </w:p>
    <w:p w14:paraId="1ECE4E05">
      <w:pPr>
        <w:adjustRightInd/>
        <w:spacing w:line="360" w:lineRule="auto"/>
        <w:ind w:firstLine="420" w:firstLineChars="200"/>
        <w:rPr>
          <w:rFonts w:ascii="宋体" w:hAnsi="宋体" w:cs="宋体"/>
          <w:szCs w:val="21"/>
        </w:rPr>
      </w:pPr>
      <w:r>
        <w:rPr>
          <w:rFonts w:hint="eastAsia" w:ascii="宋体" w:hAnsi="宋体" w:cs="宋体"/>
          <w:szCs w:val="21"/>
        </w:rPr>
        <w:t>第三条</w:t>
      </w:r>
      <w:r>
        <w:rPr>
          <w:rFonts w:hint="eastAsia" w:ascii="宋体" w:hAnsi="宋体" w:cs="宋体"/>
          <w:szCs w:val="21"/>
          <w:lang w:val="en-US" w:eastAsia="zh-CN"/>
        </w:rPr>
        <w:t xml:space="preserve"> </w:t>
      </w:r>
      <w:r>
        <w:rPr>
          <w:rFonts w:hint="eastAsia" w:ascii="宋体" w:hAnsi="宋体" w:cs="宋体"/>
          <w:szCs w:val="21"/>
        </w:rPr>
        <w:t>乙方的责任</w:t>
      </w:r>
    </w:p>
    <w:p w14:paraId="077AD8E0">
      <w:pPr>
        <w:adjustRightInd/>
        <w:spacing w:line="360" w:lineRule="auto"/>
        <w:ind w:firstLine="420" w:firstLineChars="200"/>
        <w:rPr>
          <w:rFonts w:ascii="宋体" w:hAnsi="宋体" w:cs="宋体"/>
          <w:szCs w:val="21"/>
        </w:rPr>
      </w:pPr>
      <w:r>
        <w:rPr>
          <w:rFonts w:hint="eastAsia" w:ascii="宋体" w:hAnsi="宋体" w:cs="宋体"/>
          <w:szCs w:val="21"/>
        </w:rPr>
        <w:t>（一）乙方不得以任何理由向甲方及其工作人员行贿和馈赠礼金、有价证券和贵重物品等。不得以任何名义在甲方报销应由乙方或个人支付的费用。</w:t>
      </w:r>
    </w:p>
    <w:p w14:paraId="0A559F76">
      <w:pPr>
        <w:adjustRightInd/>
        <w:spacing w:line="360" w:lineRule="auto"/>
        <w:ind w:firstLine="420" w:firstLineChars="200"/>
        <w:rPr>
          <w:rFonts w:ascii="宋体" w:hAnsi="宋体" w:cs="宋体"/>
          <w:szCs w:val="21"/>
        </w:rPr>
      </w:pPr>
      <w:r>
        <w:rPr>
          <w:rFonts w:hint="eastAsia" w:ascii="宋体" w:hAnsi="宋体" w:cs="宋体"/>
          <w:szCs w:val="21"/>
        </w:rPr>
        <w:t>（二）乙方工作人员不得参加有可能影响公正执行公务的宴请及娱乐等活动。</w:t>
      </w:r>
    </w:p>
    <w:p w14:paraId="7519BF21">
      <w:pPr>
        <w:adjustRightInd/>
        <w:spacing w:line="360" w:lineRule="auto"/>
        <w:ind w:firstLine="420" w:firstLineChars="200"/>
        <w:rPr>
          <w:rFonts w:ascii="宋体" w:hAnsi="宋体" w:cs="宋体"/>
          <w:szCs w:val="21"/>
        </w:rPr>
      </w:pPr>
      <w:r>
        <w:rPr>
          <w:rFonts w:hint="eastAsia" w:ascii="宋体" w:hAnsi="宋体" w:cs="宋体"/>
          <w:szCs w:val="21"/>
        </w:rPr>
        <w:t>（三）乙方及其工作人员不得接受或暗示建设单位为个人装修住房、婚丧嫁娶、配偶子女的工作安排以及出国（境）、旅游等提供方便。</w:t>
      </w:r>
    </w:p>
    <w:p w14:paraId="4E55CF52">
      <w:pPr>
        <w:adjustRightInd/>
        <w:spacing w:line="360" w:lineRule="auto"/>
        <w:ind w:firstLine="420" w:firstLineChars="200"/>
        <w:rPr>
          <w:rFonts w:ascii="宋体" w:hAnsi="宋体" w:cs="宋体"/>
          <w:szCs w:val="21"/>
        </w:rPr>
      </w:pPr>
      <w:r>
        <w:rPr>
          <w:rFonts w:hint="eastAsia" w:ascii="宋体" w:hAnsi="宋体" w:cs="宋体"/>
          <w:szCs w:val="21"/>
        </w:rPr>
        <w:t>第四条</w:t>
      </w:r>
      <w:r>
        <w:rPr>
          <w:rFonts w:hint="eastAsia" w:ascii="宋体" w:hAnsi="宋体" w:cs="宋体"/>
          <w:szCs w:val="21"/>
          <w:lang w:val="en-US" w:eastAsia="zh-CN"/>
        </w:rPr>
        <w:t xml:space="preserve"> </w:t>
      </w:r>
      <w:r>
        <w:rPr>
          <w:rFonts w:hint="eastAsia" w:ascii="宋体" w:hAnsi="宋体" w:cs="宋体"/>
          <w:szCs w:val="21"/>
        </w:rPr>
        <w:t>违约责任</w:t>
      </w:r>
    </w:p>
    <w:p w14:paraId="6F66E6C6">
      <w:pPr>
        <w:adjustRightInd/>
        <w:spacing w:line="360" w:lineRule="auto"/>
        <w:ind w:firstLine="420" w:firstLineChars="200"/>
        <w:rPr>
          <w:rFonts w:ascii="宋体" w:hAnsi="宋体" w:cs="宋体"/>
          <w:szCs w:val="21"/>
        </w:rPr>
      </w:pPr>
      <w:r>
        <w:rPr>
          <w:rFonts w:hint="eastAsia" w:ascii="宋体" w:hAnsi="宋体" w:cs="宋体"/>
          <w:szCs w:val="21"/>
        </w:rPr>
        <w:t>（一）甲方工作人员有违反本合同第一、二条责任行为的，按照管理权限，依据有关法律法规和规定给予党纪、政纪处分或组织处理；涉嫌犯罪的，移交司法机关追究刑事责任。</w:t>
      </w:r>
    </w:p>
    <w:p w14:paraId="7F71B562">
      <w:pPr>
        <w:adjustRightInd/>
        <w:spacing w:line="360" w:lineRule="auto"/>
        <w:ind w:firstLine="420" w:firstLineChars="200"/>
        <w:rPr>
          <w:rFonts w:ascii="宋体" w:hAnsi="宋体" w:cs="宋体"/>
          <w:szCs w:val="21"/>
        </w:rPr>
      </w:pPr>
      <w:r>
        <w:rPr>
          <w:rFonts w:hint="eastAsia" w:ascii="宋体" w:hAnsi="宋体" w:cs="宋体"/>
          <w:szCs w:val="21"/>
        </w:rPr>
        <w:t>（二）乙方工作人员有违反本合同第一、三条责任行为的，按照管理权限，依据有关法律法规和规定给予党纪、政纪处分或组织处理；涉嫌犯罪的，移交司法机关追究刑事责任。</w:t>
      </w:r>
    </w:p>
    <w:p w14:paraId="1325793A">
      <w:pPr>
        <w:adjustRightInd/>
        <w:spacing w:line="360" w:lineRule="auto"/>
        <w:ind w:firstLine="420" w:firstLineChars="200"/>
        <w:rPr>
          <w:rFonts w:ascii="宋体" w:hAnsi="宋体" w:cs="宋体"/>
          <w:szCs w:val="21"/>
        </w:rPr>
      </w:pPr>
      <w:r>
        <w:rPr>
          <w:rFonts w:hint="eastAsia" w:ascii="宋体" w:hAnsi="宋体" w:cs="宋体"/>
          <w:szCs w:val="21"/>
        </w:rPr>
        <w:t>第五条</w:t>
      </w:r>
      <w:r>
        <w:rPr>
          <w:rFonts w:hint="eastAsia" w:ascii="宋体" w:hAnsi="宋体" w:cs="宋体"/>
          <w:szCs w:val="21"/>
          <w:lang w:val="en-US" w:eastAsia="zh-CN"/>
        </w:rPr>
        <w:t xml:space="preserve"> </w:t>
      </w:r>
      <w:r>
        <w:rPr>
          <w:rFonts w:hint="eastAsia" w:ascii="宋体" w:hAnsi="宋体" w:cs="宋体"/>
          <w:szCs w:val="21"/>
        </w:rPr>
        <w:t>本合同作为</w:t>
      </w:r>
      <w:r>
        <w:rPr>
          <w:rFonts w:hint="eastAsia" w:ascii="宋体" w:hAnsi="宋体" w:cs="宋体"/>
          <w:szCs w:val="21"/>
          <w:highlight w:val="none"/>
        </w:rPr>
        <w:t>《</w:t>
      </w:r>
      <w:bookmarkStart w:id="1063" w:name="_Hlk139543567"/>
      <w:r>
        <w:rPr>
          <w:rFonts w:hint="eastAsia" w:ascii="宋体" w:hAnsi="宋体" w:cs="宋体"/>
          <w:szCs w:val="21"/>
          <w:highlight w:val="none"/>
        </w:rPr>
        <w:t>下应街道社区卫生服务中心医康养护一体化建设项目合同</w:t>
      </w:r>
      <w:bookmarkEnd w:id="1063"/>
      <w:r>
        <w:rPr>
          <w:rFonts w:hint="eastAsia" w:ascii="宋体" w:hAnsi="宋体" w:cs="宋体"/>
          <w:szCs w:val="21"/>
          <w:highlight w:val="none"/>
        </w:rPr>
        <w:t>》的附件，与《下应街道社区卫生服务中心医康养护一体化建设项目合同》具</w:t>
      </w:r>
      <w:r>
        <w:rPr>
          <w:rFonts w:hint="eastAsia" w:ascii="宋体" w:hAnsi="宋体" w:cs="宋体"/>
          <w:szCs w:val="21"/>
        </w:rPr>
        <w:t>有同等法律效力。经双方签署后立即生效。</w:t>
      </w:r>
    </w:p>
    <w:p w14:paraId="19E4E8F8">
      <w:pPr>
        <w:adjustRightInd/>
        <w:spacing w:line="360" w:lineRule="auto"/>
        <w:ind w:firstLine="420" w:firstLineChars="200"/>
        <w:rPr>
          <w:rFonts w:ascii="宋体" w:hAnsi="宋体" w:cs="宋体"/>
          <w:szCs w:val="21"/>
        </w:rPr>
      </w:pPr>
      <w:r>
        <w:rPr>
          <w:rFonts w:hint="eastAsia" w:ascii="宋体" w:hAnsi="宋体" w:cs="宋体"/>
          <w:szCs w:val="21"/>
        </w:rPr>
        <w:t>第六条</w:t>
      </w:r>
      <w:r>
        <w:rPr>
          <w:rFonts w:hint="eastAsia" w:ascii="宋体" w:hAnsi="宋体" w:cs="宋体"/>
          <w:szCs w:val="21"/>
          <w:lang w:val="en-US" w:eastAsia="zh-CN"/>
        </w:rPr>
        <w:t xml:space="preserve"> </w:t>
      </w:r>
      <w:r>
        <w:rPr>
          <w:rFonts w:hint="eastAsia" w:ascii="宋体" w:hAnsi="宋体" w:cs="宋体"/>
          <w:szCs w:val="21"/>
        </w:rPr>
        <w:t>本合同一式陆份，甲乙方各执贰份，送交各方上级主管部门各壹份。</w:t>
      </w:r>
    </w:p>
    <w:p w14:paraId="7892A24C">
      <w:pPr>
        <w:adjustRightInd/>
        <w:spacing w:line="360" w:lineRule="auto"/>
        <w:ind w:firstLine="420" w:firstLineChars="200"/>
        <w:rPr>
          <w:rFonts w:ascii="宋体" w:hAnsi="宋体" w:cs="宋体"/>
          <w:szCs w:val="21"/>
        </w:rPr>
      </w:pPr>
    </w:p>
    <w:p w14:paraId="0C2063E1">
      <w:pPr>
        <w:adjustRightInd/>
        <w:spacing w:line="360" w:lineRule="auto"/>
        <w:rPr>
          <w:rFonts w:ascii="宋体" w:hAnsi="宋体" w:cs="宋体"/>
          <w:szCs w:val="21"/>
        </w:rPr>
      </w:pPr>
    </w:p>
    <w:p w14:paraId="528A3BFF">
      <w:pPr>
        <w:adjustRightInd/>
        <w:spacing w:line="360" w:lineRule="auto"/>
        <w:rPr>
          <w:rFonts w:ascii="宋体" w:hAnsi="宋体" w:cs="宋体"/>
          <w:szCs w:val="21"/>
        </w:rPr>
      </w:pPr>
    </w:p>
    <w:p w14:paraId="771701A0">
      <w:pPr>
        <w:adjustRightInd/>
        <w:spacing w:line="360" w:lineRule="auto"/>
        <w:ind w:firstLine="420" w:firstLineChars="200"/>
        <w:rPr>
          <w:rFonts w:ascii="宋体" w:hAnsi="宋体" w:cs="宋体"/>
          <w:szCs w:val="21"/>
        </w:rPr>
      </w:pPr>
      <w:r>
        <w:rPr>
          <w:rFonts w:hint="eastAsia" w:ascii="宋体" w:hAnsi="宋体" w:cs="宋体"/>
          <w:szCs w:val="21"/>
        </w:rPr>
        <w:t>甲方单位：（盖章）                               乙方单位：（盖章）</w:t>
      </w:r>
    </w:p>
    <w:p w14:paraId="6FAE9D7D">
      <w:pPr>
        <w:adjustRightInd/>
        <w:spacing w:line="360" w:lineRule="auto"/>
        <w:ind w:firstLine="420" w:firstLineChars="200"/>
        <w:rPr>
          <w:rFonts w:ascii="宋体" w:hAnsi="宋体" w:cs="宋体"/>
          <w:szCs w:val="21"/>
        </w:rPr>
      </w:pPr>
    </w:p>
    <w:p w14:paraId="18513D6C">
      <w:pPr>
        <w:adjustRightInd/>
        <w:spacing w:line="360" w:lineRule="auto"/>
        <w:ind w:firstLine="420" w:firstLineChars="200"/>
        <w:rPr>
          <w:rFonts w:ascii="宋体" w:hAnsi="宋体" w:cs="宋体"/>
          <w:szCs w:val="21"/>
        </w:rPr>
      </w:pPr>
      <w:r>
        <w:rPr>
          <w:rFonts w:hint="eastAsia" w:ascii="宋体" w:hAnsi="宋体" w:cs="宋体"/>
          <w:szCs w:val="21"/>
        </w:rPr>
        <w:t>法定代表人或委托代理人：                        法定代表人或委托代理人：</w:t>
      </w:r>
    </w:p>
    <w:p w14:paraId="3FFAAF09">
      <w:pPr>
        <w:adjustRightInd/>
        <w:spacing w:line="360" w:lineRule="auto"/>
        <w:ind w:firstLine="420" w:firstLineChars="200"/>
        <w:rPr>
          <w:rFonts w:ascii="宋体" w:hAnsi="宋体" w:cs="宋体"/>
          <w:szCs w:val="21"/>
        </w:rPr>
      </w:pPr>
      <w:r>
        <w:rPr>
          <w:rFonts w:hint="eastAsia" w:ascii="宋体" w:hAnsi="宋体" w:cs="宋体"/>
          <w:szCs w:val="21"/>
        </w:rPr>
        <w:t>（签字或盖章）</w:t>
      </w:r>
      <w:r>
        <w:rPr>
          <w:rFonts w:hint="eastAsia" w:ascii="宋体" w:hAnsi="宋体" w:cs="宋体"/>
          <w:szCs w:val="21"/>
          <w:lang w:val="en-US" w:eastAsia="zh-CN"/>
        </w:rPr>
        <w:t xml:space="preserve">                                 </w:t>
      </w:r>
      <w:r>
        <w:rPr>
          <w:rFonts w:hint="eastAsia" w:ascii="宋体" w:hAnsi="宋体" w:cs="宋体"/>
          <w:szCs w:val="21"/>
        </w:rPr>
        <w:t>（签字或盖章）</w:t>
      </w:r>
    </w:p>
    <w:p w14:paraId="2CDD95A4">
      <w:pPr>
        <w:adjustRightInd/>
        <w:spacing w:line="360" w:lineRule="auto"/>
        <w:rPr>
          <w:rFonts w:ascii="宋体" w:hAnsi="宋体" w:cs="宋体"/>
          <w:szCs w:val="21"/>
        </w:rPr>
      </w:pPr>
    </w:p>
    <w:p w14:paraId="1BA03192">
      <w:pPr>
        <w:adjustRightInd/>
        <w:spacing w:line="360" w:lineRule="auto"/>
        <w:ind w:firstLine="420" w:firstLineChars="200"/>
        <w:rPr>
          <w:rFonts w:ascii="宋体" w:hAnsi="宋体" w:cs="宋体"/>
          <w:szCs w:val="21"/>
        </w:rPr>
      </w:pPr>
      <w:r>
        <w:rPr>
          <w:rFonts w:hint="eastAsia" w:ascii="宋体" w:hAnsi="宋体" w:cs="宋体"/>
          <w:szCs w:val="21"/>
        </w:rPr>
        <w:t>地址：                                          地址：</w:t>
      </w:r>
    </w:p>
    <w:p w14:paraId="3FE3E486">
      <w:pPr>
        <w:adjustRightInd/>
        <w:spacing w:line="360" w:lineRule="auto"/>
        <w:ind w:firstLine="420" w:firstLineChars="200"/>
        <w:rPr>
          <w:rFonts w:ascii="宋体" w:hAnsi="宋体" w:cs="宋体"/>
          <w:szCs w:val="21"/>
        </w:rPr>
      </w:pPr>
    </w:p>
    <w:p w14:paraId="15B9A9F4">
      <w:pPr>
        <w:adjustRightInd/>
        <w:spacing w:line="360" w:lineRule="auto"/>
        <w:ind w:firstLine="420" w:firstLineChars="200"/>
        <w:rPr>
          <w:rFonts w:ascii="宋体" w:hAnsi="宋体" w:cs="宋体"/>
          <w:b/>
          <w:szCs w:val="21"/>
        </w:rPr>
      </w:pPr>
      <w:r>
        <w:rPr>
          <w:rFonts w:hint="eastAsia" w:ascii="宋体" w:hAnsi="宋体" w:cs="宋体"/>
          <w:szCs w:val="21"/>
        </w:rPr>
        <w:t xml:space="preserve">电话：                                          电话： </w:t>
      </w:r>
    </w:p>
    <w:p w14:paraId="4E955FE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0D2B196">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1"/>
      <w:r>
        <w:rPr>
          <w:rFonts w:hint="eastAsia" w:ascii="宋体" w:hAnsi="宋体" w:cs="宋体"/>
          <w:b/>
          <w:color w:val="auto"/>
          <w:sz w:val="36"/>
          <w:szCs w:val="20"/>
          <w:highlight w:val="none"/>
        </w:rPr>
        <w:t xml:space="preserve"> </w:t>
      </w:r>
      <w:bookmarkEnd w:id="422"/>
      <w:r>
        <w:rPr>
          <w:rFonts w:hint="eastAsia" w:ascii="宋体" w:hAnsi="宋体" w:cs="宋体"/>
          <w:b/>
          <w:color w:val="auto"/>
          <w:sz w:val="36"/>
          <w:szCs w:val="20"/>
          <w:highlight w:val="none"/>
        </w:rPr>
        <w:t>应提交的有关格式范例</w:t>
      </w:r>
      <w:bookmarkEnd w:id="1062"/>
    </w:p>
    <w:p w14:paraId="136FF4B2">
      <w:pPr>
        <w:jc w:val="center"/>
        <w:rPr>
          <w:rFonts w:hint="eastAsia" w:ascii="宋体" w:hAnsi="宋体" w:cs="宋体"/>
          <w:b/>
          <w:color w:val="auto"/>
          <w:sz w:val="24"/>
          <w:szCs w:val="24"/>
          <w:highlight w:val="none"/>
        </w:rPr>
      </w:pPr>
      <w:bookmarkStart w:id="1064" w:name="_Toc498589609"/>
    </w:p>
    <w:bookmarkEnd w:id="1064"/>
    <w:p w14:paraId="77633C10">
      <w:pPr>
        <w:spacing w:line="300" w:lineRule="auto"/>
        <w:jc w:val="left"/>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封面</w:t>
      </w:r>
    </w:p>
    <w:p w14:paraId="036A304F">
      <w:pPr>
        <w:spacing w:line="300" w:lineRule="auto"/>
        <w:ind w:firstLine="2951" w:firstLineChars="1050"/>
        <w:rPr>
          <w:rFonts w:hint="eastAsia" w:ascii="宋体" w:hAnsi="宋体" w:cs="宋体"/>
          <w:b/>
          <w:bCs/>
          <w:color w:val="auto"/>
          <w:sz w:val="28"/>
          <w:szCs w:val="28"/>
          <w:highlight w:val="none"/>
        </w:rPr>
      </w:pPr>
    </w:p>
    <w:p w14:paraId="16F7D4B0">
      <w:pPr>
        <w:spacing w:line="300" w:lineRule="auto"/>
        <w:jc w:val="center"/>
        <w:rPr>
          <w:rFonts w:hint="eastAsia" w:ascii="宋体" w:hAnsi="宋体" w:cs="宋体"/>
          <w:b/>
          <w:bCs/>
          <w:color w:val="auto"/>
          <w:sz w:val="28"/>
          <w:szCs w:val="28"/>
          <w:highlight w:val="none"/>
        </w:rPr>
      </w:pPr>
    </w:p>
    <w:p w14:paraId="6A8C32DB">
      <w:pPr>
        <w:spacing w:line="300" w:lineRule="auto"/>
        <w:jc w:val="center"/>
        <w:rPr>
          <w:rFonts w:hint="eastAsia" w:ascii="宋体" w:hAnsi="宋体" w:cs="宋体"/>
          <w:b/>
          <w:bCs/>
          <w:color w:val="auto"/>
          <w:sz w:val="28"/>
          <w:szCs w:val="28"/>
          <w:highlight w:val="none"/>
        </w:rPr>
      </w:pPr>
    </w:p>
    <w:p w14:paraId="211F2B2E">
      <w:pPr>
        <w:spacing w:line="300" w:lineRule="auto"/>
        <w:jc w:val="center"/>
        <w:rPr>
          <w:rFonts w:hint="eastAsia" w:ascii="宋体" w:hAnsi="宋体" w:cs="宋体"/>
          <w:b/>
          <w:bCs/>
          <w:color w:val="auto"/>
          <w:sz w:val="28"/>
          <w:szCs w:val="28"/>
          <w:highlight w:val="none"/>
        </w:rPr>
      </w:pPr>
    </w:p>
    <w:p w14:paraId="1609714F">
      <w:pPr>
        <w:spacing w:line="300" w:lineRule="auto"/>
        <w:jc w:val="center"/>
        <w:rPr>
          <w:rFonts w:hint="eastAsia" w:ascii="宋体" w:hAnsi="宋体" w:cs="宋体"/>
          <w:b/>
          <w:bCs/>
          <w:color w:val="auto"/>
          <w:sz w:val="28"/>
          <w:szCs w:val="28"/>
          <w:highlight w:val="none"/>
        </w:rPr>
      </w:pPr>
    </w:p>
    <w:p w14:paraId="77234FCA">
      <w:pPr>
        <w:spacing w:line="300" w:lineRule="auto"/>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rPr>
        <w:t>商务技术文件/报价文件/资格文件</w:t>
      </w:r>
    </w:p>
    <w:p w14:paraId="76E63EA0">
      <w:pPr>
        <w:spacing w:line="300" w:lineRule="auto"/>
        <w:ind w:firstLine="1260" w:firstLineChars="600"/>
        <w:rPr>
          <w:rFonts w:hint="eastAsia" w:ascii="宋体" w:hAnsi="宋体" w:cs="宋体"/>
          <w:color w:val="auto"/>
          <w:szCs w:val="21"/>
          <w:highlight w:val="none"/>
        </w:rPr>
      </w:pPr>
    </w:p>
    <w:p w14:paraId="04FB3699">
      <w:pPr>
        <w:spacing w:line="300" w:lineRule="auto"/>
        <w:ind w:firstLine="1260" w:firstLineChars="600"/>
        <w:rPr>
          <w:rFonts w:hint="eastAsia" w:ascii="宋体" w:hAnsi="宋体" w:cs="宋体"/>
          <w:color w:val="auto"/>
          <w:szCs w:val="21"/>
          <w:highlight w:val="none"/>
        </w:rPr>
      </w:pPr>
    </w:p>
    <w:p w14:paraId="6D962D36">
      <w:pPr>
        <w:spacing w:line="360" w:lineRule="auto"/>
        <w:ind w:firstLine="1680" w:firstLineChars="600"/>
        <w:rPr>
          <w:rFonts w:hint="eastAsia" w:ascii="宋体" w:hAnsi="宋体" w:cs="宋体"/>
          <w:color w:val="auto"/>
          <w:sz w:val="28"/>
          <w:szCs w:val="28"/>
          <w:highlight w:val="none"/>
        </w:rPr>
      </w:pPr>
      <w:r>
        <w:rPr>
          <w:rFonts w:hint="eastAsia" w:ascii="宋体" w:hAnsi="宋体" w:cs="宋体"/>
          <w:color w:val="auto"/>
          <w:sz w:val="28"/>
          <w:szCs w:val="28"/>
          <w:highlight w:val="none"/>
        </w:rPr>
        <w:t>磋商项目名称：</w:t>
      </w:r>
    </w:p>
    <w:p w14:paraId="31044B3A">
      <w:pPr>
        <w:spacing w:line="360" w:lineRule="auto"/>
        <w:ind w:firstLine="1680" w:firstLineChars="600"/>
        <w:rPr>
          <w:rFonts w:hint="eastAsia" w:ascii="宋体" w:hAnsi="宋体" w:cs="宋体"/>
          <w:color w:val="auto"/>
          <w:sz w:val="28"/>
          <w:szCs w:val="28"/>
          <w:highlight w:val="none"/>
        </w:rPr>
      </w:pPr>
    </w:p>
    <w:p w14:paraId="2A5939F6">
      <w:pPr>
        <w:spacing w:line="360" w:lineRule="auto"/>
        <w:ind w:firstLine="1680" w:firstLineChars="600"/>
        <w:rPr>
          <w:rFonts w:hint="eastAsia" w:ascii="宋体" w:hAnsi="宋体" w:cs="宋体"/>
          <w:color w:val="auto"/>
          <w:sz w:val="28"/>
          <w:szCs w:val="28"/>
          <w:highlight w:val="none"/>
        </w:rPr>
      </w:pPr>
      <w:r>
        <w:rPr>
          <w:rFonts w:hint="eastAsia" w:ascii="宋体" w:hAnsi="宋体" w:cs="宋体"/>
          <w:color w:val="auto"/>
          <w:sz w:val="28"/>
          <w:szCs w:val="28"/>
          <w:highlight w:val="none"/>
        </w:rPr>
        <w:t>项目编号：</w:t>
      </w:r>
    </w:p>
    <w:p w14:paraId="21E019C1">
      <w:pPr>
        <w:spacing w:line="360" w:lineRule="auto"/>
        <w:ind w:firstLine="1680" w:firstLineChars="600"/>
        <w:rPr>
          <w:rFonts w:hint="eastAsia" w:ascii="宋体" w:hAnsi="宋体" w:cs="宋体"/>
          <w:color w:val="auto"/>
          <w:sz w:val="28"/>
          <w:szCs w:val="28"/>
          <w:highlight w:val="none"/>
        </w:rPr>
      </w:pPr>
    </w:p>
    <w:p w14:paraId="64718154">
      <w:pPr>
        <w:pStyle w:val="15"/>
        <w:snapToGrid w:val="0"/>
        <w:spacing w:before="50" w:after="50" w:line="360" w:lineRule="auto"/>
        <w:ind w:firstLine="1654" w:firstLineChars="591"/>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1D6D6BCE">
      <w:pPr>
        <w:spacing w:line="360" w:lineRule="auto"/>
        <w:ind w:firstLine="1680" w:firstLineChars="600"/>
        <w:rPr>
          <w:rFonts w:hint="eastAsia" w:ascii="宋体" w:hAnsi="宋体" w:cs="宋体"/>
          <w:bCs/>
          <w:color w:val="auto"/>
          <w:sz w:val="28"/>
          <w:szCs w:val="28"/>
          <w:highlight w:val="none"/>
        </w:rPr>
      </w:pPr>
    </w:p>
    <w:p w14:paraId="6C3B8DF3">
      <w:pPr>
        <w:spacing w:line="360" w:lineRule="auto"/>
        <w:ind w:firstLine="1680" w:firstLineChars="600"/>
        <w:rPr>
          <w:rFonts w:hint="eastAsia" w:ascii="宋体" w:hAnsi="宋体" w:cs="宋体"/>
          <w:color w:val="auto"/>
          <w:sz w:val="28"/>
          <w:szCs w:val="28"/>
          <w:highlight w:val="none"/>
        </w:rPr>
      </w:pPr>
      <w:r>
        <w:rPr>
          <w:rFonts w:hint="eastAsia" w:ascii="宋体" w:hAnsi="宋体" w:cs="宋体"/>
          <w:bCs/>
          <w:color w:val="auto"/>
          <w:sz w:val="28"/>
          <w:szCs w:val="28"/>
          <w:highlight w:val="none"/>
        </w:rPr>
        <w:t>供应商地址：</w:t>
      </w:r>
    </w:p>
    <w:p w14:paraId="7BC3BCBE">
      <w:pPr>
        <w:spacing w:line="360" w:lineRule="auto"/>
        <w:jc w:val="center"/>
        <w:rPr>
          <w:rFonts w:hint="eastAsia" w:ascii="宋体" w:hAnsi="宋体" w:cs="宋体"/>
          <w:color w:val="auto"/>
          <w:sz w:val="28"/>
          <w:szCs w:val="28"/>
          <w:highlight w:val="none"/>
        </w:rPr>
      </w:pPr>
    </w:p>
    <w:p w14:paraId="756F6F52">
      <w:pPr>
        <w:spacing w:line="360" w:lineRule="auto"/>
        <w:jc w:val="center"/>
        <w:rPr>
          <w:rFonts w:hint="eastAsia" w:ascii="宋体" w:hAnsi="宋体" w:cs="宋体"/>
          <w:color w:val="auto"/>
          <w:sz w:val="28"/>
          <w:szCs w:val="28"/>
          <w:highlight w:val="none"/>
        </w:rPr>
      </w:pPr>
    </w:p>
    <w:p w14:paraId="2D4CD8B5">
      <w:pPr>
        <w:spacing w:line="360" w:lineRule="auto"/>
        <w:jc w:val="center"/>
        <w:rPr>
          <w:rFonts w:hint="eastAsia" w:ascii="宋体" w:hAnsi="宋体" w:cs="宋体"/>
          <w:color w:val="auto"/>
          <w:sz w:val="28"/>
          <w:szCs w:val="28"/>
          <w:highlight w:val="none"/>
        </w:rPr>
      </w:pPr>
    </w:p>
    <w:p w14:paraId="3BACE35B">
      <w:pPr>
        <w:spacing w:line="360" w:lineRule="auto"/>
        <w:jc w:val="center"/>
        <w:rPr>
          <w:rFonts w:hint="eastAsia" w:ascii="宋体" w:hAnsi="宋体" w:cs="宋体"/>
          <w:color w:val="auto"/>
          <w:sz w:val="28"/>
          <w:szCs w:val="28"/>
          <w:highlight w:val="none"/>
        </w:rPr>
      </w:pPr>
    </w:p>
    <w:p w14:paraId="09CD482D">
      <w:pPr>
        <w:spacing w:line="360" w:lineRule="auto"/>
        <w:jc w:val="center"/>
        <w:rPr>
          <w:rFonts w:hint="eastAsia" w:ascii="宋体" w:hAnsi="宋体" w:cs="宋体"/>
          <w:color w:val="auto"/>
          <w:sz w:val="28"/>
          <w:szCs w:val="28"/>
          <w:highlight w:val="none"/>
        </w:rPr>
      </w:pPr>
    </w:p>
    <w:p w14:paraId="34F22FE0">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供应商（盖章）</w:t>
      </w:r>
    </w:p>
    <w:p w14:paraId="7E933D84">
      <w:pPr>
        <w:spacing w:line="360" w:lineRule="auto"/>
        <w:jc w:val="center"/>
        <w:outlineLvl w:val="0"/>
        <w:rPr>
          <w:rFonts w:hint="eastAsia" w:ascii="宋体" w:hAnsi="宋体" w:cs="宋体"/>
          <w:color w:val="auto"/>
          <w:sz w:val="28"/>
          <w:szCs w:val="28"/>
          <w:highlight w:val="none"/>
        </w:rPr>
      </w:pPr>
      <w:bookmarkStart w:id="1065" w:name="_Toc24410"/>
    </w:p>
    <w:p w14:paraId="4C17C1B1">
      <w:pPr>
        <w:spacing w:line="360" w:lineRule="auto"/>
        <w:jc w:val="center"/>
        <w:outlineLvl w:val="0"/>
        <w:rPr>
          <w:rFonts w:ascii="宋体" w:hAnsi="宋体" w:cs="宋体"/>
          <w:b/>
          <w:color w:val="auto"/>
          <w:kern w:val="0"/>
          <w:sz w:val="36"/>
          <w:szCs w:val="36"/>
          <w:highlight w:val="none"/>
        </w:rPr>
      </w:pPr>
      <w:r>
        <w:rPr>
          <w:rFonts w:hint="eastAsia" w:ascii="宋体" w:hAnsi="宋体" w:cs="宋体"/>
          <w:color w:val="auto"/>
          <w:sz w:val="28"/>
          <w:szCs w:val="28"/>
          <w:highlight w:val="none"/>
        </w:rPr>
        <w:t>年    月    日</w:t>
      </w:r>
      <w:bookmarkEnd w:id="1065"/>
    </w:p>
    <w:p w14:paraId="59432065">
      <w:pPr>
        <w:spacing w:line="360" w:lineRule="auto"/>
        <w:jc w:val="center"/>
        <w:outlineLvl w:val="0"/>
        <w:rPr>
          <w:rFonts w:hint="eastAsia" w:ascii="宋体" w:hAnsi="宋体" w:cs="宋体"/>
          <w:b/>
          <w:color w:val="auto"/>
          <w:kern w:val="0"/>
          <w:sz w:val="36"/>
          <w:szCs w:val="36"/>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867523D">
      <w:pPr>
        <w:spacing w:line="360" w:lineRule="auto"/>
        <w:jc w:val="center"/>
        <w:outlineLvl w:val="0"/>
        <w:rPr>
          <w:rFonts w:ascii="宋体" w:hAnsi="宋体" w:cs="宋体"/>
          <w:b/>
          <w:color w:val="auto"/>
          <w:kern w:val="0"/>
          <w:sz w:val="36"/>
          <w:szCs w:val="36"/>
          <w:highlight w:val="none"/>
        </w:rPr>
      </w:pPr>
      <w:bookmarkStart w:id="1066" w:name="_Toc6"/>
      <w:r>
        <w:rPr>
          <w:rFonts w:hint="eastAsia" w:ascii="宋体" w:hAnsi="宋体" w:cs="宋体"/>
          <w:b/>
          <w:color w:val="auto"/>
          <w:kern w:val="0"/>
          <w:sz w:val="36"/>
          <w:szCs w:val="36"/>
          <w:highlight w:val="none"/>
        </w:rPr>
        <w:t>资格文件部分</w:t>
      </w:r>
      <w:bookmarkEnd w:id="1066"/>
    </w:p>
    <w:p w14:paraId="5A579C2F">
      <w:pPr>
        <w:spacing w:line="360" w:lineRule="auto"/>
        <w:jc w:val="center"/>
        <w:outlineLvl w:val="0"/>
        <w:rPr>
          <w:rFonts w:ascii="宋体" w:hAnsi="宋体" w:cs="宋体"/>
          <w:b/>
          <w:color w:val="auto"/>
          <w:kern w:val="0"/>
          <w:sz w:val="36"/>
          <w:szCs w:val="36"/>
          <w:highlight w:val="none"/>
        </w:rPr>
      </w:pPr>
      <w:bookmarkStart w:id="1067" w:name="_Toc15242"/>
      <w:r>
        <w:rPr>
          <w:rFonts w:hint="eastAsia" w:ascii="宋体" w:hAnsi="宋体" w:cs="宋体"/>
          <w:b/>
          <w:color w:val="auto"/>
          <w:kern w:val="0"/>
          <w:sz w:val="36"/>
          <w:szCs w:val="36"/>
          <w:highlight w:val="none"/>
        </w:rPr>
        <w:t>目录</w:t>
      </w:r>
      <w:bookmarkEnd w:id="1067"/>
    </w:p>
    <w:p w14:paraId="146C1B5C">
      <w:pPr>
        <w:spacing w:line="360" w:lineRule="auto"/>
        <w:jc w:val="center"/>
        <w:outlineLvl w:val="0"/>
        <w:rPr>
          <w:rFonts w:ascii="宋体" w:hAnsi="宋体" w:cs="宋体"/>
          <w:b/>
          <w:color w:val="auto"/>
          <w:kern w:val="0"/>
          <w:sz w:val="36"/>
          <w:szCs w:val="36"/>
          <w:highlight w:val="none"/>
        </w:rPr>
      </w:pPr>
    </w:p>
    <w:p w14:paraId="0206A73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（1）有效的企业法人营业执照（或事业法人登记证）、其他组织（个体工商户）的营业执照或者民办非企业单位登记证书…………………………………………………（页码）</w:t>
      </w:r>
    </w:p>
    <w:p w14:paraId="37BCD93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符合参加政府采购活动应当具备的一般条件的承诺函………………………（页码）</w:t>
      </w:r>
    </w:p>
    <w:p w14:paraId="61DEC5A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落实政府采购政策需满足的资格要求…………………………………………（页码）</w:t>
      </w:r>
    </w:p>
    <w:p w14:paraId="450CC5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）本项目的特定资格要求…………………………………………………………（页码）</w:t>
      </w:r>
    </w:p>
    <w:p w14:paraId="15F0DB9B">
      <w:pPr>
        <w:snapToGrid w:val="0"/>
        <w:spacing w:line="360" w:lineRule="auto"/>
        <w:ind w:firstLine="480" w:firstLineChars="200"/>
        <w:rPr>
          <w:rFonts w:ascii="宋体" w:hAnsi="宋体" w:cs="宋体"/>
          <w:color w:val="auto"/>
          <w:sz w:val="24"/>
          <w:highlight w:val="none"/>
        </w:rPr>
      </w:pPr>
    </w:p>
    <w:p w14:paraId="12BEA5D2">
      <w:pPr>
        <w:spacing w:line="360" w:lineRule="auto"/>
        <w:ind w:firstLine="480" w:firstLineChars="200"/>
        <w:rPr>
          <w:rFonts w:ascii="宋体" w:hAnsi="宋体" w:cs="宋体"/>
          <w:color w:val="auto"/>
          <w:sz w:val="24"/>
          <w:highlight w:val="none"/>
        </w:rPr>
      </w:pPr>
    </w:p>
    <w:p w14:paraId="32F27C95">
      <w:pPr>
        <w:snapToGrid w:val="0"/>
        <w:spacing w:line="360" w:lineRule="auto"/>
        <w:ind w:right="480"/>
        <w:jc w:val="center"/>
        <w:rPr>
          <w:rFonts w:hint="eastAsia"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有效的企业法人营业执照（或事业法人登记证）、其他组织（个体工商户）的营业执照或者民办非企业单位登记证书。</w:t>
      </w:r>
    </w:p>
    <w:p w14:paraId="58912CE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4BC9C03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宁波市鄞州区下应街道社区卫生服务中心、浙江联达工程项目管理有限公司：</w:t>
      </w:r>
    </w:p>
    <w:p w14:paraId="4780C24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我方参与下应街道社区卫生服务中心医康养护一体化建设项目【项目编号：ZJLD-2025212】政府采购活动，郑重承诺：</w:t>
      </w:r>
    </w:p>
    <w:p w14:paraId="48D2BEC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1A63232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3F475C6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067A5E2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696A33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3CA14C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107C26A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54FA36D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w:t>
      </w:r>
      <w:r>
        <w:rPr>
          <w:rFonts w:hint="eastAsia" w:ascii="宋体" w:hAnsi="宋体" w:cs="宋体"/>
          <w:color w:val="auto"/>
          <w:sz w:val="21"/>
          <w:szCs w:val="21"/>
          <w:highlight w:val="none"/>
          <w:lang w:eastAsia="zh-CN"/>
        </w:rPr>
        <w:t>重大税收违法失信主体</w:t>
      </w:r>
      <w:r>
        <w:rPr>
          <w:rFonts w:hint="eastAsia" w:ascii="宋体" w:hAnsi="宋体" w:cs="宋体"/>
          <w:color w:val="auto"/>
          <w:sz w:val="21"/>
          <w:szCs w:val="21"/>
          <w:highlight w:val="none"/>
        </w:rPr>
        <w:t>、政府采购严重违法失信行为记录名单。</w:t>
      </w:r>
    </w:p>
    <w:p w14:paraId="052704A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6A5F1E3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294F9D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3779AF06">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311770E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443031B">
      <w:pPr>
        <w:snapToGrid w:val="0"/>
        <w:spacing w:line="360" w:lineRule="auto"/>
        <w:ind w:right="480"/>
        <w:jc w:val="center"/>
        <w:rPr>
          <w:rFonts w:ascii="宋体" w:hAnsi="宋体" w:cs="宋体"/>
          <w:b/>
          <w:color w:val="auto"/>
          <w:kern w:val="0"/>
          <w:sz w:val="21"/>
          <w:szCs w:val="21"/>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3A80EC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39B81A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4F912696">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w:t>
      </w:r>
      <w:r>
        <w:rPr>
          <w:rFonts w:hint="eastAsia" w:ascii="宋体" w:hAnsi="宋体" w:cs="宋体"/>
          <w:color w:val="auto"/>
          <w:sz w:val="21"/>
          <w:szCs w:val="21"/>
          <w:highlight w:val="none"/>
          <w:lang w:val="en-US" w:eastAsia="zh-CN"/>
        </w:rPr>
        <w:t>格式详见附件</w:t>
      </w:r>
      <w:r>
        <w:rPr>
          <w:rFonts w:hint="eastAsia" w:ascii="宋体" w:hAnsi="宋体" w:cs="宋体"/>
          <w:color w:val="auto"/>
          <w:sz w:val="21"/>
          <w:szCs w:val="21"/>
          <w:highlight w:val="none"/>
        </w:rPr>
        <w:t xml:space="preserve">）。 </w:t>
      </w:r>
    </w:p>
    <w:p w14:paraId="45FC4105">
      <w:pPr>
        <w:widowControl/>
        <w:spacing w:line="360" w:lineRule="auto"/>
        <w:ind w:firstLine="480"/>
        <w:jc w:val="left"/>
        <w:rPr>
          <w:rFonts w:ascii="宋体" w:hAnsi="宋体" w:cs="宋体"/>
          <w:color w:val="auto"/>
          <w:sz w:val="21"/>
          <w:szCs w:val="21"/>
          <w:highlight w:val="none"/>
        </w:rPr>
      </w:pPr>
    </w:p>
    <w:p w14:paraId="2A942FBC">
      <w:pPr>
        <w:spacing w:line="360" w:lineRule="auto"/>
        <w:ind w:firstLine="420" w:firstLineChars="200"/>
        <w:rPr>
          <w:rFonts w:ascii="宋体" w:hAnsi="宋体" w:cs="宋体"/>
          <w:color w:val="auto"/>
          <w:sz w:val="21"/>
          <w:szCs w:val="21"/>
          <w:highlight w:val="yellow"/>
        </w:rPr>
      </w:pPr>
    </w:p>
    <w:p w14:paraId="04588867">
      <w:pPr>
        <w:widowControl/>
        <w:spacing w:line="360" w:lineRule="auto"/>
        <w:ind w:left="150"/>
        <w:jc w:val="center"/>
        <w:rPr>
          <w:rFonts w:ascii="宋体" w:hAnsi="宋体" w:cs="宋体"/>
          <w:b/>
          <w:color w:val="auto"/>
          <w:kern w:val="0"/>
          <w:sz w:val="32"/>
          <w:szCs w:val="32"/>
          <w:highlight w:val="none"/>
        </w:rPr>
      </w:pPr>
    </w:p>
    <w:p w14:paraId="4B59C7F2">
      <w:pPr>
        <w:widowControl/>
        <w:spacing w:line="360" w:lineRule="auto"/>
        <w:ind w:left="150"/>
        <w:jc w:val="center"/>
        <w:rPr>
          <w:rFonts w:hint="eastAsia" w:ascii="宋体" w:hAnsi="宋体" w:cs="宋体"/>
          <w:b/>
          <w:color w:val="auto"/>
          <w:kern w:val="0"/>
          <w:sz w:val="32"/>
          <w:szCs w:val="32"/>
          <w:highlight w:val="none"/>
          <w:lang w:val="en-US" w:eastAsia="zh-CN"/>
        </w:rPr>
      </w:pPr>
    </w:p>
    <w:p w14:paraId="019B60E2">
      <w:pPr>
        <w:widowControl/>
        <w:spacing w:line="360" w:lineRule="auto"/>
        <w:ind w:left="150"/>
        <w:jc w:val="center"/>
        <w:rPr>
          <w:rFonts w:hint="eastAsia" w:ascii="宋体" w:hAnsi="宋体" w:cs="宋体"/>
          <w:b/>
          <w:color w:val="auto"/>
          <w:kern w:val="0"/>
          <w:sz w:val="32"/>
          <w:szCs w:val="32"/>
          <w:highlight w:val="none"/>
          <w:lang w:val="en-US" w:eastAsia="zh-CN"/>
        </w:rPr>
      </w:pPr>
    </w:p>
    <w:p w14:paraId="34349A81">
      <w:pPr>
        <w:widowControl/>
        <w:spacing w:line="360" w:lineRule="auto"/>
        <w:ind w:left="150"/>
        <w:jc w:val="center"/>
        <w:rPr>
          <w:rFonts w:hint="eastAsia" w:ascii="宋体" w:hAnsi="宋体" w:cs="宋体"/>
          <w:b/>
          <w:color w:val="auto"/>
          <w:kern w:val="0"/>
          <w:sz w:val="32"/>
          <w:szCs w:val="32"/>
          <w:highlight w:val="none"/>
          <w:lang w:val="en-US" w:eastAsia="zh-CN"/>
        </w:rPr>
      </w:pPr>
    </w:p>
    <w:p w14:paraId="7CCCB1D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4E61A3E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490904AA">
      <w:pPr>
        <w:rPr>
          <w:rFonts w:ascii="宋体" w:hAnsi="宋体" w:cs="宋体"/>
          <w:color w:val="auto"/>
          <w:sz w:val="21"/>
          <w:szCs w:val="21"/>
          <w:highlight w:val="none"/>
        </w:rPr>
      </w:pPr>
    </w:p>
    <w:p w14:paraId="20D2FA3B">
      <w:pPr>
        <w:snapToGrid w:val="0"/>
        <w:spacing w:line="360" w:lineRule="auto"/>
        <w:ind w:right="480"/>
        <w:jc w:val="center"/>
        <w:rPr>
          <w:rFonts w:hint="eastAsia" w:ascii="宋体" w:hAnsi="宋体" w:eastAsia="宋体" w:cs="宋体"/>
          <w:b/>
          <w:color w:val="auto"/>
          <w:sz w:val="21"/>
          <w:szCs w:val="21"/>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rPr>
        <w:t>响应文件中须提供资质证书及安全生产许可证复印件</w:t>
      </w:r>
    </w:p>
    <w:p w14:paraId="707AA4E5">
      <w:pPr>
        <w:pStyle w:val="3"/>
        <w:rPr>
          <w:rFonts w:ascii="宋体" w:hAnsi="宋体" w:cs="宋体"/>
          <w:b w:val="0"/>
          <w:color w:val="auto"/>
          <w:kern w:val="0"/>
          <w:sz w:val="36"/>
          <w:szCs w:val="36"/>
          <w:highlight w:val="none"/>
        </w:rPr>
      </w:pPr>
    </w:p>
    <w:p w14:paraId="67FB02A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CAB3AF2">
      <w:pPr>
        <w:spacing w:line="360" w:lineRule="auto"/>
        <w:jc w:val="center"/>
        <w:outlineLvl w:val="0"/>
        <w:rPr>
          <w:rFonts w:ascii="宋体" w:hAnsi="宋体" w:cs="宋体"/>
          <w:b/>
          <w:color w:val="auto"/>
          <w:kern w:val="0"/>
          <w:sz w:val="28"/>
          <w:szCs w:val="28"/>
          <w:highlight w:val="none"/>
        </w:rPr>
      </w:pPr>
      <w:bookmarkStart w:id="1068" w:name="_Toc32599"/>
      <w:r>
        <w:rPr>
          <w:rFonts w:hint="eastAsia" w:ascii="宋体" w:hAnsi="宋体" w:cs="宋体"/>
          <w:b/>
          <w:color w:val="auto"/>
          <w:kern w:val="0"/>
          <w:sz w:val="28"/>
          <w:szCs w:val="28"/>
          <w:highlight w:val="none"/>
        </w:rPr>
        <w:t>目录</w:t>
      </w:r>
      <w:bookmarkEnd w:id="1068"/>
    </w:p>
    <w:p w14:paraId="6C28E562">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460B43F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9CC4E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）符合性审查资料……………………………………………………………（页码）</w:t>
      </w:r>
    </w:p>
    <w:p w14:paraId="2FF38C1D">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）评审标准相应的商务技术资料……………………………………………（页码）</w:t>
      </w:r>
    </w:p>
    <w:p w14:paraId="6FC9CF8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）商务技术偏离表……………………………………………………………（页码）</w:t>
      </w:r>
    </w:p>
    <w:p w14:paraId="745058E4">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）项目管理机构</w:t>
      </w:r>
      <w:r>
        <w:rPr>
          <w:rFonts w:hint="eastAsia" w:ascii="宋体" w:hAnsi="宋体" w:cs="宋体"/>
          <w:color w:val="auto"/>
          <w:sz w:val="24"/>
          <w:highlight w:val="none"/>
        </w:rPr>
        <w:t>………………………………………………………………（页码）</w:t>
      </w:r>
    </w:p>
    <w:p w14:paraId="1B7FFC69">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同类业绩情况一览表</w:t>
      </w:r>
      <w:r>
        <w:rPr>
          <w:rFonts w:hint="eastAsia" w:ascii="宋体" w:hAnsi="宋体" w:cs="宋体"/>
          <w:color w:val="auto"/>
          <w:sz w:val="24"/>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）项目经理无在建项目承诺书</w:t>
      </w:r>
      <w:r>
        <w:rPr>
          <w:rFonts w:hint="eastAsia" w:ascii="宋体" w:hAnsi="宋体" w:cs="宋体"/>
          <w:color w:val="auto"/>
          <w:sz w:val="24"/>
          <w:highlight w:val="none"/>
        </w:rPr>
        <w:t>………………………………………………（页码）</w:t>
      </w:r>
    </w:p>
    <w:p w14:paraId="44FA395E">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）施工组织设计</w:t>
      </w:r>
      <w:r>
        <w:rPr>
          <w:rFonts w:hint="eastAsia" w:ascii="宋体" w:hAnsi="宋体" w:cs="宋体"/>
          <w:color w:val="auto"/>
          <w:sz w:val="24"/>
          <w:highlight w:val="none"/>
        </w:rPr>
        <w:t>………………………………………………………………（页码）</w:t>
      </w:r>
    </w:p>
    <w:p w14:paraId="71D821CF">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主要材料品牌响应表</w:t>
      </w:r>
      <w:r>
        <w:rPr>
          <w:rFonts w:hint="eastAsia" w:ascii="宋体" w:hAnsi="宋体" w:cs="宋体"/>
          <w:color w:val="auto"/>
          <w:sz w:val="24"/>
          <w:highlight w:val="none"/>
        </w:rPr>
        <w:t>……………………………………………………（页码）</w:t>
      </w:r>
    </w:p>
    <w:p w14:paraId="74008584">
      <w:pPr>
        <w:snapToGrid w:val="0"/>
        <w:spacing w:line="360" w:lineRule="auto"/>
        <w:jc w:val="center"/>
        <w:rPr>
          <w:rFonts w:ascii="宋体" w:hAnsi="宋体" w:cs="宋体"/>
          <w:b/>
          <w:color w:val="auto"/>
          <w:kern w:val="0"/>
          <w:sz w:val="24"/>
          <w:szCs w:val="32"/>
          <w:highlight w:val="none"/>
          <w:lang w:val="zh-CN"/>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E10FF9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2910F0A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宁波市鄞州区下应街道社区卫生服务中心、浙江联达工程项目管理有限公司：</w:t>
      </w:r>
    </w:p>
    <w:p w14:paraId="4D908D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我方参加你方组织的下应街道社区卫生服务中心医康养护一体化建设项目【项目编号：</w:t>
      </w:r>
      <w:r>
        <w:rPr>
          <w:rFonts w:hint="eastAsia" w:ascii="宋体" w:hAnsi="宋体" w:cs="宋体"/>
          <w:color w:val="auto"/>
          <w:sz w:val="21"/>
          <w:szCs w:val="21"/>
          <w:highlight w:val="none"/>
        </w:rPr>
        <w:t>ZJLD-2025212</w:t>
      </w:r>
      <w:r>
        <w:rPr>
          <w:rFonts w:hint="eastAsia" w:ascii="宋体" w:hAnsi="宋体" w:eastAsia="宋体" w:cs="宋体"/>
          <w:color w:val="auto"/>
          <w:sz w:val="21"/>
          <w:szCs w:val="21"/>
          <w:highlight w:val="none"/>
        </w:rPr>
        <w:t>】采购的有关活动，并对此项目提交响应文件及报价。为此：</w:t>
      </w:r>
    </w:p>
    <w:p w14:paraId="3C0390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1、我方承诺响应文件有效期从提交响应文件的截止之日起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天（不少于90天），本响应文件在响应文件有效期满之前均具有约束力。</w:t>
      </w:r>
    </w:p>
    <w:p w14:paraId="14B2B2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2、我方的响应文件包括以下内容：</w:t>
      </w:r>
    </w:p>
    <w:p w14:paraId="155E4C9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000432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48227B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1F851E0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3、我方承诺除商务技术偏离表列出的偏离外，我方响应采购文件的全部要求。</w:t>
      </w:r>
    </w:p>
    <w:p w14:paraId="3EE4F1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4、我方承诺对投标文件中材料的真实性、合法性负责，积极配合采购人、采购代理机构复核投标文件中的资料。</w:t>
      </w:r>
    </w:p>
    <w:p w14:paraId="5D8C644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、如我方成交，我方承诺：</w:t>
      </w:r>
    </w:p>
    <w:p w14:paraId="4CA03E6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.1在收到成交通知书后，在成交通知书规定的期限内与你方签订合同； </w:t>
      </w:r>
    </w:p>
    <w:p w14:paraId="200152C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.2在签订合同时不向你方提出附加条件； </w:t>
      </w:r>
    </w:p>
    <w:p w14:paraId="38E60F0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.3按照采购文件要求提交履约保证金； </w:t>
      </w:r>
    </w:p>
    <w:p w14:paraId="0D1564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.4在合同约定的期限内完成合同规定的全部义务。 </w:t>
      </w:r>
    </w:p>
    <w:p w14:paraId="4AD0E7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、其他补充说明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7296D9">
      <w:pPr>
        <w:spacing w:line="360" w:lineRule="auto"/>
        <w:ind w:firstLine="3150" w:firstLineChars="1500"/>
        <w:rPr>
          <w:rFonts w:hint="eastAsia" w:ascii="宋体" w:hAnsi="宋体" w:cs="宋体"/>
          <w:color w:val="auto"/>
          <w:sz w:val="21"/>
          <w:szCs w:val="21"/>
          <w:highlight w:val="none"/>
        </w:rPr>
      </w:pPr>
    </w:p>
    <w:p w14:paraId="7A312D2F">
      <w:pPr>
        <w:spacing w:line="360" w:lineRule="auto"/>
        <w:ind w:firstLine="3150" w:firstLineChars="1500"/>
        <w:rPr>
          <w:rFonts w:hint="eastAsia" w:ascii="宋体" w:hAnsi="宋体" w:cs="宋体"/>
          <w:color w:val="auto"/>
          <w:sz w:val="21"/>
          <w:szCs w:val="21"/>
          <w:highlight w:val="none"/>
        </w:rPr>
      </w:pPr>
    </w:p>
    <w:p w14:paraId="4857ED7C">
      <w:pPr>
        <w:spacing w:line="360" w:lineRule="auto"/>
        <w:ind w:firstLine="3780" w:firstLineChars="1800"/>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5A022FB8">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34F1974F">
      <w:pPr>
        <w:snapToGrid w:val="0"/>
        <w:spacing w:line="360" w:lineRule="auto"/>
        <w:ind w:left="420" w:leftChars="200" w:firstLine="3675" w:firstLineChars="1750"/>
        <w:rPr>
          <w:rFonts w:ascii="宋体" w:hAnsi="宋体" w:cs="宋体"/>
          <w:color w:val="auto"/>
          <w:kern w:val="0"/>
          <w:sz w:val="21"/>
          <w:szCs w:val="21"/>
          <w:highlight w:val="none"/>
          <w:u w:val="single"/>
        </w:rPr>
      </w:pPr>
    </w:p>
    <w:p w14:paraId="27572B81">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74FC9971">
      <w:pPr>
        <w:snapToGrid w:val="0"/>
        <w:spacing w:line="360" w:lineRule="auto"/>
        <w:jc w:val="center"/>
        <w:rPr>
          <w:rFonts w:ascii="宋体" w:hAnsi="宋体" w:cs="宋体"/>
          <w:b/>
          <w:color w:val="auto"/>
          <w:kern w:val="0"/>
          <w:sz w:val="21"/>
          <w:szCs w:val="21"/>
          <w:highlight w:val="none"/>
        </w:rPr>
      </w:pPr>
    </w:p>
    <w:p w14:paraId="4195AA01">
      <w:pPr>
        <w:snapToGrid w:val="0"/>
        <w:spacing w:line="360" w:lineRule="auto"/>
        <w:rPr>
          <w:rFonts w:ascii="宋体" w:hAnsi="宋体" w:cs="宋体"/>
          <w:color w:val="auto"/>
          <w:sz w:val="21"/>
          <w:szCs w:val="21"/>
          <w:highlight w:val="none"/>
        </w:rPr>
      </w:pPr>
    </w:p>
    <w:p w14:paraId="35220D91">
      <w:pPr>
        <w:jc w:val="center"/>
        <w:rPr>
          <w:rFonts w:ascii="宋体" w:hAnsi="宋体" w:cs="宋体"/>
          <w:b/>
          <w:color w:val="auto"/>
          <w:kern w:val="0"/>
          <w:sz w:val="32"/>
          <w:szCs w:val="32"/>
          <w:highlight w:val="none"/>
        </w:rPr>
      </w:pPr>
    </w:p>
    <w:p w14:paraId="6B6B3F39">
      <w:pPr>
        <w:jc w:val="center"/>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254806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29A00F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DE1F618">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F9223EB">
      <w:pPr>
        <w:snapToGrid w:val="0"/>
        <w:spacing w:line="360" w:lineRule="auto"/>
        <w:rPr>
          <w:rFonts w:hint="eastAsia" w:ascii="宋体" w:hAnsi="宋体" w:cs="宋体"/>
          <w:color w:val="auto"/>
          <w:kern w:val="0"/>
          <w:sz w:val="24"/>
          <w:highlight w:val="none"/>
          <w:u w:val="single"/>
          <w:lang w:val="zh-CN"/>
        </w:rPr>
      </w:pPr>
    </w:p>
    <w:p w14:paraId="65F9274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u w:val="single"/>
          <w:lang w:val="zh-CN"/>
        </w:rPr>
        <w:t>宁波市鄞州区下应街道社区卫生服务中心、浙江联达工程项目管理有限公司</w:t>
      </w:r>
      <w:r>
        <w:rPr>
          <w:rFonts w:hint="eastAsia" w:ascii="宋体" w:hAnsi="宋体" w:cs="宋体"/>
          <w:color w:val="auto"/>
          <w:kern w:val="0"/>
          <w:sz w:val="21"/>
          <w:szCs w:val="21"/>
          <w:highlight w:val="none"/>
          <w:lang w:val="zh-CN"/>
        </w:rPr>
        <w:t>：</w:t>
      </w:r>
    </w:p>
    <w:p w14:paraId="6D406D66">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），以我方名义处理下应街道社区卫生服务中心医康养护一体化建设项目</w:t>
      </w:r>
      <w:r>
        <w:rPr>
          <w:rFonts w:hint="eastAsia" w:ascii="宋体" w:hAnsi="宋体" w:cs="宋体"/>
          <w:color w:val="auto"/>
          <w:sz w:val="21"/>
          <w:szCs w:val="21"/>
          <w:highlight w:val="none"/>
        </w:rPr>
        <w:t>【项目编号：ZJLD-2025212】</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59E08C56">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F5E0A4F">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5E0BD19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供应商名称(电子签名)：</w:t>
      </w:r>
    </w:p>
    <w:p w14:paraId="6E0A33F2">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6811E397">
      <w:pPr>
        <w:snapToGrid w:val="0"/>
        <w:spacing w:line="360" w:lineRule="auto"/>
        <w:rPr>
          <w:rFonts w:ascii="宋体" w:hAnsi="宋体" w:cs="宋体"/>
          <w:color w:val="auto"/>
          <w:sz w:val="24"/>
          <w:highlight w:val="none"/>
        </w:rPr>
      </w:pPr>
    </w:p>
    <w:p w14:paraId="5C38A2EC">
      <w:pPr>
        <w:snapToGrid w:val="0"/>
        <w:spacing w:line="360" w:lineRule="auto"/>
        <w:rPr>
          <w:rFonts w:ascii="宋体" w:hAnsi="宋体" w:cs="宋体"/>
          <w:color w:val="auto"/>
          <w:sz w:val="24"/>
          <w:highlight w:val="none"/>
        </w:rPr>
      </w:pPr>
    </w:p>
    <w:p w14:paraId="78E36AF8">
      <w:pPr>
        <w:snapToGrid w:val="0"/>
        <w:spacing w:line="360" w:lineRule="auto"/>
        <w:rPr>
          <w:rFonts w:ascii="宋体" w:hAnsi="宋体" w:cs="宋体"/>
          <w:color w:val="auto"/>
          <w:sz w:val="24"/>
          <w:highlight w:val="none"/>
        </w:rPr>
      </w:pPr>
    </w:p>
    <w:p w14:paraId="02831CA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7848339">
      <w:pPr>
        <w:snapToGrid w:val="0"/>
        <w:spacing w:line="360" w:lineRule="auto"/>
        <w:rPr>
          <w:rFonts w:hint="eastAsia" w:ascii="宋体" w:hAnsi="宋体" w:cs="宋体"/>
          <w:color w:val="auto"/>
          <w:kern w:val="0"/>
          <w:sz w:val="24"/>
          <w:highlight w:val="none"/>
          <w:u w:val="single"/>
          <w:lang w:val="zh-CN"/>
        </w:rPr>
      </w:pPr>
    </w:p>
    <w:p w14:paraId="0F73DF6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u w:val="single"/>
          <w:lang w:val="zh-CN"/>
        </w:rPr>
        <w:t>宁波市鄞州区下应街道社区卫生服务中心、浙江联达工程项目管理有限公司</w:t>
      </w:r>
      <w:r>
        <w:rPr>
          <w:rFonts w:hint="eastAsia" w:ascii="宋体" w:hAnsi="宋体" w:cs="宋体"/>
          <w:color w:val="auto"/>
          <w:kern w:val="0"/>
          <w:sz w:val="21"/>
          <w:szCs w:val="21"/>
          <w:highlight w:val="none"/>
          <w:lang w:val="zh-CN"/>
        </w:rPr>
        <w:t>：</w:t>
      </w:r>
    </w:p>
    <w:p w14:paraId="122A5B3F">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），以我方名义处理下应街道社区卫生服务中心医康养护一体化建设项目</w:t>
      </w:r>
      <w:r>
        <w:rPr>
          <w:rFonts w:hint="eastAsia" w:ascii="宋体" w:hAnsi="宋体" w:cs="宋体"/>
          <w:color w:val="auto"/>
          <w:sz w:val="21"/>
          <w:szCs w:val="21"/>
          <w:highlight w:val="none"/>
        </w:rPr>
        <w:t>【项目编号：ZJLD-2025212】</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4795347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2F82C3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ED21F15">
      <w:pPr>
        <w:jc w:val="both"/>
        <w:rPr>
          <w:rFonts w:ascii="宋体" w:hAnsi="宋体" w:cs="宋体"/>
          <w:b/>
          <w:color w:val="auto"/>
          <w:kern w:val="0"/>
          <w:sz w:val="21"/>
          <w:szCs w:val="21"/>
          <w:highlight w:val="none"/>
        </w:rPr>
      </w:pPr>
    </w:p>
    <w:p w14:paraId="27B244AF">
      <w:pPr>
        <w:jc w:val="center"/>
        <w:rPr>
          <w:rFonts w:ascii="宋体" w:hAnsi="宋体" w:cs="宋体"/>
          <w:b/>
          <w:color w:val="auto"/>
          <w:kern w:val="0"/>
          <w:sz w:val="21"/>
          <w:szCs w:val="21"/>
          <w:highlight w:val="none"/>
        </w:rPr>
      </w:pPr>
    </w:p>
    <w:p w14:paraId="5ECB799C">
      <w:pPr>
        <w:rPr>
          <w:rFonts w:ascii="宋体" w:hAnsi="宋体" w:cs="宋体"/>
          <w:color w:val="auto"/>
          <w:sz w:val="21"/>
          <w:szCs w:val="21"/>
          <w:highlight w:val="none"/>
        </w:rPr>
      </w:pPr>
    </w:p>
    <w:p w14:paraId="6E0F7EEB">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170CF8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746A2F2">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9B84AA9">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6609D272">
      <w:pPr>
        <w:snapToGrid w:val="0"/>
        <w:jc w:val="center"/>
        <w:rPr>
          <w:rFonts w:hint="eastAsia" w:ascii="宋体" w:hAnsi="宋体" w:cs="宋体"/>
          <w:b/>
          <w:bCs/>
          <w:color w:val="auto"/>
          <w:sz w:val="21"/>
          <w:szCs w:val="21"/>
          <w:highlight w:val="none"/>
          <w:lang w:val="zh-CN"/>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C38D56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05C11F5C">
      <w:pPr>
        <w:pStyle w:val="15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E6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7077A7">
            <w:pPr>
              <w:pStyle w:val="153"/>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653090FA">
            <w:pPr>
              <w:pStyle w:val="153"/>
              <w:adjustRightInd w:val="0"/>
              <w:spacing w:line="360" w:lineRule="auto"/>
              <w:rPr>
                <w:rFonts w:hAnsi="宋体" w:cs="宋体"/>
                <w:bCs/>
                <w:color w:val="auto"/>
                <w:sz w:val="21"/>
                <w:szCs w:val="21"/>
                <w:highlight w:val="none"/>
              </w:rPr>
            </w:pPr>
          </w:p>
        </w:tc>
      </w:tr>
    </w:tbl>
    <w:p w14:paraId="11EA7E5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3846684">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 xml:space="preserve"> 供应商名称(电子签名)：                              </w:t>
      </w:r>
    </w:p>
    <w:p w14:paraId="3A89F58C">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  年  月  日</w:t>
      </w:r>
    </w:p>
    <w:p w14:paraId="1C411716">
      <w:pPr>
        <w:jc w:val="center"/>
        <w:rPr>
          <w:rFonts w:ascii="宋体" w:hAnsi="宋体" w:cs="宋体"/>
          <w:b/>
          <w:color w:val="auto"/>
          <w:kern w:val="0"/>
          <w:sz w:val="32"/>
          <w:szCs w:val="32"/>
          <w:highlight w:val="none"/>
        </w:rPr>
      </w:pPr>
    </w:p>
    <w:p w14:paraId="578D746D">
      <w:pPr>
        <w:jc w:val="center"/>
        <w:rPr>
          <w:rFonts w:ascii="宋体" w:hAnsi="宋体" w:cs="宋体"/>
          <w:b/>
          <w:color w:val="auto"/>
          <w:kern w:val="0"/>
          <w:sz w:val="32"/>
          <w:szCs w:val="32"/>
          <w:highlight w:val="none"/>
        </w:rPr>
      </w:pPr>
    </w:p>
    <w:p w14:paraId="127ABC8F">
      <w:pPr>
        <w:jc w:val="center"/>
        <w:rPr>
          <w:rFonts w:ascii="宋体" w:hAnsi="宋体" w:cs="宋体"/>
          <w:b/>
          <w:color w:val="auto"/>
          <w:kern w:val="0"/>
          <w:sz w:val="32"/>
          <w:szCs w:val="32"/>
          <w:highlight w:val="none"/>
        </w:rPr>
      </w:pPr>
    </w:p>
    <w:p w14:paraId="790FC646">
      <w:pPr>
        <w:jc w:val="center"/>
        <w:rPr>
          <w:rFonts w:ascii="宋体" w:hAnsi="宋体" w:cs="宋体"/>
          <w:b/>
          <w:color w:val="auto"/>
          <w:kern w:val="0"/>
          <w:sz w:val="32"/>
          <w:szCs w:val="32"/>
          <w:highlight w:val="none"/>
        </w:rPr>
      </w:pPr>
    </w:p>
    <w:p w14:paraId="636B3EBC">
      <w:pPr>
        <w:jc w:val="center"/>
        <w:rPr>
          <w:rFonts w:ascii="宋体" w:hAnsi="宋体" w:cs="宋体"/>
          <w:b/>
          <w:color w:val="auto"/>
          <w:kern w:val="0"/>
          <w:sz w:val="32"/>
          <w:szCs w:val="32"/>
          <w:highlight w:val="none"/>
        </w:rPr>
      </w:pPr>
    </w:p>
    <w:p w14:paraId="02EC28D4">
      <w:pPr>
        <w:jc w:val="center"/>
        <w:rPr>
          <w:rFonts w:ascii="宋体" w:hAnsi="宋体" w:cs="宋体"/>
          <w:b/>
          <w:color w:val="auto"/>
          <w:kern w:val="0"/>
          <w:sz w:val="32"/>
          <w:szCs w:val="32"/>
          <w:highlight w:val="none"/>
        </w:rPr>
      </w:pPr>
    </w:p>
    <w:p w14:paraId="0C2392E8">
      <w:pPr>
        <w:jc w:val="center"/>
        <w:rPr>
          <w:rFonts w:ascii="宋体" w:hAnsi="宋体" w:cs="宋体"/>
          <w:b/>
          <w:color w:val="auto"/>
          <w:kern w:val="0"/>
          <w:sz w:val="32"/>
          <w:szCs w:val="32"/>
          <w:highlight w:val="none"/>
        </w:rPr>
      </w:pPr>
    </w:p>
    <w:p w14:paraId="0E78762D">
      <w:pPr>
        <w:jc w:val="center"/>
        <w:rPr>
          <w:rFonts w:ascii="宋体" w:hAnsi="宋体" w:cs="宋体"/>
          <w:b/>
          <w:color w:val="auto"/>
          <w:kern w:val="0"/>
          <w:sz w:val="32"/>
          <w:szCs w:val="32"/>
          <w:highlight w:val="none"/>
        </w:rPr>
      </w:pPr>
    </w:p>
    <w:p w14:paraId="538FCB89">
      <w:pPr>
        <w:jc w:val="center"/>
        <w:rPr>
          <w:rFonts w:ascii="宋体" w:hAnsi="宋体" w:cs="宋体"/>
          <w:b/>
          <w:color w:val="auto"/>
          <w:kern w:val="0"/>
          <w:sz w:val="32"/>
          <w:szCs w:val="32"/>
          <w:highlight w:val="none"/>
        </w:rPr>
      </w:pPr>
    </w:p>
    <w:p w14:paraId="5F0D6B14">
      <w:pPr>
        <w:jc w:val="center"/>
        <w:rPr>
          <w:rFonts w:ascii="宋体" w:hAnsi="宋体" w:cs="宋体"/>
          <w:b/>
          <w:color w:val="auto"/>
          <w:kern w:val="0"/>
          <w:sz w:val="32"/>
          <w:szCs w:val="32"/>
          <w:highlight w:val="none"/>
        </w:rPr>
      </w:pPr>
    </w:p>
    <w:p w14:paraId="223CE95B">
      <w:pPr>
        <w:snapToGrid w:val="0"/>
        <w:spacing w:line="360" w:lineRule="auto"/>
        <w:ind w:right="480"/>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2E961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、符合性审查资料</w:t>
      </w:r>
    </w:p>
    <w:p w14:paraId="725A936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1E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D7068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4B61D66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1EF8640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4A10DEA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2B8672FE">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1179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E08140">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6C90FA9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22C22A08">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172F736E">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88CACDC">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639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7EAE82">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991" w:type="dxa"/>
            <w:vAlign w:val="center"/>
          </w:tcPr>
          <w:p w14:paraId="5342261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17060B95">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64613697">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3198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F2E062">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4991" w:type="dxa"/>
            <w:vAlign w:val="center"/>
          </w:tcPr>
          <w:p w14:paraId="54627AC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7D34D797">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2B5A7499">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8FB5D7">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DE75F58">
      <w:pPr>
        <w:jc w:val="center"/>
        <w:rPr>
          <w:rFonts w:ascii="宋体" w:hAnsi="宋体" w:cs="宋体"/>
          <w:b/>
          <w:color w:val="auto"/>
          <w:kern w:val="0"/>
          <w:sz w:val="32"/>
          <w:szCs w:val="32"/>
          <w:highlight w:val="none"/>
        </w:rPr>
      </w:pPr>
    </w:p>
    <w:p w14:paraId="2689F99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A1E3CE7">
      <w:pPr>
        <w:jc w:val="center"/>
        <w:rPr>
          <w:rFonts w:ascii="宋体" w:hAnsi="宋体" w:cs="宋体"/>
          <w:b/>
          <w:color w:val="auto"/>
          <w:kern w:val="0"/>
          <w:sz w:val="32"/>
          <w:szCs w:val="32"/>
          <w:highlight w:val="none"/>
        </w:rPr>
      </w:pPr>
    </w:p>
    <w:p w14:paraId="75759E2C">
      <w:pPr>
        <w:jc w:val="center"/>
        <w:rPr>
          <w:rFonts w:ascii="宋体" w:hAnsi="宋体" w:cs="宋体"/>
          <w:b/>
          <w:color w:val="auto"/>
          <w:kern w:val="0"/>
          <w:sz w:val="32"/>
          <w:szCs w:val="32"/>
          <w:highlight w:val="none"/>
        </w:rPr>
      </w:pPr>
    </w:p>
    <w:p w14:paraId="43ABD195">
      <w:pPr>
        <w:jc w:val="center"/>
        <w:rPr>
          <w:rFonts w:ascii="宋体" w:hAnsi="宋体" w:cs="宋体"/>
          <w:b/>
          <w:color w:val="auto"/>
          <w:kern w:val="0"/>
          <w:sz w:val="32"/>
          <w:szCs w:val="32"/>
          <w:highlight w:val="none"/>
        </w:rPr>
      </w:pPr>
    </w:p>
    <w:p w14:paraId="0A3C8160">
      <w:pPr>
        <w:jc w:val="center"/>
        <w:rPr>
          <w:rFonts w:ascii="宋体" w:hAnsi="宋体" w:cs="宋体"/>
          <w:b/>
          <w:color w:val="auto"/>
          <w:kern w:val="0"/>
          <w:sz w:val="32"/>
          <w:szCs w:val="32"/>
          <w:highlight w:val="none"/>
        </w:rPr>
      </w:pPr>
    </w:p>
    <w:p w14:paraId="651353DA">
      <w:pPr>
        <w:jc w:val="center"/>
        <w:rPr>
          <w:rFonts w:ascii="宋体" w:hAnsi="宋体" w:cs="宋体"/>
          <w:b/>
          <w:color w:val="auto"/>
          <w:kern w:val="0"/>
          <w:sz w:val="32"/>
          <w:szCs w:val="32"/>
          <w:highlight w:val="none"/>
        </w:rPr>
      </w:pPr>
    </w:p>
    <w:p w14:paraId="4BECAF50">
      <w:pPr>
        <w:jc w:val="center"/>
        <w:rPr>
          <w:rFonts w:ascii="宋体" w:hAnsi="宋体" w:cs="宋体"/>
          <w:b/>
          <w:color w:val="auto"/>
          <w:kern w:val="0"/>
          <w:sz w:val="32"/>
          <w:szCs w:val="32"/>
          <w:highlight w:val="none"/>
        </w:rPr>
      </w:pPr>
    </w:p>
    <w:p w14:paraId="152C9BC5">
      <w:pPr>
        <w:jc w:val="center"/>
        <w:rPr>
          <w:rFonts w:ascii="宋体" w:hAnsi="宋体" w:cs="宋体"/>
          <w:b/>
          <w:color w:val="auto"/>
          <w:kern w:val="0"/>
          <w:sz w:val="32"/>
          <w:szCs w:val="32"/>
          <w:highlight w:val="none"/>
        </w:rPr>
      </w:pPr>
    </w:p>
    <w:p w14:paraId="7992778E">
      <w:pPr>
        <w:jc w:val="center"/>
        <w:rPr>
          <w:rFonts w:ascii="宋体" w:hAnsi="宋体" w:cs="宋体"/>
          <w:b/>
          <w:color w:val="auto"/>
          <w:kern w:val="0"/>
          <w:sz w:val="32"/>
          <w:szCs w:val="32"/>
          <w:highlight w:val="none"/>
        </w:rPr>
      </w:pPr>
    </w:p>
    <w:p w14:paraId="5CFA6491">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55A6F43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、评审标准相应的商务技术资料</w:t>
      </w:r>
    </w:p>
    <w:p w14:paraId="62379A6C">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（按采购文件第四部分评审办法前附表中“响应文件中评审标准相应的商务技术资料目录”提供资料。）</w:t>
      </w:r>
    </w:p>
    <w:p w14:paraId="5C3695BB">
      <w:pPr>
        <w:jc w:val="center"/>
        <w:rPr>
          <w:rFonts w:ascii="宋体" w:hAnsi="宋体" w:cs="宋体"/>
          <w:b/>
          <w:color w:val="auto"/>
          <w:kern w:val="0"/>
          <w:sz w:val="32"/>
          <w:szCs w:val="32"/>
          <w:highlight w:val="none"/>
        </w:rPr>
      </w:pPr>
    </w:p>
    <w:p w14:paraId="0D4B7960">
      <w:pPr>
        <w:jc w:val="center"/>
        <w:rPr>
          <w:rFonts w:ascii="宋体" w:hAnsi="宋体" w:cs="宋体"/>
          <w:b/>
          <w:color w:val="auto"/>
          <w:kern w:val="0"/>
          <w:sz w:val="32"/>
          <w:szCs w:val="32"/>
          <w:highlight w:val="none"/>
        </w:rPr>
      </w:pPr>
    </w:p>
    <w:p w14:paraId="420FB358">
      <w:pPr>
        <w:jc w:val="center"/>
        <w:rPr>
          <w:rFonts w:ascii="宋体" w:hAnsi="宋体" w:cs="宋体"/>
          <w:b/>
          <w:color w:val="auto"/>
          <w:kern w:val="0"/>
          <w:sz w:val="32"/>
          <w:szCs w:val="32"/>
          <w:highlight w:val="none"/>
        </w:rPr>
      </w:pPr>
    </w:p>
    <w:p w14:paraId="1C26F67B">
      <w:pPr>
        <w:jc w:val="center"/>
        <w:rPr>
          <w:rFonts w:ascii="宋体" w:hAnsi="宋体" w:cs="宋体"/>
          <w:b/>
          <w:color w:val="auto"/>
          <w:kern w:val="0"/>
          <w:sz w:val="32"/>
          <w:szCs w:val="32"/>
          <w:highlight w:val="none"/>
        </w:rPr>
      </w:pPr>
    </w:p>
    <w:p w14:paraId="4429F27F">
      <w:pPr>
        <w:jc w:val="center"/>
        <w:rPr>
          <w:rFonts w:ascii="宋体" w:hAnsi="宋体" w:cs="宋体"/>
          <w:b/>
          <w:color w:val="auto"/>
          <w:kern w:val="0"/>
          <w:sz w:val="32"/>
          <w:szCs w:val="32"/>
          <w:highlight w:val="none"/>
        </w:rPr>
      </w:pPr>
    </w:p>
    <w:p w14:paraId="74B0F01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2C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B28E6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12CA41B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采购文件章节及具体内容</w:t>
            </w:r>
          </w:p>
        </w:tc>
        <w:tc>
          <w:tcPr>
            <w:tcW w:w="3546" w:type="dxa"/>
          </w:tcPr>
          <w:p w14:paraId="29AC2479">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响应文件章节及具体内容</w:t>
            </w:r>
          </w:p>
        </w:tc>
        <w:tc>
          <w:tcPr>
            <w:tcW w:w="1276" w:type="dxa"/>
          </w:tcPr>
          <w:p w14:paraId="7497305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7009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F64D3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38E2A5AB">
            <w:pPr>
              <w:jc w:val="center"/>
              <w:rPr>
                <w:rFonts w:ascii="宋体" w:hAnsi="宋体" w:cs="宋体"/>
                <w:b/>
                <w:color w:val="auto"/>
                <w:kern w:val="0"/>
                <w:sz w:val="21"/>
                <w:szCs w:val="21"/>
                <w:highlight w:val="none"/>
              </w:rPr>
            </w:pPr>
          </w:p>
        </w:tc>
        <w:tc>
          <w:tcPr>
            <w:tcW w:w="3546" w:type="dxa"/>
          </w:tcPr>
          <w:p w14:paraId="4B2E37ED">
            <w:pPr>
              <w:jc w:val="center"/>
              <w:rPr>
                <w:rFonts w:ascii="宋体" w:hAnsi="宋体" w:cs="宋体"/>
                <w:b/>
                <w:color w:val="auto"/>
                <w:kern w:val="0"/>
                <w:sz w:val="21"/>
                <w:szCs w:val="21"/>
                <w:highlight w:val="none"/>
              </w:rPr>
            </w:pPr>
          </w:p>
        </w:tc>
        <w:tc>
          <w:tcPr>
            <w:tcW w:w="1276" w:type="dxa"/>
          </w:tcPr>
          <w:p w14:paraId="74BAF6B7">
            <w:pPr>
              <w:jc w:val="center"/>
              <w:rPr>
                <w:rFonts w:ascii="宋体" w:hAnsi="宋体" w:cs="宋体"/>
                <w:b/>
                <w:color w:val="auto"/>
                <w:kern w:val="0"/>
                <w:sz w:val="21"/>
                <w:szCs w:val="21"/>
                <w:highlight w:val="none"/>
              </w:rPr>
            </w:pPr>
          </w:p>
        </w:tc>
      </w:tr>
      <w:tr w14:paraId="05C4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E759D8">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32DFFC2">
            <w:pPr>
              <w:jc w:val="center"/>
              <w:rPr>
                <w:rFonts w:ascii="宋体" w:hAnsi="宋体" w:cs="宋体"/>
                <w:b/>
                <w:color w:val="auto"/>
                <w:kern w:val="0"/>
                <w:sz w:val="21"/>
                <w:szCs w:val="21"/>
                <w:highlight w:val="none"/>
              </w:rPr>
            </w:pPr>
          </w:p>
        </w:tc>
        <w:tc>
          <w:tcPr>
            <w:tcW w:w="3546" w:type="dxa"/>
          </w:tcPr>
          <w:p w14:paraId="68C47F10">
            <w:pPr>
              <w:jc w:val="center"/>
              <w:rPr>
                <w:rFonts w:ascii="宋体" w:hAnsi="宋体" w:cs="宋体"/>
                <w:b/>
                <w:color w:val="auto"/>
                <w:kern w:val="0"/>
                <w:sz w:val="21"/>
                <w:szCs w:val="21"/>
                <w:highlight w:val="none"/>
              </w:rPr>
            </w:pPr>
          </w:p>
        </w:tc>
        <w:tc>
          <w:tcPr>
            <w:tcW w:w="1276" w:type="dxa"/>
          </w:tcPr>
          <w:p w14:paraId="7231A4D5">
            <w:pPr>
              <w:jc w:val="center"/>
              <w:rPr>
                <w:rFonts w:ascii="宋体" w:hAnsi="宋体" w:cs="宋体"/>
                <w:b/>
                <w:color w:val="auto"/>
                <w:kern w:val="0"/>
                <w:sz w:val="21"/>
                <w:szCs w:val="21"/>
                <w:highlight w:val="none"/>
              </w:rPr>
            </w:pPr>
          </w:p>
        </w:tc>
      </w:tr>
      <w:tr w14:paraId="5D1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03891F">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748097B8">
            <w:pPr>
              <w:jc w:val="center"/>
              <w:rPr>
                <w:rFonts w:ascii="宋体" w:hAnsi="宋体" w:cs="宋体"/>
                <w:b/>
                <w:color w:val="auto"/>
                <w:kern w:val="0"/>
                <w:sz w:val="21"/>
                <w:szCs w:val="21"/>
                <w:highlight w:val="none"/>
              </w:rPr>
            </w:pPr>
          </w:p>
        </w:tc>
        <w:tc>
          <w:tcPr>
            <w:tcW w:w="3546" w:type="dxa"/>
          </w:tcPr>
          <w:p w14:paraId="4BE47710">
            <w:pPr>
              <w:jc w:val="center"/>
              <w:rPr>
                <w:rFonts w:ascii="宋体" w:hAnsi="宋体" w:cs="宋体"/>
                <w:b/>
                <w:color w:val="auto"/>
                <w:kern w:val="0"/>
                <w:sz w:val="21"/>
                <w:szCs w:val="21"/>
                <w:highlight w:val="none"/>
              </w:rPr>
            </w:pPr>
          </w:p>
        </w:tc>
        <w:tc>
          <w:tcPr>
            <w:tcW w:w="1276" w:type="dxa"/>
          </w:tcPr>
          <w:p w14:paraId="0CD81D90">
            <w:pPr>
              <w:jc w:val="center"/>
              <w:rPr>
                <w:rFonts w:ascii="宋体" w:hAnsi="宋体" w:cs="宋体"/>
                <w:b/>
                <w:color w:val="auto"/>
                <w:kern w:val="0"/>
                <w:sz w:val="21"/>
                <w:szCs w:val="21"/>
                <w:highlight w:val="none"/>
              </w:rPr>
            </w:pPr>
          </w:p>
        </w:tc>
      </w:tr>
    </w:tbl>
    <w:p w14:paraId="11EC15B1">
      <w:pPr>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供应商保证：除商务技术偏离表列出的偏离外，供应商响应采购文件的全部要求</w:t>
      </w:r>
      <w:r>
        <w:rPr>
          <w:rFonts w:hint="eastAsia" w:ascii="宋体" w:hAnsi="宋体" w:cs="宋体"/>
          <w:color w:val="auto"/>
          <w:kern w:val="0"/>
          <w:sz w:val="21"/>
          <w:szCs w:val="21"/>
          <w:highlight w:val="none"/>
          <w:lang w:eastAsia="zh-CN"/>
        </w:rPr>
        <w:t>。</w:t>
      </w:r>
    </w:p>
    <w:p w14:paraId="3F8F7D61">
      <w:pPr>
        <w:jc w:val="center"/>
        <w:rPr>
          <w:rFonts w:ascii="宋体" w:hAnsi="宋体" w:cs="宋体"/>
          <w:b/>
          <w:color w:val="auto"/>
          <w:kern w:val="0"/>
          <w:sz w:val="21"/>
          <w:szCs w:val="21"/>
          <w:highlight w:val="none"/>
        </w:rPr>
      </w:pPr>
    </w:p>
    <w:p w14:paraId="720AB736">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91EA6CA">
      <w:pPr>
        <w:ind w:firstLine="1911" w:firstLineChars="595"/>
        <w:rPr>
          <w:rFonts w:ascii="宋体" w:hAnsi="宋体" w:cs="宋体"/>
          <w:b/>
          <w:bCs/>
          <w:color w:val="auto"/>
          <w:sz w:val="32"/>
          <w:szCs w:val="32"/>
          <w:highlight w:val="none"/>
        </w:rPr>
        <w:sectPr>
          <w:footerReference r:id="rId12" w:type="first"/>
          <w:footerReference r:id="rId11"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77A1535">
      <w:pPr>
        <w:snapToGrid w:val="0"/>
        <w:jc w:val="center"/>
        <w:rPr>
          <w:rFonts w:hint="eastAsia" w:ascii="宋体" w:hAnsi="宋体" w:cs="宋体"/>
          <w:b/>
          <w:bCs/>
          <w:color w:val="auto"/>
          <w:sz w:val="32"/>
          <w:szCs w:val="32"/>
          <w:highlight w:val="none"/>
        </w:rPr>
      </w:pPr>
      <w:bookmarkStart w:id="1069" w:name="_Toc15852046"/>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项目管理机构</w:t>
      </w:r>
      <w:bookmarkEnd w:id="1069"/>
    </w:p>
    <w:p w14:paraId="77488B1D">
      <w:pPr>
        <w:keepNext/>
        <w:keepLines/>
        <w:rPr>
          <w:rFonts w:hint="eastAsia" w:ascii="宋体" w:hAnsi="宋体" w:eastAsia="宋体" w:cs="宋体"/>
          <w:b/>
          <w:sz w:val="21"/>
          <w:szCs w:val="21"/>
        </w:rPr>
      </w:pPr>
      <w:r>
        <w:rPr>
          <w:rFonts w:hint="eastAsia" w:ascii="宋体" w:hAnsi="宋体" w:eastAsia="宋体" w:cs="宋体"/>
          <w:b/>
          <w:sz w:val="21"/>
          <w:szCs w:val="21"/>
        </w:rPr>
        <w:t>1）项目管理机构组成表</w:t>
      </w:r>
    </w:p>
    <w:p w14:paraId="61DAC217">
      <w:pPr>
        <w:keepNext/>
        <w:keepLines/>
        <w:jc w:val="center"/>
        <w:rPr>
          <w:rFonts w:hint="eastAsia" w:ascii="宋体" w:hAnsi="宋体" w:eastAsia="宋体" w:cs="宋体"/>
          <w:b/>
          <w:sz w:val="21"/>
          <w:szCs w:val="21"/>
        </w:rPr>
      </w:pPr>
      <w:r>
        <w:rPr>
          <w:rFonts w:hint="eastAsia" w:ascii="宋体" w:hAnsi="宋体" w:eastAsia="宋体" w:cs="宋体"/>
          <w:b/>
          <w:sz w:val="21"/>
          <w:szCs w:val="21"/>
        </w:rPr>
        <w:t>项目管理机构组成表</w:t>
      </w:r>
    </w:p>
    <w:tbl>
      <w:tblPr>
        <w:tblStyle w:val="6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76F3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14:paraId="76C690B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职务</w:t>
            </w:r>
          </w:p>
        </w:tc>
        <w:tc>
          <w:tcPr>
            <w:tcW w:w="726" w:type="dxa"/>
            <w:vMerge w:val="restart"/>
            <w:vAlign w:val="center"/>
          </w:tcPr>
          <w:p w14:paraId="6876B1D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889" w:type="dxa"/>
            <w:vMerge w:val="restart"/>
            <w:vAlign w:val="center"/>
          </w:tcPr>
          <w:p w14:paraId="657C53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职称</w:t>
            </w:r>
          </w:p>
        </w:tc>
        <w:tc>
          <w:tcPr>
            <w:tcW w:w="6045" w:type="dxa"/>
            <w:gridSpan w:val="4"/>
            <w:vAlign w:val="center"/>
          </w:tcPr>
          <w:p w14:paraId="4A336BA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执业或职业资格证明</w:t>
            </w:r>
          </w:p>
        </w:tc>
        <w:tc>
          <w:tcPr>
            <w:tcW w:w="1069" w:type="dxa"/>
            <w:vMerge w:val="restart"/>
            <w:vAlign w:val="center"/>
          </w:tcPr>
          <w:p w14:paraId="6243448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3054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14:paraId="30921DB2">
            <w:pPr>
              <w:spacing w:line="360" w:lineRule="auto"/>
              <w:rPr>
                <w:rFonts w:hint="eastAsia" w:ascii="宋体" w:hAnsi="宋体" w:eastAsia="宋体" w:cs="宋体"/>
                <w:sz w:val="21"/>
                <w:szCs w:val="21"/>
              </w:rPr>
            </w:pPr>
          </w:p>
        </w:tc>
        <w:tc>
          <w:tcPr>
            <w:tcW w:w="726" w:type="dxa"/>
            <w:vMerge w:val="continue"/>
          </w:tcPr>
          <w:p w14:paraId="2A8A14CC">
            <w:pPr>
              <w:spacing w:line="360" w:lineRule="auto"/>
              <w:rPr>
                <w:rFonts w:hint="eastAsia" w:ascii="宋体" w:hAnsi="宋体" w:eastAsia="宋体" w:cs="宋体"/>
                <w:sz w:val="21"/>
                <w:szCs w:val="21"/>
              </w:rPr>
            </w:pPr>
          </w:p>
        </w:tc>
        <w:tc>
          <w:tcPr>
            <w:tcW w:w="889" w:type="dxa"/>
            <w:vMerge w:val="continue"/>
          </w:tcPr>
          <w:p w14:paraId="3EEC9F6F">
            <w:pPr>
              <w:spacing w:line="360" w:lineRule="auto"/>
              <w:rPr>
                <w:rFonts w:hint="eastAsia" w:ascii="宋体" w:hAnsi="宋体" w:eastAsia="宋体" w:cs="宋体"/>
                <w:sz w:val="21"/>
                <w:szCs w:val="21"/>
              </w:rPr>
            </w:pPr>
          </w:p>
        </w:tc>
        <w:tc>
          <w:tcPr>
            <w:tcW w:w="1451" w:type="dxa"/>
            <w:vAlign w:val="center"/>
          </w:tcPr>
          <w:p w14:paraId="2B8315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证书名称</w:t>
            </w:r>
          </w:p>
        </w:tc>
        <w:tc>
          <w:tcPr>
            <w:tcW w:w="900" w:type="dxa"/>
            <w:vAlign w:val="center"/>
          </w:tcPr>
          <w:p w14:paraId="702B56D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级别</w:t>
            </w:r>
          </w:p>
        </w:tc>
        <w:tc>
          <w:tcPr>
            <w:tcW w:w="1080" w:type="dxa"/>
            <w:vAlign w:val="center"/>
          </w:tcPr>
          <w:p w14:paraId="0D0DC1C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证号</w:t>
            </w:r>
          </w:p>
        </w:tc>
        <w:tc>
          <w:tcPr>
            <w:tcW w:w="2614" w:type="dxa"/>
            <w:vAlign w:val="center"/>
          </w:tcPr>
          <w:p w14:paraId="16F366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专业</w:t>
            </w:r>
          </w:p>
        </w:tc>
        <w:tc>
          <w:tcPr>
            <w:tcW w:w="1069" w:type="dxa"/>
            <w:vMerge w:val="continue"/>
          </w:tcPr>
          <w:p w14:paraId="0CF363E9">
            <w:pPr>
              <w:spacing w:line="360" w:lineRule="auto"/>
              <w:rPr>
                <w:rFonts w:hint="eastAsia" w:ascii="宋体" w:hAnsi="宋体" w:eastAsia="宋体" w:cs="宋体"/>
                <w:sz w:val="21"/>
                <w:szCs w:val="21"/>
              </w:rPr>
            </w:pPr>
          </w:p>
        </w:tc>
      </w:tr>
      <w:tr w14:paraId="5C0F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406C537D">
            <w:pPr>
              <w:spacing w:line="360" w:lineRule="auto"/>
              <w:rPr>
                <w:rFonts w:hint="eastAsia" w:ascii="宋体" w:hAnsi="宋体" w:eastAsia="宋体" w:cs="宋体"/>
                <w:sz w:val="21"/>
                <w:szCs w:val="21"/>
              </w:rPr>
            </w:pPr>
          </w:p>
        </w:tc>
        <w:tc>
          <w:tcPr>
            <w:tcW w:w="726" w:type="dxa"/>
          </w:tcPr>
          <w:p w14:paraId="592F9296">
            <w:pPr>
              <w:spacing w:line="360" w:lineRule="auto"/>
              <w:rPr>
                <w:rFonts w:hint="eastAsia" w:ascii="宋体" w:hAnsi="宋体" w:eastAsia="宋体" w:cs="宋体"/>
                <w:sz w:val="21"/>
                <w:szCs w:val="21"/>
              </w:rPr>
            </w:pPr>
          </w:p>
        </w:tc>
        <w:tc>
          <w:tcPr>
            <w:tcW w:w="889" w:type="dxa"/>
          </w:tcPr>
          <w:p w14:paraId="1CB0723B">
            <w:pPr>
              <w:spacing w:line="360" w:lineRule="auto"/>
              <w:rPr>
                <w:rFonts w:hint="eastAsia" w:ascii="宋体" w:hAnsi="宋体" w:eastAsia="宋体" w:cs="宋体"/>
                <w:sz w:val="21"/>
                <w:szCs w:val="21"/>
              </w:rPr>
            </w:pPr>
          </w:p>
        </w:tc>
        <w:tc>
          <w:tcPr>
            <w:tcW w:w="1451" w:type="dxa"/>
          </w:tcPr>
          <w:p w14:paraId="3A873900">
            <w:pPr>
              <w:spacing w:line="360" w:lineRule="auto"/>
              <w:rPr>
                <w:rFonts w:hint="eastAsia" w:ascii="宋体" w:hAnsi="宋体" w:eastAsia="宋体" w:cs="宋体"/>
                <w:sz w:val="21"/>
                <w:szCs w:val="21"/>
              </w:rPr>
            </w:pPr>
          </w:p>
        </w:tc>
        <w:tc>
          <w:tcPr>
            <w:tcW w:w="900" w:type="dxa"/>
          </w:tcPr>
          <w:p w14:paraId="2CE6C05A">
            <w:pPr>
              <w:spacing w:line="360" w:lineRule="auto"/>
              <w:rPr>
                <w:rFonts w:hint="eastAsia" w:ascii="宋体" w:hAnsi="宋体" w:eastAsia="宋体" w:cs="宋体"/>
                <w:sz w:val="21"/>
                <w:szCs w:val="21"/>
              </w:rPr>
            </w:pPr>
          </w:p>
        </w:tc>
        <w:tc>
          <w:tcPr>
            <w:tcW w:w="1080" w:type="dxa"/>
          </w:tcPr>
          <w:p w14:paraId="3B16D839">
            <w:pPr>
              <w:spacing w:line="360" w:lineRule="auto"/>
              <w:rPr>
                <w:rFonts w:hint="eastAsia" w:ascii="宋体" w:hAnsi="宋体" w:eastAsia="宋体" w:cs="宋体"/>
                <w:sz w:val="21"/>
                <w:szCs w:val="21"/>
              </w:rPr>
            </w:pPr>
          </w:p>
        </w:tc>
        <w:tc>
          <w:tcPr>
            <w:tcW w:w="2614" w:type="dxa"/>
          </w:tcPr>
          <w:p w14:paraId="6ED6C834">
            <w:pPr>
              <w:spacing w:line="360" w:lineRule="auto"/>
              <w:ind w:firstLine="420" w:firstLineChars="200"/>
              <w:rPr>
                <w:rFonts w:hint="eastAsia" w:ascii="宋体" w:hAnsi="宋体" w:eastAsia="宋体" w:cs="宋体"/>
                <w:sz w:val="21"/>
                <w:szCs w:val="21"/>
              </w:rPr>
            </w:pPr>
          </w:p>
        </w:tc>
        <w:tc>
          <w:tcPr>
            <w:tcW w:w="1069" w:type="dxa"/>
          </w:tcPr>
          <w:p w14:paraId="6B1216F2">
            <w:pPr>
              <w:spacing w:line="360" w:lineRule="auto"/>
              <w:rPr>
                <w:rFonts w:hint="eastAsia" w:ascii="宋体" w:hAnsi="宋体" w:eastAsia="宋体" w:cs="宋体"/>
                <w:sz w:val="21"/>
                <w:szCs w:val="21"/>
              </w:rPr>
            </w:pPr>
          </w:p>
        </w:tc>
      </w:tr>
      <w:tr w14:paraId="78F4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29A09C0">
            <w:pPr>
              <w:spacing w:line="360" w:lineRule="auto"/>
              <w:rPr>
                <w:rFonts w:hint="eastAsia" w:ascii="宋体" w:hAnsi="宋体" w:eastAsia="宋体" w:cs="宋体"/>
                <w:sz w:val="21"/>
                <w:szCs w:val="21"/>
              </w:rPr>
            </w:pPr>
          </w:p>
        </w:tc>
        <w:tc>
          <w:tcPr>
            <w:tcW w:w="726" w:type="dxa"/>
          </w:tcPr>
          <w:p w14:paraId="192442AC">
            <w:pPr>
              <w:spacing w:line="360" w:lineRule="auto"/>
              <w:rPr>
                <w:rFonts w:hint="eastAsia" w:ascii="宋体" w:hAnsi="宋体" w:eastAsia="宋体" w:cs="宋体"/>
                <w:sz w:val="21"/>
                <w:szCs w:val="21"/>
              </w:rPr>
            </w:pPr>
          </w:p>
        </w:tc>
        <w:tc>
          <w:tcPr>
            <w:tcW w:w="889" w:type="dxa"/>
          </w:tcPr>
          <w:p w14:paraId="7529DAD9">
            <w:pPr>
              <w:spacing w:line="360" w:lineRule="auto"/>
              <w:rPr>
                <w:rFonts w:hint="eastAsia" w:ascii="宋体" w:hAnsi="宋体" w:eastAsia="宋体" w:cs="宋体"/>
                <w:sz w:val="21"/>
                <w:szCs w:val="21"/>
              </w:rPr>
            </w:pPr>
          </w:p>
        </w:tc>
        <w:tc>
          <w:tcPr>
            <w:tcW w:w="1451" w:type="dxa"/>
          </w:tcPr>
          <w:p w14:paraId="7B3F8FE8">
            <w:pPr>
              <w:spacing w:line="360" w:lineRule="auto"/>
              <w:rPr>
                <w:rFonts w:hint="eastAsia" w:ascii="宋体" w:hAnsi="宋体" w:eastAsia="宋体" w:cs="宋体"/>
                <w:sz w:val="21"/>
                <w:szCs w:val="21"/>
              </w:rPr>
            </w:pPr>
          </w:p>
        </w:tc>
        <w:tc>
          <w:tcPr>
            <w:tcW w:w="900" w:type="dxa"/>
          </w:tcPr>
          <w:p w14:paraId="10FF58CD">
            <w:pPr>
              <w:spacing w:line="360" w:lineRule="auto"/>
              <w:rPr>
                <w:rFonts w:hint="eastAsia" w:ascii="宋体" w:hAnsi="宋体" w:eastAsia="宋体" w:cs="宋体"/>
                <w:sz w:val="21"/>
                <w:szCs w:val="21"/>
              </w:rPr>
            </w:pPr>
          </w:p>
        </w:tc>
        <w:tc>
          <w:tcPr>
            <w:tcW w:w="1080" w:type="dxa"/>
          </w:tcPr>
          <w:p w14:paraId="186E9D5B">
            <w:pPr>
              <w:spacing w:line="360" w:lineRule="auto"/>
              <w:rPr>
                <w:rFonts w:hint="eastAsia" w:ascii="宋体" w:hAnsi="宋体" w:eastAsia="宋体" w:cs="宋体"/>
                <w:sz w:val="21"/>
                <w:szCs w:val="21"/>
              </w:rPr>
            </w:pPr>
          </w:p>
        </w:tc>
        <w:tc>
          <w:tcPr>
            <w:tcW w:w="2614" w:type="dxa"/>
          </w:tcPr>
          <w:p w14:paraId="292965BC">
            <w:pPr>
              <w:spacing w:line="360" w:lineRule="auto"/>
              <w:rPr>
                <w:rFonts w:hint="eastAsia" w:ascii="宋体" w:hAnsi="宋体" w:eastAsia="宋体" w:cs="宋体"/>
                <w:sz w:val="21"/>
                <w:szCs w:val="21"/>
              </w:rPr>
            </w:pPr>
          </w:p>
        </w:tc>
        <w:tc>
          <w:tcPr>
            <w:tcW w:w="1069" w:type="dxa"/>
          </w:tcPr>
          <w:p w14:paraId="2D229755">
            <w:pPr>
              <w:spacing w:line="360" w:lineRule="auto"/>
              <w:rPr>
                <w:rFonts w:hint="eastAsia" w:ascii="宋体" w:hAnsi="宋体" w:eastAsia="宋体" w:cs="宋体"/>
                <w:sz w:val="21"/>
                <w:szCs w:val="21"/>
              </w:rPr>
            </w:pPr>
          </w:p>
        </w:tc>
      </w:tr>
      <w:tr w14:paraId="3DC0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4974BE04">
            <w:pPr>
              <w:spacing w:line="360" w:lineRule="auto"/>
              <w:rPr>
                <w:rFonts w:hint="eastAsia" w:ascii="宋体" w:hAnsi="宋体" w:eastAsia="宋体" w:cs="宋体"/>
                <w:sz w:val="21"/>
                <w:szCs w:val="21"/>
              </w:rPr>
            </w:pPr>
          </w:p>
        </w:tc>
        <w:tc>
          <w:tcPr>
            <w:tcW w:w="726" w:type="dxa"/>
          </w:tcPr>
          <w:p w14:paraId="1B8DE1DF">
            <w:pPr>
              <w:spacing w:line="360" w:lineRule="auto"/>
              <w:rPr>
                <w:rFonts w:hint="eastAsia" w:ascii="宋体" w:hAnsi="宋体" w:eastAsia="宋体" w:cs="宋体"/>
                <w:sz w:val="21"/>
                <w:szCs w:val="21"/>
              </w:rPr>
            </w:pPr>
          </w:p>
        </w:tc>
        <w:tc>
          <w:tcPr>
            <w:tcW w:w="889" w:type="dxa"/>
          </w:tcPr>
          <w:p w14:paraId="33A28A77">
            <w:pPr>
              <w:spacing w:line="360" w:lineRule="auto"/>
              <w:rPr>
                <w:rFonts w:hint="eastAsia" w:ascii="宋体" w:hAnsi="宋体" w:eastAsia="宋体" w:cs="宋体"/>
                <w:sz w:val="21"/>
                <w:szCs w:val="21"/>
              </w:rPr>
            </w:pPr>
          </w:p>
        </w:tc>
        <w:tc>
          <w:tcPr>
            <w:tcW w:w="1451" w:type="dxa"/>
          </w:tcPr>
          <w:p w14:paraId="2CF6BE71">
            <w:pPr>
              <w:spacing w:line="360" w:lineRule="auto"/>
              <w:rPr>
                <w:rFonts w:hint="eastAsia" w:ascii="宋体" w:hAnsi="宋体" w:eastAsia="宋体" w:cs="宋体"/>
                <w:sz w:val="21"/>
                <w:szCs w:val="21"/>
              </w:rPr>
            </w:pPr>
          </w:p>
        </w:tc>
        <w:tc>
          <w:tcPr>
            <w:tcW w:w="900" w:type="dxa"/>
          </w:tcPr>
          <w:p w14:paraId="1D2DB2DE">
            <w:pPr>
              <w:spacing w:line="360" w:lineRule="auto"/>
              <w:rPr>
                <w:rFonts w:hint="eastAsia" w:ascii="宋体" w:hAnsi="宋体" w:eastAsia="宋体" w:cs="宋体"/>
                <w:sz w:val="21"/>
                <w:szCs w:val="21"/>
              </w:rPr>
            </w:pPr>
          </w:p>
        </w:tc>
        <w:tc>
          <w:tcPr>
            <w:tcW w:w="1080" w:type="dxa"/>
          </w:tcPr>
          <w:p w14:paraId="34268EDF">
            <w:pPr>
              <w:spacing w:line="360" w:lineRule="auto"/>
              <w:rPr>
                <w:rFonts w:hint="eastAsia" w:ascii="宋体" w:hAnsi="宋体" w:eastAsia="宋体" w:cs="宋体"/>
                <w:sz w:val="21"/>
                <w:szCs w:val="21"/>
              </w:rPr>
            </w:pPr>
          </w:p>
        </w:tc>
        <w:tc>
          <w:tcPr>
            <w:tcW w:w="2614" w:type="dxa"/>
          </w:tcPr>
          <w:p w14:paraId="6FC185AD">
            <w:pPr>
              <w:spacing w:line="360" w:lineRule="auto"/>
              <w:rPr>
                <w:rFonts w:hint="eastAsia" w:ascii="宋体" w:hAnsi="宋体" w:eastAsia="宋体" w:cs="宋体"/>
                <w:sz w:val="21"/>
                <w:szCs w:val="21"/>
              </w:rPr>
            </w:pPr>
          </w:p>
        </w:tc>
        <w:tc>
          <w:tcPr>
            <w:tcW w:w="1069" w:type="dxa"/>
          </w:tcPr>
          <w:p w14:paraId="68FF00FB">
            <w:pPr>
              <w:spacing w:line="360" w:lineRule="auto"/>
              <w:rPr>
                <w:rFonts w:hint="eastAsia" w:ascii="宋体" w:hAnsi="宋体" w:eastAsia="宋体" w:cs="宋体"/>
                <w:sz w:val="21"/>
                <w:szCs w:val="21"/>
              </w:rPr>
            </w:pPr>
          </w:p>
        </w:tc>
      </w:tr>
      <w:tr w14:paraId="3F5D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EA54E35">
            <w:pPr>
              <w:spacing w:line="360" w:lineRule="auto"/>
              <w:rPr>
                <w:rFonts w:hint="eastAsia" w:ascii="宋体" w:hAnsi="宋体" w:eastAsia="宋体" w:cs="宋体"/>
                <w:sz w:val="21"/>
                <w:szCs w:val="21"/>
              </w:rPr>
            </w:pPr>
          </w:p>
        </w:tc>
        <w:tc>
          <w:tcPr>
            <w:tcW w:w="726" w:type="dxa"/>
          </w:tcPr>
          <w:p w14:paraId="721BCAFC">
            <w:pPr>
              <w:spacing w:line="360" w:lineRule="auto"/>
              <w:rPr>
                <w:rFonts w:hint="eastAsia" w:ascii="宋体" w:hAnsi="宋体" w:eastAsia="宋体" w:cs="宋体"/>
                <w:sz w:val="21"/>
                <w:szCs w:val="21"/>
              </w:rPr>
            </w:pPr>
          </w:p>
        </w:tc>
        <w:tc>
          <w:tcPr>
            <w:tcW w:w="889" w:type="dxa"/>
          </w:tcPr>
          <w:p w14:paraId="03B47F74">
            <w:pPr>
              <w:spacing w:line="360" w:lineRule="auto"/>
              <w:rPr>
                <w:rFonts w:hint="eastAsia" w:ascii="宋体" w:hAnsi="宋体" w:eastAsia="宋体" w:cs="宋体"/>
                <w:sz w:val="21"/>
                <w:szCs w:val="21"/>
              </w:rPr>
            </w:pPr>
          </w:p>
        </w:tc>
        <w:tc>
          <w:tcPr>
            <w:tcW w:w="1451" w:type="dxa"/>
          </w:tcPr>
          <w:p w14:paraId="1ED87DDC">
            <w:pPr>
              <w:spacing w:line="360" w:lineRule="auto"/>
              <w:rPr>
                <w:rFonts w:hint="eastAsia" w:ascii="宋体" w:hAnsi="宋体" w:eastAsia="宋体" w:cs="宋体"/>
                <w:sz w:val="21"/>
                <w:szCs w:val="21"/>
              </w:rPr>
            </w:pPr>
          </w:p>
        </w:tc>
        <w:tc>
          <w:tcPr>
            <w:tcW w:w="900" w:type="dxa"/>
          </w:tcPr>
          <w:p w14:paraId="44EC2B33">
            <w:pPr>
              <w:spacing w:line="360" w:lineRule="auto"/>
              <w:rPr>
                <w:rFonts w:hint="eastAsia" w:ascii="宋体" w:hAnsi="宋体" w:eastAsia="宋体" w:cs="宋体"/>
                <w:sz w:val="21"/>
                <w:szCs w:val="21"/>
              </w:rPr>
            </w:pPr>
          </w:p>
        </w:tc>
        <w:tc>
          <w:tcPr>
            <w:tcW w:w="1080" w:type="dxa"/>
          </w:tcPr>
          <w:p w14:paraId="4EA1732A">
            <w:pPr>
              <w:spacing w:line="360" w:lineRule="auto"/>
              <w:rPr>
                <w:rFonts w:hint="eastAsia" w:ascii="宋体" w:hAnsi="宋体" w:eastAsia="宋体" w:cs="宋体"/>
                <w:sz w:val="21"/>
                <w:szCs w:val="21"/>
              </w:rPr>
            </w:pPr>
          </w:p>
        </w:tc>
        <w:tc>
          <w:tcPr>
            <w:tcW w:w="2614" w:type="dxa"/>
          </w:tcPr>
          <w:p w14:paraId="5CBBB49D">
            <w:pPr>
              <w:spacing w:line="360" w:lineRule="auto"/>
              <w:rPr>
                <w:rFonts w:hint="eastAsia" w:ascii="宋体" w:hAnsi="宋体" w:eastAsia="宋体" w:cs="宋体"/>
                <w:sz w:val="21"/>
                <w:szCs w:val="21"/>
              </w:rPr>
            </w:pPr>
          </w:p>
        </w:tc>
        <w:tc>
          <w:tcPr>
            <w:tcW w:w="1069" w:type="dxa"/>
          </w:tcPr>
          <w:p w14:paraId="0308261E">
            <w:pPr>
              <w:spacing w:line="360" w:lineRule="auto"/>
              <w:rPr>
                <w:rFonts w:hint="eastAsia" w:ascii="宋体" w:hAnsi="宋体" w:eastAsia="宋体" w:cs="宋体"/>
                <w:sz w:val="21"/>
                <w:szCs w:val="21"/>
              </w:rPr>
            </w:pPr>
          </w:p>
        </w:tc>
      </w:tr>
      <w:tr w14:paraId="100B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0CF2FDF0">
            <w:pPr>
              <w:spacing w:line="360" w:lineRule="auto"/>
              <w:rPr>
                <w:rFonts w:hint="eastAsia" w:ascii="宋体" w:hAnsi="宋体" w:eastAsia="宋体" w:cs="宋体"/>
                <w:sz w:val="21"/>
                <w:szCs w:val="21"/>
              </w:rPr>
            </w:pPr>
          </w:p>
        </w:tc>
        <w:tc>
          <w:tcPr>
            <w:tcW w:w="726" w:type="dxa"/>
          </w:tcPr>
          <w:p w14:paraId="4FB0BD1C">
            <w:pPr>
              <w:spacing w:line="360" w:lineRule="auto"/>
              <w:rPr>
                <w:rFonts w:hint="eastAsia" w:ascii="宋体" w:hAnsi="宋体" w:eastAsia="宋体" w:cs="宋体"/>
                <w:sz w:val="21"/>
                <w:szCs w:val="21"/>
              </w:rPr>
            </w:pPr>
          </w:p>
        </w:tc>
        <w:tc>
          <w:tcPr>
            <w:tcW w:w="889" w:type="dxa"/>
          </w:tcPr>
          <w:p w14:paraId="1E13F983">
            <w:pPr>
              <w:spacing w:line="360" w:lineRule="auto"/>
              <w:rPr>
                <w:rFonts w:hint="eastAsia" w:ascii="宋体" w:hAnsi="宋体" w:eastAsia="宋体" w:cs="宋体"/>
                <w:sz w:val="21"/>
                <w:szCs w:val="21"/>
              </w:rPr>
            </w:pPr>
          </w:p>
        </w:tc>
        <w:tc>
          <w:tcPr>
            <w:tcW w:w="1451" w:type="dxa"/>
          </w:tcPr>
          <w:p w14:paraId="75283619">
            <w:pPr>
              <w:spacing w:line="360" w:lineRule="auto"/>
              <w:rPr>
                <w:rFonts w:hint="eastAsia" w:ascii="宋体" w:hAnsi="宋体" w:eastAsia="宋体" w:cs="宋体"/>
                <w:sz w:val="21"/>
                <w:szCs w:val="21"/>
              </w:rPr>
            </w:pPr>
          </w:p>
        </w:tc>
        <w:tc>
          <w:tcPr>
            <w:tcW w:w="900" w:type="dxa"/>
          </w:tcPr>
          <w:p w14:paraId="2830A30B">
            <w:pPr>
              <w:spacing w:line="360" w:lineRule="auto"/>
              <w:rPr>
                <w:rFonts w:hint="eastAsia" w:ascii="宋体" w:hAnsi="宋体" w:eastAsia="宋体" w:cs="宋体"/>
                <w:sz w:val="21"/>
                <w:szCs w:val="21"/>
              </w:rPr>
            </w:pPr>
          </w:p>
        </w:tc>
        <w:tc>
          <w:tcPr>
            <w:tcW w:w="1080" w:type="dxa"/>
          </w:tcPr>
          <w:p w14:paraId="122B0535">
            <w:pPr>
              <w:spacing w:line="360" w:lineRule="auto"/>
              <w:rPr>
                <w:rFonts w:hint="eastAsia" w:ascii="宋体" w:hAnsi="宋体" w:eastAsia="宋体" w:cs="宋体"/>
                <w:sz w:val="21"/>
                <w:szCs w:val="21"/>
              </w:rPr>
            </w:pPr>
          </w:p>
        </w:tc>
        <w:tc>
          <w:tcPr>
            <w:tcW w:w="2614" w:type="dxa"/>
          </w:tcPr>
          <w:p w14:paraId="4668BC2F">
            <w:pPr>
              <w:spacing w:line="360" w:lineRule="auto"/>
              <w:rPr>
                <w:rFonts w:hint="eastAsia" w:ascii="宋体" w:hAnsi="宋体" w:eastAsia="宋体" w:cs="宋体"/>
                <w:sz w:val="21"/>
                <w:szCs w:val="21"/>
              </w:rPr>
            </w:pPr>
          </w:p>
        </w:tc>
        <w:tc>
          <w:tcPr>
            <w:tcW w:w="1069" w:type="dxa"/>
          </w:tcPr>
          <w:p w14:paraId="1D89B981">
            <w:pPr>
              <w:spacing w:line="360" w:lineRule="auto"/>
              <w:rPr>
                <w:rFonts w:hint="eastAsia" w:ascii="宋体" w:hAnsi="宋体" w:eastAsia="宋体" w:cs="宋体"/>
                <w:sz w:val="21"/>
                <w:szCs w:val="21"/>
              </w:rPr>
            </w:pPr>
          </w:p>
        </w:tc>
      </w:tr>
      <w:tr w14:paraId="1F96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6E0C9A6D">
            <w:pPr>
              <w:spacing w:line="360" w:lineRule="auto"/>
              <w:rPr>
                <w:rFonts w:hint="eastAsia" w:ascii="宋体" w:hAnsi="宋体" w:eastAsia="宋体" w:cs="宋体"/>
                <w:sz w:val="21"/>
                <w:szCs w:val="21"/>
              </w:rPr>
            </w:pPr>
          </w:p>
        </w:tc>
        <w:tc>
          <w:tcPr>
            <w:tcW w:w="726" w:type="dxa"/>
          </w:tcPr>
          <w:p w14:paraId="5018D66A">
            <w:pPr>
              <w:spacing w:line="360" w:lineRule="auto"/>
              <w:rPr>
                <w:rFonts w:hint="eastAsia" w:ascii="宋体" w:hAnsi="宋体" w:eastAsia="宋体" w:cs="宋体"/>
                <w:sz w:val="21"/>
                <w:szCs w:val="21"/>
              </w:rPr>
            </w:pPr>
          </w:p>
        </w:tc>
        <w:tc>
          <w:tcPr>
            <w:tcW w:w="889" w:type="dxa"/>
          </w:tcPr>
          <w:p w14:paraId="52D2FD42">
            <w:pPr>
              <w:spacing w:line="360" w:lineRule="auto"/>
              <w:rPr>
                <w:rFonts w:hint="eastAsia" w:ascii="宋体" w:hAnsi="宋体" w:eastAsia="宋体" w:cs="宋体"/>
                <w:sz w:val="21"/>
                <w:szCs w:val="21"/>
              </w:rPr>
            </w:pPr>
          </w:p>
        </w:tc>
        <w:tc>
          <w:tcPr>
            <w:tcW w:w="1451" w:type="dxa"/>
          </w:tcPr>
          <w:p w14:paraId="4AC9BF9B">
            <w:pPr>
              <w:spacing w:line="360" w:lineRule="auto"/>
              <w:rPr>
                <w:rFonts w:hint="eastAsia" w:ascii="宋体" w:hAnsi="宋体" w:eastAsia="宋体" w:cs="宋体"/>
                <w:sz w:val="21"/>
                <w:szCs w:val="21"/>
              </w:rPr>
            </w:pPr>
          </w:p>
        </w:tc>
        <w:tc>
          <w:tcPr>
            <w:tcW w:w="900" w:type="dxa"/>
          </w:tcPr>
          <w:p w14:paraId="434879DE">
            <w:pPr>
              <w:spacing w:line="360" w:lineRule="auto"/>
              <w:rPr>
                <w:rFonts w:hint="eastAsia" w:ascii="宋体" w:hAnsi="宋体" w:eastAsia="宋体" w:cs="宋体"/>
                <w:sz w:val="21"/>
                <w:szCs w:val="21"/>
              </w:rPr>
            </w:pPr>
          </w:p>
        </w:tc>
        <w:tc>
          <w:tcPr>
            <w:tcW w:w="1080" w:type="dxa"/>
          </w:tcPr>
          <w:p w14:paraId="33FA755B">
            <w:pPr>
              <w:spacing w:line="360" w:lineRule="auto"/>
              <w:rPr>
                <w:rFonts w:hint="eastAsia" w:ascii="宋体" w:hAnsi="宋体" w:eastAsia="宋体" w:cs="宋体"/>
                <w:sz w:val="21"/>
                <w:szCs w:val="21"/>
              </w:rPr>
            </w:pPr>
          </w:p>
        </w:tc>
        <w:tc>
          <w:tcPr>
            <w:tcW w:w="2614" w:type="dxa"/>
          </w:tcPr>
          <w:p w14:paraId="6B409A1A">
            <w:pPr>
              <w:spacing w:line="360" w:lineRule="auto"/>
              <w:rPr>
                <w:rFonts w:hint="eastAsia" w:ascii="宋体" w:hAnsi="宋体" w:eastAsia="宋体" w:cs="宋体"/>
                <w:sz w:val="21"/>
                <w:szCs w:val="21"/>
              </w:rPr>
            </w:pPr>
          </w:p>
        </w:tc>
        <w:tc>
          <w:tcPr>
            <w:tcW w:w="1069" w:type="dxa"/>
          </w:tcPr>
          <w:p w14:paraId="2B71C58A">
            <w:pPr>
              <w:spacing w:line="360" w:lineRule="auto"/>
              <w:rPr>
                <w:rFonts w:hint="eastAsia" w:ascii="宋体" w:hAnsi="宋体" w:eastAsia="宋体" w:cs="宋体"/>
                <w:sz w:val="21"/>
                <w:szCs w:val="21"/>
              </w:rPr>
            </w:pPr>
          </w:p>
        </w:tc>
      </w:tr>
      <w:tr w14:paraId="1121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4FEF839B">
            <w:pPr>
              <w:spacing w:line="360" w:lineRule="auto"/>
              <w:rPr>
                <w:rFonts w:hint="eastAsia" w:ascii="宋体" w:hAnsi="宋体" w:eastAsia="宋体" w:cs="宋体"/>
                <w:sz w:val="21"/>
                <w:szCs w:val="21"/>
              </w:rPr>
            </w:pPr>
          </w:p>
        </w:tc>
        <w:tc>
          <w:tcPr>
            <w:tcW w:w="726" w:type="dxa"/>
          </w:tcPr>
          <w:p w14:paraId="48683E98">
            <w:pPr>
              <w:spacing w:line="360" w:lineRule="auto"/>
              <w:rPr>
                <w:rFonts w:hint="eastAsia" w:ascii="宋体" w:hAnsi="宋体" w:eastAsia="宋体" w:cs="宋体"/>
                <w:sz w:val="21"/>
                <w:szCs w:val="21"/>
              </w:rPr>
            </w:pPr>
          </w:p>
        </w:tc>
        <w:tc>
          <w:tcPr>
            <w:tcW w:w="889" w:type="dxa"/>
          </w:tcPr>
          <w:p w14:paraId="50E74467">
            <w:pPr>
              <w:spacing w:line="360" w:lineRule="auto"/>
              <w:rPr>
                <w:rFonts w:hint="eastAsia" w:ascii="宋体" w:hAnsi="宋体" w:eastAsia="宋体" w:cs="宋体"/>
                <w:sz w:val="21"/>
                <w:szCs w:val="21"/>
              </w:rPr>
            </w:pPr>
          </w:p>
        </w:tc>
        <w:tc>
          <w:tcPr>
            <w:tcW w:w="1451" w:type="dxa"/>
          </w:tcPr>
          <w:p w14:paraId="48C08B1F">
            <w:pPr>
              <w:spacing w:line="360" w:lineRule="auto"/>
              <w:rPr>
                <w:rFonts w:hint="eastAsia" w:ascii="宋体" w:hAnsi="宋体" w:eastAsia="宋体" w:cs="宋体"/>
                <w:sz w:val="21"/>
                <w:szCs w:val="21"/>
              </w:rPr>
            </w:pPr>
          </w:p>
        </w:tc>
        <w:tc>
          <w:tcPr>
            <w:tcW w:w="900" w:type="dxa"/>
          </w:tcPr>
          <w:p w14:paraId="37D85E30">
            <w:pPr>
              <w:spacing w:line="360" w:lineRule="auto"/>
              <w:rPr>
                <w:rFonts w:hint="eastAsia" w:ascii="宋体" w:hAnsi="宋体" w:eastAsia="宋体" w:cs="宋体"/>
                <w:sz w:val="21"/>
                <w:szCs w:val="21"/>
              </w:rPr>
            </w:pPr>
          </w:p>
        </w:tc>
        <w:tc>
          <w:tcPr>
            <w:tcW w:w="1080" w:type="dxa"/>
          </w:tcPr>
          <w:p w14:paraId="16EC20DF">
            <w:pPr>
              <w:spacing w:line="360" w:lineRule="auto"/>
              <w:rPr>
                <w:rFonts w:hint="eastAsia" w:ascii="宋体" w:hAnsi="宋体" w:eastAsia="宋体" w:cs="宋体"/>
                <w:sz w:val="21"/>
                <w:szCs w:val="21"/>
              </w:rPr>
            </w:pPr>
          </w:p>
        </w:tc>
        <w:tc>
          <w:tcPr>
            <w:tcW w:w="2614" w:type="dxa"/>
          </w:tcPr>
          <w:p w14:paraId="26D2161C">
            <w:pPr>
              <w:spacing w:line="360" w:lineRule="auto"/>
              <w:rPr>
                <w:rFonts w:hint="eastAsia" w:ascii="宋体" w:hAnsi="宋体" w:eastAsia="宋体" w:cs="宋体"/>
                <w:sz w:val="21"/>
                <w:szCs w:val="21"/>
              </w:rPr>
            </w:pPr>
          </w:p>
        </w:tc>
        <w:tc>
          <w:tcPr>
            <w:tcW w:w="1069" w:type="dxa"/>
          </w:tcPr>
          <w:p w14:paraId="4E7F95EF">
            <w:pPr>
              <w:spacing w:line="360" w:lineRule="auto"/>
              <w:rPr>
                <w:rFonts w:hint="eastAsia" w:ascii="宋体" w:hAnsi="宋体" w:eastAsia="宋体" w:cs="宋体"/>
                <w:sz w:val="21"/>
                <w:szCs w:val="21"/>
              </w:rPr>
            </w:pPr>
          </w:p>
        </w:tc>
      </w:tr>
      <w:tr w14:paraId="1024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01FE3EC">
            <w:pPr>
              <w:spacing w:line="360" w:lineRule="auto"/>
              <w:rPr>
                <w:rFonts w:hint="eastAsia" w:ascii="宋体" w:hAnsi="宋体" w:eastAsia="宋体" w:cs="宋体"/>
                <w:sz w:val="21"/>
                <w:szCs w:val="21"/>
              </w:rPr>
            </w:pPr>
          </w:p>
        </w:tc>
        <w:tc>
          <w:tcPr>
            <w:tcW w:w="726" w:type="dxa"/>
          </w:tcPr>
          <w:p w14:paraId="0C2094C7">
            <w:pPr>
              <w:spacing w:line="360" w:lineRule="auto"/>
              <w:rPr>
                <w:rFonts w:hint="eastAsia" w:ascii="宋体" w:hAnsi="宋体" w:eastAsia="宋体" w:cs="宋体"/>
                <w:sz w:val="21"/>
                <w:szCs w:val="21"/>
              </w:rPr>
            </w:pPr>
          </w:p>
        </w:tc>
        <w:tc>
          <w:tcPr>
            <w:tcW w:w="889" w:type="dxa"/>
          </w:tcPr>
          <w:p w14:paraId="661C4679">
            <w:pPr>
              <w:spacing w:line="360" w:lineRule="auto"/>
              <w:rPr>
                <w:rFonts w:hint="eastAsia" w:ascii="宋体" w:hAnsi="宋体" w:eastAsia="宋体" w:cs="宋体"/>
                <w:sz w:val="21"/>
                <w:szCs w:val="21"/>
              </w:rPr>
            </w:pPr>
          </w:p>
        </w:tc>
        <w:tc>
          <w:tcPr>
            <w:tcW w:w="1451" w:type="dxa"/>
          </w:tcPr>
          <w:p w14:paraId="4ED162FA">
            <w:pPr>
              <w:spacing w:line="360" w:lineRule="auto"/>
              <w:rPr>
                <w:rFonts w:hint="eastAsia" w:ascii="宋体" w:hAnsi="宋体" w:eastAsia="宋体" w:cs="宋体"/>
                <w:sz w:val="21"/>
                <w:szCs w:val="21"/>
              </w:rPr>
            </w:pPr>
          </w:p>
        </w:tc>
        <w:tc>
          <w:tcPr>
            <w:tcW w:w="900" w:type="dxa"/>
          </w:tcPr>
          <w:p w14:paraId="32D6BC50">
            <w:pPr>
              <w:spacing w:line="360" w:lineRule="auto"/>
              <w:rPr>
                <w:rFonts w:hint="eastAsia" w:ascii="宋体" w:hAnsi="宋体" w:eastAsia="宋体" w:cs="宋体"/>
                <w:sz w:val="21"/>
                <w:szCs w:val="21"/>
              </w:rPr>
            </w:pPr>
          </w:p>
        </w:tc>
        <w:tc>
          <w:tcPr>
            <w:tcW w:w="1080" w:type="dxa"/>
          </w:tcPr>
          <w:p w14:paraId="29A30757">
            <w:pPr>
              <w:spacing w:line="360" w:lineRule="auto"/>
              <w:rPr>
                <w:rFonts w:hint="eastAsia" w:ascii="宋体" w:hAnsi="宋体" w:eastAsia="宋体" w:cs="宋体"/>
                <w:sz w:val="21"/>
                <w:szCs w:val="21"/>
              </w:rPr>
            </w:pPr>
          </w:p>
        </w:tc>
        <w:tc>
          <w:tcPr>
            <w:tcW w:w="2614" w:type="dxa"/>
          </w:tcPr>
          <w:p w14:paraId="5F0E7346">
            <w:pPr>
              <w:spacing w:line="360" w:lineRule="auto"/>
              <w:rPr>
                <w:rFonts w:hint="eastAsia" w:ascii="宋体" w:hAnsi="宋体" w:eastAsia="宋体" w:cs="宋体"/>
                <w:sz w:val="21"/>
                <w:szCs w:val="21"/>
              </w:rPr>
            </w:pPr>
          </w:p>
        </w:tc>
        <w:tc>
          <w:tcPr>
            <w:tcW w:w="1069" w:type="dxa"/>
          </w:tcPr>
          <w:p w14:paraId="074D9F50">
            <w:pPr>
              <w:spacing w:line="360" w:lineRule="auto"/>
              <w:rPr>
                <w:rFonts w:hint="eastAsia" w:ascii="宋体" w:hAnsi="宋体" w:eastAsia="宋体" w:cs="宋体"/>
                <w:sz w:val="21"/>
                <w:szCs w:val="21"/>
              </w:rPr>
            </w:pPr>
          </w:p>
        </w:tc>
      </w:tr>
    </w:tbl>
    <w:p w14:paraId="3E6E5FF0">
      <w:pPr>
        <w:spacing w:line="360" w:lineRule="auto"/>
        <w:rPr>
          <w:rFonts w:hint="eastAsia" w:ascii="宋体" w:hAnsi="宋体" w:eastAsia="宋体" w:cs="宋体"/>
          <w:sz w:val="21"/>
          <w:szCs w:val="21"/>
        </w:rPr>
      </w:pPr>
      <w:r>
        <w:rPr>
          <w:rFonts w:hint="eastAsia" w:ascii="宋体" w:hAnsi="宋体" w:eastAsia="宋体" w:cs="宋体"/>
          <w:sz w:val="21"/>
          <w:szCs w:val="21"/>
        </w:rPr>
        <w:t>注：</w:t>
      </w:r>
    </w:p>
    <w:p w14:paraId="69678874">
      <w:pPr>
        <w:spacing w:line="360" w:lineRule="auto"/>
        <w:rPr>
          <w:rFonts w:hint="eastAsia" w:ascii="宋体" w:hAnsi="宋体" w:eastAsia="宋体" w:cs="宋体"/>
          <w:sz w:val="21"/>
          <w:szCs w:val="21"/>
        </w:rPr>
      </w:pPr>
      <w:r>
        <w:rPr>
          <w:rFonts w:hint="eastAsia" w:ascii="宋体" w:hAnsi="宋体" w:eastAsia="宋体" w:cs="宋体"/>
          <w:sz w:val="21"/>
          <w:szCs w:val="21"/>
        </w:rPr>
        <w:t>1.本表应包括项目经理、项目技术负责人、施工员、质量员、安全员等关键岗位人员。</w:t>
      </w:r>
    </w:p>
    <w:p w14:paraId="7A7FB614">
      <w:pPr>
        <w:spacing w:line="360" w:lineRule="auto"/>
        <w:rPr>
          <w:rFonts w:hint="eastAsia" w:ascii="宋体" w:hAnsi="宋体" w:eastAsia="宋体" w:cs="宋体"/>
          <w:sz w:val="21"/>
          <w:szCs w:val="21"/>
        </w:rPr>
      </w:pPr>
      <w:r>
        <w:rPr>
          <w:rFonts w:hint="eastAsia" w:ascii="宋体" w:hAnsi="宋体" w:eastAsia="宋体" w:cs="宋体"/>
          <w:sz w:val="21"/>
          <w:szCs w:val="21"/>
        </w:rPr>
        <w:t>2.参与评审及实施的人员由供应商在响应文件中提供供应商在响应截止时间当月或前三个月内任意一个月为该人员交纳社保的证明材料，社保证明必须是社保机构出具，可以是政务系统下载文件的复制件。</w:t>
      </w:r>
    </w:p>
    <w:p w14:paraId="5E742E0A">
      <w:pPr>
        <w:pStyle w:val="83"/>
        <w:rPr>
          <w:rFonts w:hint="eastAsia" w:ascii="宋体" w:hAnsi="宋体" w:eastAsia="宋体" w:cs="宋体"/>
          <w:sz w:val="21"/>
          <w:szCs w:val="21"/>
        </w:rPr>
        <w:sectPr>
          <w:headerReference r:id="rId13" w:type="default"/>
          <w:footerReference r:id="rId14" w:type="default"/>
          <w:pgSz w:w="11907" w:h="16840"/>
          <w:pgMar w:top="1440" w:right="1701" w:bottom="1440" w:left="1701" w:header="720" w:footer="720" w:gutter="0"/>
          <w:pgNumType w:fmt="decimal"/>
          <w:cols w:space="720" w:num="1"/>
          <w:docGrid w:type="lines" w:linePitch="285" w:charSpace="0"/>
        </w:sectPr>
      </w:pPr>
    </w:p>
    <w:p w14:paraId="5A5C8F79">
      <w:pPr>
        <w:keepNext/>
        <w:keepLines/>
        <w:rPr>
          <w:rFonts w:hint="eastAsia" w:ascii="宋体" w:hAnsi="宋体" w:eastAsia="宋体" w:cs="宋体"/>
          <w:b/>
          <w:sz w:val="21"/>
          <w:szCs w:val="21"/>
        </w:rPr>
      </w:pPr>
      <w:r>
        <w:rPr>
          <w:rFonts w:hint="eastAsia" w:ascii="宋体" w:hAnsi="宋体" w:eastAsia="宋体" w:cs="宋体"/>
          <w:b/>
          <w:sz w:val="21"/>
          <w:szCs w:val="21"/>
        </w:rPr>
        <w:t>2）主要人员简历表</w:t>
      </w:r>
    </w:p>
    <w:p w14:paraId="1F181D4C">
      <w:pPr>
        <w:keepNext/>
        <w:keepLines/>
        <w:jc w:val="center"/>
        <w:rPr>
          <w:rFonts w:hint="eastAsia" w:ascii="宋体" w:hAnsi="宋体" w:eastAsia="宋体" w:cs="宋体"/>
          <w:b/>
          <w:sz w:val="21"/>
          <w:szCs w:val="21"/>
        </w:rPr>
      </w:pPr>
      <w:r>
        <w:rPr>
          <w:rFonts w:hint="eastAsia" w:ascii="宋体" w:hAnsi="宋体" w:eastAsia="宋体" w:cs="宋体"/>
          <w:b/>
          <w:sz w:val="21"/>
          <w:szCs w:val="21"/>
        </w:rPr>
        <w:t>主要人员简历表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264A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14:paraId="30D3B04F">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625" w:type="dxa"/>
            <w:vAlign w:val="center"/>
          </w:tcPr>
          <w:p w14:paraId="37BE663D">
            <w:pPr>
              <w:rPr>
                <w:rFonts w:hint="eastAsia" w:ascii="宋体" w:hAnsi="宋体" w:eastAsia="宋体" w:cs="宋体"/>
                <w:sz w:val="21"/>
                <w:szCs w:val="21"/>
              </w:rPr>
            </w:pPr>
          </w:p>
        </w:tc>
        <w:tc>
          <w:tcPr>
            <w:tcW w:w="1080" w:type="dxa"/>
            <w:vAlign w:val="center"/>
          </w:tcPr>
          <w:p w14:paraId="20A7784E">
            <w:pPr>
              <w:jc w:val="center"/>
              <w:rPr>
                <w:rFonts w:hint="eastAsia" w:ascii="宋体" w:hAnsi="宋体" w:eastAsia="宋体" w:cs="宋体"/>
                <w:sz w:val="21"/>
                <w:szCs w:val="21"/>
              </w:rPr>
            </w:pPr>
            <w:r>
              <w:rPr>
                <w:rFonts w:hint="eastAsia" w:ascii="宋体" w:hAnsi="宋体" w:eastAsia="宋体" w:cs="宋体"/>
                <w:sz w:val="21"/>
                <w:szCs w:val="21"/>
              </w:rPr>
              <w:t>年龄</w:t>
            </w:r>
          </w:p>
        </w:tc>
        <w:tc>
          <w:tcPr>
            <w:tcW w:w="1440" w:type="dxa"/>
            <w:gridSpan w:val="2"/>
            <w:vAlign w:val="center"/>
          </w:tcPr>
          <w:p w14:paraId="5697EF24">
            <w:pPr>
              <w:rPr>
                <w:rFonts w:hint="eastAsia" w:ascii="宋体" w:hAnsi="宋体" w:eastAsia="宋体" w:cs="宋体"/>
                <w:sz w:val="21"/>
                <w:szCs w:val="21"/>
              </w:rPr>
            </w:pPr>
          </w:p>
        </w:tc>
        <w:tc>
          <w:tcPr>
            <w:tcW w:w="1980" w:type="dxa"/>
            <w:gridSpan w:val="2"/>
            <w:vAlign w:val="center"/>
          </w:tcPr>
          <w:p w14:paraId="61BC6A33">
            <w:pPr>
              <w:jc w:val="center"/>
              <w:rPr>
                <w:rFonts w:hint="eastAsia" w:ascii="宋体" w:hAnsi="宋体" w:eastAsia="宋体" w:cs="宋体"/>
                <w:sz w:val="21"/>
                <w:szCs w:val="21"/>
              </w:rPr>
            </w:pPr>
            <w:r>
              <w:rPr>
                <w:rFonts w:hint="eastAsia" w:ascii="宋体" w:hAnsi="宋体" w:eastAsia="宋体" w:cs="宋体"/>
                <w:sz w:val="21"/>
                <w:szCs w:val="21"/>
              </w:rPr>
              <w:t>学          历</w:t>
            </w:r>
          </w:p>
        </w:tc>
        <w:tc>
          <w:tcPr>
            <w:tcW w:w="1789" w:type="dxa"/>
            <w:vAlign w:val="center"/>
          </w:tcPr>
          <w:p w14:paraId="310E5111">
            <w:pPr>
              <w:rPr>
                <w:rFonts w:hint="eastAsia" w:ascii="宋体" w:hAnsi="宋体" w:eastAsia="宋体" w:cs="宋体"/>
                <w:sz w:val="21"/>
                <w:szCs w:val="21"/>
              </w:rPr>
            </w:pPr>
          </w:p>
        </w:tc>
      </w:tr>
      <w:tr w14:paraId="70AD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14:paraId="5D4DBEC2">
            <w:pPr>
              <w:jc w:val="center"/>
              <w:rPr>
                <w:rFonts w:hint="eastAsia" w:ascii="宋体" w:hAnsi="宋体" w:eastAsia="宋体" w:cs="宋体"/>
                <w:sz w:val="21"/>
                <w:szCs w:val="21"/>
              </w:rPr>
            </w:pPr>
            <w:r>
              <w:rPr>
                <w:rFonts w:hint="eastAsia" w:ascii="宋体" w:hAnsi="宋体" w:eastAsia="宋体" w:cs="宋体"/>
                <w:sz w:val="21"/>
                <w:szCs w:val="21"/>
              </w:rPr>
              <w:t>职称</w:t>
            </w:r>
          </w:p>
        </w:tc>
        <w:tc>
          <w:tcPr>
            <w:tcW w:w="1625" w:type="dxa"/>
            <w:vAlign w:val="center"/>
          </w:tcPr>
          <w:p w14:paraId="1728F35D">
            <w:pPr>
              <w:rPr>
                <w:rFonts w:hint="eastAsia" w:ascii="宋体" w:hAnsi="宋体" w:eastAsia="宋体" w:cs="宋体"/>
                <w:sz w:val="21"/>
                <w:szCs w:val="21"/>
              </w:rPr>
            </w:pPr>
          </w:p>
        </w:tc>
        <w:tc>
          <w:tcPr>
            <w:tcW w:w="1080" w:type="dxa"/>
            <w:vAlign w:val="center"/>
          </w:tcPr>
          <w:p w14:paraId="30B5D696">
            <w:pPr>
              <w:jc w:val="center"/>
              <w:rPr>
                <w:rFonts w:hint="eastAsia" w:ascii="宋体" w:hAnsi="宋体" w:eastAsia="宋体" w:cs="宋体"/>
                <w:sz w:val="21"/>
                <w:szCs w:val="21"/>
              </w:rPr>
            </w:pPr>
            <w:r>
              <w:rPr>
                <w:rFonts w:hint="eastAsia" w:ascii="宋体" w:hAnsi="宋体" w:eastAsia="宋体" w:cs="宋体"/>
                <w:sz w:val="21"/>
                <w:szCs w:val="21"/>
              </w:rPr>
              <w:t>职务</w:t>
            </w:r>
          </w:p>
        </w:tc>
        <w:tc>
          <w:tcPr>
            <w:tcW w:w="1440" w:type="dxa"/>
            <w:gridSpan w:val="2"/>
            <w:vAlign w:val="center"/>
          </w:tcPr>
          <w:p w14:paraId="7C7E9A86">
            <w:pPr>
              <w:rPr>
                <w:rFonts w:hint="eastAsia" w:ascii="宋体" w:hAnsi="宋体" w:eastAsia="宋体" w:cs="宋体"/>
                <w:sz w:val="21"/>
                <w:szCs w:val="21"/>
              </w:rPr>
            </w:pPr>
          </w:p>
        </w:tc>
        <w:tc>
          <w:tcPr>
            <w:tcW w:w="1980" w:type="dxa"/>
            <w:gridSpan w:val="2"/>
            <w:vAlign w:val="center"/>
          </w:tcPr>
          <w:p w14:paraId="43F77A60">
            <w:pPr>
              <w:jc w:val="center"/>
              <w:rPr>
                <w:rFonts w:hint="eastAsia" w:ascii="宋体" w:hAnsi="宋体" w:eastAsia="宋体" w:cs="宋体"/>
                <w:sz w:val="21"/>
                <w:szCs w:val="21"/>
              </w:rPr>
            </w:pPr>
            <w:r>
              <w:rPr>
                <w:rFonts w:hint="eastAsia" w:ascii="宋体" w:hAnsi="宋体" w:eastAsia="宋体" w:cs="宋体"/>
                <w:sz w:val="21"/>
                <w:szCs w:val="21"/>
              </w:rPr>
              <w:t>拟在本合同任职</w:t>
            </w:r>
          </w:p>
        </w:tc>
        <w:tc>
          <w:tcPr>
            <w:tcW w:w="1789" w:type="dxa"/>
            <w:vAlign w:val="center"/>
          </w:tcPr>
          <w:p w14:paraId="323C647D">
            <w:pPr>
              <w:rPr>
                <w:rFonts w:hint="eastAsia" w:ascii="宋体" w:hAnsi="宋体" w:eastAsia="宋体" w:cs="宋体"/>
                <w:sz w:val="21"/>
                <w:szCs w:val="21"/>
              </w:rPr>
            </w:pPr>
          </w:p>
        </w:tc>
      </w:tr>
      <w:tr w14:paraId="4F1C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14:paraId="6600D079">
            <w:pPr>
              <w:jc w:val="center"/>
              <w:rPr>
                <w:rFonts w:hint="eastAsia" w:ascii="宋体" w:hAnsi="宋体" w:eastAsia="宋体" w:cs="宋体"/>
                <w:sz w:val="21"/>
                <w:szCs w:val="21"/>
              </w:rPr>
            </w:pPr>
            <w:r>
              <w:rPr>
                <w:rFonts w:hint="eastAsia" w:ascii="宋体" w:hAnsi="宋体" w:eastAsia="宋体" w:cs="宋体"/>
                <w:sz w:val="21"/>
                <w:szCs w:val="21"/>
              </w:rPr>
              <w:t>毕业学校</w:t>
            </w:r>
          </w:p>
        </w:tc>
        <w:tc>
          <w:tcPr>
            <w:tcW w:w="7914" w:type="dxa"/>
            <w:gridSpan w:val="7"/>
            <w:vAlign w:val="center"/>
          </w:tcPr>
          <w:p w14:paraId="3387C9FA">
            <w:pPr>
              <w:ind w:firstLine="525" w:firstLineChars="250"/>
              <w:rPr>
                <w:rFonts w:hint="eastAsia" w:ascii="宋体" w:hAnsi="宋体" w:eastAsia="宋体" w:cs="宋体"/>
                <w:sz w:val="21"/>
                <w:szCs w:val="21"/>
              </w:rPr>
            </w:pPr>
            <w:r>
              <w:rPr>
                <w:rFonts w:hint="eastAsia" w:ascii="宋体" w:hAnsi="宋体" w:eastAsia="宋体" w:cs="宋体"/>
                <w:sz w:val="21"/>
                <w:szCs w:val="21"/>
              </w:rPr>
              <w:t>年毕业于                 学校         专业</w:t>
            </w:r>
          </w:p>
        </w:tc>
      </w:tr>
      <w:tr w14:paraId="2E8C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vAlign w:val="center"/>
          </w:tcPr>
          <w:p w14:paraId="22BA3ACD">
            <w:pPr>
              <w:rPr>
                <w:rFonts w:hint="eastAsia" w:ascii="宋体" w:hAnsi="宋体" w:eastAsia="宋体" w:cs="宋体"/>
                <w:sz w:val="21"/>
                <w:szCs w:val="21"/>
              </w:rPr>
            </w:pPr>
            <w:r>
              <w:rPr>
                <w:rFonts w:hint="eastAsia" w:ascii="宋体" w:hAnsi="宋体" w:eastAsia="宋体" w:cs="宋体"/>
                <w:sz w:val="21"/>
                <w:szCs w:val="21"/>
              </w:rPr>
              <w:t>主要工作经历</w:t>
            </w:r>
          </w:p>
        </w:tc>
      </w:tr>
      <w:tr w14:paraId="7F7E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0" w:type="dxa"/>
            <w:vAlign w:val="center"/>
          </w:tcPr>
          <w:p w14:paraId="22CB6E21">
            <w:pPr>
              <w:jc w:val="center"/>
              <w:rPr>
                <w:rFonts w:hint="eastAsia" w:ascii="宋体" w:hAnsi="宋体" w:eastAsia="宋体" w:cs="宋体"/>
                <w:sz w:val="21"/>
                <w:szCs w:val="21"/>
              </w:rPr>
            </w:pPr>
            <w:r>
              <w:rPr>
                <w:rFonts w:hint="eastAsia" w:ascii="宋体" w:hAnsi="宋体" w:eastAsia="宋体" w:cs="宋体"/>
                <w:sz w:val="21"/>
                <w:szCs w:val="21"/>
              </w:rPr>
              <w:t>时间</w:t>
            </w:r>
          </w:p>
        </w:tc>
        <w:tc>
          <w:tcPr>
            <w:tcW w:w="3960" w:type="dxa"/>
            <w:gridSpan w:val="4"/>
            <w:vAlign w:val="center"/>
          </w:tcPr>
          <w:p w14:paraId="5429C239">
            <w:pPr>
              <w:jc w:val="center"/>
              <w:rPr>
                <w:rFonts w:hint="eastAsia" w:ascii="宋体" w:hAnsi="宋体" w:eastAsia="宋体" w:cs="宋体"/>
                <w:sz w:val="21"/>
                <w:szCs w:val="21"/>
              </w:rPr>
            </w:pPr>
            <w:r>
              <w:rPr>
                <w:rFonts w:hint="eastAsia" w:ascii="宋体" w:hAnsi="宋体" w:eastAsia="宋体" w:cs="宋体"/>
                <w:sz w:val="21"/>
                <w:szCs w:val="21"/>
              </w:rPr>
              <w:t>参加过的类似项目</w:t>
            </w:r>
          </w:p>
        </w:tc>
        <w:tc>
          <w:tcPr>
            <w:tcW w:w="1792" w:type="dxa"/>
            <w:gridSpan w:val="2"/>
            <w:vAlign w:val="center"/>
          </w:tcPr>
          <w:p w14:paraId="41E55209">
            <w:pPr>
              <w:jc w:val="center"/>
              <w:rPr>
                <w:rFonts w:hint="eastAsia" w:ascii="宋体" w:hAnsi="宋体" w:eastAsia="宋体" w:cs="宋体"/>
                <w:sz w:val="21"/>
                <w:szCs w:val="21"/>
              </w:rPr>
            </w:pPr>
            <w:r>
              <w:rPr>
                <w:rFonts w:hint="eastAsia" w:ascii="宋体" w:hAnsi="宋体" w:eastAsia="宋体" w:cs="宋体"/>
                <w:sz w:val="21"/>
                <w:szCs w:val="21"/>
              </w:rPr>
              <w:t>担任职务</w:t>
            </w:r>
          </w:p>
        </w:tc>
        <w:tc>
          <w:tcPr>
            <w:tcW w:w="2517" w:type="dxa"/>
            <w:gridSpan w:val="2"/>
            <w:vAlign w:val="center"/>
          </w:tcPr>
          <w:p w14:paraId="5F5B3CDB">
            <w:pPr>
              <w:jc w:val="center"/>
              <w:rPr>
                <w:rFonts w:hint="eastAsia" w:ascii="宋体" w:hAnsi="宋体" w:eastAsia="宋体" w:cs="宋体"/>
                <w:sz w:val="21"/>
                <w:szCs w:val="21"/>
              </w:rPr>
            </w:pPr>
            <w:r>
              <w:rPr>
                <w:rFonts w:hint="eastAsia" w:ascii="宋体" w:hAnsi="宋体" w:eastAsia="宋体" w:cs="宋体"/>
                <w:sz w:val="21"/>
                <w:szCs w:val="21"/>
              </w:rPr>
              <w:t>发包人及联系电话</w:t>
            </w:r>
          </w:p>
        </w:tc>
      </w:tr>
      <w:tr w14:paraId="7EF2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40BC57D5">
            <w:pPr>
              <w:rPr>
                <w:rFonts w:hint="eastAsia" w:ascii="宋体" w:hAnsi="宋体" w:eastAsia="宋体" w:cs="宋体"/>
                <w:sz w:val="21"/>
                <w:szCs w:val="21"/>
              </w:rPr>
            </w:pPr>
          </w:p>
        </w:tc>
        <w:tc>
          <w:tcPr>
            <w:tcW w:w="3960" w:type="dxa"/>
            <w:gridSpan w:val="4"/>
            <w:vAlign w:val="center"/>
          </w:tcPr>
          <w:p w14:paraId="0FA4564F">
            <w:pPr>
              <w:rPr>
                <w:rFonts w:hint="eastAsia" w:ascii="宋体" w:hAnsi="宋体" w:eastAsia="宋体" w:cs="宋体"/>
                <w:sz w:val="21"/>
                <w:szCs w:val="21"/>
              </w:rPr>
            </w:pPr>
          </w:p>
        </w:tc>
        <w:tc>
          <w:tcPr>
            <w:tcW w:w="1792" w:type="dxa"/>
            <w:gridSpan w:val="2"/>
            <w:vAlign w:val="center"/>
          </w:tcPr>
          <w:p w14:paraId="35A4D3F7">
            <w:pPr>
              <w:rPr>
                <w:rFonts w:hint="eastAsia" w:ascii="宋体" w:hAnsi="宋体" w:eastAsia="宋体" w:cs="宋体"/>
                <w:sz w:val="21"/>
                <w:szCs w:val="21"/>
              </w:rPr>
            </w:pPr>
          </w:p>
        </w:tc>
        <w:tc>
          <w:tcPr>
            <w:tcW w:w="2517" w:type="dxa"/>
            <w:gridSpan w:val="2"/>
            <w:vAlign w:val="center"/>
          </w:tcPr>
          <w:p w14:paraId="2A62986F">
            <w:pPr>
              <w:rPr>
                <w:rFonts w:hint="eastAsia" w:ascii="宋体" w:hAnsi="宋体" w:eastAsia="宋体" w:cs="宋体"/>
                <w:sz w:val="21"/>
                <w:szCs w:val="21"/>
              </w:rPr>
            </w:pPr>
          </w:p>
        </w:tc>
      </w:tr>
      <w:tr w14:paraId="23BA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7D347076">
            <w:pPr>
              <w:rPr>
                <w:rFonts w:hint="eastAsia" w:ascii="宋体" w:hAnsi="宋体" w:eastAsia="宋体" w:cs="宋体"/>
                <w:sz w:val="21"/>
                <w:szCs w:val="21"/>
              </w:rPr>
            </w:pPr>
          </w:p>
        </w:tc>
        <w:tc>
          <w:tcPr>
            <w:tcW w:w="3960" w:type="dxa"/>
            <w:gridSpan w:val="4"/>
            <w:vAlign w:val="center"/>
          </w:tcPr>
          <w:p w14:paraId="51DDF107">
            <w:pPr>
              <w:rPr>
                <w:rFonts w:hint="eastAsia" w:ascii="宋体" w:hAnsi="宋体" w:eastAsia="宋体" w:cs="宋体"/>
                <w:sz w:val="21"/>
                <w:szCs w:val="21"/>
              </w:rPr>
            </w:pPr>
          </w:p>
        </w:tc>
        <w:tc>
          <w:tcPr>
            <w:tcW w:w="1792" w:type="dxa"/>
            <w:gridSpan w:val="2"/>
            <w:vAlign w:val="center"/>
          </w:tcPr>
          <w:p w14:paraId="4631D64A">
            <w:pPr>
              <w:rPr>
                <w:rFonts w:hint="eastAsia" w:ascii="宋体" w:hAnsi="宋体" w:eastAsia="宋体" w:cs="宋体"/>
                <w:sz w:val="21"/>
                <w:szCs w:val="21"/>
              </w:rPr>
            </w:pPr>
          </w:p>
        </w:tc>
        <w:tc>
          <w:tcPr>
            <w:tcW w:w="2517" w:type="dxa"/>
            <w:gridSpan w:val="2"/>
            <w:vAlign w:val="center"/>
          </w:tcPr>
          <w:p w14:paraId="5660820A">
            <w:pPr>
              <w:rPr>
                <w:rFonts w:hint="eastAsia" w:ascii="宋体" w:hAnsi="宋体" w:eastAsia="宋体" w:cs="宋体"/>
                <w:sz w:val="21"/>
                <w:szCs w:val="21"/>
              </w:rPr>
            </w:pPr>
          </w:p>
        </w:tc>
      </w:tr>
      <w:tr w14:paraId="370C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0" w:type="dxa"/>
            <w:vAlign w:val="center"/>
          </w:tcPr>
          <w:p w14:paraId="4F989457">
            <w:pPr>
              <w:rPr>
                <w:rFonts w:hint="eastAsia" w:ascii="宋体" w:hAnsi="宋体" w:eastAsia="宋体" w:cs="宋体"/>
                <w:sz w:val="21"/>
                <w:szCs w:val="21"/>
              </w:rPr>
            </w:pPr>
          </w:p>
        </w:tc>
        <w:tc>
          <w:tcPr>
            <w:tcW w:w="3960" w:type="dxa"/>
            <w:gridSpan w:val="4"/>
            <w:vAlign w:val="center"/>
          </w:tcPr>
          <w:p w14:paraId="613936C1">
            <w:pPr>
              <w:rPr>
                <w:rFonts w:hint="eastAsia" w:ascii="宋体" w:hAnsi="宋体" w:eastAsia="宋体" w:cs="宋体"/>
                <w:sz w:val="21"/>
                <w:szCs w:val="21"/>
              </w:rPr>
            </w:pPr>
          </w:p>
        </w:tc>
        <w:tc>
          <w:tcPr>
            <w:tcW w:w="1792" w:type="dxa"/>
            <w:gridSpan w:val="2"/>
            <w:vAlign w:val="center"/>
          </w:tcPr>
          <w:p w14:paraId="3B022576">
            <w:pPr>
              <w:rPr>
                <w:rFonts w:hint="eastAsia" w:ascii="宋体" w:hAnsi="宋体" w:eastAsia="宋体" w:cs="宋体"/>
                <w:sz w:val="21"/>
                <w:szCs w:val="21"/>
              </w:rPr>
            </w:pPr>
          </w:p>
        </w:tc>
        <w:tc>
          <w:tcPr>
            <w:tcW w:w="2517" w:type="dxa"/>
            <w:gridSpan w:val="2"/>
            <w:vAlign w:val="center"/>
          </w:tcPr>
          <w:p w14:paraId="562CCF3F">
            <w:pPr>
              <w:rPr>
                <w:rFonts w:hint="eastAsia" w:ascii="宋体" w:hAnsi="宋体" w:eastAsia="宋体" w:cs="宋体"/>
                <w:sz w:val="21"/>
                <w:szCs w:val="21"/>
              </w:rPr>
            </w:pPr>
          </w:p>
        </w:tc>
      </w:tr>
      <w:tr w14:paraId="19C0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0" w:type="dxa"/>
            <w:vAlign w:val="center"/>
          </w:tcPr>
          <w:p w14:paraId="0BEBFB68">
            <w:pPr>
              <w:rPr>
                <w:rFonts w:hint="eastAsia" w:ascii="宋体" w:hAnsi="宋体" w:eastAsia="宋体" w:cs="宋体"/>
                <w:sz w:val="21"/>
                <w:szCs w:val="21"/>
              </w:rPr>
            </w:pPr>
          </w:p>
        </w:tc>
        <w:tc>
          <w:tcPr>
            <w:tcW w:w="3960" w:type="dxa"/>
            <w:gridSpan w:val="4"/>
            <w:vAlign w:val="center"/>
          </w:tcPr>
          <w:p w14:paraId="3F8239FD">
            <w:pPr>
              <w:rPr>
                <w:rFonts w:hint="eastAsia" w:ascii="宋体" w:hAnsi="宋体" w:eastAsia="宋体" w:cs="宋体"/>
                <w:sz w:val="21"/>
                <w:szCs w:val="21"/>
              </w:rPr>
            </w:pPr>
          </w:p>
        </w:tc>
        <w:tc>
          <w:tcPr>
            <w:tcW w:w="1792" w:type="dxa"/>
            <w:gridSpan w:val="2"/>
            <w:vAlign w:val="center"/>
          </w:tcPr>
          <w:p w14:paraId="554CC303">
            <w:pPr>
              <w:rPr>
                <w:rFonts w:hint="eastAsia" w:ascii="宋体" w:hAnsi="宋体" w:eastAsia="宋体" w:cs="宋体"/>
                <w:sz w:val="21"/>
                <w:szCs w:val="21"/>
              </w:rPr>
            </w:pPr>
          </w:p>
        </w:tc>
        <w:tc>
          <w:tcPr>
            <w:tcW w:w="2517" w:type="dxa"/>
            <w:gridSpan w:val="2"/>
            <w:vAlign w:val="center"/>
          </w:tcPr>
          <w:p w14:paraId="11AFEC50">
            <w:pPr>
              <w:rPr>
                <w:rFonts w:hint="eastAsia" w:ascii="宋体" w:hAnsi="宋体" w:eastAsia="宋体" w:cs="宋体"/>
                <w:sz w:val="21"/>
                <w:szCs w:val="21"/>
              </w:rPr>
            </w:pPr>
          </w:p>
        </w:tc>
      </w:tr>
      <w:tr w14:paraId="59D9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16794DBA">
            <w:pPr>
              <w:rPr>
                <w:rFonts w:hint="eastAsia" w:ascii="宋体" w:hAnsi="宋体" w:eastAsia="宋体" w:cs="宋体"/>
                <w:sz w:val="21"/>
                <w:szCs w:val="21"/>
              </w:rPr>
            </w:pPr>
          </w:p>
        </w:tc>
        <w:tc>
          <w:tcPr>
            <w:tcW w:w="3960" w:type="dxa"/>
            <w:gridSpan w:val="4"/>
            <w:vAlign w:val="center"/>
          </w:tcPr>
          <w:p w14:paraId="09083233">
            <w:pPr>
              <w:rPr>
                <w:rFonts w:hint="eastAsia" w:ascii="宋体" w:hAnsi="宋体" w:eastAsia="宋体" w:cs="宋体"/>
                <w:sz w:val="21"/>
                <w:szCs w:val="21"/>
              </w:rPr>
            </w:pPr>
          </w:p>
        </w:tc>
        <w:tc>
          <w:tcPr>
            <w:tcW w:w="1792" w:type="dxa"/>
            <w:gridSpan w:val="2"/>
            <w:vAlign w:val="center"/>
          </w:tcPr>
          <w:p w14:paraId="1FD2E98F">
            <w:pPr>
              <w:rPr>
                <w:rFonts w:hint="eastAsia" w:ascii="宋体" w:hAnsi="宋体" w:eastAsia="宋体" w:cs="宋体"/>
                <w:sz w:val="21"/>
                <w:szCs w:val="21"/>
              </w:rPr>
            </w:pPr>
          </w:p>
        </w:tc>
        <w:tc>
          <w:tcPr>
            <w:tcW w:w="2517" w:type="dxa"/>
            <w:gridSpan w:val="2"/>
            <w:vAlign w:val="center"/>
          </w:tcPr>
          <w:p w14:paraId="109D205A">
            <w:pPr>
              <w:rPr>
                <w:rFonts w:hint="eastAsia" w:ascii="宋体" w:hAnsi="宋体" w:eastAsia="宋体" w:cs="宋体"/>
                <w:sz w:val="21"/>
                <w:szCs w:val="21"/>
              </w:rPr>
            </w:pPr>
          </w:p>
        </w:tc>
      </w:tr>
      <w:tr w14:paraId="6A03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2ED09144">
            <w:pPr>
              <w:rPr>
                <w:rFonts w:hint="eastAsia" w:ascii="宋体" w:hAnsi="宋体" w:eastAsia="宋体" w:cs="宋体"/>
                <w:sz w:val="21"/>
                <w:szCs w:val="21"/>
              </w:rPr>
            </w:pPr>
          </w:p>
        </w:tc>
        <w:tc>
          <w:tcPr>
            <w:tcW w:w="3960" w:type="dxa"/>
            <w:gridSpan w:val="4"/>
            <w:vAlign w:val="center"/>
          </w:tcPr>
          <w:p w14:paraId="07BE8144">
            <w:pPr>
              <w:rPr>
                <w:rFonts w:hint="eastAsia" w:ascii="宋体" w:hAnsi="宋体" w:eastAsia="宋体" w:cs="宋体"/>
                <w:sz w:val="21"/>
                <w:szCs w:val="21"/>
              </w:rPr>
            </w:pPr>
          </w:p>
        </w:tc>
        <w:tc>
          <w:tcPr>
            <w:tcW w:w="1792" w:type="dxa"/>
            <w:gridSpan w:val="2"/>
            <w:vAlign w:val="center"/>
          </w:tcPr>
          <w:p w14:paraId="2CE48B1F">
            <w:pPr>
              <w:rPr>
                <w:rFonts w:hint="eastAsia" w:ascii="宋体" w:hAnsi="宋体" w:eastAsia="宋体" w:cs="宋体"/>
                <w:sz w:val="21"/>
                <w:szCs w:val="21"/>
              </w:rPr>
            </w:pPr>
          </w:p>
        </w:tc>
        <w:tc>
          <w:tcPr>
            <w:tcW w:w="2517" w:type="dxa"/>
            <w:gridSpan w:val="2"/>
            <w:vAlign w:val="center"/>
          </w:tcPr>
          <w:p w14:paraId="48664943">
            <w:pPr>
              <w:rPr>
                <w:rFonts w:hint="eastAsia" w:ascii="宋体" w:hAnsi="宋体" w:eastAsia="宋体" w:cs="宋体"/>
                <w:sz w:val="21"/>
                <w:szCs w:val="21"/>
              </w:rPr>
            </w:pPr>
          </w:p>
        </w:tc>
      </w:tr>
      <w:tr w14:paraId="1465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78A2C289">
            <w:pPr>
              <w:rPr>
                <w:rFonts w:hint="eastAsia" w:ascii="宋体" w:hAnsi="宋体" w:eastAsia="宋体" w:cs="宋体"/>
                <w:sz w:val="21"/>
                <w:szCs w:val="21"/>
              </w:rPr>
            </w:pPr>
          </w:p>
        </w:tc>
        <w:tc>
          <w:tcPr>
            <w:tcW w:w="3960" w:type="dxa"/>
            <w:gridSpan w:val="4"/>
            <w:vAlign w:val="center"/>
          </w:tcPr>
          <w:p w14:paraId="4C0D033F">
            <w:pPr>
              <w:rPr>
                <w:rFonts w:hint="eastAsia" w:ascii="宋体" w:hAnsi="宋体" w:eastAsia="宋体" w:cs="宋体"/>
                <w:sz w:val="21"/>
                <w:szCs w:val="21"/>
              </w:rPr>
            </w:pPr>
          </w:p>
        </w:tc>
        <w:tc>
          <w:tcPr>
            <w:tcW w:w="1792" w:type="dxa"/>
            <w:gridSpan w:val="2"/>
            <w:vAlign w:val="center"/>
          </w:tcPr>
          <w:p w14:paraId="36F21CAF">
            <w:pPr>
              <w:rPr>
                <w:rFonts w:hint="eastAsia" w:ascii="宋体" w:hAnsi="宋体" w:eastAsia="宋体" w:cs="宋体"/>
                <w:sz w:val="21"/>
                <w:szCs w:val="21"/>
              </w:rPr>
            </w:pPr>
          </w:p>
        </w:tc>
        <w:tc>
          <w:tcPr>
            <w:tcW w:w="2517" w:type="dxa"/>
            <w:gridSpan w:val="2"/>
            <w:vAlign w:val="center"/>
          </w:tcPr>
          <w:p w14:paraId="185025B4">
            <w:pPr>
              <w:rPr>
                <w:rFonts w:hint="eastAsia" w:ascii="宋体" w:hAnsi="宋体" w:eastAsia="宋体" w:cs="宋体"/>
                <w:sz w:val="21"/>
                <w:szCs w:val="21"/>
              </w:rPr>
            </w:pPr>
          </w:p>
        </w:tc>
      </w:tr>
      <w:tr w14:paraId="63AF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71AE6CAC">
            <w:pPr>
              <w:rPr>
                <w:rFonts w:hint="eastAsia" w:ascii="宋体" w:hAnsi="宋体" w:eastAsia="宋体" w:cs="宋体"/>
                <w:sz w:val="21"/>
                <w:szCs w:val="21"/>
              </w:rPr>
            </w:pPr>
          </w:p>
        </w:tc>
        <w:tc>
          <w:tcPr>
            <w:tcW w:w="3960" w:type="dxa"/>
            <w:gridSpan w:val="4"/>
            <w:vAlign w:val="center"/>
          </w:tcPr>
          <w:p w14:paraId="7EACAE0E">
            <w:pPr>
              <w:rPr>
                <w:rFonts w:hint="eastAsia" w:ascii="宋体" w:hAnsi="宋体" w:eastAsia="宋体" w:cs="宋体"/>
                <w:sz w:val="21"/>
                <w:szCs w:val="21"/>
              </w:rPr>
            </w:pPr>
          </w:p>
        </w:tc>
        <w:tc>
          <w:tcPr>
            <w:tcW w:w="1792" w:type="dxa"/>
            <w:gridSpan w:val="2"/>
            <w:vAlign w:val="center"/>
          </w:tcPr>
          <w:p w14:paraId="1955DD8D">
            <w:pPr>
              <w:rPr>
                <w:rFonts w:hint="eastAsia" w:ascii="宋体" w:hAnsi="宋体" w:eastAsia="宋体" w:cs="宋体"/>
                <w:sz w:val="21"/>
                <w:szCs w:val="21"/>
              </w:rPr>
            </w:pPr>
          </w:p>
        </w:tc>
        <w:tc>
          <w:tcPr>
            <w:tcW w:w="2517" w:type="dxa"/>
            <w:gridSpan w:val="2"/>
            <w:vAlign w:val="center"/>
          </w:tcPr>
          <w:p w14:paraId="1C3DA9C4">
            <w:pPr>
              <w:rPr>
                <w:rFonts w:hint="eastAsia" w:ascii="宋体" w:hAnsi="宋体" w:eastAsia="宋体" w:cs="宋体"/>
                <w:sz w:val="21"/>
                <w:szCs w:val="21"/>
              </w:rPr>
            </w:pPr>
          </w:p>
        </w:tc>
      </w:tr>
      <w:tr w14:paraId="08A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60" w:type="dxa"/>
            <w:vAlign w:val="center"/>
          </w:tcPr>
          <w:p w14:paraId="4692925D">
            <w:pPr>
              <w:rPr>
                <w:rFonts w:hint="eastAsia" w:ascii="宋体" w:hAnsi="宋体" w:eastAsia="宋体" w:cs="宋体"/>
                <w:sz w:val="21"/>
                <w:szCs w:val="21"/>
              </w:rPr>
            </w:pPr>
          </w:p>
        </w:tc>
        <w:tc>
          <w:tcPr>
            <w:tcW w:w="3960" w:type="dxa"/>
            <w:gridSpan w:val="4"/>
            <w:vAlign w:val="center"/>
          </w:tcPr>
          <w:p w14:paraId="1BAB37DA">
            <w:pPr>
              <w:rPr>
                <w:rFonts w:hint="eastAsia" w:ascii="宋体" w:hAnsi="宋体" w:eastAsia="宋体" w:cs="宋体"/>
                <w:sz w:val="21"/>
                <w:szCs w:val="21"/>
              </w:rPr>
            </w:pPr>
          </w:p>
        </w:tc>
        <w:tc>
          <w:tcPr>
            <w:tcW w:w="1792" w:type="dxa"/>
            <w:gridSpan w:val="2"/>
            <w:vAlign w:val="center"/>
          </w:tcPr>
          <w:p w14:paraId="37F1D8DC">
            <w:pPr>
              <w:rPr>
                <w:rFonts w:hint="eastAsia" w:ascii="宋体" w:hAnsi="宋体" w:eastAsia="宋体" w:cs="宋体"/>
                <w:sz w:val="21"/>
                <w:szCs w:val="21"/>
              </w:rPr>
            </w:pPr>
          </w:p>
        </w:tc>
        <w:tc>
          <w:tcPr>
            <w:tcW w:w="2517" w:type="dxa"/>
            <w:gridSpan w:val="2"/>
            <w:vAlign w:val="center"/>
          </w:tcPr>
          <w:p w14:paraId="1F5225E3">
            <w:pPr>
              <w:rPr>
                <w:rFonts w:hint="eastAsia" w:ascii="宋体" w:hAnsi="宋体" w:eastAsia="宋体" w:cs="宋体"/>
                <w:sz w:val="21"/>
                <w:szCs w:val="21"/>
              </w:rPr>
            </w:pPr>
          </w:p>
        </w:tc>
      </w:tr>
      <w:tr w14:paraId="569A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0" w:type="dxa"/>
            <w:vAlign w:val="center"/>
          </w:tcPr>
          <w:p w14:paraId="6DBA40A3">
            <w:pPr>
              <w:rPr>
                <w:rFonts w:hint="eastAsia" w:ascii="宋体" w:hAnsi="宋体" w:eastAsia="宋体" w:cs="宋体"/>
                <w:sz w:val="21"/>
                <w:szCs w:val="21"/>
              </w:rPr>
            </w:pPr>
          </w:p>
        </w:tc>
        <w:tc>
          <w:tcPr>
            <w:tcW w:w="3960" w:type="dxa"/>
            <w:gridSpan w:val="4"/>
            <w:vAlign w:val="center"/>
          </w:tcPr>
          <w:p w14:paraId="18849723">
            <w:pPr>
              <w:rPr>
                <w:rFonts w:hint="eastAsia" w:ascii="宋体" w:hAnsi="宋体" w:eastAsia="宋体" w:cs="宋体"/>
                <w:sz w:val="21"/>
                <w:szCs w:val="21"/>
              </w:rPr>
            </w:pPr>
          </w:p>
        </w:tc>
        <w:tc>
          <w:tcPr>
            <w:tcW w:w="1792" w:type="dxa"/>
            <w:gridSpan w:val="2"/>
            <w:vAlign w:val="center"/>
          </w:tcPr>
          <w:p w14:paraId="7E741666">
            <w:pPr>
              <w:rPr>
                <w:rFonts w:hint="eastAsia" w:ascii="宋体" w:hAnsi="宋体" w:eastAsia="宋体" w:cs="宋体"/>
                <w:sz w:val="21"/>
                <w:szCs w:val="21"/>
              </w:rPr>
            </w:pPr>
          </w:p>
        </w:tc>
        <w:tc>
          <w:tcPr>
            <w:tcW w:w="2517" w:type="dxa"/>
            <w:gridSpan w:val="2"/>
            <w:vAlign w:val="center"/>
          </w:tcPr>
          <w:p w14:paraId="1A66ACC8">
            <w:pPr>
              <w:rPr>
                <w:rFonts w:hint="eastAsia" w:ascii="宋体" w:hAnsi="宋体" w:eastAsia="宋体" w:cs="宋体"/>
                <w:sz w:val="21"/>
                <w:szCs w:val="21"/>
              </w:rPr>
            </w:pPr>
          </w:p>
        </w:tc>
      </w:tr>
      <w:tr w14:paraId="042B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0" w:type="dxa"/>
            <w:vAlign w:val="center"/>
          </w:tcPr>
          <w:p w14:paraId="50B4A595">
            <w:pPr>
              <w:rPr>
                <w:rFonts w:hint="eastAsia" w:ascii="宋体" w:hAnsi="宋体" w:eastAsia="宋体" w:cs="宋体"/>
                <w:sz w:val="21"/>
                <w:szCs w:val="21"/>
              </w:rPr>
            </w:pPr>
          </w:p>
        </w:tc>
        <w:tc>
          <w:tcPr>
            <w:tcW w:w="3960" w:type="dxa"/>
            <w:gridSpan w:val="4"/>
            <w:vAlign w:val="center"/>
          </w:tcPr>
          <w:p w14:paraId="3DA09466">
            <w:pPr>
              <w:rPr>
                <w:rFonts w:hint="eastAsia" w:ascii="宋体" w:hAnsi="宋体" w:eastAsia="宋体" w:cs="宋体"/>
                <w:sz w:val="21"/>
                <w:szCs w:val="21"/>
              </w:rPr>
            </w:pPr>
          </w:p>
        </w:tc>
        <w:tc>
          <w:tcPr>
            <w:tcW w:w="1792" w:type="dxa"/>
            <w:gridSpan w:val="2"/>
            <w:vAlign w:val="center"/>
          </w:tcPr>
          <w:p w14:paraId="14AEE494">
            <w:pPr>
              <w:rPr>
                <w:rFonts w:hint="eastAsia" w:ascii="宋体" w:hAnsi="宋体" w:eastAsia="宋体" w:cs="宋体"/>
                <w:sz w:val="21"/>
                <w:szCs w:val="21"/>
              </w:rPr>
            </w:pPr>
          </w:p>
        </w:tc>
        <w:tc>
          <w:tcPr>
            <w:tcW w:w="2517" w:type="dxa"/>
            <w:gridSpan w:val="2"/>
            <w:vAlign w:val="center"/>
          </w:tcPr>
          <w:p w14:paraId="51C64C18">
            <w:pPr>
              <w:rPr>
                <w:rFonts w:hint="eastAsia" w:ascii="宋体" w:hAnsi="宋体" w:eastAsia="宋体" w:cs="宋体"/>
                <w:sz w:val="21"/>
                <w:szCs w:val="21"/>
              </w:rPr>
            </w:pPr>
          </w:p>
        </w:tc>
      </w:tr>
    </w:tbl>
    <w:p w14:paraId="11971AA1">
      <w:pPr>
        <w:spacing w:line="360" w:lineRule="auto"/>
        <w:rPr>
          <w:rFonts w:hint="eastAsia" w:ascii="宋体" w:hAnsi="宋体" w:eastAsia="宋体" w:cs="宋体"/>
          <w:sz w:val="21"/>
          <w:szCs w:val="21"/>
        </w:rPr>
      </w:pPr>
      <w:r>
        <w:rPr>
          <w:rFonts w:hint="eastAsia" w:ascii="宋体" w:hAnsi="宋体" w:eastAsia="宋体" w:cs="宋体"/>
          <w:sz w:val="21"/>
          <w:szCs w:val="21"/>
        </w:rPr>
        <w:t>后附：项目经理的注册执业资格证书、安全生产考核合格证书（B证）等复印件，或其他人员的相关证书复印件。</w:t>
      </w:r>
    </w:p>
    <w:p w14:paraId="7331DEC2">
      <w:pPr>
        <w:spacing w:line="360" w:lineRule="auto"/>
        <w:ind w:firstLine="420" w:firstLineChars="200"/>
        <w:rPr>
          <w:rFonts w:hint="eastAsia" w:ascii="宋体" w:hAnsi="宋体" w:eastAsia="宋体" w:cs="宋体"/>
          <w:sz w:val="21"/>
          <w:szCs w:val="21"/>
        </w:rPr>
      </w:pPr>
    </w:p>
    <w:p w14:paraId="70F09289">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7173385F">
      <w:pPr>
        <w:adjustRightInd w:val="0"/>
        <w:snapToGrid w:val="0"/>
        <w:spacing w:line="48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七、同类业绩情况一览表</w:t>
      </w:r>
    </w:p>
    <w:p w14:paraId="33FAA715">
      <w:pPr>
        <w:pStyle w:val="32"/>
      </w:pP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14:paraId="2F7F7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ign w:val="center"/>
          </w:tcPr>
          <w:p w14:paraId="483CEF1B">
            <w:pPr>
              <w:spacing w:line="400" w:lineRule="exact"/>
              <w:ind w:right="23" w:rightChars="11"/>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46" w:type="dxa"/>
            <w:noWrap/>
            <w:vAlign w:val="center"/>
          </w:tcPr>
          <w:p w14:paraId="6C18DFA3">
            <w:pPr>
              <w:spacing w:line="400" w:lineRule="exact"/>
              <w:ind w:right="23" w:rightChars="11"/>
              <w:jc w:val="center"/>
              <w:rPr>
                <w:rFonts w:hint="eastAsia" w:ascii="宋体" w:hAnsi="宋体" w:eastAsia="宋体" w:cs="宋体"/>
                <w:sz w:val="21"/>
                <w:szCs w:val="21"/>
              </w:rPr>
            </w:pPr>
            <w:r>
              <w:rPr>
                <w:rFonts w:hint="eastAsia" w:ascii="宋体" w:hAnsi="宋体" w:eastAsia="宋体" w:cs="宋体"/>
                <w:sz w:val="21"/>
                <w:szCs w:val="21"/>
              </w:rPr>
              <w:t>发包人</w:t>
            </w:r>
          </w:p>
        </w:tc>
        <w:tc>
          <w:tcPr>
            <w:tcW w:w="1607" w:type="dxa"/>
            <w:noWrap/>
            <w:vAlign w:val="center"/>
          </w:tcPr>
          <w:p w14:paraId="064B176B">
            <w:pPr>
              <w:spacing w:line="400" w:lineRule="exact"/>
              <w:ind w:right="23" w:rightChars="11"/>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291" w:type="dxa"/>
            <w:noWrap/>
            <w:vAlign w:val="center"/>
          </w:tcPr>
          <w:p w14:paraId="32CE769C">
            <w:pPr>
              <w:spacing w:line="400" w:lineRule="exact"/>
              <w:ind w:right="23" w:rightChars="11"/>
              <w:jc w:val="center"/>
              <w:rPr>
                <w:rFonts w:hint="eastAsia" w:ascii="宋体" w:hAnsi="宋体" w:eastAsia="宋体" w:cs="宋体"/>
                <w:sz w:val="21"/>
                <w:szCs w:val="21"/>
              </w:rPr>
            </w:pPr>
            <w:r>
              <w:rPr>
                <w:rFonts w:hint="eastAsia" w:ascii="宋体" w:hAnsi="宋体" w:eastAsia="宋体" w:cs="宋体"/>
                <w:sz w:val="21"/>
                <w:szCs w:val="21"/>
              </w:rPr>
              <w:t>地点</w:t>
            </w:r>
          </w:p>
        </w:tc>
        <w:tc>
          <w:tcPr>
            <w:tcW w:w="1216" w:type="dxa"/>
            <w:noWrap/>
            <w:vAlign w:val="center"/>
          </w:tcPr>
          <w:p w14:paraId="5045439E">
            <w:pPr>
              <w:spacing w:line="400" w:lineRule="exact"/>
              <w:ind w:right="23" w:rightChars="11"/>
              <w:jc w:val="center"/>
              <w:rPr>
                <w:rFonts w:hint="eastAsia" w:ascii="宋体" w:hAnsi="宋体" w:eastAsia="宋体" w:cs="宋体"/>
                <w:sz w:val="21"/>
                <w:szCs w:val="21"/>
              </w:rPr>
            </w:pPr>
            <w:r>
              <w:rPr>
                <w:rFonts w:hint="eastAsia" w:ascii="宋体" w:hAnsi="宋体" w:eastAsia="宋体" w:cs="宋体"/>
                <w:sz w:val="21"/>
                <w:szCs w:val="21"/>
              </w:rPr>
              <w:t>履约期限</w:t>
            </w:r>
          </w:p>
        </w:tc>
        <w:tc>
          <w:tcPr>
            <w:tcW w:w="1216" w:type="dxa"/>
            <w:noWrap/>
            <w:vAlign w:val="center"/>
          </w:tcPr>
          <w:p w14:paraId="030FCC1F">
            <w:pPr>
              <w:spacing w:line="400" w:lineRule="exact"/>
              <w:ind w:right="23" w:rightChars="11"/>
              <w:jc w:val="center"/>
              <w:rPr>
                <w:rFonts w:hint="eastAsia" w:ascii="宋体" w:hAnsi="宋体" w:eastAsia="宋体" w:cs="宋体"/>
                <w:sz w:val="21"/>
                <w:szCs w:val="21"/>
              </w:rPr>
            </w:pPr>
            <w:r>
              <w:rPr>
                <w:rFonts w:hint="eastAsia" w:ascii="宋体" w:hAnsi="宋体" w:eastAsia="宋体" w:cs="宋体"/>
                <w:sz w:val="21"/>
                <w:szCs w:val="21"/>
              </w:rPr>
              <w:t>合同价格（元）</w:t>
            </w:r>
          </w:p>
        </w:tc>
        <w:tc>
          <w:tcPr>
            <w:tcW w:w="1697" w:type="dxa"/>
            <w:noWrap/>
            <w:vAlign w:val="center"/>
          </w:tcPr>
          <w:p w14:paraId="01ECA44B">
            <w:pPr>
              <w:spacing w:line="400" w:lineRule="exact"/>
              <w:ind w:right="23" w:rightChars="11"/>
              <w:jc w:val="center"/>
              <w:rPr>
                <w:rFonts w:hint="eastAsia" w:ascii="宋体" w:hAnsi="宋体" w:eastAsia="宋体" w:cs="宋体"/>
                <w:sz w:val="21"/>
                <w:szCs w:val="21"/>
              </w:rPr>
            </w:pPr>
            <w:r>
              <w:rPr>
                <w:rFonts w:hint="eastAsia" w:ascii="宋体" w:hAnsi="宋体" w:eastAsia="宋体" w:cs="宋体"/>
                <w:sz w:val="21"/>
                <w:szCs w:val="21"/>
              </w:rPr>
              <w:t>发包人联系人/电话</w:t>
            </w:r>
          </w:p>
        </w:tc>
      </w:tr>
      <w:tr w14:paraId="19992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788B163D">
            <w:pPr>
              <w:spacing w:line="400" w:lineRule="exact"/>
              <w:ind w:right="25" w:rightChars="12"/>
              <w:jc w:val="center"/>
              <w:rPr>
                <w:rFonts w:hint="eastAsia" w:ascii="宋体" w:hAnsi="宋体" w:eastAsia="宋体" w:cs="宋体"/>
                <w:sz w:val="21"/>
                <w:szCs w:val="21"/>
              </w:rPr>
            </w:pPr>
            <w:r>
              <w:rPr>
                <w:rFonts w:hint="eastAsia" w:ascii="宋体" w:hAnsi="宋体" w:eastAsia="宋体" w:cs="宋体"/>
                <w:sz w:val="21"/>
                <w:szCs w:val="21"/>
              </w:rPr>
              <w:t>1</w:t>
            </w:r>
          </w:p>
        </w:tc>
        <w:tc>
          <w:tcPr>
            <w:tcW w:w="1246" w:type="dxa"/>
            <w:noWrap/>
          </w:tcPr>
          <w:p w14:paraId="446CCDFB">
            <w:pPr>
              <w:spacing w:line="400" w:lineRule="exact"/>
              <w:ind w:right="25" w:rightChars="12"/>
              <w:jc w:val="center"/>
              <w:rPr>
                <w:rFonts w:hint="eastAsia" w:ascii="宋体" w:hAnsi="宋体" w:eastAsia="宋体" w:cs="宋体"/>
                <w:b/>
                <w:sz w:val="21"/>
                <w:szCs w:val="21"/>
              </w:rPr>
            </w:pPr>
          </w:p>
        </w:tc>
        <w:tc>
          <w:tcPr>
            <w:tcW w:w="1607" w:type="dxa"/>
            <w:noWrap/>
          </w:tcPr>
          <w:p w14:paraId="618BF422">
            <w:pPr>
              <w:spacing w:line="400" w:lineRule="exact"/>
              <w:ind w:right="25" w:rightChars="12"/>
              <w:jc w:val="center"/>
              <w:rPr>
                <w:rFonts w:hint="eastAsia" w:ascii="宋体" w:hAnsi="宋体" w:eastAsia="宋体" w:cs="宋体"/>
                <w:b/>
                <w:sz w:val="21"/>
                <w:szCs w:val="21"/>
              </w:rPr>
            </w:pPr>
          </w:p>
        </w:tc>
        <w:tc>
          <w:tcPr>
            <w:tcW w:w="1291" w:type="dxa"/>
            <w:noWrap/>
          </w:tcPr>
          <w:p w14:paraId="23C755BA">
            <w:pPr>
              <w:spacing w:line="400" w:lineRule="exact"/>
              <w:ind w:right="25" w:rightChars="12"/>
              <w:jc w:val="center"/>
              <w:rPr>
                <w:rFonts w:hint="eastAsia" w:ascii="宋体" w:hAnsi="宋体" w:eastAsia="宋体" w:cs="宋体"/>
                <w:b/>
                <w:sz w:val="21"/>
                <w:szCs w:val="21"/>
              </w:rPr>
            </w:pPr>
          </w:p>
        </w:tc>
        <w:tc>
          <w:tcPr>
            <w:tcW w:w="1216" w:type="dxa"/>
            <w:noWrap/>
          </w:tcPr>
          <w:p w14:paraId="26CA5A85">
            <w:pPr>
              <w:spacing w:line="400" w:lineRule="exact"/>
              <w:ind w:right="25" w:rightChars="12"/>
              <w:jc w:val="center"/>
              <w:rPr>
                <w:rFonts w:hint="eastAsia" w:ascii="宋体" w:hAnsi="宋体" w:eastAsia="宋体" w:cs="宋体"/>
                <w:b/>
                <w:sz w:val="21"/>
                <w:szCs w:val="21"/>
              </w:rPr>
            </w:pPr>
          </w:p>
        </w:tc>
        <w:tc>
          <w:tcPr>
            <w:tcW w:w="1216" w:type="dxa"/>
            <w:noWrap/>
          </w:tcPr>
          <w:p w14:paraId="606C701F">
            <w:pPr>
              <w:spacing w:line="400" w:lineRule="exact"/>
              <w:ind w:right="25" w:rightChars="12"/>
              <w:jc w:val="center"/>
              <w:rPr>
                <w:rFonts w:hint="eastAsia" w:ascii="宋体" w:hAnsi="宋体" w:eastAsia="宋体" w:cs="宋体"/>
                <w:b/>
                <w:sz w:val="21"/>
                <w:szCs w:val="21"/>
              </w:rPr>
            </w:pPr>
          </w:p>
        </w:tc>
        <w:tc>
          <w:tcPr>
            <w:tcW w:w="1697" w:type="dxa"/>
            <w:noWrap/>
          </w:tcPr>
          <w:p w14:paraId="361A3556">
            <w:pPr>
              <w:spacing w:line="400" w:lineRule="exact"/>
              <w:ind w:right="25" w:rightChars="12"/>
              <w:jc w:val="center"/>
              <w:rPr>
                <w:rFonts w:hint="eastAsia" w:ascii="宋体" w:hAnsi="宋体" w:eastAsia="宋体" w:cs="宋体"/>
                <w:b/>
                <w:sz w:val="21"/>
                <w:szCs w:val="21"/>
              </w:rPr>
            </w:pPr>
          </w:p>
        </w:tc>
      </w:tr>
      <w:tr w14:paraId="49003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74F8EC88">
            <w:pPr>
              <w:spacing w:line="400" w:lineRule="exact"/>
              <w:ind w:right="25" w:rightChars="12"/>
              <w:jc w:val="center"/>
              <w:rPr>
                <w:rFonts w:hint="eastAsia" w:ascii="宋体" w:hAnsi="宋体" w:eastAsia="宋体" w:cs="宋体"/>
                <w:sz w:val="21"/>
                <w:szCs w:val="21"/>
              </w:rPr>
            </w:pPr>
            <w:r>
              <w:rPr>
                <w:rFonts w:hint="eastAsia" w:ascii="宋体" w:hAnsi="宋体" w:eastAsia="宋体" w:cs="宋体"/>
                <w:sz w:val="21"/>
                <w:szCs w:val="21"/>
              </w:rPr>
              <w:t>2</w:t>
            </w:r>
          </w:p>
        </w:tc>
        <w:tc>
          <w:tcPr>
            <w:tcW w:w="1246" w:type="dxa"/>
            <w:noWrap/>
          </w:tcPr>
          <w:p w14:paraId="1A7D4464">
            <w:pPr>
              <w:spacing w:line="400" w:lineRule="exact"/>
              <w:ind w:right="25" w:rightChars="12"/>
              <w:jc w:val="center"/>
              <w:rPr>
                <w:rFonts w:hint="eastAsia" w:ascii="宋体" w:hAnsi="宋体" w:eastAsia="宋体" w:cs="宋体"/>
                <w:b/>
                <w:sz w:val="21"/>
                <w:szCs w:val="21"/>
              </w:rPr>
            </w:pPr>
          </w:p>
        </w:tc>
        <w:tc>
          <w:tcPr>
            <w:tcW w:w="1607" w:type="dxa"/>
            <w:noWrap/>
          </w:tcPr>
          <w:p w14:paraId="15B35FDB">
            <w:pPr>
              <w:spacing w:line="400" w:lineRule="exact"/>
              <w:ind w:right="25" w:rightChars="12"/>
              <w:jc w:val="center"/>
              <w:rPr>
                <w:rFonts w:hint="eastAsia" w:ascii="宋体" w:hAnsi="宋体" w:eastAsia="宋体" w:cs="宋体"/>
                <w:b/>
                <w:sz w:val="21"/>
                <w:szCs w:val="21"/>
              </w:rPr>
            </w:pPr>
          </w:p>
        </w:tc>
        <w:tc>
          <w:tcPr>
            <w:tcW w:w="1291" w:type="dxa"/>
            <w:noWrap/>
          </w:tcPr>
          <w:p w14:paraId="462EE62F">
            <w:pPr>
              <w:spacing w:line="400" w:lineRule="exact"/>
              <w:ind w:right="25" w:rightChars="12"/>
              <w:jc w:val="center"/>
              <w:rPr>
                <w:rFonts w:hint="eastAsia" w:ascii="宋体" w:hAnsi="宋体" w:eastAsia="宋体" w:cs="宋体"/>
                <w:b/>
                <w:sz w:val="21"/>
                <w:szCs w:val="21"/>
              </w:rPr>
            </w:pPr>
          </w:p>
        </w:tc>
        <w:tc>
          <w:tcPr>
            <w:tcW w:w="1216" w:type="dxa"/>
            <w:noWrap/>
          </w:tcPr>
          <w:p w14:paraId="47670D08">
            <w:pPr>
              <w:spacing w:line="400" w:lineRule="exact"/>
              <w:ind w:right="25" w:rightChars="12"/>
              <w:jc w:val="center"/>
              <w:rPr>
                <w:rFonts w:hint="eastAsia" w:ascii="宋体" w:hAnsi="宋体" w:eastAsia="宋体" w:cs="宋体"/>
                <w:b/>
                <w:sz w:val="21"/>
                <w:szCs w:val="21"/>
              </w:rPr>
            </w:pPr>
          </w:p>
        </w:tc>
        <w:tc>
          <w:tcPr>
            <w:tcW w:w="1216" w:type="dxa"/>
            <w:noWrap/>
          </w:tcPr>
          <w:p w14:paraId="468546CD">
            <w:pPr>
              <w:spacing w:line="400" w:lineRule="exact"/>
              <w:ind w:right="25" w:rightChars="12"/>
              <w:jc w:val="center"/>
              <w:rPr>
                <w:rFonts w:hint="eastAsia" w:ascii="宋体" w:hAnsi="宋体" w:eastAsia="宋体" w:cs="宋体"/>
                <w:b/>
                <w:sz w:val="21"/>
                <w:szCs w:val="21"/>
              </w:rPr>
            </w:pPr>
          </w:p>
        </w:tc>
        <w:tc>
          <w:tcPr>
            <w:tcW w:w="1697" w:type="dxa"/>
            <w:noWrap/>
          </w:tcPr>
          <w:p w14:paraId="5ED90F33">
            <w:pPr>
              <w:spacing w:line="400" w:lineRule="exact"/>
              <w:ind w:right="25" w:rightChars="12"/>
              <w:jc w:val="center"/>
              <w:rPr>
                <w:rFonts w:hint="eastAsia" w:ascii="宋体" w:hAnsi="宋体" w:eastAsia="宋体" w:cs="宋体"/>
                <w:b/>
                <w:sz w:val="21"/>
                <w:szCs w:val="21"/>
              </w:rPr>
            </w:pPr>
          </w:p>
        </w:tc>
      </w:tr>
      <w:tr w14:paraId="7AFBE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5C4B9780">
            <w:pPr>
              <w:spacing w:line="400" w:lineRule="exact"/>
              <w:ind w:right="25" w:rightChars="12"/>
              <w:jc w:val="center"/>
              <w:rPr>
                <w:rFonts w:hint="eastAsia" w:ascii="宋体" w:hAnsi="宋体" w:eastAsia="宋体" w:cs="宋体"/>
                <w:sz w:val="21"/>
                <w:szCs w:val="21"/>
              </w:rPr>
            </w:pPr>
            <w:r>
              <w:rPr>
                <w:rFonts w:hint="eastAsia" w:ascii="宋体" w:hAnsi="宋体" w:eastAsia="宋体" w:cs="宋体"/>
                <w:sz w:val="21"/>
                <w:szCs w:val="21"/>
              </w:rPr>
              <w:t>3</w:t>
            </w:r>
          </w:p>
        </w:tc>
        <w:tc>
          <w:tcPr>
            <w:tcW w:w="1246" w:type="dxa"/>
            <w:noWrap/>
          </w:tcPr>
          <w:p w14:paraId="6C20BDC9">
            <w:pPr>
              <w:spacing w:line="400" w:lineRule="exact"/>
              <w:ind w:right="25" w:rightChars="12"/>
              <w:jc w:val="center"/>
              <w:rPr>
                <w:rFonts w:hint="eastAsia" w:ascii="宋体" w:hAnsi="宋体" w:eastAsia="宋体" w:cs="宋体"/>
                <w:b/>
                <w:sz w:val="21"/>
                <w:szCs w:val="21"/>
              </w:rPr>
            </w:pPr>
          </w:p>
        </w:tc>
        <w:tc>
          <w:tcPr>
            <w:tcW w:w="1607" w:type="dxa"/>
            <w:noWrap/>
          </w:tcPr>
          <w:p w14:paraId="0B65A549">
            <w:pPr>
              <w:spacing w:line="400" w:lineRule="exact"/>
              <w:ind w:right="25" w:rightChars="12"/>
              <w:jc w:val="center"/>
              <w:rPr>
                <w:rFonts w:hint="eastAsia" w:ascii="宋体" w:hAnsi="宋体" w:eastAsia="宋体" w:cs="宋体"/>
                <w:b/>
                <w:sz w:val="21"/>
                <w:szCs w:val="21"/>
              </w:rPr>
            </w:pPr>
          </w:p>
        </w:tc>
        <w:tc>
          <w:tcPr>
            <w:tcW w:w="1291" w:type="dxa"/>
            <w:noWrap/>
          </w:tcPr>
          <w:p w14:paraId="218D25B9">
            <w:pPr>
              <w:spacing w:line="400" w:lineRule="exact"/>
              <w:ind w:right="25" w:rightChars="12"/>
              <w:jc w:val="center"/>
              <w:rPr>
                <w:rFonts w:hint="eastAsia" w:ascii="宋体" w:hAnsi="宋体" w:eastAsia="宋体" w:cs="宋体"/>
                <w:b/>
                <w:sz w:val="21"/>
                <w:szCs w:val="21"/>
              </w:rPr>
            </w:pPr>
          </w:p>
        </w:tc>
        <w:tc>
          <w:tcPr>
            <w:tcW w:w="1216" w:type="dxa"/>
            <w:noWrap/>
          </w:tcPr>
          <w:p w14:paraId="6FF31ACF">
            <w:pPr>
              <w:spacing w:line="400" w:lineRule="exact"/>
              <w:ind w:right="25" w:rightChars="12"/>
              <w:jc w:val="center"/>
              <w:rPr>
                <w:rFonts w:hint="eastAsia" w:ascii="宋体" w:hAnsi="宋体" w:eastAsia="宋体" w:cs="宋体"/>
                <w:b/>
                <w:sz w:val="21"/>
                <w:szCs w:val="21"/>
              </w:rPr>
            </w:pPr>
          </w:p>
        </w:tc>
        <w:tc>
          <w:tcPr>
            <w:tcW w:w="1216" w:type="dxa"/>
            <w:noWrap/>
          </w:tcPr>
          <w:p w14:paraId="34628904">
            <w:pPr>
              <w:spacing w:line="400" w:lineRule="exact"/>
              <w:ind w:right="25" w:rightChars="12"/>
              <w:jc w:val="center"/>
              <w:rPr>
                <w:rFonts w:hint="eastAsia" w:ascii="宋体" w:hAnsi="宋体" w:eastAsia="宋体" w:cs="宋体"/>
                <w:b/>
                <w:sz w:val="21"/>
                <w:szCs w:val="21"/>
              </w:rPr>
            </w:pPr>
          </w:p>
        </w:tc>
        <w:tc>
          <w:tcPr>
            <w:tcW w:w="1697" w:type="dxa"/>
            <w:noWrap/>
          </w:tcPr>
          <w:p w14:paraId="11111CDE">
            <w:pPr>
              <w:spacing w:line="400" w:lineRule="exact"/>
              <w:ind w:right="25" w:rightChars="12"/>
              <w:jc w:val="center"/>
              <w:rPr>
                <w:rFonts w:hint="eastAsia" w:ascii="宋体" w:hAnsi="宋体" w:eastAsia="宋体" w:cs="宋体"/>
                <w:b/>
                <w:sz w:val="21"/>
                <w:szCs w:val="21"/>
              </w:rPr>
            </w:pPr>
          </w:p>
        </w:tc>
      </w:tr>
      <w:tr w14:paraId="63096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4B4EBC22">
            <w:pPr>
              <w:spacing w:line="400" w:lineRule="exact"/>
              <w:ind w:right="25" w:rightChars="12"/>
              <w:jc w:val="center"/>
              <w:rPr>
                <w:rFonts w:hint="eastAsia" w:ascii="宋体" w:hAnsi="宋体" w:eastAsia="宋体" w:cs="宋体"/>
                <w:sz w:val="21"/>
                <w:szCs w:val="21"/>
              </w:rPr>
            </w:pPr>
            <w:r>
              <w:rPr>
                <w:rFonts w:hint="eastAsia" w:ascii="宋体" w:hAnsi="宋体" w:eastAsia="宋体" w:cs="宋体"/>
                <w:sz w:val="21"/>
                <w:szCs w:val="21"/>
              </w:rPr>
              <w:t>…</w:t>
            </w:r>
          </w:p>
        </w:tc>
        <w:tc>
          <w:tcPr>
            <w:tcW w:w="1246" w:type="dxa"/>
            <w:noWrap/>
          </w:tcPr>
          <w:p w14:paraId="5AD60CB4">
            <w:pPr>
              <w:spacing w:line="400" w:lineRule="exact"/>
              <w:ind w:right="25" w:rightChars="12"/>
              <w:jc w:val="center"/>
              <w:rPr>
                <w:rFonts w:hint="eastAsia" w:ascii="宋体" w:hAnsi="宋体" w:eastAsia="宋体" w:cs="宋体"/>
                <w:b/>
                <w:sz w:val="21"/>
                <w:szCs w:val="21"/>
              </w:rPr>
            </w:pPr>
          </w:p>
        </w:tc>
        <w:tc>
          <w:tcPr>
            <w:tcW w:w="1607" w:type="dxa"/>
            <w:noWrap/>
          </w:tcPr>
          <w:p w14:paraId="16E843DC">
            <w:pPr>
              <w:spacing w:line="400" w:lineRule="exact"/>
              <w:ind w:right="25" w:rightChars="12"/>
              <w:jc w:val="center"/>
              <w:rPr>
                <w:rFonts w:hint="eastAsia" w:ascii="宋体" w:hAnsi="宋体" w:eastAsia="宋体" w:cs="宋体"/>
                <w:b/>
                <w:sz w:val="21"/>
                <w:szCs w:val="21"/>
              </w:rPr>
            </w:pPr>
          </w:p>
        </w:tc>
        <w:tc>
          <w:tcPr>
            <w:tcW w:w="1291" w:type="dxa"/>
            <w:noWrap/>
          </w:tcPr>
          <w:p w14:paraId="6DC48AB5">
            <w:pPr>
              <w:spacing w:line="400" w:lineRule="exact"/>
              <w:ind w:right="25" w:rightChars="12"/>
              <w:jc w:val="center"/>
              <w:rPr>
                <w:rFonts w:hint="eastAsia" w:ascii="宋体" w:hAnsi="宋体" w:eastAsia="宋体" w:cs="宋体"/>
                <w:b/>
                <w:sz w:val="21"/>
                <w:szCs w:val="21"/>
              </w:rPr>
            </w:pPr>
          </w:p>
        </w:tc>
        <w:tc>
          <w:tcPr>
            <w:tcW w:w="1216" w:type="dxa"/>
            <w:noWrap/>
          </w:tcPr>
          <w:p w14:paraId="6B2920FD">
            <w:pPr>
              <w:spacing w:line="400" w:lineRule="exact"/>
              <w:ind w:right="25" w:rightChars="12"/>
              <w:jc w:val="center"/>
              <w:rPr>
                <w:rFonts w:hint="eastAsia" w:ascii="宋体" w:hAnsi="宋体" w:eastAsia="宋体" w:cs="宋体"/>
                <w:b/>
                <w:sz w:val="21"/>
                <w:szCs w:val="21"/>
              </w:rPr>
            </w:pPr>
          </w:p>
        </w:tc>
        <w:tc>
          <w:tcPr>
            <w:tcW w:w="1216" w:type="dxa"/>
            <w:noWrap/>
          </w:tcPr>
          <w:p w14:paraId="76916694">
            <w:pPr>
              <w:spacing w:line="400" w:lineRule="exact"/>
              <w:ind w:right="25" w:rightChars="12"/>
              <w:jc w:val="center"/>
              <w:rPr>
                <w:rFonts w:hint="eastAsia" w:ascii="宋体" w:hAnsi="宋体" w:eastAsia="宋体" w:cs="宋体"/>
                <w:b/>
                <w:sz w:val="21"/>
                <w:szCs w:val="21"/>
              </w:rPr>
            </w:pPr>
          </w:p>
        </w:tc>
        <w:tc>
          <w:tcPr>
            <w:tcW w:w="1697" w:type="dxa"/>
            <w:noWrap/>
          </w:tcPr>
          <w:p w14:paraId="24D16967">
            <w:pPr>
              <w:spacing w:line="400" w:lineRule="exact"/>
              <w:ind w:right="25" w:rightChars="12"/>
              <w:jc w:val="center"/>
              <w:rPr>
                <w:rFonts w:hint="eastAsia" w:ascii="宋体" w:hAnsi="宋体" w:eastAsia="宋体" w:cs="宋体"/>
                <w:b/>
                <w:sz w:val="21"/>
                <w:szCs w:val="21"/>
              </w:rPr>
            </w:pPr>
          </w:p>
        </w:tc>
      </w:tr>
      <w:tr w14:paraId="1D7A9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10E29E2D">
            <w:pPr>
              <w:spacing w:line="400" w:lineRule="exact"/>
              <w:ind w:right="25" w:rightChars="12"/>
              <w:jc w:val="center"/>
              <w:rPr>
                <w:rFonts w:hint="eastAsia" w:ascii="宋体" w:hAnsi="宋体" w:eastAsia="宋体" w:cs="宋体"/>
                <w:sz w:val="21"/>
                <w:szCs w:val="21"/>
              </w:rPr>
            </w:pPr>
          </w:p>
        </w:tc>
        <w:tc>
          <w:tcPr>
            <w:tcW w:w="1246" w:type="dxa"/>
            <w:noWrap/>
          </w:tcPr>
          <w:p w14:paraId="1E95B5A8">
            <w:pPr>
              <w:spacing w:line="400" w:lineRule="exact"/>
              <w:ind w:right="25" w:rightChars="12"/>
              <w:jc w:val="center"/>
              <w:rPr>
                <w:rFonts w:hint="eastAsia" w:ascii="宋体" w:hAnsi="宋体" w:eastAsia="宋体" w:cs="宋体"/>
                <w:b/>
                <w:sz w:val="21"/>
                <w:szCs w:val="21"/>
              </w:rPr>
            </w:pPr>
          </w:p>
        </w:tc>
        <w:tc>
          <w:tcPr>
            <w:tcW w:w="1607" w:type="dxa"/>
            <w:noWrap/>
          </w:tcPr>
          <w:p w14:paraId="73D0B538">
            <w:pPr>
              <w:spacing w:line="400" w:lineRule="exact"/>
              <w:ind w:right="25" w:rightChars="12"/>
              <w:jc w:val="center"/>
              <w:rPr>
                <w:rFonts w:hint="eastAsia" w:ascii="宋体" w:hAnsi="宋体" w:eastAsia="宋体" w:cs="宋体"/>
                <w:b/>
                <w:sz w:val="21"/>
                <w:szCs w:val="21"/>
              </w:rPr>
            </w:pPr>
          </w:p>
        </w:tc>
        <w:tc>
          <w:tcPr>
            <w:tcW w:w="1291" w:type="dxa"/>
            <w:noWrap/>
          </w:tcPr>
          <w:p w14:paraId="409307B6">
            <w:pPr>
              <w:spacing w:line="400" w:lineRule="exact"/>
              <w:ind w:right="25" w:rightChars="12"/>
              <w:jc w:val="center"/>
              <w:rPr>
                <w:rFonts w:hint="eastAsia" w:ascii="宋体" w:hAnsi="宋体" w:eastAsia="宋体" w:cs="宋体"/>
                <w:b/>
                <w:sz w:val="21"/>
                <w:szCs w:val="21"/>
              </w:rPr>
            </w:pPr>
          </w:p>
        </w:tc>
        <w:tc>
          <w:tcPr>
            <w:tcW w:w="1216" w:type="dxa"/>
            <w:noWrap/>
          </w:tcPr>
          <w:p w14:paraId="6D5CF66F">
            <w:pPr>
              <w:spacing w:line="400" w:lineRule="exact"/>
              <w:ind w:right="25" w:rightChars="12"/>
              <w:jc w:val="center"/>
              <w:rPr>
                <w:rFonts w:hint="eastAsia" w:ascii="宋体" w:hAnsi="宋体" w:eastAsia="宋体" w:cs="宋体"/>
                <w:b/>
                <w:sz w:val="21"/>
                <w:szCs w:val="21"/>
              </w:rPr>
            </w:pPr>
          </w:p>
        </w:tc>
        <w:tc>
          <w:tcPr>
            <w:tcW w:w="1216" w:type="dxa"/>
            <w:noWrap/>
          </w:tcPr>
          <w:p w14:paraId="52E33C66">
            <w:pPr>
              <w:spacing w:line="400" w:lineRule="exact"/>
              <w:ind w:right="25" w:rightChars="12"/>
              <w:jc w:val="center"/>
              <w:rPr>
                <w:rFonts w:hint="eastAsia" w:ascii="宋体" w:hAnsi="宋体" w:eastAsia="宋体" w:cs="宋体"/>
                <w:b/>
                <w:sz w:val="21"/>
                <w:szCs w:val="21"/>
              </w:rPr>
            </w:pPr>
          </w:p>
        </w:tc>
        <w:tc>
          <w:tcPr>
            <w:tcW w:w="1697" w:type="dxa"/>
            <w:noWrap/>
          </w:tcPr>
          <w:p w14:paraId="613198AE">
            <w:pPr>
              <w:spacing w:line="400" w:lineRule="exact"/>
              <w:ind w:right="25" w:rightChars="12"/>
              <w:jc w:val="center"/>
              <w:rPr>
                <w:rFonts w:hint="eastAsia" w:ascii="宋体" w:hAnsi="宋体" w:eastAsia="宋体" w:cs="宋体"/>
                <w:b/>
                <w:sz w:val="21"/>
                <w:szCs w:val="21"/>
              </w:rPr>
            </w:pPr>
          </w:p>
        </w:tc>
      </w:tr>
      <w:tr w14:paraId="7485D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87" w:type="dxa"/>
            <w:noWrap/>
            <w:vAlign w:val="center"/>
          </w:tcPr>
          <w:p w14:paraId="510C25D2">
            <w:pPr>
              <w:spacing w:line="400" w:lineRule="exact"/>
              <w:ind w:right="25" w:rightChars="12"/>
              <w:jc w:val="center"/>
              <w:rPr>
                <w:rFonts w:hint="eastAsia" w:ascii="宋体" w:hAnsi="宋体" w:eastAsia="宋体" w:cs="宋体"/>
                <w:sz w:val="21"/>
                <w:szCs w:val="21"/>
              </w:rPr>
            </w:pPr>
          </w:p>
        </w:tc>
        <w:tc>
          <w:tcPr>
            <w:tcW w:w="1246" w:type="dxa"/>
            <w:noWrap/>
          </w:tcPr>
          <w:p w14:paraId="5B2E7B78">
            <w:pPr>
              <w:spacing w:line="400" w:lineRule="exact"/>
              <w:ind w:right="25" w:rightChars="12"/>
              <w:jc w:val="center"/>
              <w:rPr>
                <w:rFonts w:hint="eastAsia" w:ascii="宋体" w:hAnsi="宋体" w:eastAsia="宋体" w:cs="宋体"/>
                <w:b/>
                <w:sz w:val="21"/>
                <w:szCs w:val="21"/>
              </w:rPr>
            </w:pPr>
          </w:p>
        </w:tc>
        <w:tc>
          <w:tcPr>
            <w:tcW w:w="1607" w:type="dxa"/>
            <w:noWrap/>
          </w:tcPr>
          <w:p w14:paraId="75613DE7">
            <w:pPr>
              <w:spacing w:line="400" w:lineRule="exact"/>
              <w:ind w:right="25" w:rightChars="12"/>
              <w:jc w:val="center"/>
              <w:rPr>
                <w:rFonts w:hint="eastAsia" w:ascii="宋体" w:hAnsi="宋体" w:eastAsia="宋体" w:cs="宋体"/>
                <w:b/>
                <w:sz w:val="21"/>
                <w:szCs w:val="21"/>
              </w:rPr>
            </w:pPr>
          </w:p>
        </w:tc>
        <w:tc>
          <w:tcPr>
            <w:tcW w:w="1291" w:type="dxa"/>
            <w:noWrap/>
          </w:tcPr>
          <w:p w14:paraId="2076F6AE">
            <w:pPr>
              <w:spacing w:line="400" w:lineRule="exact"/>
              <w:ind w:right="25" w:rightChars="12"/>
              <w:jc w:val="center"/>
              <w:rPr>
                <w:rFonts w:hint="eastAsia" w:ascii="宋体" w:hAnsi="宋体" w:eastAsia="宋体" w:cs="宋体"/>
                <w:b/>
                <w:sz w:val="21"/>
                <w:szCs w:val="21"/>
              </w:rPr>
            </w:pPr>
          </w:p>
        </w:tc>
        <w:tc>
          <w:tcPr>
            <w:tcW w:w="1216" w:type="dxa"/>
            <w:noWrap/>
          </w:tcPr>
          <w:p w14:paraId="6CB7B0BE">
            <w:pPr>
              <w:spacing w:line="400" w:lineRule="exact"/>
              <w:ind w:right="25" w:rightChars="12"/>
              <w:jc w:val="center"/>
              <w:rPr>
                <w:rFonts w:hint="eastAsia" w:ascii="宋体" w:hAnsi="宋体" w:eastAsia="宋体" w:cs="宋体"/>
                <w:b/>
                <w:sz w:val="21"/>
                <w:szCs w:val="21"/>
              </w:rPr>
            </w:pPr>
          </w:p>
        </w:tc>
        <w:tc>
          <w:tcPr>
            <w:tcW w:w="1216" w:type="dxa"/>
            <w:noWrap/>
          </w:tcPr>
          <w:p w14:paraId="1F46E892">
            <w:pPr>
              <w:spacing w:line="400" w:lineRule="exact"/>
              <w:ind w:right="25" w:rightChars="12"/>
              <w:jc w:val="center"/>
              <w:rPr>
                <w:rFonts w:hint="eastAsia" w:ascii="宋体" w:hAnsi="宋体" w:eastAsia="宋体" w:cs="宋体"/>
                <w:b/>
                <w:sz w:val="21"/>
                <w:szCs w:val="21"/>
              </w:rPr>
            </w:pPr>
          </w:p>
        </w:tc>
        <w:tc>
          <w:tcPr>
            <w:tcW w:w="1697" w:type="dxa"/>
            <w:noWrap/>
          </w:tcPr>
          <w:p w14:paraId="5D059F3E">
            <w:pPr>
              <w:spacing w:line="400" w:lineRule="exact"/>
              <w:ind w:right="25" w:rightChars="12"/>
              <w:jc w:val="center"/>
              <w:rPr>
                <w:rFonts w:hint="eastAsia" w:ascii="宋体" w:hAnsi="宋体" w:eastAsia="宋体" w:cs="宋体"/>
                <w:b/>
                <w:sz w:val="21"/>
                <w:szCs w:val="21"/>
              </w:rPr>
            </w:pPr>
          </w:p>
        </w:tc>
      </w:tr>
    </w:tbl>
    <w:p w14:paraId="09BA1D89">
      <w:pPr>
        <w:rPr>
          <w:rFonts w:hint="eastAsia" w:ascii="宋体" w:hAnsi="宋体" w:eastAsia="宋体" w:cs="宋体"/>
          <w:b/>
          <w:bCs/>
          <w:szCs w:val="21"/>
          <w:highlight w:val="none"/>
          <w:lang w:eastAsia="zh-CN"/>
        </w:rPr>
      </w:pPr>
      <w:r>
        <w:rPr>
          <w:rFonts w:hint="eastAsia" w:ascii="宋体" w:hAnsi="宋体" w:cs="宋体"/>
          <w:b/>
          <w:bCs/>
          <w:szCs w:val="21"/>
          <w:highlight w:val="none"/>
        </w:rPr>
        <w:t>注：后附相关资料</w:t>
      </w:r>
      <w:r>
        <w:rPr>
          <w:rFonts w:hint="eastAsia" w:ascii="宋体" w:hAnsi="宋体" w:cs="宋体"/>
          <w:b/>
          <w:bCs/>
          <w:szCs w:val="21"/>
          <w:highlight w:val="none"/>
          <w:lang w:eastAsia="zh-CN"/>
        </w:rPr>
        <w:t>（</w:t>
      </w:r>
      <w:r>
        <w:rPr>
          <w:rFonts w:hint="eastAsia" w:ascii="宋体" w:hAnsi="宋体" w:eastAsia="宋体" w:cs="宋体"/>
          <w:b/>
          <w:bCs/>
          <w:snapToGrid w:val="0"/>
          <w:color w:val="auto"/>
          <w:sz w:val="21"/>
          <w:szCs w:val="21"/>
          <w:highlight w:val="none"/>
        </w:rPr>
        <w:t>合同关键页、竣工验收报告复印件并加盖供应商公章</w:t>
      </w:r>
      <w:r>
        <w:rPr>
          <w:rFonts w:hint="eastAsia" w:ascii="宋体" w:hAnsi="宋体" w:cs="宋体"/>
          <w:b/>
          <w:bCs/>
          <w:szCs w:val="21"/>
          <w:highlight w:val="none"/>
          <w:lang w:eastAsia="zh-CN"/>
        </w:rPr>
        <w:t>）</w:t>
      </w:r>
    </w:p>
    <w:p w14:paraId="21B2DCDD">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10773237">
      <w:pPr>
        <w:adjustRightInd w:val="0"/>
        <w:snapToGrid w:val="0"/>
        <w:spacing w:line="48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八、项目经理无在建项目承诺书</w:t>
      </w:r>
    </w:p>
    <w:p w14:paraId="59A4629A">
      <w:pPr>
        <w:adjustRightInd w:val="0"/>
        <w:snapToGrid w:val="0"/>
        <w:spacing w:line="480" w:lineRule="auto"/>
        <w:jc w:val="center"/>
        <w:rPr>
          <w:rFonts w:hint="eastAsia" w:ascii="宋体" w:hAnsi="宋体" w:eastAsia="宋体" w:cs="宋体"/>
          <w:b/>
          <w:sz w:val="21"/>
          <w:szCs w:val="21"/>
        </w:rPr>
      </w:pPr>
      <w:r>
        <w:rPr>
          <w:rFonts w:hint="eastAsia" w:ascii="宋体" w:hAnsi="宋体" w:eastAsia="宋体" w:cs="宋体"/>
          <w:b/>
          <w:sz w:val="21"/>
          <w:szCs w:val="21"/>
        </w:rPr>
        <w:t>项目经理无在建项目承诺书</w:t>
      </w:r>
    </w:p>
    <w:p w14:paraId="0693C070">
      <w:pPr>
        <w:spacing w:line="360" w:lineRule="auto"/>
        <w:rPr>
          <w:rFonts w:hint="default" w:ascii="宋体" w:hAnsi="宋体" w:eastAsia="宋体" w:cs="宋体"/>
          <w:sz w:val="21"/>
          <w:szCs w:val="21"/>
          <w:u w:val="single"/>
          <w:lang w:val="en-US" w:eastAsia="zh-CN"/>
        </w:rPr>
      </w:pPr>
      <w:r>
        <w:rPr>
          <w:rFonts w:hint="eastAsia" w:ascii="宋体" w:hAnsi="宋体" w:eastAsia="宋体" w:cs="宋体"/>
          <w:sz w:val="21"/>
          <w:szCs w:val="21"/>
        </w:rPr>
        <w:t>致：</w:t>
      </w:r>
      <w:r>
        <w:rPr>
          <w:rFonts w:hint="eastAsia" w:ascii="宋体" w:hAnsi="宋体" w:eastAsia="宋体" w:cs="宋体"/>
          <w:sz w:val="21"/>
          <w:szCs w:val="21"/>
          <w:u w:val="single"/>
        </w:rPr>
        <w:t>宁波市鄞州区下应街道社区卫生服务中心</w:t>
      </w:r>
      <w:r>
        <w:rPr>
          <w:rFonts w:hint="eastAsia" w:ascii="宋体" w:hAnsi="宋体" w:cs="宋体"/>
          <w:sz w:val="21"/>
          <w:szCs w:val="21"/>
          <w:u w:val="single"/>
          <w:lang w:val="en-US" w:eastAsia="zh-CN"/>
        </w:rPr>
        <w:t>/</w:t>
      </w:r>
      <w:r>
        <w:rPr>
          <w:rFonts w:hint="eastAsia" w:ascii="宋体" w:hAnsi="宋体" w:eastAsia="宋体" w:cs="宋体"/>
          <w:sz w:val="21"/>
          <w:szCs w:val="21"/>
          <w:u w:val="single"/>
        </w:rPr>
        <w:t>浙江联达工程项目管理有限公司</w:t>
      </w:r>
    </w:p>
    <w:p w14:paraId="0669A087">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（法定代表人姓名）    </w:t>
      </w:r>
      <w:r>
        <w:rPr>
          <w:rFonts w:hint="eastAsia" w:ascii="宋体" w:hAnsi="宋体" w:eastAsia="宋体" w:cs="宋体"/>
          <w:sz w:val="21"/>
          <w:szCs w:val="21"/>
        </w:rPr>
        <w:t>系</w:t>
      </w:r>
      <w:r>
        <w:rPr>
          <w:rFonts w:hint="eastAsia" w:ascii="宋体" w:hAnsi="宋体" w:eastAsia="宋体" w:cs="宋体"/>
          <w:sz w:val="21"/>
          <w:szCs w:val="21"/>
          <w:u w:val="single"/>
        </w:rPr>
        <w:t xml:space="preserve">    （供应商名称）  </w:t>
      </w:r>
      <w:r>
        <w:rPr>
          <w:rFonts w:hint="eastAsia" w:ascii="宋体" w:hAnsi="宋体" w:eastAsia="宋体" w:cs="宋体"/>
          <w:sz w:val="21"/>
          <w:szCs w:val="21"/>
        </w:rPr>
        <w:t>的法定代表人，现承诺本项目拟派的项目经理</w:t>
      </w:r>
      <w:r>
        <w:rPr>
          <w:rFonts w:hint="eastAsia" w:ascii="宋体" w:hAnsi="宋体" w:eastAsia="宋体" w:cs="宋体"/>
          <w:sz w:val="21"/>
          <w:szCs w:val="21"/>
          <w:u w:val="single"/>
        </w:rPr>
        <w:t xml:space="preserve">               </w:t>
      </w:r>
      <w:r>
        <w:rPr>
          <w:rFonts w:hint="eastAsia" w:ascii="宋体" w:hAnsi="宋体" w:eastAsia="宋体" w:cs="宋体"/>
          <w:sz w:val="21"/>
          <w:szCs w:val="21"/>
        </w:rPr>
        <w:t>，项目经理身份证号：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目前无在建工程。若有虚假一经查实，愿意承担一切责任，并承担由此造成的一切损失。</w:t>
      </w:r>
    </w:p>
    <w:p w14:paraId="09D68C5A">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我方特此承诺。</w:t>
      </w:r>
    </w:p>
    <w:p w14:paraId="0ECC9F15">
      <w:pPr>
        <w:spacing w:line="360" w:lineRule="auto"/>
        <w:ind w:right="210"/>
        <w:jc w:val="right"/>
        <w:rPr>
          <w:rFonts w:hint="eastAsia" w:ascii="宋体" w:hAnsi="宋体" w:eastAsia="宋体" w:cs="宋体"/>
          <w:sz w:val="21"/>
          <w:szCs w:val="21"/>
        </w:rPr>
      </w:pPr>
    </w:p>
    <w:p w14:paraId="168A424B">
      <w:pPr>
        <w:spacing w:line="360" w:lineRule="auto"/>
        <w:jc w:val="right"/>
        <w:rPr>
          <w:rFonts w:hint="eastAsia" w:ascii="宋体" w:hAnsi="宋体" w:eastAsia="宋体" w:cs="宋体"/>
          <w:sz w:val="21"/>
          <w:szCs w:val="21"/>
        </w:rPr>
      </w:pPr>
    </w:p>
    <w:p w14:paraId="67AD693F">
      <w:pPr>
        <w:snapToGrid w:val="0"/>
        <w:spacing w:line="360" w:lineRule="auto"/>
        <w:ind w:firstLine="3685" w:firstLineChars="1755"/>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（填写全称并加盖公章)        </w:t>
      </w:r>
    </w:p>
    <w:p w14:paraId="68B075A3">
      <w:pPr>
        <w:snapToGrid w:val="0"/>
        <w:spacing w:line="360" w:lineRule="auto"/>
        <w:ind w:firstLine="3685" w:firstLineChars="1755"/>
        <w:rPr>
          <w:rFonts w:hint="eastAsia" w:ascii="宋体" w:hAnsi="宋体" w:eastAsia="宋体" w:cs="宋体"/>
          <w:sz w:val="21"/>
          <w:szCs w:val="21"/>
        </w:rPr>
      </w:pPr>
      <w:r>
        <w:rPr>
          <w:rFonts w:hint="eastAsia" w:ascii="宋体" w:hAnsi="宋体" w:eastAsia="宋体" w:cs="宋体"/>
          <w:sz w:val="21"/>
          <w:szCs w:val="21"/>
        </w:rPr>
        <w:t>日  期：</w:t>
      </w:r>
    </w:p>
    <w:p w14:paraId="05549BEB">
      <w:pPr>
        <w:snapToGrid w:val="0"/>
        <w:spacing w:line="360" w:lineRule="auto"/>
        <w:rPr>
          <w:rFonts w:hint="eastAsia" w:ascii="宋体" w:hAnsi="宋体" w:eastAsia="宋体" w:cs="宋体"/>
          <w:sz w:val="24"/>
          <w:szCs w:val="24"/>
        </w:rPr>
      </w:pPr>
    </w:p>
    <w:p w14:paraId="73059533">
      <w:pPr>
        <w:pStyle w:val="24"/>
        <w:spacing w:line="360" w:lineRule="auto"/>
        <w:jc w:val="center"/>
        <w:rPr>
          <w:rFonts w:hint="eastAsia" w:ascii="宋体" w:hAnsi="宋体" w:eastAsia="宋体" w:cs="宋体"/>
          <w:sz w:val="24"/>
          <w:szCs w:val="24"/>
        </w:rPr>
      </w:pPr>
    </w:p>
    <w:p w14:paraId="77CCD7AA">
      <w:pPr>
        <w:adjustRightInd w:val="0"/>
        <w:snapToGrid w:val="0"/>
        <w:spacing w:line="480" w:lineRule="auto"/>
        <w:jc w:val="center"/>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cs="宋体"/>
          <w:b/>
          <w:bCs/>
          <w:color w:val="auto"/>
          <w:sz w:val="32"/>
          <w:szCs w:val="32"/>
          <w:highlight w:val="none"/>
          <w:lang w:val="en-US" w:eastAsia="zh-CN"/>
        </w:rPr>
        <w:t>九、施工组织设计</w:t>
      </w:r>
    </w:p>
    <w:p w14:paraId="4EB3E675">
      <w:pPr>
        <w:spacing w:line="360" w:lineRule="auto"/>
        <w:rPr>
          <w:rFonts w:hint="eastAsia" w:ascii="宋体" w:hAnsi="宋体" w:cs="宋体"/>
          <w:b/>
          <w:color w:val="auto"/>
          <w:kern w:val="0"/>
          <w:sz w:val="21"/>
          <w:szCs w:val="21"/>
          <w:highlight w:val="none"/>
          <w:lang w:val="en-US" w:eastAsia="zh-CN"/>
        </w:rPr>
      </w:pPr>
      <w:r>
        <w:rPr>
          <w:rFonts w:hint="eastAsia" w:ascii="宋体" w:hAnsi="宋体" w:eastAsia="宋体" w:cs="宋体"/>
          <w:sz w:val="21"/>
          <w:szCs w:val="21"/>
        </w:rPr>
        <w:t>应包括但不限于施工现场平面布置情况、施工方案、施工进度计划安排、施工质量保证措施、项目关键点、重难点分析及合理化建议、施工环保管理措施、突发事件应急措施、有必要说明的其他内容。</w:t>
      </w:r>
    </w:p>
    <w:p w14:paraId="62F737D1">
      <w:pPr>
        <w:spacing w:line="360" w:lineRule="auto"/>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4DE6FFD">
      <w:pPr>
        <w:pStyle w:val="697"/>
        <w:keepNext w:val="0"/>
        <w:pageBreakBefore w:val="0"/>
        <w:numPr>
          <w:ilvl w:val="0"/>
          <w:numId w:val="0"/>
        </w:numPr>
        <w:tabs>
          <w:tab w:val="clear" w:pos="720"/>
        </w:tabs>
        <w:snapToGrid w:val="0"/>
        <w:spacing w:before="120" w:after="120"/>
        <w:jc w:val="center"/>
        <w:outlineLvl w:val="9"/>
        <w:rPr>
          <w:rFonts w:hint="eastAsia" w:ascii="宋体" w:hAnsi="宋体" w:eastAsia="宋体" w:cs="宋体"/>
          <w:b/>
          <w:color w:val="auto"/>
          <w:kern w:val="0"/>
          <w:sz w:val="32"/>
          <w:szCs w:val="32"/>
          <w:highlight w:val="none"/>
          <w:lang w:val="zh-CN" w:eastAsia="zh-CN" w:bidi="ar-SA"/>
        </w:rPr>
      </w:pPr>
      <w:r>
        <w:rPr>
          <w:rFonts w:hint="eastAsia" w:ascii="宋体" w:hAnsi="宋体" w:eastAsia="宋体" w:cs="宋体"/>
          <w:b/>
          <w:color w:val="auto"/>
          <w:kern w:val="0"/>
          <w:sz w:val="32"/>
          <w:szCs w:val="32"/>
          <w:highlight w:val="none"/>
          <w:lang w:val="en-US" w:eastAsia="zh-CN" w:bidi="ar-SA"/>
        </w:rPr>
        <w:t>十、</w:t>
      </w:r>
      <w:r>
        <w:rPr>
          <w:rFonts w:hint="eastAsia" w:ascii="宋体" w:hAnsi="宋体" w:eastAsia="宋体" w:cs="宋体"/>
          <w:b/>
          <w:color w:val="auto"/>
          <w:kern w:val="0"/>
          <w:sz w:val="32"/>
          <w:szCs w:val="32"/>
          <w:highlight w:val="none"/>
          <w:lang w:val="zh-CN" w:eastAsia="zh-CN" w:bidi="ar-SA"/>
        </w:rPr>
        <w:t>主要材料品牌响应表</w:t>
      </w:r>
    </w:p>
    <w:p w14:paraId="23980070">
      <w:pPr>
        <w:spacing w:beforeLines="100" w:afterLines="50"/>
        <w:rPr>
          <w:rFonts w:hint="eastAsia" w:ascii="宋体" w:hAnsi="宋体" w:eastAsia="宋体" w:cs="宋体"/>
          <w:bCs/>
          <w:sz w:val="21"/>
          <w:szCs w:val="21"/>
          <w:highlight w:val="none"/>
          <w:u w:val="single"/>
          <w:lang w:val="en-US" w:eastAsia="zh-CN"/>
        </w:rPr>
      </w:pPr>
      <w:r>
        <w:rPr>
          <w:rFonts w:hint="eastAsia" w:ascii="宋体" w:hAnsi="宋体" w:eastAsia="宋体" w:cs="宋体"/>
          <w:bCs/>
          <w:sz w:val="21"/>
          <w:szCs w:val="21"/>
          <w:highlight w:val="none"/>
        </w:rPr>
        <w:t>项目名称：</w:t>
      </w:r>
      <w:r>
        <w:rPr>
          <w:rFonts w:hint="eastAsia" w:ascii="宋体" w:hAnsi="宋体" w:eastAsia="宋体" w:cs="宋体"/>
          <w:bCs/>
          <w:sz w:val="21"/>
          <w:szCs w:val="21"/>
          <w:highlight w:val="none"/>
          <w:lang w:val="en-US" w:eastAsia="zh-CN"/>
        </w:rPr>
        <w:t xml:space="preserve">                                              项目编号：</w:t>
      </w:r>
    </w:p>
    <w:tbl>
      <w:tblPr>
        <w:tblStyle w:val="62"/>
        <w:tblW w:w="9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985"/>
        <w:gridCol w:w="4111"/>
        <w:gridCol w:w="2837"/>
      </w:tblGrid>
      <w:tr w14:paraId="6D053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09" w:type="dxa"/>
            <w:noWrap/>
            <w:vAlign w:val="center"/>
          </w:tcPr>
          <w:p w14:paraId="1D42F415">
            <w:pPr>
              <w:adjustRightInd/>
              <w:jc w:val="center"/>
              <w:rPr>
                <w:rFonts w:hint="eastAsia" w:ascii="宋体" w:hAnsi="宋体" w:eastAsia="宋体" w:cs="宋体"/>
                <w:b/>
                <w:sz w:val="21"/>
                <w:szCs w:val="21"/>
                <w:highlight w:val="none"/>
              </w:rPr>
            </w:pPr>
            <w:bookmarkStart w:id="1070" w:name="_Hlk104562397"/>
            <w:r>
              <w:rPr>
                <w:rFonts w:hint="eastAsia" w:ascii="宋体" w:hAnsi="宋体" w:eastAsia="宋体" w:cs="宋体"/>
                <w:b/>
                <w:sz w:val="21"/>
                <w:szCs w:val="21"/>
                <w:highlight w:val="none"/>
              </w:rPr>
              <w:t>序号</w:t>
            </w:r>
          </w:p>
        </w:tc>
        <w:tc>
          <w:tcPr>
            <w:tcW w:w="1985" w:type="dxa"/>
            <w:noWrap/>
            <w:vAlign w:val="center"/>
          </w:tcPr>
          <w:p w14:paraId="64DF6B44">
            <w:pPr>
              <w:adjustRightInd/>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材料名称</w:t>
            </w:r>
          </w:p>
        </w:tc>
        <w:tc>
          <w:tcPr>
            <w:tcW w:w="4111" w:type="dxa"/>
            <w:noWrap/>
            <w:vAlign w:val="center"/>
          </w:tcPr>
          <w:p w14:paraId="21447DF9">
            <w:pPr>
              <w:adjustRightInd/>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参考</w:t>
            </w:r>
            <w:r>
              <w:rPr>
                <w:rFonts w:hint="eastAsia" w:ascii="宋体" w:hAnsi="宋体" w:eastAsia="宋体" w:cs="宋体"/>
                <w:b/>
                <w:sz w:val="21"/>
                <w:szCs w:val="21"/>
                <w:highlight w:val="none"/>
              </w:rPr>
              <w:t>品牌</w:t>
            </w:r>
          </w:p>
        </w:tc>
        <w:tc>
          <w:tcPr>
            <w:tcW w:w="2837" w:type="dxa"/>
            <w:noWrap/>
            <w:vAlign w:val="center"/>
          </w:tcPr>
          <w:p w14:paraId="39EE8F65">
            <w:pPr>
              <w:adjustRightInd/>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供应商是否响应采购人推荐的参考品牌</w:t>
            </w:r>
          </w:p>
        </w:tc>
      </w:tr>
      <w:tr w14:paraId="3D9D1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noWrap/>
            <w:vAlign w:val="center"/>
          </w:tcPr>
          <w:p w14:paraId="521E92AC">
            <w:pPr>
              <w:adjustRightInd/>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985" w:type="dxa"/>
            <w:noWrap/>
            <w:vAlign w:val="center"/>
          </w:tcPr>
          <w:p w14:paraId="1644A2CE">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无机涂料</w:t>
            </w:r>
          </w:p>
        </w:tc>
        <w:tc>
          <w:tcPr>
            <w:tcW w:w="4111" w:type="dxa"/>
            <w:noWrap/>
            <w:vAlign w:val="center"/>
          </w:tcPr>
          <w:p w14:paraId="6D33293A">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多乐士、立邦、华润</w:t>
            </w:r>
          </w:p>
        </w:tc>
        <w:tc>
          <w:tcPr>
            <w:tcW w:w="2837" w:type="dxa"/>
            <w:noWrap/>
            <w:vAlign w:val="center"/>
          </w:tcPr>
          <w:p w14:paraId="7784534A">
            <w:pPr>
              <w:adjustRightInd/>
              <w:jc w:val="center"/>
              <w:rPr>
                <w:rFonts w:hint="eastAsia" w:ascii="宋体" w:hAnsi="宋体" w:eastAsia="宋体" w:cs="宋体"/>
                <w:bCs/>
                <w:sz w:val="21"/>
                <w:szCs w:val="21"/>
                <w:highlight w:val="none"/>
              </w:rPr>
            </w:pPr>
          </w:p>
        </w:tc>
      </w:tr>
      <w:tr w14:paraId="7CF1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noWrap/>
            <w:vAlign w:val="center"/>
          </w:tcPr>
          <w:p w14:paraId="7275A5B3">
            <w:pPr>
              <w:adjustRightInd/>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1985" w:type="dxa"/>
            <w:noWrap/>
            <w:vAlign w:val="center"/>
          </w:tcPr>
          <w:p w14:paraId="2B17E4FC">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板材</w:t>
            </w:r>
          </w:p>
        </w:tc>
        <w:tc>
          <w:tcPr>
            <w:tcW w:w="4111" w:type="dxa"/>
            <w:noWrap/>
            <w:vAlign w:val="center"/>
          </w:tcPr>
          <w:p w14:paraId="11F6EDAA">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莫干山、千年舟、兔宝宝</w:t>
            </w:r>
          </w:p>
        </w:tc>
        <w:tc>
          <w:tcPr>
            <w:tcW w:w="2837" w:type="dxa"/>
            <w:noWrap/>
            <w:vAlign w:val="center"/>
          </w:tcPr>
          <w:p w14:paraId="016E2EAC">
            <w:pPr>
              <w:adjustRightInd/>
              <w:jc w:val="center"/>
              <w:rPr>
                <w:rFonts w:hint="eastAsia" w:ascii="宋体" w:hAnsi="宋体" w:eastAsia="宋体" w:cs="宋体"/>
                <w:bCs/>
                <w:sz w:val="21"/>
                <w:szCs w:val="21"/>
                <w:highlight w:val="none"/>
              </w:rPr>
            </w:pPr>
          </w:p>
        </w:tc>
      </w:tr>
      <w:tr w14:paraId="16BCB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noWrap/>
            <w:vAlign w:val="center"/>
          </w:tcPr>
          <w:p w14:paraId="21C537AD">
            <w:pPr>
              <w:adjustRightInd/>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1985" w:type="dxa"/>
            <w:noWrap/>
            <w:vAlign w:val="center"/>
          </w:tcPr>
          <w:p w14:paraId="1A75A964">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纸面石膏板</w:t>
            </w:r>
          </w:p>
        </w:tc>
        <w:tc>
          <w:tcPr>
            <w:tcW w:w="4111" w:type="dxa"/>
            <w:noWrap/>
            <w:vAlign w:val="center"/>
          </w:tcPr>
          <w:p w14:paraId="5507F8EF">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拉法基、龙牌、可耐福</w:t>
            </w:r>
          </w:p>
        </w:tc>
        <w:tc>
          <w:tcPr>
            <w:tcW w:w="2837" w:type="dxa"/>
            <w:noWrap/>
            <w:vAlign w:val="center"/>
          </w:tcPr>
          <w:p w14:paraId="62D8845A">
            <w:pPr>
              <w:adjustRightInd/>
              <w:jc w:val="center"/>
              <w:rPr>
                <w:rFonts w:hint="eastAsia" w:ascii="宋体" w:hAnsi="宋体" w:eastAsia="宋体" w:cs="宋体"/>
                <w:bCs/>
                <w:sz w:val="21"/>
                <w:szCs w:val="21"/>
                <w:highlight w:val="none"/>
              </w:rPr>
            </w:pPr>
          </w:p>
        </w:tc>
      </w:tr>
      <w:tr w14:paraId="2ED7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noWrap/>
            <w:vAlign w:val="center"/>
          </w:tcPr>
          <w:p w14:paraId="7C741F3D">
            <w:pPr>
              <w:adjustRightInd/>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1985" w:type="dxa"/>
            <w:noWrap/>
            <w:vAlign w:val="center"/>
          </w:tcPr>
          <w:p w14:paraId="7CCFEBD4">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瓷砖</w:t>
            </w:r>
          </w:p>
        </w:tc>
        <w:tc>
          <w:tcPr>
            <w:tcW w:w="4111" w:type="dxa"/>
            <w:noWrap/>
            <w:vAlign w:val="center"/>
          </w:tcPr>
          <w:p w14:paraId="10500624">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骆驼瓷砖</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鹰牌陶瓷</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蒙娜丽莎  </w:t>
            </w:r>
          </w:p>
        </w:tc>
        <w:tc>
          <w:tcPr>
            <w:tcW w:w="2837" w:type="dxa"/>
            <w:noWrap/>
            <w:vAlign w:val="center"/>
          </w:tcPr>
          <w:p w14:paraId="1716A68D">
            <w:pPr>
              <w:adjustRightInd/>
              <w:jc w:val="center"/>
              <w:rPr>
                <w:rFonts w:hint="eastAsia" w:ascii="宋体" w:hAnsi="宋体" w:eastAsia="宋体" w:cs="宋体"/>
                <w:bCs/>
                <w:sz w:val="21"/>
                <w:szCs w:val="21"/>
                <w:highlight w:val="none"/>
              </w:rPr>
            </w:pPr>
          </w:p>
        </w:tc>
      </w:tr>
      <w:tr w14:paraId="0621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noWrap/>
            <w:vAlign w:val="center"/>
          </w:tcPr>
          <w:p w14:paraId="2E09AEF1">
            <w:pPr>
              <w:adjustRightInd/>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1985" w:type="dxa"/>
            <w:noWrap/>
            <w:vAlign w:val="center"/>
          </w:tcPr>
          <w:p w14:paraId="37A19E73">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电线电缆</w:t>
            </w:r>
          </w:p>
        </w:tc>
        <w:tc>
          <w:tcPr>
            <w:tcW w:w="4111" w:type="dxa"/>
            <w:noWrap/>
            <w:vAlign w:val="center"/>
          </w:tcPr>
          <w:p w14:paraId="37FFDA05">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宁波球冠、宁波东方明珠、宁波新光</w:t>
            </w:r>
          </w:p>
        </w:tc>
        <w:tc>
          <w:tcPr>
            <w:tcW w:w="2837" w:type="dxa"/>
            <w:noWrap/>
            <w:vAlign w:val="center"/>
          </w:tcPr>
          <w:p w14:paraId="055AF0FB">
            <w:pPr>
              <w:adjustRightInd/>
              <w:jc w:val="center"/>
              <w:rPr>
                <w:rFonts w:hint="eastAsia" w:ascii="宋体" w:hAnsi="宋体" w:eastAsia="宋体" w:cs="宋体"/>
                <w:bCs/>
                <w:sz w:val="21"/>
                <w:szCs w:val="21"/>
                <w:highlight w:val="none"/>
              </w:rPr>
            </w:pPr>
          </w:p>
        </w:tc>
      </w:tr>
      <w:tr w14:paraId="302B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noWrap/>
            <w:vAlign w:val="center"/>
          </w:tcPr>
          <w:p w14:paraId="10DB9212">
            <w:pPr>
              <w:adjustRightInd/>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p>
        </w:tc>
        <w:tc>
          <w:tcPr>
            <w:tcW w:w="1985" w:type="dxa"/>
            <w:noWrap/>
            <w:vAlign w:val="center"/>
          </w:tcPr>
          <w:p w14:paraId="7AD1FB7F">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开关插座</w:t>
            </w:r>
          </w:p>
        </w:tc>
        <w:tc>
          <w:tcPr>
            <w:tcW w:w="4111" w:type="dxa"/>
            <w:noWrap/>
            <w:vAlign w:val="center"/>
          </w:tcPr>
          <w:p w14:paraId="2AA09E13">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ABB、西蒙、施耐德</w:t>
            </w:r>
          </w:p>
        </w:tc>
        <w:tc>
          <w:tcPr>
            <w:tcW w:w="2837" w:type="dxa"/>
            <w:noWrap/>
            <w:vAlign w:val="center"/>
          </w:tcPr>
          <w:p w14:paraId="109651C9">
            <w:pPr>
              <w:adjustRightInd/>
              <w:jc w:val="center"/>
              <w:rPr>
                <w:rFonts w:hint="eastAsia" w:ascii="宋体" w:hAnsi="宋体" w:eastAsia="宋体" w:cs="宋体"/>
                <w:bCs/>
                <w:sz w:val="21"/>
                <w:szCs w:val="21"/>
                <w:highlight w:val="none"/>
              </w:rPr>
            </w:pPr>
          </w:p>
        </w:tc>
      </w:tr>
      <w:tr w14:paraId="10C09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noWrap/>
            <w:vAlign w:val="center"/>
          </w:tcPr>
          <w:p w14:paraId="23E92EEF">
            <w:pPr>
              <w:adjustRightInd/>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7</w:t>
            </w:r>
          </w:p>
        </w:tc>
        <w:tc>
          <w:tcPr>
            <w:tcW w:w="1985" w:type="dxa"/>
            <w:noWrap/>
            <w:vAlign w:val="center"/>
          </w:tcPr>
          <w:p w14:paraId="678A4F1F">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灯具</w:t>
            </w:r>
          </w:p>
        </w:tc>
        <w:tc>
          <w:tcPr>
            <w:tcW w:w="4111" w:type="dxa"/>
            <w:noWrap/>
            <w:vAlign w:val="center"/>
          </w:tcPr>
          <w:p w14:paraId="04079312">
            <w:pPr>
              <w:autoSpaceDE w:val="0"/>
              <w:autoSpaceDN w:val="0"/>
              <w:adjustRightInd w:val="0"/>
              <w:spacing w:line="36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雷士、欧普、三雄极光</w:t>
            </w:r>
          </w:p>
        </w:tc>
        <w:tc>
          <w:tcPr>
            <w:tcW w:w="2837" w:type="dxa"/>
            <w:noWrap/>
            <w:vAlign w:val="center"/>
          </w:tcPr>
          <w:p w14:paraId="07AC66FC">
            <w:pPr>
              <w:adjustRightInd/>
              <w:jc w:val="center"/>
              <w:rPr>
                <w:rFonts w:hint="eastAsia" w:ascii="宋体" w:hAnsi="宋体" w:eastAsia="宋体" w:cs="宋体"/>
                <w:bCs/>
                <w:sz w:val="21"/>
                <w:szCs w:val="21"/>
                <w:highlight w:val="none"/>
              </w:rPr>
            </w:pPr>
          </w:p>
        </w:tc>
      </w:tr>
      <w:bookmarkEnd w:id="1070"/>
    </w:tbl>
    <w:p w14:paraId="0F2AF744">
      <w:pPr>
        <w:ind w:left="420" w:leftChars="200"/>
        <w:rPr>
          <w:rFonts w:hint="eastAsia" w:ascii="宋体" w:hAnsi="宋体" w:eastAsia="宋体" w:cs="宋体"/>
          <w:bCs/>
          <w:sz w:val="21"/>
          <w:szCs w:val="21"/>
          <w:highlight w:val="none"/>
        </w:rPr>
      </w:pPr>
    </w:p>
    <w:p w14:paraId="6863C3B9">
      <w:pPr>
        <w:ind w:left="420" w:left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备注：1、供应商须在“供应商是否响应采购人推荐的参考品牌”一栏中填写“</w:t>
      </w:r>
      <w:r>
        <w:rPr>
          <w:rFonts w:hint="eastAsia" w:ascii="宋体" w:hAnsi="宋体" w:eastAsia="宋体" w:cs="宋体"/>
          <w:b/>
          <w:bCs/>
          <w:sz w:val="21"/>
          <w:szCs w:val="21"/>
          <w:highlight w:val="none"/>
        </w:rPr>
        <w:t>响应</w:t>
      </w:r>
      <w:r>
        <w:rPr>
          <w:rFonts w:hint="eastAsia" w:ascii="宋体" w:hAnsi="宋体" w:eastAsia="宋体" w:cs="宋体"/>
          <w:bCs/>
          <w:sz w:val="21"/>
          <w:szCs w:val="21"/>
          <w:highlight w:val="none"/>
        </w:rPr>
        <w:t>”；</w:t>
      </w:r>
    </w:p>
    <w:p w14:paraId="29F00149">
      <w:pPr>
        <w:numPr>
          <w:ilvl w:val="0"/>
          <w:numId w:val="2"/>
        </w:numPr>
        <w:ind w:left="420" w:left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提供的上述材料品牌须响应磋商文件要求或不低于磋商文件要求，如供应商提供的材料品牌非上表中的品牌，须在“供应商是否响应采购人推荐的参考品牌”一栏中注明所选品牌，并提供相关证明资料，且所选品牌须经三分之二以上的评委认定其不低于采购人提供的品牌档次等，否则其投标将被拒绝。</w:t>
      </w:r>
    </w:p>
    <w:p w14:paraId="2C465B06">
      <w:pPr>
        <w:numPr>
          <w:ilvl w:val="0"/>
          <w:numId w:val="0"/>
        </w:numPr>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本表作为附件编制到</w:t>
      </w:r>
      <w:r>
        <w:rPr>
          <w:rFonts w:hint="eastAsia" w:ascii="宋体" w:hAnsi="宋体" w:eastAsia="宋体" w:cs="宋体"/>
          <w:sz w:val="21"/>
          <w:szCs w:val="21"/>
          <w:highlight w:val="none"/>
          <w:lang w:val="en-US" w:eastAsia="zh-CN"/>
        </w:rPr>
        <w:t>商务技术文件</w:t>
      </w:r>
      <w:r>
        <w:rPr>
          <w:rFonts w:hint="eastAsia" w:ascii="宋体" w:hAnsi="宋体" w:eastAsia="宋体" w:cs="宋体"/>
          <w:sz w:val="21"/>
          <w:szCs w:val="21"/>
          <w:highlight w:val="none"/>
        </w:rPr>
        <w:t>中。</w:t>
      </w:r>
    </w:p>
    <w:p w14:paraId="67FFE3D1">
      <w:pPr>
        <w:jc w:val="center"/>
        <w:rPr>
          <w:rFonts w:hint="eastAsia" w:ascii="宋体" w:hAnsi="宋体" w:cs="宋体"/>
          <w:b/>
          <w:color w:val="auto"/>
          <w:kern w:val="0"/>
          <w:sz w:val="32"/>
          <w:szCs w:val="32"/>
          <w:highlight w:val="none"/>
          <w:lang w:val="en-US" w:eastAsia="zh-CN"/>
        </w:rPr>
      </w:pPr>
    </w:p>
    <w:p w14:paraId="3CB10CE5">
      <w:pPr>
        <w:jc w:val="center"/>
        <w:rPr>
          <w:rFonts w:hint="eastAsia" w:ascii="宋体" w:hAnsi="宋体" w:cs="宋体"/>
          <w:b/>
          <w:color w:val="auto"/>
          <w:kern w:val="0"/>
          <w:sz w:val="32"/>
          <w:szCs w:val="32"/>
          <w:highlight w:val="none"/>
          <w:lang w:val="en-US" w:eastAsia="zh-CN"/>
        </w:rPr>
      </w:pPr>
    </w:p>
    <w:p w14:paraId="74358085">
      <w:pPr>
        <w:jc w:val="center"/>
        <w:rPr>
          <w:rFonts w:hint="eastAsia" w:ascii="宋体" w:hAnsi="宋体" w:cs="宋体"/>
          <w:b/>
          <w:color w:val="auto"/>
          <w:kern w:val="0"/>
          <w:sz w:val="32"/>
          <w:szCs w:val="32"/>
          <w:highlight w:val="none"/>
          <w:lang w:val="en-US" w:eastAsia="zh-CN"/>
        </w:rPr>
      </w:pPr>
    </w:p>
    <w:p w14:paraId="1FFF23BD">
      <w:pPr>
        <w:jc w:val="center"/>
        <w:rPr>
          <w:rFonts w:hint="eastAsia" w:ascii="宋体" w:hAnsi="宋体" w:cs="宋体"/>
          <w:b/>
          <w:color w:val="auto"/>
          <w:kern w:val="0"/>
          <w:sz w:val="32"/>
          <w:szCs w:val="32"/>
          <w:highlight w:val="none"/>
          <w:lang w:val="en-US" w:eastAsia="zh-CN"/>
        </w:rPr>
      </w:pPr>
    </w:p>
    <w:p w14:paraId="65EA3EC7">
      <w:pPr>
        <w:jc w:val="center"/>
        <w:rPr>
          <w:rFonts w:hint="eastAsia" w:ascii="宋体" w:hAnsi="宋体" w:cs="宋体"/>
          <w:b/>
          <w:color w:val="auto"/>
          <w:kern w:val="0"/>
          <w:sz w:val="32"/>
          <w:szCs w:val="32"/>
          <w:highlight w:val="none"/>
          <w:lang w:val="en-US" w:eastAsia="zh-CN"/>
        </w:rPr>
      </w:pPr>
    </w:p>
    <w:p w14:paraId="646162D8">
      <w:pPr>
        <w:autoSpaceDE w:val="0"/>
        <w:autoSpaceDN w:val="0"/>
        <w:spacing w:line="360" w:lineRule="auto"/>
        <w:ind w:left="2" w:leftChars="1"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4B268036">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3672C98">
      <w:pPr>
        <w:jc w:val="center"/>
        <w:rPr>
          <w:rFonts w:hint="eastAsia" w:ascii="宋体" w:hAnsi="宋体" w:cs="宋体"/>
          <w:b/>
          <w:color w:val="auto"/>
          <w:kern w:val="0"/>
          <w:sz w:val="32"/>
          <w:szCs w:val="32"/>
          <w:highlight w:val="none"/>
          <w:lang w:val="en-US" w:eastAsia="zh-CN"/>
        </w:rPr>
      </w:pPr>
    </w:p>
    <w:p w14:paraId="6D26EE44">
      <w:pPr>
        <w:jc w:val="center"/>
        <w:rPr>
          <w:rFonts w:hint="eastAsia" w:ascii="宋体" w:hAnsi="宋体" w:cs="宋体"/>
          <w:b/>
          <w:color w:val="auto"/>
          <w:kern w:val="0"/>
          <w:sz w:val="32"/>
          <w:szCs w:val="32"/>
          <w:highlight w:val="none"/>
          <w:lang w:val="en-US" w:eastAsia="zh-CN"/>
        </w:rPr>
      </w:pPr>
    </w:p>
    <w:p w14:paraId="64079C66">
      <w:pPr>
        <w:jc w:val="center"/>
        <w:rPr>
          <w:rFonts w:hint="eastAsia" w:ascii="宋体" w:hAnsi="宋体" w:cs="宋体"/>
          <w:b/>
          <w:color w:val="auto"/>
          <w:kern w:val="0"/>
          <w:sz w:val="32"/>
          <w:szCs w:val="32"/>
          <w:highlight w:val="none"/>
          <w:lang w:val="en-US" w:eastAsia="zh-CN"/>
        </w:rPr>
      </w:pPr>
    </w:p>
    <w:p w14:paraId="66F33272">
      <w:pPr>
        <w:jc w:val="center"/>
        <w:rPr>
          <w:rFonts w:hint="eastAsia" w:ascii="宋体" w:hAnsi="宋体" w:cs="宋体"/>
          <w:b/>
          <w:color w:val="auto"/>
          <w:kern w:val="0"/>
          <w:sz w:val="32"/>
          <w:szCs w:val="32"/>
          <w:highlight w:val="none"/>
          <w:lang w:val="en-US" w:eastAsia="zh-CN"/>
        </w:rPr>
      </w:pPr>
    </w:p>
    <w:p w14:paraId="59E9CDBD">
      <w:pPr>
        <w:jc w:val="center"/>
        <w:rPr>
          <w:rFonts w:hint="eastAsia" w:ascii="宋体" w:hAnsi="宋体" w:cs="宋体"/>
          <w:b/>
          <w:color w:val="auto"/>
          <w:kern w:val="0"/>
          <w:sz w:val="32"/>
          <w:szCs w:val="32"/>
          <w:highlight w:val="none"/>
          <w:lang w:val="en-US" w:eastAsia="zh-CN"/>
        </w:rPr>
      </w:pPr>
    </w:p>
    <w:p w14:paraId="67DCB6FB">
      <w:pPr>
        <w:jc w:val="center"/>
        <w:rPr>
          <w:rFonts w:hint="eastAsia" w:ascii="宋体" w:hAnsi="宋体" w:cs="宋体"/>
          <w:b/>
          <w:color w:val="auto"/>
          <w:kern w:val="0"/>
          <w:sz w:val="32"/>
          <w:szCs w:val="32"/>
          <w:highlight w:val="none"/>
          <w:lang w:val="en-US" w:eastAsia="zh-CN"/>
        </w:rPr>
      </w:pPr>
    </w:p>
    <w:p w14:paraId="23751597">
      <w:pPr>
        <w:jc w:val="center"/>
        <w:rPr>
          <w:rFonts w:hint="eastAsia" w:ascii="宋体" w:hAnsi="宋体" w:cs="宋体"/>
          <w:b/>
          <w:color w:val="auto"/>
          <w:kern w:val="0"/>
          <w:sz w:val="32"/>
          <w:szCs w:val="32"/>
          <w:highlight w:val="none"/>
          <w:lang w:val="en-US" w:eastAsia="zh-CN"/>
        </w:rPr>
      </w:pPr>
    </w:p>
    <w:p w14:paraId="2CCC72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十一</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3D0F985">
      <w:pPr>
        <w:snapToGrid w:val="0"/>
        <w:spacing w:line="360" w:lineRule="auto"/>
        <w:rPr>
          <w:rFonts w:ascii="宋体" w:hAnsi="宋体" w:cs="宋体"/>
          <w:color w:val="auto"/>
          <w:sz w:val="24"/>
          <w:highlight w:val="none"/>
        </w:rPr>
      </w:pPr>
    </w:p>
    <w:p w14:paraId="2603F38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宁波市鄞州区下应街道社区卫生服务中心、浙江联达工程项目管理有限公司：</w:t>
      </w:r>
    </w:p>
    <w:p w14:paraId="5A53FA4C">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2B1A489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34FB0235">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37C0D3E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ECEB78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01A210C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6C56183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0C0CB4B0">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0789D37">
      <w:pPr>
        <w:autoSpaceDE w:val="0"/>
        <w:autoSpaceDN w:val="0"/>
        <w:spacing w:line="360" w:lineRule="auto"/>
        <w:ind w:left="2"/>
        <w:jc w:val="left"/>
        <w:rPr>
          <w:rFonts w:ascii="宋体" w:hAnsi="宋体" w:cs="宋体"/>
          <w:color w:val="auto"/>
          <w:kern w:val="0"/>
          <w:sz w:val="21"/>
          <w:szCs w:val="21"/>
          <w:highlight w:val="none"/>
          <w:lang w:val="zh-CN"/>
        </w:rPr>
      </w:pPr>
    </w:p>
    <w:p w14:paraId="3F070CC9">
      <w:pPr>
        <w:autoSpaceDE w:val="0"/>
        <w:autoSpaceDN w:val="0"/>
        <w:spacing w:line="360" w:lineRule="auto"/>
        <w:ind w:left="2"/>
        <w:jc w:val="left"/>
        <w:rPr>
          <w:rFonts w:ascii="宋体" w:hAnsi="宋体" w:cs="宋体"/>
          <w:color w:val="auto"/>
          <w:kern w:val="0"/>
          <w:sz w:val="21"/>
          <w:szCs w:val="21"/>
          <w:highlight w:val="none"/>
          <w:lang w:val="zh-CN"/>
        </w:rPr>
      </w:pPr>
    </w:p>
    <w:p w14:paraId="36CCD426">
      <w:pPr>
        <w:autoSpaceDE w:val="0"/>
        <w:autoSpaceDN w:val="0"/>
        <w:spacing w:line="360" w:lineRule="auto"/>
        <w:ind w:left="2"/>
        <w:jc w:val="left"/>
        <w:rPr>
          <w:rFonts w:ascii="宋体" w:hAnsi="宋体" w:cs="宋体"/>
          <w:color w:val="auto"/>
          <w:kern w:val="0"/>
          <w:sz w:val="21"/>
          <w:szCs w:val="21"/>
          <w:highlight w:val="none"/>
          <w:lang w:val="zh-CN"/>
        </w:rPr>
      </w:pPr>
    </w:p>
    <w:p w14:paraId="53FC83A9">
      <w:pPr>
        <w:autoSpaceDE w:val="0"/>
        <w:autoSpaceDN w:val="0"/>
        <w:spacing w:line="360" w:lineRule="auto"/>
        <w:ind w:left="2" w:leftChars="1"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5CD9B2BC">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55FC8FD1">
      <w:pPr>
        <w:spacing w:line="360" w:lineRule="auto"/>
        <w:jc w:val="center"/>
        <w:rPr>
          <w:rFonts w:ascii="宋体" w:hAnsi="宋体" w:cs="宋体"/>
          <w:b/>
          <w:bCs/>
          <w:color w:val="auto"/>
          <w:sz w:val="21"/>
          <w:szCs w:val="21"/>
          <w:highlight w:val="none"/>
        </w:rPr>
      </w:pPr>
    </w:p>
    <w:p w14:paraId="6B59C3B8">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D485BB4">
      <w:pPr>
        <w:rPr>
          <w:rFonts w:ascii="宋体" w:hAnsi="宋体" w:cs="宋体"/>
          <w:b/>
          <w:bCs/>
          <w:color w:val="auto"/>
          <w:sz w:val="24"/>
          <w:highlight w:val="none"/>
        </w:rPr>
      </w:pPr>
      <w:r>
        <w:rPr>
          <w:rFonts w:ascii="宋体" w:hAnsi="宋体" w:cs="宋体"/>
          <w:b/>
          <w:bCs/>
          <w:color w:val="auto"/>
          <w:sz w:val="24"/>
          <w:highlight w:val="none"/>
        </w:rPr>
        <w:br w:type="page"/>
      </w:r>
    </w:p>
    <w:p w14:paraId="32D4ABAA">
      <w:pPr>
        <w:spacing w:line="360" w:lineRule="auto"/>
        <w:jc w:val="center"/>
        <w:rPr>
          <w:rFonts w:ascii="宋体" w:hAnsi="宋体" w:cs="宋体"/>
          <w:b/>
          <w:bCs/>
          <w:color w:val="auto"/>
          <w:sz w:val="24"/>
          <w:highlight w:val="none"/>
        </w:rPr>
        <w:sectPr>
          <w:headerReference r:id="rId15" w:type="default"/>
          <w:footerReference r:id="rId16"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D3244AD">
      <w:pPr>
        <w:spacing w:line="360" w:lineRule="auto"/>
        <w:jc w:val="center"/>
        <w:outlineLvl w:val="0"/>
        <w:rPr>
          <w:rFonts w:ascii="宋体" w:hAnsi="宋体" w:cs="宋体"/>
          <w:b/>
          <w:color w:val="auto"/>
          <w:kern w:val="0"/>
          <w:sz w:val="36"/>
          <w:szCs w:val="36"/>
          <w:highlight w:val="none"/>
        </w:rPr>
      </w:pPr>
      <w:bookmarkStart w:id="1071" w:name="_Toc11255"/>
      <w:r>
        <w:rPr>
          <w:rFonts w:hint="eastAsia" w:ascii="宋体" w:hAnsi="宋体" w:cs="宋体"/>
          <w:b/>
          <w:color w:val="auto"/>
          <w:kern w:val="0"/>
          <w:sz w:val="36"/>
          <w:szCs w:val="36"/>
          <w:highlight w:val="none"/>
        </w:rPr>
        <w:t>报价文件部分</w:t>
      </w:r>
      <w:bookmarkEnd w:id="1071"/>
    </w:p>
    <w:p w14:paraId="3D226E2D">
      <w:pPr>
        <w:spacing w:line="360" w:lineRule="auto"/>
        <w:jc w:val="center"/>
        <w:outlineLvl w:val="0"/>
        <w:rPr>
          <w:rFonts w:ascii="宋体" w:hAnsi="宋体" w:cs="宋体"/>
          <w:b/>
          <w:color w:val="auto"/>
          <w:kern w:val="0"/>
          <w:sz w:val="36"/>
          <w:szCs w:val="36"/>
          <w:highlight w:val="none"/>
        </w:rPr>
      </w:pPr>
      <w:bookmarkStart w:id="1072" w:name="_Toc7866"/>
      <w:r>
        <w:rPr>
          <w:rFonts w:hint="eastAsia" w:ascii="宋体" w:hAnsi="宋体" w:cs="宋体"/>
          <w:b/>
          <w:color w:val="auto"/>
          <w:kern w:val="0"/>
          <w:sz w:val="36"/>
          <w:szCs w:val="36"/>
          <w:highlight w:val="none"/>
        </w:rPr>
        <w:t>目录</w:t>
      </w:r>
      <w:bookmarkEnd w:id="1072"/>
    </w:p>
    <w:p w14:paraId="1D8F261F">
      <w:pPr>
        <w:spacing w:line="360" w:lineRule="auto"/>
        <w:jc w:val="center"/>
        <w:outlineLvl w:val="0"/>
        <w:rPr>
          <w:rFonts w:ascii="宋体" w:hAnsi="宋体" w:cs="宋体"/>
          <w:b/>
          <w:color w:val="auto"/>
          <w:kern w:val="0"/>
          <w:sz w:val="36"/>
          <w:szCs w:val="36"/>
          <w:highlight w:val="none"/>
        </w:rPr>
      </w:pPr>
    </w:p>
    <w:p w14:paraId="4ED099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初次报价</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498E5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投标报价文件</w:t>
      </w:r>
      <w:r>
        <w:rPr>
          <w:rFonts w:hint="eastAsia" w:ascii="宋体" w:hAnsi="宋体" w:cs="宋体"/>
          <w:color w:val="auto"/>
          <w:sz w:val="24"/>
          <w:highlight w:val="none"/>
        </w:rPr>
        <w:t>…………………………………………………………………（页码）</w:t>
      </w:r>
    </w:p>
    <w:p w14:paraId="63F2C4FE">
      <w:pPr>
        <w:snapToGrid w:val="0"/>
        <w:spacing w:line="360" w:lineRule="auto"/>
        <w:ind w:right="480"/>
        <w:jc w:val="center"/>
        <w:rPr>
          <w:rFonts w:ascii="宋体" w:hAnsi="宋体" w:cs="宋体"/>
          <w:b/>
          <w:color w:val="auto"/>
          <w:kern w:val="0"/>
          <w:sz w:val="32"/>
          <w:szCs w:val="32"/>
          <w:highlight w:val="none"/>
        </w:rPr>
      </w:pPr>
    </w:p>
    <w:p w14:paraId="028F737F">
      <w:pPr>
        <w:snapToGrid w:val="0"/>
        <w:spacing w:line="360" w:lineRule="auto"/>
        <w:ind w:right="480"/>
        <w:jc w:val="center"/>
        <w:rPr>
          <w:rFonts w:ascii="宋体" w:hAnsi="宋体" w:cs="宋体"/>
          <w:b/>
          <w:color w:val="auto"/>
          <w:kern w:val="0"/>
          <w:sz w:val="32"/>
          <w:szCs w:val="32"/>
          <w:highlight w:val="none"/>
        </w:rPr>
      </w:pPr>
    </w:p>
    <w:p w14:paraId="77F66435">
      <w:pPr>
        <w:snapToGrid w:val="0"/>
        <w:spacing w:line="360" w:lineRule="auto"/>
        <w:ind w:right="480"/>
        <w:jc w:val="center"/>
        <w:rPr>
          <w:rFonts w:ascii="宋体" w:hAnsi="宋体" w:cs="宋体"/>
          <w:b/>
          <w:color w:val="auto"/>
          <w:kern w:val="0"/>
          <w:sz w:val="32"/>
          <w:szCs w:val="32"/>
          <w:highlight w:val="none"/>
        </w:rPr>
      </w:pPr>
    </w:p>
    <w:p w14:paraId="709BFDD6">
      <w:pPr>
        <w:snapToGrid w:val="0"/>
        <w:spacing w:line="360" w:lineRule="auto"/>
        <w:ind w:right="480"/>
        <w:jc w:val="center"/>
        <w:rPr>
          <w:rFonts w:ascii="宋体" w:hAnsi="宋体" w:cs="宋体"/>
          <w:b/>
          <w:color w:val="auto"/>
          <w:kern w:val="0"/>
          <w:sz w:val="32"/>
          <w:szCs w:val="32"/>
          <w:highlight w:val="none"/>
        </w:rPr>
      </w:pPr>
    </w:p>
    <w:p w14:paraId="2C6D278A">
      <w:pPr>
        <w:snapToGrid w:val="0"/>
        <w:spacing w:line="360" w:lineRule="auto"/>
        <w:ind w:right="480"/>
        <w:jc w:val="center"/>
        <w:rPr>
          <w:rFonts w:ascii="宋体" w:hAnsi="宋体" w:cs="宋体"/>
          <w:b/>
          <w:color w:val="auto"/>
          <w:kern w:val="0"/>
          <w:sz w:val="32"/>
          <w:szCs w:val="32"/>
          <w:highlight w:val="none"/>
        </w:rPr>
      </w:pPr>
    </w:p>
    <w:p w14:paraId="7C2440A9">
      <w:pPr>
        <w:snapToGrid w:val="0"/>
        <w:spacing w:line="360" w:lineRule="auto"/>
        <w:ind w:right="480"/>
        <w:jc w:val="center"/>
        <w:rPr>
          <w:rFonts w:ascii="宋体" w:hAnsi="宋体" w:cs="宋体"/>
          <w:b/>
          <w:color w:val="auto"/>
          <w:kern w:val="0"/>
          <w:sz w:val="32"/>
          <w:szCs w:val="32"/>
          <w:highlight w:val="none"/>
        </w:rPr>
      </w:pPr>
    </w:p>
    <w:p w14:paraId="0542821E">
      <w:pPr>
        <w:snapToGrid w:val="0"/>
        <w:spacing w:line="360" w:lineRule="auto"/>
        <w:ind w:right="480"/>
        <w:jc w:val="center"/>
        <w:rPr>
          <w:rFonts w:ascii="宋体" w:hAnsi="宋体" w:cs="宋体"/>
          <w:b/>
          <w:color w:val="auto"/>
          <w:kern w:val="0"/>
          <w:sz w:val="32"/>
          <w:szCs w:val="32"/>
          <w:highlight w:val="none"/>
        </w:rPr>
      </w:pPr>
    </w:p>
    <w:p w14:paraId="6B3A1231">
      <w:pPr>
        <w:snapToGrid w:val="0"/>
        <w:spacing w:line="360" w:lineRule="auto"/>
        <w:ind w:right="480"/>
        <w:jc w:val="center"/>
        <w:rPr>
          <w:rFonts w:ascii="宋体" w:hAnsi="宋体" w:cs="宋体"/>
          <w:b/>
          <w:color w:val="auto"/>
          <w:kern w:val="0"/>
          <w:sz w:val="32"/>
          <w:szCs w:val="32"/>
          <w:highlight w:val="none"/>
        </w:rPr>
      </w:pPr>
    </w:p>
    <w:p w14:paraId="6B87D8D1">
      <w:pPr>
        <w:snapToGrid w:val="0"/>
        <w:spacing w:line="360" w:lineRule="auto"/>
        <w:ind w:right="480"/>
        <w:jc w:val="center"/>
        <w:rPr>
          <w:rFonts w:ascii="宋体" w:hAnsi="宋体" w:cs="宋体"/>
          <w:b/>
          <w:color w:val="auto"/>
          <w:kern w:val="0"/>
          <w:sz w:val="32"/>
          <w:szCs w:val="32"/>
          <w:highlight w:val="none"/>
        </w:rPr>
      </w:pPr>
    </w:p>
    <w:p w14:paraId="5DBEA856">
      <w:pPr>
        <w:snapToGrid w:val="0"/>
        <w:spacing w:line="360" w:lineRule="auto"/>
        <w:ind w:right="480"/>
        <w:jc w:val="center"/>
        <w:rPr>
          <w:rFonts w:ascii="宋体" w:hAnsi="宋体" w:cs="宋体"/>
          <w:b/>
          <w:color w:val="auto"/>
          <w:kern w:val="0"/>
          <w:sz w:val="32"/>
          <w:szCs w:val="32"/>
          <w:highlight w:val="none"/>
        </w:rPr>
      </w:pPr>
    </w:p>
    <w:p w14:paraId="37486FAC">
      <w:pPr>
        <w:snapToGrid w:val="0"/>
        <w:spacing w:line="360" w:lineRule="auto"/>
        <w:ind w:right="480"/>
        <w:jc w:val="center"/>
        <w:rPr>
          <w:rFonts w:ascii="宋体" w:hAnsi="宋体" w:cs="宋体"/>
          <w:b/>
          <w:color w:val="auto"/>
          <w:kern w:val="0"/>
          <w:sz w:val="32"/>
          <w:szCs w:val="32"/>
          <w:highlight w:val="none"/>
        </w:rPr>
      </w:pPr>
    </w:p>
    <w:p w14:paraId="3600C1E9">
      <w:pPr>
        <w:snapToGrid w:val="0"/>
        <w:spacing w:line="360" w:lineRule="auto"/>
        <w:ind w:right="480"/>
        <w:jc w:val="center"/>
        <w:rPr>
          <w:rFonts w:ascii="宋体" w:hAnsi="宋体" w:cs="宋体"/>
          <w:b/>
          <w:color w:val="auto"/>
          <w:kern w:val="0"/>
          <w:sz w:val="32"/>
          <w:szCs w:val="32"/>
          <w:highlight w:val="none"/>
        </w:rPr>
      </w:pPr>
    </w:p>
    <w:p w14:paraId="1E28961E">
      <w:pPr>
        <w:snapToGrid w:val="0"/>
        <w:spacing w:line="360" w:lineRule="auto"/>
        <w:ind w:right="480"/>
        <w:jc w:val="center"/>
        <w:rPr>
          <w:rFonts w:ascii="宋体" w:hAnsi="宋体" w:cs="宋体"/>
          <w:b/>
          <w:color w:val="auto"/>
          <w:kern w:val="0"/>
          <w:sz w:val="32"/>
          <w:szCs w:val="32"/>
          <w:highlight w:val="none"/>
        </w:rPr>
      </w:pPr>
    </w:p>
    <w:p w14:paraId="45A991C4">
      <w:pPr>
        <w:snapToGrid w:val="0"/>
        <w:spacing w:line="360" w:lineRule="auto"/>
        <w:ind w:right="480"/>
        <w:jc w:val="center"/>
        <w:rPr>
          <w:rFonts w:ascii="宋体" w:hAnsi="宋体" w:cs="宋体"/>
          <w:b/>
          <w:color w:val="auto"/>
          <w:kern w:val="0"/>
          <w:sz w:val="32"/>
          <w:szCs w:val="32"/>
          <w:highlight w:val="none"/>
        </w:rPr>
      </w:pPr>
    </w:p>
    <w:p w14:paraId="44125784">
      <w:pPr>
        <w:snapToGrid w:val="0"/>
        <w:spacing w:line="360" w:lineRule="auto"/>
        <w:ind w:right="480"/>
        <w:jc w:val="center"/>
        <w:rPr>
          <w:rFonts w:ascii="宋体" w:hAnsi="宋体" w:cs="宋体"/>
          <w:b/>
          <w:color w:val="auto"/>
          <w:kern w:val="0"/>
          <w:sz w:val="32"/>
          <w:szCs w:val="32"/>
          <w:highlight w:val="none"/>
        </w:rPr>
      </w:pPr>
    </w:p>
    <w:p w14:paraId="29C5D62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9" w:type="first"/>
          <w:headerReference r:id="rId17" w:type="default"/>
          <w:footerReference r:id="rId18"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DBCBD1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bookmarkStart w:id="1073" w:name="_Toc8448"/>
      <w:r>
        <w:rPr>
          <w:rFonts w:hint="eastAsia" w:ascii="宋体" w:hAnsi="宋体" w:eastAsia="宋体" w:cs="宋体"/>
          <w:color w:val="auto"/>
          <w:kern w:val="2"/>
          <w:sz w:val="32"/>
          <w:szCs w:val="32"/>
          <w:highlight w:val="none"/>
        </w:rPr>
        <w:t>一、报价单</w:t>
      </w:r>
      <w:bookmarkEnd w:id="1073"/>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初次报价</w:t>
      </w:r>
      <w:r>
        <w:rPr>
          <w:rFonts w:hint="eastAsia" w:ascii="宋体" w:hAnsi="宋体" w:eastAsia="宋体" w:cs="宋体"/>
          <w:color w:val="auto"/>
          <w:kern w:val="2"/>
          <w:sz w:val="32"/>
          <w:szCs w:val="32"/>
          <w:highlight w:val="none"/>
          <w:lang w:eastAsia="zh-CN"/>
        </w:rPr>
        <w:t>）</w:t>
      </w:r>
    </w:p>
    <w:p w14:paraId="53332DFC">
      <w:pPr>
        <w:snapToGrid w:val="0"/>
        <w:spacing w:line="360" w:lineRule="auto"/>
        <w:rPr>
          <w:rFonts w:ascii="宋体" w:hAnsi="宋体" w:cs="宋体"/>
          <w:color w:val="auto"/>
          <w:kern w:val="0"/>
          <w:sz w:val="21"/>
          <w:szCs w:val="21"/>
          <w:highlight w:val="none"/>
        </w:rPr>
      </w:pPr>
      <w:r>
        <w:rPr>
          <w:rFonts w:hint="eastAsia" w:ascii="宋体" w:hAnsi="宋体" w:eastAsia="宋体" w:cs="宋体"/>
          <w:sz w:val="21"/>
          <w:szCs w:val="21"/>
          <w:u w:val="single"/>
        </w:rPr>
        <w:t>宁波市鄞州区下应街道社区卫生服务中心</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浙江联达工程项目管理有限公司</w:t>
      </w:r>
      <w:r>
        <w:rPr>
          <w:rFonts w:hint="eastAsia" w:ascii="宋体" w:hAnsi="宋体" w:cs="宋体"/>
          <w:color w:val="auto"/>
          <w:kern w:val="0"/>
          <w:sz w:val="21"/>
          <w:szCs w:val="21"/>
          <w:highlight w:val="none"/>
          <w:lang w:val="zh-CN"/>
        </w:rPr>
        <w:t>：</w:t>
      </w:r>
    </w:p>
    <w:p w14:paraId="01EAE04D">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按你方采购文件要求，我们，本响应文件签字方，谨此向你方发出要约如下：如你方接受本投标，我方承诺按照如下报价单的价格完成下应街道社区卫生服务中心医康养护一体化建设项目</w:t>
      </w:r>
      <w:r>
        <w:rPr>
          <w:rFonts w:hint="eastAsia" w:ascii="宋体" w:hAnsi="宋体" w:cs="宋体"/>
          <w:color w:val="auto"/>
          <w:sz w:val="21"/>
          <w:szCs w:val="21"/>
          <w:highlight w:val="none"/>
        </w:rPr>
        <w:t>【项目编号：ZJLD-2025212】的实施</w:t>
      </w:r>
      <w:r>
        <w:rPr>
          <w:rFonts w:hint="eastAsia" w:ascii="宋体" w:hAnsi="宋体" w:cs="宋体"/>
          <w:color w:val="auto"/>
          <w:kern w:val="0"/>
          <w:sz w:val="21"/>
          <w:szCs w:val="21"/>
          <w:highlight w:val="none"/>
          <w:lang w:val="zh-CN"/>
        </w:rPr>
        <w:t>。</w:t>
      </w:r>
    </w:p>
    <w:p w14:paraId="413DED06">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报价单(单位均为人民币元)</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262"/>
        <w:gridCol w:w="2282"/>
        <w:gridCol w:w="2262"/>
        <w:gridCol w:w="3217"/>
        <w:gridCol w:w="1886"/>
      </w:tblGrid>
      <w:tr w14:paraId="693D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98" w:type="pct"/>
            <w:vAlign w:val="center"/>
          </w:tcPr>
          <w:p w14:paraId="1695B6AD">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798" w:type="pct"/>
            <w:vAlign w:val="center"/>
          </w:tcPr>
          <w:p w14:paraId="56B2E0D1">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施</w:t>
            </w:r>
            <w:r>
              <w:rPr>
                <w:rFonts w:hint="eastAsia" w:ascii="宋体" w:hAnsi="宋体" w:cs="宋体"/>
                <w:b/>
                <w:color w:val="auto"/>
                <w:sz w:val="21"/>
                <w:szCs w:val="21"/>
                <w:highlight w:val="none"/>
              </w:rPr>
              <w:t>工范围</w:t>
            </w:r>
          </w:p>
        </w:tc>
        <w:tc>
          <w:tcPr>
            <w:tcW w:w="805" w:type="pct"/>
            <w:vAlign w:val="center"/>
          </w:tcPr>
          <w:p w14:paraId="320BE242">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施工工期</w:t>
            </w:r>
          </w:p>
        </w:tc>
        <w:tc>
          <w:tcPr>
            <w:tcW w:w="798" w:type="pct"/>
            <w:vAlign w:val="center"/>
          </w:tcPr>
          <w:p w14:paraId="64405A5A">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项目经理</w:t>
            </w:r>
          </w:p>
        </w:tc>
        <w:tc>
          <w:tcPr>
            <w:tcW w:w="1135" w:type="pct"/>
            <w:vAlign w:val="center"/>
          </w:tcPr>
          <w:p w14:paraId="2BB5372F">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执业证书信息</w:t>
            </w:r>
          </w:p>
        </w:tc>
        <w:tc>
          <w:tcPr>
            <w:tcW w:w="664" w:type="pct"/>
            <w:vAlign w:val="center"/>
          </w:tcPr>
          <w:p w14:paraId="4E242884">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备注（如果有）</w:t>
            </w:r>
          </w:p>
        </w:tc>
      </w:tr>
      <w:tr w14:paraId="01A8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98" w:type="pct"/>
            <w:vAlign w:val="center"/>
          </w:tcPr>
          <w:p w14:paraId="76CEAB02">
            <w:pPr>
              <w:snapToGrid w:val="0"/>
              <w:spacing w:line="360" w:lineRule="auto"/>
              <w:jc w:val="center"/>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下应街道社区卫生服务中心医康养护一体化建设项目</w:t>
            </w:r>
          </w:p>
        </w:tc>
        <w:tc>
          <w:tcPr>
            <w:tcW w:w="798" w:type="pct"/>
            <w:vAlign w:val="center"/>
          </w:tcPr>
          <w:p w14:paraId="11EBB62E">
            <w:pPr>
              <w:snapToGrid w:val="0"/>
              <w:spacing w:line="360" w:lineRule="auto"/>
              <w:jc w:val="center"/>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rPr>
              <w:t>施工图范围内装修改造工程施工</w:t>
            </w:r>
          </w:p>
        </w:tc>
        <w:tc>
          <w:tcPr>
            <w:tcW w:w="805" w:type="pct"/>
            <w:vAlign w:val="center"/>
          </w:tcPr>
          <w:p w14:paraId="7456A58F">
            <w:pPr>
              <w:snapToGrid w:val="0"/>
              <w:spacing w:line="360" w:lineRule="auto"/>
              <w:jc w:val="center"/>
              <w:rPr>
                <w:rFonts w:ascii="宋体" w:hAnsi="宋体" w:cs="宋体"/>
                <w:color w:val="auto"/>
                <w:sz w:val="21"/>
                <w:szCs w:val="21"/>
                <w:highlight w:val="none"/>
              </w:rPr>
            </w:pPr>
          </w:p>
        </w:tc>
        <w:tc>
          <w:tcPr>
            <w:tcW w:w="798" w:type="pct"/>
            <w:vAlign w:val="center"/>
          </w:tcPr>
          <w:p w14:paraId="313E7733">
            <w:pPr>
              <w:spacing w:line="360" w:lineRule="auto"/>
              <w:jc w:val="center"/>
              <w:rPr>
                <w:rFonts w:ascii="宋体" w:hAnsi="宋体" w:cs="宋体"/>
                <w:color w:val="auto"/>
                <w:sz w:val="21"/>
                <w:szCs w:val="21"/>
                <w:highlight w:val="none"/>
              </w:rPr>
            </w:pPr>
          </w:p>
        </w:tc>
        <w:tc>
          <w:tcPr>
            <w:tcW w:w="1135" w:type="pct"/>
            <w:vAlign w:val="center"/>
          </w:tcPr>
          <w:p w14:paraId="366E113A">
            <w:pPr>
              <w:spacing w:line="360" w:lineRule="auto"/>
              <w:jc w:val="center"/>
              <w:rPr>
                <w:rFonts w:ascii="宋体" w:hAnsi="宋体" w:cs="宋体"/>
                <w:color w:val="auto"/>
                <w:sz w:val="21"/>
                <w:szCs w:val="21"/>
                <w:highlight w:val="none"/>
              </w:rPr>
            </w:pPr>
          </w:p>
        </w:tc>
        <w:tc>
          <w:tcPr>
            <w:tcW w:w="664" w:type="pct"/>
            <w:vAlign w:val="center"/>
          </w:tcPr>
          <w:p w14:paraId="152A7A35">
            <w:pPr>
              <w:spacing w:line="360" w:lineRule="auto"/>
              <w:jc w:val="center"/>
              <w:rPr>
                <w:rFonts w:ascii="宋体" w:hAnsi="宋体" w:cs="宋体"/>
                <w:color w:val="auto"/>
                <w:sz w:val="21"/>
                <w:szCs w:val="21"/>
                <w:highlight w:val="none"/>
              </w:rPr>
            </w:pPr>
          </w:p>
        </w:tc>
      </w:tr>
      <w:tr w14:paraId="0085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1" w:type="pct"/>
            <w:gridSpan w:val="3"/>
            <w:vAlign w:val="center"/>
          </w:tcPr>
          <w:p w14:paraId="050DD505">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磋商报价（小写）</w:t>
            </w:r>
          </w:p>
        </w:tc>
        <w:tc>
          <w:tcPr>
            <w:tcW w:w="2598" w:type="pct"/>
            <w:gridSpan w:val="3"/>
            <w:vAlign w:val="center"/>
          </w:tcPr>
          <w:p w14:paraId="48810A18">
            <w:pPr>
              <w:spacing w:line="360" w:lineRule="auto"/>
              <w:jc w:val="center"/>
              <w:rPr>
                <w:rFonts w:ascii="宋体" w:hAnsi="宋体" w:cs="宋体"/>
                <w:color w:val="auto"/>
                <w:sz w:val="21"/>
                <w:szCs w:val="21"/>
                <w:highlight w:val="none"/>
              </w:rPr>
            </w:pPr>
          </w:p>
        </w:tc>
      </w:tr>
      <w:tr w14:paraId="0DC2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01" w:type="pct"/>
            <w:gridSpan w:val="3"/>
            <w:vAlign w:val="center"/>
          </w:tcPr>
          <w:p w14:paraId="15C9E619">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磋商报价（大写）</w:t>
            </w:r>
          </w:p>
        </w:tc>
        <w:tc>
          <w:tcPr>
            <w:tcW w:w="2598" w:type="pct"/>
            <w:gridSpan w:val="3"/>
            <w:vAlign w:val="center"/>
          </w:tcPr>
          <w:p w14:paraId="702B8B47">
            <w:pPr>
              <w:spacing w:line="360" w:lineRule="auto"/>
              <w:jc w:val="center"/>
              <w:rPr>
                <w:rFonts w:ascii="宋体" w:hAnsi="宋体" w:cs="宋体"/>
                <w:color w:val="auto"/>
                <w:sz w:val="21"/>
                <w:szCs w:val="21"/>
                <w:highlight w:val="none"/>
              </w:rPr>
            </w:pPr>
          </w:p>
        </w:tc>
      </w:tr>
    </w:tbl>
    <w:p w14:paraId="7810980C">
      <w:pPr>
        <w:snapToGrid w:val="0"/>
        <w:spacing w:line="360" w:lineRule="auto"/>
        <w:ind w:left="480"/>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注：</w:t>
      </w:r>
      <w:r>
        <w:rPr>
          <w:rFonts w:hint="eastAsia" w:ascii="宋体" w:hAnsi="宋体" w:cs="宋体"/>
          <w:color w:val="auto"/>
          <w:kern w:val="0"/>
          <w:sz w:val="21"/>
          <w:szCs w:val="21"/>
          <w:highlight w:val="none"/>
          <w:lang w:val="zh-CN"/>
        </w:rPr>
        <w:t>1、供应商需按本表格式填写。</w:t>
      </w:r>
    </w:p>
    <w:p w14:paraId="6DA556A3">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w:t>
      </w:r>
      <w:r>
        <w:rPr>
          <w:rFonts w:hint="eastAsia" w:ascii="宋体" w:hAnsi="宋体" w:cs="宋体"/>
          <w:color w:val="auto"/>
          <w:kern w:val="0"/>
          <w:sz w:val="21"/>
          <w:szCs w:val="21"/>
          <w:highlight w:val="none"/>
          <w:lang w:val="zh-CN" w:eastAsia="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w:t>
      </w:r>
    </w:p>
    <w:p w14:paraId="65FB5E25">
      <w:pPr>
        <w:snapToGrid w:val="0"/>
        <w:spacing w:line="360" w:lineRule="auto"/>
        <w:ind w:firstLine="42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1"/>
          <w:szCs w:val="21"/>
          <w:highlight w:val="none"/>
          <w:lang w:val="zh-CN"/>
        </w:rPr>
        <w:t>3、特别提示：采购代理机构将对项目名称和项目编号，成交供应商名称、地址和成交金额、施工范围、施工工期、项目经理、执业证书信息等予以公示。</w:t>
      </w:r>
    </w:p>
    <w:p w14:paraId="5423784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18A05ED">
      <w:pPr>
        <w:pStyle w:val="697"/>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lang w:eastAsia="zh-CN"/>
        </w:rPr>
      </w:pPr>
      <w:bookmarkStart w:id="1074" w:name="_Toc10094"/>
      <w:bookmarkStart w:id="1075" w:name="_Toc23729"/>
      <w:r>
        <w:rPr>
          <w:rFonts w:hint="eastAsia" w:ascii="宋体" w:hAnsi="宋体" w:eastAsia="宋体" w:cs="宋体"/>
          <w:color w:val="auto"/>
          <w:kern w:val="2"/>
          <w:sz w:val="32"/>
          <w:szCs w:val="32"/>
          <w:highlight w:val="none"/>
          <w:lang w:eastAsia="zh-CN"/>
        </w:rPr>
        <w:t>二、</w:t>
      </w:r>
      <w:bookmarkEnd w:id="1074"/>
      <w:r>
        <w:rPr>
          <w:rFonts w:hint="eastAsia" w:ascii="宋体" w:hAnsi="宋体" w:eastAsia="宋体" w:cs="宋体"/>
          <w:color w:val="auto"/>
          <w:kern w:val="2"/>
          <w:sz w:val="32"/>
          <w:szCs w:val="32"/>
          <w:highlight w:val="none"/>
          <w:lang w:eastAsia="zh-CN"/>
        </w:rPr>
        <w:t>投标报价文件</w:t>
      </w:r>
    </w:p>
    <w:p w14:paraId="2696E2DA">
      <w:pPr>
        <w:spacing w:line="360" w:lineRule="auto"/>
        <w:ind w:firstLine="420" w:firstLineChars="20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注：【供应商须将采购人提供的工程造价咨询报告书附于报价文件内，否则作否决投标处理】（工程量清单的封面及投标总价表等内容无需加盖编制人造价人员专用章及签字）</w:t>
      </w:r>
    </w:p>
    <w:bookmarkEnd w:id="1075"/>
    <w:p w14:paraId="6089E1D0">
      <w:pPr>
        <w:pStyle w:val="61"/>
        <w:ind w:firstLine="480"/>
        <w:rPr>
          <w:rFonts w:cs="宋体"/>
          <w:color w:val="auto"/>
          <w:sz w:val="24"/>
          <w:highlight w:val="none"/>
        </w:rPr>
      </w:pPr>
    </w:p>
    <w:p w14:paraId="1CE3A32E">
      <w:pPr>
        <w:pStyle w:val="61"/>
        <w:ind w:firstLine="480"/>
        <w:rPr>
          <w:rFonts w:cs="宋体"/>
          <w:color w:val="auto"/>
          <w:sz w:val="24"/>
          <w:highlight w:val="none"/>
        </w:rPr>
        <w:sectPr>
          <w:footerReference r:id="rId23" w:type="first"/>
          <w:headerReference r:id="rId20" w:type="default"/>
          <w:footerReference r:id="rId21" w:type="default"/>
          <w:footerReference r:id="rId22" w:type="even"/>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1A1C9B">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76" w:name="_Toc11139"/>
      <w:bookmarkStart w:id="1077" w:name="_Toc465665161"/>
      <w:r>
        <w:rPr>
          <w:rFonts w:hint="eastAsia" w:ascii="宋体" w:hAnsi="宋体" w:cs="宋体"/>
          <w:color w:val="auto"/>
          <w:highlight w:val="none"/>
        </w:rPr>
        <w:t>附件</w:t>
      </w:r>
      <w:bookmarkEnd w:id="1076"/>
      <w:bookmarkEnd w:id="1077"/>
    </w:p>
    <w:p w14:paraId="6BCE364B">
      <w:pP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附件1：</w:t>
      </w:r>
    </w:p>
    <w:p w14:paraId="6A6D9C37">
      <w:pPr>
        <w:spacing w:line="360" w:lineRule="auto"/>
        <w:jc w:val="center"/>
        <w:rPr>
          <w:rFonts w:hint="eastAsia" w:ascii="宋体" w:hAnsi="宋体" w:eastAsia="宋体" w:cs="宋体"/>
          <w:b/>
          <w:color w:val="auto"/>
          <w:spacing w:val="6"/>
          <w:sz w:val="21"/>
          <w:szCs w:val="21"/>
          <w:highlight w:val="none"/>
        </w:rPr>
      </w:pPr>
      <w:bookmarkStart w:id="1078" w:name="OLE_LINK14"/>
      <w:bookmarkStart w:id="1079" w:name="OLE_LINK13"/>
      <w:r>
        <w:rPr>
          <w:rFonts w:hint="eastAsia" w:ascii="宋体" w:hAnsi="宋体" w:eastAsia="宋体" w:cs="宋体"/>
          <w:b/>
          <w:color w:val="auto"/>
          <w:spacing w:val="6"/>
          <w:sz w:val="21"/>
          <w:szCs w:val="21"/>
          <w:highlight w:val="none"/>
        </w:rPr>
        <w:t>残疾人福利性单位声明函</w:t>
      </w:r>
    </w:p>
    <w:bookmarkEnd w:id="1078"/>
    <w:bookmarkEnd w:id="1079"/>
    <w:p w14:paraId="54E16B79">
      <w:pPr>
        <w:spacing w:line="360" w:lineRule="auto"/>
        <w:rPr>
          <w:rFonts w:hint="eastAsia" w:ascii="宋体" w:hAnsi="宋体" w:eastAsia="宋体" w:cs="宋体"/>
          <w:b/>
          <w:color w:val="auto"/>
          <w:spacing w:val="6"/>
          <w:sz w:val="21"/>
          <w:szCs w:val="21"/>
          <w:highlight w:val="none"/>
        </w:rPr>
      </w:pPr>
    </w:p>
    <w:p w14:paraId="000DDD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26A0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15FDCF46">
      <w:pPr>
        <w:spacing w:line="360" w:lineRule="auto"/>
        <w:ind w:firstLine="420" w:firstLineChars="200"/>
        <w:rPr>
          <w:rFonts w:hint="eastAsia" w:ascii="宋体" w:hAnsi="宋体" w:eastAsia="宋体" w:cs="宋体"/>
          <w:color w:val="auto"/>
          <w:sz w:val="21"/>
          <w:szCs w:val="21"/>
          <w:highlight w:val="none"/>
        </w:rPr>
      </w:pPr>
    </w:p>
    <w:p w14:paraId="75A358EE">
      <w:pPr>
        <w:spacing w:line="360" w:lineRule="auto"/>
        <w:ind w:firstLine="420" w:firstLineChars="200"/>
        <w:rPr>
          <w:rFonts w:hint="eastAsia" w:ascii="宋体" w:hAnsi="宋体" w:eastAsia="宋体" w:cs="宋体"/>
          <w:color w:val="auto"/>
          <w:sz w:val="21"/>
          <w:szCs w:val="21"/>
          <w:highlight w:val="none"/>
        </w:rPr>
      </w:pPr>
    </w:p>
    <w:p w14:paraId="28CB92D6">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供应商名称（电子签名）</w:t>
      </w:r>
      <w:r>
        <w:rPr>
          <w:rFonts w:hint="eastAsia" w:ascii="宋体" w:hAnsi="宋体" w:eastAsia="宋体" w:cs="宋体"/>
          <w:color w:val="auto"/>
          <w:sz w:val="21"/>
          <w:szCs w:val="21"/>
          <w:highlight w:val="none"/>
        </w:rPr>
        <w:t>：</w:t>
      </w:r>
    </w:p>
    <w:p w14:paraId="27D456FF">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34EF9011">
      <w:pPr>
        <w:spacing w:line="360" w:lineRule="auto"/>
        <w:ind w:firstLine="420" w:firstLineChars="200"/>
        <w:rPr>
          <w:rFonts w:hint="eastAsia" w:ascii="宋体" w:hAnsi="宋体" w:eastAsia="宋体" w:cs="宋体"/>
          <w:color w:val="auto"/>
          <w:sz w:val="21"/>
          <w:szCs w:val="21"/>
          <w:highlight w:val="none"/>
        </w:rPr>
      </w:pPr>
    </w:p>
    <w:p w14:paraId="1D674FB6">
      <w:pPr>
        <w:pStyle w:val="697"/>
        <w:keepNext w:val="0"/>
        <w:pageBreakBefore w:val="0"/>
        <w:tabs>
          <w:tab w:val="clear" w:pos="720"/>
        </w:tabs>
        <w:adjustRightInd/>
        <w:jc w:val="both"/>
        <w:outlineLvl w:val="9"/>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lang w:val="zh-CN"/>
        </w:rPr>
        <w:t>注：享受政府采购支持政策的残疾人福利性单位应当同时满足以下条件：</w:t>
      </w:r>
    </w:p>
    <w:p w14:paraId="5FBE74F4">
      <w:pPr>
        <w:pStyle w:val="697"/>
        <w:keepNext w:val="0"/>
        <w:pageBreakBefore w:val="0"/>
        <w:tabs>
          <w:tab w:val="clear" w:pos="720"/>
        </w:tabs>
        <w:adjustRightInd/>
        <w:jc w:val="both"/>
        <w:outlineLvl w:val="9"/>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lang w:val="zh-CN"/>
        </w:rPr>
        <w:t>（一）安置的残疾人占本单位在职职工人数的比例不低于25%（含25%），并且安置的残疾人人数不少于10人（含10人）；</w:t>
      </w:r>
    </w:p>
    <w:p w14:paraId="6A9FB1B1">
      <w:pPr>
        <w:pStyle w:val="697"/>
        <w:keepNext w:val="0"/>
        <w:pageBreakBefore w:val="0"/>
        <w:tabs>
          <w:tab w:val="clear" w:pos="720"/>
        </w:tabs>
        <w:adjustRightInd/>
        <w:jc w:val="both"/>
        <w:outlineLvl w:val="9"/>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lang w:val="zh-CN"/>
        </w:rPr>
        <w:t>（二）依法与安置的每位残疾人签订了一年以上（含一年）的劳动合同或服务协议；</w:t>
      </w:r>
    </w:p>
    <w:p w14:paraId="60F89269">
      <w:pPr>
        <w:pStyle w:val="697"/>
        <w:keepNext w:val="0"/>
        <w:pageBreakBefore w:val="0"/>
        <w:tabs>
          <w:tab w:val="clear" w:pos="720"/>
        </w:tabs>
        <w:adjustRightInd/>
        <w:jc w:val="both"/>
        <w:outlineLvl w:val="9"/>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lang w:val="zh-CN"/>
        </w:rPr>
        <w:t>（三）为安置的每位残疾人按月足额缴纳了基本养老保险、基本医疗保险、失业保险、工伤保险和生育保险等社会保险费；</w:t>
      </w:r>
    </w:p>
    <w:p w14:paraId="63605771">
      <w:pPr>
        <w:pStyle w:val="697"/>
        <w:keepNext w:val="0"/>
        <w:pageBreakBefore w:val="0"/>
        <w:tabs>
          <w:tab w:val="clear" w:pos="720"/>
        </w:tabs>
        <w:adjustRightInd/>
        <w:jc w:val="both"/>
        <w:outlineLvl w:val="9"/>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lang w:val="zh-CN"/>
        </w:rPr>
        <w:t>（四）通过银行等金融机构向安置的每位残疾人，按月支付了不低于单位所在区县适用的经省级人民政府批准的月最低工资标准的工资；</w:t>
      </w:r>
    </w:p>
    <w:p w14:paraId="2F3FDE2B">
      <w:pPr>
        <w:pStyle w:val="697"/>
        <w:keepNext w:val="0"/>
        <w:pageBreakBefore w:val="0"/>
        <w:tabs>
          <w:tab w:val="clear" w:pos="720"/>
        </w:tabs>
        <w:adjustRightInd/>
        <w:jc w:val="both"/>
        <w:outlineLvl w:val="9"/>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lang w:val="zh-CN"/>
        </w:rPr>
        <w:t>（五）提供本单位制造的货物、承担的工程或者服务（以下简称产品），或者提供其他残疾人福利性单位制造的货物（不包括使用非残疾人福利性单位注册商标的货物）。</w:t>
      </w:r>
    </w:p>
    <w:p w14:paraId="527884B1">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kern w:val="0"/>
          <w:sz w:val="21"/>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907BA28">
      <w:pPr>
        <w:spacing w:line="360" w:lineRule="auto"/>
        <w:ind w:firstLine="420" w:firstLineChars="200"/>
        <w:rPr>
          <w:rFonts w:hint="eastAsia" w:ascii="宋体" w:hAnsi="宋体" w:eastAsia="宋体" w:cs="宋体"/>
          <w:color w:val="auto"/>
          <w:sz w:val="21"/>
          <w:szCs w:val="21"/>
          <w:highlight w:val="none"/>
        </w:rPr>
      </w:pPr>
    </w:p>
    <w:p w14:paraId="6A9DEF39">
      <w:pPr>
        <w:spacing w:line="360" w:lineRule="auto"/>
        <w:ind w:firstLine="420" w:firstLineChars="200"/>
        <w:rPr>
          <w:rFonts w:hint="eastAsia" w:ascii="宋体" w:hAnsi="宋体" w:eastAsia="宋体" w:cs="宋体"/>
          <w:color w:val="auto"/>
          <w:sz w:val="21"/>
          <w:szCs w:val="21"/>
          <w:highlight w:val="none"/>
        </w:rPr>
      </w:pPr>
    </w:p>
    <w:p w14:paraId="458E6D6C">
      <w:pPr>
        <w:spacing w:line="360" w:lineRule="auto"/>
        <w:ind w:firstLine="420" w:firstLineChars="200"/>
        <w:rPr>
          <w:rFonts w:hint="eastAsia" w:ascii="宋体" w:hAnsi="宋体" w:eastAsia="宋体" w:cs="宋体"/>
          <w:color w:val="auto"/>
          <w:sz w:val="21"/>
          <w:szCs w:val="21"/>
          <w:highlight w:val="none"/>
        </w:rPr>
      </w:pPr>
    </w:p>
    <w:p w14:paraId="042C827F">
      <w:pPr>
        <w:spacing w:line="360" w:lineRule="auto"/>
        <w:rPr>
          <w:rFonts w:hint="eastAsia" w:ascii="宋体" w:hAnsi="宋体" w:eastAsia="宋体" w:cs="宋体"/>
          <w:b/>
          <w:color w:val="auto"/>
          <w:sz w:val="21"/>
          <w:szCs w:val="21"/>
          <w:highlight w:val="none"/>
        </w:rPr>
      </w:pPr>
    </w:p>
    <w:p w14:paraId="6416C46B">
      <w:pPr>
        <w:spacing w:line="360" w:lineRule="auto"/>
        <w:rPr>
          <w:rFonts w:hint="eastAsia" w:ascii="宋体" w:hAnsi="宋体" w:eastAsia="宋体" w:cs="宋体"/>
          <w:b/>
          <w:color w:val="auto"/>
          <w:sz w:val="21"/>
          <w:szCs w:val="21"/>
          <w:highlight w:val="none"/>
        </w:rPr>
      </w:pPr>
    </w:p>
    <w:p w14:paraId="0E2B3BD1">
      <w:pPr>
        <w:autoSpaceDE w:val="0"/>
        <w:autoSpaceDN w:val="0"/>
        <w:jc w:val="both"/>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w:t>
      </w:r>
    </w:p>
    <w:p w14:paraId="3351C824">
      <w:pPr>
        <w:autoSpaceDE w:val="0"/>
        <w:autoSpaceDN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业务专用章使用说明函</w:t>
      </w:r>
    </w:p>
    <w:p w14:paraId="77639775">
      <w:pPr>
        <w:spacing w:line="360" w:lineRule="auto"/>
        <w:rPr>
          <w:rFonts w:hint="eastAsia" w:ascii="宋体" w:hAnsi="宋体" w:eastAsia="宋体" w:cs="宋体"/>
          <w:color w:val="auto"/>
          <w:sz w:val="21"/>
          <w:szCs w:val="21"/>
          <w:highlight w:val="none"/>
          <w:u w:val="single"/>
        </w:rPr>
      </w:pPr>
    </w:p>
    <w:p w14:paraId="5379E21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u w:val="single"/>
        </w:rPr>
        <w:t>宁波市鄞州区下应街道社区卫生服务中心</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浙江联达工程项目管理有限公司</w:t>
      </w:r>
      <w:r>
        <w:rPr>
          <w:rFonts w:hint="eastAsia" w:ascii="宋体" w:hAnsi="宋体" w:eastAsia="宋体" w:cs="宋体"/>
          <w:sz w:val="21"/>
          <w:szCs w:val="21"/>
          <w:u w:val="single"/>
          <w:lang w:eastAsia="zh-CN"/>
        </w:rPr>
        <w:t>：</w:t>
      </w:r>
    </w:p>
    <w:p w14:paraId="1AF4D4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eastAsia="宋体" w:cs="宋体"/>
          <w:color w:val="auto"/>
          <w:kern w:val="0"/>
          <w:sz w:val="21"/>
          <w:szCs w:val="21"/>
          <w:highlight w:val="none"/>
          <w:lang w:val="zh-CN"/>
        </w:rPr>
        <w:t>下应街道社区卫生服务中心医康养护一体化建设项目</w:t>
      </w:r>
      <w:r>
        <w:rPr>
          <w:rFonts w:hint="eastAsia" w:ascii="宋体" w:hAnsi="宋体" w:eastAsia="宋体" w:cs="宋体"/>
          <w:color w:val="auto"/>
          <w:sz w:val="21"/>
          <w:szCs w:val="21"/>
          <w:highlight w:val="none"/>
        </w:rPr>
        <w:t>【项目编号：ZJLD-2025212】</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41653E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2588202F">
      <w:pPr>
        <w:spacing w:line="360" w:lineRule="auto"/>
        <w:ind w:firstLine="494"/>
        <w:rPr>
          <w:rFonts w:hint="eastAsia" w:ascii="宋体" w:hAnsi="宋体" w:eastAsia="宋体" w:cs="宋体"/>
          <w:color w:val="auto"/>
          <w:sz w:val="21"/>
          <w:szCs w:val="21"/>
          <w:highlight w:val="none"/>
        </w:rPr>
      </w:pPr>
    </w:p>
    <w:p w14:paraId="5E07659A">
      <w:pPr>
        <w:spacing w:line="360" w:lineRule="auto"/>
        <w:ind w:firstLine="494"/>
        <w:rPr>
          <w:rFonts w:hint="eastAsia" w:ascii="宋体" w:hAnsi="宋体" w:eastAsia="宋体" w:cs="宋体"/>
          <w:color w:val="auto"/>
          <w:sz w:val="21"/>
          <w:szCs w:val="21"/>
          <w:highlight w:val="none"/>
        </w:rPr>
      </w:pPr>
    </w:p>
    <w:p w14:paraId="2679223C">
      <w:pPr>
        <w:spacing w:line="360" w:lineRule="auto"/>
        <w:ind w:firstLine="494"/>
        <w:rPr>
          <w:rFonts w:hint="eastAsia" w:ascii="宋体" w:hAnsi="宋体" w:eastAsia="宋体" w:cs="宋体"/>
          <w:color w:val="auto"/>
          <w:sz w:val="21"/>
          <w:szCs w:val="21"/>
          <w:highlight w:val="none"/>
        </w:rPr>
      </w:pPr>
    </w:p>
    <w:p w14:paraId="7B4F31DE">
      <w:pPr>
        <w:spacing w:line="360" w:lineRule="auto"/>
        <w:ind w:firstLine="494"/>
        <w:rPr>
          <w:rFonts w:hint="eastAsia" w:ascii="宋体" w:hAnsi="宋体" w:eastAsia="宋体" w:cs="宋体"/>
          <w:color w:val="auto"/>
          <w:sz w:val="21"/>
          <w:szCs w:val="21"/>
          <w:highlight w:val="none"/>
        </w:rPr>
      </w:pPr>
    </w:p>
    <w:p w14:paraId="0FEF8FCA">
      <w:pPr>
        <w:spacing w:line="360" w:lineRule="auto"/>
        <w:ind w:right="480"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供应商（法定名称章）：</w:t>
      </w:r>
    </w:p>
    <w:p w14:paraId="67136E49">
      <w:pPr>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14:paraId="689E9D1B">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625F4939">
      <w:pPr>
        <w:spacing w:line="360" w:lineRule="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EFC742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EFC7429">
                      <w:pPr>
                        <w:jc w:val="center"/>
                      </w:pPr>
                    </w:p>
                  </w:txbxContent>
                </v:textbox>
              </v:rect>
            </w:pict>
          </mc:Fallback>
        </mc:AlternateContent>
      </w:r>
      <w:r>
        <w:rPr>
          <w:rFonts w:hint="eastAsia" w:ascii="宋体" w:hAnsi="宋体" w:eastAsia="宋体" w:cs="宋体"/>
          <w:b w:val="0"/>
          <w:bCs w:val="0"/>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68D7EF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68D7EFA">
                      <w:pPr>
                        <w:jc w:val="center"/>
                      </w:pPr>
                    </w:p>
                  </w:txbxContent>
                </v:textbox>
              </v:rect>
            </w:pict>
          </mc:Fallback>
        </mc:AlternateContent>
      </w:r>
      <w:r>
        <w:rPr>
          <w:rFonts w:hint="eastAsia" w:ascii="宋体" w:hAnsi="宋体" w:eastAsia="宋体" w:cs="宋体"/>
          <w:b w:val="0"/>
          <w:bCs w:val="0"/>
          <w:color w:val="auto"/>
          <w:sz w:val="21"/>
          <w:szCs w:val="21"/>
          <w:highlight w:val="none"/>
        </w:rPr>
        <w:t>供应商</w:t>
      </w:r>
      <w:r>
        <w:rPr>
          <w:rFonts w:hint="eastAsia" w:ascii="宋体" w:hAnsi="宋体" w:eastAsia="宋体" w:cs="宋体"/>
          <w:color w:val="auto"/>
          <w:sz w:val="21"/>
          <w:szCs w:val="21"/>
          <w:highlight w:val="none"/>
        </w:rPr>
        <w:t>法定名称章（印模）                供应商“XX专用章”（印模）</w:t>
      </w:r>
    </w:p>
    <w:p w14:paraId="567754C0">
      <w:pPr>
        <w:autoSpaceDE w:val="0"/>
        <w:autoSpaceDN w:val="0"/>
        <w:jc w:val="center"/>
        <w:rPr>
          <w:rFonts w:hint="eastAsia" w:ascii="宋体" w:hAnsi="宋体" w:eastAsia="宋体" w:cs="宋体"/>
          <w:b/>
          <w:color w:val="auto"/>
          <w:spacing w:val="6"/>
          <w:sz w:val="21"/>
          <w:szCs w:val="21"/>
          <w:highlight w:val="none"/>
        </w:rPr>
      </w:pPr>
    </w:p>
    <w:p w14:paraId="4EB84E3B">
      <w:pPr>
        <w:autoSpaceDE w:val="0"/>
        <w:autoSpaceDN w:val="0"/>
        <w:jc w:val="center"/>
        <w:rPr>
          <w:rFonts w:hint="eastAsia" w:ascii="宋体" w:hAnsi="宋体" w:eastAsia="宋体" w:cs="宋体"/>
          <w:b/>
          <w:color w:val="auto"/>
          <w:spacing w:val="6"/>
          <w:sz w:val="21"/>
          <w:szCs w:val="21"/>
          <w:highlight w:val="none"/>
        </w:rPr>
      </w:pPr>
    </w:p>
    <w:p w14:paraId="7354FC2D">
      <w:pPr>
        <w:autoSpaceDE w:val="0"/>
        <w:autoSpaceDN w:val="0"/>
        <w:jc w:val="center"/>
        <w:rPr>
          <w:rFonts w:hint="eastAsia" w:ascii="宋体" w:hAnsi="宋体" w:eastAsia="宋体" w:cs="宋体"/>
          <w:b/>
          <w:color w:val="auto"/>
          <w:spacing w:val="6"/>
          <w:sz w:val="21"/>
          <w:szCs w:val="21"/>
          <w:highlight w:val="none"/>
        </w:rPr>
      </w:pPr>
    </w:p>
    <w:p w14:paraId="71AE057E">
      <w:pPr>
        <w:autoSpaceDE w:val="0"/>
        <w:autoSpaceDN w:val="0"/>
        <w:jc w:val="center"/>
        <w:rPr>
          <w:rFonts w:hint="eastAsia" w:ascii="宋体" w:hAnsi="宋体" w:eastAsia="宋体" w:cs="宋体"/>
          <w:b/>
          <w:color w:val="auto"/>
          <w:spacing w:val="6"/>
          <w:sz w:val="21"/>
          <w:szCs w:val="21"/>
          <w:highlight w:val="none"/>
        </w:rPr>
      </w:pPr>
    </w:p>
    <w:p w14:paraId="18F88510">
      <w:pPr>
        <w:autoSpaceDE w:val="0"/>
        <w:autoSpaceDN w:val="0"/>
        <w:jc w:val="center"/>
        <w:rPr>
          <w:rFonts w:hint="eastAsia" w:ascii="宋体" w:hAnsi="宋体" w:eastAsia="宋体" w:cs="宋体"/>
          <w:b/>
          <w:color w:val="auto"/>
          <w:spacing w:val="6"/>
          <w:sz w:val="21"/>
          <w:szCs w:val="21"/>
          <w:highlight w:val="none"/>
        </w:rPr>
      </w:pPr>
    </w:p>
    <w:p w14:paraId="1258711C">
      <w:pPr>
        <w:autoSpaceDE w:val="0"/>
        <w:autoSpaceDN w:val="0"/>
        <w:jc w:val="center"/>
        <w:rPr>
          <w:rFonts w:hint="eastAsia" w:ascii="宋体" w:hAnsi="宋体" w:eastAsia="宋体" w:cs="宋体"/>
          <w:b/>
          <w:color w:val="auto"/>
          <w:spacing w:val="6"/>
          <w:sz w:val="21"/>
          <w:szCs w:val="21"/>
          <w:highlight w:val="none"/>
        </w:rPr>
      </w:pPr>
    </w:p>
    <w:p w14:paraId="5CD47D34">
      <w:pPr>
        <w:autoSpaceDE w:val="0"/>
        <w:autoSpaceDN w:val="0"/>
        <w:jc w:val="center"/>
        <w:rPr>
          <w:rFonts w:hint="eastAsia" w:ascii="宋体" w:hAnsi="宋体" w:eastAsia="宋体" w:cs="宋体"/>
          <w:b/>
          <w:color w:val="auto"/>
          <w:spacing w:val="6"/>
          <w:sz w:val="21"/>
          <w:szCs w:val="21"/>
          <w:highlight w:val="none"/>
        </w:rPr>
      </w:pPr>
    </w:p>
    <w:p w14:paraId="18DA418D">
      <w:pPr>
        <w:autoSpaceDE w:val="0"/>
        <w:autoSpaceDN w:val="0"/>
        <w:jc w:val="center"/>
        <w:rPr>
          <w:rFonts w:hint="eastAsia" w:ascii="宋体" w:hAnsi="宋体" w:eastAsia="宋体" w:cs="宋体"/>
          <w:b/>
          <w:color w:val="auto"/>
          <w:spacing w:val="6"/>
          <w:sz w:val="21"/>
          <w:szCs w:val="21"/>
          <w:highlight w:val="none"/>
        </w:rPr>
      </w:pPr>
    </w:p>
    <w:p w14:paraId="105013E1">
      <w:pPr>
        <w:autoSpaceDE w:val="0"/>
        <w:autoSpaceDN w:val="0"/>
        <w:jc w:val="center"/>
        <w:rPr>
          <w:rFonts w:hint="eastAsia" w:ascii="宋体" w:hAnsi="宋体" w:eastAsia="宋体" w:cs="宋体"/>
          <w:b/>
          <w:color w:val="auto"/>
          <w:spacing w:val="6"/>
          <w:sz w:val="21"/>
          <w:szCs w:val="21"/>
          <w:highlight w:val="none"/>
        </w:rPr>
      </w:pPr>
    </w:p>
    <w:p w14:paraId="61E0FDDA">
      <w:pPr>
        <w:autoSpaceDE w:val="0"/>
        <w:autoSpaceDN w:val="0"/>
        <w:jc w:val="center"/>
        <w:rPr>
          <w:rFonts w:hint="eastAsia" w:ascii="宋体" w:hAnsi="宋体" w:eastAsia="宋体" w:cs="宋体"/>
          <w:b/>
          <w:color w:val="auto"/>
          <w:spacing w:val="6"/>
          <w:sz w:val="21"/>
          <w:szCs w:val="21"/>
          <w:highlight w:val="none"/>
        </w:rPr>
      </w:pPr>
    </w:p>
    <w:p w14:paraId="1DF89CD6">
      <w:pPr>
        <w:autoSpaceDE w:val="0"/>
        <w:autoSpaceDN w:val="0"/>
        <w:jc w:val="center"/>
        <w:rPr>
          <w:rFonts w:hint="eastAsia" w:ascii="宋体" w:hAnsi="宋体" w:eastAsia="宋体" w:cs="宋体"/>
          <w:b/>
          <w:color w:val="auto"/>
          <w:spacing w:val="6"/>
          <w:sz w:val="21"/>
          <w:szCs w:val="21"/>
          <w:highlight w:val="none"/>
        </w:rPr>
      </w:pPr>
    </w:p>
    <w:p w14:paraId="1CBD9729">
      <w:pPr>
        <w:autoSpaceDE w:val="0"/>
        <w:autoSpaceDN w:val="0"/>
        <w:jc w:val="center"/>
        <w:rPr>
          <w:rFonts w:hint="eastAsia" w:ascii="宋体" w:hAnsi="宋体" w:eastAsia="宋体" w:cs="宋体"/>
          <w:b/>
          <w:color w:val="auto"/>
          <w:spacing w:val="6"/>
          <w:sz w:val="21"/>
          <w:szCs w:val="21"/>
          <w:highlight w:val="none"/>
        </w:rPr>
      </w:pPr>
    </w:p>
    <w:p w14:paraId="61AEE0F5">
      <w:pPr>
        <w:autoSpaceDE w:val="0"/>
        <w:autoSpaceDN w:val="0"/>
        <w:jc w:val="center"/>
        <w:rPr>
          <w:rFonts w:hint="eastAsia" w:ascii="宋体" w:hAnsi="宋体" w:eastAsia="宋体" w:cs="宋体"/>
          <w:b/>
          <w:color w:val="auto"/>
          <w:spacing w:val="6"/>
          <w:sz w:val="21"/>
          <w:szCs w:val="21"/>
          <w:highlight w:val="none"/>
        </w:rPr>
      </w:pPr>
    </w:p>
    <w:p w14:paraId="3252AF31">
      <w:pPr>
        <w:autoSpaceDE w:val="0"/>
        <w:autoSpaceDN w:val="0"/>
        <w:jc w:val="center"/>
        <w:rPr>
          <w:rFonts w:hint="eastAsia" w:ascii="宋体" w:hAnsi="宋体" w:eastAsia="宋体" w:cs="宋体"/>
          <w:b/>
          <w:color w:val="auto"/>
          <w:spacing w:val="6"/>
          <w:sz w:val="21"/>
          <w:szCs w:val="21"/>
          <w:highlight w:val="none"/>
        </w:rPr>
      </w:pPr>
    </w:p>
    <w:p w14:paraId="38DBFA64">
      <w:pP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14:paraId="562542A5">
      <w:pPr>
        <w:autoSpaceDE w:val="0"/>
        <w:autoSpaceDN w:val="0"/>
        <w:jc w:val="both"/>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w:t>
      </w:r>
    </w:p>
    <w:p w14:paraId="6D84C616">
      <w:pPr>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分包意向协议</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本项目不适用</w:t>
      </w:r>
      <w:r>
        <w:rPr>
          <w:rFonts w:hint="eastAsia" w:ascii="宋体" w:hAnsi="宋体" w:eastAsia="宋体" w:cs="宋体"/>
          <w:b/>
          <w:color w:val="auto"/>
          <w:kern w:val="0"/>
          <w:sz w:val="21"/>
          <w:szCs w:val="21"/>
          <w:highlight w:val="none"/>
          <w:lang w:val="zh-CN"/>
        </w:rPr>
        <w:t>）</w:t>
      </w:r>
    </w:p>
    <w:p w14:paraId="723B8008">
      <w:pPr>
        <w:widowControl/>
        <w:spacing w:line="360" w:lineRule="auto"/>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1"/>
          <w:szCs w:val="21"/>
          <w:highlight w:val="none"/>
        </w:rPr>
        <w:t>）</w:t>
      </w:r>
    </w:p>
    <w:p w14:paraId="071CED20">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（供应商名称）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lang w:val="en-US" w:eastAsia="zh-CN"/>
        </w:rPr>
        <w:t xml:space="preserve"> （项目名称）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的成交供应商，将依法采取分包方式履行合同。</w:t>
      </w:r>
      <w:r>
        <w:rPr>
          <w:rFonts w:hint="eastAsia" w:ascii="宋体" w:hAnsi="宋体" w:eastAsia="宋体" w:cs="宋体"/>
          <w:color w:val="auto"/>
          <w:kern w:val="0"/>
          <w:sz w:val="21"/>
          <w:szCs w:val="21"/>
          <w:highlight w:val="none"/>
          <w:u w:val="single"/>
        </w:rPr>
        <w:t>（供应商名称）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39E6C332">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555651D6">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（供应商名称）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4C8482A7">
      <w:pPr>
        <w:pStyle w:val="3"/>
        <w:ind w:left="664" w:leftChars="316" w:firstLine="200" w:firstLineChars="95"/>
        <w:rPr>
          <w:rFonts w:hint="eastAsia" w:ascii="宋体" w:hAnsi="宋体" w:eastAsia="宋体" w:cs="宋体"/>
          <w:color w:val="auto"/>
          <w:kern w:val="0"/>
          <w:sz w:val="21"/>
          <w:szCs w:val="21"/>
          <w:highlight w:val="none"/>
        </w:rPr>
      </w:pPr>
      <w:bookmarkStart w:id="1080" w:name="_Toc7437"/>
      <w:r>
        <w:rPr>
          <w:rFonts w:hint="eastAsia" w:ascii="宋体" w:hAnsi="宋体" w:eastAsia="宋体" w:cs="宋体"/>
          <w:color w:val="auto"/>
          <w:kern w:val="0"/>
          <w:sz w:val="21"/>
          <w:szCs w:val="21"/>
          <w:highlight w:val="none"/>
        </w:rPr>
        <w:t>……</w:t>
      </w:r>
      <w:bookmarkEnd w:id="1080"/>
    </w:p>
    <w:p w14:paraId="36C06818">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76B9C194">
      <w:pPr>
        <w:snapToGrid w:val="0"/>
        <w:spacing w:line="360" w:lineRule="auto"/>
        <w:ind w:firstLine="576"/>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（分包供应商X,……）提供的工程全部由小微企业承建，</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val="zh-CN"/>
        </w:rPr>
        <w:t>%的扣除。供应商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26F7BD0E">
      <w:pPr>
        <w:spacing w:line="360" w:lineRule="auto"/>
        <w:ind w:firstLine="420" w:firstLineChars="200"/>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1081"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1081"/>
    </w:p>
    <w:p w14:paraId="130E4756">
      <w:pPr>
        <w:snapToGrid w:val="0"/>
        <w:spacing w:line="24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62EB31AC">
      <w:pPr>
        <w:snapToGrid w:val="0"/>
        <w:spacing w:line="240" w:lineRule="auto"/>
        <w:ind w:firstLine="57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1BEDD8C3">
      <w:pPr>
        <w:snapToGrid w:val="0"/>
        <w:spacing w:line="24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2E0FA3F9">
      <w:pPr>
        <w:snapToGrid w:val="0"/>
        <w:spacing w:line="24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04FF6599">
      <w:pPr>
        <w:snapToGrid w:val="0"/>
        <w:spacing w:line="24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750FF820">
      <w:pPr>
        <w:snapToGrid w:val="0"/>
        <w:spacing w:line="240" w:lineRule="auto"/>
        <w:ind w:left="573" w:leftChars="273"/>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2D5FBAE2">
      <w:pPr>
        <w:snapToGrid w:val="0"/>
        <w:spacing w:line="240" w:lineRule="auto"/>
        <w:ind w:left="573" w:leftChars="273"/>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0C1B1A3B">
      <w:pPr>
        <w:snapToGrid w:val="0"/>
        <w:spacing w:line="24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7EE166D6">
      <w:pPr>
        <w:snapToGrid w:val="0"/>
        <w:spacing w:line="24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289FE872">
      <w:pPr>
        <w:snapToGrid w:val="0"/>
        <w:spacing w:line="24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489B1394">
      <w:pPr>
        <w:snapToGrid w:val="0"/>
        <w:spacing w:line="360" w:lineRule="auto"/>
        <w:ind w:left="5128" w:leftChars="342" w:hanging="4410" w:hanging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供应商名称(电子签名)：</w:t>
      </w:r>
    </w:p>
    <w:p w14:paraId="6116877B">
      <w:pPr>
        <w:snapToGrid w:val="0"/>
        <w:spacing w:line="360" w:lineRule="auto"/>
        <w:ind w:firstLine="4935" w:firstLineChars="23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w:t>
      </w:r>
    </w:p>
    <w:p w14:paraId="0B544581">
      <w:pPr>
        <w:snapToGrid w:val="0"/>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4006BC08">
      <w:pPr>
        <w:autoSpaceDE/>
        <w:autoSpaceDN/>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color w:val="auto"/>
          <w:kern w:val="0"/>
          <w:sz w:val="21"/>
          <w:szCs w:val="21"/>
          <w:highlight w:val="none"/>
          <w:lang w:val="zh-CN"/>
        </w:rPr>
        <w:t xml:space="preserve">                                        日期：  年  月   日</w:t>
      </w:r>
    </w:p>
    <w:p w14:paraId="57AD4851">
      <w:pPr>
        <w:autoSpaceDE w:val="0"/>
        <w:autoSpaceDN w:val="0"/>
        <w:jc w:val="center"/>
        <w:rPr>
          <w:rFonts w:hint="eastAsia" w:ascii="宋体" w:hAnsi="宋体" w:eastAsia="宋体" w:cs="宋体"/>
          <w:b/>
          <w:color w:val="auto"/>
          <w:spacing w:val="6"/>
          <w:sz w:val="21"/>
          <w:szCs w:val="21"/>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EB78520">
      <w:pPr>
        <w:autoSpaceDE w:val="0"/>
        <w:autoSpaceDN w:val="0"/>
        <w:jc w:val="both"/>
        <w:rPr>
          <w:rFonts w:hint="eastAsia"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rPr>
        <w:t>：</w:t>
      </w:r>
    </w:p>
    <w:p w14:paraId="3142C58F">
      <w:pPr>
        <w:spacing w:line="360" w:lineRule="auto"/>
        <w:jc w:val="center"/>
        <w:rPr>
          <w:rFonts w:hint="eastAsia" w:ascii="宋体" w:hAnsi="宋体" w:eastAsia="宋体" w:cs="宋体"/>
          <w:color w:val="auto"/>
          <w:sz w:val="21"/>
          <w:szCs w:val="21"/>
          <w:highlight w:val="none"/>
          <w:u w:val="single"/>
        </w:rPr>
      </w:pPr>
    </w:p>
    <w:p w14:paraId="76CB32D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中小企业声明函（工程）</w:t>
      </w:r>
    </w:p>
    <w:p w14:paraId="13C5376C">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sz w:val="21"/>
          <w:szCs w:val="21"/>
          <w:u w:val="single"/>
        </w:rPr>
        <w:t>宁波市鄞州区下应街道社区卫生服务中心</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下应街道社区卫生服务中心医康养护一体化建设项目</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A9168A1">
      <w:pPr>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下应街道社区卫生服务中心医康养护一体化建设项目</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lang w:val="en-US" w:eastAsia="zh-CN"/>
        </w:rPr>
        <w:t>建筑业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4C78AD0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DBBDD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3225C32F">
      <w:pPr>
        <w:snapToGrid w:val="0"/>
        <w:spacing w:line="360" w:lineRule="auto"/>
        <w:ind w:firstLine="4515" w:firstLineChars="2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供应商名称(电子签名)：</w:t>
      </w:r>
    </w:p>
    <w:p w14:paraId="245F8480">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2A12291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0CA7C4C0">
      <w:pPr>
        <w:spacing w:line="360" w:lineRule="auto"/>
        <w:ind w:right="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5EC9F90">
      <w:pPr>
        <w:spacing w:line="360" w:lineRule="auto"/>
        <w:ind w:right="42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14:paraId="7FE1BCBF">
      <w:pPr>
        <w:spacing w:line="360" w:lineRule="auto"/>
        <w:ind w:right="42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2C64FB1">
      <w:pPr>
        <w:spacing w:line="360" w:lineRule="auto"/>
        <w:ind w:right="420"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联合体投标的，联合体双方均需提供中小企业声明函。</w:t>
      </w:r>
    </w:p>
    <w:p w14:paraId="1A8AAC08">
      <w:pPr>
        <w:spacing w:line="360" w:lineRule="auto"/>
        <w:rPr>
          <w:rFonts w:hint="eastAsia" w:ascii="宋体" w:hAnsi="宋体" w:eastAsia="宋体" w:cs="宋体"/>
          <w:bCs/>
          <w:color w:val="auto"/>
          <w:sz w:val="21"/>
          <w:szCs w:val="21"/>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CAE6B32">
      <w:pP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rPr>
        <w:t>：工程造价咨询报告书（另附）</w:t>
      </w:r>
    </w:p>
    <w:p w14:paraId="16A3B491">
      <w:pPr>
        <w:spacing w:line="360" w:lineRule="auto"/>
        <w:rPr>
          <w:rFonts w:hint="eastAsia" w:ascii="宋体" w:hAnsi="宋体" w:eastAsia="宋体" w:cs="宋体"/>
          <w:b/>
          <w:color w:val="auto"/>
          <w:spacing w:val="6"/>
          <w:sz w:val="21"/>
          <w:szCs w:val="21"/>
          <w:highlight w:val="none"/>
        </w:rPr>
      </w:pPr>
    </w:p>
    <w:p w14:paraId="1BBDA283">
      <w:pPr>
        <w:spacing w:line="360"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：图纸（另附）</w:t>
      </w:r>
    </w:p>
    <w:p w14:paraId="4D1F5533">
      <w:pPr>
        <w:pStyle w:val="24"/>
        <w:rPr>
          <w:rFonts w:hint="eastAsia" w:ascii="宋体" w:hAnsi="宋体" w:eastAsia="宋体" w:cs="宋体"/>
          <w:color w:val="auto"/>
          <w:sz w:val="21"/>
          <w:szCs w:val="21"/>
          <w:highlight w:val="none"/>
        </w:rPr>
      </w:pPr>
    </w:p>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21AA">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77A5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B77A5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C94BE">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9CAAC">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AE9CAAC">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633057C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DC94">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0C8E4">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A0C8E4">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6901FC6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8E5B">
    <w:pPr>
      <w:pStyle w:val="39"/>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4FB78">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364FB78">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8905">
    <w:pPr>
      <w:pStyle w:val="39"/>
      <w:framePr w:wrap="around" w:vAnchor="text" w:hAnchor="margin" w:xAlign="right" w:y="1"/>
      <w:rPr>
        <w:rStyle w:val="72"/>
      </w:rPr>
    </w:pPr>
    <w:r>
      <w:fldChar w:fldCharType="begin"/>
    </w:r>
    <w:r>
      <w:rPr>
        <w:rStyle w:val="72"/>
      </w:rPr>
      <w:instrText xml:space="preserve">PAGE  </w:instrText>
    </w:r>
    <w:r>
      <w:fldChar w:fldCharType="end"/>
    </w:r>
  </w:p>
  <w:p w14:paraId="75806908">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EDE1">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6933D">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756933D">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E2105">
    <w:pPr>
      <w:pStyle w:val="39"/>
      <w:framePr w:wrap="around" w:vAnchor="text" w:hAnchor="margin" w:xAlign="right" w:y="1"/>
      <w:rPr>
        <w:rStyle w:val="72"/>
      </w:rPr>
    </w:pPr>
    <w:r>
      <w:fldChar w:fldCharType="begin"/>
    </w:r>
    <w:r>
      <w:rPr>
        <w:rStyle w:val="72"/>
      </w:rPr>
      <w:instrText xml:space="preserve">PAGE  </w:instrText>
    </w:r>
    <w:r>
      <w:fldChar w:fldCharType="end"/>
    </w:r>
  </w:p>
  <w:p w14:paraId="3B8A00E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E802">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FD4A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7FD4A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196B">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68227">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B68227">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24FC4A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0E87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7608E">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37608E">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4C116C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88E5">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07F9">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AC07F9">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46D1062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E8244">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974BB">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8974BB">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689B6DE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ED20">
    <w:pPr>
      <w:pStyle w:val="3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2AFDF">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B2AFDF">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69FB2671">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F8E8">
    <w:pPr>
      <w:pStyle w:val="3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5877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35877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60ED56BE">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ACFD">
    <w:pPr>
      <w:pStyle w:val="40"/>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C149">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E4E5">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06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A7CA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2997">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10C2">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624AE"/>
    <w:multiLevelType w:val="singleLevel"/>
    <w:tmpl w:val="DE7624AE"/>
    <w:lvl w:ilvl="0" w:tentative="0">
      <w:start w:val="10"/>
      <w:numFmt w:val="decimal"/>
      <w:suff w:val="nothing"/>
      <w:lvlText w:val="（%1）"/>
      <w:lvlJc w:val="left"/>
    </w:lvl>
  </w:abstractNum>
  <w:abstractNum w:abstractNumId="1">
    <w:nsid w:val="035EA2EA"/>
    <w:multiLevelType w:val="singleLevel"/>
    <w:tmpl w:val="035EA2E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fe90b4ce-5f06-4d66-acd7-120a6646d9b7"/>
  </w:docVars>
  <w:rsids>
    <w:rsidRoot w:val="00172A27"/>
    <w:rsid w:val="00000451"/>
    <w:rsid w:val="0000108B"/>
    <w:rsid w:val="0000133D"/>
    <w:rsid w:val="00001509"/>
    <w:rsid w:val="000032B2"/>
    <w:rsid w:val="0000363B"/>
    <w:rsid w:val="000050B2"/>
    <w:rsid w:val="00005402"/>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4F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05"/>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97D30"/>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A3A"/>
    <w:rsid w:val="011F6449"/>
    <w:rsid w:val="01236AFB"/>
    <w:rsid w:val="017B11E4"/>
    <w:rsid w:val="017D4F5C"/>
    <w:rsid w:val="019F7441"/>
    <w:rsid w:val="01A26771"/>
    <w:rsid w:val="01AE1035"/>
    <w:rsid w:val="01B362E2"/>
    <w:rsid w:val="01B37585"/>
    <w:rsid w:val="01C65DA5"/>
    <w:rsid w:val="01CC1A40"/>
    <w:rsid w:val="01D55165"/>
    <w:rsid w:val="01DF6BF8"/>
    <w:rsid w:val="01E0373D"/>
    <w:rsid w:val="01E07299"/>
    <w:rsid w:val="01EC2C57"/>
    <w:rsid w:val="022004C2"/>
    <w:rsid w:val="02306473"/>
    <w:rsid w:val="024535A0"/>
    <w:rsid w:val="025008C3"/>
    <w:rsid w:val="025F0711"/>
    <w:rsid w:val="026B2E25"/>
    <w:rsid w:val="02824D4D"/>
    <w:rsid w:val="02D40D80"/>
    <w:rsid w:val="02DA1F3A"/>
    <w:rsid w:val="02DC4B10"/>
    <w:rsid w:val="02DD76CE"/>
    <w:rsid w:val="02E132C9"/>
    <w:rsid w:val="02F36323"/>
    <w:rsid w:val="02F5619C"/>
    <w:rsid w:val="030975F5"/>
    <w:rsid w:val="03253AFD"/>
    <w:rsid w:val="0326446A"/>
    <w:rsid w:val="032D5555"/>
    <w:rsid w:val="034321D6"/>
    <w:rsid w:val="034A70C0"/>
    <w:rsid w:val="03600692"/>
    <w:rsid w:val="036634D2"/>
    <w:rsid w:val="03A74512"/>
    <w:rsid w:val="03AD58A1"/>
    <w:rsid w:val="03BE360A"/>
    <w:rsid w:val="03C230FA"/>
    <w:rsid w:val="03D1158F"/>
    <w:rsid w:val="03DD35E4"/>
    <w:rsid w:val="03F040A4"/>
    <w:rsid w:val="04076900"/>
    <w:rsid w:val="04096F7B"/>
    <w:rsid w:val="041A5A3B"/>
    <w:rsid w:val="041B550F"/>
    <w:rsid w:val="042311BA"/>
    <w:rsid w:val="042B157A"/>
    <w:rsid w:val="04497378"/>
    <w:rsid w:val="04695C6C"/>
    <w:rsid w:val="046B19E4"/>
    <w:rsid w:val="046C750A"/>
    <w:rsid w:val="04762137"/>
    <w:rsid w:val="048760F2"/>
    <w:rsid w:val="048F763B"/>
    <w:rsid w:val="0490144A"/>
    <w:rsid w:val="049F330E"/>
    <w:rsid w:val="04AA775C"/>
    <w:rsid w:val="04AF1889"/>
    <w:rsid w:val="04B50EB1"/>
    <w:rsid w:val="04C64E6C"/>
    <w:rsid w:val="04DD5D12"/>
    <w:rsid w:val="04F66F48"/>
    <w:rsid w:val="04FF212C"/>
    <w:rsid w:val="05251E14"/>
    <w:rsid w:val="05634469"/>
    <w:rsid w:val="056D3D17"/>
    <w:rsid w:val="056F2E0E"/>
    <w:rsid w:val="057B5C57"/>
    <w:rsid w:val="057D3358"/>
    <w:rsid w:val="0580326D"/>
    <w:rsid w:val="05A16594"/>
    <w:rsid w:val="05A7762D"/>
    <w:rsid w:val="05E03D0C"/>
    <w:rsid w:val="05E732EC"/>
    <w:rsid w:val="05EF03F3"/>
    <w:rsid w:val="060E5941"/>
    <w:rsid w:val="06110FAF"/>
    <w:rsid w:val="061E21DC"/>
    <w:rsid w:val="06316315"/>
    <w:rsid w:val="063B3638"/>
    <w:rsid w:val="06493CA7"/>
    <w:rsid w:val="065A6178"/>
    <w:rsid w:val="066F1CF3"/>
    <w:rsid w:val="0671705A"/>
    <w:rsid w:val="067B3A34"/>
    <w:rsid w:val="068154EF"/>
    <w:rsid w:val="06874187"/>
    <w:rsid w:val="06930BB8"/>
    <w:rsid w:val="06982838"/>
    <w:rsid w:val="069845E6"/>
    <w:rsid w:val="06B07B82"/>
    <w:rsid w:val="06C81297"/>
    <w:rsid w:val="06CB676A"/>
    <w:rsid w:val="06F41BE1"/>
    <w:rsid w:val="06FA0DFD"/>
    <w:rsid w:val="07245D42"/>
    <w:rsid w:val="07264C62"/>
    <w:rsid w:val="073F4A62"/>
    <w:rsid w:val="076646E5"/>
    <w:rsid w:val="077741FC"/>
    <w:rsid w:val="0779354C"/>
    <w:rsid w:val="07996868"/>
    <w:rsid w:val="07A46B95"/>
    <w:rsid w:val="07A70F85"/>
    <w:rsid w:val="07D57174"/>
    <w:rsid w:val="07E55609"/>
    <w:rsid w:val="07F65A68"/>
    <w:rsid w:val="08061376"/>
    <w:rsid w:val="080C0DE8"/>
    <w:rsid w:val="08452D77"/>
    <w:rsid w:val="086401F8"/>
    <w:rsid w:val="08661343"/>
    <w:rsid w:val="087150EF"/>
    <w:rsid w:val="08751CAA"/>
    <w:rsid w:val="087C17E8"/>
    <w:rsid w:val="087E4C40"/>
    <w:rsid w:val="08923AEE"/>
    <w:rsid w:val="08A871D0"/>
    <w:rsid w:val="08B35123"/>
    <w:rsid w:val="08D66AD6"/>
    <w:rsid w:val="08DA33A3"/>
    <w:rsid w:val="08E41D65"/>
    <w:rsid w:val="08E80F13"/>
    <w:rsid w:val="08EB30F3"/>
    <w:rsid w:val="09335624"/>
    <w:rsid w:val="0944690F"/>
    <w:rsid w:val="095011A8"/>
    <w:rsid w:val="09535675"/>
    <w:rsid w:val="095F057D"/>
    <w:rsid w:val="09642282"/>
    <w:rsid w:val="09646104"/>
    <w:rsid w:val="09733572"/>
    <w:rsid w:val="09772C16"/>
    <w:rsid w:val="098353B5"/>
    <w:rsid w:val="099077F7"/>
    <w:rsid w:val="09945539"/>
    <w:rsid w:val="09A92330"/>
    <w:rsid w:val="09B06B87"/>
    <w:rsid w:val="09BB0D18"/>
    <w:rsid w:val="09C13146"/>
    <w:rsid w:val="09E04166"/>
    <w:rsid w:val="0A1C0718"/>
    <w:rsid w:val="0A1F5F62"/>
    <w:rsid w:val="0A3E7710"/>
    <w:rsid w:val="0A4F320E"/>
    <w:rsid w:val="0A5847B8"/>
    <w:rsid w:val="0A5B7E63"/>
    <w:rsid w:val="0A703465"/>
    <w:rsid w:val="0A775FD5"/>
    <w:rsid w:val="0A80786B"/>
    <w:rsid w:val="0A9926DB"/>
    <w:rsid w:val="0A9C3C41"/>
    <w:rsid w:val="0AA374A5"/>
    <w:rsid w:val="0AAB7649"/>
    <w:rsid w:val="0ABC5606"/>
    <w:rsid w:val="0AC21C32"/>
    <w:rsid w:val="0AC51722"/>
    <w:rsid w:val="0AD83203"/>
    <w:rsid w:val="0AE93662"/>
    <w:rsid w:val="0AF838A6"/>
    <w:rsid w:val="0B30404E"/>
    <w:rsid w:val="0B381EF4"/>
    <w:rsid w:val="0B3D750A"/>
    <w:rsid w:val="0B4C6C14"/>
    <w:rsid w:val="0B547599"/>
    <w:rsid w:val="0B631A88"/>
    <w:rsid w:val="0B683D45"/>
    <w:rsid w:val="0B73117E"/>
    <w:rsid w:val="0B7F3F11"/>
    <w:rsid w:val="0B884417"/>
    <w:rsid w:val="0B8E7D66"/>
    <w:rsid w:val="0BAE0408"/>
    <w:rsid w:val="0BD51E39"/>
    <w:rsid w:val="0BD55995"/>
    <w:rsid w:val="0BF6188C"/>
    <w:rsid w:val="0BF73C91"/>
    <w:rsid w:val="0C170175"/>
    <w:rsid w:val="0C394176"/>
    <w:rsid w:val="0C571A41"/>
    <w:rsid w:val="0C5C1171"/>
    <w:rsid w:val="0C5E1CBC"/>
    <w:rsid w:val="0C615B50"/>
    <w:rsid w:val="0C743400"/>
    <w:rsid w:val="0C8445DA"/>
    <w:rsid w:val="0C85560D"/>
    <w:rsid w:val="0C87121B"/>
    <w:rsid w:val="0C871385"/>
    <w:rsid w:val="0C9615C8"/>
    <w:rsid w:val="0CAD246E"/>
    <w:rsid w:val="0CB437FC"/>
    <w:rsid w:val="0CB47CA0"/>
    <w:rsid w:val="0CC007F7"/>
    <w:rsid w:val="0CC617AC"/>
    <w:rsid w:val="0CD54BF0"/>
    <w:rsid w:val="0CE618DF"/>
    <w:rsid w:val="0CEA36C2"/>
    <w:rsid w:val="0CFB767D"/>
    <w:rsid w:val="0CFE707A"/>
    <w:rsid w:val="0D063BDA"/>
    <w:rsid w:val="0D08375F"/>
    <w:rsid w:val="0D156991"/>
    <w:rsid w:val="0D184CFB"/>
    <w:rsid w:val="0D246BD4"/>
    <w:rsid w:val="0D4A7419"/>
    <w:rsid w:val="0D827401"/>
    <w:rsid w:val="0D84094E"/>
    <w:rsid w:val="0D8A00E9"/>
    <w:rsid w:val="0D8D589E"/>
    <w:rsid w:val="0DA01C73"/>
    <w:rsid w:val="0DAE649D"/>
    <w:rsid w:val="0DD63300"/>
    <w:rsid w:val="0DDA1988"/>
    <w:rsid w:val="0DF50604"/>
    <w:rsid w:val="0DF702FE"/>
    <w:rsid w:val="0E060E51"/>
    <w:rsid w:val="0E1327A4"/>
    <w:rsid w:val="0E35096D"/>
    <w:rsid w:val="0E39220B"/>
    <w:rsid w:val="0E4A08BC"/>
    <w:rsid w:val="0E5604B2"/>
    <w:rsid w:val="0E5E7EC3"/>
    <w:rsid w:val="0E651252"/>
    <w:rsid w:val="0E6D5D79"/>
    <w:rsid w:val="0E7B7AC6"/>
    <w:rsid w:val="0E9D0089"/>
    <w:rsid w:val="0EB803EE"/>
    <w:rsid w:val="0EE7435D"/>
    <w:rsid w:val="0EF94D4B"/>
    <w:rsid w:val="0F220EF1"/>
    <w:rsid w:val="0F2C7FC2"/>
    <w:rsid w:val="0F4075C9"/>
    <w:rsid w:val="0F4958DC"/>
    <w:rsid w:val="0F4B48EC"/>
    <w:rsid w:val="0F515DF7"/>
    <w:rsid w:val="0F596BA8"/>
    <w:rsid w:val="0F6248D2"/>
    <w:rsid w:val="0F693536"/>
    <w:rsid w:val="0F7B0511"/>
    <w:rsid w:val="0F7B76D9"/>
    <w:rsid w:val="0F816ACD"/>
    <w:rsid w:val="0F9832DB"/>
    <w:rsid w:val="0FBF3FD2"/>
    <w:rsid w:val="0FBF7FF3"/>
    <w:rsid w:val="0FD541B5"/>
    <w:rsid w:val="0FDC19E8"/>
    <w:rsid w:val="0FE4264A"/>
    <w:rsid w:val="0FF46D31"/>
    <w:rsid w:val="1055146A"/>
    <w:rsid w:val="10646583"/>
    <w:rsid w:val="107D4B15"/>
    <w:rsid w:val="107F4121"/>
    <w:rsid w:val="108A3C80"/>
    <w:rsid w:val="1090632E"/>
    <w:rsid w:val="10A06571"/>
    <w:rsid w:val="10C26171"/>
    <w:rsid w:val="10F33360"/>
    <w:rsid w:val="10FC16EA"/>
    <w:rsid w:val="110F1D40"/>
    <w:rsid w:val="11266F33"/>
    <w:rsid w:val="114F61E9"/>
    <w:rsid w:val="116752E1"/>
    <w:rsid w:val="118963A1"/>
    <w:rsid w:val="11A42091"/>
    <w:rsid w:val="11A77DD3"/>
    <w:rsid w:val="11BD13A5"/>
    <w:rsid w:val="11C6522A"/>
    <w:rsid w:val="11E104CC"/>
    <w:rsid w:val="11E20309"/>
    <w:rsid w:val="11EC3A38"/>
    <w:rsid w:val="11EE155E"/>
    <w:rsid w:val="12130FC5"/>
    <w:rsid w:val="12255233"/>
    <w:rsid w:val="12530213"/>
    <w:rsid w:val="125C6E10"/>
    <w:rsid w:val="12641821"/>
    <w:rsid w:val="127723A9"/>
    <w:rsid w:val="12802AFE"/>
    <w:rsid w:val="12862074"/>
    <w:rsid w:val="12883966"/>
    <w:rsid w:val="12957C2C"/>
    <w:rsid w:val="129E45B4"/>
    <w:rsid w:val="12D81596"/>
    <w:rsid w:val="12EC0194"/>
    <w:rsid w:val="12EE2AE2"/>
    <w:rsid w:val="12F157AA"/>
    <w:rsid w:val="13072A44"/>
    <w:rsid w:val="13082AF4"/>
    <w:rsid w:val="13124AEC"/>
    <w:rsid w:val="13386F35"/>
    <w:rsid w:val="135F4BE2"/>
    <w:rsid w:val="13637D2A"/>
    <w:rsid w:val="13702B73"/>
    <w:rsid w:val="1376180B"/>
    <w:rsid w:val="137B32C6"/>
    <w:rsid w:val="139B1A0A"/>
    <w:rsid w:val="139D25C7"/>
    <w:rsid w:val="13A75E69"/>
    <w:rsid w:val="13BF3CE4"/>
    <w:rsid w:val="13CF2234"/>
    <w:rsid w:val="13D50C28"/>
    <w:rsid w:val="13DC0614"/>
    <w:rsid w:val="13E42C19"/>
    <w:rsid w:val="13E93BC1"/>
    <w:rsid w:val="140212F1"/>
    <w:rsid w:val="141008D8"/>
    <w:rsid w:val="14125FE6"/>
    <w:rsid w:val="142373C3"/>
    <w:rsid w:val="145C30F7"/>
    <w:rsid w:val="146D271E"/>
    <w:rsid w:val="14982588"/>
    <w:rsid w:val="149A5AD9"/>
    <w:rsid w:val="14A01236"/>
    <w:rsid w:val="14A7619D"/>
    <w:rsid w:val="14EF5D19"/>
    <w:rsid w:val="150536C3"/>
    <w:rsid w:val="15064E11"/>
    <w:rsid w:val="150C1963"/>
    <w:rsid w:val="151447A0"/>
    <w:rsid w:val="152B4878"/>
    <w:rsid w:val="154A6454"/>
    <w:rsid w:val="15762120"/>
    <w:rsid w:val="15D54F0F"/>
    <w:rsid w:val="15DB004C"/>
    <w:rsid w:val="16027CCE"/>
    <w:rsid w:val="160752E5"/>
    <w:rsid w:val="16351E52"/>
    <w:rsid w:val="16730284"/>
    <w:rsid w:val="16734ADD"/>
    <w:rsid w:val="1686445B"/>
    <w:rsid w:val="16873D30"/>
    <w:rsid w:val="16A8729C"/>
    <w:rsid w:val="16B33777"/>
    <w:rsid w:val="16BC70A7"/>
    <w:rsid w:val="16C6339E"/>
    <w:rsid w:val="16C94348"/>
    <w:rsid w:val="16D72F09"/>
    <w:rsid w:val="16ED0036"/>
    <w:rsid w:val="16FE3FF2"/>
    <w:rsid w:val="172F2D79"/>
    <w:rsid w:val="17546308"/>
    <w:rsid w:val="17555BDC"/>
    <w:rsid w:val="17557BEF"/>
    <w:rsid w:val="175E0F34"/>
    <w:rsid w:val="17793FC0"/>
    <w:rsid w:val="17B812E8"/>
    <w:rsid w:val="17B86896"/>
    <w:rsid w:val="17CC0594"/>
    <w:rsid w:val="17D349C1"/>
    <w:rsid w:val="17E05DED"/>
    <w:rsid w:val="17E7717C"/>
    <w:rsid w:val="180513B0"/>
    <w:rsid w:val="1830729E"/>
    <w:rsid w:val="18475E6C"/>
    <w:rsid w:val="185A650C"/>
    <w:rsid w:val="1870062C"/>
    <w:rsid w:val="187529D9"/>
    <w:rsid w:val="187C3D68"/>
    <w:rsid w:val="18817102"/>
    <w:rsid w:val="18830A15"/>
    <w:rsid w:val="18852B28"/>
    <w:rsid w:val="188B5321"/>
    <w:rsid w:val="18A4506D"/>
    <w:rsid w:val="18AC64E2"/>
    <w:rsid w:val="18BD1C8B"/>
    <w:rsid w:val="18D3325C"/>
    <w:rsid w:val="18FA6A3B"/>
    <w:rsid w:val="190873AA"/>
    <w:rsid w:val="19197809"/>
    <w:rsid w:val="191E4E1F"/>
    <w:rsid w:val="197C38F4"/>
    <w:rsid w:val="19932372"/>
    <w:rsid w:val="19A20DD5"/>
    <w:rsid w:val="19AE03F1"/>
    <w:rsid w:val="19DD25E4"/>
    <w:rsid w:val="19EB4207"/>
    <w:rsid w:val="1A023DF9"/>
    <w:rsid w:val="1A07140F"/>
    <w:rsid w:val="1A071A03"/>
    <w:rsid w:val="1A073B05"/>
    <w:rsid w:val="1A143B2C"/>
    <w:rsid w:val="1A1F16AE"/>
    <w:rsid w:val="1A3348FA"/>
    <w:rsid w:val="1A3B5C77"/>
    <w:rsid w:val="1A512FD2"/>
    <w:rsid w:val="1A7B1DFD"/>
    <w:rsid w:val="1A984BAD"/>
    <w:rsid w:val="1AB8220E"/>
    <w:rsid w:val="1ABF1CEA"/>
    <w:rsid w:val="1AC63078"/>
    <w:rsid w:val="1AD27C6F"/>
    <w:rsid w:val="1AE4166C"/>
    <w:rsid w:val="1AF06CFB"/>
    <w:rsid w:val="1AF11B8D"/>
    <w:rsid w:val="1AF35E37"/>
    <w:rsid w:val="1B11359C"/>
    <w:rsid w:val="1B140288"/>
    <w:rsid w:val="1B2A271F"/>
    <w:rsid w:val="1B530544"/>
    <w:rsid w:val="1B530684"/>
    <w:rsid w:val="1B713184"/>
    <w:rsid w:val="1B7725C5"/>
    <w:rsid w:val="1B925650"/>
    <w:rsid w:val="1BA209CF"/>
    <w:rsid w:val="1BB4777D"/>
    <w:rsid w:val="1BC97AE5"/>
    <w:rsid w:val="1BD75AB8"/>
    <w:rsid w:val="1C0459C2"/>
    <w:rsid w:val="1C055E22"/>
    <w:rsid w:val="1C197B20"/>
    <w:rsid w:val="1C1B3B4A"/>
    <w:rsid w:val="1C24274C"/>
    <w:rsid w:val="1C766D20"/>
    <w:rsid w:val="1C7725CD"/>
    <w:rsid w:val="1C7A236C"/>
    <w:rsid w:val="1C7F7983"/>
    <w:rsid w:val="1C88086E"/>
    <w:rsid w:val="1C9A47BD"/>
    <w:rsid w:val="1CBD04AB"/>
    <w:rsid w:val="1CF3211F"/>
    <w:rsid w:val="1D266CE1"/>
    <w:rsid w:val="1D2B3667"/>
    <w:rsid w:val="1D3963AF"/>
    <w:rsid w:val="1D3D0FE5"/>
    <w:rsid w:val="1D5232E9"/>
    <w:rsid w:val="1D594678"/>
    <w:rsid w:val="1D69418F"/>
    <w:rsid w:val="1D6A673C"/>
    <w:rsid w:val="1D9247AE"/>
    <w:rsid w:val="1DB567EC"/>
    <w:rsid w:val="1DF51A98"/>
    <w:rsid w:val="1E004003"/>
    <w:rsid w:val="1E075B2B"/>
    <w:rsid w:val="1E3D060F"/>
    <w:rsid w:val="1E3E561C"/>
    <w:rsid w:val="1E3F7D2E"/>
    <w:rsid w:val="1E4134E4"/>
    <w:rsid w:val="1E5062B3"/>
    <w:rsid w:val="1E523514"/>
    <w:rsid w:val="1E5310C7"/>
    <w:rsid w:val="1E6D7CAF"/>
    <w:rsid w:val="1E714A66"/>
    <w:rsid w:val="1E764DB5"/>
    <w:rsid w:val="1E802593"/>
    <w:rsid w:val="1E8B6156"/>
    <w:rsid w:val="1E90231B"/>
    <w:rsid w:val="1EA703CC"/>
    <w:rsid w:val="1EA90CE7"/>
    <w:rsid w:val="1EB7330C"/>
    <w:rsid w:val="1EBD4792"/>
    <w:rsid w:val="1F022AED"/>
    <w:rsid w:val="1F0A0FF3"/>
    <w:rsid w:val="1F274302"/>
    <w:rsid w:val="1F332CA6"/>
    <w:rsid w:val="1F3507CD"/>
    <w:rsid w:val="1F3C1B5B"/>
    <w:rsid w:val="1F4924CA"/>
    <w:rsid w:val="1F5771FF"/>
    <w:rsid w:val="1F703EFB"/>
    <w:rsid w:val="1F7C63FB"/>
    <w:rsid w:val="1F83778A"/>
    <w:rsid w:val="1F8452B0"/>
    <w:rsid w:val="1F904124"/>
    <w:rsid w:val="1FC97167"/>
    <w:rsid w:val="1FCB2EDF"/>
    <w:rsid w:val="1FE868A9"/>
    <w:rsid w:val="1FF16DE9"/>
    <w:rsid w:val="20034907"/>
    <w:rsid w:val="20142AD8"/>
    <w:rsid w:val="20173E4B"/>
    <w:rsid w:val="202076CF"/>
    <w:rsid w:val="204E48BC"/>
    <w:rsid w:val="208921B3"/>
    <w:rsid w:val="20973DEB"/>
    <w:rsid w:val="20B26522"/>
    <w:rsid w:val="20B44310"/>
    <w:rsid w:val="20E93F65"/>
    <w:rsid w:val="211116EB"/>
    <w:rsid w:val="21156B08"/>
    <w:rsid w:val="212925B3"/>
    <w:rsid w:val="216133FC"/>
    <w:rsid w:val="216B2BCB"/>
    <w:rsid w:val="21880A2D"/>
    <w:rsid w:val="21A67760"/>
    <w:rsid w:val="21A734D8"/>
    <w:rsid w:val="21B634AE"/>
    <w:rsid w:val="21D56769"/>
    <w:rsid w:val="21DF2C72"/>
    <w:rsid w:val="21E52EF3"/>
    <w:rsid w:val="21EF4908"/>
    <w:rsid w:val="21FB5D7B"/>
    <w:rsid w:val="22015E94"/>
    <w:rsid w:val="220B1C3D"/>
    <w:rsid w:val="221768AF"/>
    <w:rsid w:val="221A644D"/>
    <w:rsid w:val="221D1D20"/>
    <w:rsid w:val="22235254"/>
    <w:rsid w:val="22334A87"/>
    <w:rsid w:val="22947F00"/>
    <w:rsid w:val="229E48DB"/>
    <w:rsid w:val="22BE6801"/>
    <w:rsid w:val="22C81958"/>
    <w:rsid w:val="22D36C7A"/>
    <w:rsid w:val="233500BF"/>
    <w:rsid w:val="23377FF7"/>
    <w:rsid w:val="233C22E0"/>
    <w:rsid w:val="233D0598"/>
    <w:rsid w:val="23474F72"/>
    <w:rsid w:val="23476D20"/>
    <w:rsid w:val="23571659"/>
    <w:rsid w:val="235A601B"/>
    <w:rsid w:val="236B425F"/>
    <w:rsid w:val="237D0994"/>
    <w:rsid w:val="23836192"/>
    <w:rsid w:val="238F4FB2"/>
    <w:rsid w:val="23901F29"/>
    <w:rsid w:val="239857CE"/>
    <w:rsid w:val="239C0061"/>
    <w:rsid w:val="23AE4FF1"/>
    <w:rsid w:val="23B908A4"/>
    <w:rsid w:val="23C71C0F"/>
    <w:rsid w:val="23DE58D7"/>
    <w:rsid w:val="23E95BEF"/>
    <w:rsid w:val="23FC3FAF"/>
    <w:rsid w:val="23FD0064"/>
    <w:rsid w:val="241412F8"/>
    <w:rsid w:val="2423778D"/>
    <w:rsid w:val="243304D3"/>
    <w:rsid w:val="24345472"/>
    <w:rsid w:val="245375B0"/>
    <w:rsid w:val="24642C0A"/>
    <w:rsid w:val="247660B5"/>
    <w:rsid w:val="24B22173"/>
    <w:rsid w:val="24B91EA0"/>
    <w:rsid w:val="24B95AD9"/>
    <w:rsid w:val="24BE24DA"/>
    <w:rsid w:val="24CF5825"/>
    <w:rsid w:val="24D663E6"/>
    <w:rsid w:val="24D77F2B"/>
    <w:rsid w:val="250822DD"/>
    <w:rsid w:val="251315B0"/>
    <w:rsid w:val="251D242F"/>
    <w:rsid w:val="258B00E2"/>
    <w:rsid w:val="259D70CC"/>
    <w:rsid w:val="25A917A6"/>
    <w:rsid w:val="25A95A70"/>
    <w:rsid w:val="25AE12D9"/>
    <w:rsid w:val="25BE27CC"/>
    <w:rsid w:val="25F74A5C"/>
    <w:rsid w:val="260306DB"/>
    <w:rsid w:val="26235823"/>
    <w:rsid w:val="2628662C"/>
    <w:rsid w:val="262D45DE"/>
    <w:rsid w:val="264E03C6"/>
    <w:rsid w:val="26753BA5"/>
    <w:rsid w:val="26871DC8"/>
    <w:rsid w:val="26A00DE8"/>
    <w:rsid w:val="26A53EF9"/>
    <w:rsid w:val="26A94201"/>
    <w:rsid w:val="26AC274F"/>
    <w:rsid w:val="26D46B1D"/>
    <w:rsid w:val="26E33204"/>
    <w:rsid w:val="27044A29"/>
    <w:rsid w:val="2709648F"/>
    <w:rsid w:val="27135897"/>
    <w:rsid w:val="271D34C8"/>
    <w:rsid w:val="273E5511"/>
    <w:rsid w:val="274A6DDF"/>
    <w:rsid w:val="27541A0C"/>
    <w:rsid w:val="276142BF"/>
    <w:rsid w:val="27783712"/>
    <w:rsid w:val="27840543"/>
    <w:rsid w:val="27907362"/>
    <w:rsid w:val="27AB1F74"/>
    <w:rsid w:val="27C272BD"/>
    <w:rsid w:val="27D52B4D"/>
    <w:rsid w:val="282A4CBF"/>
    <w:rsid w:val="28305FD5"/>
    <w:rsid w:val="28333E1D"/>
    <w:rsid w:val="28454BD6"/>
    <w:rsid w:val="28455253"/>
    <w:rsid w:val="2849353B"/>
    <w:rsid w:val="28551971"/>
    <w:rsid w:val="285B1C53"/>
    <w:rsid w:val="289A768D"/>
    <w:rsid w:val="289F7086"/>
    <w:rsid w:val="28B704A4"/>
    <w:rsid w:val="28C32028"/>
    <w:rsid w:val="28CC490F"/>
    <w:rsid w:val="28D449BE"/>
    <w:rsid w:val="28DE40AA"/>
    <w:rsid w:val="290556B4"/>
    <w:rsid w:val="29345E77"/>
    <w:rsid w:val="294C65AD"/>
    <w:rsid w:val="29806583"/>
    <w:rsid w:val="298B3C4C"/>
    <w:rsid w:val="299802D6"/>
    <w:rsid w:val="29BB3FC4"/>
    <w:rsid w:val="29CB0A4B"/>
    <w:rsid w:val="29F26D24"/>
    <w:rsid w:val="2A15033F"/>
    <w:rsid w:val="2A1662C1"/>
    <w:rsid w:val="2A1C2CB5"/>
    <w:rsid w:val="2A1C7367"/>
    <w:rsid w:val="2A2815FA"/>
    <w:rsid w:val="2A4915D0"/>
    <w:rsid w:val="2A6D6092"/>
    <w:rsid w:val="2A7D76B4"/>
    <w:rsid w:val="2AC11AAE"/>
    <w:rsid w:val="2B0100FD"/>
    <w:rsid w:val="2B437463"/>
    <w:rsid w:val="2B4E4A8E"/>
    <w:rsid w:val="2B683CD8"/>
    <w:rsid w:val="2B7807EE"/>
    <w:rsid w:val="2B8330C6"/>
    <w:rsid w:val="2B8723B0"/>
    <w:rsid w:val="2BA2543C"/>
    <w:rsid w:val="2BA50BF7"/>
    <w:rsid w:val="2BBF00EC"/>
    <w:rsid w:val="2BC37CFD"/>
    <w:rsid w:val="2BD5237F"/>
    <w:rsid w:val="2BDD46C6"/>
    <w:rsid w:val="2BE536CE"/>
    <w:rsid w:val="2BE758D9"/>
    <w:rsid w:val="2C047EA4"/>
    <w:rsid w:val="2C09049E"/>
    <w:rsid w:val="2C0A653C"/>
    <w:rsid w:val="2C191F85"/>
    <w:rsid w:val="2C2E0A7D"/>
    <w:rsid w:val="2C4D7279"/>
    <w:rsid w:val="2CC43190"/>
    <w:rsid w:val="2CDC2BCF"/>
    <w:rsid w:val="2CE82D6F"/>
    <w:rsid w:val="2CFA3AB9"/>
    <w:rsid w:val="2CFC7029"/>
    <w:rsid w:val="2D045C82"/>
    <w:rsid w:val="2D073F88"/>
    <w:rsid w:val="2D3227EF"/>
    <w:rsid w:val="2D343236"/>
    <w:rsid w:val="2D630BFB"/>
    <w:rsid w:val="2D7627A5"/>
    <w:rsid w:val="2D7E5A35"/>
    <w:rsid w:val="2D870D8D"/>
    <w:rsid w:val="2DD15014"/>
    <w:rsid w:val="2DD35D80"/>
    <w:rsid w:val="2DD41AF8"/>
    <w:rsid w:val="2DE25FC3"/>
    <w:rsid w:val="2DF72DE4"/>
    <w:rsid w:val="2E0220AF"/>
    <w:rsid w:val="2E24482E"/>
    <w:rsid w:val="2E3031D3"/>
    <w:rsid w:val="2E447356"/>
    <w:rsid w:val="2E4B082A"/>
    <w:rsid w:val="2E594847"/>
    <w:rsid w:val="2E5D4E86"/>
    <w:rsid w:val="2E5D790B"/>
    <w:rsid w:val="2E6115DE"/>
    <w:rsid w:val="2E652751"/>
    <w:rsid w:val="2E693FEF"/>
    <w:rsid w:val="2E725599"/>
    <w:rsid w:val="2E8157DC"/>
    <w:rsid w:val="2E9A3C18"/>
    <w:rsid w:val="2EA4771D"/>
    <w:rsid w:val="2EB55486"/>
    <w:rsid w:val="2EBB0FEE"/>
    <w:rsid w:val="2EC63002"/>
    <w:rsid w:val="2ED30F85"/>
    <w:rsid w:val="2F0A6B38"/>
    <w:rsid w:val="2F6649D2"/>
    <w:rsid w:val="2F7075FF"/>
    <w:rsid w:val="2F946CCB"/>
    <w:rsid w:val="2FD14541"/>
    <w:rsid w:val="2FD14C2F"/>
    <w:rsid w:val="2FD25781"/>
    <w:rsid w:val="2FDC745C"/>
    <w:rsid w:val="2FFD7934"/>
    <w:rsid w:val="30204B81"/>
    <w:rsid w:val="30403475"/>
    <w:rsid w:val="30586A11"/>
    <w:rsid w:val="305F1B4D"/>
    <w:rsid w:val="30613D03"/>
    <w:rsid w:val="3062163D"/>
    <w:rsid w:val="30733ACD"/>
    <w:rsid w:val="30817D16"/>
    <w:rsid w:val="3082583C"/>
    <w:rsid w:val="308C3862"/>
    <w:rsid w:val="309379D8"/>
    <w:rsid w:val="30A270F7"/>
    <w:rsid w:val="30CC4D09"/>
    <w:rsid w:val="30CC6AB7"/>
    <w:rsid w:val="30DF1478"/>
    <w:rsid w:val="30EC586F"/>
    <w:rsid w:val="310B5831"/>
    <w:rsid w:val="318A2BFA"/>
    <w:rsid w:val="319C6071"/>
    <w:rsid w:val="31A11ECE"/>
    <w:rsid w:val="31AC537E"/>
    <w:rsid w:val="31B23EFF"/>
    <w:rsid w:val="31B47C77"/>
    <w:rsid w:val="31B768DD"/>
    <w:rsid w:val="31CD6F8B"/>
    <w:rsid w:val="31E3679B"/>
    <w:rsid w:val="31E57E30"/>
    <w:rsid w:val="31E732FD"/>
    <w:rsid w:val="31EA18EB"/>
    <w:rsid w:val="323112C7"/>
    <w:rsid w:val="32317519"/>
    <w:rsid w:val="32517576"/>
    <w:rsid w:val="3281224F"/>
    <w:rsid w:val="328E3BC4"/>
    <w:rsid w:val="32A30D11"/>
    <w:rsid w:val="32BE5C2C"/>
    <w:rsid w:val="32BF0681"/>
    <w:rsid w:val="32D63C1D"/>
    <w:rsid w:val="32E7407C"/>
    <w:rsid w:val="32EC51EE"/>
    <w:rsid w:val="32F3657D"/>
    <w:rsid w:val="32FB6478"/>
    <w:rsid w:val="332410BB"/>
    <w:rsid w:val="33260700"/>
    <w:rsid w:val="33263B3F"/>
    <w:rsid w:val="332E1CAB"/>
    <w:rsid w:val="3350577D"/>
    <w:rsid w:val="336963EB"/>
    <w:rsid w:val="33816EEB"/>
    <w:rsid w:val="33EB55CD"/>
    <w:rsid w:val="33EC4C02"/>
    <w:rsid w:val="340622E0"/>
    <w:rsid w:val="340D2360"/>
    <w:rsid w:val="3410665D"/>
    <w:rsid w:val="34192013"/>
    <w:rsid w:val="34211214"/>
    <w:rsid w:val="342E63AB"/>
    <w:rsid w:val="343706EB"/>
    <w:rsid w:val="34384B8F"/>
    <w:rsid w:val="348C4EDB"/>
    <w:rsid w:val="349124F1"/>
    <w:rsid w:val="34950E68"/>
    <w:rsid w:val="34986E94"/>
    <w:rsid w:val="34A2025B"/>
    <w:rsid w:val="34A51AF9"/>
    <w:rsid w:val="34AF62C9"/>
    <w:rsid w:val="34B166F0"/>
    <w:rsid w:val="34CB4388"/>
    <w:rsid w:val="34FA6E12"/>
    <w:rsid w:val="34FF745B"/>
    <w:rsid w:val="3529097C"/>
    <w:rsid w:val="354D7158"/>
    <w:rsid w:val="35527ED3"/>
    <w:rsid w:val="35777939"/>
    <w:rsid w:val="358D5588"/>
    <w:rsid w:val="358E704D"/>
    <w:rsid w:val="359978AF"/>
    <w:rsid w:val="35B71AE4"/>
    <w:rsid w:val="36070CBD"/>
    <w:rsid w:val="36203B2D"/>
    <w:rsid w:val="363A3B40"/>
    <w:rsid w:val="364517E5"/>
    <w:rsid w:val="364C66D0"/>
    <w:rsid w:val="36525CB0"/>
    <w:rsid w:val="365302AE"/>
    <w:rsid w:val="36607A0A"/>
    <w:rsid w:val="366652B8"/>
    <w:rsid w:val="366E227C"/>
    <w:rsid w:val="366F2E0D"/>
    <w:rsid w:val="36785717"/>
    <w:rsid w:val="367B6A5C"/>
    <w:rsid w:val="368619EC"/>
    <w:rsid w:val="3699743B"/>
    <w:rsid w:val="36A74ADA"/>
    <w:rsid w:val="36AD60D5"/>
    <w:rsid w:val="36B224F9"/>
    <w:rsid w:val="36C27A0E"/>
    <w:rsid w:val="36D668E1"/>
    <w:rsid w:val="36EC0CC9"/>
    <w:rsid w:val="36F154C9"/>
    <w:rsid w:val="36FC3260"/>
    <w:rsid w:val="3727713D"/>
    <w:rsid w:val="37296A11"/>
    <w:rsid w:val="373F410B"/>
    <w:rsid w:val="374E46CA"/>
    <w:rsid w:val="37647A49"/>
    <w:rsid w:val="37692E75"/>
    <w:rsid w:val="3772660A"/>
    <w:rsid w:val="3781684D"/>
    <w:rsid w:val="37AE5168"/>
    <w:rsid w:val="37C36E66"/>
    <w:rsid w:val="37C8447C"/>
    <w:rsid w:val="37EB7A11"/>
    <w:rsid w:val="37EE7094"/>
    <w:rsid w:val="381C6576"/>
    <w:rsid w:val="38296C89"/>
    <w:rsid w:val="383002EB"/>
    <w:rsid w:val="3836588A"/>
    <w:rsid w:val="384A6C3F"/>
    <w:rsid w:val="38586797"/>
    <w:rsid w:val="387737AC"/>
    <w:rsid w:val="387D0A94"/>
    <w:rsid w:val="38BC0149"/>
    <w:rsid w:val="38C369F1"/>
    <w:rsid w:val="38C903A2"/>
    <w:rsid w:val="38D87D1C"/>
    <w:rsid w:val="38FA68B7"/>
    <w:rsid w:val="38FB262F"/>
    <w:rsid w:val="392A1A42"/>
    <w:rsid w:val="3949339B"/>
    <w:rsid w:val="39636459"/>
    <w:rsid w:val="396B7F6C"/>
    <w:rsid w:val="396E2E01"/>
    <w:rsid w:val="39783C80"/>
    <w:rsid w:val="39785A2E"/>
    <w:rsid w:val="398E5251"/>
    <w:rsid w:val="39B417A9"/>
    <w:rsid w:val="39B60304"/>
    <w:rsid w:val="39DE1D35"/>
    <w:rsid w:val="39EF40AE"/>
    <w:rsid w:val="39F350B4"/>
    <w:rsid w:val="39FC5695"/>
    <w:rsid w:val="3A006D8E"/>
    <w:rsid w:val="3A204F94"/>
    <w:rsid w:val="3A2B0CF2"/>
    <w:rsid w:val="3A3651E5"/>
    <w:rsid w:val="3A451DB4"/>
    <w:rsid w:val="3A744481"/>
    <w:rsid w:val="3A7D3D8C"/>
    <w:rsid w:val="3A8C7BEF"/>
    <w:rsid w:val="3A906246"/>
    <w:rsid w:val="3AA77366"/>
    <w:rsid w:val="3AAA46B7"/>
    <w:rsid w:val="3AAD6435"/>
    <w:rsid w:val="3AD46C94"/>
    <w:rsid w:val="3B043A1D"/>
    <w:rsid w:val="3B2349B7"/>
    <w:rsid w:val="3B2C7764"/>
    <w:rsid w:val="3B616CFF"/>
    <w:rsid w:val="3B6259F6"/>
    <w:rsid w:val="3B976654"/>
    <w:rsid w:val="3BA174BE"/>
    <w:rsid w:val="3BA63351"/>
    <w:rsid w:val="3BC01EFC"/>
    <w:rsid w:val="3BC74A4B"/>
    <w:rsid w:val="3BCA786A"/>
    <w:rsid w:val="3BD31E2F"/>
    <w:rsid w:val="3BF03FA1"/>
    <w:rsid w:val="3BF15831"/>
    <w:rsid w:val="3BF770DE"/>
    <w:rsid w:val="3C105946"/>
    <w:rsid w:val="3C340332"/>
    <w:rsid w:val="3C471448"/>
    <w:rsid w:val="3C5938F5"/>
    <w:rsid w:val="3C5F759A"/>
    <w:rsid w:val="3C6109FB"/>
    <w:rsid w:val="3C6C525A"/>
    <w:rsid w:val="3CCE23CB"/>
    <w:rsid w:val="3CD17D17"/>
    <w:rsid w:val="3CE753A4"/>
    <w:rsid w:val="3D0E0B83"/>
    <w:rsid w:val="3D2C725B"/>
    <w:rsid w:val="3D3C7F39"/>
    <w:rsid w:val="3D440F09"/>
    <w:rsid w:val="3D4504A0"/>
    <w:rsid w:val="3D6469F5"/>
    <w:rsid w:val="3D785FFC"/>
    <w:rsid w:val="3D8734BB"/>
    <w:rsid w:val="3D8B272D"/>
    <w:rsid w:val="3D8B7E26"/>
    <w:rsid w:val="3D9A11D4"/>
    <w:rsid w:val="3DA16D89"/>
    <w:rsid w:val="3DA364BE"/>
    <w:rsid w:val="3DA9265A"/>
    <w:rsid w:val="3DB334D8"/>
    <w:rsid w:val="3DC47494"/>
    <w:rsid w:val="3DE041CB"/>
    <w:rsid w:val="3DEE2762"/>
    <w:rsid w:val="3DF24001"/>
    <w:rsid w:val="3DFF227A"/>
    <w:rsid w:val="3E00276C"/>
    <w:rsid w:val="3E0D48F6"/>
    <w:rsid w:val="3E1868B4"/>
    <w:rsid w:val="3E377251"/>
    <w:rsid w:val="3E42664B"/>
    <w:rsid w:val="3E5A7334"/>
    <w:rsid w:val="3E5C147A"/>
    <w:rsid w:val="3E704F26"/>
    <w:rsid w:val="3E7964D0"/>
    <w:rsid w:val="3E7B5D6B"/>
    <w:rsid w:val="3E843E66"/>
    <w:rsid w:val="3E8804C1"/>
    <w:rsid w:val="3E8D1F7B"/>
    <w:rsid w:val="3E8F51FE"/>
    <w:rsid w:val="3E926F87"/>
    <w:rsid w:val="3E9A59DE"/>
    <w:rsid w:val="3EAE3090"/>
    <w:rsid w:val="3EAF4836"/>
    <w:rsid w:val="3EC11C25"/>
    <w:rsid w:val="3EC33DFA"/>
    <w:rsid w:val="3EC408A4"/>
    <w:rsid w:val="3EFE5765"/>
    <w:rsid w:val="3F060E16"/>
    <w:rsid w:val="3F185CE9"/>
    <w:rsid w:val="3F1D1096"/>
    <w:rsid w:val="3F2F0234"/>
    <w:rsid w:val="3F446ADE"/>
    <w:rsid w:val="3F6363FE"/>
    <w:rsid w:val="3F656A54"/>
    <w:rsid w:val="3F756B8F"/>
    <w:rsid w:val="3F83631C"/>
    <w:rsid w:val="3F95482B"/>
    <w:rsid w:val="3FA550A3"/>
    <w:rsid w:val="3FB47094"/>
    <w:rsid w:val="400426DE"/>
    <w:rsid w:val="4019356B"/>
    <w:rsid w:val="402E6E46"/>
    <w:rsid w:val="403A1C8F"/>
    <w:rsid w:val="40592157"/>
    <w:rsid w:val="406E1CAE"/>
    <w:rsid w:val="4070413B"/>
    <w:rsid w:val="408F1FDB"/>
    <w:rsid w:val="40A0133A"/>
    <w:rsid w:val="40C31A53"/>
    <w:rsid w:val="40DC2D46"/>
    <w:rsid w:val="40DE6ABE"/>
    <w:rsid w:val="40FF545D"/>
    <w:rsid w:val="410067C8"/>
    <w:rsid w:val="410C56C4"/>
    <w:rsid w:val="412E6E2D"/>
    <w:rsid w:val="41432DC5"/>
    <w:rsid w:val="414D59F2"/>
    <w:rsid w:val="416176D3"/>
    <w:rsid w:val="4180784A"/>
    <w:rsid w:val="418F0D2A"/>
    <w:rsid w:val="41A3665C"/>
    <w:rsid w:val="41B82E6B"/>
    <w:rsid w:val="41CC6917"/>
    <w:rsid w:val="41D01505"/>
    <w:rsid w:val="41EC520B"/>
    <w:rsid w:val="42002A64"/>
    <w:rsid w:val="4202058A"/>
    <w:rsid w:val="42474939"/>
    <w:rsid w:val="424C3C57"/>
    <w:rsid w:val="42613FF3"/>
    <w:rsid w:val="42660D96"/>
    <w:rsid w:val="427F607F"/>
    <w:rsid w:val="428667D2"/>
    <w:rsid w:val="42CC6BF6"/>
    <w:rsid w:val="42CD1CE0"/>
    <w:rsid w:val="42E1381E"/>
    <w:rsid w:val="42ED6459"/>
    <w:rsid w:val="42FE58DD"/>
    <w:rsid w:val="43174B3D"/>
    <w:rsid w:val="434B790E"/>
    <w:rsid w:val="4360274F"/>
    <w:rsid w:val="43977AB6"/>
    <w:rsid w:val="439873F8"/>
    <w:rsid w:val="43A3342B"/>
    <w:rsid w:val="43AD1FF3"/>
    <w:rsid w:val="43C05449"/>
    <w:rsid w:val="43C74227"/>
    <w:rsid w:val="43C77C27"/>
    <w:rsid w:val="43DE09EE"/>
    <w:rsid w:val="44002FAD"/>
    <w:rsid w:val="441B3B85"/>
    <w:rsid w:val="441C37AA"/>
    <w:rsid w:val="441D16AC"/>
    <w:rsid w:val="44380293"/>
    <w:rsid w:val="449101DD"/>
    <w:rsid w:val="44A41DCD"/>
    <w:rsid w:val="44DE1391"/>
    <w:rsid w:val="44FE43BB"/>
    <w:rsid w:val="44FF0DB1"/>
    <w:rsid w:val="4508235C"/>
    <w:rsid w:val="450F36EA"/>
    <w:rsid w:val="451B225C"/>
    <w:rsid w:val="452410C9"/>
    <w:rsid w:val="452A372B"/>
    <w:rsid w:val="45317DFB"/>
    <w:rsid w:val="45392515"/>
    <w:rsid w:val="45513D03"/>
    <w:rsid w:val="456D3CE4"/>
    <w:rsid w:val="45717F01"/>
    <w:rsid w:val="4579042C"/>
    <w:rsid w:val="457B0D80"/>
    <w:rsid w:val="457F0571"/>
    <w:rsid w:val="45851176"/>
    <w:rsid w:val="45B63B66"/>
    <w:rsid w:val="45C55BC2"/>
    <w:rsid w:val="45C63B94"/>
    <w:rsid w:val="45CF4C28"/>
    <w:rsid w:val="45E0442A"/>
    <w:rsid w:val="4609638B"/>
    <w:rsid w:val="460E7DA5"/>
    <w:rsid w:val="46195EA3"/>
    <w:rsid w:val="46422483"/>
    <w:rsid w:val="464E0242"/>
    <w:rsid w:val="464F7B16"/>
    <w:rsid w:val="4659254A"/>
    <w:rsid w:val="465B0637"/>
    <w:rsid w:val="465E3F0D"/>
    <w:rsid w:val="466A16E6"/>
    <w:rsid w:val="46893F2B"/>
    <w:rsid w:val="468E4AE3"/>
    <w:rsid w:val="4695798A"/>
    <w:rsid w:val="469A3487"/>
    <w:rsid w:val="46AE2A8F"/>
    <w:rsid w:val="46C444E6"/>
    <w:rsid w:val="46C4686E"/>
    <w:rsid w:val="47106EE2"/>
    <w:rsid w:val="47150D60"/>
    <w:rsid w:val="475353E4"/>
    <w:rsid w:val="477B778F"/>
    <w:rsid w:val="478203EC"/>
    <w:rsid w:val="47A81BD4"/>
    <w:rsid w:val="47B025FA"/>
    <w:rsid w:val="47B813A0"/>
    <w:rsid w:val="47E86299"/>
    <w:rsid w:val="47ED3A8B"/>
    <w:rsid w:val="480768FB"/>
    <w:rsid w:val="4809698F"/>
    <w:rsid w:val="4811697D"/>
    <w:rsid w:val="487A3E25"/>
    <w:rsid w:val="488B5503"/>
    <w:rsid w:val="488C32A4"/>
    <w:rsid w:val="48937E21"/>
    <w:rsid w:val="489A0361"/>
    <w:rsid w:val="48A8102D"/>
    <w:rsid w:val="48B94FF3"/>
    <w:rsid w:val="48E37AAB"/>
    <w:rsid w:val="48FD4B4C"/>
    <w:rsid w:val="490A68E0"/>
    <w:rsid w:val="491055FE"/>
    <w:rsid w:val="495F5B3E"/>
    <w:rsid w:val="496F77D7"/>
    <w:rsid w:val="497654FD"/>
    <w:rsid w:val="49830203"/>
    <w:rsid w:val="49A95790"/>
    <w:rsid w:val="49B64211"/>
    <w:rsid w:val="49D41AAC"/>
    <w:rsid w:val="49F20EE5"/>
    <w:rsid w:val="49F6167F"/>
    <w:rsid w:val="4A064FA0"/>
    <w:rsid w:val="4A16615C"/>
    <w:rsid w:val="4A4424D7"/>
    <w:rsid w:val="4A4F27DB"/>
    <w:rsid w:val="4A5B4858"/>
    <w:rsid w:val="4A6D5FB3"/>
    <w:rsid w:val="4A8A736F"/>
    <w:rsid w:val="4AB82D0F"/>
    <w:rsid w:val="4ABA40F8"/>
    <w:rsid w:val="4AEB7664"/>
    <w:rsid w:val="4AFD7C19"/>
    <w:rsid w:val="4B0233A9"/>
    <w:rsid w:val="4B0567D1"/>
    <w:rsid w:val="4B1F78CE"/>
    <w:rsid w:val="4B236AAE"/>
    <w:rsid w:val="4B2F799D"/>
    <w:rsid w:val="4B707271"/>
    <w:rsid w:val="4B886B25"/>
    <w:rsid w:val="4B9739F7"/>
    <w:rsid w:val="4B991F60"/>
    <w:rsid w:val="4BB24DCF"/>
    <w:rsid w:val="4BEE2503"/>
    <w:rsid w:val="4BF727EA"/>
    <w:rsid w:val="4C172E84"/>
    <w:rsid w:val="4C245A30"/>
    <w:rsid w:val="4C2F01CE"/>
    <w:rsid w:val="4C3954F1"/>
    <w:rsid w:val="4C3F2CF1"/>
    <w:rsid w:val="4C510646"/>
    <w:rsid w:val="4C940979"/>
    <w:rsid w:val="4CB6685F"/>
    <w:rsid w:val="4CC367FE"/>
    <w:rsid w:val="4CC528E0"/>
    <w:rsid w:val="4CC92BA5"/>
    <w:rsid w:val="4CD40D75"/>
    <w:rsid w:val="4CEA2347"/>
    <w:rsid w:val="4CF03E01"/>
    <w:rsid w:val="4CF90278"/>
    <w:rsid w:val="4D077F3C"/>
    <w:rsid w:val="4D0F7FFF"/>
    <w:rsid w:val="4D103E2D"/>
    <w:rsid w:val="4D123355"/>
    <w:rsid w:val="4D1B3D5A"/>
    <w:rsid w:val="4D1F6494"/>
    <w:rsid w:val="4D2A3B31"/>
    <w:rsid w:val="4D312C52"/>
    <w:rsid w:val="4D8E361A"/>
    <w:rsid w:val="4D905305"/>
    <w:rsid w:val="4D9549A9"/>
    <w:rsid w:val="4D964A72"/>
    <w:rsid w:val="4D9C1254"/>
    <w:rsid w:val="4D9E5B15"/>
    <w:rsid w:val="4DC25072"/>
    <w:rsid w:val="4DDC25D7"/>
    <w:rsid w:val="4DF571F5"/>
    <w:rsid w:val="4E061402"/>
    <w:rsid w:val="4E1F24C4"/>
    <w:rsid w:val="4E2B70BB"/>
    <w:rsid w:val="4E3B5550"/>
    <w:rsid w:val="4E76066F"/>
    <w:rsid w:val="4E793892"/>
    <w:rsid w:val="4E7D272E"/>
    <w:rsid w:val="4E800872"/>
    <w:rsid w:val="4EBE7F2F"/>
    <w:rsid w:val="4EC569ED"/>
    <w:rsid w:val="4ED50EA1"/>
    <w:rsid w:val="4EEC050C"/>
    <w:rsid w:val="4F0911AA"/>
    <w:rsid w:val="4F0B3174"/>
    <w:rsid w:val="4F104EC3"/>
    <w:rsid w:val="4F47354A"/>
    <w:rsid w:val="4F5421EB"/>
    <w:rsid w:val="4F691C49"/>
    <w:rsid w:val="4F701229"/>
    <w:rsid w:val="4F911C54"/>
    <w:rsid w:val="4FD572DE"/>
    <w:rsid w:val="4FE625E0"/>
    <w:rsid w:val="4FF5172F"/>
    <w:rsid w:val="5021480F"/>
    <w:rsid w:val="502344EE"/>
    <w:rsid w:val="50315626"/>
    <w:rsid w:val="50404643"/>
    <w:rsid w:val="50412BC6"/>
    <w:rsid w:val="505C301C"/>
    <w:rsid w:val="50615016"/>
    <w:rsid w:val="50770396"/>
    <w:rsid w:val="50962ECB"/>
    <w:rsid w:val="50A15412"/>
    <w:rsid w:val="50A42E38"/>
    <w:rsid w:val="50A4577F"/>
    <w:rsid w:val="50A82C45"/>
    <w:rsid w:val="50B73D1F"/>
    <w:rsid w:val="50BD5BC9"/>
    <w:rsid w:val="50C01D3C"/>
    <w:rsid w:val="50C11EEE"/>
    <w:rsid w:val="50E97CFC"/>
    <w:rsid w:val="50EE68AA"/>
    <w:rsid w:val="50FA4028"/>
    <w:rsid w:val="510D65B7"/>
    <w:rsid w:val="511157AB"/>
    <w:rsid w:val="512F60C4"/>
    <w:rsid w:val="51360251"/>
    <w:rsid w:val="51372546"/>
    <w:rsid w:val="5142540C"/>
    <w:rsid w:val="51426BF5"/>
    <w:rsid w:val="514A7858"/>
    <w:rsid w:val="51870AAC"/>
    <w:rsid w:val="518832C8"/>
    <w:rsid w:val="51894824"/>
    <w:rsid w:val="519D3C50"/>
    <w:rsid w:val="51A0432A"/>
    <w:rsid w:val="51A258E6"/>
    <w:rsid w:val="51A86090"/>
    <w:rsid w:val="51B7396D"/>
    <w:rsid w:val="51B80C66"/>
    <w:rsid w:val="51BF0246"/>
    <w:rsid w:val="51D13AD5"/>
    <w:rsid w:val="51E23F34"/>
    <w:rsid w:val="521340EE"/>
    <w:rsid w:val="522E4CC3"/>
    <w:rsid w:val="5244713B"/>
    <w:rsid w:val="52615633"/>
    <w:rsid w:val="52662470"/>
    <w:rsid w:val="526F4DE4"/>
    <w:rsid w:val="52977FD4"/>
    <w:rsid w:val="52A25790"/>
    <w:rsid w:val="52A96B6F"/>
    <w:rsid w:val="52B45975"/>
    <w:rsid w:val="52D94AA4"/>
    <w:rsid w:val="52EA3A62"/>
    <w:rsid w:val="52F50BB8"/>
    <w:rsid w:val="52F61A46"/>
    <w:rsid w:val="53097272"/>
    <w:rsid w:val="534C1537"/>
    <w:rsid w:val="53544462"/>
    <w:rsid w:val="535B7AFB"/>
    <w:rsid w:val="537D37B4"/>
    <w:rsid w:val="538C05FC"/>
    <w:rsid w:val="53915C12"/>
    <w:rsid w:val="5397158E"/>
    <w:rsid w:val="53980D4F"/>
    <w:rsid w:val="53A13E23"/>
    <w:rsid w:val="53E325D5"/>
    <w:rsid w:val="53E421E6"/>
    <w:rsid w:val="54012AC8"/>
    <w:rsid w:val="54013861"/>
    <w:rsid w:val="54065CB8"/>
    <w:rsid w:val="54487265"/>
    <w:rsid w:val="544D6070"/>
    <w:rsid w:val="5452714F"/>
    <w:rsid w:val="54605E1E"/>
    <w:rsid w:val="546926EB"/>
    <w:rsid w:val="54770964"/>
    <w:rsid w:val="54947768"/>
    <w:rsid w:val="54B3506A"/>
    <w:rsid w:val="54CA0D16"/>
    <w:rsid w:val="54DD4057"/>
    <w:rsid w:val="54E7490F"/>
    <w:rsid w:val="54E83610"/>
    <w:rsid w:val="54F14BBA"/>
    <w:rsid w:val="54FB77E7"/>
    <w:rsid w:val="550764A4"/>
    <w:rsid w:val="550B2BF6"/>
    <w:rsid w:val="55214EB5"/>
    <w:rsid w:val="552C5BF2"/>
    <w:rsid w:val="55364EFD"/>
    <w:rsid w:val="555667CB"/>
    <w:rsid w:val="55572544"/>
    <w:rsid w:val="555D4828"/>
    <w:rsid w:val="557A4C8B"/>
    <w:rsid w:val="558931E1"/>
    <w:rsid w:val="55923347"/>
    <w:rsid w:val="55925180"/>
    <w:rsid w:val="55983B1B"/>
    <w:rsid w:val="55A03EEB"/>
    <w:rsid w:val="55A8376B"/>
    <w:rsid w:val="55A90FF1"/>
    <w:rsid w:val="55AA4D69"/>
    <w:rsid w:val="55DC29B6"/>
    <w:rsid w:val="55DD4241"/>
    <w:rsid w:val="55ED4109"/>
    <w:rsid w:val="55F304BE"/>
    <w:rsid w:val="561F3061"/>
    <w:rsid w:val="566B6D1E"/>
    <w:rsid w:val="569C0B56"/>
    <w:rsid w:val="56E10C5F"/>
    <w:rsid w:val="56EB388B"/>
    <w:rsid w:val="57032A2C"/>
    <w:rsid w:val="570F5219"/>
    <w:rsid w:val="57102FAD"/>
    <w:rsid w:val="571B5F1F"/>
    <w:rsid w:val="572D17AE"/>
    <w:rsid w:val="572E78E5"/>
    <w:rsid w:val="573B036F"/>
    <w:rsid w:val="57521214"/>
    <w:rsid w:val="575D12B5"/>
    <w:rsid w:val="57610A87"/>
    <w:rsid w:val="577B1140"/>
    <w:rsid w:val="577B7F21"/>
    <w:rsid w:val="577D0987"/>
    <w:rsid w:val="577F181B"/>
    <w:rsid w:val="57921984"/>
    <w:rsid w:val="579737F0"/>
    <w:rsid w:val="57AB7B30"/>
    <w:rsid w:val="57AF5251"/>
    <w:rsid w:val="57B26373"/>
    <w:rsid w:val="57B63F04"/>
    <w:rsid w:val="57B679F5"/>
    <w:rsid w:val="57CD20C2"/>
    <w:rsid w:val="57D675AB"/>
    <w:rsid w:val="57D95FDD"/>
    <w:rsid w:val="58022C3B"/>
    <w:rsid w:val="582708F3"/>
    <w:rsid w:val="58276B45"/>
    <w:rsid w:val="58382B00"/>
    <w:rsid w:val="583A6878"/>
    <w:rsid w:val="58417C07"/>
    <w:rsid w:val="58586CFE"/>
    <w:rsid w:val="585B234B"/>
    <w:rsid w:val="586236D9"/>
    <w:rsid w:val="586456A3"/>
    <w:rsid w:val="587753D7"/>
    <w:rsid w:val="58816255"/>
    <w:rsid w:val="58917D2F"/>
    <w:rsid w:val="58937D37"/>
    <w:rsid w:val="5894085C"/>
    <w:rsid w:val="58AE4F0C"/>
    <w:rsid w:val="58B85899"/>
    <w:rsid w:val="58CD3249"/>
    <w:rsid w:val="58E363A9"/>
    <w:rsid w:val="591E264C"/>
    <w:rsid w:val="5934151A"/>
    <w:rsid w:val="595E1678"/>
    <w:rsid w:val="596D5BD4"/>
    <w:rsid w:val="597C7F56"/>
    <w:rsid w:val="597E3DD8"/>
    <w:rsid w:val="5980650D"/>
    <w:rsid w:val="59875AED"/>
    <w:rsid w:val="598F6750"/>
    <w:rsid w:val="59965D30"/>
    <w:rsid w:val="599975CF"/>
    <w:rsid w:val="59AF0BA0"/>
    <w:rsid w:val="59E13618"/>
    <w:rsid w:val="59F12F67"/>
    <w:rsid w:val="59F80043"/>
    <w:rsid w:val="59FD190B"/>
    <w:rsid w:val="5A09252F"/>
    <w:rsid w:val="5A0A04CC"/>
    <w:rsid w:val="5A0B2778"/>
    <w:rsid w:val="5A117165"/>
    <w:rsid w:val="5A2A7C7B"/>
    <w:rsid w:val="5A3E2560"/>
    <w:rsid w:val="5A494B51"/>
    <w:rsid w:val="5A5D3B6E"/>
    <w:rsid w:val="5A637A76"/>
    <w:rsid w:val="5A6D33BA"/>
    <w:rsid w:val="5A792B1F"/>
    <w:rsid w:val="5A874767"/>
    <w:rsid w:val="5AA85BE2"/>
    <w:rsid w:val="5AAD6F28"/>
    <w:rsid w:val="5ABE2749"/>
    <w:rsid w:val="5AD63A24"/>
    <w:rsid w:val="5ADC7773"/>
    <w:rsid w:val="5AE12FDB"/>
    <w:rsid w:val="5AE51A4D"/>
    <w:rsid w:val="5B0B0E72"/>
    <w:rsid w:val="5B2335F4"/>
    <w:rsid w:val="5B2E1A1D"/>
    <w:rsid w:val="5B5C6B06"/>
    <w:rsid w:val="5B8027F4"/>
    <w:rsid w:val="5B843A1C"/>
    <w:rsid w:val="5B873E3F"/>
    <w:rsid w:val="5B8C73EB"/>
    <w:rsid w:val="5B9242D5"/>
    <w:rsid w:val="5BA06A1D"/>
    <w:rsid w:val="5BED59B0"/>
    <w:rsid w:val="5C02690E"/>
    <w:rsid w:val="5C0A47B4"/>
    <w:rsid w:val="5C196DA7"/>
    <w:rsid w:val="5C1B251D"/>
    <w:rsid w:val="5C2340B8"/>
    <w:rsid w:val="5C2869E8"/>
    <w:rsid w:val="5C2A048C"/>
    <w:rsid w:val="5C2A2760"/>
    <w:rsid w:val="5C4A4BB0"/>
    <w:rsid w:val="5C4D2220"/>
    <w:rsid w:val="5C5B500F"/>
    <w:rsid w:val="5C6E4D42"/>
    <w:rsid w:val="5C745883"/>
    <w:rsid w:val="5C7D6786"/>
    <w:rsid w:val="5C80234E"/>
    <w:rsid w:val="5C8A680C"/>
    <w:rsid w:val="5C9A1694"/>
    <w:rsid w:val="5CD526CC"/>
    <w:rsid w:val="5CE6793F"/>
    <w:rsid w:val="5D0C4701"/>
    <w:rsid w:val="5D0F0395"/>
    <w:rsid w:val="5D221076"/>
    <w:rsid w:val="5D26561D"/>
    <w:rsid w:val="5D397964"/>
    <w:rsid w:val="5D4A301F"/>
    <w:rsid w:val="5D537A94"/>
    <w:rsid w:val="5D5A391C"/>
    <w:rsid w:val="5D5F10C0"/>
    <w:rsid w:val="5D790E2F"/>
    <w:rsid w:val="5D891B7B"/>
    <w:rsid w:val="5D9702C9"/>
    <w:rsid w:val="5DAD38EE"/>
    <w:rsid w:val="5DC80482"/>
    <w:rsid w:val="5DCA5FA9"/>
    <w:rsid w:val="5DD60DF1"/>
    <w:rsid w:val="5E006862"/>
    <w:rsid w:val="5E0207B9"/>
    <w:rsid w:val="5E111E29"/>
    <w:rsid w:val="5E127950"/>
    <w:rsid w:val="5E1611EE"/>
    <w:rsid w:val="5E1834A1"/>
    <w:rsid w:val="5E2356B9"/>
    <w:rsid w:val="5E261785"/>
    <w:rsid w:val="5E3F358C"/>
    <w:rsid w:val="5E47584B"/>
    <w:rsid w:val="5E4A7017"/>
    <w:rsid w:val="5E552BBA"/>
    <w:rsid w:val="5E5F6CA0"/>
    <w:rsid w:val="5E611C10"/>
    <w:rsid w:val="5E7A0F3F"/>
    <w:rsid w:val="5E914D18"/>
    <w:rsid w:val="5EA44A4C"/>
    <w:rsid w:val="5ECA1FD8"/>
    <w:rsid w:val="5EDD61AF"/>
    <w:rsid w:val="5EE237C6"/>
    <w:rsid w:val="5EFC7377"/>
    <w:rsid w:val="5F06174D"/>
    <w:rsid w:val="5F3A3602"/>
    <w:rsid w:val="5F45733B"/>
    <w:rsid w:val="5F6277C6"/>
    <w:rsid w:val="5F6366B5"/>
    <w:rsid w:val="5F6D0B1D"/>
    <w:rsid w:val="5F7E529D"/>
    <w:rsid w:val="5F8D0B82"/>
    <w:rsid w:val="5F8E3BB6"/>
    <w:rsid w:val="5F904FD0"/>
    <w:rsid w:val="5F926F9A"/>
    <w:rsid w:val="5FA97E40"/>
    <w:rsid w:val="5FB011CE"/>
    <w:rsid w:val="5FB8580A"/>
    <w:rsid w:val="5FC53DF1"/>
    <w:rsid w:val="5FC86518"/>
    <w:rsid w:val="5FCC5339"/>
    <w:rsid w:val="5FE07D05"/>
    <w:rsid w:val="5FE34A5B"/>
    <w:rsid w:val="5FF27A39"/>
    <w:rsid w:val="5FFE1E36"/>
    <w:rsid w:val="600D6620"/>
    <w:rsid w:val="60232584"/>
    <w:rsid w:val="603D6F06"/>
    <w:rsid w:val="60430294"/>
    <w:rsid w:val="60457B68"/>
    <w:rsid w:val="607330CE"/>
    <w:rsid w:val="60825176"/>
    <w:rsid w:val="60874625"/>
    <w:rsid w:val="6089214B"/>
    <w:rsid w:val="609F2AC4"/>
    <w:rsid w:val="60A32AE1"/>
    <w:rsid w:val="60CB2763"/>
    <w:rsid w:val="60E76E71"/>
    <w:rsid w:val="60FA2EE8"/>
    <w:rsid w:val="61054A27"/>
    <w:rsid w:val="610A52BC"/>
    <w:rsid w:val="610D059B"/>
    <w:rsid w:val="611D2366"/>
    <w:rsid w:val="612C2AD6"/>
    <w:rsid w:val="61421856"/>
    <w:rsid w:val="615227C4"/>
    <w:rsid w:val="615A3AE7"/>
    <w:rsid w:val="615F10FE"/>
    <w:rsid w:val="61654E3F"/>
    <w:rsid w:val="61670EC0"/>
    <w:rsid w:val="6182292A"/>
    <w:rsid w:val="61842912"/>
    <w:rsid w:val="61880654"/>
    <w:rsid w:val="619C4100"/>
    <w:rsid w:val="619F7F92"/>
    <w:rsid w:val="61BE5E24"/>
    <w:rsid w:val="61E6537B"/>
    <w:rsid w:val="61F94C26"/>
    <w:rsid w:val="62000E56"/>
    <w:rsid w:val="6223212B"/>
    <w:rsid w:val="624F3E49"/>
    <w:rsid w:val="62632286"/>
    <w:rsid w:val="62764951"/>
    <w:rsid w:val="62885958"/>
    <w:rsid w:val="629E17B2"/>
    <w:rsid w:val="62A3326C"/>
    <w:rsid w:val="62B674A5"/>
    <w:rsid w:val="62E21FE6"/>
    <w:rsid w:val="62E278F0"/>
    <w:rsid w:val="62F40B65"/>
    <w:rsid w:val="62F51D1A"/>
    <w:rsid w:val="62FC2CFE"/>
    <w:rsid w:val="62FF66F4"/>
    <w:rsid w:val="63024505"/>
    <w:rsid w:val="63075F77"/>
    <w:rsid w:val="630E4B89"/>
    <w:rsid w:val="63312626"/>
    <w:rsid w:val="635600A5"/>
    <w:rsid w:val="635B1DB5"/>
    <w:rsid w:val="63626C83"/>
    <w:rsid w:val="63633AA7"/>
    <w:rsid w:val="63711FED"/>
    <w:rsid w:val="637F3E60"/>
    <w:rsid w:val="63880DDC"/>
    <w:rsid w:val="638D750D"/>
    <w:rsid w:val="6393508F"/>
    <w:rsid w:val="63AB062A"/>
    <w:rsid w:val="63AC6CC0"/>
    <w:rsid w:val="63F23480"/>
    <w:rsid w:val="63F7561D"/>
    <w:rsid w:val="63FE4BFE"/>
    <w:rsid w:val="640146EE"/>
    <w:rsid w:val="64055776"/>
    <w:rsid w:val="64155AA4"/>
    <w:rsid w:val="641F5B67"/>
    <w:rsid w:val="642223CF"/>
    <w:rsid w:val="64240056"/>
    <w:rsid w:val="64242F79"/>
    <w:rsid w:val="643E143A"/>
    <w:rsid w:val="64491666"/>
    <w:rsid w:val="64616F3B"/>
    <w:rsid w:val="6468651B"/>
    <w:rsid w:val="648B6EEF"/>
    <w:rsid w:val="64C158BF"/>
    <w:rsid w:val="64C574CA"/>
    <w:rsid w:val="64CE2EAA"/>
    <w:rsid w:val="64E8140A"/>
    <w:rsid w:val="650E0E71"/>
    <w:rsid w:val="65295232"/>
    <w:rsid w:val="653C3090"/>
    <w:rsid w:val="654F4FE5"/>
    <w:rsid w:val="65530F79"/>
    <w:rsid w:val="65554CF2"/>
    <w:rsid w:val="655645C6"/>
    <w:rsid w:val="65652A5B"/>
    <w:rsid w:val="65764C68"/>
    <w:rsid w:val="65854376"/>
    <w:rsid w:val="658767BE"/>
    <w:rsid w:val="65892531"/>
    <w:rsid w:val="6593581A"/>
    <w:rsid w:val="66195831"/>
    <w:rsid w:val="661A5BD3"/>
    <w:rsid w:val="661E1587"/>
    <w:rsid w:val="66246472"/>
    <w:rsid w:val="662E75B1"/>
    <w:rsid w:val="66342C2E"/>
    <w:rsid w:val="663E784C"/>
    <w:rsid w:val="666359E7"/>
    <w:rsid w:val="6686712D"/>
    <w:rsid w:val="668B6A45"/>
    <w:rsid w:val="66D32372"/>
    <w:rsid w:val="670F0ED0"/>
    <w:rsid w:val="67112C4A"/>
    <w:rsid w:val="67177D85"/>
    <w:rsid w:val="672F3F24"/>
    <w:rsid w:val="673E055F"/>
    <w:rsid w:val="67551CE3"/>
    <w:rsid w:val="67A22552"/>
    <w:rsid w:val="67B0620F"/>
    <w:rsid w:val="67B22DCC"/>
    <w:rsid w:val="67BE71AA"/>
    <w:rsid w:val="67CF7323"/>
    <w:rsid w:val="67D90273"/>
    <w:rsid w:val="67DE5875"/>
    <w:rsid w:val="67E55852"/>
    <w:rsid w:val="67EB1AB4"/>
    <w:rsid w:val="67EE0AE5"/>
    <w:rsid w:val="67F307F2"/>
    <w:rsid w:val="67FA1285"/>
    <w:rsid w:val="67FC0C04"/>
    <w:rsid w:val="681C5653"/>
    <w:rsid w:val="68295FC1"/>
    <w:rsid w:val="68551F4F"/>
    <w:rsid w:val="687C10C9"/>
    <w:rsid w:val="68840C16"/>
    <w:rsid w:val="68876EFB"/>
    <w:rsid w:val="68884654"/>
    <w:rsid w:val="689C77E0"/>
    <w:rsid w:val="689F444F"/>
    <w:rsid w:val="689F7EB7"/>
    <w:rsid w:val="68A044D6"/>
    <w:rsid w:val="68A45648"/>
    <w:rsid w:val="68B96DBB"/>
    <w:rsid w:val="68C33D20"/>
    <w:rsid w:val="68CA2805"/>
    <w:rsid w:val="68E937A3"/>
    <w:rsid w:val="68FB149A"/>
    <w:rsid w:val="690C3919"/>
    <w:rsid w:val="691602F4"/>
    <w:rsid w:val="691C78D4"/>
    <w:rsid w:val="692F7608"/>
    <w:rsid w:val="69320EA6"/>
    <w:rsid w:val="693E15D3"/>
    <w:rsid w:val="69627681"/>
    <w:rsid w:val="6977531D"/>
    <w:rsid w:val="69AE2C22"/>
    <w:rsid w:val="69CC2BFF"/>
    <w:rsid w:val="69E2467A"/>
    <w:rsid w:val="69FD55B8"/>
    <w:rsid w:val="6A0B1C62"/>
    <w:rsid w:val="6A2406C8"/>
    <w:rsid w:val="6A294057"/>
    <w:rsid w:val="6A5512F0"/>
    <w:rsid w:val="6A687275"/>
    <w:rsid w:val="6A905EFB"/>
    <w:rsid w:val="6A917936"/>
    <w:rsid w:val="6A9A1ADF"/>
    <w:rsid w:val="6AA656A7"/>
    <w:rsid w:val="6ADE0BD1"/>
    <w:rsid w:val="6ADF6E0B"/>
    <w:rsid w:val="6AE81378"/>
    <w:rsid w:val="6AE96859"/>
    <w:rsid w:val="6B147746"/>
    <w:rsid w:val="6B24787C"/>
    <w:rsid w:val="6B573233"/>
    <w:rsid w:val="6B595E89"/>
    <w:rsid w:val="6B5B6274"/>
    <w:rsid w:val="6B7D28AC"/>
    <w:rsid w:val="6B851761"/>
    <w:rsid w:val="6B935D53"/>
    <w:rsid w:val="6BAA566B"/>
    <w:rsid w:val="6BAF2C82"/>
    <w:rsid w:val="6BB01E7E"/>
    <w:rsid w:val="6BC8789F"/>
    <w:rsid w:val="6BE20961"/>
    <w:rsid w:val="6C0A1682"/>
    <w:rsid w:val="6C1316F7"/>
    <w:rsid w:val="6C196F71"/>
    <w:rsid w:val="6C226FCB"/>
    <w:rsid w:val="6C2C7E2E"/>
    <w:rsid w:val="6C2E004A"/>
    <w:rsid w:val="6C31226F"/>
    <w:rsid w:val="6C517EC7"/>
    <w:rsid w:val="6C552F0B"/>
    <w:rsid w:val="6C627CF4"/>
    <w:rsid w:val="6C8C67B7"/>
    <w:rsid w:val="6C9500C9"/>
    <w:rsid w:val="6C9A1FF7"/>
    <w:rsid w:val="6C9D744C"/>
    <w:rsid w:val="6CA12E57"/>
    <w:rsid w:val="6CBA7B30"/>
    <w:rsid w:val="6CC22541"/>
    <w:rsid w:val="6D0668D1"/>
    <w:rsid w:val="6D167928"/>
    <w:rsid w:val="6D192AA9"/>
    <w:rsid w:val="6D26299B"/>
    <w:rsid w:val="6D4772EC"/>
    <w:rsid w:val="6D8C327A"/>
    <w:rsid w:val="6D8F2D6B"/>
    <w:rsid w:val="6D9078AF"/>
    <w:rsid w:val="6DAA3FEF"/>
    <w:rsid w:val="6DC0172B"/>
    <w:rsid w:val="6DCA78FF"/>
    <w:rsid w:val="6DCB690C"/>
    <w:rsid w:val="6DD41A5B"/>
    <w:rsid w:val="6DDB7B73"/>
    <w:rsid w:val="6DE704B1"/>
    <w:rsid w:val="6DF1132F"/>
    <w:rsid w:val="6DF43C2E"/>
    <w:rsid w:val="6DF51CA3"/>
    <w:rsid w:val="6DF66946"/>
    <w:rsid w:val="6E027099"/>
    <w:rsid w:val="6E2711F5"/>
    <w:rsid w:val="6E2B2A93"/>
    <w:rsid w:val="6E82467D"/>
    <w:rsid w:val="6E8335BD"/>
    <w:rsid w:val="6E891568"/>
    <w:rsid w:val="6E8E12EF"/>
    <w:rsid w:val="6E8E3022"/>
    <w:rsid w:val="6E930639"/>
    <w:rsid w:val="6E972936"/>
    <w:rsid w:val="6ED446C5"/>
    <w:rsid w:val="6EE256B9"/>
    <w:rsid w:val="6F2A7D94"/>
    <w:rsid w:val="6F4B0F13"/>
    <w:rsid w:val="6F4D1B95"/>
    <w:rsid w:val="6F502086"/>
    <w:rsid w:val="6F60676D"/>
    <w:rsid w:val="6F63625D"/>
    <w:rsid w:val="6F8331F1"/>
    <w:rsid w:val="6FAE1A09"/>
    <w:rsid w:val="6FC735D0"/>
    <w:rsid w:val="6FCA1E38"/>
    <w:rsid w:val="6FD75BF8"/>
    <w:rsid w:val="6FE74798"/>
    <w:rsid w:val="702754DC"/>
    <w:rsid w:val="70313C65"/>
    <w:rsid w:val="704755F2"/>
    <w:rsid w:val="704C6CF1"/>
    <w:rsid w:val="70514307"/>
    <w:rsid w:val="707723D0"/>
    <w:rsid w:val="707C5F3D"/>
    <w:rsid w:val="70812E3F"/>
    <w:rsid w:val="708B7819"/>
    <w:rsid w:val="70DA254F"/>
    <w:rsid w:val="70F5661B"/>
    <w:rsid w:val="70F84783"/>
    <w:rsid w:val="712D08D1"/>
    <w:rsid w:val="71360107"/>
    <w:rsid w:val="713B688E"/>
    <w:rsid w:val="7148279F"/>
    <w:rsid w:val="7157594D"/>
    <w:rsid w:val="715F4802"/>
    <w:rsid w:val="71962597"/>
    <w:rsid w:val="71C11019"/>
    <w:rsid w:val="71D43752"/>
    <w:rsid w:val="71D63308"/>
    <w:rsid w:val="71E13469"/>
    <w:rsid w:val="71F1796A"/>
    <w:rsid w:val="71FB63D5"/>
    <w:rsid w:val="72154626"/>
    <w:rsid w:val="721B4BCD"/>
    <w:rsid w:val="721D7D74"/>
    <w:rsid w:val="72262B5D"/>
    <w:rsid w:val="72283FF7"/>
    <w:rsid w:val="722E7212"/>
    <w:rsid w:val="723A0474"/>
    <w:rsid w:val="72457E9C"/>
    <w:rsid w:val="725923E4"/>
    <w:rsid w:val="72691DDC"/>
    <w:rsid w:val="728503CD"/>
    <w:rsid w:val="72864BF7"/>
    <w:rsid w:val="729023FC"/>
    <w:rsid w:val="72B312A9"/>
    <w:rsid w:val="72BA43E6"/>
    <w:rsid w:val="72C74D55"/>
    <w:rsid w:val="73155AC0"/>
    <w:rsid w:val="7338355D"/>
    <w:rsid w:val="73476224"/>
    <w:rsid w:val="73634A7D"/>
    <w:rsid w:val="736E62C4"/>
    <w:rsid w:val="73770529"/>
    <w:rsid w:val="73C0646E"/>
    <w:rsid w:val="73E84F83"/>
    <w:rsid w:val="7400051E"/>
    <w:rsid w:val="74035919"/>
    <w:rsid w:val="740A314B"/>
    <w:rsid w:val="742222F5"/>
    <w:rsid w:val="742F670E"/>
    <w:rsid w:val="74476126"/>
    <w:rsid w:val="744F6DB0"/>
    <w:rsid w:val="746740F9"/>
    <w:rsid w:val="74706664"/>
    <w:rsid w:val="747F3682"/>
    <w:rsid w:val="749173C8"/>
    <w:rsid w:val="749C4185"/>
    <w:rsid w:val="74B35591"/>
    <w:rsid w:val="74BE7A92"/>
    <w:rsid w:val="74C94DB4"/>
    <w:rsid w:val="74D379E1"/>
    <w:rsid w:val="74E53270"/>
    <w:rsid w:val="74EB6AD9"/>
    <w:rsid w:val="74F33BDF"/>
    <w:rsid w:val="75067759"/>
    <w:rsid w:val="75096F5F"/>
    <w:rsid w:val="75232716"/>
    <w:rsid w:val="75243D99"/>
    <w:rsid w:val="752E6DCD"/>
    <w:rsid w:val="75363ACC"/>
    <w:rsid w:val="7551380D"/>
    <w:rsid w:val="755D394A"/>
    <w:rsid w:val="755D54FC"/>
    <w:rsid w:val="75600BE5"/>
    <w:rsid w:val="7564475C"/>
    <w:rsid w:val="7564688B"/>
    <w:rsid w:val="75660476"/>
    <w:rsid w:val="7583797F"/>
    <w:rsid w:val="758D4034"/>
    <w:rsid w:val="75C75406"/>
    <w:rsid w:val="75D20610"/>
    <w:rsid w:val="75D20F1D"/>
    <w:rsid w:val="75DA2C18"/>
    <w:rsid w:val="75EB2B08"/>
    <w:rsid w:val="75F54412"/>
    <w:rsid w:val="75FE283B"/>
    <w:rsid w:val="761D08E0"/>
    <w:rsid w:val="764364A0"/>
    <w:rsid w:val="765D347C"/>
    <w:rsid w:val="76826699"/>
    <w:rsid w:val="76854D0B"/>
    <w:rsid w:val="76856AB9"/>
    <w:rsid w:val="76A038F3"/>
    <w:rsid w:val="76AA4771"/>
    <w:rsid w:val="76B80C3C"/>
    <w:rsid w:val="76C87133"/>
    <w:rsid w:val="76CD08D5"/>
    <w:rsid w:val="76DB4B92"/>
    <w:rsid w:val="76F8372F"/>
    <w:rsid w:val="77052AA4"/>
    <w:rsid w:val="77136511"/>
    <w:rsid w:val="772E53A2"/>
    <w:rsid w:val="77340A39"/>
    <w:rsid w:val="77351FD0"/>
    <w:rsid w:val="77472422"/>
    <w:rsid w:val="774B1AB0"/>
    <w:rsid w:val="775546DD"/>
    <w:rsid w:val="777F31F2"/>
    <w:rsid w:val="779C40BA"/>
    <w:rsid w:val="77C96E79"/>
    <w:rsid w:val="77D1700D"/>
    <w:rsid w:val="77D221D2"/>
    <w:rsid w:val="77EB14F6"/>
    <w:rsid w:val="77EC04CC"/>
    <w:rsid w:val="77F9150C"/>
    <w:rsid w:val="7826436F"/>
    <w:rsid w:val="7861270F"/>
    <w:rsid w:val="78775729"/>
    <w:rsid w:val="78915BE9"/>
    <w:rsid w:val="78994A9D"/>
    <w:rsid w:val="78A42DB0"/>
    <w:rsid w:val="78A656AB"/>
    <w:rsid w:val="78B2245C"/>
    <w:rsid w:val="78D41F79"/>
    <w:rsid w:val="78E172CC"/>
    <w:rsid w:val="78EA1D1F"/>
    <w:rsid w:val="79036DC3"/>
    <w:rsid w:val="7904172F"/>
    <w:rsid w:val="790F7E27"/>
    <w:rsid w:val="79164340"/>
    <w:rsid w:val="792A231A"/>
    <w:rsid w:val="79316829"/>
    <w:rsid w:val="794762A8"/>
    <w:rsid w:val="79501600"/>
    <w:rsid w:val="797E66A9"/>
    <w:rsid w:val="797F645C"/>
    <w:rsid w:val="798518A4"/>
    <w:rsid w:val="79921C19"/>
    <w:rsid w:val="79A90D10"/>
    <w:rsid w:val="79A97383"/>
    <w:rsid w:val="79C67B14"/>
    <w:rsid w:val="79E27E8B"/>
    <w:rsid w:val="79F77CCE"/>
    <w:rsid w:val="79F850CE"/>
    <w:rsid w:val="79FD443C"/>
    <w:rsid w:val="79FF3026"/>
    <w:rsid w:val="7A17211E"/>
    <w:rsid w:val="7A1D1975"/>
    <w:rsid w:val="7A3E5150"/>
    <w:rsid w:val="7A4670D6"/>
    <w:rsid w:val="7A534B63"/>
    <w:rsid w:val="7A615382"/>
    <w:rsid w:val="7A67303B"/>
    <w:rsid w:val="7A6B246A"/>
    <w:rsid w:val="7A7C4677"/>
    <w:rsid w:val="7A7E03EF"/>
    <w:rsid w:val="7A8B6668"/>
    <w:rsid w:val="7AAB1D04"/>
    <w:rsid w:val="7ABA4368"/>
    <w:rsid w:val="7AD05746"/>
    <w:rsid w:val="7B05641A"/>
    <w:rsid w:val="7B257FFD"/>
    <w:rsid w:val="7B343476"/>
    <w:rsid w:val="7B533629"/>
    <w:rsid w:val="7B5A2978"/>
    <w:rsid w:val="7B5A7E4C"/>
    <w:rsid w:val="7B667AF9"/>
    <w:rsid w:val="7B7468F8"/>
    <w:rsid w:val="7B971768"/>
    <w:rsid w:val="7BA11681"/>
    <w:rsid w:val="7BE61DA8"/>
    <w:rsid w:val="7BE91898"/>
    <w:rsid w:val="7BEB41C7"/>
    <w:rsid w:val="7BEE0103"/>
    <w:rsid w:val="7C0A0FE4"/>
    <w:rsid w:val="7C254906"/>
    <w:rsid w:val="7C32494F"/>
    <w:rsid w:val="7C413482"/>
    <w:rsid w:val="7C590818"/>
    <w:rsid w:val="7C596A1E"/>
    <w:rsid w:val="7C7C10F6"/>
    <w:rsid w:val="7C853BEA"/>
    <w:rsid w:val="7C8617DD"/>
    <w:rsid w:val="7C881368"/>
    <w:rsid w:val="7CA35EEB"/>
    <w:rsid w:val="7CBA4FE2"/>
    <w:rsid w:val="7CD564F7"/>
    <w:rsid w:val="7CDE6F23"/>
    <w:rsid w:val="7CE27788"/>
    <w:rsid w:val="7D0C32F1"/>
    <w:rsid w:val="7D0F408D"/>
    <w:rsid w:val="7D140B97"/>
    <w:rsid w:val="7D491C6C"/>
    <w:rsid w:val="7D5316BF"/>
    <w:rsid w:val="7D5429C0"/>
    <w:rsid w:val="7D637428"/>
    <w:rsid w:val="7D6E6D43"/>
    <w:rsid w:val="7DB57A34"/>
    <w:rsid w:val="7DCF4ABD"/>
    <w:rsid w:val="7DE1316F"/>
    <w:rsid w:val="7DE60973"/>
    <w:rsid w:val="7DEE3196"/>
    <w:rsid w:val="7DEF0916"/>
    <w:rsid w:val="7DF509C8"/>
    <w:rsid w:val="7E1E5218"/>
    <w:rsid w:val="7E327526"/>
    <w:rsid w:val="7E573431"/>
    <w:rsid w:val="7E6C679B"/>
    <w:rsid w:val="7E894C20"/>
    <w:rsid w:val="7E9A4E1F"/>
    <w:rsid w:val="7EA36676"/>
    <w:rsid w:val="7EA63A70"/>
    <w:rsid w:val="7EA7723A"/>
    <w:rsid w:val="7EAF6DC9"/>
    <w:rsid w:val="7EBE0DBA"/>
    <w:rsid w:val="7ED062A2"/>
    <w:rsid w:val="7EF56FBB"/>
    <w:rsid w:val="7F0768EB"/>
    <w:rsid w:val="7F143BEC"/>
    <w:rsid w:val="7F313C82"/>
    <w:rsid w:val="7F362021"/>
    <w:rsid w:val="7F453289"/>
    <w:rsid w:val="7F45772D"/>
    <w:rsid w:val="7F4F4108"/>
    <w:rsid w:val="7F715AF2"/>
    <w:rsid w:val="7F7B47F9"/>
    <w:rsid w:val="7F886E69"/>
    <w:rsid w:val="7F8D69DE"/>
    <w:rsid w:val="7FA2692E"/>
    <w:rsid w:val="7FD12D6F"/>
    <w:rsid w:val="7FF4717D"/>
    <w:rsid w:val="7FF8654D"/>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6"/>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link w:val="314"/>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50"/>
    <w:link w:val="325"/>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首行缩进 21"/>
    <w:basedOn w:val="24"/>
    <w:unhideWhenUsed/>
    <w:qFormat/>
    <w:uiPriority w:val="99"/>
    <w:pPr>
      <w:spacing w:after="120" w:line="240" w:lineRule="auto"/>
      <w:ind w:left="420" w:leftChars="200" w:firstLine="420" w:firstLineChars="200"/>
    </w:pPr>
    <w:rPr>
      <w:sz w:val="21"/>
      <w:szCs w:val="2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styleId="83">
    <w:name w:val="List Paragraph"/>
    <w:basedOn w:val="1"/>
    <w:qFormat/>
    <w:uiPriority w:val="34"/>
    <w:pPr>
      <w:ind w:firstLine="420" w:firstLineChars="200"/>
    </w:pPr>
  </w:style>
  <w:style w:type="paragraph" w:customStyle="1" w:styleId="84">
    <w:name w:val="Normal Indent"/>
    <w:basedOn w:val="1"/>
    <w:next w:val="1"/>
    <w:qFormat/>
    <w:uiPriority w:val="0"/>
    <w:pPr>
      <w:ind w:firstLine="420"/>
    </w:pPr>
    <w:rPr>
      <w:szCs w:val="20"/>
    </w:rPr>
  </w:style>
  <w:style w:type="paragraph" w:customStyle="1" w:styleId="85">
    <w:name w:val="Normal Indent1"/>
    <w:basedOn w:val="1"/>
    <w:next w:val="1"/>
    <w:qFormat/>
    <w:uiPriority w:val="0"/>
    <w:pPr>
      <w:ind w:firstLine="420"/>
    </w:pPr>
    <w:rPr>
      <w:szCs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link w:val="432"/>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32"/>
    <w:next w:val="1"/>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7"/>
    <w:qFormat/>
    <w:uiPriority w:val="0"/>
    <w:rPr>
      <w:kern w:val="2"/>
      <w:sz w:val="21"/>
      <w:szCs w:val="24"/>
      <w:lang w:val="zh-CN"/>
    </w:rPr>
  </w:style>
  <w:style w:type="character" w:customStyle="1" w:styleId="937">
    <w:name w:val="无间隔 字符"/>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9">
    <w:name w:val="p16"/>
    <w:basedOn w:val="1"/>
    <w:qFormat/>
    <w:uiPriority w:val="0"/>
    <w:pPr>
      <w:widowControl/>
      <w:spacing w:before="100" w:after="100"/>
      <w:jc w:val="left"/>
    </w:pPr>
    <w:rPr>
      <w:rFonts w:ascii="宋体" w:hAnsi="宋体" w:cs="宋体"/>
      <w:color w:val="000000"/>
      <w:kern w:val="0"/>
      <w:sz w:val="24"/>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须知小标题"/>
    <w:basedOn w:val="1"/>
    <w:qFormat/>
    <w:uiPriority w:val="0"/>
    <w:pPr>
      <w:spacing w:line="500" w:lineRule="exact"/>
    </w:pPr>
    <w:rPr>
      <w:rFonts w:ascii="黑体" w:hAnsi="Calibri" w:eastAsia="黑体" w:cs="Calibri"/>
      <w:b/>
      <w:sz w:val="28"/>
      <w:szCs w:val="20"/>
    </w:rPr>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3301</Words>
  <Characters>3827</Characters>
  <Lines>405</Lines>
  <Paragraphs>114</Paragraphs>
  <TotalTime>44</TotalTime>
  <ScaleCrop>false</ScaleCrop>
  <LinksUpToDate>false</LinksUpToDate>
  <CharactersWithSpaces>4024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阿呼呼酱</cp:lastModifiedBy>
  <cp:lastPrinted>2025-05-24T09:00:00Z</cp:lastPrinted>
  <dcterms:modified xsi:type="dcterms:W3CDTF">2025-06-23T01:29:55Z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565E6A067EC44FC3AB7BB2B4B350BF90_13</vt:lpwstr>
  </property>
  <property fmtid="{D5CDD505-2E9C-101B-9397-08002B2CF9AE}" pid="5" name="commondata">
    <vt:lpwstr>eyJoZGlkIjoiNGNlMmFkMDQ1NDY0ZmRiM2Q0NjY4NTFjN2IwMTllYjMifQ==</vt:lpwstr>
  </property>
  <property fmtid="{D5CDD505-2E9C-101B-9397-08002B2CF9AE}" pid="6" name="KSOTemplateDocerSaveRecord">
    <vt:lpwstr>eyJoZGlkIjoiZWJiMmJhZTE4MjQ2MjMxNDI3MjdhMWQwMjEwYWU1MWYiLCJ1c2VySWQiOiI0NDUyNjY0MTcifQ==</vt:lpwstr>
  </property>
</Properties>
</file>