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ascii="黑体" w:hAnsi="黑体" w:eastAsia="黑体"/>
          <w:b/>
          <w:color w:val="auto"/>
          <w:sz w:val="48"/>
          <w:szCs w:val="48"/>
          <w:highlight w:val="none"/>
        </w:rPr>
      </w:pPr>
      <w:bookmarkStart w:id="65" w:name="_GoBack"/>
      <w:bookmarkEnd w:id="65"/>
      <w:r>
        <w:rPr>
          <w:rFonts w:hint="eastAsia" w:ascii="黑体" w:hAnsi="黑体" w:eastAsia="黑体"/>
          <w:b/>
          <w:color w:val="auto"/>
          <w:sz w:val="48"/>
          <w:szCs w:val="48"/>
          <w:highlight w:val="none"/>
        </w:rPr>
        <w:t>政 府 采 购 项 目</w:t>
      </w:r>
    </w:p>
    <w:p>
      <w:pPr>
        <w:spacing w:before="120" w:beforeLines="50"/>
        <w:jc w:val="center"/>
        <w:rPr>
          <w:rFonts w:ascii="宋体" w:hAnsi="宋体"/>
          <w:b/>
          <w:color w:val="auto"/>
          <w:sz w:val="48"/>
          <w:szCs w:val="48"/>
          <w:highlight w:val="none"/>
        </w:rPr>
      </w:pPr>
    </w:p>
    <w:p>
      <w:pPr>
        <w:spacing w:before="120" w:beforeLines="50"/>
        <w:jc w:val="center"/>
        <w:rPr>
          <w:rFonts w:ascii="黑体" w:hAnsi="黑体" w:eastAsia="黑体"/>
          <w:b/>
          <w:color w:val="auto"/>
          <w:sz w:val="72"/>
          <w:szCs w:val="72"/>
          <w:highlight w:val="none"/>
        </w:rPr>
      </w:pPr>
      <w:r>
        <w:rPr>
          <w:rFonts w:hint="eastAsia" w:ascii="黑体" w:hAnsi="黑体" w:eastAsia="黑体"/>
          <w:b/>
          <w:color w:val="auto"/>
          <w:sz w:val="72"/>
          <w:szCs w:val="72"/>
          <w:highlight w:val="none"/>
        </w:rPr>
        <w:t>公开招标采购文件</w:t>
      </w: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ind w:left="1595" w:leftChars="100" w:hanging="1385" w:hangingChars="460"/>
        <w:rPr>
          <w:rFonts w:hint="eastAsia" w:ascii="宋体" w:hAnsi="宋体"/>
          <w:b/>
          <w:color w:val="auto"/>
          <w:sz w:val="30"/>
          <w:szCs w:val="72"/>
          <w:highlight w:val="none"/>
        </w:rPr>
      </w:pPr>
    </w:p>
    <w:p>
      <w:pPr>
        <w:snapToGrid w:val="0"/>
        <w:spacing w:before="120" w:beforeLines="50" w:line="360" w:lineRule="auto"/>
        <w:ind w:left="1595" w:leftChars="100" w:hanging="1385" w:hangingChars="460"/>
        <w:rPr>
          <w:rFonts w:hint="eastAsia" w:ascii="宋体" w:hAnsi="宋体" w:eastAsia="宋体"/>
          <w:b/>
          <w:color w:val="auto"/>
          <w:sz w:val="30"/>
          <w:szCs w:val="48"/>
          <w:highlight w:val="none"/>
          <w:lang w:eastAsia="zh-CN"/>
        </w:rPr>
      </w:pPr>
      <w:r>
        <w:rPr>
          <w:rFonts w:hint="eastAsia" w:ascii="宋体" w:hAnsi="宋体"/>
          <w:b/>
          <w:color w:val="auto"/>
          <w:sz w:val="30"/>
          <w:szCs w:val="72"/>
          <w:highlight w:val="none"/>
        </w:rPr>
        <w:t>项目名称</w:t>
      </w:r>
      <w:r>
        <w:rPr>
          <w:rFonts w:hint="eastAsia" w:ascii="宋体" w:hAnsi="宋体"/>
          <w:color w:val="auto"/>
          <w:sz w:val="30"/>
          <w:szCs w:val="72"/>
          <w:highlight w:val="none"/>
        </w:rPr>
        <w:t>：</w:t>
      </w:r>
      <w:r>
        <w:rPr>
          <w:rFonts w:hint="eastAsia" w:hAnsi="宋体"/>
          <w:b/>
          <w:color w:val="auto"/>
          <w:sz w:val="30"/>
          <w:szCs w:val="48"/>
          <w:highlight w:val="none"/>
          <w:lang w:eastAsia="zh-CN"/>
        </w:rPr>
        <w:t>海曙区高桥镇长乐未来社区项目房屋征收第三方服务采购项目</w:t>
      </w:r>
    </w:p>
    <w:p>
      <w:pPr>
        <w:pStyle w:val="22"/>
        <w:snapToGrid w:val="0"/>
        <w:spacing w:before="120" w:beforeLines="0" w:after="120" w:afterLines="0" w:line="360" w:lineRule="auto"/>
        <w:ind w:leftChars="100"/>
        <w:rPr>
          <w:rFonts w:hAnsi="宋体"/>
          <w:b/>
          <w:bCs/>
          <w:color w:val="auto"/>
          <w:w w:val="95"/>
          <w:sz w:val="30"/>
          <w:szCs w:val="30"/>
          <w:highlight w:val="none"/>
        </w:rPr>
      </w:pPr>
      <w:r>
        <w:rPr>
          <w:rFonts w:hAnsi="宋体"/>
          <w:b/>
          <w:bCs/>
          <w:color w:val="auto"/>
          <w:w w:val="95"/>
          <w:sz w:val="30"/>
          <w:szCs w:val="30"/>
          <w:highlight w:val="none"/>
        </w:rPr>
        <w:t>采购单位：</w:t>
      </w:r>
      <w:r>
        <w:rPr>
          <w:rFonts w:hint="eastAsia" w:hAnsi="宋体"/>
          <w:b/>
          <w:color w:val="auto"/>
          <w:sz w:val="30"/>
          <w:szCs w:val="48"/>
          <w:highlight w:val="none"/>
        </w:rPr>
        <w:t>宁波市海曙区高桥镇人民政府</w:t>
      </w:r>
    </w:p>
    <w:p>
      <w:pPr>
        <w:pStyle w:val="22"/>
        <w:snapToGrid w:val="0"/>
        <w:spacing w:before="120" w:beforeLines="0" w:after="120" w:afterLines="0" w:line="360" w:lineRule="auto"/>
        <w:ind w:leftChars="100"/>
        <w:rPr>
          <w:rFonts w:hint="default" w:hAnsi="宋体" w:eastAsia="宋体"/>
          <w:b/>
          <w:color w:val="auto"/>
          <w:sz w:val="30"/>
          <w:szCs w:val="48"/>
          <w:highlight w:val="none"/>
          <w:lang w:val="en-US" w:eastAsia="zh-CN"/>
        </w:rPr>
      </w:pPr>
      <w:r>
        <w:rPr>
          <w:rFonts w:hAnsi="宋体"/>
          <w:b/>
          <w:bCs/>
          <w:color w:val="auto"/>
          <w:w w:val="95"/>
          <w:sz w:val="30"/>
          <w:szCs w:val="30"/>
          <w:highlight w:val="none"/>
        </w:rPr>
        <w:t>代理机构：</w:t>
      </w:r>
      <w:r>
        <w:rPr>
          <w:rFonts w:hint="eastAsia" w:hAnsi="宋体"/>
          <w:b/>
          <w:bCs/>
          <w:color w:val="auto"/>
          <w:w w:val="95"/>
          <w:sz w:val="30"/>
          <w:szCs w:val="30"/>
          <w:highlight w:val="none"/>
          <w:lang w:val="en-US" w:eastAsia="zh-CN"/>
        </w:rPr>
        <w:t>浙江联达工程项目管理有限公司</w:t>
      </w:r>
    </w:p>
    <w:p>
      <w:pPr>
        <w:pStyle w:val="22"/>
        <w:snapToGrid w:val="0"/>
        <w:spacing w:before="120" w:beforeLines="0" w:after="120" w:afterLines="0" w:line="360" w:lineRule="auto"/>
        <w:rPr>
          <w:rFonts w:hAnsi="宋体"/>
          <w:b/>
          <w:color w:val="auto"/>
          <w:sz w:val="30"/>
          <w:szCs w:val="48"/>
          <w:highlight w:val="none"/>
        </w:rPr>
      </w:pPr>
    </w:p>
    <w:p>
      <w:pPr>
        <w:snapToGrid w:val="0"/>
        <w:spacing w:before="156" w:beforeLines="50" w:line="360" w:lineRule="auto"/>
        <w:jc w:val="center"/>
        <w:rPr>
          <w:rFonts w:ascii="宋体"/>
          <w:color w:val="auto"/>
          <w:highlight w:val="none"/>
        </w:rPr>
      </w:pPr>
      <w:r>
        <w:rPr>
          <w:rFonts w:hint="eastAsia" w:ascii="宋体" w:hAnsi="宋体"/>
          <w:b/>
          <w:bCs/>
          <w:color w:val="auto"/>
          <w:w w:val="95"/>
          <w:sz w:val="30"/>
          <w:szCs w:val="30"/>
          <w:highlight w:val="none"/>
        </w:rPr>
        <w:t>二〇二</w:t>
      </w:r>
      <w:r>
        <w:rPr>
          <w:rFonts w:hint="eastAsia" w:ascii="宋体" w:hAnsi="宋体"/>
          <w:b/>
          <w:bCs/>
          <w:color w:val="auto"/>
          <w:w w:val="95"/>
          <w:sz w:val="30"/>
          <w:szCs w:val="30"/>
          <w:highlight w:val="none"/>
          <w:lang w:val="en-US" w:eastAsia="zh-CN"/>
        </w:rPr>
        <w:t>二</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一</w:t>
      </w:r>
      <w:r>
        <w:rPr>
          <w:rFonts w:hint="eastAsia" w:ascii="宋体" w:hAnsi="宋体"/>
          <w:b/>
          <w:bCs/>
          <w:color w:val="auto"/>
          <w:w w:val="95"/>
          <w:sz w:val="30"/>
          <w:szCs w:val="30"/>
          <w:highlight w:val="none"/>
        </w:rPr>
        <w:t>月</w:t>
      </w:r>
    </w:p>
    <w:p>
      <w:pPr>
        <w:spacing w:line="600" w:lineRule="exact"/>
        <w:rPr>
          <w:rFonts w:ascii="宋体" w:hAnsi="宋体"/>
          <w:b/>
          <w:color w:val="auto"/>
          <w:sz w:val="28"/>
          <w:szCs w:val="28"/>
          <w:highlight w:val="none"/>
        </w:rPr>
      </w:pPr>
    </w:p>
    <w:p>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spacing w:line="1200" w:lineRule="exact"/>
        <w:jc w:val="center"/>
        <w:rPr>
          <w:rFonts w:ascii="宋体" w:hAnsi="宋体"/>
          <w:b/>
          <w:color w:val="auto"/>
          <w:sz w:val="52"/>
          <w:szCs w:val="52"/>
          <w:highlight w:val="none"/>
        </w:rPr>
      </w:pP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、“商务和技术文件”中不得出现涉及投标价格的内容，否则作无效标处理。</w:t>
      </w:r>
    </w:p>
    <w:p>
      <w:pPr>
        <w:spacing w:line="1000" w:lineRule="exact"/>
        <w:jc w:val="left"/>
        <w:rPr>
          <w:rFonts w:hint="eastAsia"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jc w:val="center"/>
        <w:outlineLvl w:val="0"/>
        <w:rPr>
          <w:rFonts w:ascii="宋体" w:hAnsi="宋体"/>
          <w:b/>
          <w:bCs/>
          <w:color w:val="auto"/>
          <w:sz w:val="32"/>
          <w:szCs w:val="32"/>
          <w:highlight w:val="none"/>
        </w:rPr>
      </w:pPr>
    </w:p>
    <w:p>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29"/>
        <w:rPr>
          <w:rFonts w:ascii="Calibri" w:hAnsi="Calibri"/>
          <w:color w:val="auto"/>
          <w:sz w:val="21"/>
          <w:szCs w:val="22"/>
          <w:highlight w:val="none"/>
          <w:lang/>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lang/>
        </w:rPr>
        <w:fldChar w:fldCharType="begin"/>
      </w:r>
      <w:r>
        <w:rPr>
          <w:rStyle w:val="52"/>
          <w:color w:val="auto"/>
          <w:highlight w:val="none"/>
          <w:lang/>
        </w:rPr>
        <w:instrText xml:space="preserve"> </w:instrText>
      </w:r>
      <w:r>
        <w:rPr>
          <w:color w:val="auto"/>
          <w:highlight w:val="none"/>
          <w:lang/>
        </w:rPr>
        <w:instrText xml:space="preserve">HYPERLINK \l "_Toc90369648"</w:instrText>
      </w:r>
      <w:r>
        <w:rPr>
          <w:rStyle w:val="52"/>
          <w:color w:val="auto"/>
          <w:highlight w:val="none"/>
          <w:lang/>
        </w:rPr>
        <w:instrText xml:space="preserve"> </w:instrText>
      </w:r>
      <w:r>
        <w:rPr>
          <w:color w:val="auto"/>
          <w:highlight w:val="none"/>
          <w:lang/>
        </w:rPr>
        <w:fldChar w:fldCharType="separate"/>
      </w:r>
      <w:r>
        <w:rPr>
          <w:rStyle w:val="52"/>
          <w:rFonts w:hint="eastAsia"/>
          <w:b/>
          <w:color w:val="auto"/>
          <w:highlight w:val="none"/>
          <w:lang/>
        </w:rPr>
        <w:t>第一章</w:t>
      </w:r>
      <w:r>
        <w:rPr>
          <w:rStyle w:val="52"/>
          <w:b/>
          <w:color w:val="auto"/>
          <w:highlight w:val="none"/>
          <w:lang/>
        </w:rPr>
        <w:t xml:space="preserve">  </w:t>
      </w:r>
      <w:r>
        <w:rPr>
          <w:rStyle w:val="52"/>
          <w:rFonts w:hint="eastAsia"/>
          <w:b/>
          <w:color w:val="auto"/>
          <w:highlight w:val="none"/>
          <w:lang/>
        </w:rPr>
        <w:t>招标公告</w:t>
      </w:r>
      <w:r>
        <w:rPr>
          <w:color w:val="auto"/>
          <w:highlight w:val="none"/>
          <w:lang/>
        </w:rPr>
        <w:tab/>
      </w:r>
      <w:r>
        <w:rPr>
          <w:color w:val="auto"/>
          <w:highlight w:val="none"/>
          <w:lang/>
        </w:rPr>
        <w:fldChar w:fldCharType="begin"/>
      </w:r>
      <w:r>
        <w:rPr>
          <w:color w:val="auto"/>
          <w:highlight w:val="none"/>
          <w:lang/>
        </w:rPr>
        <w:instrText xml:space="preserve"> PAGEREF _Toc90369648 \h </w:instrText>
      </w:r>
      <w:r>
        <w:rPr>
          <w:color w:val="auto"/>
          <w:highlight w:val="none"/>
          <w:lang/>
        </w:rPr>
        <w:fldChar w:fldCharType="separate"/>
      </w:r>
      <w:r>
        <w:rPr>
          <w:color w:val="auto"/>
          <w:highlight w:val="none"/>
          <w:lang/>
        </w:rPr>
        <w:t>1</w:t>
      </w:r>
      <w:r>
        <w:rPr>
          <w:color w:val="auto"/>
          <w:highlight w:val="none"/>
          <w:lang/>
        </w:rPr>
        <w:fldChar w:fldCharType="end"/>
      </w:r>
      <w:r>
        <w:rPr>
          <w:color w:val="auto"/>
          <w:highlight w:val="none"/>
          <w:lang/>
        </w:rPr>
        <w:fldChar w:fldCharType="end"/>
      </w:r>
    </w:p>
    <w:p>
      <w:pPr>
        <w:pStyle w:val="29"/>
        <w:rPr>
          <w:rFonts w:ascii="Calibri" w:hAnsi="Calibri"/>
          <w:color w:val="auto"/>
          <w:sz w:val="21"/>
          <w:szCs w:val="22"/>
          <w:highlight w:val="none"/>
          <w:lang/>
        </w:rPr>
      </w:pPr>
      <w:r>
        <w:rPr>
          <w:color w:val="auto"/>
          <w:highlight w:val="none"/>
          <w:lang/>
        </w:rPr>
        <w:fldChar w:fldCharType="begin"/>
      </w:r>
      <w:r>
        <w:rPr>
          <w:rStyle w:val="52"/>
          <w:color w:val="auto"/>
          <w:highlight w:val="none"/>
          <w:lang/>
        </w:rPr>
        <w:instrText xml:space="preserve"> </w:instrText>
      </w:r>
      <w:r>
        <w:rPr>
          <w:color w:val="auto"/>
          <w:highlight w:val="none"/>
          <w:lang/>
        </w:rPr>
        <w:instrText xml:space="preserve">HYPERLINK \l "_Toc90369649"</w:instrText>
      </w:r>
      <w:r>
        <w:rPr>
          <w:rStyle w:val="52"/>
          <w:color w:val="auto"/>
          <w:highlight w:val="none"/>
          <w:lang/>
        </w:rPr>
        <w:instrText xml:space="preserve"> </w:instrText>
      </w:r>
      <w:r>
        <w:rPr>
          <w:color w:val="auto"/>
          <w:highlight w:val="none"/>
          <w:lang/>
        </w:rPr>
        <w:fldChar w:fldCharType="separate"/>
      </w:r>
      <w:r>
        <w:rPr>
          <w:rStyle w:val="52"/>
          <w:rFonts w:hint="eastAsia"/>
          <w:b/>
          <w:color w:val="auto"/>
          <w:highlight w:val="none"/>
          <w:lang/>
        </w:rPr>
        <w:t>第二章</w:t>
      </w:r>
      <w:r>
        <w:rPr>
          <w:rStyle w:val="52"/>
          <w:b/>
          <w:color w:val="auto"/>
          <w:highlight w:val="none"/>
          <w:lang/>
        </w:rPr>
        <w:t xml:space="preserve">  </w:t>
      </w:r>
      <w:r>
        <w:rPr>
          <w:rStyle w:val="52"/>
          <w:rFonts w:hint="eastAsia"/>
          <w:b/>
          <w:color w:val="auto"/>
          <w:highlight w:val="none"/>
          <w:lang/>
        </w:rPr>
        <w:t>投标须知</w:t>
      </w:r>
      <w:r>
        <w:rPr>
          <w:color w:val="auto"/>
          <w:highlight w:val="none"/>
          <w:lang/>
        </w:rPr>
        <w:tab/>
      </w:r>
      <w:r>
        <w:rPr>
          <w:color w:val="auto"/>
          <w:highlight w:val="none"/>
          <w:lang/>
        </w:rPr>
        <w:fldChar w:fldCharType="begin"/>
      </w:r>
      <w:r>
        <w:rPr>
          <w:color w:val="auto"/>
          <w:highlight w:val="none"/>
          <w:lang/>
        </w:rPr>
        <w:instrText xml:space="preserve"> PAGEREF _Toc90369649 \h </w:instrText>
      </w:r>
      <w:r>
        <w:rPr>
          <w:color w:val="auto"/>
          <w:highlight w:val="none"/>
          <w:lang/>
        </w:rPr>
        <w:fldChar w:fldCharType="separate"/>
      </w:r>
      <w:r>
        <w:rPr>
          <w:color w:val="auto"/>
          <w:highlight w:val="none"/>
          <w:lang/>
        </w:rPr>
        <w:t>6</w:t>
      </w:r>
      <w:r>
        <w:rPr>
          <w:color w:val="auto"/>
          <w:highlight w:val="none"/>
          <w:lang/>
        </w:rPr>
        <w:fldChar w:fldCharType="end"/>
      </w:r>
      <w:r>
        <w:rPr>
          <w:color w:val="auto"/>
          <w:highlight w:val="none"/>
          <w:lang/>
        </w:rPr>
        <w:fldChar w:fldCharType="end"/>
      </w:r>
    </w:p>
    <w:p>
      <w:pPr>
        <w:pStyle w:val="29"/>
        <w:rPr>
          <w:rFonts w:ascii="Calibri" w:hAnsi="Calibri"/>
          <w:color w:val="auto"/>
          <w:sz w:val="21"/>
          <w:szCs w:val="22"/>
          <w:highlight w:val="none"/>
          <w:lang/>
        </w:rPr>
      </w:pPr>
      <w:r>
        <w:rPr>
          <w:color w:val="auto"/>
          <w:highlight w:val="none"/>
          <w:lang/>
        </w:rPr>
        <w:fldChar w:fldCharType="begin"/>
      </w:r>
      <w:r>
        <w:rPr>
          <w:rStyle w:val="52"/>
          <w:color w:val="auto"/>
          <w:highlight w:val="none"/>
          <w:lang/>
        </w:rPr>
        <w:instrText xml:space="preserve"> </w:instrText>
      </w:r>
      <w:r>
        <w:rPr>
          <w:color w:val="auto"/>
          <w:highlight w:val="none"/>
          <w:lang/>
        </w:rPr>
        <w:instrText xml:space="preserve">HYPERLINK \l "_Toc90369650"</w:instrText>
      </w:r>
      <w:r>
        <w:rPr>
          <w:rStyle w:val="52"/>
          <w:color w:val="auto"/>
          <w:highlight w:val="none"/>
          <w:lang/>
        </w:rPr>
        <w:instrText xml:space="preserve"> </w:instrText>
      </w:r>
      <w:r>
        <w:rPr>
          <w:color w:val="auto"/>
          <w:highlight w:val="none"/>
          <w:lang/>
        </w:rPr>
        <w:fldChar w:fldCharType="separate"/>
      </w:r>
      <w:r>
        <w:rPr>
          <w:rStyle w:val="52"/>
          <w:rFonts w:hint="eastAsia"/>
          <w:b/>
          <w:color w:val="auto"/>
          <w:highlight w:val="none"/>
          <w:lang/>
        </w:rPr>
        <w:t>第三章</w:t>
      </w:r>
      <w:r>
        <w:rPr>
          <w:rStyle w:val="52"/>
          <w:b/>
          <w:color w:val="auto"/>
          <w:highlight w:val="none"/>
          <w:lang/>
        </w:rPr>
        <w:t xml:space="preserve">  </w:t>
      </w:r>
      <w:r>
        <w:rPr>
          <w:rStyle w:val="52"/>
          <w:rFonts w:hint="eastAsia"/>
          <w:b/>
          <w:color w:val="auto"/>
          <w:highlight w:val="none"/>
          <w:lang/>
        </w:rPr>
        <w:t>评标办法及标准</w:t>
      </w:r>
      <w:r>
        <w:rPr>
          <w:color w:val="auto"/>
          <w:highlight w:val="none"/>
          <w:lang/>
        </w:rPr>
        <w:tab/>
      </w:r>
      <w:r>
        <w:rPr>
          <w:color w:val="auto"/>
          <w:highlight w:val="none"/>
          <w:lang/>
        </w:rPr>
        <w:fldChar w:fldCharType="begin"/>
      </w:r>
      <w:r>
        <w:rPr>
          <w:color w:val="auto"/>
          <w:highlight w:val="none"/>
          <w:lang/>
        </w:rPr>
        <w:instrText xml:space="preserve"> PAGEREF _Toc90369650 \h </w:instrText>
      </w:r>
      <w:r>
        <w:rPr>
          <w:color w:val="auto"/>
          <w:highlight w:val="none"/>
          <w:lang/>
        </w:rPr>
        <w:fldChar w:fldCharType="separate"/>
      </w:r>
      <w:r>
        <w:rPr>
          <w:color w:val="auto"/>
          <w:highlight w:val="none"/>
          <w:lang/>
        </w:rPr>
        <w:t>13</w:t>
      </w:r>
      <w:r>
        <w:rPr>
          <w:color w:val="auto"/>
          <w:highlight w:val="none"/>
          <w:lang/>
        </w:rPr>
        <w:fldChar w:fldCharType="end"/>
      </w:r>
      <w:r>
        <w:rPr>
          <w:color w:val="auto"/>
          <w:highlight w:val="none"/>
          <w:lang/>
        </w:rPr>
        <w:fldChar w:fldCharType="end"/>
      </w:r>
    </w:p>
    <w:p>
      <w:pPr>
        <w:pStyle w:val="29"/>
        <w:rPr>
          <w:rFonts w:ascii="Calibri" w:hAnsi="Calibri"/>
          <w:color w:val="auto"/>
          <w:sz w:val="21"/>
          <w:szCs w:val="22"/>
          <w:highlight w:val="none"/>
          <w:lang/>
        </w:rPr>
      </w:pPr>
      <w:r>
        <w:rPr>
          <w:color w:val="auto"/>
          <w:highlight w:val="none"/>
          <w:lang/>
        </w:rPr>
        <w:fldChar w:fldCharType="begin"/>
      </w:r>
      <w:r>
        <w:rPr>
          <w:rStyle w:val="52"/>
          <w:color w:val="auto"/>
          <w:highlight w:val="none"/>
          <w:lang/>
        </w:rPr>
        <w:instrText xml:space="preserve"> </w:instrText>
      </w:r>
      <w:r>
        <w:rPr>
          <w:color w:val="auto"/>
          <w:highlight w:val="none"/>
          <w:lang/>
        </w:rPr>
        <w:instrText xml:space="preserve">HYPERLINK \l "_Toc90369651"</w:instrText>
      </w:r>
      <w:r>
        <w:rPr>
          <w:rStyle w:val="52"/>
          <w:color w:val="auto"/>
          <w:highlight w:val="none"/>
          <w:lang/>
        </w:rPr>
        <w:instrText xml:space="preserve"> </w:instrText>
      </w:r>
      <w:r>
        <w:rPr>
          <w:color w:val="auto"/>
          <w:highlight w:val="none"/>
          <w:lang/>
        </w:rPr>
        <w:fldChar w:fldCharType="separate"/>
      </w:r>
      <w:r>
        <w:rPr>
          <w:rStyle w:val="52"/>
          <w:rFonts w:hint="eastAsia"/>
          <w:b/>
          <w:color w:val="auto"/>
          <w:highlight w:val="none"/>
          <w:lang/>
        </w:rPr>
        <w:t>第四章</w:t>
      </w:r>
      <w:r>
        <w:rPr>
          <w:rStyle w:val="52"/>
          <w:b/>
          <w:color w:val="auto"/>
          <w:highlight w:val="none"/>
          <w:lang/>
        </w:rPr>
        <w:t xml:space="preserve">  </w:t>
      </w:r>
      <w:r>
        <w:rPr>
          <w:rStyle w:val="52"/>
          <w:rFonts w:hint="eastAsia"/>
          <w:b/>
          <w:color w:val="auto"/>
          <w:highlight w:val="none"/>
          <w:lang/>
        </w:rPr>
        <w:t>采购合同样本</w:t>
      </w:r>
      <w:r>
        <w:rPr>
          <w:color w:val="auto"/>
          <w:highlight w:val="none"/>
          <w:lang/>
        </w:rPr>
        <w:tab/>
      </w:r>
      <w:r>
        <w:rPr>
          <w:color w:val="auto"/>
          <w:highlight w:val="none"/>
          <w:lang/>
        </w:rPr>
        <w:fldChar w:fldCharType="begin"/>
      </w:r>
      <w:r>
        <w:rPr>
          <w:color w:val="auto"/>
          <w:highlight w:val="none"/>
          <w:lang/>
        </w:rPr>
        <w:instrText xml:space="preserve"> PAGEREF _Toc90369651 \h </w:instrText>
      </w:r>
      <w:r>
        <w:rPr>
          <w:color w:val="auto"/>
          <w:highlight w:val="none"/>
          <w:lang/>
        </w:rPr>
        <w:fldChar w:fldCharType="separate"/>
      </w:r>
      <w:r>
        <w:rPr>
          <w:color w:val="auto"/>
          <w:highlight w:val="none"/>
          <w:lang/>
        </w:rPr>
        <w:t>20</w:t>
      </w:r>
      <w:r>
        <w:rPr>
          <w:color w:val="auto"/>
          <w:highlight w:val="none"/>
          <w:lang/>
        </w:rPr>
        <w:fldChar w:fldCharType="end"/>
      </w:r>
      <w:r>
        <w:rPr>
          <w:color w:val="auto"/>
          <w:highlight w:val="none"/>
          <w:lang/>
        </w:rPr>
        <w:fldChar w:fldCharType="end"/>
      </w:r>
    </w:p>
    <w:p>
      <w:pPr>
        <w:pStyle w:val="29"/>
        <w:rPr>
          <w:rFonts w:ascii="Calibri" w:hAnsi="Calibri"/>
          <w:color w:val="auto"/>
          <w:sz w:val="21"/>
          <w:szCs w:val="22"/>
          <w:highlight w:val="none"/>
          <w:lang/>
        </w:rPr>
      </w:pPr>
      <w:r>
        <w:rPr>
          <w:color w:val="auto"/>
          <w:highlight w:val="none"/>
          <w:lang/>
        </w:rPr>
        <w:fldChar w:fldCharType="begin"/>
      </w:r>
      <w:r>
        <w:rPr>
          <w:rStyle w:val="52"/>
          <w:color w:val="auto"/>
          <w:highlight w:val="none"/>
          <w:lang/>
        </w:rPr>
        <w:instrText xml:space="preserve"> </w:instrText>
      </w:r>
      <w:r>
        <w:rPr>
          <w:color w:val="auto"/>
          <w:highlight w:val="none"/>
          <w:lang/>
        </w:rPr>
        <w:instrText xml:space="preserve">HYPERLINK \l "_Toc90369652"</w:instrText>
      </w:r>
      <w:r>
        <w:rPr>
          <w:rStyle w:val="52"/>
          <w:color w:val="auto"/>
          <w:highlight w:val="none"/>
          <w:lang/>
        </w:rPr>
        <w:instrText xml:space="preserve"> </w:instrText>
      </w:r>
      <w:r>
        <w:rPr>
          <w:color w:val="auto"/>
          <w:highlight w:val="none"/>
          <w:lang/>
        </w:rPr>
        <w:fldChar w:fldCharType="separate"/>
      </w:r>
      <w:r>
        <w:rPr>
          <w:rStyle w:val="52"/>
          <w:rFonts w:hint="eastAsia"/>
          <w:b/>
          <w:color w:val="auto"/>
          <w:highlight w:val="none"/>
          <w:lang/>
        </w:rPr>
        <w:t>第五章</w:t>
      </w:r>
      <w:r>
        <w:rPr>
          <w:rStyle w:val="52"/>
          <w:b/>
          <w:color w:val="auto"/>
          <w:highlight w:val="none"/>
          <w:lang/>
        </w:rPr>
        <w:t xml:space="preserve">  </w:t>
      </w:r>
      <w:r>
        <w:rPr>
          <w:rStyle w:val="52"/>
          <w:rFonts w:hint="eastAsia"/>
          <w:b/>
          <w:color w:val="auto"/>
          <w:highlight w:val="none"/>
          <w:lang/>
        </w:rPr>
        <w:t>招标内容与技术需求</w:t>
      </w:r>
      <w:r>
        <w:rPr>
          <w:color w:val="auto"/>
          <w:highlight w:val="none"/>
          <w:lang/>
        </w:rPr>
        <w:tab/>
      </w:r>
      <w:r>
        <w:rPr>
          <w:color w:val="auto"/>
          <w:highlight w:val="none"/>
          <w:lang/>
        </w:rPr>
        <w:fldChar w:fldCharType="begin"/>
      </w:r>
      <w:r>
        <w:rPr>
          <w:color w:val="auto"/>
          <w:highlight w:val="none"/>
          <w:lang/>
        </w:rPr>
        <w:instrText xml:space="preserve"> PAGEREF _Toc90369652 \h </w:instrText>
      </w:r>
      <w:r>
        <w:rPr>
          <w:color w:val="auto"/>
          <w:highlight w:val="none"/>
          <w:lang/>
        </w:rPr>
        <w:fldChar w:fldCharType="separate"/>
      </w:r>
      <w:r>
        <w:rPr>
          <w:color w:val="auto"/>
          <w:highlight w:val="none"/>
          <w:lang/>
        </w:rPr>
        <w:t>24</w:t>
      </w:r>
      <w:r>
        <w:rPr>
          <w:color w:val="auto"/>
          <w:highlight w:val="none"/>
          <w:lang/>
        </w:rPr>
        <w:fldChar w:fldCharType="end"/>
      </w:r>
      <w:r>
        <w:rPr>
          <w:color w:val="auto"/>
          <w:highlight w:val="none"/>
          <w:lang/>
        </w:rPr>
        <w:fldChar w:fldCharType="end"/>
      </w:r>
    </w:p>
    <w:p>
      <w:pPr>
        <w:pStyle w:val="29"/>
        <w:rPr>
          <w:rFonts w:ascii="Calibri" w:hAnsi="Calibri"/>
          <w:color w:val="auto"/>
          <w:sz w:val="21"/>
          <w:szCs w:val="22"/>
          <w:highlight w:val="none"/>
          <w:lang/>
        </w:rPr>
      </w:pPr>
      <w:r>
        <w:rPr>
          <w:color w:val="auto"/>
          <w:highlight w:val="none"/>
          <w:lang/>
        </w:rPr>
        <w:fldChar w:fldCharType="begin"/>
      </w:r>
      <w:r>
        <w:rPr>
          <w:rStyle w:val="52"/>
          <w:color w:val="auto"/>
          <w:highlight w:val="none"/>
          <w:lang/>
        </w:rPr>
        <w:instrText xml:space="preserve"> </w:instrText>
      </w:r>
      <w:r>
        <w:rPr>
          <w:color w:val="auto"/>
          <w:highlight w:val="none"/>
          <w:lang/>
        </w:rPr>
        <w:instrText xml:space="preserve">HYPERLINK \l "_Toc90369653"</w:instrText>
      </w:r>
      <w:r>
        <w:rPr>
          <w:rStyle w:val="52"/>
          <w:color w:val="auto"/>
          <w:highlight w:val="none"/>
          <w:lang/>
        </w:rPr>
        <w:instrText xml:space="preserve"> </w:instrText>
      </w:r>
      <w:r>
        <w:rPr>
          <w:color w:val="auto"/>
          <w:highlight w:val="none"/>
          <w:lang/>
        </w:rPr>
        <w:fldChar w:fldCharType="separate"/>
      </w:r>
      <w:r>
        <w:rPr>
          <w:rStyle w:val="52"/>
          <w:rFonts w:hint="eastAsia"/>
          <w:b/>
          <w:color w:val="auto"/>
          <w:highlight w:val="none"/>
          <w:lang/>
        </w:rPr>
        <w:t>第六章</w:t>
      </w:r>
      <w:r>
        <w:rPr>
          <w:rStyle w:val="52"/>
          <w:b/>
          <w:color w:val="auto"/>
          <w:highlight w:val="none"/>
          <w:lang/>
        </w:rPr>
        <w:t xml:space="preserve">  </w:t>
      </w:r>
      <w:r>
        <w:rPr>
          <w:rStyle w:val="52"/>
          <w:rFonts w:hint="eastAsia"/>
          <w:b/>
          <w:color w:val="auto"/>
          <w:highlight w:val="none"/>
          <w:lang/>
        </w:rPr>
        <w:t>商务条款</w:t>
      </w:r>
      <w:r>
        <w:rPr>
          <w:color w:val="auto"/>
          <w:highlight w:val="none"/>
          <w:lang/>
        </w:rPr>
        <w:tab/>
      </w:r>
      <w:r>
        <w:rPr>
          <w:color w:val="auto"/>
          <w:highlight w:val="none"/>
          <w:lang/>
        </w:rPr>
        <w:fldChar w:fldCharType="begin"/>
      </w:r>
      <w:r>
        <w:rPr>
          <w:color w:val="auto"/>
          <w:highlight w:val="none"/>
          <w:lang/>
        </w:rPr>
        <w:instrText xml:space="preserve"> PAGEREF _Toc90369653 \h </w:instrText>
      </w:r>
      <w:r>
        <w:rPr>
          <w:color w:val="auto"/>
          <w:highlight w:val="none"/>
          <w:lang/>
        </w:rPr>
        <w:fldChar w:fldCharType="separate"/>
      </w:r>
      <w:r>
        <w:rPr>
          <w:color w:val="auto"/>
          <w:highlight w:val="none"/>
          <w:lang/>
        </w:rPr>
        <w:t>25</w:t>
      </w:r>
      <w:r>
        <w:rPr>
          <w:color w:val="auto"/>
          <w:highlight w:val="none"/>
          <w:lang/>
        </w:rPr>
        <w:fldChar w:fldCharType="end"/>
      </w:r>
      <w:r>
        <w:rPr>
          <w:color w:val="auto"/>
          <w:highlight w:val="none"/>
          <w:lang/>
        </w:rPr>
        <w:fldChar w:fldCharType="end"/>
      </w:r>
    </w:p>
    <w:p>
      <w:pPr>
        <w:pStyle w:val="29"/>
        <w:rPr>
          <w:rFonts w:ascii="Calibri" w:hAnsi="Calibri"/>
          <w:color w:val="auto"/>
          <w:sz w:val="21"/>
          <w:szCs w:val="22"/>
          <w:highlight w:val="none"/>
          <w:lang/>
        </w:rPr>
      </w:pPr>
      <w:r>
        <w:rPr>
          <w:color w:val="auto"/>
          <w:highlight w:val="none"/>
          <w:lang/>
        </w:rPr>
        <w:fldChar w:fldCharType="begin"/>
      </w:r>
      <w:r>
        <w:rPr>
          <w:rStyle w:val="52"/>
          <w:color w:val="auto"/>
          <w:highlight w:val="none"/>
          <w:lang/>
        </w:rPr>
        <w:instrText xml:space="preserve"> </w:instrText>
      </w:r>
      <w:r>
        <w:rPr>
          <w:color w:val="auto"/>
          <w:highlight w:val="none"/>
          <w:lang/>
        </w:rPr>
        <w:instrText xml:space="preserve">HYPERLINK \l "_Toc90369654"</w:instrText>
      </w:r>
      <w:r>
        <w:rPr>
          <w:rStyle w:val="52"/>
          <w:color w:val="auto"/>
          <w:highlight w:val="none"/>
          <w:lang/>
        </w:rPr>
        <w:instrText xml:space="preserve"> </w:instrText>
      </w:r>
      <w:r>
        <w:rPr>
          <w:color w:val="auto"/>
          <w:highlight w:val="none"/>
          <w:lang/>
        </w:rPr>
        <w:fldChar w:fldCharType="separate"/>
      </w:r>
      <w:r>
        <w:rPr>
          <w:rStyle w:val="52"/>
          <w:rFonts w:hint="eastAsia"/>
          <w:b/>
          <w:color w:val="auto"/>
          <w:highlight w:val="none"/>
          <w:lang/>
        </w:rPr>
        <w:t>第七章</w:t>
      </w:r>
      <w:r>
        <w:rPr>
          <w:rStyle w:val="52"/>
          <w:b/>
          <w:color w:val="auto"/>
          <w:highlight w:val="none"/>
          <w:lang/>
        </w:rPr>
        <w:t xml:space="preserve">  </w:t>
      </w:r>
      <w:r>
        <w:rPr>
          <w:rStyle w:val="52"/>
          <w:rFonts w:hint="eastAsia"/>
          <w:b/>
          <w:color w:val="auto"/>
          <w:highlight w:val="none"/>
          <w:lang/>
        </w:rPr>
        <w:t>附件</w:t>
      </w:r>
      <w:r>
        <w:rPr>
          <w:color w:val="auto"/>
          <w:highlight w:val="none"/>
          <w:lang/>
        </w:rPr>
        <w:tab/>
      </w:r>
      <w:r>
        <w:rPr>
          <w:color w:val="auto"/>
          <w:highlight w:val="none"/>
          <w:lang/>
        </w:rPr>
        <w:fldChar w:fldCharType="begin"/>
      </w:r>
      <w:r>
        <w:rPr>
          <w:color w:val="auto"/>
          <w:highlight w:val="none"/>
          <w:lang/>
        </w:rPr>
        <w:instrText xml:space="preserve"> PAGEREF _Toc90369654 \h </w:instrText>
      </w:r>
      <w:r>
        <w:rPr>
          <w:color w:val="auto"/>
          <w:highlight w:val="none"/>
          <w:lang/>
        </w:rPr>
        <w:fldChar w:fldCharType="separate"/>
      </w:r>
      <w:r>
        <w:rPr>
          <w:color w:val="auto"/>
          <w:highlight w:val="none"/>
          <w:lang/>
        </w:rPr>
        <w:t>26</w:t>
      </w:r>
      <w:r>
        <w:rPr>
          <w:color w:val="auto"/>
          <w:highlight w:val="none"/>
          <w:lang/>
        </w:rPr>
        <w:fldChar w:fldCharType="end"/>
      </w:r>
      <w:r>
        <w:rPr>
          <w:color w:val="auto"/>
          <w:highlight w:val="none"/>
          <w:lang/>
        </w:rPr>
        <w:fldChar w:fldCharType="end"/>
      </w:r>
    </w:p>
    <w:p>
      <w:pPr>
        <w:spacing w:line="1000" w:lineRule="exact"/>
        <w:jc w:val="center"/>
        <w:rPr>
          <w:rFonts w:ascii="宋体" w:hAnsi="宋体"/>
          <w:b/>
          <w:color w:val="auto"/>
          <w:sz w:val="32"/>
          <w:highlight w:val="none"/>
        </w:rPr>
      </w:pPr>
      <w:r>
        <w:rPr>
          <w:rFonts w:ascii="宋体" w:hAnsi="宋体"/>
          <w:color w:val="auto"/>
          <w:highlight w:val="none"/>
        </w:rPr>
        <w:fldChar w:fldCharType="end"/>
      </w:r>
    </w:p>
    <w:p>
      <w:pPr>
        <w:spacing w:line="400" w:lineRule="exact"/>
        <w:jc w:val="center"/>
        <w:rPr>
          <w:rFonts w:ascii="宋体" w:hAnsi="宋体"/>
          <w:b/>
          <w:color w:val="auto"/>
          <w:sz w:val="32"/>
          <w:highlight w:val="none"/>
        </w:rPr>
        <w:sectPr>
          <w:headerReference r:id="rId3" w:type="default"/>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color w:val="auto"/>
          <w:sz w:val="32"/>
          <w:highlight w:val="none"/>
        </w:rPr>
      </w:pPr>
      <w:bookmarkStart w:id="0" w:name="_Toc90369648"/>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pPr>
        <w:pStyle w:val="40"/>
        <w:spacing w:before="75" w:beforeAutospacing="0" w:after="75" w:afterAutospacing="0" w:line="400" w:lineRule="exact"/>
        <w:rPr>
          <w:rFonts w:hint="eastAsia"/>
          <w:color w:val="auto"/>
          <w:sz w:val="21"/>
          <w:szCs w:val="21"/>
          <w:highlight w:val="none"/>
        </w:rPr>
      </w:pP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项目概况</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lang w:eastAsia="zh-CN"/>
        </w:rPr>
        <w:t>海曙区高桥镇长乐未来社区项目房屋征收第三方服务采购项目</w:t>
      </w:r>
      <w:r>
        <w:rPr>
          <w:rFonts w:hint="eastAsia"/>
          <w:color w:val="auto"/>
          <w:sz w:val="21"/>
          <w:szCs w:val="21"/>
          <w:highlight w:val="none"/>
        </w:rPr>
        <w:t>招标项目的潜在投标人应在政府采购云平台（</w:t>
      </w:r>
      <w:r>
        <w:rPr>
          <w:rFonts w:hint="eastAsia"/>
          <w:color w:val="auto"/>
          <w:sz w:val="21"/>
          <w:szCs w:val="21"/>
          <w:highlight w:val="none"/>
          <w:u w:val="none"/>
        </w:rPr>
        <w:t>www.zcygov.cn）获取（下载）招标文件，并于2022年</w:t>
      </w:r>
      <w:r>
        <w:rPr>
          <w:rFonts w:hint="eastAsia"/>
          <w:color w:val="auto"/>
          <w:sz w:val="21"/>
          <w:szCs w:val="21"/>
          <w:highlight w:val="none"/>
          <w:u w:val="none"/>
          <w:lang w:val="en-US" w:eastAsia="zh-CN"/>
        </w:rPr>
        <w:t>2</w:t>
      </w:r>
      <w:r>
        <w:rPr>
          <w:rFonts w:hint="eastAsia"/>
          <w:color w:val="auto"/>
          <w:sz w:val="21"/>
          <w:szCs w:val="21"/>
          <w:highlight w:val="none"/>
          <w:u w:val="none"/>
        </w:rPr>
        <w:t>月</w:t>
      </w:r>
      <w:r>
        <w:rPr>
          <w:rFonts w:hint="eastAsia"/>
          <w:color w:val="auto"/>
          <w:sz w:val="21"/>
          <w:szCs w:val="21"/>
          <w:highlight w:val="none"/>
          <w:lang w:val="en-US" w:eastAsia="zh-CN"/>
        </w:rPr>
        <w:t>18</w:t>
      </w:r>
      <w:r>
        <w:rPr>
          <w:rFonts w:hint="eastAsia"/>
          <w:color w:val="auto"/>
          <w:sz w:val="21"/>
          <w:szCs w:val="21"/>
          <w:highlight w:val="none"/>
        </w:rPr>
        <w:t>日</w:t>
      </w:r>
      <w:r>
        <w:rPr>
          <w:rFonts w:hint="eastAsia"/>
          <w:color w:val="auto"/>
          <w:sz w:val="21"/>
          <w:szCs w:val="21"/>
          <w:highlight w:val="none"/>
          <w:lang w:val="en-US" w:eastAsia="zh-CN"/>
        </w:rPr>
        <w:t>14</w:t>
      </w:r>
      <w:r>
        <w:rPr>
          <w:rFonts w:hint="eastAsia"/>
          <w:color w:val="auto"/>
          <w:sz w:val="21"/>
          <w:szCs w:val="21"/>
          <w:highlight w:val="none"/>
        </w:rPr>
        <w:t>:</w:t>
      </w:r>
      <w:r>
        <w:rPr>
          <w:rFonts w:hint="eastAsia"/>
          <w:color w:val="auto"/>
          <w:sz w:val="21"/>
          <w:szCs w:val="21"/>
          <w:highlight w:val="none"/>
          <w:lang w:val="en-US" w:eastAsia="zh-CN"/>
        </w:rPr>
        <w:t>00</w:t>
      </w:r>
      <w:r>
        <w:rPr>
          <w:rFonts w:hint="eastAsia"/>
          <w:color w:val="auto"/>
          <w:sz w:val="21"/>
          <w:szCs w:val="21"/>
          <w:highlight w:val="none"/>
        </w:rPr>
        <w:t>（北京时间）前递交（上传）投标文件。</w:t>
      </w:r>
    </w:p>
    <w:p>
      <w:pPr>
        <w:pStyle w:val="40"/>
        <w:spacing w:before="255" w:beforeAutospacing="0" w:after="255" w:afterAutospacing="0" w:line="400" w:lineRule="exact"/>
        <w:jc w:val="both"/>
        <w:rPr>
          <w:rFonts w:hint="eastAsia"/>
          <w:color w:val="auto"/>
          <w:sz w:val="21"/>
          <w:szCs w:val="21"/>
          <w:highlight w:val="none"/>
        </w:rPr>
      </w:pPr>
      <w:r>
        <w:rPr>
          <w:rStyle w:val="47"/>
          <w:rFonts w:hint="eastAsia"/>
          <w:color w:val="auto"/>
          <w:sz w:val="21"/>
          <w:szCs w:val="21"/>
          <w:highlight w:val="none"/>
        </w:rPr>
        <w:t>一、项目基本情况</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2022NBHSWT007</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海曙区高桥镇长乐未来社区项目房屋征收第三方服务采购项目</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预算金额（元）：</w:t>
      </w:r>
      <w:r>
        <w:rPr>
          <w:rFonts w:hint="eastAsia"/>
          <w:color w:val="auto"/>
          <w:sz w:val="21"/>
          <w:szCs w:val="21"/>
          <w:highlight w:val="none"/>
          <w:lang w:val="en-US" w:eastAsia="zh-CN"/>
        </w:rPr>
        <w:t>370</w:t>
      </w:r>
      <w:r>
        <w:rPr>
          <w:rFonts w:hint="eastAsia"/>
          <w:color w:val="auto"/>
          <w:sz w:val="21"/>
          <w:szCs w:val="21"/>
          <w:highlight w:val="none"/>
          <w:lang w:eastAsia="zh-CN"/>
        </w:rPr>
        <w:t>0000</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最高限价（元）：</w:t>
      </w:r>
      <w:r>
        <w:rPr>
          <w:rFonts w:hint="eastAsia"/>
          <w:color w:val="auto"/>
          <w:sz w:val="21"/>
          <w:szCs w:val="21"/>
          <w:highlight w:val="none"/>
          <w:lang w:val="en-US" w:eastAsia="zh-CN"/>
        </w:rPr>
        <w:t>368</w:t>
      </w:r>
      <w:r>
        <w:rPr>
          <w:rFonts w:hint="eastAsia"/>
          <w:color w:val="auto"/>
          <w:sz w:val="21"/>
          <w:szCs w:val="21"/>
          <w:highlight w:val="none"/>
          <w:lang w:eastAsia="zh-CN"/>
        </w:rPr>
        <w:t>0000</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采购需求：</w:t>
      </w:r>
    </w:p>
    <w:p>
      <w:pPr>
        <w:pStyle w:val="40"/>
        <w:spacing w:before="75" w:beforeAutospacing="0" w:after="75" w:afterAutospacing="0" w:line="400" w:lineRule="exact"/>
        <w:rPr>
          <w:rFonts w:hint="default" w:eastAsia="宋体"/>
          <w:color w:val="auto"/>
          <w:sz w:val="21"/>
          <w:szCs w:val="21"/>
          <w:highlight w:val="none"/>
          <w:lang w:val="en-US" w:eastAsia="zh-CN"/>
        </w:rPr>
      </w:pPr>
      <w:r>
        <w:rPr>
          <w:rFonts w:hint="eastAsia"/>
          <w:color w:val="auto"/>
          <w:sz w:val="21"/>
          <w:szCs w:val="21"/>
          <w:highlight w:val="none"/>
        </w:rPr>
        <w:br w:type="textWrapping"/>
      </w:r>
      <w:r>
        <w:rPr>
          <w:rFonts w:hint="eastAsia"/>
          <w:color w:val="auto"/>
          <w:sz w:val="21"/>
          <w:szCs w:val="21"/>
          <w:highlight w:val="none"/>
        </w:rPr>
        <w:t>标项名称:</w:t>
      </w:r>
      <w:r>
        <w:rPr>
          <w:rFonts w:hint="eastAsia"/>
          <w:color w:val="auto"/>
          <w:sz w:val="21"/>
          <w:szCs w:val="21"/>
          <w:highlight w:val="none"/>
          <w:lang w:eastAsia="zh-CN"/>
        </w:rPr>
        <w:t>海曙区高桥镇长乐未来社区项目房屋征收第三方服务采购项目</w:t>
      </w:r>
      <w:r>
        <w:rPr>
          <w:rFonts w:hint="eastAsia"/>
          <w:color w:val="auto"/>
          <w:sz w:val="21"/>
          <w:szCs w:val="21"/>
          <w:highlight w:val="none"/>
        </w:rPr>
        <w:br w:type="textWrapping"/>
      </w:r>
      <w:r>
        <w:rPr>
          <w:rFonts w:hint="eastAsia"/>
          <w:color w:val="auto"/>
          <w:sz w:val="21"/>
          <w:szCs w:val="21"/>
          <w:highlight w:val="none"/>
        </w:rPr>
        <w:t>数量:</w:t>
      </w:r>
      <w:r>
        <w:rPr>
          <w:rFonts w:hint="eastAsia"/>
          <w:color w:val="auto"/>
          <w:sz w:val="21"/>
          <w:szCs w:val="21"/>
          <w:highlight w:val="none"/>
          <w:lang w:val="en-US" w:eastAsia="zh-CN"/>
        </w:rPr>
        <w:t>1项</w:t>
      </w:r>
      <w:r>
        <w:rPr>
          <w:rFonts w:hint="eastAsia"/>
          <w:color w:val="auto"/>
          <w:sz w:val="21"/>
          <w:szCs w:val="21"/>
          <w:highlight w:val="none"/>
        </w:rPr>
        <w:br w:type="textWrapping"/>
      </w:r>
      <w:r>
        <w:rPr>
          <w:rFonts w:hint="eastAsia"/>
          <w:color w:val="auto"/>
          <w:sz w:val="21"/>
          <w:szCs w:val="21"/>
          <w:highlight w:val="none"/>
        </w:rPr>
        <w:t>预算金额（元）:</w:t>
      </w:r>
      <w:r>
        <w:rPr>
          <w:rFonts w:hint="eastAsia"/>
          <w:color w:val="auto"/>
          <w:sz w:val="21"/>
          <w:szCs w:val="21"/>
          <w:highlight w:val="none"/>
          <w:lang w:val="en-US" w:eastAsia="zh-CN"/>
        </w:rPr>
        <w:t>370</w:t>
      </w:r>
      <w:r>
        <w:rPr>
          <w:rFonts w:hint="eastAsia"/>
          <w:color w:val="auto"/>
          <w:sz w:val="21"/>
          <w:szCs w:val="21"/>
          <w:highlight w:val="none"/>
          <w:lang w:eastAsia="zh-CN"/>
        </w:rPr>
        <w:t>0000</w:t>
      </w:r>
      <w:r>
        <w:rPr>
          <w:rFonts w:hint="eastAsia"/>
          <w:color w:val="auto"/>
          <w:sz w:val="21"/>
          <w:szCs w:val="21"/>
          <w:highlight w:val="none"/>
        </w:rPr>
        <w:br w:type="textWrapping"/>
      </w:r>
      <w:r>
        <w:rPr>
          <w:rFonts w:hint="eastAsia"/>
          <w:color w:val="auto"/>
          <w:sz w:val="21"/>
          <w:szCs w:val="21"/>
          <w:highlight w:val="none"/>
        </w:rPr>
        <w:t>简要规格描述或项目基本概况介绍、用途：</w:t>
      </w:r>
      <w:r>
        <w:rPr>
          <w:rFonts w:hint="eastAsia"/>
          <w:color w:val="auto"/>
          <w:sz w:val="21"/>
          <w:szCs w:val="21"/>
          <w:highlight w:val="none"/>
          <w:lang w:eastAsia="zh-CN"/>
        </w:rPr>
        <w:t>海曙区高桥镇长乐未来社区项目房屋征收工作涉及</w:t>
      </w:r>
      <w:r>
        <w:rPr>
          <w:rFonts w:hint="eastAsia"/>
          <w:color w:val="auto"/>
          <w:sz w:val="21"/>
          <w:szCs w:val="21"/>
          <w:highlight w:val="none"/>
        </w:rPr>
        <w:t>34家国有出让工业土地企业和8家集体土地企业，建筑面积暂定18.4万平方米（含未经登记建筑）</w:t>
      </w:r>
      <w:r>
        <w:rPr>
          <w:rFonts w:hint="eastAsia"/>
          <w:color w:val="auto"/>
          <w:sz w:val="21"/>
          <w:szCs w:val="21"/>
          <w:highlight w:val="none"/>
          <w:lang w:eastAsia="zh-CN"/>
        </w:rPr>
        <w:t>，最终以实际测绘签约面积为准，征收总户数约</w:t>
      </w:r>
      <w:r>
        <w:rPr>
          <w:rFonts w:hint="eastAsia"/>
          <w:color w:val="auto"/>
          <w:sz w:val="21"/>
          <w:szCs w:val="21"/>
          <w:highlight w:val="none"/>
          <w:lang w:val="en-US" w:eastAsia="zh-CN"/>
        </w:rPr>
        <w:t>42</w:t>
      </w:r>
      <w:r>
        <w:rPr>
          <w:rFonts w:hint="eastAsia"/>
          <w:color w:val="auto"/>
          <w:sz w:val="21"/>
          <w:szCs w:val="21"/>
          <w:highlight w:val="none"/>
          <w:lang w:eastAsia="zh-CN"/>
        </w:rPr>
        <w:t>户</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备注：</w:t>
      </w:r>
      <w:r>
        <w:rPr>
          <w:rFonts w:hint="eastAsia"/>
          <w:color w:val="auto"/>
          <w:sz w:val="21"/>
          <w:szCs w:val="21"/>
          <w:highlight w:val="none"/>
          <w:lang w:val="en-US" w:eastAsia="zh-CN"/>
        </w:rPr>
        <w:t>本项目设单价控制价，最高限价为20元/平方米。</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合同履约期限：自合同签订之日起至合同全部权利义务履行完毕止。</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本项目（否）接受联合体投标。</w:t>
      </w:r>
    </w:p>
    <w:p>
      <w:pPr>
        <w:pStyle w:val="40"/>
        <w:spacing w:before="225" w:beforeAutospacing="0" w:after="225" w:afterAutospacing="0" w:line="400" w:lineRule="exact"/>
        <w:rPr>
          <w:rFonts w:hint="eastAsia"/>
          <w:color w:val="auto"/>
          <w:sz w:val="21"/>
          <w:szCs w:val="21"/>
          <w:highlight w:val="none"/>
        </w:rPr>
      </w:pPr>
      <w:r>
        <w:rPr>
          <w:rStyle w:val="47"/>
          <w:rFonts w:hint="eastAsia"/>
          <w:color w:val="auto"/>
          <w:sz w:val="21"/>
          <w:szCs w:val="21"/>
          <w:highlight w:val="none"/>
        </w:rPr>
        <w:t>二、申请人的资格要求：</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2.落实政府采购政策需满足的资格要求：无。</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3.本项目的特定资格要求：无。</w:t>
      </w:r>
    </w:p>
    <w:p>
      <w:pPr>
        <w:pStyle w:val="40"/>
        <w:spacing w:before="255" w:beforeAutospacing="0" w:after="255" w:afterAutospacing="0" w:line="400" w:lineRule="exact"/>
        <w:jc w:val="both"/>
        <w:rPr>
          <w:rFonts w:hint="eastAsia"/>
          <w:color w:val="auto"/>
          <w:sz w:val="21"/>
          <w:szCs w:val="21"/>
          <w:highlight w:val="none"/>
        </w:rPr>
      </w:pPr>
      <w:r>
        <w:rPr>
          <w:rStyle w:val="47"/>
          <w:rFonts w:hint="eastAsia"/>
          <w:color w:val="auto"/>
          <w:sz w:val="21"/>
          <w:szCs w:val="21"/>
          <w:highlight w:val="none"/>
        </w:rPr>
        <w:t>三、获取招标文件</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时间：</w:t>
      </w:r>
      <w:r>
        <w:rPr>
          <w:rFonts w:hint="eastAsia"/>
          <w:color w:val="auto"/>
          <w:sz w:val="21"/>
          <w:szCs w:val="21"/>
          <w:highlight w:val="none"/>
          <w:lang w:eastAsia="zh-CN"/>
        </w:rPr>
        <w:t>2022年</w:t>
      </w:r>
      <w:r>
        <w:rPr>
          <w:rFonts w:hint="eastAsia"/>
          <w:color w:val="auto"/>
          <w:sz w:val="21"/>
          <w:szCs w:val="21"/>
          <w:highlight w:val="none"/>
          <w:lang w:val="en-US" w:eastAsia="zh-CN"/>
        </w:rPr>
        <w:t>1</w:t>
      </w:r>
      <w:r>
        <w:rPr>
          <w:rFonts w:hint="eastAsia"/>
          <w:color w:val="auto"/>
          <w:sz w:val="21"/>
          <w:szCs w:val="21"/>
          <w:highlight w:val="none"/>
          <w:lang w:eastAsia="zh-CN"/>
        </w:rPr>
        <w:t>月</w:t>
      </w:r>
      <w:r>
        <w:rPr>
          <w:rFonts w:hint="eastAsia"/>
          <w:color w:val="auto"/>
          <w:sz w:val="21"/>
          <w:szCs w:val="21"/>
          <w:highlight w:val="none"/>
          <w:lang w:val="en-US" w:eastAsia="zh-CN"/>
        </w:rPr>
        <w:t>28</w:t>
      </w:r>
      <w:r>
        <w:rPr>
          <w:rFonts w:hint="eastAsia"/>
          <w:color w:val="auto"/>
          <w:sz w:val="21"/>
          <w:szCs w:val="21"/>
          <w:highlight w:val="none"/>
        </w:rPr>
        <w:t>日至</w:t>
      </w:r>
      <w:r>
        <w:rPr>
          <w:rFonts w:hint="eastAsia"/>
          <w:color w:val="auto"/>
          <w:sz w:val="21"/>
          <w:szCs w:val="21"/>
          <w:highlight w:val="none"/>
          <w:lang w:eastAsia="zh-CN"/>
        </w:rPr>
        <w:t>2022年</w:t>
      </w:r>
      <w:r>
        <w:rPr>
          <w:rFonts w:hint="eastAsia"/>
          <w:color w:val="auto"/>
          <w:sz w:val="21"/>
          <w:szCs w:val="21"/>
          <w:highlight w:val="none"/>
          <w:lang w:val="en-US" w:eastAsia="zh-CN"/>
        </w:rPr>
        <w:t>2</w:t>
      </w:r>
      <w:r>
        <w:rPr>
          <w:rFonts w:hint="eastAsia"/>
          <w:color w:val="auto"/>
          <w:sz w:val="21"/>
          <w:szCs w:val="21"/>
          <w:highlight w:val="none"/>
          <w:lang w:eastAsia="zh-CN"/>
        </w:rPr>
        <w:t>月</w:t>
      </w:r>
      <w:r>
        <w:rPr>
          <w:rFonts w:hint="eastAsia"/>
          <w:color w:val="auto"/>
          <w:sz w:val="21"/>
          <w:szCs w:val="21"/>
          <w:highlight w:val="none"/>
          <w:lang w:val="en-US" w:eastAsia="zh-CN"/>
        </w:rPr>
        <w:t>9</w:t>
      </w:r>
      <w:r>
        <w:rPr>
          <w:rFonts w:hint="eastAsia"/>
          <w:color w:val="auto"/>
          <w:sz w:val="21"/>
          <w:szCs w:val="21"/>
          <w:highlight w:val="none"/>
        </w:rPr>
        <w:t>日</w:t>
      </w:r>
      <w:r>
        <w:rPr>
          <w:rFonts w:hint="eastAsia"/>
          <w:color w:val="auto"/>
          <w:sz w:val="21"/>
          <w:szCs w:val="21"/>
          <w:highlight w:val="none"/>
          <w:lang w:eastAsia="zh-CN"/>
        </w:rPr>
        <w:t>，</w:t>
      </w:r>
      <w:r>
        <w:rPr>
          <w:rFonts w:hint="eastAsia"/>
          <w:color w:val="auto"/>
          <w:sz w:val="21"/>
          <w:szCs w:val="21"/>
          <w:highlight w:val="none"/>
        </w:rPr>
        <w:t>每天上午00:00至12:00，下午12:00至23:59（北京时间，线上获取法定节假日均可，线下获取文件法定节假日除外）</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地点（网址）：政府采购云平台（www.zcygov.cn）</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方式：（1）供应商登录政府采购云平台的注册账号后，进入政采云系统“项目采购”模块“获取采购文件”菜单，在网上获取招标文件。（2）获取招标文件前，供应商应按照《浙江省政府采购供应商注册及诚信管理暂行办法》的规定在“浙江政府采购网”上进行供应商注册申请，并登记加入到“浙江省政府采购供应商库”。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售价（元）：0</w:t>
      </w:r>
    </w:p>
    <w:p>
      <w:pPr>
        <w:pStyle w:val="40"/>
        <w:spacing w:before="255" w:beforeAutospacing="0" w:after="255" w:afterAutospacing="0" w:line="400" w:lineRule="exact"/>
        <w:jc w:val="both"/>
        <w:rPr>
          <w:rFonts w:hint="eastAsia"/>
          <w:color w:val="auto"/>
          <w:sz w:val="21"/>
          <w:szCs w:val="21"/>
          <w:highlight w:val="none"/>
        </w:rPr>
      </w:pPr>
      <w:r>
        <w:rPr>
          <w:rStyle w:val="47"/>
          <w:rFonts w:hint="eastAsia"/>
          <w:color w:val="auto"/>
          <w:sz w:val="21"/>
          <w:szCs w:val="21"/>
          <w:highlight w:val="none"/>
        </w:rPr>
        <w:t>四、提交投标文件截止时间、开标时间和地点</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提交投标文件截止时间：2022年</w:t>
      </w:r>
      <w:r>
        <w:rPr>
          <w:rFonts w:hint="eastAsia"/>
          <w:color w:val="auto"/>
          <w:sz w:val="21"/>
          <w:szCs w:val="21"/>
          <w:highlight w:val="none"/>
          <w:lang w:val="en-US" w:eastAsia="zh-CN"/>
        </w:rPr>
        <w:t>2</w:t>
      </w:r>
      <w:r>
        <w:rPr>
          <w:rFonts w:hint="eastAsia"/>
          <w:color w:val="auto"/>
          <w:sz w:val="21"/>
          <w:szCs w:val="21"/>
          <w:highlight w:val="none"/>
        </w:rPr>
        <w:t>月</w:t>
      </w:r>
      <w:r>
        <w:rPr>
          <w:rFonts w:hint="eastAsia"/>
          <w:color w:val="auto"/>
          <w:sz w:val="21"/>
          <w:szCs w:val="21"/>
          <w:highlight w:val="none"/>
          <w:lang w:val="en-US" w:eastAsia="zh-CN"/>
        </w:rPr>
        <w:t>18</w:t>
      </w:r>
      <w:r>
        <w:rPr>
          <w:rFonts w:hint="eastAsia"/>
          <w:color w:val="auto"/>
          <w:sz w:val="21"/>
          <w:szCs w:val="21"/>
          <w:highlight w:val="none"/>
        </w:rPr>
        <w:t>日</w:t>
      </w:r>
      <w:r>
        <w:rPr>
          <w:rFonts w:hint="eastAsia"/>
          <w:color w:val="auto"/>
          <w:sz w:val="21"/>
          <w:szCs w:val="21"/>
          <w:highlight w:val="none"/>
          <w:lang w:val="en-US" w:eastAsia="zh-CN"/>
        </w:rPr>
        <w:t>14</w:t>
      </w:r>
      <w:r>
        <w:rPr>
          <w:rFonts w:hint="eastAsia"/>
          <w:color w:val="auto"/>
          <w:sz w:val="21"/>
          <w:szCs w:val="21"/>
          <w:highlight w:val="none"/>
        </w:rPr>
        <w:t>:00（北京时间）</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投标地点（网址）：宁波市海曙区公共资源交易中心二楼开标室（5）（南门上，宁波市海曙区气象路58号）</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开标时间：2022年</w:t>
      </w:r>
      <w:r>
        <w:rPr>
          <w:rFonts w:hint="eastAsia"/>
          <w:color w:val="auto"/>
          <w:sz w:val="21"/>
          <w:szCs w:val="21"/>
          <w:highlight w:val="none"/>
          <w:lang w:val="en-US" w:eastAsia="zh-CN"/>
        </w:rPr>
        <w:t>2</w:t>
      </w:r>
      <w:r>
        <w:rPr>
          <w:rFonts w:hint="eastAsia"/>
          <w:color w:val="auto"/>
          <w:sz w:val="21"/>
          <w:szCs w:val="21"/>
          <w:highlight w:val="none"/>
        </w:rPr>
        <w:t>月</w:t>
      </w:r>
      <w:r>
        <w:rPr>
          <w:rFonts w:hint="eastAsia"/>
          <w:color w:val="auto"/>
          <w:sz w:val="21"/>
          <w:szCs w:val="21"/>
          <w:highlight w:val="none"/>
          <w:lang w:val="en-US" w:eastAsia="zh-CN"/>
        </w:rPr>
        <w:t>18</w:t>
      </w:r>
      <w:r>
        <w:rPr>
          <w:rFonts w:hint="eastAsia"/>
          <w:color w:val="auto"/>
          <w:sz w:val="21"/>
          <w:szCs w:val="21"/>
          <w:highlight w:val="none"/>
        </w:rPr>
        <w:t>日</w:t>
      </w:r>
      <w:r>
        <w:rPr>
          <w:rFonts w:hint="eastAsia"/>
          <w:color w:val="auto"/>
          <w:sz w:val="21"/>
          <w:szCs w:val="21"/>
          <w:highlight w:val="none"/>
          <w:lang w:val="en-US" w:eastAsia="zh-CN"/>
        </w:rPr>
        <w:t>14</w:t>
      </w:r>
      <w:r>
        <w:rPr>
          <w:rFonts w:hint="eastAsia"/>
          <w:color w:val="auto"/>
          <w:sz w:val="21"/>
          <w:szCs w:val="21"/>
          <w:highlight w:val="none"/>
        </w:rPr>
        <w:t>:00</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开标地点（网址）：宁波市海曙区公共资源交易中心二楼开标室（5）（南门上，宁波市海曙区气象路58号）</w:t>
      </w:r>
    </w:p>
    <w:p>
      <w:pPr>
        <w:pStyle w:val="40"/>
        <w:spacing w:before="255" w:beforeAutospacing="0" w:after="255" w:afterAutospacing="0" w:line="400" w:lineRule="exact"/>
        <w:jc w:val="both"/>
        <w:rPr>
          <w:rFonts w:hint="eastAsia"/>
          <w:color w:val="auto"/>
          <w:sz w:val="21"/>
          <w:szCs w:val="21"/>
          <w:highlight w:val="none"/>
        </w:rPr>
      </w:pPr>
      <w:r>
        <w:rPr>
          <w:rStyle w:val="47"/>
          <w:rFonts w:hint="eastAsia"/>
          <w:color w:val="auto"/>
          <w:sz w:val="21"/>
          <w:szCs w:val="21"/>
          <w:highlight w:val="none"/>
        </w:rPr>
        <w:t>五、公告期限</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自本公告发布之日起5个工作日。</w:t>
      </w:r>
    </w:p>
    <w:p>
      <w:pPr>
        <w:pStyle w:val="40"/>
        <w:spacing w:before="255" w:beforeAutospacing="0" w:after="255" w:afterAutospacing="0" w:line="400" w:lineRule="exact"/>
        <w:jc w:val="both"/>
        <w:rPr>
          <w:rFonts w:hint="eastAsia"/>
          <w:color w:val="auto"/>
          <w:sz w:val="21"/>
          <w:szCs w:val="21"/>
          <w:highlight w:val="none"/>
        </w:rPr>
      </w:pPr>
      <w:r>
        <w:rPr>
          <w:rStyle w:val="47"/>
          <w:rFonts w:hint="eastAsia"/>
          <w:color w:val="auto"/>
          <w:sz w:val="21"/>
          <w:szCs w:val="21"/>
          <w:highlight w:val="none"/>
        </w:rPr>
        <w:t>六、其他补充事宜</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color w:val="auto"/>
          <w:szCs w:val="21"/>
          <w:highlight w:val="none"/>
        </w:rPr>
        <w:t>2.其他事项：</w:t>
      </w:r>
      <w:r>
        <w:rPr>
          <w:rFonts w:hint="eastAsia" w:ascii="宋体" w:hAnsi="宋体" w:cs="宋体"/>
          <w:color w:val="auto"/>
          <w:szCs w:val="21"/>
          <w:highlight w:val="none"/>
          <w:lang w:val="zh-CN"/>
        </w:rPr>
        <w:t xml:space="preserve">1、参加投标的投标人应于投标前到“浙江政府采购网（http://zfcg.czt.zj.gov.cn/）”上进行投标人注册申请，并通过财政部门的终审后登记加入到“浙江省政府采购投标人库”。 中标或成交投标人必须注册并登记加入“浙江省政府采购投标人库”。具体要求及注册申请流程详见《浙江省政府采购投标人注册及诚信管理暂行办法》（浙财采监字{2009}28号）和浙江政府采购网“网上办事指南”的“投标人注册申请”。 2、单位负责人为同一人或者存在直接控股、管理关系的不同投标人，不得参加同一子包号的投标。 3、为本项目提供整体设计、规范编制或者项目管理、监理、检测等服务的投标人，不得再参加本项目的投标。 4、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  </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3、本项目实行网上投标，采用电子投标文件。若供应商参与投标，自行承担投标一切费用。</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4、标前准备：各供应商应在开标前确保成为浙江政府采购网正式注册入库供应商，并完成CA数字证书办理。因未注册入库、未办理CA数字证书等原因造成无法投标或投标失败等后果由供应商自行承担。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5、投标文件制作：</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（2）供应商通过政府采购云平台电子投标工具制作投标文件，电子投标工具请供应商自行前往浙江政府采购网下载并安装，投标文件制作具体流程详见政府采购云平台。</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（3）以U盘存储的电子备份投标文件1份，按政府采购云平台要求制作的电子备份文件，以用于异常情况处理。</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6、供应商可采用邮寄（含快递）方式或现场方式递交备份投标文件。</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6.1采用邮寄方式递交备份投标文件，需按以下要求递交：</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拟在2022年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日16:00时（含）前到件的邮寄地址为：</w:t>
      </w:r>
      <w:r>
        <w:rPr>
          <w:rFonts w:hint="eastAsia" w:ascii="宋体" w:hAnsi="宋体" w:cs="宋体"/>
          <w:color w:val="auto"/>
          <w:szCs w:val="21"/>
          <w:highlight w:val="none"/>
          <w:lang w:eastAsia="zh-CN"/>
        </w:rPr>
        <w:t>宁波高新区广贤路1035号科技广场4号楼三楼</w:t>
      </w:r>
      <w:r>
        <w:rPr>
          <w:rFonts w:hint="eastAsia" w:ascii="宋体" w:hAnsi="宋体" w:cs="宋体"/>
          <w:color w:val="auto"/>
          <w:szCs w:val="21"/>
          <w:highlight w:val="none"/>
        </w:rPr>
        <w:t xml:space="preserve"> 孙嘉琳 收 </w:t>
      </w:r>
      <w:r>
        <w:rPr>
          <w:rFonts w:hint="eastAsia" w:ascii="宋体" w:hAnsi="宋体" w:cs="宋体"/>
          <w:color w:val="auto"/>
          <w:szCs w:val="21"/>
          <w:highlight w:val="none"/>
          <w:lang w:eastAsia="zh-CN"/>
        </w:rPr>
        <w:t>0574-87915231</w:t>
      </w:r>
      <w:r>
        <w:rPr>
          <w:rFonts w:hint="eastAsia" w:ascii="宋体" w:hAnsi="宋体" w:cs="宋体"/>
          <w:color w:val="auto"/>
          <w:szCs w:val="21"/>
          <w:highlight w:val="none"/>
        </w:rPr>
        <w:t>；</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拟在2022年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日16:00时之后，2022年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：00时之前到件的邮寄地址为：宁波市海曙区公共资源交易中心开标室（5）[宁波市海曙区气象路58号] 收件人：孙嘉琳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请各供应商确保密封包装在邮寄过程密封包装完好，因邮寄过程的密封破损造成不符合开标要求的，本采购代理及采购人概不负责。</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6.2采用现场方式送达备份投标文件，需按以下要求递交：</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供应商安排“甬行码”为绿色的相关人员（原则上不超过一名）在投标截止时间前将备份投标文件送至：宁波市海曙区公共资源交易中心开标室（5）[宁波市海曙区气象路58号]。投标文件递交时需同时递交供应商的法定代表人（或其委托代理人）联系方式，并保证开标期间联系方式的畅通。</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7、开标过程全程视频监控记录，同时开启微信群视频语音通话方式邀请各供应商参与开标过程。</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和传真进行收发。</w:t>
      </w:r>
    </w:p>
    <w:p>
      <w:pPr>
        <w:autoSpaceDE w:val="0"/>
        <w:autoSpaceDN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电子邮箱：</w:t>
      </w:r>
      <w:r>
        <w:rPr>
          <w:rFonts w:hint="eastAsia" w:ascii="宋体" w:hAnsi="宋体" w:cs="宋体"/>
          <w:color w:val="auto"/>
          <w:szCs w:val="21"/>
          <w:highlight w:val="none"/>
          <w:lang w:eastAsia="zh-CN"/>
        </w:rPr>
        <w:t>2586442278@qq.com</w:t>
      </w:r>
    </w:p>
    <w:p>
      <w:pPr>
        <w:autoSpaceDE w:val="0"/>
        <w:autoSpaceDN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传真：</w:t>
      </w:r>
      <w:r>
        <w:rPr>
          <w:rFonts w:hint="eastAsia" w:ascii="宋体" w:hAnsi="宋体" w:cs="宋体"/>
          <w:color w:val="auto"/>
          <w:szCs w:val="21"/>
          <w:highlight w:val="none"/>
          <w:lang w:eastAsia="zh-CN"/>
        </w:rPr>
        <w:t>0574-88117100</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9、本项目评审过程各工作人员及评委各成员全程佩戴口罩、一次性手套等防护工具，各评委各成员座位间距保持安全距离，评审过程开窗通风。</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10、中标人员须做好佩戴口罩、手套等防护措施，自觉接受体温检测、接受防疫询问，并如实报告相关情况。</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11、中标人员还需配合做好疫情防控“五个一律”：一律全面消毒、一律体温检测、一律承诺登记、一律按序办事、一律服从管理。</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12、如投标截止时间前疫情解除，上述第6、7、8、9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10、11</w:t>
      </w:r>
      <w:r>
        <w:rPr>
          <w:rFonts w:hint="eastAsia" w:ascii="宋体" w:hAnsi="宋体" w:cs="宋体"/>
          <w:color w:val="auto"/>
          <w:szCs w:val="21"/>
          <w:highlight w:val="none"/>
        </w:rPr>
        <w:t>条内容废止。</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13、肺炎防疫期间，请各供应商遵守宁波市海曙区公共资源交易中心各项防疫措施规定。</w:t>
      </w:r>
    </w:p>
    <w:p>
      <w:pPr>
        <w:autoSpaceDE w:val="0"/>
        <w:autoSpaceDN w:val="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14、</w:t>
      </w:r>
      <w:r>
        <w:rPr>
          <w:rFonts w:ascii="宋体" w:hAnsi="宋体" w:cs="宋体"/>
          <w:color w:val="auto"/>
          <w:szCs w:val="21"/>
          <w:highlight w:val="none"/>
        </w:rPr>
        <w:t>本公告发布媒体：浙江省公共资源交易服务平台（</w:t>
      </w:r>
      <w:r>
        <w:rPr>
          <w:rFonts w:hint="eastAsia" w:ascii="宋体" w:hAnsi="宋体" w:cs="宋体"/>
          <w:color w:val="auto"/>
          <w:szCs w:val="21"/>
          <w:highlight w:val="none"/>
        </w:rPr>
        <w:t>zjpubservice.zjzwfw.gov.cn/index.html?citycode=3300</w:t>
      </w:r>
      <w:r>
        <w:rPr>
          <w:rFonts w:ascii="宋体" w:hAnsi="宋体" w:cs="宋体"/>
          <w:color w:val="auto"/>
          <w:szCs w:val="21"/>
          <w:highlight w:val="none"/>
        </w:rPr>
        <w:t>）、浙江政府采购网（zfcg.czt.zj.gov.cn）、宁波政府采购(www.nbzfcg.cn)、宁波公共资源交易网海曙区分网（</w:t>
      </w:r>
      <w:r>
        <w:rPr>
          <w:rFonts w:hint="eastAsia" w:ascii="宋体" w:hAnsi="宋体" w:cs="宋体"/>
          <w:color w:val="auto"/>
          <w:szCs w:val="21"/>
          <w:highlight w:val="none"/>
          <w:lang w:eastAsia="zh-CN"/>
        </w:rPr>
        <w:t>http://haishu.nbggzy.cn/</w:t>
      </w:r>
      <w:r>
        <w:rPr>
          <w:rFonts w:ascii="宋体" w:hAnsi="宋体" w:cs="宋体"/>
          <w:color w:val="auto"/>
          <w:szCs w:val="21"/>
          <w:highlight w:val="none"/>
        </w:rPr>
        <w:t>）</w:t>
      </w:r>
      <w:r>
        <w:rPr>
          <w:rFonts w:hint="eastAsia" w:ascii="宋体" w:hAnsi="宋体" w:cs="宋体"/>
          <w:color w:val="auto"/>
          <w:szCs w:val="21"/>
          <w:highlight w:val="none"/>
          <w:lang w:eastAsia="zh-CN"/>
        </w:rPr>
        <w:t>。</w:t>
      </w:r>
    </w:p>
    <w:p>
      <w:pPr>
        <w:autoSpaceDE w:val="0"/>
        <w:autoSpaceDN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eastAsia="zh-CN"/>
        </w:rPr>
        <w:t>海曙区“政采贷”助力中小企业金融服务，有需要的中标（成交）供应商请于网站http://haishu.nbggzy.cn/tzgg/360383.jhtml办理具体业务。</w:t>
      </w:r>
    </w:p>
    <w:p>
      <w:pPr>
        <w:pStyle w:val="40"/>
        <w:spacing w:before="255" w:beforeAutospacing="0" w:after="255" w:afterAutospacing="0" w:line="400" w:lineRule="exact"/>
        <w:jc w:val="both"/>
        <w:rPr>
          <w:rFonts w:hint="eastAsia"/>
          <w:color w:val="auto"/>
          <w:sz w:val="21"/>
          <w:szCs w:val="21"/>
          <w:highlight w:val="none"/>
        </w:rPr>
      </w:pPr>
      <w:r>
        <w:rPr>
          <w:rStyle w:val="47"/>
          <w:rFonts w:hint="eastAsia"/>
          <w:color w:val="auto"/>
          <w:sz w:val="21"/>
          <w:szCs w:val="21"/>
          <w:highlight w:val="none"/>
        </w:rPr>
        <w:t>七、对本次采购提出询问、质疑、投诉，请按以下方式联系</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1.采购人信息</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宁波市海曙区高桥镇人民政府</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 xml:space="preserve">地址： </w:t>
      </w:r>
      <w:r>
        <w:rPr>
          <w:rFonts w:hint="eastAsia"/>
          <w:color w:val="auto"/>
          <w:sz w:val="21"/>
          <w:szCs w:val="21"/>
          <w:highlight w:val="none"/>
          <w:lang w:eastAsia="zh-CN"/>
        </w:rPr>
        <w:t>宁波市海曙区高桥镇商会大厦</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传真：/</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郑老师</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13757462901</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郑老师</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质疑联系方式：</w:t>
      </w:r>
      <w:r>
        <w:rPr>
          <w:rFonts w:hint="eastAsia"/>
          <w:color w:val="auto"/>
          <w:sz w:val="21"/>
          <w:szCs w:val="21"/>
          <w:highlight w:val="none"/>
          <w:lang w:eastAsia="zh-CN"/>
        </w:rPr>
        <w:t>13757462901</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br w:type="textWrapping"/>
      </w:r>
      <w:r>
        <w:rPr>
          <w:rFonts w:hint="eastAsia"/>
          <w:color w:val="auto"/>
          <w:sz w:val="21"/>
          <w:szCs w:val="21"/>
          <w:highlight w:val="none"/>
        </w:rPr>
        <w:t>2.采购代理机构信息</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浙江联达工程项目管理有限公司</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地址：</w:t>
      </w:r>
      <w:r>
        <w:rPr>
          <w:rFonts w:hint="eastAsia"/>
          <w:color w:val="auto"/>
          <w:sz w:val="21"/>
          <w:szCs w:val="21"/>
          <w:highlight w:val="none"/>
          <w:lang w:eastAsia="zh-CN"/>
        </w:rPr>
        <w:t>宁波高新区广贤路1035号科技广场4号楼三楼</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传真</w:t>
      </w:r>
      <w:r>
        <w:rPr>
          <w:rFonts w:hint="eastAsia" w:eastAsia="宋体"/>
          <w:color w:val="auto"/>
          <w:sz w:val="21"/>
          <w:szCs w:val="21"/>
          <w:highlight w:val="none"/>
          <w:lang w:eastAsia="zh-CN"/>
        </w:rPr>
        <w:t>：</w:t>
      </w:r>
      <w:r>
        <w:rPr>
          <w:rFonts w:hint="eastAsia" w:eastAsia="宋体"/>
          <w:color w:val="auto"/>
          <w:sz w:val="21"/>
          <w:szCs w:val="21"/>
          <w:highlight w:val="none"/>
          <w:lang w:val="en-US" w:eastAsia="zh-CN"/>
        </w:rPr>
        <w:t>0574-88117100</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孙嘉琳、高琳琳</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0574-87915231</w:t>
      </w:r>
    </w:p>
    <w:p>
      <w:pPr>
        <w:pStyle w:val="40"/>
        <w:spacing w:before="75" w:beforeAutospacing="0" w:after="75" w:afterAutospacing="0" w:line="400" w:lineRule="exact"/>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宋涛</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质疑联系方式：</w:t>
      </w:r>
      <w:r>
        <w:rPr>
          <w:rFonts w:hint="eastAsia"/>
          <w:color w:val="auto"/>
          <w:sz w:val="21"/>
          <w:szCs w:val="21"/>
          <w:highlight w:val="none"/>
          <w:lang w:eastAsia="zh-CN"/>
        </w:rPr>
        <w:t>15888066342</w:t>
      </w:r>
      <w:r>
        <w:rPr>
          <w:rFonts w:hint="eastAsia"/>
          <w:color w:val="auto"/>
          <w:sz w:val="21"/>
          <w:szCs w:val="21"/>
          <w:highlight w:val="none"/>
        </w:rPr>
        <w:t>　　　　　　</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br w:type="textWrapping"/>
      </w:r>
      <w:r>
        <w:rPr>
          <w:rFonts w:hint="eastAsia"/>
          <w:color w:val="auto"/>
          <w:sz w:val="21"/>
          <w:szCs w:val="21"/>
          <w:highlight w:val="none"/>
        </w:rPr>
        <w:t>3.同级政府采购监督管理部门</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名称：宁波市海曙区采购管理办公室</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地址：/</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传真：/</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联系人：邹老师</w:t>
      </w:r>
    </w:p>
    <w:p>
      <w:pPr>
        <w:pStyle w:val="40"/>
        <w:spacing w:before="75" w:beforeAutospacing="0" w:after="75" w:afterAutospacing="0" w:line="400" w:lineRule="exact"/>
        <w:rPr>
          <w:rFonts w:hint="eastAsia"/>
          <w:color w:val="auto"/>
          <w:sz w:val="21"/>
          <w:szCs w:val="21"/>
          <w:highlight w:val="none"/>
        </w:rPr>
      </w:pPr>
      <w:r>
        <w:rPr>
          <w:rFonts w:hint="eastAsia"/>
          <w:color w:val="auto"/>
          <w:sz w:val="21"/>
          <w:szCs w:val="21"/>
          <w:highlight w:val="none"/>
        </w:rPr>
        <w:t>监督投诉电话：0574-87194482</w:t>
      </w:r>
    </w:p>
    <w:p>
      <w:pPr>
        <w:pStyle w:val="40"/>
        <w:spacing w:before="75" w:beforeAutospacing="0" w:after="75" w:afterAutospacing="0" w:line="400" w:lineRule="exact"/>
        <w:rPr>
          <w:rFonts w:hint="eastAsia"/>
          <w:color w:val="auto"/>
          <w:sz w:val="21"/>
          <w:szCs w:val="21"/>
          <w:highlight w:val="none"/>
        </w:rPr>
      </w:pPr>
    </w:p>
    <w:p>
      <w:pPr>
        <w:pStyle w:val="40"/>
        <w:spacing w:before="75" w:beforeAutospacing="0" w:after="75" w:afterAutospacing="0" w:line="400" w:lineRule="exact"/>
        <w:rPr>
          <w:rFonts w:hint="eastAsia"/>
          <w:color w:val="auto"/>
          <w:sz w:val="21"/>
          <w:szCs w:val="21"/>
          <w:highlight w:val="none"/>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w:t>
      </w:r>
    </w:p>
    <w:p>
      <w:pPr>
        <w:spacing w:line="400" w:lineRule="exact"/>
        <w:rPr>
          <w:rFonts w:hint="eastAsia" w:ascii="宋体" w:hAnsi="宋体" w:cs="宋体"/>
          <w:color w:val="auto"/>
          <w:highlight w:val="none"/>
        </w:rPr>
      </w:pPr>
      <w:r>
        <w:rPr>
          <w:rFonts w:hint="eastAsia" w:ascii="宋体" w:hAnsi="宋体" w:cs="宋体"/>
          <w:color w:val="auto"/>
          <w:kern w:val="0"/>
          <w:szCs w:val="21"/>
          <w:highlight w:val="none"/>
          <w:lang w:bidi="ar"/>
        </w:rPr>
        <w:t>CA问题联系电话（人工）：汇信CA400-888-4636；天谷CA400-087-8198。</w:t>
      </w:r>
    </w:p>
    <w:p>
      <w:pPr>
        <w:rPr>
          <w:rFonts w:hint="eastAsia"/>
          <w:color w:val="auto"/>
          <w:highlight w:val="none"/>
        </w:rPr>
      </w:pPr>
    </w:p>
    <w:p>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 w:name="_Toc90369649"/>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宁波市海曙区高桥镇人民政府</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w:t>
      </w:r>
      <w:r>
        <w:rPr>
          <w:rFonts w:hint="eastAsia" w:ascii="宋体" w:hAnsi="宋体"/>
          <w:color w:val="auto"/>
          <w:szCs w:val="21"/>
          <w:highlight w:val="none"/>
          <w:lang w:eastAsia="zh-CN"/>
        </w:rPr>
        <w:t>浙江联达工程项目管理有限公司</w:t>
      </w:r>
      <w:r>
        <w:rPr>
          <w:rFonts w:hint="eastAsia" w:ascii="宋体" w:hAnsi="宋体"/>
          <w:color w:val="auto"/>
          <w:szCs w:val="21"/>
          <w:highlight w:val="none"/>
        </w:rPr>
        <w:t>。</w:t>
      </w:r>
    </w:p>
    <w:p>
      <w:pPr>
        <w:spacing w:line="400" w:lineRule="exact"/>
        <w:ind w:firstLine="420" w:firstLineChars="200"/>
        <w:jc w:val="left"/>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、“货物”系指供方按招标文件规定，须向采购人提供的一切设备、保险、税金、备品备件、工具、手册及其它有关技术资料和材料。</w:t>
      </w:r>
    </w:p>
    <w:p>
      <w:pPr>
        <w:spacing w:line="400" w:lineRule="exact"/>
        <w:ind w:firstLine="420" w:firstLineChars="200"/>
        <w:jc w:val="left"/>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s="宋体"/>
          <w:color w:val="auto"/>
          <w:kern w:val="0"/>
          <w:szCs w:val="21"/>
          <w:highlight w:val="none"/>
        </w:rPr>
        <w:t>相关技术服务</w:t>
      </w:r>
      <w:r>
        <w:rPr>
          <w:rFonts w:ascii="宋体" w:hAnsi="宋体"/>
          <w:color w:val="auto"/>
          <w:szCs w:val="21"/>
          <w:highlight w:val="none"/>
        </w:rPr>
        <w:t>以及其他类似的义务</w:t>
      </w:r>
      <w:r>
        <w:rPr>
          <w:rFonts w:hint="eastAsia" w:ascii="宋体" w:hAnsi="宋体"/>
          <w:color w:val="auto"/>
          <w:szCs w:val="21"/>
          <w:highlight w:val="none"/>
        </w:rPr>
        <w:t>。</w:t>
      </w:r>
    </w:p>
    <w:p>
      <w:pPr>
        <w:spacing w:line="400" w:lineRule="exact"/>
        <w:ind w:firstLine="420" w:firstLineChars="200"/>
        <w:jc w:val="left"/>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、“同级政府采购监管部门”系指</w:t>
      </w:r>
      <w:r>
        <w:rPr>
          <w:rFonts w:hint="eastAsia" w:ascii="宋体" w:hAnsi="宋体"/>
          <w:color w:val="auto"/>
          <w:kern w:val="10"/>
          <w:szCs w:val="21"/>
          <w:highlight w:val="none"/>
          <w:lang w:eastAsia="zh-CN"/>
        </w:rPr>
        <w:t>宁波市海曙区采购管理办公室</w:t>
      </w:r>
      <w:r>
        <w:rPr>
          <w:rFonts w:hint="eastAsia" w:ascii="宋体" w:hAnsi="宋体"/>
          <w:color w:val="auto"/>
          <w:kern w:val="10"/>
          <w:szCs w:val="21"/>
          <w:highlight w:val="none"/>
          <w:lang w:val="zh-CN"/>
        </w:rPr>
        <w:t>。</w:t>
      </w:r>
    </w:p>
    <w:p>
      <w:pPr>
        <w:spacing w:line="400" w:lineRule="exact"/>
        <w:ind w:firstLine="420" w:firstLineChars="200"/>
        <w:jc w:val="left"/>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、“▲”系指实质性响应条款。</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1、投标报价以人民币为结算货币，包括但不仅限于</w:t>
      </w:r>
      <w:r>
        <w:rPr>
          <w:rFonts w:hint="eastAsia" w:ascii="宋体" w:hAnsi="宋体" w:cs="宋体"/>
          <w:color w:val="auto"/>
          <w:highlight w:val="none"/>
        </w:rPr>
        <w:t>完成房屋征收事务代理服务可能发生的全部费用及投标供应商的利润和应交纳的税金等（包括人员工资、奖金、各种加班费、夜餐费、各种社会保险、餐饮与交通必需的一切本身和不可或缺的所有工作开支、政策性文件规定及合同包含的所有风险、责任等、专用设备、消耗材料、服装、安全、管理费用、税费、利润、招标代理服务费、完成合同所需各项费用并承担一切风险责任，其中房地产价格评估</w:t>
      </w:r>
      <w:r>
        <w:rPr>
          <w:rFonts w:hint="eastAsia" w:ascii="宋体" w:hAnsi="宋体" w:cs="宋体"/>
          <w:color w:val="auto"/>
          <w:highlight w:val="none"/>
          <w:lang w:val="en-US" w:eastAsia="zh-CN"/>
        </w:rPr>
        <w:t>费用</w:t>
      </w:r>
      <w:r>
        <w:rPr>
          <w:rFonts w:hint="eastAsia" w:ascii="宋体" w:hAnsi="宋体" w:cs="宋体"/>
          <w:color w:val="auto"/>
          <w:highlight w:val="none"/>
        </w:rPr>
        <w:t>、测绘费用、年限查证、公证办理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不可移动的设备设施评估</w:t>
      </w:r>
      <w:r>
        <w:rPr>
          <w:rFonts w:hint="eastAsia" w:ascii="宋体" w:hAnsi="宋体" w:cs="宋体"/>
          <w:color w:val="auto"/>
          <w:highlight w:val="none"/>
        </w:rPr>
        <w:t>等费用由甲方承担</w:t>
      </w:r>
      <w:r>
        <w:rPr>
          <w:rFonts w:hint="eastAsia" w:ascii="宋体" w:hAnsi="宋体" w:cs="宋体"/>
          <w:color w:val="auto"/>
          <w:highlight w:val="none"/>
          <w:lang w:eastAsia="zh-CN"/>
        </w:rPr>
        <w:t>）</w:t>
      </w:r>
      <w:r>
        <w:rPr>
          <w:rFonts w:hint="eastAsia" w:ascii="宋体" w:hAnsi="宋体"/>
          <w:color w:val="auto"/>
          <w:szCs w:val="21"/>
          <w:highlight w:val="none"/>
        </w:rPr>
        <w:t>，整个服务期内，费用不做调整。供应商在报价时应考虑到所有报价项目，如果有遗漏，自行承担风险，采购人不再支付其它费用。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2、供应商应按招标文件要求认真填写“开标一览表”。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w:t>
      </w:r>
      <w:r>
        <w:rPr>
          <w:rFonts w:hint="eastAsia" w:ascii="宋体" w:hAnsi="宋体"/>
          <w:color w:val="auto"/>
          <w:szCs w:val="21"/>
          <w:highlight w:val="none"/>
          <w:lang w:eastAsia="zh-CN"/>
        </w:rPr>
        <w:t>天</w:t>
      </w:r>
      <w:r>
        <w:rPr>
          <w:rFonts w:hint="eastAsia" w:ascii="宋体" w:hAnsi="宋体"/>
          <w:color w:val="auto"/>
          <w:szCs w:val="21"/>
          <w:highlight w:val="none"/>
        </w:rPr>
        <w:t>。投标有效期不能小于招标文件的要求。</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八、投标文件的组成、份数、制作</w:t>
      </w:r>
    </w:p>
    <w:p>
      <w:pPr>
        <w:snapToGrid w:val="0"/>
        <w:spacing w:line="400" w:lineRule="exact"/>
        <w:ind w:firstLine="411" w:firstLineChars="196"/>
        <w:jc w:val="left"/>
        <w:rPr>
          <w:rFonts w:hint="eastAsia" w:ascii="宋体" w:hAnsi="宋体"/>
          <w:bCs/>
          <w:color w:val="auto"/>
          <w:szCs w:val="21"/>
          <w:highlight w:val="none"/>
        </w:rPr>
      </w:pPr>
      <w:r>
        <w:rPr>
          <w:rFonts w:hint="eastAsia" w:ascii="宋体" w:hAnsi="宋体"/>
          <w:bCs/>
          <w:color w:val="auto"/>
          <w:szCs w:val="21"/>
          <w:highlight w:val="none"/>
        </w:rPr>
        <w:t>1、投标文件的组成：</w:t>
      </w:r>
    </w:p>
    <w:p>
      <w:pPr>
        <w:snapToGrid w:val="0"/>
        <w:spacing w:line="400" w:lineRule="exact"/>
        <w:ind w:firstLine="413" w:firstLineChars="196"/>
        <w:jc w:val="left"/>
        <w:rPr>
          <w:rFonts w:ascii="宋体" w:hAnsi="宋体"/>
          <w:b/>
          <w:color w:val="auto"/>
          <w:szCs w:val="21"/>
          <w:highlight w:val="none"/>
        </w:rPr>
      </w:pPr>
      <w:bookmarkStart w:id="2" w:name="_Hlk23147633"/>
      <w:bookmarkStart w:id="3" w:name="_Hlk23150950"/>
      <w:r>
        <w:rPr>
          <w:rFonts w:ascii="宋体" w:hAnsi="宋体"/>
          <w:b/>
          <w:color w:val="auto"/>
          <w:szCs w:val="21"/>
          <w:highlight w:val="none"/>
        </w:rPr>
        <w:t>A</w:t>
      </w:r>
      <w:r>
        <w:rPr>
          <w:rFonts w:hint="eastAsia" w:ascii="宋体" w:hAnsi="宋体"/>
          <w:b/>
          <w:color w:val="auto"/>
          <w:szCs w:val="21"/>
          <w:highlight w:val="none"/>
        </w:rPr>
        <w:t>、第一册：资格文件</w:t>
      </w:r>
    </w:p>
    <w:p>
      <w:pPr>
        <w:spacing w:line="400" w:lineRule="exact"/>
        <w:ind w:firstLine="420" w:firstLineChars="200"/>
        <w:jc w:val="left"/>
        <w:rPr>
          <w:rFonts w:hint="eastAsia" w:ascii="宋体" w:hAnsi="宋体"/>
          <w:color w:val="auto"/>
          <w:szCs w:val="21"/>
          <w:highlight w:val="none"/>
        </w:rPr>
      </w:pPr>
      <w:bookmarkStart w:id="4" w:name="_Hlk4309479"/>
      <w:bookmarkStart w:id="5" w:name="_Hlk39154056"/>
      <w:r>
        <w:rPr>
          <w:rFonts w:hint="eastAsia" w:ascii="宋体" w:hAnsi="宋体"/>
          <w:color w:val="auto"/>
          <w:szCs w:val="21"/>
          <w:highlight w:val="none"/>
        </w:rPr>
        <w:t>A1、关于资格的承诺函；</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2、营业执照副本（或事业法人登记证副本或其他登记证明材料）复印件加盖供应商公章（供应商如果有名称变更的，应提供由行政主管部门出具的变更证明文件复印件加盖供应商公章）；</w:t>
      </w:r>
    </w:p>
    <w:p>
      <w:pPr>
        <w:spacing w:line="40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bookmarkEnd w:id="4"/>
    <w:p>
      <w:pPr>
        <w:spacing w:line="400" w:lineRule="exact"/>
        <w:ind w:firstLine="420" w:firstLineChars="200"/>
        <w:jc w:val="left"/>
        <w:rPr>
          <w:rFonts w:hint="eastAsia" w:ascii="宋体" w:hAnsi="宋体"/>
          <w:color w:val="auto"/>
          <w:szCs w:val="21"/>
          <w:highlight w:val="none"/>
        </w:rPr>
      </w:pPr>
      <w:bookmarkStart w:id="6" w:name="_Hlk84512701"/>
      <w:bookmarkStart w:id="7" w:name="_Hlk37403535"/>
      <w:bookmarkStart w:id="8" w:name="_Hlk65586849"/>
      <w:r>
        <w:rPr>
          <w:rFonts w:hint="eastAsia" w:ascii="宋体" w:hAnsi="宋体"/>
          <w:color w:val="auto"/>
          <w:szCs w:val="21"/>
          <w:highlight w:val="none"/>
        </w:rPr>
        <w:t>B1、投标书；</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B2、法定代表人身份证明；</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B4、供应商一般情况表；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B5、商务条款响应表；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B6、技术条款响应表；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B7、针对本项目第三章评标办法及标准及第</w:t>
      </w:r>
      <w:r>
        <w:rPr>
          <w:rFonts w:hint="eastAsia" w:ascii="宋体" w:hAnsi="宋体"/>
          <w:color w:val="auto"/>
          <w:szCs w:val="21"/>
          <w:highlight w:val="none"/>
          <w:lang w:eastAsia="zh-CN"/>
        </w:rPr>
        <w:t>五</w:t>
      </w:r>
      <w:r>
        <w:rPr>
          <w:rFonts w:hint="eastAsia" w:ascii="宋体" w:hAnsi="宋体"/>
          <w:color w:val="auto"/>
          <w:szCs w:val="21"/>
          <w:highlight w:val="none"/>
        </w:rPr>
        <w:t>章招标内容与技术需求中的条款拟定各种方案，格式自拟；</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w:t>
      </w:r>
      <w:r>
        <w:rPr>
          <w:rFonts w:hint="eastAsia" w:ascii="宋体" w:hAnsi="宋体"/>
          <w:color w:val="auto"/>
          <w:szCs w:val="21"/>
          <w:highlight w:val="none"/>
          <w:lang w:val="en-US" w:eastAsia="zh-CN"/>
        </w:rPr>
        <w:t>8</w:t>
      </w:r>
      <w:r>
        <w:rPr>
          <w:rFonts w:hint="eastAsia" w:ascii="宋体" w:hAnsi="宋体"/>
          <w:color w:val="auto"/>
          <w:szCs w:val="21"/>
          <w:highlight w:val="none"/>
        </w:rPr>
        <w:t>、第三章“评标办法及标准”中“商务和技术评分表”要求提供的其他资料（如有需提供）；</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w:t>
      </w:r>
      <w:r>
        <w:rPr>
          <w:rFonts w:hint="eastAsia" w:ascii="宋体" w:hAnsi="宋体"/>
          <w:color w:val="auto"/>
          <w:szCs w:val="21"/>
          <w:highlight w:val="none"/>
          <w:lang w:val="en-US" w:eastAsia="zh-CN"/>
        </w:rPr>
        <w:t>9</w:t>
      </w:r>
      <w:r>
        <w:rPr>
          <w:rFonts w:hint="eastAsia" w:ascii="宋体" w:hAnsi="宋体"/>
          <w:color w:val="auto"/>
          <w:szCs w:val="21"/>
          <w:highlight w:val="none"/>
        </w:rPr>
        <w:t>、供应商认为需要的其他资料（如有需提供）。</w:t>
      </w:r>
    </w:p>
    <w:bookmarkEnd w:id="6"/>
    <w:bookmarkEnd w:id="7"/>
    <w:bookmarkEnd w:id="8"/>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▲“商务和技术文件”中不得出现涉及投标价格的内容，否则作无效标处理。</w:t>
      </w:r>
    </w:p>
    <w:bookmarkEnd w:id="2"/>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lang w:val="en-US" w:eastAsia="zh-CN"/>
        </w:rPr>
        <w:t>2</w:t>
      </w:r>
      <w:r>
        <w:rPr>
          <w:rFonts w:hint="eastAsia" w:ascii="宋体" w:hAnsi="宋体"/>
          <w:color w:val="auto"/>
          <w:szCs w:val="21"/>
          <w:highlight w:val="none"/>
        </w:rPr>
        <w:t>、中小企业声明函；</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lang w:val="en-US" w:eastAsia="zh-CN"/>
        </w:rPr>
        <w:t>3</w:t>
      </w:r>
      <w:r>
        <w:rPr>
          <w:rFonts w:hint="eastAsia" w:ascii="宋体" w:hAnsi="宋体"/>
          <w:color w:val="auto"/>
          <w:szCs w:val="21"/>
          <w:highlight w:val="none"/>
        </w:rPr>
        <w:t>、残疾人福利性单位声明函；</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lang w:val="en-US" w:eastAsia="zh-CN"/>
        </w:rPr>
        <w:t>4</w:t>
      </w:r>
      <w:r>
        <w:rPr>
          <w:rFonts w:hint="eastAsia" w:ascii="宋体" w:hAnsi="宋体"/>
          <w:color w:val="auto"/>
          <w:szCs w:val="21"/>
          <w:highlight w:val="none"/>
        </w:rPr>
        <w:t>、供应商认为需要的其他资料（如有需提供）。</w:t>
      </w:r>
    </w:p>
    <w:bookmarkEnd w:id="3"/>
    <w:bookmarkEnd w:id="5"/>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2、投标文件的份数：</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本项目实行网上投标，供应商应准备以下投标文件：</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上传到政府采购云平台的电子投标文件（含</w:t>
      </w:r>
      <w:r>
        <w:rPr>
          <w:rFonts w:hint="eastAsia" w:ascii="宋体" w:hAnsi="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以U盘或光盘存储的电子备份投标文件（含</w:t>
      </w:r>
      <w:r>
        <w:rPr>
          <w:rFonts w:hint="eastAsia" w:ascii="宋体" w:hAnsi="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olor w:val="auto"/>
          <w:szCs w:val="21"/>
          <w:highlight w:val="none"/>
        </w:rPr>
        <w:t>。</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hint="eastAsia" w:ascii="宋体" w:hAnsi="宋体" w:cs="仿宋"/>
          <w:bCs/>
          <w:color w:val="auto"/>
          <w:szCs w:val="21"/>
          <w:highlight w:val="none"/>
        </w:rPr>
      </w:pPr>
      <w:r>
        <w:rPr>
          <w:rFonts w:hint="eastAsia" w:ascii="宋体" w:hAnsi="宋体"/>
          <w:color w:val="auto"/>
          <w:szCs w:val="21"/>
          <w:highlight w:val="none"/>
        </w:rPr>
        <w:t>3、</w:t>
      </w:r>
      <w:r>
        <w:rPr>
          <w:rFonts w:hint="eastAsia" w:ascii="宋体" w:hAnsi="宋体" w:cs="仿宋"/>
          <w:bCs/>
          <w:color w:val="auto"/>
          <w:szCs w:val="21"/>
          <w:highlight w:val="none"/>
        </w:rPr>
        <w:t>投标文件制作：</w:t>
      </w:r>
    </w:p>
    <w:p>
      <w:pPr>
        <w:adjustRightInd w:val="0"/>
        <w:snapToGrid w:val="0"/>
        <w:spacing w:line="40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pPr>
        <w:spacing w:line="400" w:lineRule="exact"/>
        <w:ind w:firstLine="420" w:firstLineChars="200"/>
        <w:jc w:val="left"/>
        <w:rPr>
          <w:rFonts w:hint="eastAsia"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1、招标文件第七章“附件”中标明加盖公章或签字的，加盖公章部分采用CA签章，签字部分由法定代表人或授权代表签字后扫描上传。授权代表签字的，还应附法定代表人签署的法定代表人授权书。</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pPr>
        <w:tabs>
          <w:tab w:val="left" w:pos="900"/>
        </w:tabs>
        <w:spacing w:line="4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2022NBHSWT007</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海曙区高桥镇长乐未来社区项目房屋征收第三方服务采购项目</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1、投标文件递交的具体要求：</w:t>
      </w:r>
    </w:p>
    <w:p>
      <w:pPr>
        <w:adjustRightInd w:val="0"/>
        <w:snapToGrid w:val="0"/>
        <w:spacing w:line="400" w:lineRule="exact"/>
        <w:ind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（1）供应商应于提交投标文件截止时间前将电子投标文件上传到政府采购云平台（</w:t>
      </w:r>
      <w:r>
        <w:rPr>
          <w:rFonts w:ascii="宋体" w:hAnsi="宋体" w:cs="仿宋"/>
          <w:color w:val="auto"/>
          <w:kern w:val="0"/>
          <w:szCs w:val="21"/>
          <w:highlight w:val="none"/>
        </w:rPr>
        <w:fldChar w:fldCharType="begin"/>
      </w:r>
      <w:r>
        <w:rPr>
          <w:rFonts w:ascii="宋体" w:hAnsi="宋体" w:cs="仿宋"/>
          <w:color w:val="auto"/>
          <w:kern w:val="0"/>
          <w:szCs w:val="21"/>
          <w:highlight w:val="none"/>
        </w:rPr>
        <w:instrText xml:space="preserve"> HYPERLINK "http://www.zcygov.cn" </w:instrText>
      </w:r>
      <w:r>
        <w:rPr>
          <w:rFonts w:ascii="宋体" w:hAnsi="宋体" w:cs="仿宋"/>
          <w:color w:val="auto"/>
          <w:kern w:val="0"/>
          <w:szCs w:val="21"/>
          <w:highlight w:val="none"/>
        </w:rPr>
        <w:fldChar w:fldCharType="separate"/>
      </w:r>
      <w:r>
        <w:rPr>
          <w:rStyle w:val="52"/>
          <w:rFonts w:hint="eastAsia" w:ascii="宋体" w:hAnsi="宋体"/>
          <w:color w:val="auto"/>
          <w:kern w:val="0"/>
          <w:highlight w:val="none"/>
          <w:u w:val="none"/>
        </w:rPr>
        <w:t>www.zcygov.cn</w:t>
      </w:r>
      <w:r>
        <w:rPr>
          <w:rFonts w:ascii="宋体" w:hAnsi="宋体" w:cs="仿宋"/>
          <w:color w:val="auto"/>
          <w:kern w:val="0"/>
          <w:szCs w:val="21"/>
          <w:highlight w:val="none"/>
        </w:rPr>
        <w:fldChar w:fldCharType="end"/>
      </w:r>
      <w:r>
        <w:rPr>
          <w:rFonts w:hint="eastAsia" w:ascii="宋体" w:hAnsi="宋体" w:cs="仿宋"/>
          <w:color w:val="auto"/>
          <w:kern w:val="0"/>
          <w:szCs w:val="21"/>
          <w:highlight w:val="none"/>
        </w:rPr>
        <w:t>），并</w:t>
      </w:r>
      <w:r>
        <w:rPr>
          <w:rFonts w:hint="eastAsia" w:ascii="宋体" w:hAnsi="宋体" w:cs="仿宋"/>
          <w:color w:val="auto"/>
          <w:szCs w:val="21"/>
          <w:highlight w:val="none"/>
        </w:rPr>
        <w:t>应于提交投标文件截止时间</w:t>
      </w:r>
      <w:r>
        <w:rPr>
          <w:rFonts w:hint="eastAsia" w:ascii="宋体" w:hAnsi="宋体" w:cs="仿宋"/>
          <w:color w:val="auto"/>
          <w:kern w:val="0"/>
          <w:szCs w:val="21"/>
          <w:highlight w:val="none"/>
        </w:rPr>
        <w:t>前，将以U盘或光盘存储的电子备份投标文件密封后按以下方式送达。</w:t>
      </w:r>
    </w:p>
    <w:p>
      <w:pPr>
        <w:tabs>
          <w:tab w:val="left" w:pos="5387"/>
        </w:tabs>
        <w:snapToGrid w:val="0"/>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方式一：现场递交方式，供应商可安排一名“甬行码”为绿色的授权代表在投标截止时间前将投标文件送至开标地点：</w:t>
      </w:r>
      <w:r>
        <w:rPr>
          <w:rFonts w:hint="eastAsia" w:ascii="宋体" w:hAnsi="宋体" w:cs="宋体"/>
          <w:color w:val="auto"/>
          <w:szCs w:val="21"/>
          <w:highlight w:val="none"/>
        </w:rPr>
        <w:t>宁波市海曙区公共资源交易中心二楼开标室（5）（南门上，宁波市海曙区气象路58号）</w:t>
      </w:r>
      <w:r>
        <w:rPr>
          <w:rFonts w:hint="eastAsia" w:ascii="宋体" w:hAnsi="宋体" w:cs="宋体"/>
          <w:color w:val="auto"/>
          <w:kern w:val="0"/>
          <w:szCs w:val="21"/>
          <w:highlight w:val="none"/>
        </w:rPr>
        <w:t>。投标文件递交时须同时递交供应商的法定代表人（或其授权代表）联系方式，并保证投标期间联系方式畅通。</w:t>
      </w:r>
    </w:p>
    <w:p>
      <w:pPr>
        <w:snapToGrid w:val="0"/>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方式二：邮寄送达，送达地址：</w:t>
      </w:r>
      <w:r>
        <w:rPr>
          <w:rFonts w:hint="eastAsia" w:ascii="宋体" w:hAnsi="宋体" w:cs="宋体"/>
          <w:color w:val="auto"/>
          <w:kern w:val="0"/>
          <w:szCs w:val="21"/>
          <w:highlight w:val="none"/>
          <w:lang w:eastAsia="zh-CN"/>
        </w:rPr>
        <w:t>浙江联达工程项目管理有限公司</w:t>
      </w:r>
      <w:r>
        <w:rPr>
          <w:rFonts w:hint="eastAsia" w:ascii="宋体" w:hAnsi="宋体" w:cs="宋体"/>
          <w:color w:val="auto"/>
          <w:kern w:val="0"/>
          <w:szCs w:val="21"/>
          <w:highlight w:val="none"/>
        </w:rPr>
        <w:t>（宁波高新区广贤路1035号科技广场4号楼三楼），联系方式：</w:t>
      </w:r>
      <w:r>
        <w:rPr>
          <w:rFonts w:hint="eastAsia" w:ascii="宋体" w:hAnsi="宋体" w:cs="宋体"/>
          <w:color w:val="auto"/>
          <w:kern w:val="0"/>
          <w:szCs w:val="21"/>
          <w:highlight w:val="none"/>
          <w:lang w:eastAsia="zh-CN"/>
        </w:rPr>
        <w:t>孙嘉琳</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 xml:space="preserve"> 0574-87915231</w:t>
      </w:r>
      <w:r>
        <w:rPr>
          <w:rFonts w:hint="eastAsia" w:ascii="宋体" w:hAnsi="宋体" w:cs="宋体"/>
          <w:color w:val="auto"/>
          <w:kern w:val="0"/>
          <w:szCs w:val="21"/>
          <w:highlight w:val="none"/>
        </w:rPr>
        <w:t>。供应商邮寄后须将邮件单号发送至代理机构电子邮箱（电子邮箱：</w:t>
      </w:r>
      <w:r>
        <w:rPr>
          <w:rFonts w:hint="eastAsia" w:ascii="宋体" w:hAnsi="宋体" w:cs="宋体"/>
          <w:color w:val="auto"/>
          <w:kern w:val="0"/>
          <w:szCs w:val="21"/>
          <w:highlight w:val="none"/>
          <w:lang w:eastAsia="zh-CN"/>
        </w:rPr>
        <w:t>2586442278@qq.com</w:t>
      </w:r>
      <w:r>
        <w:rPr>
          <w:rFonts w:hint="eastAsia" w:ascii="宋体" w:hAnsi="宋体" w:cs="宋体"/>
          <w:color w:val="auto"/>
          <w:kern w:val="0"/>
          <w:szCs w:val="21"/>
          <w:highlight w:val="none"/>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2）疫情防控期间，不要求供应商人员必须到场参加现场采购活动，若供应商人员需参加现场采购活动，应全程佩戴口罩等防护用具，自觉接受体温检测、出示“甬行码”并接受疫情询问，并如实报告相关情况。请各供应商人员遵守</w:t>
      </w:r>
      <w:r>
        <w:rPr>
          <w:rFonts w:hint="eastAsia" w:ascii="宋体" w:hAnsi="宋体" w:cs="宋体"/>
          <w:color w:val="auto"/>
          <w:szCs w:val="21"/>
          <w:highlight w:val="none"/>
        </w:rPr>
        <w:t>宁波市海曙区公共资源交易中心各项防疫措施规定</w:t>
      </w:r>
      <w:r>
        <w:rPr>
          <w:rFonts w:hint="eastAsia" w:ascii="宋体" w:hAnsi="宋体" w:cs="宋体"/>
          <w:color w:val="auto"/>
          <w:kern w:val="0"/>
          <w:szCs w:val="21"/>
          <w:highlight w:val="none"/>
        </w:rPr>
        <w:t>。由于疫情防控的影响，请提早安排送达时间。</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2、供应商未按上述要求密封的电子备份投标文件，代理机构不予受理。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4、投标文件的补充、修改</w:t>
      </w:r>
    </w:p>
    <w:p>
      <w:pPr>
        <w:spacing w:line="400" w:lineRule="exact"/>
        <w:ind w:firstLine="420" w:firstLineChars="200"/>
        <w:rPr>
          <w:rFonts w:hint="eastAsia"/>
          <w:color w:val="auto"/>
          <w:szCs w:val="21"/>
          <w:highlight w:val="none"/>
          <w:lang w:val="en"/>
        </w:rPr>
      </w:pPr>
      <w:r>
        <w:rPr>
          <w:rFonts w:hint="eastAsia" w:ascii="宋体" w:hAnsi="宋体"/>
          <w:color w:val="auto"/>
          <w:szCs w:val="21"/>
          <w:highlight w:val="none"/>
        </w:rPr>
        <w:t>投标截止时间前，供应商可以对递交的投标文件进行补充、修改，</w:t>
      </w:r>
      <w:r>
        <w:rPr>
          <w:rFonts w:hint="eastAsia"/>
          <w:color w:val="auto"/>
          <w:szCs w:val="21"/>
          <w:highlight w:val="none"/>
          <w:lang w:val="en"/>
        </w:rPr>
        <w:t>补充、修改</w:t>
      </w:r>
      <w:r>
        <w:rPr>
          <w:rFonts w:hint="eastAsia"/>
          <w:color w:val="auto"/>
          <w:szCs w:val="21"/>
          <w:highlight w:val="none"/>
        </w:rPr>
        <w:t>电子投标文件</w:t>
      </w:r>
      <w:r>
        <w:rPr>
          <w:rFonts w:hint="eastAsia"/>
          <w:color w:val="auto"/>
          <w:szCs w:val="21"/>
          <w:highlight w:val="none"/>
          <w:lang w:val="en"/>
        </w:rPr>
        <w:t>的，应当先行撤回原文件，补充、修改后重新上传，电子备份投标文件也应重新制作。</w:t>
      </w:r>
      <w:r>
        <w:rPr>
          <w:rFonts w:hint="eastAsia" w:ascii="宋体" w:hAnsi="宋体"/>
          <w:color w:val="auto"/>
          <w:szCs w:val="21"/>
          <w:highlight w:val="none"/>
        </w:rPr>
        <w:t>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、电子投标开标及评审程序：分两阶段开标。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第一阶段开标（资格文件及商务和技术文件）：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（1）宣布开标；</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本项目实行网上投标，采用电子投标文件。若供应商参与投标，自行承担投标一切费用。</w:t>
      </w:r>
      <w:r>
        <w:rPr>
          <w:rFonts w:hint="eastAsia" w:ascii="宋体" w:hAnsi="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）介绍开标现场的人员情况；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）宣读递交投标文件的供应商名单、开标纪律、应当回避的情形等注意事项；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）供应商签署不存在影响公平竞争的《政府采购活动现场确认声明书》；</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）供应商代表查验投标文件密封情况；确认无误后按照供应商提交投标文件的先后顺序，开启“资格文件”、“商务和技术文件”，宣读供应商名称，并做开标记录；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）第一阶段开标记录签字确认；</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）告知供应商第二阶段开标的有关事宜；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）第一阶段开标结束。</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休会，评标委员会对“资格文件”、“商务和技术文件”进行评审。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第二阶段开标（报价文件）：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）公布经第一阶段评审符合招标文件要求的供应商的商务和技术得分情况；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）按第一阶段开标顺序在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开启除第一阶段无效标外的供应商的“报价文件”，宣读投标文件中“开标一览表”内容，以及采购人认为必要的其他内容与记录，并做开标记录；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）第二阶段开标记录签字确认；</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休会，评标委员会对“报价文件”进行评审。</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公布中标候选人名单及采购人最终确定中标供应商名单的时间和公告方式等；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（6）第二阶段开标结束。</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本项目原则上采用政采云电子投标开标及评审程序，但有下情形之一的，按以下情况处理：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电子交易平台发生故障而无法登录访问的；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.3</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、采购人、代理机构接收质疑函的方式：只接收供应商以当面递交、邮寄、传真或电子邮件方式提出的质疑函，以其他方式提出的质疑不予接收。</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pPr>
        <w:spacing w:line="400" w:lineRule="exact"/>
        <w:ind w:firstLine="422" w:firstLineChars="200"/>
        <w:jc w:val="left"/>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十六、预算价及最高限价</w:t>
      </w:r>
    </w:p>
    <w:p>
      <w:pPr>
        <w:spacing w:line="400" w:lineRule="exact"/>
        <w:ind w:firstLine="420" w:firstLineChars="200"/>
        <w:jc w:val="left"/>
        <w:rPr>
          <w:rFonts w:ascii="宋体" w:hAnsi="宋体"/>
          <w:color w:val="auto"/>
          <w:szCs w:val="21"/>
          <w:highlight w:val="none"/>
        </w:rPr>
      </w:pPr>
      <w:bookmarkStart w:id="9" w:name="_Hlk37142004"/>
      <w:r>
        <w:rPr>
          <w:rFonts w:hint="eastAsia" w:ascii="宋体" w:hAnsi="宋体"/>
          <w:color w:val="auto"/>
          <w:szCs w:val="21"/>
          <w:highlight w:val="none"/>
        </w:rPr>
        <w:t>1、本次公开招标设有单价控制价，最高限价为</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元/平方米</w:t>
      </w:r>
      <w:r>
        <w:rPr>
          <w:rFonts w:hint="eastAsia" w:ascii="宋体" w:hAnsi="宋体"/>
          <w:color w:val="auto"/>
          <w:szCs w:val="21"/>
          <w:highlight w:val="none"/>
        </w:rPr>
        <w:t>，投标报价超出单价控制价的投标无效。</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bookmarkEnd w:id="9"/>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本招标代理机构根据国家发改委发改办价格[2003]857号通知和原国家计委计价格[2002]1980号文件规定的服务招标费率标准，按照中标通知书确定的中标金额</w:t>
      </w:r>
      <w:r>
        <w:rPr>
          <w:rFonts w:hint="eastAsia" w:ascii="宋体" w:hAnsi="宋体"/>
          <w:color w:val="auto"/>
          <w:szCs w:val="21"/>
          <w:highlight w:val="none"/>
          <w:lang w:eastAsia="zh-CN"/>
        </w:rPr>
        <w:t>（</w:t>
      </w:r>
      <w:r>
        <w:rPr>
          <w:rFonts w:hint="eastAsia" w:ascii="宋体" w:hAnsi="宋体"/>
          <w:color w:val="auto"/>
          <w:szCs w:val="21"/>
          <w:highlight w:val="none"/>
        </w:rPr>
        <w:t>中标金额</w:t>
      </w:r>
      <w:r>
        <w:rPr>
          <w:rFonts w:hint="eastAsia" w:ascii="宋体" w:hAnsi="宋体"/>
          <w:color w:val="auto"/>
          <w:szCs w:val="21"/>
          <w:highlight w:val="none"/>
          <w:lang w:eastAsia="zh-CN"/>
        </w:rPr>
        <w:t>指中标单价与暂定工程量的乘积）</w:t>
      </w:r>
      <w:r>
        <w:rPr>
          <w:rFonts w:hint="eastAsia" w:ascii="宋体" w:hAnsi="宋体"/>
          <w:color w:val="auto"/>
          <w:szCs w:val="21"/>
          <w:highlight w:val="none"/>
        </w:rPr>
        <w:t>，向中标供应商收取中标服务费。</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2.中标供应商应在领取中标通知书前支付中标服务费。</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3.中标服务费只收现金、银行票汇款、电汇款。</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pPr>
        <w:spacing w:line="400" w:lineRule="exact"/>
        <w:ind w:firstLine="420" w:firstLineChars="200"/>
        <w:rPr>
          <w:rFonts w:ascii="宋体" w:hAnsi="宋体"/>
          <w:color w:val="auto"/>
          <w:szCs w:val="21"/>
          <w:highlight w:val="none"/>
        </w:rPr>
      </w:pPr>
      <w:bookmarkStart w:id="10" w:name="_Toc436408700"/>
      <w:bookmarkStart w:id="11" w:name="_Toc441316546"/>
      <w:bookmarkStart w:id="12" w:name="_Toc419729150"/>
      <w:bookmarkStart w:id="13" w:name="_Toc21541007"/>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10"/>
      <w:bookmarkEnd w:id="11"/>
      <w:bookmarkEnd w:id="12"/>
      <w:bookmarkEnd w:id="13"/>
    </w:p>
    <w:p>
      <w:pPr>
        <w:spacing w:line="400" w:lineRule="exact"/>
        <w:ind w:firstLine="420" w:firstLineChars="200"/>
        <w:rPr>
          <w:rFonts w:hint="eastAsia" w:ascii="宋体" w:hAnsi="宋体"/>
          <w:color w:val="auto"/>
          <w:szCs w:val="21"/>
          <w:highlight w:val="none"/>
        </w:rPr>
      </w:pPr>
      <w:bookmarkStart w:id="14" w:name="_Toc419729151"/>
      <w:bookmarkStart w:id="15" w:name="_Toc441316547"/>
      <w:bookmarkStart w:id="16" w:name="_Toc21541008"/>
      <w:bookmarkStart w:id="17" w:name="_Toc436408701"/>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4"/>
      <w:bookmarkEnd w:id="15"/>
      <w:bookmarkEnd w:id="16"/>
      <w:bookmarkEnd w:id="17"/>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ascii="宋体" w:hAnsi="宋体"/>
          <w:color w:val="auto"/>
          <w:szCs w:val="21"/>
          <w:highlight w:val="none"/>
        </w:rPr>
      </w:pPr>
      <w:bookmarkStart w:id="18" w:name="_Toc436408702"/>
      <w:bookmarkStart w:id="19" w:name="_Toc21541009"/>
      <w:bookmarkStart w:id="20" w:name="_Toc419729152"/>
      <w:bookmarkStart w:id="21" w:name="_Toc441316548"/>
      <w:r>
        <w:rPr>
          <w:rFonts w:hint="eastAsia" w:ascii="宋体" w:hAnsi="宋体"/>
          <w:color w:val="auto"/>
          <w:szCs w:val="21"/>
          <w:highlight w:val="none"/>
        </w:rPr>
        <w:t>①在货物采购项目中，货物由中小企业制造，即货物由中小企业生产且使用该中小企业商号或者注册商标；</w:t>
      </w:r>
      <w:bookmarkEnd w:id="18"/>
      <w:bookmarkEnd w:id="19"/>
      <w:bookmarkEnd w:id="20"/>
      <w:bookmarkEnd w:id="21"/>
    </w:p>
    <w:p>
      <w:pPr>
        <w:spacing w:line="400" w:lineRule="exact"/>
        <w:ind w:firstLine="420" w:firstLineChars="200"/>
        <w:rPr>
          <w:rFonts w:hint="eastAsia" w:ascii="宋体" w:hAnsi="宋体"/>
          <w:color w:val="auto"/>
          <w:szCs w:val="21"/>
          <w:highlight w:val="none"/>
        </w:rPr>
      </w:pPr>
      <w:bookmarkStart w:id="22" w:name="_Toc419729153"/>
      <w:bookmarkStart w:id="23" w:name="_Toc436408703"/>
      <w:bookmarkStart w:id="24" w:name="_Toc441316549"/>
      <w:bookmarkStart w:id="25" w:name="_Toc21541010"/>
      <w:r>
        <w:rPr>
          <w:rFonts w:hint="eastAsia" w:ascii="宋体" w:hAnsi="宋体"/>
          <w:color w:val="auto"/>
          <w:szCs w:val="21"/>
          <w:highlight w:val="none"/>
        </w:rPr>
        <w:t>②在工程采购项目中，工程由中小企业承建，即工程施工单位为中小企业</w:t>
      </w:r>
      <w:bookmarkEnd w:id="22"/>
      <w:bookmarkEnd w:id="23"/>
      <w:bookmarkEnd w:id="24"/>
      <w:bookmarkEnd w:id="25"/>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采购人管部门负责认定。</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ascii="宋体" w:hAnsi="宋体"/>
          <w:color w:val="auto"/>
          <w:szCs w:val="21"/>
          <w:highlight w:val="none"/>
        </w:rPr>
      </w:pPr>
      <w:bookmarkStart w:id="26" w:name="_Toc495244277"/>
      <w:bookmarkStart w:id="27"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6"/>
      <w:bookmarkEnd w:id="27"/>
    </w:p>
    <w:p>
      <w:pPr>
        <w:spacing w:line="400" w:lineRule="exact"/>
        <w:ind w:firstLine="420" w:firstLineChars="200"/>
        <w:rPr>
          <w:rFonts w:ascii="宋体" w:hAnsi="宋体"/>
          <w:color w:val="auto"/>
          <w:szCs w:val="21"/>
          <w:highlight w:val="none"/>
        </w:rPr>
      </w:pPr>
      <w:bookmarkStart w:id="28"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8"/>
    </w:p>
    <w:p>
      <w:pPr>
        <w:spacing w:line="400" w:lineRule="exact"/>
        <w:ind w:firstLine="420" w:firstLineChars="200"/>
        <w:rPr>
          <w:rFonts w:ascii="宋体" w:hAnsi="宋体"/>
          <w:color w:val="auto"/>
          <w:szCs w:val="21"/>
          <w:highlight w:val="none"/>
        </w:rPr>
      </w:pPr>
      <w:bookmarkStart w:id="29" w:name="_Toc21541017"/>
      <w:bookmarkStart w:id="30"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29"/>
    </w:p>
    <w:p>
      <w:pPr>
        <w:spacing w:line="400" w:lineRule="exact"/>
        <w:ind w:firstLine="420" w:firstLineChars="200"/>
        <w:rPr>
          <w:rFonts w:ascii="宋体" w:hAnsi="宋体"/>
          <w:color w:val="auto"/>
          <w:szCs w:val="21"/>
          <w:highlight w:val="none"/>
        </w:rPr>
      </w:pPr>
      <w:bookmarkStart w:id="31"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30"/>
      <w:bookmarkEnd w:id="31"/>
    </w:p>
    <w:p>
      <w:pPr>
        <w:spacing w:line="400" w:lineRule="exact"/>
        <w:ind w:firstLine="420" w:firstLineChars="200"/>
        <w:rPr>
          <w:rFonts w:hint="eastAsia" w:ascii="宋体" w:hAnsi="宋体"/>
          <w:color w:val="auto"/>
          <w:szCs w:val="21"/>
          <w:highlight w:val="none"/>
        </w:rPr>
      </w:pPr>
      <w:bookmarkStart w:id="32" w:name="_Toc419729159"/>
      <w:r>
        <w:rPr>
          <w:rFonts w:ascii="宋体" w:hAnsi="宋体"/>
          <w:color w:val="auto"/>
          <w:szCs w:val="21"/>
          <w:highlight w:val="none"/>
        </w:rPr>
        <w:t>6</w:t>
      </w:r>
      <w:r>
        <w:rPr>
          <w:rFonts w:hint="eastAsia" w:ascii="宋体" w:hAnsi="宋体"/>
          <w:color w:val="auto"/>
          <w:szCs w:val="21"/>
          <w:highlight w:val="none"/>
        </w:rPr>
        <w:t>、本招标文件解释权归采购人。</w:t>
      </w:r>
      <w:bookmarkEnd w:id="32"/>
    </w:p>
    <w:p>
      <w:pPr>
        <w:spacing w:line="400" w:lineRule="exact"/>
        <w:ind w:firstLine="422" w:firstLineChars="200"/>
        <w:rPr>
          <w:rFonts w:ascii="宋体" w:hAnsi="宋体"/>
          <w:b/>
          <w:color w:val="auto"/>
          <w:szCs w:val="21"/>
          <w:highlight w:val="none"/>
        </w:rPr>
      </w:pPr>
    </w:p>
    <w:p>
      <w:pPr>
        <w:spacing w:line="400" w:lineRule="exact"/>
        <w:ind w:firstLine="422" w:firstLineChars="200"/>
        <w:rPr>
          <w:rFonts w:ascii="宋体" w:hAnsi="宋体"/>
          <w:b/>
          <w:color w:val="auto"/>
          <w:szCs w:val="21"/>
          <w:highlight w:val="none"/>
        </w:rPr>
        <w:sectPr>
          <w:footerReference r:id="rId4" w:type="default"/>
          <w:pgSz w:w="11907" w:h="16840"/>
          <w:pgMar w:top="709" w:right="1134" w:bottom="851" w:left="1134" w:header="285" w:footer="441" w:gutter="0"/>
          <w:pgNumType w:start="1"/>
          <w:cols w:space="720" w:num="1"/>
          <w:docGrid w:linePitch="285" w:charSpace="0"/>
        </w:sectPr>
      </w:pPr>
    </w:p>
    <w:p>
      <w:pPr>
        <w:spacing w:line="400" w:lineRule="exact"/>
        <w:jc w:val="center"/>
        <w:outlineLvl w:val="0"/>
        <w:rPr>
          <w:rFonts w:ascii="宋体" w:hAnsi="宋体"/>
          <w:b/>
          <w:color w:val="auto"/>
          <w:sz w:val="32"/>
          <w:highlight w:val="none"/>
        </w:rPr>
      </w:pPr>
      <w:bookmarkStart w:id="33" w:name="_Toc90369650"/>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33"/>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仿宋"/>
          <w:color w:val="auto"/>
          <w:szCs w:val="21"/>
          <w:highlight w:val="none"/>
        </w:rPr>
        <w:t>、《关于环境标志产品政府采购实施的意见》（财库〔2006〕90号、《节能产品政府采购实施意见》的通知（财库〔2004〕185号）</w:t>
      </w:r>
      <w:r>
        <w:rPr>
          <w:rFonts w:hint="eastAsia" w:ascii="宋体" w:hAnsi="宋体" w:cs="宋体"/>
          <w:color w:val="auto"/>
          <w:highlight w:val="none"/>
        </w:rPr>
        <w:t>。</w:t>
      </w:r>
    </w:p>
    <w:p>
      <w:pPr>
        <w:spacing w:line="400" w:lineRule="exact"/>
        <w:ind w:firstLine="420" w:firstLineChars="200"/>
        <w:jc w:val="left"/>
        <w:rPr>
          <w:rFonts w:hint="eastAsia"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本次采购为非专门面向中小企业，采购标的对应的中小企业划分标准所属行业：标项1为</w:t>
      </w:r>
      <w:r>
        <w:rPr>
          <w:rFonts w:hint="eastAsia" w:ascii="宋体" w:hAnsi="宋体" w:cs="仿宋"/>
          <w:b/>
          <w:bCs/>
          <w:color w:val="auto"/>
          <w:szCs w:val="21"/>
          <w:highlight w:val="none"/>
          <w:u w:val="single"/>
        </w:rPr>
        <w:t>其他未列明行业</w:t>
      </w:r>
      <w:r>
        <w:rPr>
          <w:rFonts w:hint="eastAsia" w:ascii="宋体" w:hAnsi="宋体" w:cs="仿宋"/>
          <w:color w:val="auto"/>
          <w:szCs w:val="21"/>
          <w:highlight w:val="none"/>
        </w:rPr>
        <w:t>。本次评标将对中小企业声明函满足招标文件要求的服务承接商为小微企业的价格给予6%的扣除，用扣除后的价格参与评审。价格扣除只用于评审过程，如中标，中标价格仍按照其投标价格进行公示。</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（1）投标文件中开标一览表内容与政采云系统“开标一览表”中录入的内容不一致的，以投标文件中开标一览表为准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（3）大写金额和小写金额不一致的，以大写金额为准；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auto"/>
          <w:highlight w:val="none"/>
        </w:rPr>
      </w:pPr>
      <w:r>
        <w:rPr>
          <w:rFonts w:hint="eastAsia" w:ascii="宋体" w:hAnsi="宋体"/>
          <w:color w:val="auto"/>
          <w:highlight w:val="none"/>
        </w:rPr>
        <w:t>非单一产品采购项目，多家供应商提供的核心产品品牌相同的，按上述规定处理。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5综合评估：供应商的综合得分为商务和技术得分与报价得分之和。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或者加盖供应商公章。书面澄清将作为投标文件内容的一部分，具有相应的法律效力。</w:t>
      </w:r>
    </w:p>
    <w:p>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3.4</w:t>
      </w:r>
      <w:r>
        <w:rPr>
          <w:rFonts w:hint="eastAsia" w:ascii="宋体" w:hAnsi="宋体" w:cs="宋体"/>
          <w:color w:val="auto"/>
          <w:highlight w:val="none"/>
        </w:rPr>
        <w:t>供应商未在截止时间前完成澄清，将被视作自动放弃。</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w:t>
      </w:r>
      <w:r>
        <w:rPr>
          <w:rFonts w:ascii="宋体" w:hAnsi="宋体"/>
          <w:color w:val="auto"/>
          <w:szCs w:val="21"/>
          <w:highlight w:val="none"/>
        </w:rPr>
        <w:t>3</w:t>
      </w:r>
      <w:r>
        <w:rPr>
          <w:rFonts w:hint="eastAsia" w:ascii="宋体" w:hAnsi="宋体"/>
          <w:color w:val="auto"/>
          <w:szCs w:val="21"/>
          <w:highlight w:val="none"/>
        </w:rPr>
        <w:t>个的；</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899"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5469"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3899" w:type="dxa"/>
            <w:noWrap w:val="0"/>
            <w:vAlign w:val="center"/>
          </w:tcPr>
          <w:p>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t>
            </w:r>
            <w:r>
              <w:rPr>
                <w:rFonts w:ascii="宋体" w:hAnsi="宋体" w:cs="仿宋"/>
                <w:color w:val="auto"/>
                <w:szCs w:val="21"/>
                <w:highlight w:val="none"/>
              </w:rPr>
              <w:t>www.creditchina.gov.cn)</w:t>
            </w:r>
            <w:r>
              <w:rPr>
                <w:rFonts w:hint="eastAsia" w:ascii="宋体" w:hAnsi="宋体" w:cs="仿宋"/>
                <w:color w:val="auto"/>
                <w:szCs w:val="21"/>
                <w:highlight w:val="none"/>
              </w:rPr>
              <w:t>、中国政府采购网（</w:t>
            </w:r>
            <w:r>
              <w:rPr>
                <w:rFonts w:ascii="宋体" w:hAnsi="宋体" w:cs="仿宋"/>
                <w:color w:val="auto"/>
                <w:szCs w:val="21"/>
                <w:highlight w:val="none"/>
              </w:rPr>
              <w:t>www.ccgp.gov.cn</w:t>
            </w:r>
            <w:r>
              <w:rPr>
                <w:rFonts w:hint="eastAsia" w:ascii="宋体" w:hAnsi="宋体" w:cs="仿宋"/>
                <w:color w:val="auto"/>
                <w:szCs w:val="21"/>
                <w:highlight w:val="none"/>
              </w:rPr>
              <w:t>）列入失信被执行人、重大税收违法案件当事人名单、政府采购严重违法失信行为记录名单。</w:t>
            </w:r>
          </w:p>
        </w:tc>
        <w:tc>
          <w:tcPr>
            <w:tcW w:w="5469" w:type="dxa"/>
            <w:noWrap w:val="0"/>
            <w:vAlign w:val="center"/>
          </w:tcPr>
          <w:p>
            <w:pPr>
              <w:spacing w:line="400" w:lineRule="exact"/>
              <w:jc w:val="left"/>
              <w:rPr>
                <w:rFonts w:hint="eastAsia" w:ascii="宋体" w:hAnsi="宋体"/>
                <w:color w:val="auto"/>
                <w:szCs w:val="21"/>
                <w:highlight w:val="none"/>
              </w:rPr>
            </w:pPr>
            <w:r>
              <w:rPr>
                <w:rFonts w:hint="eastAsia" w:ascii="宋体" w:hAnsi="宋体"/>
                <w:color w:val="auto"/>
                <w:szCs w:val="21"/>
                <w:highlight w:val="none"/>
              </w:rPr>
              <w:t>A1、关于资格的承诺函；</w:t>
            </w:r>
          </w:p>
          <w:p>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noWrap w:val="0"/>
            <w:vAlign w:val="center"/>
          </w:tcPr>
          <w:p>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5469" w:type="dxa"/>
            <w:noWrap w:val="0"/>
            <w:vAlign w:val="center"/>
          </w:tcPr>
          <w:p>
            <w:pPr>
              <w:spacing w:line="400" w:lineRule="exact"/>
              <w:jc w:val="center"/>
              <w:rPr>
                <w:rFonts w:ascii="宋体" w:hAnsi="宋体"/>
                <w:color w:val="auto"/>
                <w:szCs w:val="21"/>
                <w:highlight w:val="none"/>
              </w:rPr>
            </w:pPr>
          </w:p>
        </w:tc>
      </w:tr>
    </w:tbl>
    <w:p>
      <w:pPr>
        <w:spacing w:line="340" w:lineRule="exact"/>
        <w:rPr>
          <w:rFonts w:hint="eastAsia"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pPr>
        <w:numPr>
          <w:ilvl w:val="0"/>
          <w:numId w:val="2"/>
        </w:numPr>
        <w:spacing w:line="340" w:lineRule="exact"/>
        <w:ind w:firstLine="422" w:firstLineChars="200"/>
        <w:rPr>
          <w:rFonts w:hint="eastAsia" w:ascii="宋体" w:hAnsi="宋体"/>
          <w:b/>
          <w:color w:val="auto"/>
          <w:highlight w:val="none"/>
        </w:rPr>
      </w:pPr>
      <w:r>
        <w:rPr>
          <w:rFonts w:hint="eastAsia" w:ascii="宋体" w:hAnsi="宋体"/>
          <w:b/>
          <w:color w:val="auto"/>
          <w:highlight w:val="none"/>
        </w:rPr>
        <w:t>上述审查项目中，任意一项不符合的，资格性审查不合格。</w:t>
      </w:r>
    </w:p>
    <w:p>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exact"/>
        <w:rPr>
          <w:rFonts w:hint="eastAsia"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782"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913"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78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78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3913"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pPr>
              <w:snapToGrid w:val="0"/>
              <w:spacing w:line="360" w:lineRule="exact"/>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（2）投标文件由授权代表签字的，提供“法定代表人身份证明”和“法定代表人授权书”，并提供社保部门出具的供应商单位2021年</w:t>
            </w:r>
            <w:r>
              <w:rPr>
                <w:rFonts w:hint="eastAsia" w:ascii="宋体" w:hAnsi="宋体"/>
                <w:color w:val="auto"/>
                <w:szCs w:val="21"/>
                <w:highlight w:val="none"/>
                <w:lang w:val="en-US" w:eastAsia="zh-CN"/>
              </w:rPr>
              <w:t>10</w:t>
            </w:r>
            <w:r>
              <w:rPr>
                <w:rFonts w:hint="eastAsia" w:ascii="宋体" w:hAnsi="宋体"/>
                <w:color w:val="auto"/>
                <w:szCs w:val="21"/>
                <w:highlight w:val="none"/>
              </w:rPr>
              <w:t>月-2021年</w:t>
            </w:r>
            <w:r>
              <w:rPr>
                <w:rFonts w:hint="eastAsia" w:ascii="宋体" w:hAnsi="宋体"/>
                <w:color w:val="auto"/>
                <w:szCs w:val="21"/>
                <w:highlight w:val="none"/>
                <w:lang w:val="en-US" w:eastAsia="zh-CN"/>
              </w:rPr>
              <w:t>12</w:t>
            </w:r>
            <w:r>
              <w:rPr>
                <w:rFonts w:hint="eastAsia" w:ascii="宋体" w:hAnsi="宋体"/>
                <w:color w:val="auto"/>
                <w:szCs w:val="21"/>
                <w:highlight w:val="none"/>
              </w:rPr>
              <w:t>月为授权代表缴纳社保的证明资料复印件。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78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78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商务和技术文件中不得出现涉及投标价格的内容。</w:t>
            </w:r>
          </w:p>
        </w:tc>
        <w:tc>
          <w:tcPr>
            <w:tcW w:w="3913"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78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3913"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78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3913"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782" w:type="dxa"/>
            <w:noWrap w:val="0"/>
            <w:vAlign w:val="center"/>
          </w:tcPr>
          <w:p>
            <w:pPr>
              <w:widowControl/>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pPr>
              <w:widowControl/>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w:t>
            </w:r>
          </w:p>
          <w:p>
            <w:pPr>
              <w:widowControl/>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pPr>
              <w:widowControl/>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（3）不同供应商的投标文件载明的项目管理成员或者联系人员为同一人；</w:t>
            </w:r>
          </w:p>
          <w:p>
            <w:pPr>
              <w:widowControl/>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（5）不同供应商的投标文件相互混装。</w:t>
            </w:r>
          </w:p>
        </w:tc>
        <w:tc>
          <w:tcPr>
            <w:tcW w:w="3913"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78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3913"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478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3913"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502" w:type="dxa"/>
            <w:gridSpan w:val="2"/>
            <w:noWrap w:val="0"/>
            <w:vAlign w:val="center"/>
          </w:tcPr>
          <w:p>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符合性审查结论</w:t>
            </w:r>
          </w:p>
        </w:tc>
        <w:tc>
          <w:tcPr>
            <w:tcW w:w="3913" w:type="dxa"/>
            <w:noWrap w:val="0"/>
            <w:vAlign w:val="center"/>
          </w:tcPr>
          <w:p>
            <w:pPr>
              <w:spacing w:line="400" w:lineRule="exact"/>
              <w:rPr>
                <w:rFonts w:hint="eastAsia" w:ascii="宋体" w:hAnsi="宋体"/>
                <w:color w:val="auto"/>
                <w:szCs w:val="21"/>
                <w:highlight w:val="none"/>
              </w:rPr>
            </w:pPr>
          </w:p>
        </w:tc>
      </w:tr>
    </w:tbl>
    <w:p>
      <w:pPr>
        <w:spacing w:line="400" w:lineRule="exact"/>
        <w:rPr>
          <w:rFonts w:hint="eastAsia"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pPr>
        <w:spacing w:line="400" w:lineRule="exact"/>
        <w:ind w:firstLine="422" w:firstLineChars="200"/>
        <w:rPr>
          <w:rFonts w:hint="eastAsia" w:ascii="宋体" w:hAnsi="宋体"/>
          <w:color w:val="auto"/>
          <w:szCs w:val="21"/>
          <w:highlight w:val="none"/>
        </w:rPr>
      </w:pPr>
      <w:r>
        <w:rPr>
          <w:rFonts w:hint="eastAsia" w:ascii="宋体" w:hAnsi="宋体"/>
          <w:b/>
          <w:color w:val="auto"/>
          <w:highlight w:val="none"/>
        </w:rPr>
        <w:t>2、序号3-序号9在政采云上无须添加关联点。</w:t>
      </w:r>
    </w:p>
    <w:p>
      <w:pPr>
        <w:spacing w:line="46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pPr>
        <w:spacing w:line="460" w:lineRule="exact"/>
        <w:jc w:val="center"/>
        <w:rPr>
          <w:rFonts w:ascii="宋体" w:hAnsi="宋体"/>
          <w:color w:val="auto"/>
          <w:szCs w:val="21"/>
          <w:highlight w:val="none"/>
        </w:rPr>
      </w:pPr>
      <w:r>
        <w:rPr>
          <w:rFonts w:hint="eastAsia" w:ascii="宋体" w:hAnsi="宋体"/>
          <w:b/>
          <w:color w:val="auto"/>
          <w:szCs w:val="21"/>
          <w:highlight w:val="none"/>
        </w:rPr>
        <w:t>商务和技术评分表</w:t>
      </w:r>
    </w:p>
    <w:p>
      <w:pPr>
        <w:widowControl/>
        <w:spacing w:line="400" w:lineRule="exact"/>
        <w:jc w:val="left"/>
        <w:rPr>
          <w:rFonts w:hint="eastAsia"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2022NBHSWT007</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395"/>
        <w:gridCol w:w="627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blHeader/>
          <w:jc w:val="center"/>
        </w:trPr>
        <w:tc>
          <w:tcPr>
            <w:tcW w:w="8621" w:type="dxa"/>
            <w:gridSpan w:val="3"/>
            <w:tcBorders>
              <w:tl2br w:val="single" w:color="000000" w:sz="4" w:space="0"/>
            </w:tcBorders>
            <w:noWrap w:val="0"/>
            <w:vAlign w:val="top"/>
          </w:tcPr>
          <w:p>
            <w:pPr>
              <w:spacing w:line="400" w:lineRule="exact"/>
              <w:jc w:val="right"/>
              <w:rPr>
                <w:rFonts w:ascii="宋体" w:hAnsi="宋体"/>
                <w:b/>
                <w:bCs/>
                <w:color w:val="auto"/>
                <w:szCs w:val="21"/>
                <w:highlight w:val="none"/>
              </w:rPr>
            </w:pPr>
            <w:bookmarkStart w:id="34" w:name="_Hlk517547708"/>
            <w:r>
              <w:rPr>
                <w:rFonts w:hint="eastAsia" w:ascii="宋体" w:hAnsi="宋体"/>
                <w:b/>
                <w:bCs/>
                <w:color w:val="auto"/>
                <w:szCs w:val="21"/>
                <w:highlight w:val="none"/>
              </w:rPr>
              <w:t>供应商</w:t>
            </w:r>
          </w:p>
          <w:p>
            <w:pPr>
              <w:spacing w:line="400" w:lineRule="exact"/>
              <w:rPr>
                <w:rFonts w:ascii="宋体" w:hAnsi="宋体"/>
                <w:b/>
                <w:bCs/>
                <w:color w:val="auto"/>
                <w:szCs w:val="21"/>
                <w:highlight w:val="none"/>
                <w:lang w:val="ru-RU"/>
              </w:rPr>
            </w:pPr>
            <w:r>
              <w:rPr>
                <w:rFonts w:hint="eastAsia" w:ascii="宋体" w:hAnsi="宋体"/>
                <w:b/>
                <w:bCs/>
                <w:color w:val="auto"/>
                <w:szCs w:val="21"/>
                <w:highlight w:val="none"/>
              </w:rPr>
              <w:t>分值</w:t>
            </w:r>
          </w:p>
        </w:tc>
        <w:tc>
          <w:tcPr>
            <w:tcW w:w="1056" w:type="dxa"/>
            <w:noWrap w:val="0"/>
            <w:vAlign w:val="center"/>
          </w:tcPr>
          <w:p>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restart"/>
            <w:noWrap w:val="0"/>
            <w:vAlign w:val="center"/>
          </w:tcPr>
          <w:p>
            <w:pPr>
              <w:spacing w:line="40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商</w:t>
            </w:r>
          </w:p>
          <w:p>
            <w:pPr>
              <w:spacing w:line="40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务</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技</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术</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分</w:t>
            </w:r>
          </w:p>
          <w:p>
            <w:pPr>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90</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分</w:t>
            </w:r>
          </w:p>
        </w:tc>
        <w:tc>
          <w:tcPr>
            <w:tcW w:w="1395" w:type="dxa"/>
            <w:noWrap w:val="0"/>
            <w:vAlign w:val="center"/>
          </w:tcPr>
          <w:p>
            <w:pPr>
              <w:pStyle w:val="307"/>
              <w:jc w:val="center"/>
              <w:rPr>
                <w:rFonts w:ascii="宋体" w:hAnsi="宋体"/>
                <w:color w:val="auto"/>
                <w:sz w:val="21"/>
                <w:szCs w:val="21"/>
                <w:highlight w:val="none"/>
              </w:rPr>
            </w:pPr>
            <w:r>
              <w:rPr>
                <w:rFonts w:hint="eastAsia" w:ascii="宋体" w:hAnsi="宋体"/>
                <w:color w:val="auto"/>
                <w:sz w:val="21"/>
                <w:szCs w:val="21"/>
                <w:highlight w:val="none"/>
              </w:rPr>
              <w:t>项目实施方案（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分）</w:t>
            </w:r>
          </w:p>
        </w:tc>
        <w:tc>
          <w:tcPr>
            <w:tcW w:w="6271" w:type="dxa"/>
            <w:noWrap w:val="0"/>
            <w:vAlign w:val="center"/>
          </w:tcPr>
          <w:p>
            <w:pPr>
              <w:pStyle w:val="307"/>
              <w:rPr>
                <w:rFonts w:ascii="宋体" w:hAnsi="宋体"/>
                <w:color w:val="auto"/>
                <w:sz w:val="21"/>
                <w:szCs w:val="21"/>
                <w:highlight w:val="none"/>
              </w:rPr>
            </w:pPr>
            <w:r>
              <w:rPr>
                <w:rFonts w:hint="eastAsia" w:ascii="宋体" w:hAnsi="宋体"/>
                <w:color w:val="auto"/>
                <w:sz w:val="21"/>
                <w:szCs w:val="21"/>
                <w:highlight w:val="none"/>
              </w:rPr>
              <w:t>根据各投标人</w:t>
            </w:r>
            <w:r>
              <w:rPr>
                <w:rFonts w:ascii="宋体" w:hAnsi="宋体"/>
                <w:color w:val="auto"/>
                <w:sz w:val="21"/>
                <w:szCs w:val="21"/>
                <w:highlight w:val="none"/>
              </w:rPr>
              <w:t>编制</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项目实施方案的详细度、完整度、可行性给分。</w:t>
            </w:r>
          </w:p>
          <w:p>
            <w:pPr>
              <w:pStyle w:val="307"/>
              <w:rPr>
                <w:rFonts w:hint="eastAsia" w:ascii="宋体" w:hAnsi="宋体"/>
                <w:color w:val="auto"/>
                <w:sz w:val="21"/>
                <w:szCs w:val="21"/>
                <w:highlight w:val="none"/>
              </w:rPr>
            </w:pPr>
            <w:r>
              <w:rPr>
                <w:rFonts w:hint="eastAsia" w:ascii="宋体" w:hAnsi="宋体"/>
                <w:color w:val="auto"/>
                <w:sz w:val="21"/>
                <w:szCs w:val="21"/>
                <w:highlight w:val="none"/>
              </w:rPr>
              <w:t>（1）评委根据详细程度进行给分（</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分）；</w:t>
            </w:r>
          </w:p>
          <w:p>
            <w:pPr>
              <w:pStyle w:val="307"/>
              <w:rPr>
                <w:rFonts w:hint="eastAsia" w:ascii="宋体" w:hAnsi="宋体"/>
                <w:color w:val="auto"/>
                <w:sz w:val="21"/>
                <w:szCs w:val="21"/>
                <w:highlight w:val="none"/>
              </w:rPr>
            </w:pPr>
            <w:r>
              <w:rPr>
                <w:rFonts w:hint="eastAsia" w:ascii="宋体" w:hAnsi="宋体"/>
                <w:color w:val="auto"/>
                <w:sz w:val="21"/>
                <w:szCs w:val="21"/>
                <w:highlight w:val="none"/>
              </w:rPr>
              <w:t>（2）评委根据完整程度进行给分（</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p>
          <w:p>
            <w:pPr>
              <w:pStyle w:val="307"/>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（3）评委根据可行性进行给分（</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1056" w:type="dxa"/>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continue"/>
            <w:noWrap w:val="0"/>
            <w:vAlign w:val="center"/>
          </w:tcPr>
          <w:p>
            <w:pPr>
              <w:spacing w:line="400" w:lineRule="exact"/>
              <w:jc w:val="center"/>
              <w:rPr>
                <w:rFonts w:hint="eastAsia" w:ascii="宋体" w:hAnsi="宋体"/>
                <w:color w:val="auto"/>
                <w:szCs w:val="21"/>
                <w:highlight w:val="none"/>
              </w:rPr>
            </w:pPr>
          </w:p>
        </w:tc>
        <w:tc>
          <w:tcPr>
            <w:tcW w:w="1395" w:type="dxa"/>
            <w:noWrap w:val="0"/>
            <w:vAlign w:val="center"/>
          </w:tcPr>
          <w:p>
            <w:pPr>
              <w:pStyle w:val="307"/>
              <w:jc w:val="center"/>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项目全流程信息化解决方案</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12分）</w:t>
            </w:r>
          </w:p>
        </w:tc>
        <w:tc>
          <w:tcPr>
            <w:tcW w:w="6271" w:type="dxa"/>
            <w:noWrap w:val="0"/>
            <w:vAlign w:val="center"/>
          </w:tcPr>
          <w:p>
            <w:pPr>
              <w:pStyle w:val="30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根据各投标人</w:t>
            </w:r>
            <w:r>
              <w:rPr>
                <w:rFonts w:hint="eastAsia" w:ascii="宋体" w:hAnsi="宋体" w:eastAsia="宋体" w:cs="Times New Roman"/>
                <w:color w:val="auto"/>
                <w:sz w:val="21"/>
                <w:szCs w:val="21"/>
                <w:highlight w:val="none"/>
                <w:lang w:eastAsia="zh-CN"/>
              </w:rPr>
              <w:t>编制的</w:t>
            </w:r>
            <w:r>
              <w:rPr>
                <w:rFonts w:hint="eastAsia" w:ascii="宋体" w:hAnsi="宋体" w:eastAsia="宋体" w:cs="Times New Roman"/>
                <w:color w:val="auto"/>
                <w:sz w:val="21"/>
                <w:szCs w:val="21"/>
                <w:highlight w:val="none"/>
              </w:rPr>
              <w:t>项目全流程信息化解决方案</w:t>
            </w:r>
            <w:r>
              <w:rPr>
                <w:rFonts w:hint="eastAsia" w:ascii="宋体" w:hAnsi="宋体" w:eastAsia="宋体" w:cs="Times New Roman"/>
                <w:color w:val="auto"/>
                <w:sz w:val="21"/>
                <w:szCs w:val="21"/>
                <w:highlight w:val="none"/>
                <w:lang w:eastAsia="zh-CN"/>
              </w:rPr>
              <w:t>的</w:t>
            </w:r>
            <w:r>
              <w:rPr>
                <w:rFonts w:hint="eastAsia" w:ascii="宋体" w:hAnsi="宋体" w:eastAsia="宋体" w:cs="Times New Roman"/>
                <w:color w:val="auto"/>
                <w:sz w:val="21"/>
                <w:szCs w:val="21"/>
                <w:highlight w:val="none"/>
              </w:rPr>
              <w:t>详细度、完整度、可行性给分。</w:t>
            </w:r>
          </w:p>
          <w:p>
            <w:pPr>
              <w:pStyle w:val="307"/>
              <w:rPr>
                <w:rFonts w:hint="eastAsia" w:ascii="宋体" w:hAnsi="宋体"/>
                <w:color w:val="auto"/>
                <w:sz w:val="21"/>
                <w:szCs w:val="21"/>
                <w:highlight w:val="none"/>
              </w:rPr>
            </w:pPr>
            <w:r>
              <w:rPr>
                <w:rFonts w:hint="eastAsia" w:ascii="宋体" w:hAnsi="宋体"/>
                <w:color w:val="auto"/>
                <w:sz w:val="21"/>
                <w:szCs w:val="21"/>
                <w:highlight w:val="none"/>
              </w:rPr>
              <w:t>（1）评委根据详细程度进行给分（</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p>
            <w:pPr>
              <w:pStyle w:val="307"/>
              <w:rPr>
                <w:rFonts w:hint="eastAsia" w:ascii="宋体" w:hAnsi="宋体"/>
                <w:color w:val="auto"/>
                <w:sz w:val="21"/>
                <w:szCs w:val="21"/>
                <w:highlight w:val="none"/>
              </w:rPr>
            </w:pPr>
            <w:r>
              <w:rPr>
                <w:rFonts w:hint="eastAsia" w:ascii="宋体" w:hAnsi="宋体"/>
                <w:color w:val="auto"/>
                <w:sz w:val="21"/>
                <w:szCs w:val="21"/>
                <w:highlight w:val="none"/>
              </w:rPr>
              <w:t>（2）评委根据完整程度进行给分（</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p>
            <w:pPr>
              <w:pStyle w:val="307"/>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（3）评委根据可行性进行给分（</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1056" w:type="dxa"/>
            <w:noWrap w:val="0"/>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continue"/>
            <w:noWrap w:val="0"/>
            <w:vAlign w:val="center"/>
          </w:tcPr>
          <w:p>
            <w:pPr>
              <w:spacing w:line="400" w:lineRule="exact"/>
              <w:jc w:val="center"/>
              <w:rPr>
                <w:rFonts w:hint="eastAsia" w:ascii="宋体" w:hAnsi="宋体"/>
                <w:color w:val="auto"/>
                <w:szCs w:val="21"/>
                <w:highlight w:val="none"/>
              </w:rPr>
            </w:pPr>
          </w:p>
        </w:tc>
        <w:tc>
          <w:tcPr>
            <w:tcW w:w="1395" w:type="dxa"/>
            <w:noWrap w:val="0"/>
            <w:vAlign w:val="center"/>
          </w:tcPr>
          <w:p>
            <w:pPr>
              <w:pStyle w:val="307"/>
              <w:jc w:val="center"/>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rPr>
              <w:t>项目组组织设置</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10分）</w:t>
            </w:r>
          </w:p>
        </w:tc>
        <w:tc>
          <w:tcPr>
            <w:tcW w:w="6271" w:type="dxa"/>
            <w:noWrap w:val="0"/>
            <w:vAlign w:val="center"/>
          </w:tcPr>
          <w:p>
            <w:pPr>
              <w:pStyle w:val="307"/>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根据各投标</w:t>
            </w:r>
            <w:r>
              <w:rPr>
                <w:rFonts w:hint="eastAsia" w:ascii="宋体" w:hAnsi="宋体" w:eastAsia="宋体" w:cs="Times New Roman"/>
                <w:color w:val="auto"/>
                <w:sz w:val="21"/>
                <w:szCs w:val="21"/>
                <w:highlight w:val="none"/>
              </w:rPr>
              <w:t>人</w:t>
            </w:r>
            <w:r>
              <w:rPr>
                <w:rFonts w:hint="eastAsia" w:ascii="宋体" w:hAnsi="宋体" w:eastAsia="宋体" w:cs="Times New Roman"/>
                <w:color w:val="auto"/>
                <w:sz w:val="21"/>
                <w:szCs w:val="21"/>
                <w:highlight w:val="none"/>
                <w:lang w:eastAsia="zh-CN"/>
              </w:rPr>
              <w:t>拟投入的</w:t>
            </w:r>
            <w:r>
              <w:rPr>
                <w:rFonts w:hint="eastAsia" w:ascii="宋体" w:hAnsi="宋体" w:eastAsia="宋体" w:cs="Times New Roman"/>
                <w:color w:val="auto"/>
                <w:sz w:val="21"/>
                <w:szCs w:val="21"/>
                <w:highlight w:val="none"/>
              </w:rPr>
              <w:t>项目组组织设置的合理性、专业技术人员素质与技术能力</w:t>
            </w:r>
            <w:r>
              <w:rPr>
                <w:rFonts w:hint="eastAsia" w:ascii="宋体" w:hAnsi="宋体" w:eastAsia="宋体" w:cs="Times New Roman"/>
                <w:color w:val="auto"/>
                <w:sz w:val="21"/>
                <w:szCs w:val="21"/>
                <w:highlight w:val="none"/>
                <w:lang w:eastAsia="zh-CN"/>
              </w:rPr>
              <w:t>给分。</w:t>
            </w:r>
          </w:p>
          <w:p>
            <w:pPr>
              <w:pStyle w:val="307"/>
              <w:rPr>
                <w:rFonts w:hint="eastAsia" w:ascii="宋体" w:hAnsi="宋体"/>
                <w:color w:val="auto"/>
                <w:sz w:val="21"/>
                <w:szCs w:val="21"/>
                <w:highlight w:val="none"/>
              </w:rPr>
            </w:pPr>
            <w:r>
              <w:rPr>
                <w:rFonts w:hint="eastAsia" w:ascii="宋体" w:hAnsi="宋体"/>
                <w:color w:val="auto"/>
                <w:sz w:val="21"/>
                <w:szCs w:val="21"/>
                <w:highlight w:val="none"/>
              </w:rPr>
              <w:t>（1）评委根据</w:t>
            </w:r>
            <w:r>
              <w:rPr>
                <w:rFonts w:hint="eastAsia" w:ascii="宋体" w:hAnsi="宋体" w:eastAsia="宋体" w:cs="Times New Roman"/>
                <w:color w:val="auto"/>
                <w:sz w:val="21"/>
                <w:szCs w:val="21"/>
                <w:highlight w:val="none"/>
              </w:rPr>
              <w:t>项目组组织设置的合理性</w:t>
            </w:r>
            <w:r>
              <w:rPr>
                <w:rFonts w:hint="eastAsia" w:ascii="宋体" w:hAnsi="宋体"/>
                <w:color w:val="auto"/>
                <w:sz w:val="21"/>
                <w:szCs w:val="21"/>
                <w:highlight w:val="none"/>
              </w:rPr>
              <w:t>进行给分（</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p>
            <w:pPr>
              <w:pStyle w:val="307"/>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）评委根据</w:t>
            </w:r>
            <w:r>
              <w:rPr>
                <w:rFonts w:hint="eastAsia" w:ascii="宋体" w:hAnsi="宋体" w:eastAsia="宋体" w:cs="Times New Roman"/>
                <w:color w:val="auto"/>
                <w:sz w:val="21"/>
                <w:szCs w:val="21"/>
                <w:highlight w:val="none"/>
              </w:rPr>
              <w:t>专业技术人员素质与技术能力</w:t>
            </w:r>
            <w:r>
              <w:rPr>
                <w:rFonts w:hint="eastAsia" w:ascii="宋体" w:hAnsi="宋体"/>
                <w:color w:val="auto"/>
                <w:sz w:val="21"/>
                <w:szCs w:val="21"/>
                <w:highlight w:val="none"/>
              </w:rPr>
              <w:t>进行给分（</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1056" w:type="dxa"/>
            <w:noWrap w:val="0"/>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continue"/>
            <w:noWrap w:val="0"/>
            <w:vAlign w:val="center"/>
          </w:tcPr>
          <w:p>
            <w:pPr>
              <w:spacing w:line="400" w:lineRule="exact"/>
              <w:jc w:val="center"/>
              <w:rPr>
                <w:rFonts w:hint="eastAsia" w:ascii="宋体" w:hAnsi="宋体"/>
                <w:color w:val="auto"/>
                <w:szCs w:val="21"/>
                <w:highlight w:val="none"/>
              </w:rPr>
            </w:pPr>
          </w:p>
        </w:tc>
        <w:tc>
          <w:tcPr>
            <w:tcW w:w="1395" w:type="dxa"/>
            <w:noWrap w:val="0"/>
            <w:vAlign w:val="center"/>
          </w:tcPr>
          <w:p>
            <w:pPr>
              <w:pStyle w:val="307"/>
              <w:jc w:val="center"/>
              <w:rPr>
                <w:rFonts w:hint="eastAsia" w:ascii="宋体" w:hAnsi="宋体" w:eastAsia="宋体" w:cs="Times New Roman"/>
                <w:color w:val="auto"/>
                <w:sz w:val="21"/>
                <w:szCs w:val="21"/>
                <w:highlight w:val="none"/>
              </w:rPr>
            </w:pPr>
            <w:r>
              <w:rPr>
                <w:rFonts w:ascii="宋体" w:hAnsi="宋体"/>
                <w:color w:val="auto"/>
                <w:sz w:val="21"/>
                <w:szCs w:val="21"/>
                <w:highlight w:val="none"/>
              </w:rPr>
              <w:t>质量保证体系及措施（</w:t>
            </w:r>
            <w:r>
              <w:rPr>
                <w:rFonts w:hint="eastAsia" w:ascii="宋体" w:hAnsi="宋体"/>
                <w:color w:val="auto"/>
                <w:sz w:val="21"/>
                <w:szCs w:val="21"/>
                <w:highlight w:val="none"/>
                <w:lang w:val="en-US" w:eastAsia="zh-CN"/>
              </w:rPr>
              <w:t>10</w:t>
            </w:r>
            <w:r>
              <w:rPr>
                <w:rFonts w:ascii="宋体" w:hAnsi="宋体"/>
                <w:color w:val="auto"/>
                <w:sz w:val="21"/>
                <w:szCs w:val="21"/>
                <w:highlight w:val="none"/>
              </w:rPr>
              <w:t>分）</w:t>
            </w:r>
          </w:p>
        </w:tc>
        <w:tc>
          <w:tcPr>
            <w:tcW w:w="6271" w:type="dxa"/>
            <w:noWrap w:val="0"/>
            <w:vAlign w:val="center"/>
          </w:tcPr>
          <w:p>
            <w:pPr>
              <w:pStyle w:val="307"/>
              <w:rPr>
                <w:rFonts w:ascii="宋体" w:hAnsi="宋体"/>
                <w:color w:val="auto"/>
                <w:sz w:val="21"/>
                <w:szCs w:val="21"/>
                <w:highlight w:val="none"/>
              </w:rPr>
            </w:pPr>
            <w:r>
              <w:rPr>
                <w:rFonts w:ascii="宋体" w:hAnsi="宋体"/>
                <w:color w:val="auto"/>
                <w:sz w:val="21"/>
                <w:szCs w:val="21"/>
                <w:highlight w:val="none"/>
              </w:rPr>
              <w:t>（1）质量有总体目标，对总体目标分解得当得</w:t>
            </w:r>
            <w:r>
              <w:rPr>
                <w:rFonts w:hint="eastAsia" w:ascii="宋体" w:hAnsi="宋体"/>
                <w:color w:val="auto"/>
                <w:sz w:val="21"/>
                <w:szCs w:val="21"/>
                <w:highlight w:val="none"/>
                <w:lang w:val="en-US" w:eastAsia="zh-CN"/>
              </w:rPr>
              <w:t>3</w:t>
            </w:r>
            <w:r>
              <w:rPr>
                <w:rFonts w:ascii="宋体" w:hAnsi="宋体"/>
                <w:color w:val="auto"/>
                <w:sz w:val="21"/>
                <w:szCs w:val="21"/>
                <w:highlight w:val="none"/>
              </w:rPr>
              <w:t>分，其余酌情减分；</w:t>
            </w:r>
          </w:p>
          <w:p>
            <w:pPr>
              <w:pStyle w:val="307"/>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2</w:t>
            </w:r>
            <w:r>
              <w:rPr>
                <w:rFonts w:ascii="宋体" w:hAnsi="宋体"/>
                <w:color w:val="auto"/>
                <w:sz w:val="21"/>
                <w:szCs w:val="21"/>
                <w:highlight w:val="none"/>
              </w:rPr>
              <w:t>）对各分解目标及各环节提出了完全可行的控制点和措施，得</w:t>
            </w:r>
            <w:r>
              <w:rPr>
                <w:rFonts w:hint="eastAsia" w:ascii="宋体" w:hAnsi="宋体"/>
                <w:color w:val="auto"/>
                <w:sz w:val="21"/>
                <w:szCs w:val="21"/>
                <w:highlight w:val="none"/>
                <w:lang w:val="en-US" w:eastAsia="zh-CN"/>
              </w:rPr>
              <w:t>3</w:t>
            </w:r>
            <w:r>
              <w:rPr>
                <w:rFonts w:ascii="宋体" w:hAnsi="宋体"/>
                <w:color w:val="auto"/>
                <w:sz w:val="21"/>
                <w:szCs w:val="21"/>
                <w:highlight w:val="none"/>
              </w:rPr>
              <w:t>分</w:t>
            </w:r>
            <w:r>
              <w:rPr>
                <w:rFonts w:hint="eastAsia" w:ascii="宋体" w:hAnsi="宋体"/>
                <w:color w:val="auto"/>
                <w:sz w:val="21"/>
                <w:szCs w:val="21"/>
                <w:highlight w:val="none"/>
              </w:rPr>
              <w:t>，其余酌情减分</w:t>
            </w:r>
            <w:r>
              <w:rPr>
                <w:rFonts w:ascii="宋体" w:hAnsi="宋体"/>
                <w:color w:val="auto"/>
                <w:sz w:val="21"/>
                <w:szCs w:val="21"/>
                <w:highlight w:val="none"/>
              </w:rPr>
              <w:t>；</w:t>
            </w:r>
          </w:p>
          <w:p>
            <w:pPr>
              <w:pStyle w:val="307"/>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3</w:t>
            </w:r>
            <w:r>
              <w:rPr>
                <w:rFonts w:ascii="宋体" w:hAnsi="宋体"/>
                <w:color w:val="auto"/>
                <w:sz w:val="21"/>
                <w:szCs w:val="21"/>
                <w:highlight w:val="none"/>
              </w:rPr>
              <w:t>）质量控制的基本程序切实可行，具有针对性得2分，其余酌情减分；</w:t>
            </w:r>
          </w:p>
          <w:p>
            <w:pPr>
              <w:pStyle w:val="307"/>
              <w:rPr>
                <w:rFonts w:hint="eastAsia"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）质量控制体系层次清晰、责任到位得2分，其余酌情减分。</w:t>
            </w:r>
          </w:p>
        </w:tc>
        <w:tc>
          <w:tcPr>
            <w:tcW w:w="1056" w:type="dxa"/>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continue"/>
            <w:noWrap w:val="0"/>
            <w:vAlign w:val="center"/>
          </w:tcPr>
          <w:p>
            <w:pPr>
              <w:spacing w:line="400" w:lineRule="exact"/>
              <w:jc w:val="center"/>
              <w:rPr>
                <w:rFonts w:hint="eastAsia" w:ascii="宋体" w:hAnsi="宋体"/>
                <w:color w:val="auto"/>
                <w:szCs w:val="21"/>
                <w:highlight w:val="none"/>
              </w:rPr>
            </w:pPr>
          </w:p>
        </w:tc>
        <w:tc>
          <w:tcPr>
            <w:tcW w:w="1395" w:type="dxa"/>
            <w:noWrap w:val="0"/>
            <w:vAlign w:val="center"/>
          </w:tcPr>
          <w:p>
            <w:pPr>
              <w:pStyle w:val="307"/>
              <w:jc w:val="center"/>
              <w:rPr>
                <w:rFonts w:ascii="宋体" w:hAnsi="宋体"/>
                <w:color w:val="auto"/>
                <w:sz w:val="21"/>
                <w:szCs w:val="21"/>
                <w:highlight w:val="none"/>
              </w:rPr>
            </w:pPr>
            <w:r>
              <w:rPr>
                <w:rFonts w:ascii="宋体" w:hAnsi="宋体"/>
                <w:color w:val="auto"/>
                <w:sz w:val="21"/>
                <w:szCs w:val="21"/>
                <w:highlight w:val="none"/>
              </w:rPr>
              <w:t>进度控制（</w:t>
            </w:r>
            <w:r>
              <w:rPr>
                <w:rFonts w:hint="eastAsia" w:ascii="宋体" w:hAnsi="宋体"/>
                <w:color w:val="auto"/>
                <w:sz w:val="21"/>
                <w:szCs w:val="21"/>
                <w:highlight w:val="none"/>
                <w:lang w:val="en-US" w:eastAsia="zh-CN"/>
              </w:rPr>
              <w:t>10</w:t>
            </w:r>
            <w:r>
              <w:rPr>
                <w:rFonts w:ascii="宋体" w:hAnsi="宋体"/>
                <w:color w:val="auto"/>
                <w:sz w:val="21"/>
                <w:szCs w:val="21"/>
                <w:highlight w:val="none"/>
              </w:rPr>
              <w:t>分）</w:t>
            </w:r>
          </w:p>
        </w:tc>
        <w:tc>
          <w:tcPr>
            <w:tcW w:w="6271" w:type="dxa"/>
            <w:noWrap w:val="0"/>
            <w:vAlign w:val="center"/>
          </w:tcPr>
          <w:p>
            <w:pPr>
              <w:pStyle w:val="307"/>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1</w:t>
            </w:r>
            <w:r>
              <w:rPr>
                <w:rFonts w:ascii="宋体" w:hAnsi="宋体"/>
                <w:color w:val="auto"/>
                <w:sz w:val="21"/>
                <w:szCs w:val="21"/>
                <w:highlight w:val="none"/>
              </w:rPr>
              <w:t>）对总进度目标的分解全面，能完全体现预控水平和全面控制水平的得</w:t>
            </w:r>
            <w:r>
              <w:rPr>
                <w:rFonts w:hint="eastAsia" w:ascii="宋体" w:hAnsi="宋体"/>
                <w:color w:val="auto"/>
                <w:sz w:val="21"/>
                <w:szCs w:val="21"/>
                <w:highlight w:val="none"/>
                <w:lang w:val="en-US" w:eastAsia="zh-CN"/>
              </w:rPr>
              <w:t>4</w:t>
            </w:r>
            <w:r>
              <w:rPr>
                <w:rFonts w:ascii="宋体" w:hAnsi="宋体"/>
                <w:color w:val="auto"/>
                <w:sz w:val="21"/>
                <w:szCs w:val="21"/>
                <w:highlight w:val="none"/>
              </w:rPr>
              <w:t>分，其余酌情减分；</w:t>
            </w:r>
          </w:p>
          <w:p>
            <w:pPr>
              <w:pStyle w:val="307"/>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2</w:t>
            </w:r>
            <w:r>
              <w:rPr>
                <w:rFonts w:ascii="宋体" w:hAnsi="宋体"/>
                <w:color w:val="auto"/>
                <w:sz w:val="21"/>
                <w:szCs w:val="21"/>
                <w:highlight w:val="none"/>
              </w:rPr>
              <w:t>）预控方法及手段明确，有进度控制要点的得3分，其余酌情减分；</w:t>
            </w:r>
          </w:p>
          <w:p>
            <w:pPr>
              <w:pStyle w:val="307"/>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3</w:t>
            </w:r>
            <w:r>
              <w:rPr>
                <w:rFonts w:ascii="宋体" w:hAnsi="宋体"/>
                <w:color w:val="auto"/>
                <w:sz w:val="21"/>
                <w:szCs w:val="21"/>
                <w:highlight w:val="none"/>
              </w:rPr>
              <w:t>）保证措施，可操作性强的得3分，其余酌情减分。</w:t>
            </w:r>
          </w:p>
        </w:tc>
        <w:tc>
          <w:tcPr>
            <w:tcW w:w="1056" w:type="dxa"/>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continue"/>
            <w:noWrap w:val="0"/>
            <w:vAlign w:val="center"/>
          </w:tcPr>
          <w:p>
            <w:pPr>
              <w:spacing w:line="400" w:lineRule="exact"/>
              <w:jc w:val="center"/>
              <w:rPr>
                <w:rFonts w:hint="eastAsia" w:ascii="宋体" w:hAnsi="宋体"/>
                <w:color w:val="auto"/>
                <w:szCs w:val="21"/>
                <w:highlight w:val="none"/>
              </w:rPr>
            </w:pPr>
          </w:p>
        </w:tc>
        <w:tc>
          <w:tcPr>
            <w:tcW w:w="1395" w:type="dxa"/>
            <w:noWrap w:val="0"/>
            <w:vAlign w:val="center"/>
          </w:tcPr>
          <w:p>
            <w:pPr>
              <w:pStyle w:val="307"/>
              <w:jc w:val="center"/>
              <w:rPr>
                <w:rFonts w:ascii="宋体" w:hAnsi="宋体"/>
                <w:color w:val="auto"/>
                <w:sz w:val="21"/>
                <w:szCs w:val="21"/>
                <w:highlight w:val="none"/>
              </w:rPr>
            </w:pPr>
            <w:r>
              <w:rPr>
                <w:rFonts w:hint="eastAsia" w:ascii="宋体" w:hAnsi="宋体" w:eastAsia="宋体" w:cs="Times New Roman"/>
                <w:color w:val="auto"/>
                <w:sz w:val="21"/>
                <w:szCs w:val="21"/>
                <w:highlight w:val="none"/>
              </w:rPr>
              <w:t>项目的特点和难点分析及解决措施情况（10分）</w:t>
            </w:r>
          </w:p>
        </w:tc>
        <w:tc>
          <w:tcPr>
            <w:tcW w:w="6271" w:type="dxa"/>
            <w:noWrap w:val="0"/>
            <w:vAlign w:val="center"/>
          </w:tcPr>
          <w:p>
            <w:pPr>
              <w:pStyle w:val="307"/>
              <w:rPr>
                <w:rFonts w:ascii="宋体" w:hAnsi="宋体"/>
                <w:color w:val="auto"/>
                <w:sz w:val="21"/>
                <w:szCs w:val="21"/>
                <w:highlight w:val="none"/>
              </w:rPr>
            </w:pPr>
            <w:r>
              <w:rPr>
                <w:rFonts w:hint="eastAsia" w:ascii="宋体" w:hAnsi="宋体"/>
                <w:color w:val="auto"/>
                <w:sz w:val="21"/>
                <w:szCs w:val="21"/>
                <w:highlight w:val="none"/>
              </w:rPr>
              <w:t>考查各投标人</w:t>
            </w:r>
            <w:r>
              <w:rPr>
                <w:rFonts w:hint="eastAsia" w:ascii="宋体" w:hAnsi="宋体"/>
                <w:color w:val="auto"/>
                <w:sz w:val="21"/>
                <w:szCs w:val="21"/>
                <w:highlight w:val="none"/>
                <w:lang w:eastAsia="zh-CN"/>
              </w:rPr>
              <w:t>对</w:t>
            </w:r>
            <w:r>
              <w:rPr>
                <w:rFonts w:hint="eastAsia" w:ascii="宋体" w:hAnsi="宋体"/>
                <w:color w:val="auto"/>
                <w:sz w:val="21"/>
                <w:szCs w:val="21"/>
                <w:highlight w:val="none"/>
              </w:rPr>
              <w:t>项目的特点和难点分析及解决措施情况。</w:t>
            </w:r>
          </w:p>
          <w:p>
            <w:pPr>
              <w:pStyle w:val="307"/>
              <w:rPr>
                <w:rFonts w:ascii="宋体" w:hAnsi="宋体"/>
                <w:color w:val="auto"/>
                <w:sz w:val="21"/>
                <w:szCs w:val="21"/>
                <w:highlight w:val="none"/>
              </w:rPr>
            </w:pPr>
            <w:r>
              <w:rPr>
                <w:rFonts w:hint="eastAsia" w:ascii="宋体" w:hAnsi="宋体"/>
                <w:color w:val="auto"/>
                <w:sz w:val="21"/>
                <w:szCs w:val="21"/>
                <w:highlight w:val="none"/>
              </w:rPr>
              <w:t>对该项目</w:t>
            </w:r>
            <w:r>
              <w:rPr>
                <w:rFonts w:hint="eastAsia" w:ascii="宋体" w:hAnsi="宋体"/>
                <w:color w:val="auto"/>
                <w:sz w:val="21"/>
                <w:szCs w:val="21"/>
                <w:highlight w:val="none"/>
                <w:lang w:eastAsia="zh-CN"/>
              </w:rPr>
              <w:t>特点、</w:t>
            </w:r>
            <w:r>
              <w:rPr>
                <w:rFonts w:hint="eastAsia" w:ascii="宋体" w:hAnsi="宋体"/>
                <w:color w:val="auto"/>
                <w:sz w:val="21"/>
                <w:szCs w:val="21"/>
                <w:highlight w:val="none"/>
              </w:rPr>
              <w:t>难点把握准确，分析深刻透彻，</w:t>
            </w:r>
            <w:r>
              <w:rPr>
                <w:rFonts w:hint="eastAsia" w:ascii="宋体" w:hAnsi="宋体"/>
                <w:color w:val="auto"/>
                <w:sz w:val="21"/>
                <w:szCs w:val="21"/>
                <w:highlight w:val="none"/>
                <w:lang w:eastAsia="zh-CN"/>
              </w:rPr>
              <w:t>解决措施</w:t>
            </w:r>
            <w:r>
              <w:rPr>
                <w:rFonts w:hint="eastAsia" w:ascii="宋体" w:hAnsi="宋体"/>
                <w:color w:val="auto"/>
                <w:sz w:val="21"/>
                <w:szCs w:val="21"/>
                <w:highlight w:val="none"/>
              </w:rPr>
              <w:t>完全可行得7-10分；</w:t>
            </w:r>
          </w:p>
          <w:p>
            <w:pPr>
              <w:pStyle w:val="307"/>
              <w:rPr>
                <w:rFonts w:ascii="宋体" w:hAnsi="宋体"/>
                <w:color w:val="auto"/>
                <w:sz w:val="21"/>
                <w:szCs w:val="21"/>
                <w:highlight w:val="none"/>
              </w:rPr>
            </w:pPr>
            <w:r>
              <w:rPr>
                <w:rFonts w:hint="eastAsia" w:ascii="宋体" w:hAnsi="宋体"/>
                <w:color w:val="auto"/>
                <w:sz w:val="21"/>
                <w:szCs w:val="21"/>
                <w:highlight w:val="none"/>
              </w:rPr>
              <w:t>对该项目</w:t>
            </w:r>
            <w:r>
              <w:rPr>
                <w:rFonts w:hint="eastAsia" w:ascii="宋体" w:hAnsi="宋体"/>
                <w:color w:val="auto"/>
                <w:sz w:val="21"/>
                <w:szCs w:val="21"/>
                <w:highlight w:val="none"/>
                <w:lang w:eastAsia="zh-CN"/>
              </w:rPr>
              <w:t>特点、</w:t>
            </w:r>
            <w:r>
              <w:rPr>
                <w:rFonts w:hint="eastAsia" w:ascii="宋体" w:hAnsi="宋体"/>
                <w:color w:val="auto"/>
                <w:sz w:val="21"/>
                <w:szCs w:val="21"/>
                <w:highlight w:val="none"/>
              </w:rPr>
              <w:t>难点把握基本准确，分析较为深刻透彻，</w:t>
            </w:r>
            <w:r>
              <w:rPr>
                <w:rFonts w:hint="eastAsia" w:ascii="宋体" w:hAnsi="宋体"/>
                <w:color w:val="auto"/>
                <w:sz w:val="21"/>
                <w:szCs w:val="21"/>
                <w:highlight w:val="none"/>
                <w:lang w:eastAsia="zh-CN"/>
              </w:rPr>
              <w:t>解决措施</w:t>
            </w:r>
            <w:r>
              <w:rPr>
                <w:rFonts w:hint="eastAsia" w:ascii="宋体" w:hAnsi="宋体"/>
                <w:color w:val="auto"/>
                <w:sz w:val="21"/>
                <w:szCs w:val="21"/>
                <w:highlight w:val="none"/>
              </w:rPr>
              <w:t>基本可行得4-7分；</w:t>
            </w:r>
          </w:p>
          <w:p>
            <w:pPr>
              <w:pStyle w:val="307"/>
              <w:rPr>
                <w:rFonts w:ascii="宋体" w:hAnsi="宋体"/>
                <w:color w:val="auto"/>
                <w:sz w:val="21"/>
                <w:szCs w:val="21"/>
                <w:highlight w:val="none"/>
              </w:rPr>
            </w:pPr>
            <w:r>
              <w:rPr>
                <w:rFonts w:hint="eastAsia" w:ascii="宋体" w:hAnsi="宋体"/>
                <w:color w:val="auto"/>
                <w:sz w:val="21"/>
                <w:szCs w:val="21"/>
                <w:highlight w:val="none"/>
              </w:rPr>
              <w:t>对该项目</w:t>
            </w:r>
            <w:r>
              <w:rPr>
                <w:rFonts w:hint="eastAsia" w:ascii="宋体" w:hAnsi="宋体"/>
                <w:color w:val="auto"/>
                <w:sz w:val="21"/>
                <w:szCs w:val="21"/>
                <w:highlight w:val="none"/>
                <w:lang w:eastAsia="zh-CN"/>
              </w:rPr>
              <w:t>特点、</w:t>
            </w:r>
            <w:r>
              <w:rPr>
                <w:rFonts w:hint="eastAsia" w:ascii="宋体" w:hAnsi="宋体"/>
                <w:color w:val="auto"/>
                <w:sz w:val="21"/>
                <w:szCs w:val="21"/>
                <w:highlight w:val="none"/>
              </w:rPr>
              <w:t>难点把握较不准确，分析较不深刻透彻，</w:t>
            </w:r>
            <w:r>
              <w:rPr>
                <w:rFonts w:hint="eastAsia" w:ascii="宋体" w:hAnsi="宋体"/>
                <w:color w:val="auto"/>
                <w:sz w:val="21"/>
                <w:szCs w:val="21"/>
                <w:highlight w:val="none"/>
                <w:lang w:eastAsia="zh-CN"/>
              </w:rPr>
              <w:t>解决措施</w:t>
            </w:r>
            <w:r>
              <w:rPr>
                <w:rFonts w:hint="eastAsia" w:ascii="宋体" w:hAnsi="宋体"/>
                <w:color w:val="auto"/>
                <w:sz w:val="21"/>
                <w:szCs w:val="21"/>
                <w:highlight w:val="none"/>
              </w:rPr>
              <w:t>暂不可行得0-4分。</w:t>
            </w:r>
          </w:p>
        </w:tc>
        <w:tc>
          <w:tcPr>
            <w:tcW w:w="1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continue"/>
            <w:noWrap w:val="0"/>
            <w:vAlign w:val="center"/>
          </w:tcPr>
          <w:p>
            <w:pPr>
              <w:spacing w:line="400" w:lineRule="exact"/>
              <w:jc w:val="center"/>
              <w:rPr>
                <w:rFonts w:hint="eastAsia" w:ascii="宋体" w:hAnsi="宋体"/>
                <w:color w:val="auto"/>
                <w:szCs w:val="21"/>
                <w:highlight w:val="none"/>
              </w:rPr>
            </w:pPr>
          </w:p>
        </w:tc>
        <w:tc>
          <w:tcPr>
            <w:tcW w:w="1395" w:type="dxa"/>
            <w:noWrap w:val="0"/>
            <w:vAlign w:val="center"/>
          </w:tcPr>
          <w:p>
            <w:pPr>
              <w:pStyle w:val="307"/>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项目实施的合理化建议（</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分）</w:t>
            </w:r>
          </w:p>
        </w:tc>
        <w:tc>
          <w:tcPr>
            <w:tcW w:w="6271" w:type="dxa"/>
            <w:noWrap w:val="0"/>
            <w:vAlign w:val="center"/>
          </w:tcPr>
          <w:p>
            <w:pPr>
              <w:pStyle w:val="307"/>
              <w:rPr>
                <w:rFonts w:hint="eastAsia" w:ascii="宋体" w:hAnsi="宋体"/>
                <w:color w:val="auto"/>
                <w:sz w:val="21"/>
                <w:szCs w:val="21"/>
                <w:highlight w:val="none"/>
              </w:rPr>
            </w:pPr>
            <w:r>
              <w:rPr>
                <w:rFonts w:hint="eastAsia" w:ascii="宋体" w:hAnsi="宋体"/>
                <w:color w:val="auto"/>
                <w:sz w:val="21"/>
                <w:szCs w:val="21"/>
                <w:highlight w:val="none"/>
              </w:rPr>
              <w:t>根据</w:t>
            </w:r>
            <w:r>
              <w:rPr>
                <w:rFonts w:hint="eastAsia" w:ascii="宋体" w:hAnsi="宋体"/>
                <w:color w:val="auto"/>
                <w:sz w:val="21"/>
                <w:szCs w:val="21"/>
                <w:highlight w:val="none"/>
                <w:lang w:eastAsia="zh-CN"/>
              </w:rPr>
              <w:t>合理化建议</w:t>
            </w:r>
            <w:r>
              <w:rPr>
                <w:rFonts w:hint="eastAsia" w:ascii="宋体" w:hAnsi="宋体"/>
                <w:color w:val="auto"/>
                <w:sz w:val="21"/>
                <w:szCs w:val="21"/>
                <w:highlight w:val="none"/>
              </w:rPr>
              <w:t>的</w:t>
            </w:r>
            <w:r>
              <w:rPr>
                <w:rFonts w:hint="eastAsia" w:ascii="宋体" w:hAnsi="宋体"/>
                <w:color w:val="auto"/>
                <w:sz w:val="21"/>
                <w:szCs w:val="21"/>
                <w:highlight w:val="none"/>
                <w:lang w:eastAsia="zh-CN"/>
              </w:rPr>
              <w:t>针对性</w:t>
            </w:r>
            <w:r>
              <w:rPr>
                <w:rFonts w:hint="eastAsia" w:ascii="宋体" w:hAnsi="宋体"/>
                <w:color w:val="auto"/>
                <w:sz w:val="21"/>
                <w:szCs w:val="21"/>
                <w:highlight w:val="none"/>
              </w:rPr>
              <w:t>、可行性给分。</w:t>
            </w:r>
          </w:p>
          <w:p>
            <w:pPr>
              <w:pStyle w:val="307"/>
              <w:rPr>
                <w:rFonts w:hint="eastAsia" w:ascii="宋体" w:hAnsi="宋体"/>
                <w:color w:val="auto"/>
                <w:sz w:val="21"/>
                <w:szCs w:val="21"/>
                <w:highlight w:val="none"/>
              </w:rPr>
            </w:pPr>
            <w:r>
              <w:rPr>
                <w:rFonts w:hint="eastAsia" w:ascii="宋体" w:hAnsi="宋体"/>
                <w:color w:val="auto"/>
                <w:sz w:val="21"/>
                <w:szCs w:val="21"/>
                <w:highlight w:val="none"/>
              </w:rPr>
              <w:t>（1）评委根据</w:t>
            </w:r>
            <w:r>
              <w:rPr>
                <w:rFonts w:hint="eastAsia" w:ascii="宋体" w:hAnsi="宋体"/>
                <w:color w:val="auto"/>
                <w:sz w:val="21"/>
                <w:szCs w:val="21"/>
                <w:highlight w:val="none"/>
                <w:lang w:eastAsia="zh-CN"/>
              </w:rPr>
              <w:t>针对性</w:t>
            </w:r>
            <w:r>
              <w:rPr>
                <w:rFonts w:hint="eastAsia" w:ascii="宋体" w:hAnsi="宋体"/>
                <w:color w:val="auto"/>
                <w:sz w:val="21"/>
                <w:szCs w:val="21"/>
                <w:highlight w:val="none"/>
              </w:rPr>
              <w:t>进行给分（</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p>
            <w:pPr>
              <w:pStyle w:val="307"/>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）评委根据可行性进行给分（</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1056" w:type="dxa"/>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5" w:type="dxa"/>
            <w:vMerge w:val="continue"/>
            <w:noWrap w:val="0"/>
            <w:vAlign w:val="center"/>
          </w:tcPr>
          <w:p>
            <w:pPr>
              <w:spacing w:line="400" w:lineRule="exact"/>
              <w:jc w:val="center"/>
              <w:rPr>
                <w:rFonts w:hint="eastAsia" w:ascii="宋体" w:hAnsi="宋体"/>
                <w:color w:val="auto"/>
                <w:szCs w:val="21"/>
                <w:highlight w:val="none"/>
              </w:rPr>
            </w:pPr>
          </w:p>
        </w:tc>
        <w:tc>
          <w:tcPr>
            <w:tcW w:w="1395" w:type="dxa"/>
            <w:noWrap w:val="0"/>
            <w:vAlign w:val="center"/>
          </w:tcPr>
          <w:p>
            <w:pPr>
              <w:pStyle w:val="307"/>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服务响应时间承诺</w:t>
            </w:r>
          </w:p>
          <w:p>
            <w:pPr>
              <w:pStyle w:val="307"/>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3分）</w:t>
            </w:r>
          </w:p>
        </w:tc>
        <w:tc>
          <w:tcPr>
            <w:tcW w:w="6271" w:type="dxa"/>
            <w:noWrap w:val="0"/>
            <w:vAlign w:val="center"/>
          </w:tcPr>
          <w:p>
            <w:pPr>
              <w:pStyle w:val="307"/>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对采购人现场服务要求，承诺在1小时内赶赴现场进行实质性响应的，得3分，承诺在2小时内赶赴现场进行实质性响应的，得2分，承诺在4小时内赶赴现场进行实质性响应的，得1分，其余不得分</w:t>
            </w:r>
            <w:r>
              <w:rPr>
                <w:rFonts w:hint="eastAsia" w:ascii="宋体" w:hAnsi="宋体"/>
                <w:color w:val="auto"/>
                <w:sz w:val="21"/>
                <w:szCs w:val="21"/>
                <w:highlight w:val="none"/>
                <w:lang w:eastAsia="zh-CN"/>
              </w:rPr>
              <w:t>。</w:t>
            </w:r>
          </w:p>
        </w:tc>
        <w:tc>
          <w:tcPr>
            <w:tcW w:w="1056" w:type="dxa"/>
            <w:noWrap w:val="0"/>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621" w:type="dxa"/>
            <w:gridSpan w:val="3"/>
            <w:noWrap w:val="0"/>
            <w:vAlign w:val="center"/>
          </w:tcPr>
          <w:p>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商务和技术得分（90分）</w:t>
            </w:r>
          </w:p>
        </w:tc>
        <w:tc>
          <w:tcPr>
            <w:tcW w:w="105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90</w:t>
            </w:r>
          </w:p>
        </w:tc>
      </w:tr>
      <w:bookmarkEnd w:id="34"/>
    </w:tbl>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、各评委成员自行按以上参考分值评分，评分小数点后保留一位数。</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、以上分值重复的地方，下限不含，上限含。</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、表内要求提供的资料，未按要求提供的均不得分。</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4</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836"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本次公开招标设有</w:t>
            </w:r>
            <w:r>
              <w:rPr>
                <w:rFonts w:hint="eastAsia" w:ascii="宋体" w:hAnsi="宋体"/>
                <w:color w:val="auto"/>
                <w:szCs w:val="21"/>
                <w:highlight w:val="none"/>
                <w:lang w:val="en-US" w:eastAsia="zh-CN"/>
              </w:rPr>
              <w:t>单价控制价</w:t>
            </w:r>
            <w:r>
              <w:rPr>
                <w:rFonts w:hint="eastAsia" w:ascii="宋体" w:hAnsi="宋体"/>
                <w:color w:val="auto"/>
                <w:szCs w:val="21"/>
                <w:highlight w:val="none"/>
              </w:rPr>
              <w:t>：标项1：</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元/平方米</w:t>
            </w:r>
            <w:r>
              <w:rPr>
                <w:rFonts w:hint="eastAsia" w:ascii="宋体" w:hAnsi="宋体"/>
                <w:color w:val="auto"/>
                <w:szCs w:val="21"/>
                <w:highlight w:val="none"/>
              </w:rPr>
              <w:t>，投标报价超出单价控制价的投标无效。</w:t>
            </w:r>
          </w:p>
        </w:tc>
        <w:tc>
          <w:tcPr>
            <w:tcW w:w="2836"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85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579" w:type="dxa"/>
            <w:gridSpan w:val="2"/>
            <w:noWrap w:val="0"/>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836" w:type="dxa"/>
            <w:noWrap w:val="0"/>
            <w:vAlign w:val="center"/>
          </w:tcPr>
          <w:p>
            <w:pPr>
              <w:spacing w:line="400" w:lineRule="exact"/>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pPr>
        <w:spacing w:line="400" w:lineRule="exact"/>
        <w:rPr>
          <w:rFonts w:hint="eastAsia" w:ascii="宋体" w:hAnsi="宋体"/>
          <w:color w:val="auto"/>
          <w:szCs w:val="21"/>
          <w:highlight w:val="none"/>
        </w:rPr>
      </w:pPr>
      <w:r>
        <w:rPr>
          <w:rFonts w:hint="eastAsia" w:ascii="宋体" w:hAnsi="宋体"/>
          <w:b/>
          <w:color w:val="auto"/>
          <w:highlight w:val="none"/>
        </w:rPr>
        <w:t xml:space="preserve">    2、序号2-序号4在政采云上无须添加关联点。</w:t>
      </w:r>
    </w:p>
    <w:p>
      <w:pPr>
        <w:spacing w:line="400" w:lineRule="exact"/>
        <w:rPr>
          <w:rFonts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价格评分表</w:t>
      </w:r>
    </w:p>
    <w:p>
      <w:pPr>
        <w:spacing w:line="320" w:lineRule="exact"/>
        <w:rPr>
          <w:rFonts w:hint="eastAsia"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2022NBHSWT007</w:t>
      </w:r>
    </w:p>
    <w:tbl>
      <w:tblPr>
        <w:tblStyle w:val="4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42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1" w:hRule="atLeast"/>
        </w:trPr>
        <w:tc>
          <w:tcPr>
            <w:tcW w:w="8415" w:type="dxa"/>
            <w:gridSpan w:val="2"/>
            <w:tcBorders>
              <w:tl2br w:val="single" w:color="000000" w:sz="4" w:space="0"/>
            </w:tcBorders>
            <w:noWrap w:val="0"/>
            <w:vAlign w:val="top"/>
          </w:tcPr>
          <w:p>
            <w:pPr>
              <w:spacing w:line="32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891" w:type="dxa"/>
            <w:noWrap w:val="0"/>
            <w:vAlign w:val="center"/>
          </w:tcPr>
          <w:p>
            <w:pPr>
              <w:spacing w:line="320" w:lineRule="exact"/>
              <w:jc w:val="center"/>
              <w:rPr>
                <w:rFonts w:ascii="宋体" w:hAnsi="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11" w:hRule="atLeast"/>
        </w:trPr>
        <w:tc>
          <w:tcPr>
            <w:tcW w:w="990" w:type="dxa"/>
            <w:noWrap w:val="0"/>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价格分10分</w:t>
            </w:r>
          </w:p>
        </w:tc>
        <w:tc>
          <w:tcPr>
            <w:tcW w:w="7425" w:type="dxa"/>
            <w:noWrap w:val="0"/>
            <w:vAlign w:val="center"/>
          </w:tcPr>
          <w:p>
            <w:pPr>
              <w:spacing w:line="340" w:lineRule="exact"/>
              <w:rPr>
                <w:rFonts w:ascii="宋体" w:hAnsi="宋体"/>
                <w:color w:val="auto"/>
                <w:szCs w:val="21"/>
                <w:highlight w:val="none"/>
              </w:rPr>
            </w:pPr>
            <w:r>
              <w:rPr>
                <w:rFonts w:hint="eastAsia" w:ascii="宋体" w:hAnsi="宋体"/>
                <w:color w:val="auto"/>
                <w:sz w:val="22"/>
                <w:szCs w:val="18"/>
                <w:highlight w:val="none"/>
              </w:rPr>
              <w:t>参与</w:t>
            </w:r>
            <w:r>
              <w:rPr>
                <w:rFonts w:hint="eastAsia" w:ascii="宋体" w:hAnsi="宋体"/>
                <w:color w:val="auto"/>
                <w:szCs w:val="21"/>
                <w:highlight w:val="none"/>
              </w:rPr>
              <w:t>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w:t>
            </w:r>
            <w:r>
              <w:rPr>
                <w:rFonts w:ascii="宋体" w:hAnsi="宋体"/>
                <w:color w:val="auto"/>
                <w:szCs w:val="21"/>
                <w:highlight w:val="none"/>
              </w:rPr>
              <w:t>6%</w:t>
            </w:r>
          </w:p>
          <w:p>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pPr>
              <w:spacing w:line="340" w:lineRule="exact"/>
              <w:rPr>
                <w:rFonts w:ascii="宋体" w:hAnsi="宋体"/>
                <w:color w:val="auto"/>
                <w:szCs w:val="21"/>
                <w:highlight w:val="none"/>
              </w:rPr>
            </w:pPr>
            <w:r>
              <w:rPr>
                <w:rFonts w:hint="eastAsia" w:ascii="宋体" w:hAnsi="宋体"/>
                <w:color w:val="auto"/>
                <w:szCs w:val="21"/>
                <w:highlight w:val="none"/>
              </w:rPr>
              <w:t>基准价得分为满分10分，其他供应商报价得分计算公式如下：</w:t>
            </w:r>
          </w:p>
          <w:p>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891" w:type="dxa"/>
            <w:noWrap w:val="0"/>
            <w:vAlign w:val="center"/>
          </w:tcPr>
          <w:p>
            <w:pPr>
              <w:spacing w:line="32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trPr>
        <w:tc>
          <w:tcPr>
            <w:tcW w:w="8415" w:type="dxa"/>
            <w:gridSpan w:val="2"/>
            <w:noWrap w:val="0"/>
            <w:vAlign w:val="center"/>
          </w:tcPr>
          <w:p>
            <w:pPr>
              <w:spacing w:line="320" w:lineRule="exact"/>
              <w:jc w:val="center"/>
              <w:rPr>
                <w:rFonts w:ascii="宋体" w:hAnsi="宋体"/>
                <w:color w:val="auto"/>
                <w:szCs w:val="21"/>
                <w:highlight w:val="none"/>
              </w:rPr>
            </w:pPr>
            <w:r>
              <w:rPr>
                <w:rFonts w:hint="eastAsia" w:ascii="宋体" w:hAnsi="宋体"/>
                <w:b/>
                <w:color w:val="auto"/>
                <w:szCs w:val="21"/>
                <w:highlight w:val="none"/>
              </w:rPr>
              <w:t>报价得分（10分）</w:t>
            </w:r>
          </w:p>
        </w:tc>
        <w:tc>
          <w:tcPr>
            <w:tcW w:w="891" w:type="dxa"/>
            <w:noWrap w:val="0"/>
            <w:vAlign w:val="center"/>
          </w:tcPr>
          <w:p>
            <w:pPr>
              <w:spacing w:line="320" w:lineRule="exact"/>
              <w:jc w:val="center"/>
              <w:rPr>
                <w:rFonts w:ascii="宋体" w:hAnsi="宋体"/>
                <w:color w:val="auto"/>
                <w:szCs w:val="21"/>
                <w:highlight w:val="none"/>
              </w:rPr>
            </w:pPr>
          </w:p>
        </w:tc>
      </w:tr>
    </w:tbl>
    <w:p>
      <w:pPr>
        <w:spacing w:line="320" w:lineRule="exac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注：上述所指的“评标价”即“开标一览表”中的投标报价。</w:t>
      </w:r>
    </w:p>
    <w:p>
      <w:pPr>
        <w:ind w:right="-1226" w:rightChars="-584"/>
        <w:jc w:val="left"/>
        <w:rPr>
          <w:rFonts w:ascii="宋体" w:hAnsi="宋体"/>
          <w:color w:val="auto"/>
          <w:sz w:val="28"/>
          <w:szCs w:val="28"/>
          <w:highlight w:val="none"/>
        </w:rPr>
      </w:pPr>
    </w:p>
    <w:p>
      <w:pPr>
        <w:ind w:right="-1226" w:rightChars="-584"/>
        <w:jc w:val="center"/>
        <w:rPr>
          <w:rFonts w:ascii="宋体" w:hAnsi="宋体"/>
          <w:color w:val="auto"/>
          <w:sz w:val="28"/>
          <w:szCs w:val="28"/>
          <w:highlight w:val="none"/>
        </w:rPr>
        <w:sectPr>
          <w:headerReference r:id="rId5" w:type="default"/>
          <w:footerReference r:id="rId6" w:type="default"/>
          <w:type w:val="nextColumn"/>
          <w:pgSz w:w="11907" w:h="16840"/>
          <w:pgMar w:top="854" w:right="1588" w:bottom="993" w:left="1418" w:header="285" w:footer="616" w:gutter="0"/>
          <w:cols w:space="720" w:num="1"/>
          <w:docGrid w:linePitch="285" w:charSpace="0"/>
        </w:sectPr>
      </w:pPr>
    </w:p>
    <w:p>
      <w:pPr>
        <w:spacing w:line="400" w:lineRule="exact"/>
        <w:jc w:val="center"/>
        <w:outlineLvl w:val="0"/>
        <w:rPr>
          <w:rFonts w:ascii="宋体" w:hAnsi="宋体"/>
          <w:b/>
          <w:color w:val="auto"/>
          <w:sz w:val="32"/>
          <w:highlight w:val="none"/>
        </w:rPr>
      </w:pPr>
      <w:bookmarkStart w:id="35" w:name="_Toc90369651"/>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采购合同样本</w:t>
      </w:r>
      <w:bookmarkEnd w:id="35"/>
    </w:p>
    <w:p>
      <w:pPr>
        <w:jc w:val="center"/>
        <w:rPr>
          <w:rFonts w:hint="eastAsia"/>
          <w:b/>
          <w:color w:val="auto"/>
          <w:highlight w:val="none"/>
        </w:rPr>
      </w:pPr>
      <w:r>
        <w:rPr>
          <w:rFonts w:hint="eastAsia"/>
          <w:b/>
          <w:color w:val="auto"/>
          <w:highlight w:val="none"/>
        </w:rPr>
        <w:t>一般条款（双方可参照此格式或根据具体情况自行编制）</w:t>
      </w:r>
    </w:p>
    <w:p>
      <w:pPr>
        <w:pStyle w:val="22"/>
        <w:adjustRightInd w:val="0"/>
        <w:snapToGrid w:val="0"/>
        <w:spacing w:line="420" w:lineRule="exact"/>
        <w:ind w:firstLine="426" w:firstLineChars="213"/>
        <w:rPr>
          <w:rFonts w:hint="eastAsia"/>
          <w:color w:val="auto"/>
          <w:highlight w:val="none"/>
        </w:rPr>
      </w:pPr>
    </w:p>
    <w:p>
      <w:pPr>
        <w:snapToGrid w:val="0"/>
        <w:spacing w:line="360" w:lineRule="auto"/>
        <w:rPr>
          <w:rFonts w:ascii="宋体" w:cs="仿宋_GB2312"/>
          <w:color w:val="auto"/>
          <w:spacing w:val="-20"/>
          <w:szCs w:val="21"/>
          <w:highlight w:val="none"/>
          <w:u w:val="single"/>
        </w:rPr>
      </w:pPr>
      <w:r>
        <w:rPr>
          <w:rFonts w:hint="eastAsia" w:ascii="宋体" w:hAnsi="宋体" w:cs="仿宋_GB2312"/>
          <w:color w:val="auto"/>
          <w:spacing w:val="-20"/>
          <w:szCs w:val="21"/>
          <w:highlight w:val="none"/>
        </w:rPr>
        <w:t>委托人（甲方）：</w:t>
      </w:r>
      <w:r>
        <w:rPr>
          <w:rFonts w:ascii="宋体" w:hAnsi="宋体" w:cs="仿宋_GB2312"/>
          <w:color w:val="auto"/>
          <w:spacing w:val="-20"/>
          <w:szCs w:val="21"/>
          <w:highlight w:val="none"/>
          <w:u w:val="single"/>
        </w:rPr>
        <w:t xml:space="preserve">                                                                     </w:t>
      </w:r>
    </w:p>
    <w:p>
      <w:pPr>
        <w:snapToGrid w:val="0"/>
        <w:spacing w:line="360" w:lineRule="auto"/>
        <w:rPr>
          <w:rFonts w:ascii="宋体" w:cs="仿宋_GB2312"/>
          <w:color w:val="auto"/>
          <w:spacing w:val="-20"/>
          <w:szCs w:val="21"/>
          <w:highlight w:val="none"/>
          <w:u w:val="single"/>
        </w:rPr>
      </w:pPr>
      <w:r>
        <w:rPr>
          <w:rFonts w:hint="eastAsia" w:ascii="宋体" w:hAnsi="宋体" w:cs="仿宋_GB2312"/>
          <w:color w:val="auto"/>
          <w:spacing w:val="-20"/>
          <w:szCs w:val="21"/>
          <w:highlight w:val="none"/>
        </w:rPr>
        <w:t>受托人（乙方）：</w:t>
      </w:r>
      <w:r>
        <w:rPr>
          <w:rFonts w:ascii="宋体" w:hAnsi="宋体" w:cs="仿宋_GB2312"/>
          <w:color w:val="auto"/>
          <w:spacing w:val="-20"/>
          <w:szCs w:val="21"/>
          <w:highlight w:val="none"/>
          <w:u w:val="single"/>
        </w:rPr>
        <w:t xml:space="preserve">                                                                    </w:t>
      </w:r>
    </w:p>
    <w:p>
      <w:pPr>
        <w:snapToGrid w:val="0"/>
        <w:spacing w:line="360" w:lineRule="auto"/>
        <w:ind w:firstLine="340" w:firstLineChars="200"/>
        <w:rPr>
          <w:rFonts w:ascii="宋体" w:cs="仿宋_GB2312"/>
          <w:color w:val="auto"/>
          <w:szCs w:val="21"/>
          <w:highlight w:val="none"/>
        </w:rPr>
      </w:pPr>
      <w:r>
        <w:rPr>
          <w:rFonts w:ascii="宋体" w:hAnsi="宋体" w:cs="仿宋_GB2312"/>
          <w:color w:val="auto"/>
          <w:spacing w:val="-20"/>
          <w:szCs w:val="21"/>
          <w:highlight w:val="none"/>
        </w:rPr>
        <w:t xml:space="preserve">  </w:t>
      </w:r>
      <w:r>
        <w:rPr>
          <w:rFonts w:hint="eastAsia" w:ascii="宋体" w:hAnsi="宋体" w:cs="仿宋_GB2312"/>
          <w:color w:val="auto"/>
          <w:szCs w:val="21"/>
          <w:highlight w:val="none"/>
        </w:rPr>
        <w:t>因</w:t>
      </w:r>
      <w:r>
        <w:rPr>
          <w:rFonts w:hint="eastAsia" w:ascii="宋体" w:hAnsi="宋体" w:eastAsia="宋体" w:cs="宋体"/>
          <w:color w:val="auto"/>
          <w:szCs w:val="21"/>
          <w:highlight w:val="none"/>
          <w:u w:val="single"/>
          <w:lang w:eastAsia="zh-CN"/>
        </w:rPr>
        <w:t>海曙区高桥镇长乐未来社区项目房屋征收第三方服务</w:t>
      </w:r>
      <w:r>
        <w:rPr>
          <w:rFonts w:hint="eastAsia" w:ascii="宋体" w:hAnsi="宋体" w:eastAsia="宋体" w:cs="宋体"/>
          <w:color w:val="auto"/>
          <w:szCs w:val="21"/>
          <w:highlight w:val="none"/>
          <w:u w:val="single"/>
        </w:rPr>
        <w:t>采购</w:t>
      </w:r>
      <w:r>
        <w:rPr>
          <w:rFonts w:hint="eastAsia" w:ascii="宋体" w:hAnsi="宋体" w:cs="仿宋_GB2312"/>
          <w:color w:val="auto"/>
          <w:szCs w:val="21"/>
          <w:highlight w:val="none"/>
        </w:rPr>
        <w:t>房屋征收（征地房屋补偿）</w:t>
      </w:r>
      <w:bookmarkStart w:id="36" w:name="OLE_LINK6"/>
      <w:r>
        <w:rPr>
          <w:rFonts w:hint="eastAsia" w:ascii="宋体" w:hAnsi="宋体" w:cs="仿宋_GB2312"/>
          <w:color w:val="auto"/>
          <w:szCs w:val="21"/>
          <w:highlight w:val="none"/>
        </w:rPr>
        <w:t>事务代理服务</w:t>
      </w:r>
      <w:bookmarkEnd w:id="36"/>
      <w:r>
        <w:rPr>
          <w:rFonts w:hint="eastAsia" w:ascii="宋体" w:hAnsi="宋体" w:cs="仿宋_GB2312"/>
          <w:color w:val="auto"/>
          <w:szCs w:val="21"/>
          <w:highlight w:val="none"/>
        </w:rPr>
        <w:t>项目工作需要，需乙方协助开展房屋征收与补偿</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非住宅</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相关工作，经甲、乙双方协商一致，现就有关具体事项订立如下协议，以资共同信守。</w:t>
      </w:r>
    </w:p>
    <w:p>
      <w:pPr>
        <w:snapToGrid w:val="0"/>
        <w:spacing w:line="360" w:lineRule="auto"/>
        <w:ind w:firstLine="422" w:firstLineChars="200"/>
        <w:rPr>
          <w:rFonts w:ascii="宋体" w:hAnsi="宋体" w:cs="仿宋_GB2312"/>
          <w:b/>
          <w:bCs/>
          <w:color w:val="auto"/>
          <w:szCs w:val="21"/>
          <w:highlight w:val="none"/>
        </w:rPr>
      </w:pPr>
      <w:r>
        <w:rPr>
          <w:rFonts w:ascii="宋体" w:hAnsi="宋体" w:cs="仿宋_GB2312"/>
          <w:b/>
          <w:bCs/>
          <w:color w:val="auto"/>
          <w:szCs w:val="21"/>
          <w:highlight w:val="none"/>
        </w:rPr>
        <w:t>第一条  项目概况</w:t>
      </w:r>
    </w:p>
    <w:p>
      <w:pPr>
        <w:snapToGrid w:val="0"/>
        <w:spacing w:line="360" w:lineRule="auto"/>
        <w:rPr>
          <w:rFonts w:ascii="宋体" w:cs="仿宋_GB2312"/>
          <w:color w:val="auto"/>
          <w:szCs w:val="21"/>
          <w:highlight w:val="none"/>
        </w:rPr>
      </w:pPr>
      <w:r>
        <w:rPr>
          <w:rFonts w:ascii="宋体" w:hAnsi="宋体" w:cs="仿宋_GB2312"/>
          <w:color w:val="auto"/>
          <w:szCs w:val="21"/>
          <w:highlight w:val="none"/>
        </w:rPr>
        <w:t xml:space="preserve">    </w:t>
      </w:r>
      <w:r>
        <w:rPr>
          <w:rFonts w:hint="eastAsia" w:ascii="宋体" w:hAnsi="宋体" w:cs="仿宋_GB2312"/>
          <w:color w:val="auto"/>
          <w:szCs w:val="21"/>
          <w:highlight w:val="none"/>
        </w:rPr>
        <w:t>本项目房屋征收（征地房屋补偿）所涉房屋建筑面积约</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18.4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万㎡，所涉户数约</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42</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户，最终以实际测绘面积为准。</w:t>
      </w:r>
      <w:r>
        <w:rPr>
          <w:rFonts w:hint="eastAsia" w:ascii="宋体" w:hAnsi="宋体" w:cs="仿宋_GB2312"/>
          <w:b/>
          <w:color w:val="auto"/>
          <w:szCs w:val="21"/>
          <w:highlight w:val="none"/>
        </w:rPr>
        <w:t>总价暂定</w:t>
      </w:r>
      <w:r>
        <w:rPr>
          <w:rFonts w:hint="eastAsia" w:ascii="宋体" w:hAnsi="宋体" w:cs="仿宋_GB2312"/>
          <w:b/>
          <w:color w:val="auto"/>
          <w:szCs w:val="21"/>
          <w:highlight w:val="none"/>
          <w:u w:val="single"/>
        </w:rPr>
        <w:t xml:space="preserve">       </w:t>
      </w:r>
      <w:r>
        <w:rPr>
          <w:rFonts w:hint="eastAsia" w:ascii="宋体" w:hAnsi="宋体" w:cs="仿宋_GB2312"/>
          <w:b/>
          <w:color w:val="auto"/>
          <w:szCs w:val="21"/>
          <w:highlight w:val="none"/>
        </w:rPr>
        <w:t>元（总价仅作为付款依据）。</w:t>
      </w:r>
      <w:r>
        <w:rPr>
          <w:rFonts w:hint="eastAsia" w:ascii="宋体" w:hAnsi="宋体"/>
          <w:b/>
          <w:color w:val="auto"/>
          <w:szCs w:val="21"/>
          <w:highlight w:val="none"/>
        </w:rPr>
        <w:t>单价按乙方中标单价执行即</w:t>
      </w:r>
      <w:r>
        <w:rPr>
          <w:rFonts w:hint="eastAsia" w:ascii="宋体" w:hAnsi="宋体"/>
          <w:b/>
          <w:color w:val="auto"/>
          <w:szCs w:val="21"/>
          <w:highlight w:val="none"/>
          <w:u w:val="single"/>
        </w:rPr>
        <w:t xml:space="preserve">     </w:t>
      </w:r>
      <w:r>
        <w:rPr>
          <w:rFonts w:hint="eastAsia" w:ascii="宋体" w:hAnsi="宋体"/>
          <w:b/>
          <w:color w:val="auto"/>
          <w:szCs w:val="21"/>
          <w:highlight w:val="none"/>
          <w:lang w:eastAsia="zh-CN"/>
        </w:rPr>
        <w:t>元/平方米</w:t>
      </w:r>
      <w:r>
        <w:rPr>
          <w:rFonts w:hint="eastAsia" w:ascii="宋体" w:hAnsi="宋体"/>
          <w:b/>
          <w:color w:val="auto"/>
          <w:szCs w:val="21"/>
          <w:highlight w:val="none"/>
        </w:rPr>
        <w:t>，结算时不管何种原因单价均不做调整,结算时按实际测量及评估的面积调整总价。</w:t>
      </w:r>
    </w:p>
    <w:p>
      <w:pPr>
        <w:snapToGrid w:val="0"/>
        <w:spacing w:line="360" w:lineRule="auto"/>
        <w:ind w:firstLine="422" w:firstLineChars="200"/>
        <w:rPr>
          <w:rFonts w:ascii="宋体" w:cs="仿宋_GB2312"/>
          <w:b/>
          <w:bCs/>
          <w:color w:val="auto"/>
          <w:szCs w:val="21"/>
          <w:highlight w:val="none"/>
        </w:rPr>
      </w:pPr>
      <w:r>
        <w:rPr>
          <w:rFonts w:hint="eastAsia" w:ascii="宋体" w:hAnsi="宋体" w:cs="仿宋_GB2312"/>
          <w:b/>
          <w:bCs/>
          <w:color w:val="auto"/>
          <w:szCs w:val="21"/>
          <w:highlight w:val="none"/>
        </w:rPr>
        <w:t>第二条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委托事项</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乙方应按照房屋征收（征地房屋补偿）法定程序协助甲方完成相关工作，主要内容包括：</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（一）前期确权确户</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1、对被征收人的房屋、土地、征收意愿、</w:t>
      </w:r>
      <w:r>
        <w:rPr>
          <w:rFonts w:hint="eastAsia" w:ascii="宋体" w:hAnsi="宋体" w:cs="仿宋_GB2312"/>
          <w:color w:val="auto"/>
          <w:szCs w:val="21"/>
          <w:highlight w:val="none"/>
          <w:lang w:val="en-US" w:eastAsia="zh-CN"/>
        </w:rPr>
        <w:t>产权人或法定代表人</w:t>
      </w:r>
      <w:r>
        <w:rPr>
          <w:rFonts w:hint="eastAsia" w:ascii="宋体" w:hAnsi="宋体" w:cs="仿宋_GB2312"/>
          <w:color w:val="auto"/>
          <w:szCs w:val="21"/>
          <w:highlight w:val="none"/>
        </w:rPr>
        <w:t>的身份居住</w:t>
      </w:r>
      <w:r>
        <w:rPr>
          <w:rFonts w:hint="eastAsia" w:ascii="宋体" w:hAnsi="宋体" w:cs="仿宋_GB2312"/>
          <w:color w:val="auto"/>
          <w:szCs w:val="21"/>
          <w:highlight w:val="none"/>
          <w:lang w:val="en-US" w:eastAsia="zh-CN"/>
        </w:rPr>
        <w:t>地</w:t>
      </w:r>
      <w:r>
        <w:rPr>
          <w:rFonts w:hint="eastAsia" w:ascii="宋体" w:hAnsi="宋体" w:cs="仿宋_GB2312"/>
          <w:color w:val="auto"/>
          <w:szCs w:val="21"/>
          <w:highlight w:val="none"/>
        </w:rPr>
        <w:t>等信息进行调查；</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2、走访不动产登记、规划、***等部门搜集房屋权属等信息，协助委托方做好确权确户；</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3、协助委托方制定完善房屋征收补偿方案；</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4、协助委托方对征收补偿方案、评估结果、测绘面积结果、确权确户结果等信息的公示，记录被征收户的诉求和投诉，进行信息汇总反馈。</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（二）中期签约结算</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1、协助委托方做好签约前准备工作（将调查数据录入独立的房屋征收服务软件系统，做安置补偿协议模板配置，汇总表模板配置）；</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2、集中协助签约，协助委托方做好政策、确权确户解释工作并根据委托方要求做好各类报表的数据汇总；</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3、协助委托方做好房屋腾空，做好安置补偿结算工作；</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4、对确权确户、评估、签约、结算四大资料进行整理，如有缺失协助委托方进行催交补充、初步建立一户一档。</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（三）后期安置及档案管理</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1、协助委托方安置房源管理、抽签定位、交付、资金结算；</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2、按一户一档完善征收户的电子及纸质档案。</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（四）负责《房屋所有权证》、《国有土地使用证》或《不动产权证》的收交和注销</w:t>
      </w:r>
      <w:r>
        <w:rPr>
          <w:rFonts w:hint="eastAsia" w:ascii="宋体" w:hAnsi="宋体" w:cs="仿宋_GB2312"/>
          <w:color w:val="auto"/>
          <w:szCs w:val="21"/>
          <w:highlight w:val="none"/>
          <w:lang w:val="en-US" w:eastAsia="zh-CN"/>
        </w:rPr>
        <w:t>以及</w:t>
      </w:r>
      <w:r>
        <w:rPr>
          <w:rFonts w:hint="eastAsia" w:ascii="宋体" w:hAnsi="宋体" w:cs="仿宋_GB2312"/>
          <w:color w:val="auto"/>
          <w:szCs w:val="21"/>
          <w:highlight w:val="none"/>
        </w:rPr>
        <w:t>完成甲方交办的与本项目征地房屋补偿和房屋征收工作相关的其他工作。</w:t>
      </w:r>
    </w:p>
    <w:p>
      <w:pPr>
        <w:snapToGrid w:val="0"/>
        <w:spacing w:line="360" w:lineRule="auto"/>
        <w:ind w:firstLine="422" w:firstLineChars="200"/>
        <w:rPr>
          <w:rFonts w:ascii="宋体" w:cs="仿宋_GB2312"/>
          <w:b/>
          <w:bCs/>
          <w:color w:val="auto"/>
          <w:szCs w:val="21"/>
          <w:highlight w:val="none"/>
        </w:rPr>
      </w:pPr>
      <w:r>
        <w:rPr>
          <w:rFonts w:hint="eastAsia" w:ascii="宋体" w:hAnsi="宋体" w:cs="仿宋_GB2312"/>
          <w:b/>
          <w:bCs/>
          <w:color w:val="auto"/>
          <w:szCs w:val="21"/>
          <w:highlight w:val="none"/>
        </w:rPr>
        <w:t>第三条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劳务服务人员编排</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（一）乙方现场负责人为</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，联系方式：</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w:t>
      </w:r>
      <w:r>
        <w:rPr>
          <w:rFonts w:ascii="宋体" w:hAnsi="宋体" w:cs="仿宋_GB2312"/>
          <w:color w:val="auto"/>
          <w:szCs w:val="21"/>
          <w:highlight w:val="none"/>
        </w:rPr>
        <w:t xml:space="preserve">    </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（二）乙方配备从业人员名单如下：</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w:t>
      </w:r>
    </w:p>
    <w:p>
      <w:pPr>
        <w:snapToGrid w:val="0"/>
        <w:spacing w:line="360" w:lineRule="auto"/>
        <w:rPr>
          <w:rFonts w:ascii="宋体" w:cs="仿宋_GB2312"/>
          <w:b/>
          <w:bCs/>
          <w:color w:val="auto"/>
          <w:szCs w:val="21"/>
          <w:highlight w:val="none"/>
        </w:rPr>
      </w:pPr>
      <w:r>
        <w:rPr>
          <w:rFonts w:hint="eastAsia" w:ascii="宋体" w:hAnsi="宋体" w:cs="仿宋_GB2312"/>
          <w:color w:val="auto"/>
          <w:szCs w:val="21"/>
          <w:highlight w:val="none"/>
        </w:rPr>
        <w:t xml:space="preserve">    </w:t>
      </w:r>
      <w:r>
        <w:rPr>
          <w:rFonts w:hint="eastAsia" w:ascii="宋体" w:hAnsi="宋体" w:cs="仿宋_GB2312"/>
          <w:b/>
          <w:bCs/>
          <w:color w:val="auto"/>
          <w:szCs w:val="21"/>
          <w:highlight w:val="none"/>
        </w:rPr>
        <w:t>第四条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服务期限</w:t>
      </w:r>
    </w:p>
    <w:p>
      <w:pPr>
        <w:snapToGrid w:val="0"/>
        <w:spacing w:line="360" w:lineRule="auto"/>
        <w:ind w:firstLine="562"/>
        <w:rPr>
          <w:rFonts w:ascii="宋体" w:cs="仿宋_GB2312"/>
          <w:color w:val="auto"/>
          <w:szCs w:val="21"/>
          <w:highlight w:val="none"/>
        </w:rPr>
      </w:pPr>
      <w:r>
        <w:rPr>
          <w:rFonts w:hint="eastAsia" w:ascii="宋体" w:hAnsi="宋体" w:cs="仿宋_GB2312"/>
          <w:color w:val="auto"/>
          <w:szCs w:val="21"/>
          <w:highlight w:val="none"/>
        </w:rPr>
        <w:t>乙方应于</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前完成前期确权确户；于</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前完成中期签约结算；于</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前完成后期安置及档案管理。</w:t>
      </w:r>
    </w:p>
    <w:p>
      <w:pPr>
        <w:snapToGrid w:val="0"/>
        <w:spacing w:line="360" w:lineRule="auto"/>
        <w:ind w:firstLine="562"/>
        <w:rPr>
          <w:rFonts w:ascii="宋体" w:cs="仿宋_GB2312"/>
          <w:b/>
          <w:bCs/>
          <w:color w:val="auto"/>
          <w:szCs w:val="21"/>
          <w:highlight w:val="none"/>
        </w:rPr>
      </w:pPr>
      <w:r>
        <w:rPr>
          <w:rFonts w:hint="eastAsia" w:ascii="宋体" w:hAnsi="宋体" w:cs="仿宋_GB2312"/>
          <w:b/>
          <w:bCs/>
          <w:color w:val="auto"/>
          <w:szCs w:val="21"/>
          <w:highlight w:val="none"/>
        </w:rPr>
        <w:t>第五条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劳务费用</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（一）计价方式：</w:t>
      </w:r>
    </w:p>
    <w:p>
      <w:pPr>
        <w:snapToGrid w:val="0"/>
        <w:spacing w:line="360" w:lineRule="auto"/>
        <w:ind w:firstLine="420"/>
        <w:rPr>
          <w:rFonts w:hint="eastAsia" w:ascii="宋体" w:hAnsi="宋体"/>
          <w:bCs/>
          <w:color w:val="auto"/>
          <w:szCs w:val="21"/>
          <w:highlight w:val="none"/>
        </w:rPr>
      </w:pPr>
      <w:r>
        <w:rPr>
          <w:rFonts w:hint="eastAsia" w:ascii="宋体" w:hAnsi="宋体" w:cs="仿宋_GB2312"/>
          <w:color w:val="auto"/>
          <w:szCs w:val="21"/>
          <w:highlight w:val="none"/>
        </w:rPr>
        <w:t>实行固定单价包干计价方式，用于支付乙方</w:t>
      </w:r>
      <w:r>
        <w:rPr>
          <w:rFonts w:hint="eastAsia" w:ascii="宋体" w:hAnsi="宋体"/>
          <w:bCs/>
          <w:color w:val="auto"/>
          <w:szCs w:val="21"/>
          <w:highlight w:val="none"/>
        </w:rPr>
        <w:t>的人员工资、奖金、各种加班费、夜餐费、各种社会保险、餐饮与交通必需的一切本身和不可或缺的所有工作开支、政策性文件规定及合同包含的所有风险、责任等、专用设备、消耗材料、服装、安全、管理费用、税费、利润、招标代理服务费、完成合同所需各项费用并承担一切风险责任</w:t>
      </w:r>
      <w:r>
        <w:rPr>
          <w:rFonts w:hint="eastAsia" w:ascii="宋体" w:hAnsi="宋体"/>
          <w:bCs/>
          <w:color w:val="auto"/>
          <w:szCs w:val="21"/>
          <w:highlight w:val="none"/>
          <w:lang w:eastAsia="zh-CN"/>
        </w:rPr>
        <w:t>，</w:t>
      </w:r>
      <w:r>
        <w:rPr>
          <w:rFonts w:hint="eastAsia" w:ascii="宋体" w:hAnsi="宋体"/>
          <w:bCs/>
          <w:color w:val="auto"/>
          <w:szCs w:val="21"/>
          <w:highlight w:val="none"/>
        </w:rPr>
        <w:t>其中</w:t>
      </w:r>
      <w:r>
        <w:rPr>
          <w:rFonts w:hint="eastAsia" w:ascii="宋体" w:hAnsi="宋体" w:cs="宋体"/>
          <w:color w:val="auto"/>
          <w:highlight w:val="none"/>
        </w:rPr>
        <w:t>其中房地产价格评估</w:t>
      </w:r>
      <w:r>
        <w:rPr>
          <w:rFonts w:hint="eastAsia" w:ascii="宋体" w:hAnsi="宋体" w:cs="宋体"/>
          <w:color w:val="auto"/>
          <w:highlight w:val="none"/>
          <w:lang w:val="en-US" w:eastAsia="zh-CN"/>
        </w:rPr>
        <w:t>费用</w:t>
      </w:r>
      <w:r>
        <w:rPr>
          <w:rFonts w:hint="eastAsia" w:ascii="宋体" w:hAnsi="宋体" w:cs="宋体"/>
          <w:color w:val="auto"/>
          <w:highlight w:val="none"/>
        </w:rPr>
        <w:t>、测绘费用、年限查证、公证办理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不可移动的设备设施评估</w:t>
      </w:r>
      <w:r>
        <w:rPr>
          <w:rFonts w:hint="eastAsia" w:ascii="宋体" w:hAnsi="宋体" w:cs="宋体"/>
          <w:color w:val="auto"/>
          <w:highlight w:val="none"/>
        </w:rPr>
        <w:t>等费用由甲方承担</w:t>
      </w:r>
      <w:r>
        <w:rPr>
          <w:rFonts w:hint="eastAsia" w:ascii="宋体" w:hAnsi="宋体" w:cs="仿宋_GB2312"/>
          <w:color w:val="auto"/>
          <w:szCs w:val="21"/>
          <w:highlight w:val="none"/>
        </w:rPr>
        <w:t>。</w:t>
      </w:r>
      <w:r>
        <w:rPr>
          <w:rFonts w:hint="eastAsia" w:ascii="宋体" w:hAnsi="宋体"/>
          <w:bCs/>
          <w:color w:val="auto"/>
          <w:szCs w:val="21"/>
          <w:highlight w:val="none"/>
        </w:rPr>
        <w:t xml:space="preserve"> </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（二）支付方式：由宁波市海曙区高桥镇人民政府下属单位宁波市海曙区高桥镇房屋征收（拆迁）办公室支付。</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1、前期</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（1）乙方完成入户调查人员配置到位后，支付合同价款的10%；</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（2）乙方完成入户调查全部工作，出台征迁具体实施方案后，支付合同价款的20%（累计30%）。</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2、中期</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在征迁方案规定的签约期限内，签约率达到8</w:t>
      </w:r>
      <w:r>
        <w:rPr>
          <w:rFonts w:hint="eastAsia" w:ascii="宋体" w:hAnsi="宋体" w:cs="仿宋_GB2312"/>
          <w:color w:val="auto"/>
          <w:szCs w:val="21"/>
          <w:highlight w:val="none"/>
          <w:lang w:val="en-US" w:eastAsia="zh-CN"/>
        </w:rPr>
        <w:t>0</w:t>
      </w:r>
      <w:r>
        <w:rPr>
          <w:rFonts w:hint="eastAsia" w:ascii="宋体" w:hAnsi="宋体" w:cs="仿宋_GB2312"/>
          <w:color w:val="auto"/>
          <w:szCs w:val="21"/>
          <w:highlight w:val="none"/>
        </w:rPr>
        <w:t>% （含）以上，支付合同价款的15%（累计45%）；若在征迁方案规定的签约期限内签约率达到9</w:t>
      </w:r>
      <w:r>
        <w:rPr>
          <w:rFonts w:hint="eastAsia" w:ascii="宋体" w:hAnsi="宋体" w:cs="仿宋_GB2312"/>
          <w:color w:val="auto"/>
          <w:szCs w:val="21"/>
          <w:highlight w:val="none"/>
          <w:lang w:val="en-US" w:eastAsia="zh-CN"/>
        </w:rPr>
        <w:t>0</w:t>
      </w:r>
      <w:r>
        <w:rPr>
          <w:rFonts w:hint="eastAsia" w:ascii="宋体" w:hAnsi="宋体" w:cs="仿宋_GB2312"/>
          <w:color w:val="auto"/>
          <w:szCs w:val="21"/>
          <w:highlight w:val="none"/>
        </w:rPr>
        <w:t>%（含）以上，支付合同价款的40%（累计70%）；若在征迁方案规定的签约期限内签约率达到9</w:t>
      </w:r>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rPr>
        <w:t>%（含）以上，支付合同价款的50%（累计80%）。</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3、后期</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（1）规定时间内，完成房屋腾空搬迁后，支付合同价款的5%（累计85%）；</w:t>
      </w:r>
    </w:p>
    <w:p>
      <w:pPr>
        <w:snapToGrid w:val="0"/>
        <w:spacing w:line="360" w:lineRule="auto"/>
        <w:ind w:firstLine="560"/>
        <w:rPr>
          <w:rFonts w:hint="eastAsia" w:ascii="宋体" w:hAnsi="宋体" w:cs="仿宋_GB2312"/>
          <w:color w:val="auto"/>
          <w:szCs w:val="21"/>
          <w:highlight w:val="none"/>
        </w:rPr>
      </w:pPr>
      <w:r>
        <w:rPr>
          <w:rFonts w:hint="eastAsia" w:ascii="宋体" w:hAnsi="宋体" w:cs="仿宋_GB2312"/>
          <w:color w:val="auto"/>
          <w:szCs w:val="21"/>
          <w:highlight w:val="none"/>
        </w:rPr>
        <w:t>（2）完成跟踪审计、档案移交后，支付</w:t>
      </w:r>
      <w:r>
        <w:rPr>
          <w:rFonts w:hint="default" w:ascii="宋体" w:hAnsi="宋体" w:cs="仿宋_GB2312"/>
          <w:color w:val="auto"/>
          <w:szCs w:val="21"/>
          <w:highlight w:val="none"/>
          <w:lang w:val="en-US"/>
        </w:rPr>
        <w:t>合同价款</w:t>
      </w:r>
      <w:r>
        <w:rPr>
          <w:rFonts w:hint="eastAsia" w:ascii="宋体" w:hAnsi="宋体" w:cs="仿宋_GB2312"/>
          <w:color w:val="auto"/>
          <w:szCs w:val="21"/>
          <w:highlight w:val="none"/>
        </w:rPr>
        <w:t>的5%（累计90%）；</w:t>
      </w:r>
    </w:p>
    <w:p>
      <w:pPr>
        <w:widowControl w:val="0"/>
        <w:snapToGrid w:val="0"/>
        <w:spacing w:line="360" w:lineRule="auto"/>
        <w:ind w:left="420"/>
        <w:jc w:val="both"/>
        <w:rPr>
          <w:rFonts w:hint="eastAsia" w:ascii="宋体" w:cs="仿宋_GB2312"/>
          <w:b/>
          <w:color w:val="auto"/>
          <w:szCs w:val="21"/>
          <w:highlight w:val="none"/>
        </w:rPr>
      </w:pPr>
      <w:r>
        <w:rPr>
          <w:rFonts w:hint="eastAsia" w:ascii="宋体" w:hAnsi="宋体" w:cs="仿宋_GB2312"/>
          <w:color w:val="auto"/>
          <w:szCs w:val="21"/>
          <w:highlight w:val="none"/>
        </w:rPr>
        <w:t xml:space="preserve"> （3）房屋抽签、定位、结算完成且归档移交后，支付</w:t>
      </w:r>
      <w:r>
        <w:rPr>
          <w:rFonts w:hint="eastAsia" w:ascii="宋体" w:hAnsi="宋体" w:cs="仿宋_GB2312"/>
          <w:color w:val="auto"/>
          <w:szCs w:val="21"/>
          <w:highlight w:val="none"/>
          <w:lang w:val="en-US" w:eastAsia="zh-CN"/>
        </w:rPr>
        <w:t>至结算审定价款的100%</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若无房屋抽签工作的，则在完成跟踪审计、归档移交后，支付至结算审定价款的100%</w:t>
      </w:r>
      <w:r>
        <w:rPr>
          <w:rFonts w:hint="eastAsia" w:ascii="宋体" w:hAnsi="宋体" w:cs="仿宋_GB2312"/>
          <w:color w:val="auto"/>
          <w:szCs w:val="21"/>
          <w:highlight w:val="none"/>
        </w:rPr>
        <w:t xml:space="preserve">。 </w:t>
      </w:r>
    </w:p>
    <w:p>
      <w:pPr>
        <w:widowControl w:val="0"/>
        <w:numPr>
          <w:ilvl w:val="0"/>
          <w:numId w:val="3"/>
        </w:numPr>
        <w:snapToGrid w:val="0"/>
        <w:spacing w:line="360" w:lineRule="auto"/>
        <w:ind w:firstLine="422" w:firstLineChars="200"/>
        <w:jc w:val="both"/>
        <w:rPr>
          <w:rFonts w:ascii="宋体" w:cs="仿宋_GB2312"/>
          <w:b/>
          <w:color w:val="auto"/>
          <w:szCs w:val="21"/>
          <w:highlight w:val="none"/>
        </w:rPr>
      </w:pPr>
      <w:r>
        <w:rPr>
          <w:rFonts w:ascii="宋体" w:hAnsi="宋体" w:cs="仿宋_GB2312"/>
          <w:b/>
          <w:color w:val="auto"/>
          <w:szCs w:val="21"/>
          <w:highlight w:val="none"/>
        </w:rPr>
        <w:t xml:space="preserve"> </w:t>
      </w:r>
      <w:r>
        <w:rPr>
          <w:rFonts w:hint="eastAsia" w:ascii="宋体" w:hAnsi="宋体" w:cs="仿宋_GB2312"/>
          <w:b/>
          <w:color w:val="auto"/>
          <w:szCs w:val="21"/>
          <w:highlight w:val="none"/>
        </w:rPr>
        <w:t>履约保证金</w:t>
      </w:r>
    </w:p>
    <w:p>
      <w:pPr>
        <w:snapToGrid w:val="0"/>
        <w:spacing w:line="360" w:lineRule="auto"/>
        <w:ind w:firstLine="481"/>
        <w:rPr>
          <w:rFonts w:ascii="宋体" w:cs="仿宋_GB2312"/>
          <w:color w:val="auto"/>
          <w:szCs w:val="21"/>
          <w:highlight w:val="none"/>
        </w:rPr>
      </w:pPr>
      <w:r>
        <w:rPr>
          <w:rFonts w:hint="eastAsia" w:ascii="宋体" w:hAnsi="宋体" w:cs="仿宋_GB2312"/>
          <w:color w:val="auto"/>
          <w:szCs w:val="21"/>
          <w:highlight w:val="none"/>
        </w:rPr>
        <w:t>（一）乙方需在</w:t>
      </w:r>
      <w:r>
        <w:rPr>
          <w:rFonts w:hint="eastAsia" w:ascii="宋体" w:hAnsi="宋体" w:cs="仿宋_GB2312"/>
          <w:b/>
          <w:bCs/>
          <w:color w:val="auto"/>
          <w:szCs w:val="21"/>
          <w:highlight w:val="none"/>
          <w:u w:val="single"/>
        </w:rPr>
        <w:t xml:space="preserve"> 中标通知书发出后7天</w:t>
      </w:r>
      <w:r>
        <w:rPr>
          <w:rFonts w:hint="eastAsia" w:ascii="宋体" w:hAnsi="宋体" w:cs="仿宋_GB2312"/>
          <w:b/>
          <w:bCs/>
          <w:color w:val="auto"/>
          <w:szCs w:val="21"/>
          <w:highlight w:val="none"/>
          <w:u w:val="single"/>
          <w:lang w:val="en-US" w:eastAsia="zh-CN"/>
        </w:rPr>
        <w:t xml:space="preserve"> </w:t>
      </w:r>
      <w:r>
        <w:rPr>
          <w:rFonts w:hint="eastAsia" w:ascii="宋体" w:hAnsi="宋体" w:cs="仿宋_GB2312"/>
          <w:color w:val="auto"/>
          <w:szCs w:val="21"/>
          <w:highlight w:val="none"/>
        </w:rPr>
        <w:t>内缴纳</w:t>
      </w:r>
      <w:bookmarkStart w:id="37" w:name="OLE_LINK3"/>
      <w:r>
        <w:rPr>
          <w:rFonts w:hint="eastAsia" w:ascii="宋体" w:hAnsi="宋体" w:cs="仿宋_GB2312"/>
          <w:color w:val="auto"/>
          <w:szCs w:val="21"/>
          <w:highlight w:val="none"/>
        </w:rPr>
        <w:t>履约保证金</w:t>
      </w:r>
      <w:bookmarkEnd w:id="37"/>
      <w:r>
        <w:rPr>
          <w:rFonts w:hint="eastAsia" w:ascii="宋体" w:hAnsi="宋体" w:cs="仿宋_GB2312"/>
          <w:color w:val="auto"/>
          <w:szCs w:val="21"/>
          <w:highlight w:val="none"/>
        </w:rPr>
        <w:t>人民币</w:t>
      </w:r>
      <w:r>
        <w:rPr>
          <w:rFonts w:hint="eastAsia" w:ascii="宋体" w:hAnsi="宋体" w:cs="仿宋_GB2312"/>
          <w:b/>
          <w:bCs/>
          <w:color w:val="auto"/>
          <w:szCs w:val="21"/>
          <w:highlight w:val="none"/>
          <w:u w:val="single"/>
        </w:rPr>
        <w:t xml:space="preserve">     </w:t>
      </w:r>
      <w:r>
        <w:rPr>
          <w:rFonts w:hint="eastAsia" w:ascii="宋体" w:hAnsi="宋体" w:cs="仿宋_GB2312"/>
          <w:color w:val="auto"/>
          <w:szCs w:val="21"/>
          <w:highlight w:val="none"/>
        </w:rPr>
        <w:t>元，履约保证金交由甲方保管。</w:t>
      </w:r>
    </w:p>
    <w:p>
      <w:pPr>
        <w:snapToGrid w:val="0"/>
        <w:spacing w:line="360" w:lineRule="auto"/>
        <w:ind w:firstLine="481"/>
        <w:rPr>
          <w:rFonts w:ascii="宋体" w:cs="仿宋_GB2312"/>
          <w:color w:val="auto"/>
          <w:szCs w:val="21"/>
          <w:highlight w:val="none"/>
        </w:rPr>
      </w:pPr>
      <w:r>
        <w:rPr>
          <w:rFonts w:hint="eastAsia" w:ascii="宋体" w:hAnsi="宋体" w:cs="仿宋_GB2312"/>
          <w:color w:val="auto"/>
          <w:szCs w:val="21"/>
          <w:highlight w:val="none"/>
        </w:rPr>
        <w:t>（二）乙方未按时缴纳</w:t>
      </w:r>
      <w:bookmarkStart w:id="38" w:name="OLE_LINK9"/>
      <w:r>
        <w:rPr>
          <w:rFonts w:hint="eastAsia" w:ascii="宋体" w:hAnsi="宋体" w:cs="仿宋_GB2312"/>
          <w:color w:val="auto"/>
          <w:szCs w:val="21"/>
          <w:highlight w:val="none"/>
        </w:rPr>
        <w:t>履约保证金</w:t>
      </w:r>
      <w:bookmarkEnd w:id="38"/>
      <w:r>
        <w:rPr>
          <w:rFonts w:hint="eastAsia" w:ascii="宋体" w:hAnsi="宋体" w:cs="仿宋_GB2312"/>
          <w:color w:val="auto"/>
          <w:szCs w:val="21"/>
          <w:highlight w:val="none"/>
        </w:rPr>
        <w:t>的，本合同自动解除，且乙方应按履约保证金总额赔偿甲方的经济损失。甲方根据有关规定</w:t>
      </w:r>
      <w:bookmarkStart w:id="39" w:name="OLE_LINK7"/>
      <w:bookmarkStart w:id="40" w:name="OLE_LINK8"/>
      <w:r>
        <w:rPr>
          <w:rFonts w:hint="eastAsia" w:ascii="宋体" w:hAnsi="宋体" w:cs="仿宋_GB2312"/>
          <w:color w:val="auto"/>
          <w:szCs w:val="21"/>
          <w:highlight w:val="none"/>
        </w:rPr>
        <w:t>就本合同所涉项目房屋征收（征地房屋补偿）事务</w:t>
      </w:r>
      <w:bookmarkEnd w:id="39"/>
      <w:r>
        <w:rPr>
          <w:rFonts w:hint="eastAsia" w:ascii="宋体" w:hAnsi="宋体" w:cs="仿宋_GB2312"/>
          <w:color w:val="auto"/>
          <w:szCs w:val="21"/>
          <w:highlight w:val="none"/>
        </w:rPr>
        <w:t>重新选定代理机构</w:t>
      </w:r>
      <w:bookmarkEnd w:id="40"/>
      <w:r>
        <w:rPr>
          <w:rFonts w:hint="eastAsia" w:ascii="宋体" w:hAnsi="宋体" w:cs="仿宋_GB2312"/>
          <w:color w:val="auto"/>
          <w:szCs w:val="21"/>
          <w:highlight w:val="none"/>
        </w:rPr>
        <w:t>时，乙方不得再成为备选代理机构。</w:t>
      </w:r>
    </w:p>
    <w:p>
      <w:pPr>
        <w:snapToGrid w:val="0"/>
        <w:spacing w:line="360" w:lineRule="auto"/>
        <w:ind w:firstLine="481"/>
        <w:rPr>
          <w:rFonts w:ascii="宋体" w:cs="仿宋_GB2312"/>
          <w:color w:val="auto"/>
          <w:szCs w:val="21"/>
          <w:highlight w:val="none"/>
        </w:rPr>
      </w:pPr>
      <w:r>
        <w:rPr>
          <w:rFonts w:hint="eastAsia" w:ascii="宋体" w:hAnsi="宋体" w:cs="仿宋_GB2312"/>
          <w:color w:val="auto"/>
          <w:szCs w:val="21"/>
          <w:highlight w:val="none"/>
        </w:rPr>
        <w:t>（三）乙方不依法依规、未按照约定</w:t>
      </w:r>
      <w:bookmarkStart w:id="41" w:name="OLE_LINK10"/>
      <w:r>
        <w:rPr>
          <w:rFonts w:hint="eastAsia" w:ascii="宋体" w:hAnsi="宋体" w:cs="仿宋_GB2312"/>
          <w:color w:val="auto"/>
          <w:szCs w:val="21"/>
          <w:highlight w:val="none"/>
        </w:rPr>
        <w:t>履行本合同</w:t>
      </w:r>
      <w:bookmarkEnd w:id="41"/>
      <w:r>
        <w:rPr>
          <w:rFonts w:hint="eastAsia" w:ascii="宋体" w:hAnsi="宋体" w:cs="仿宋_GB2312"/>
          <w:color w:val="auto"/>
          <w:szCs w:val="21"/>
          <w:highlight w:val="none"/>
        </w:rPr>
        <w:t>，或者无故停止履行本合同的，甲方有权没收</w:t>
      </w:r>
      <w:bookmarkStart w:id="42" w:name="OLE_LINK11"/>
      <w:r>
        <w:rPr>
          <w:rFonts w:hint="eastAsia" w:ascii="宋体" w:hAnsi="宋体" w:cs="仿宋_GB2312"/>
          <w:color w:val="auto"/>
          <w:szCs w:val="21"/>
          <w:highlight w:val="none"/>
        </w:rPr>
        <w:t>履约保证金</w:t>
      </w:r>
      <w:bookmarkEnd w:id="42"/>
      <w:r>
        <w:rPr>
          <w:rFonts w:hint="eastAsia" w:ascii="宋体" w:hAnsi="宋体" w:cs="仿宋_GB2312"/>
          <w:color w:val="auto"/>
          <w:szCs w:val="21"/>
          <w:highlight w:val="none"/>
        </w:rPr>
        <w:t>。</w:t>
      </w:r>
    </w:p>
    <w:p>
      <w:pPr>
        <w:snapToGrid w:val="0"/>
        <w:spacing w:line="360" w:lineRule="auto"/>
        <w:ind w:firstLine="481"/>
        <w:rPr>
          <w:rFonts w:ascii="宋体" w:cs="仿宋_GB2312"/>
          <w:color w:val="auto"/>
          <w:szCs w:val="21"/>
          <w:highlight w:val="none"/>
        </w:rPr>
      </w:pPr>
      <w:r>
        <w:rPr>
          <w:rFonts w:hint="eastAsia" w:ascii="宋体" w:hAnsi="宋体" w:cs="仿宋_GB2312"/>
          <w:color w:val="auto"/>
          <w:szCs w:val="21"/>
          <w:highlight w:val="none"/>
        </w:rPr>
        <w:t>（四）</w:t>
      </w:r>
      <w:bookmarkStart w:id="43" w:name="OLE_LINK15"/>
      <w:r>
        <w:rPr>
          <w:rFonts w:hint="eastAsia" w:ascii="宋体" w:hAnsi="宋体" w:cs="仿宋_GB2312"/>
          <w:color w:val="auto"/>
          <w:szCs w:val="21"/>
          <w:highlight w:val="none"/>
        </w:rPr>
        <w:t>履约</w:t>
      </w:r>
      <w:bookmarkStart w:id="44" w:name="OLE_LINK12"/>
      <w:r>
        <w:rPr>
          <w:rFonts w:hint="eastAsia" w:ascii="宋体" w:hAnsi="宋体" w:cs="仿宋_GB2312"/>
          <w:color w:val="auto"/>
          <w:szCs w:val="21"/>
          <w:highlight w:val="none"/>
        </w:rPr>
        <w:t>保证金</w:t>
      </w:r>
      <w:bookmarkEnd w:id="43"/>
      <w:r>
        <w:rPr>
          <w:rFonts w:hint="eastAsia" w:ascii="宋体" w:hAnsi="宋体" w:cs="仿宋_GB2312"/>
          <w:color w:val="auto"/>
          <w:szCs w:val="21"/>
          <w:highlight w:val="none"/>
        </w:rPr>
        <w:t>在本</w:t>
      </w:r>
      <w:bookmarkEnd w:id="44"/>
      <w:r>
        <w:rPr>
          <w:rFonts w:hint="eastAsia" w:ascii="宋体" w:hAnsi="宋体" w:cs="仿宋_GB2312"/>
          <w:color w:val="auto"/>
          <w:szCs w:val="21"/>
          <w:highlight w:val="none"/>
        </w:rPr>
        <w:t>合同履行完毕或经甲、乙双方协商一致提前终止本合同后，且乙方没有违规违约的情况下给予无息退还。</w:t>
      </w:r>
    </w:p>
    <w:p>
      <w:pPr>
        <w:snapToGrid w:val="0"/>
        <w:spacing w:line="360" w:lineRule="auto"/>
        <w:ind w:firstLine="481"/>
        <w:rPr>
          <w:rFonts w:ascii="宋体" w:cs="仿宋_GB2312"/>
          <w:color w:val="auto"/>
          <w:szCs w:val="21"/>
          <w:highlight w:val="none"/>
        </w:rPr>
      </w:pPr>
      <w:r>
        <w:rPr>
          <w:rFonts w:hint="eastAsia" w:ascii="宋体" w:hAnsi="宋体" w:cs="仿宋_GB2312"/>
          <w:color w:val="auto"/>
          <w:szCs w:val="21"/>
          <w:highlight w:val="none"/>
        </w:rPr>
        <w:t>（五）甲方指定保管履约保证金的帐户如下：</w:t>
      </w:r>
    </w:p>
    <w:p>
      <w:pPr>
        <w:snapToGrid w:val="0"/>
        <w:spacing w:line="360" w:lineRule="auto"/>
        <w:ind w:firstLine="481"/>
        <w:rPr>
          <w:rFonts w:ascii="宋体" w:cs="仿宋_GB2312"/>
          <w:color w:val="auto"/>
          <w:szCs w:val="21"/>
          <w:highlight w:val="none"/>
          <w:u w:val="single"/>
        </w:rPr>
      </w:pPr>
      <w:r>
        <w:rPr>
          <w:rFonts w:hint="eastAsia" w:ascii="宋体" w:hAnsi="宋体" w:cs="仿宋_GB2312"/>
          <w:color w:val="auto"/>
          <w:szCs w:val="21"/>
          <w:highlight w:val="none"/>
        </w:rPr>
        <w:t>户</w:t>
      </w:r>
      <w:r>
        <w:rPr>
          <w:rFonts w:ascii="宋体" w:hAnsi="宋体" w:cs="仿宋_GB2312"/>
          <w:color w:val="auto"/>
          <w:szCs w:val="21"/>
          <w:highlight w:val="none"/>
        </w:rPr>
        <w:t xml:space="preserve">   </w:t>
      </w:r>
      <w:r>
        <w:rPr>
          <w:rFonts w:hint="eastAsia" w:ascii="宋体" w:hAnsi="宋体" w:cs="仿宋_GB2312"/>
          <w:color w:val="auto"/>
          <w:szCs w:val="21"/>
          <w:highlight w:val="none"/>
        </w:rPr>
        <w:t>名：</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w:t>
      </w:r>
      <w:r>
        <w:rPr>
          <w:rFonts w:ascii="宋体" w:hAnsi="宋体" w:cs="仿宋_GB2312"/>
          <w:color w:val="auto"/>
          <w:szCs w:val="21"/>
          <w:highlight w:val="non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p>
    <w:p>
      <w:pPr>
        <w:snapToGrid w:val="0"/>
        <w:spacing w:line="360" w:lineRule="auto"/>
        <w:ind w:firstLine="481"/>
        <w:rPr>
          <w:rFonts w:ascii="宋体" w:cs="仿宋_GB2312"/>
          <w:color w:val="auto"/>
          <w:szCs w:val="21"/>
          <w:highlight w:val="none"/>
          <w:u w:val="single"/>
        </w:rPr>
      </w:pPr>
      <w:r>
        <w:rPr>
          <w:rFonts w:hint="eastAsia" w:ascii="宋体" w:hAnsi="宋体" w:cs="仿宋_GB2312"/>
          <w:color w:val="auto"/>
          <w:szCs w:val="21"/>
          <w:highlight w:val="none"/>
        </w:rPr>
        <w:t>账</w:t>
      </w:r>
      <w:r>
        <w:rPr>
          <w:rFonts w:ascii="宋体" w:hAnsi="宋体" w:cs="仿宋_GB2312"/>
          <w:color w:val="auto"/>
          <w:szCs w:val="21"/>
          <w:highlight w:val="none"/>
        </w:rPr>
        <w:t xml:space="preserve">   </w:t>
      </w:r>
      <w:r>
        <w:rPr>
          <w:rFonts w:hint="eastAsia" w:ascii="宋体" w:hAnsi="宋体" w:cs="仿宋_GB2312"/>
          <w:color w:val="auto"/>
          <w:szCs w:val="21"/>
          <w:highlight w:val="none"/>
        </w:rPr>
        <w:t>号：</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w:t>
      </w:r>
      <w:r>
        <w:rPr>
          <w:rFonts w:ascii="宋体" w:hAnsi="宋体" w:cs="仿宋_GB2312"/>
          <w:color w:val="auto"/>
          <w:szCs w:val="21"/>
          <w:highlight w:val="non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p>
    <w:p>
      <w:pPr>
        <w:snapToGrid w:val="0"/>
        <w:spacing w:line="360" w:lineRule="auto"/>
        <w:ind w:firstLine="481"/>
        <w:rPr>
          <w:rFonts w:ascii="宋体" w:cs="仿宋_GB2312"/>
          <w:color w:val="auto"/>
          <w:szCs w:val="21"/>
          <w:highlight w:val="none"/>
          <w:u w:val="single"/>
        </w:rPr>
      </w:pPr>
      <w:r>
        <w:rPr>
          <w:rFonts w:hint="eastAsia" w:ascii="宋体" w:hAnsi="宋体" w:cs="仿宋_GB2312"/>
          <w:color w:val="auto"/>
          <w:szCs w:val="21"/>
          <w:highlight w:val="none"/>
        </w:rPr>
        <w:t>开</w:t>
      </w:r>
      <w:r>
        <w:rPr>
          <w:rFonts w:ascii="宋体" w:hAnsi="宋体" w:cs="仿宋_GB2312"/>
          <w:color w:val="auto"/>
          <w:szCs w:val="21"/>
          <w:highlight w:val="none"/>
        </w:rPr>
        <w:t xml:space="preserve"> </w:t>
      </w:r>
      <w:r>
        <w:rPr>
          <w:rFonts w:hint="eastAsia" w:ascii="宋体" w:hAnsi="宋体" w:cs="仿宋_GB2312"/>
          <w:color w:val="auto"/>
          <w:szCs w:val="21"/>
          <w:highlight w:val="none"/>
        </w:rPr>
        <w:t>户</w:t>
      </w:r>
      <w:r>
        <w:rPr>
          <w:rFonts w:ascii="宋体" w:hAnsi="宋体" w:cs="仿宋_GB2312"/>
          <w:color w:val="auto"/>
          <w:szCs w:val="21"/>
          <w:highlight w:val="none"/>
        </w:rPr>
        <w:t xml:space="preserve"> </w:t>
      </w:r>
      <w:r>
        <w:rPr>
          <w:rFonts w:hint="eastAsia" w:ascii="宋体" w:hAnsi="宋体" w:cs="仿宋_GB2312"/>
          <w:color w:val="auto"/>
          <w:szCs w:val="21"/>
          <w:highlight w:val="none"/>
        </w:rPr>
        <w:t>行：</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w:t>
      </w:r>
      <w:r>
        <w:rPr>
          <w:rFonts w:ascii="宋体" w:hAnsi="宋体" w:cs="仿宋_GB2312"/>
          <w:color w:val="auto"/>
          <w:szCs w:val="21"/>
          <w:highlight w:val="non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p>
    <w:p>
      <w:pPr>
        <w:snapToGrid w:val="0"/>
        <w:spacing w:line="360" w:lineRule="auto"/>
        <w:ind w:firstLine="422" w:firstLineChars="200"/>
        <w:rPr>
          <w:rFonts w:ascii="宋体" w:cs="仿宋_GB2312"/>
          <w:b/>
          <w:color w:val="auto"/>
          <w:szCs w:val="21"/>
          <w:highlight w:val="none"/>
        </w:rPr>
      </w:pPr>
      <w:r>
        <w:rPr>
          <w:rFonts w:hint="eastAsia" w:ascii="宋体" w:hAnsi="宋体" w:cs="仿宋_GB2312"/>
          <w:b/>
          <w:color w:val="auto"/>
          <w:szCs w:val="21"/>
          <w:highlight w:val="none"/>
        </w:rPr>
        <w:t>第七条</w:t>
      </w:r>
      <w:r>
        <w:rPr>
          <w:rFonts w:ascii="宋体" w:hAnsi="宋体" w:cs="仿宋_GB2312"/>
          <w:b/>
          <w:color w:val="auto"/>
          <w:szCs w:val="21"/>
          <w:highlight w:val="none"/>
        </w:rPr>
        <w:t xml:space="preserve">  </w:t>
      </w:r>
      <w:r>
        <w:rPr>
          <w:rFonts w:hint="eastAsia" w:ascii="宋体" w:hAnsi="宋体" w:cs="仿宋_GB2312"/>
          <w:b/>
          <w:color w:val="auto"/>
          <w:szCs w:val="21"/>
          <w:highlight w:val="none"/>
        </w:rPr>
        <w:t>双方的权利义务</w:t>
      </w:r>
    </w:p>
    <w:p>
      <w:pPr>
        <w:snapToGrid w:val="0"/>
        <w:spacing w:line="360" w:lineRule="auto"/>
        <w:ind w:firstLine="308" w:firstLineChars="147"/>
        <w:rPr>
          <w:rFonts w:ascii="宋体" w:cs="仿宋_GB2312"/>
          <w:color w:val="auto"/>
          <w:szCs w:val="21"/>
          <w:highlight w:val="none"/>
        </w:rPr>
      </w:pPr>
      <w:r>
        <w:rPr>
          <w:rFonts w:hint="eastAsia" w:ascii="宋体" w:hAnsi="宋体" w:cs="仿宋_GB2312"/>
          <w:bCs/>
          <w:color w:val="auto"/>
          <w:szCs w:val="21"/>
          <w:highlight w:val="none"/>
        </w:rPr>
        <w:t>（一）</w:t>
      </w:r>
      <w:r>
        <w:rPr>
          <w:rFonts w:hint="eastAsia" w:ascii="宋体" w:hAnsi="宋体" w:cs="仿宋_GB2312"/>
          <w:color w:val="auto"/>
          <w:szCs w:val="21"/>
          <w:highlight w:val="none"/>
        </w:rPr>
        <w:t>甲方的权利义务：</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1.</w:t>
      </w:r>
      <w:r>
        <w:rPr>
          <w:rFonts w:hint="eastAsia" w:ascii="宋体" w:hAnsi="宋体" w:cs="仿宋_GB2312"/>
          <w:color w:val="auto"/>
          <w:szCs w:val="21"/>
          <w:highlight w:val="none"/>
        </w:rPr>
        <w:t>应提供有关补偿安置政策依据；</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2.</w:t>
      </w:r>
      <w:r>
        <w:rPr>
          <w:rFonts w:hint="eastAsia" w:ascii="宋体" w:hAnsi="宋体" w:cs="仿宋_GB2312"/>
          <w:color w:val="auto"/>
          <w:szCs w:val="21"/>
          <w:highlight w:val="none"/>
        </w:rPr>
        <w:t>应办理征地房屋补偿和房屋征收等有关报批手续；</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3.</w:t>
      </w:r>
      <w:r>
        <w:rPr>
          <w:rFonts w:hint="eastAsia" w:ascii="宋体" w:hAnsi="宋体" w:cs="仿宋_GB2312"/>
          <w:color w:val="auto"/>
          <w:szCs w:val="21"/>
          <w:highlight w:val="none"/>
        </w:rPr>
        <w:t>应协调处理好与有关部门的关系，确保房屋征收（征地房屋补偿）工作顺利进行；</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4.</w:t>
      </w:r>
      <w:r>
        <w:rPr>
          <w:rFonts w:hint="eastAsia" w:ascii="宋体" w:hAnsi="宋体" w:cs="仿宋_GB2312"/>
          <w:color w:val="auto"/>
          <w:szCs w:val="21"/>
          <w:highlight w:val="none"/>
        </w:rPr>
        <w:t>应及时做好未经登记建筑的认定及手续查证工作；</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5.</w:t>
      </w:r>
      <w:r>
        <w:rPr>
          <w:rFonts w:hint="eastAsia" w:ascii="宋体" w:hAnsi="宋体" w:cs="仿宋_GB2312"/>
          <w:color w:val="auto"/>
          <w:szCs w:val="21"/>
          <w:highlight w:val="none"/>
        </w:rPr>
        <w:t>应及时做好协议的鉴证、各项数据的审定及抽检工作；</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6.</w:t>
      </w:r>
      <w:r>
        <w:rPr>
          <w:rFonts w:hint="eastAsia" w:ascii="宋体" w:hAnsi="宋体" w:cs="仿宋_GB2312"/>
          <w:color w:val="auto"/>
          <w:szCs w:val="21"/>
          <w:highlight w:val="none"/>
        </w:rPr>
        <w:t>应派工作人员与乙方加强联系，并及时解决工作中的问题，促使房屋征收（征地房屋补偿）工作顺利进行；</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7.</w:t>
      </w:r>
      <w:r>
        <w:rPr>
          <w:rFonts w:hint="eastAsia" w:ascii="宋体" w:hAnsi="宋体" w:cs="仿宋_GB2312"/>
          <w:color w:val="auto"/>
          <w:szCs w:val="21"/>
          <w:highlight w:val="none"/>
        </w:rPr>
        <w:t>甲方为乙方无偿提供办公场所、认购安置会场等力所能及的支持；</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8.</w:t>
      </w:r>
      <w:r>
        <w:rPr>
          <w:rFonts w:hint="eastAsia" w:ascii="宋体" w:hAnsi="宋体" w:cs="仿宋_GB2312"/>
          <w:color w:val="auto"/>
          <w:szCs w:val="21"/>
          <w:highlight w:val="none"/>
        </w:rPr>
        <w:t>甲方应按时支付劳务服务费，如甲方原因拖延支付劳务服务费造成乙方损失的，</w:t>
      </w:r>
      <w:bookmarkStart w:id="45" w:name="OLE_LINK4"/>
      <w:r>
        <w:rPr>
          <w:rFonts w:hint="eastAsia" w:ascii="宋体" w:hAnsi="宋体" w:cs="仿宋_GB2312"/>
          <w:color w:val="auto"/>
          <w:szCs w:val="21"/>
          <w:highlight w:val="none"/>
        </w:rPr>
        <w:t>乙方有权</w:t>
      </w:r>
      <w:bookmarkEnd w:id="45"/>
      <w:r>
        <w:rPr>
          <w:rFonts w:hint="eastAsia" w:ascii="宋体" w:hAnsi="宋体" w:cs="仿宋_GB2312"/>
          <w:color w:val="auto"/>
          <w:szCs w:val="21"/>
          <w:highlight w:val="none"/>
        </w:rPr>
        <w:t>提出赔偿，经乙方书面催告后仍拖延支付的，乙方有权终止本合同；</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9.</w:t>
      </w:r>
      <w:r>
        <w:rPr>
          <w:rFonts w:hint="eastAsia" w:ascii="宋体" w:hAnsi="宋体" w:cs="仿宋_GB2312"/>
          <w:color w:val="auto"/>
          <w:szCs w:val="21"/>
          <w:highlight w:val="none"/>
        </w:rPr>
        <w:t>甲方及区房屋征收部门有权对乙方的从业人员在岗在位率、现场组织管理情况、服务态度、工作质量等情况进行抽查；</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10.</w:t>
      </w:r>
      <w:r>
        <w:rPr>
          <w:rFonts w:hint="eastAsia" w:ascii="宋体" w:hAnsi="宋体" w:cs="仿宋_GB2312"/>
          <w:color w:val="auto"/>
          <w:szCs w:val="21"/>
          <w:highlight w:val="none"/>
        </w:rPr>
        <w:t>乙方从业人员不能胜任岗位工作或不服从甲方现场指挥与管理的，甲方可以要求更换从业人员。</w:t>
      </w:r>
    </w:p>
    <w:p>
      <w:pPr>
        <w:snapToGrid w:val="0"/>
        <w:spacing w:line="360" w:lineRule="auto"/>
        <w:ind w:firstLine="411" w:firstLineChars="196"/>
        <w:rPr>
          <w:rFonts w:ascii="宋体" w:cs="仿宋_GB2312"/>
          <w:color w:val="auto"/>
          <w:szCs w:val="21"/>
          <w:highlight w:val="none"/>
        </w:rPr>
      </w:pPr>
      <w:r>
        <w:rPr>
          <w:rFonts w:hint="eastAsia" w:ascii="宋体" w:hAnsi="宋体" w:cs="仿宋_GB2312"/>
          <w:color w:val="auto"/>
          <w:szCs w:val="21"/>
          <w:highlight w:val="none"/>
        </w:rPr>
        <w:t>（二）乙方的权利义务：</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1.</w:t>
      </w:r>
      <w:r>
        <w:rPr>
          <w:rFonts w:hint="eastAsia" w:ascii="宋体" w:hAnsi="宋体" w:cs="仿宋_GB2312"/>
          <w:color w:val="auto"/>
          <w:szCs w:val="21"/>
          <w:highlight w:val="none"/>
        </w:rPr>
        <w:t>在本合同履行期间，乙方应当严格遵守有关法律法规，配备素质过硬的从业人员和管理人员，严明纪律、严格管理，做到规范化操作，不得以任何方式损害国家利益或房屋所有权人的利益；</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2.</w:t>
      </w:r>
      <w:r>
        <w:rPr>
          <w:rFonts w:hint="eastAsia" w:ascii="宋体" w:hAnsi="宋体" w:cs="仿宋_GB2312"/>
          <w:color w:val="auto"/>
          <w:szCs w:val="21"/>
          <w:highlight w:val="none"/>
        </w:rPr>
        <w:t>乙方现场负责人必须固定，如需变动，需提前向甲方提出申请，经甲方书面同意后方可变更；</w:t>
      </w:r>
    </w:p>
    <w:p>
      <w:pPr>
        <w:snapToGrid w:val="0"/>
        <w:spacing w:line="360" w:lineRule="auto"/>
        <w:ind w:firstLine="420" w:firstLineChars="200"/>
        <w:rPr>
          <w:rFonts w:ascii="宋体" w:cs="仿宋_GB2312"/>
          <w:color w:val="auto"/>
          <w:szCs w:val="21"/>
          <w:highlight w:val="none"/>
        </w:rPr>
      </w:pPr>
      <w:r>
        <w:rPr>
          <w:rFonts w:ascii="宋体" w:hAnsi="宋体" w:cs="仿宋_GB2312"/>
          <w:color w:val="auto"/>
          <w:szCs w:val="21"/>
          <w:highlight w:val="none"/>
        </w:rPr>
        <w:t>3.</w:t>
      </w:r>
      <w:r>
        <w:rPr>
          <w:rFonts w:hint="eastAsia" w:ascii="宋体" w:hAnsi="宋体" w:cs="仿宋_GB2312"/>
          <w:color w:val="auto"/>
          <w:szCs w:val="21"/>
          <w:highlight w:val="none"/>
        </w:rPr>
        <w:t>乙方应按甲方工作计划安排，落实工作人员，保证甲方相关工作顺利开展；</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4</w:t>
      </w:r>
      <w:r>
        <w:rPr>
          <w:rFonts w:ascii="宋体" w:hAnsi="宋体" w:cs="仿宋_GB2312"/>
          <w:color w:val="auto"/>
          <w:szCs w:val="21"/>
          <w:highlight w:val="none"/>
        </w:rPr>
        <w:t>.</w:t>
      </w:r>
      <w:r>
        <w:rPr>
          <w:rFonts w:hint="eastAsia" w:ascii="宋体" w:hAnsi="宋体" w:cs="仿宋_GB2312"/>
          <w:color w:val="auto"/>
          <w:szCs w:val="21"/>
          <w:highlight w:val="none"/>
        </w:rPr>
        <w:t>在本合同履行期间，如遇少量疑难户确属无法化解的，乙方可与甲方协商提前终止合同。经甲方同意的，双方可对已履行完毕的内容结算劳务费用；</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5</w:t>
      </w:r>
      <w:r>
        <w:rPr>
          <w:rFonts w:ascii="宋体" w:hAnsi="宋体" w:cs="仿宋_GB2312"/>
          <w:color w:val="auto"/>
          <w:szCs w:val="21"/>
          <w:highlight w:val="none"/>
        </w:rPr>
        <w:t>.</w:t>
      </w:r>
      <w:r>
        <w:rPr>
          <w:rFonts w:hint="eastAsia" w:ascii="宋体" w:hAnsi="宋体" w:cs="仿宋_GB2312"/>
          <w:color w:val="auto"/>
          <w:szCs w:val="21"/>
          <w:highlight w:val="none"/>
        </w:rPr>
        <w:t>乙方应当自</w:t>
      </w:r>
      <w:r>
        <w:rPr>
          <w:rFonts w:ascii="宋体" w:hAnsi="宋体" w:cs="仿宋_GB2312"/>
          <w:color w:val="auto"/>
          <w:szCs w:val="21"/>
          <w:highlight w:val="none"/>
          <w:u w:val="single"/>
        </w:rPr>
        <w:t xml:space="preserve"> </w:t>
      </w:r>
      <w:r>
        <w:rPr>
          <w:rFonts w:hint="eastAsia" w:ascii="宋体" w:hAnsi="宋体" w:cs="仿宋_GB2312"/>
          <w:b/>
          <w:bCs/>
          <w:color w:val="auto"/>
          <w:szCs w:val="21"/>
          <w:highlight w:val="none"/>
          <w:u w:val="single"/>
        </w:rPr>
        <w:t>本合同签订之日起</w:t>
      </w:r>
      <w:r>
        <w:rPr>
          <w:rFonts w:ascii="宋体" w:hAnsi="宋体" w:cs="仿宋_GB2312"/>
          <w:b/>
          <w:bCs/>
          <w:color w:val="auto"/>
          <w:szCs w:val="21"/>
          <w:highlight w:val="none"/>
          <w:u w:val="single"/>
        </w:rPr>
        <w:t>10</w:t>
      </w:r>
      <w:r>
        <w:rPr>
          <w:rFonts w:hint="eastAsia" w:ascii="宋体" w:hAnsi="宋体" w:cs="仿宋_GB2312"/>
          <w:b/>
          <w:bCs/>
          <w:color w:val="auto"/>
          <w:szCs w:val="21"/>
          <w:highlight w:val="none"/>
          <w:u w:val="single"/>
        </w:rPr>
        <w:t>日内</w:t>
      </w:r>
      <w:r>
        <w:rPr>
          <w:rFonts w:ascii="宋体" w:hAnsi="宋体" w:cs="仿宋_GB2312"/>
          <w:b/>
          <w:bCs/>
          <w:color w:val="auto"/>
          <w:szCs w:val="21"/>
          <w:highlight w:val="none"/>
          <w:u w:val="single"/>
        </w:rPr>
        <w:t xml:space="preserve"> </w:t>
      </w:r>
      <w:r>
        <w:rPr>
          <w:rFonts w:hint="eastAsia" w:ascii="宋体" w:hAnsi="宋体" w:cs="仿宋_GB2312"/>
          <w:color w:val="auto"/>
          <w:szCs w:val="21"/>
          <w:highlight w:val="none"/>
        </w:rPr>
        <w:t>将本合同副本报海曙区房屋征收部门备案。</w:t>
      </w:r>
    </w:p>
    <w:p>
      <w:pPr>
        <w:snapToGrid w:val="0"/>
        <w:spacing w:line="360" w:lineRule="auto"/>
        <w:ind w:firstLine="422" w:firstLineChars="200"/>
        <w:rPr>
          <w:rFonts w:ascii="宋体" w:cs="仿宋_GB2312"/>
          <w:b/>
          <w:color w:val="auto"/>
          <w:szCs w:val="21"/>
          <w:highlight w:val="none"/>
        </w:rPr>
      </w:pPr>
      <w:r>
        <w:rPr>
          <w:rFonts w:hint="eastAsia" w:ascii="宋体" w:hAnsi="宋体" w:cs="仿宋_GB2312"/>
          <w:b/>
          <w:color w:val="auto"/>
          <w:szCs w:val="21"/>
          <w:highlight w:val="none"/>
        </w:rPr>
        <w:t>第八条</w:t>
      </w:r>
      <w:r>
        <w:rPr>
          <w:rFonts w:ascii="宋体" w:hAnsi="宋体" w:cs="仿宋_GB2312"/>
          <w:b/>
          <w:color w:val="auto"/>
          <w:szCs w:val="21"/>
          <w:highlight w:val="none"/>
        </w:rPr>
        <w:t xml:space="preserve">  </w:t>
      </w:r>
      <w:r>
        <w:rPr>
          <w:rFonts w:hint="eastAsia" w:ascii="宋体" w:hAnsi="宋体" w:cs="仿宋_GB2312"/>
          <w:b/>
          <w:color w:val="auto"/>
          <w:szCs w:val="21"/>
          <w:highlight w:val="none"/>
        </w:rPr>
        <w:t>违约责任</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（一）房屋调查、协议签订及安置结算等完成合格率须达</w:t>
      </w:r>
      <w:r>
        <w:rPr>
          <w:rFonts w:ascii="宋体" w:hAnsi="宋体" w:cs="仿宋_GB2312"/>
          <w:color w:val="auto"/>
          <w:szCs w:val="21"/>
          <w:highlight w:val="none"/>
        </w:rPr>
        <w:t>95%</w:t>
      </w:r>
      <w:r>
        <w:rPr>
          <w:rFonts w:hint="eastAsia" w:ascii="宋体" w:hAnsi="宋体" w:cs="仿宋_GB2312"/>
          <w:color w:val="auto"/>
          <w:szCs w:val="21"/>
          <w:highlight w:val="none"/>
        </w:rPr>
        <w:t>。经甲方第一次检查完成合格率未达标的，乙方应立即纠正。如经甲方再次检查后仍未达标的，甲方有权单方解除合同，并不再支付乙方任何</w:t>
      </w:r>
      <w:bookmarkStart w:id="46" w:name="OLE_LINK16"/>
      <w:r>
        <w:rPr>
          <w:rFonts w:hint="eastAsia" w:ascii="宋体" w:hAnsi="宋体" w:cs="仿宋_GB2312"/>
          <w:color w:val="auto"/>
          <w:szCs w:val="21"/>
          <w:highlight w:val="none"/>
        </w:rPr>
        <w:t>劳务服务</w:t>
      </w:r>
      <w:bookmarkEnd w:id="46"/>
      <w:r>
        <w:rPr>
          <w:rFonts w:hint="eastAsia" w:ascii="宋体" w:hAnsi="宋体" w:cs="仿宋_GB2312"/>
          <w:color w:val="auto"/>
          <w:szCs w:val="21"/>
          <w:highlight w:val="none"/>
        </w:rPr>
        <w:t>费，所造成的损失由乙方自行承担。</w:t>
      </w:r>
    </w:p>
    <w:p>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（二）如乙方无故终止合同，或者因乙方原因合同被解除的，乙方无权要求甲方支付劳务服务费，且应赔偿甲方全部经济损失，甲方并有权没收履约保证金。</w:t>
      </w:r>
    </w:p>
    <w:p>
      <w:pPr>
        <w:pStyle w:val="16"/>
        <w:snapToGrid w:val="0"/>
        <w:spacing w:line="360" w:lineRule="auto"/>
        <w:ind w:firstLine="400" w:firstLineChars="200"/>
        <w:rPr>
          <w:color w:val="auto"/>
          <w:highlight w:val="none"/>
        </w:rPr>
      </w:pPr>
      <w:r>
        <w:rPr>
          <w:rFonts w:hint="eastAsia"/>
          <w:color w:val="auto"/>
          <w:highlight w:val="none"/>
        </w:rPr>
        <w:t>（三）</w:t>
      </w:r>
      <w:r>
        <w:rPr>
          <w:rFonts w:hint="eastAsia" w:ascii="宋体" w:hAnsi="宋体" w:eastAsia="宋体" w:cs="仿宋_GB2312"/>
          <w:color w:val="auto"/>
          <w:kern w:val="2"/>
          <w:sz w:val="21"/>
          <w:szCs w:val="21"/>
          <w:highlight w:val="none"/>
          <w:lang w:val="en-US" w:eastAsia="zh-CN" w:bidi="ar-SA"/>
        </w:rPr>
        <w:t>乙方违约时甲方有权单方解除合同，且乙方应向甲方支付合同金额30%的违约金（履约保证金可折抵违约金），承担甲方实现债权的费用包括但不限于律师费、鉴定费、诉讼费、评估费、保全费等。</w:t>
      </w:r>
    </w:p>
    <w:p>
      <w:pPr>
        <w:snapToGrid w:val="0"/>
        <w:spacing w:line="360" w:lineRule="auto"/>
        <w:ind w:firstLine="422" w:firstLineChars="200"/>
        <w:rPr>
          <w:rFonts w:ascii="宋体" w:cs="仿宋_GB2312"/>
          <w:b/>
          <w:color w:val="auto"/>
          <w:szCs w:val="21"/>
          <w:highlight w:val="none"/>
        </w:rPr>
      </w:pPr>
      <w:r>
        <w:rPr>
          <w:rFonts w:hint="eastAsia" w:ascii="宋体" w:hAnsi="宋体" w:cs="仿宋_GB2312"/>
          <w:b/>
          <w:color w:val="auto"/>
          <w:szCs w:val="21"/>
          <w:highlight w:val="none"/>
        </w:rPr>
        <w:t>第九条</w:t>
      </w:r>
      <w:r>
        <w:rPr>
          <w:rFonts w:ascii="宋体" w:hAnsi="宋体" w:cs="仿宋_GB2312"/>
          <w:b/>
          <w:color w:val="auto"/>
          <w:szCs w:val="21"/>
          <w:highlight w:val="none"/>
        </w:rPr>
        <w:t xml:space="preserve">  </w:t>
      </w:r>
      <w:r>
        <w:rPr>
          <w:rFonts w:hint="eastAsia" w:ascii="宋体" w:hAnsi="宋体" w:cs="仿宋_GB2312"/>
          <w:b/>
          <w:color w:val="auto"/>
          <w:szCs w:val="21"/>
          <w:highlight w:val="none"/>
        </w:rPr>
        <w:t>其他约定</w:t>
      </w:r>
    </w:p>
    <w:p>
      <w:pPr>
        <w:snapToGrid w:val="0"/>
        <w:spacing w:line="360" w:lineRule="auto"/>
        <w:ind w:firstLine="420" w:firstLineChars="200"/>
        <w:rPr>
          <w:rFonts w:ascii="宋体" w:hAnsi="宋体" w:cs="仿宋_GB2312"/>
          <w:color w:val="auto"/>
          <w:szCs w:val="21"/>
          <w:highlight w:val="none"/>
          <w:u w:val="single"/>
        </w:rPr>
      </w:pP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w:t>
      </w:r>
      <w:r>
        <w:rPr>
          <w:rFonts w:ascii="宋体" w:hAnsi="宋体" w:cs="仿宋_GB2312"/>
          <w:color w:val="auto"/>
          <w:szCs w:val="21"/>
          <w:highlight w:val="none"/>
        </w:rPr>
        <w:t xml:space="preserve"> </w:t>
      </w:r>
      <w:r>
        <w:rPr>
          <w:rFonts w:ascii="宋体" w:hAnsi="宋体" w:cs="仿宋_GB2312"/>
          <w:color w:val="auto"/>
          <w:szCs w:val="21"/>
          <w:highlight w:val="none"/>
          <w:u w:val="none"/>
        </w:rPr>
        <w:t xml:space="preserve">                                                       </w:t>
      </w:r>
      <w:r>
        <w:rPr>
          <w:rFonts w:ascii="宋体" w:hAnsi="宋体" w:cs="仿宋_GB2312"/>
          <w:color w:val="auto"/>
          <w:szCs w:val="21"/>
          <w:highlight w:val="none"/>
          <w:u w:val="single"/>
        </w:rPr>
        <w:t xml:space="preserve">                                                                                                  </w:t>
      </w:r>
    </w:p>
    <w:p>
      <w:pPr>
        <w:snapToGrid w:val="0"/>
        <w:spacing w:line="360" w:lineRule="auto"/>
        <w:rPr>
          <w:rFonts w:ascii="宋体" w:cs="仿宋_GB2312"/>
          <w:b/>
          <w:bCs/>
          <w:color w:val="auto"/>
          <w:szCs w:val="21"/>
          <w:highlight w:val="none"/>
        </w:rPr>
      </w:pP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第十条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不可抗力</w:t>
      </w:r>
    </w:p>
    <w:p>
      <w:pPr>
        <w:snapToGrid w:val="0"/>
        <w:spacing w:line="360" w:lineRule="auto"/>
        <w:ind w:firstLine="420" w:firstLineChars="200"/>
        <w:rPr>
          <w:rFonts w:ascii="宋体" w:cs="仿宋_GB2312"/>
          <w:color w:val="auto"/>
          <w:szCs w:val="21"/>
          <w:highlight w:val="none"/>
        </w:rPr>
      </w:pPr>
      <w:r>
        <w:rPr>
          <w:rFonts w:hint="eastAsia" w:ascii="宋体" w:hAnsi="宋体" w:cs="仿宋_GB2312"/>
          <w:color w:val="auto"/>
          <w:szCs w:val="21"/>
          <w:highlight w:val="none"/>
        </w:rPr>
        <w:t>由于国家政策因素和不可抗力造成本项目不能实施或继续实施有困难的，甲、乙双方可协商解除合同，不作违约论处。</w:t>
      </w:r>
    </w:p>
    <w:p>
      <w:pPr>
        <w:snapToGrid w:val="0"/>
        <w:spacing w:line="360" w:lineRule="auto"/>
        <w:ind w:firstLine="422" w:firstLineChars="200"/>
        <w:rPr>
          <w:rFonts w:ascii="宋体" w:cs="仿宋_GB2312"/>
          <w:color w:val="auto"/>
          <w:szCs w:val="21"/>
          <w:highlight w:val="none"/>
          <w:shd w:val="clear" w:color="auto" w:fill="FFFFFF"/>
        </w:rPr>
      </w:pPr>
      <w:r>
        <w:rPr>
          <w:rFonts w:hint="eastAsia" w:ascii="宋体" w:hAnsi="宋体" w:cs="仿宋_GB2312"/>
          <w:b/>
          <w:bCs/>
          <w:color w:val="auto"/>
          <w:szCs w:val="21"/>
          <w:highlight w:val="none"/>
        </w:rPr>
        <w:t>第十一条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争议的解决</w:t>
      </w:r>
    </w:p>
    <w:p>
      <w:pPr>
        <w:snapToGrid w:val="0"/>
        <w:spacing w:line="360" w:lineRule="auto"/>
        <w:ind w:firstLine="315" w:firstLineChars="150"/>
        <w:rPr>
          <w:rFonts w:ascii="宋体" w:cs="仿宋_GB2312"/>
          <w:color w:val="auto"/>
          <w:szCs w:val="21"/>
          <w:highlight w:val="none"/>
        </w:rPr>
      </w:pPr>
      <w:r>
        <w:rPr>
          <w:rFonts w:ascii="宋体" w:hAnsi="宋体" w:cs="仿宋_GB2312"/>
          <w:color w:val="auto"/>
          <w:szCs w:val="21"/>
          <w:highlight w:val="none"/>
        </w:rPr>
        <w:t xml:space="preserve"> </w:t>
      </w:r>
      <w:r>
        <w:rPr>
          <w:rFonts w:hint="eastAsia" w:ascii="宋体" w:hAnsi="宋体" w:cs="仿宋_GB2312"/>
          <w:color w:val="auto"/>
          <w:szCs w:val="21"/>
          <w:highlight w:val="none"/>
        </w:rPr>
        <w:t>甲、乙双方在本合同履行过程中发生争议，由双方当事人协商解决；协商不成，通过向甲方所在地人民法院提起诉讼解决。</w:t>
      </w:r>
    </w:p>
    <w:p>
      <w:pPr>
        <w:snapToGrid w:val="0"/>
        <w:spacing w:line="360" w:lineRule="auto"/>
        <w:rPr>
          <w:rFonts w:ascii="宋体" w:cs="仿宋_GB2312"/>
          <w:color w:val="auto"/>
          <w:szCs w:val="21"/>
          <w:highlight w:val="none"/>
        </w:rPr>
      </w:pPr>
      <w:r>
        <w:rPr>
          <w:rFonts w:ascii="宋体" w:hAnsi="宋体" w:cs="仿宋_GB2312"/>
          <w:color w:val="auto"/>
          <w:szCs w:val="21"/>
          <w:highlight w:val="none"/>
        </w:rPr>
        <w:t xml:space="preserve">    </w:t>
      </w:r>
      <w:r>
        <w:rPr>
          <w:rFonts w:hint="eastAsia" w:ascii="宋体" w:hAnsi="宋体" w:cs="仿宋_GB2312"/>
          <w:b/>
          <w:bCs/>
          <w:color w:val="auto"/>
          <w:szCs w:val="21"/>
          <w:highlight w:val="none"/>
        </w:rPr>
        <w:t>第十二条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其他</w:t>
      </w:r>
    </w:p>
    <w:p>
      <w:pPr>
        <w:snapToGrid w:val="0"/>
        <w:spacing w:line="360" w:lineRule="auto"/>
        <w:ind w:firstLine="315" w:firstLineChars="150"/>
        <w:rPr>
          <w:rFonts w:ascii="宋体" w:cs="仿宋_GB2312"/>
          <w:color w:val="auto"/>
          <w:szCs w:val="21"/>
          <w:highlight w:val="none"/>
        </w:rPr>
      </w:pPr>
      <w:r>
        <w:rPr>
          <w:rFonts w:ascii="宋体" w:hAnsi="宋体" w:cs="仿宋_GB2312"/>
          <w:color w:val="auto"/>
          <w:szCs w:val="21"/>
          <w:highlight w:val="none"/>
        </w:rPr>
        <w:t xml:space="preserve"> </w:t>
      </w:r>
      <w:r>
        <w:rPr>
          <w:rFonts w:hint="eastAsia" w:ascii="宋体" w:hAnsi="宋体" w:cs="仿宋_GB2312"/>
          <w:color w:val="auto"/>
          <w:szCs w:val="21"/>
          <w:highlight w:val="none"/>
        </w:rPr>
        <w:t>（一）本合同未尽事宜，由甲、乙双方协商一致后另行签订补充合同，补充合同作为本合同的不可分割部分具有同等法律效力。</w:t>
      </w:r>
    </w:p>
    <w:p>
      <w:pPr>
        <w:snapToGrid w:val="0"/>
        <w:spacing w:line="360" w:lineRule="auto"/>
        <w:ind w:firstLine="308" w:firstLineChars="147"/>
        <w:rPr>
          <w:rFonts w:ascii="宋体" w:cs="仿宋_GB2312"/>
          <w:color w:val="auto"/>
          <w:szCs w:val="21"/>
          <w:highlight w:val="none"/>
        </w:rPr>
      </w:pPr>
      <w:r>
        <w:rPr>
          <w:rFonts w:ascii="宋体" w:hAnsi="宋体" w:cs="仿宋_GB2312"/>
          <w:color w:val="auto"/>
          <w:szCs w:val="21"/>
          <w:highlight w:val="none"/>
        </w:rPr>
        <w:t xml:space="preserve"> </w:t>
      </w:r>
      <w:r>
        <w:rPr>
          <w:rFonts w:hint="eastAsia" w:ascii="宋体" w:hAnsi="宋体" w:cs="仿宋_GB2312"/>
          <w:color w:val="auto"/>
          <w:szCs w:val="21"/>
          <w:highlight w:val="none"/>
        </w:rPr>
        <w:t>（二）本合同自甲、乙双方签章后生效。一式</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份，正本</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贰</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份，副本</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份。甲方持正本</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壹</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份，副本</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份；乙方持正本</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壹</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份，副本</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份；区房屋征收部门副本备案</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壹</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rPr>
        <w:t>份。正、副本具有同等法律效力，遇争议时以正本为准。</w:t>
      </w:r>
    </w:p>
    <w:p>
      <w:pPr>
        <w:snapToGrid w:val="0"/>
        <w:spacing w:line="360" w:lineRule="auto"/>
        <w:rPr>
          <w:rFonts w:ascii="宋体" w:cs="仿宋_GB2312"/>
          <w:color w:val="auto"/>
          <w:szCs w:val="21"/>
          <w:highlight w:val="none"/>
        </w:rPr>
      </w:pPr>
    </w:p>
    <w:p>
      <w:pPr>
        <w:snapToGrid w:val="0"/>
        <w:spacing w:line="360" w:lineRule="auto"/>
        <w:ind w:firstLine="315" w:firstLineChars="150"/>
        <w:rPr>
          <w:rFonts w:ascii="宋体" w:cs="仿宋_GB2312"/>
          <w:color w:val="auto"/>
          <w:szCs w:val="21"/>
          <w:highlight w:val="none"/>
        </w:rPr>
      </w:pPr>
      <w:r>
        <w:rPr>
          <w:rFonts w:hint="eastAsia" w:ascii="宋体" w:hAnsi="宋体" w:cs="仿宋_GB2312"/>
          <w:color w:val="auto"/>
          <w:szCs w:val="21"/>
          <w:highlight w:val="none"/>
        </w:rPr>
        <w:t>甲方（盖章）：</w:t>
      </w:r>
      <w:r>
        <w:rPr>
          <w:rFonts w:ascii="宋体" w:hAnsi="宋体" w:cs="仿宋_GB2312"/>
          <w:color w:val="auto"/>
          <w:szCs w:val="21"/>
          <w:highlight w:val="none"/>
        </w:rPr>
        <w:t xml:space="preserve">                         </w:t>
      </w:r>
      <w:r>
        <w:rPr>
          <w:rFonts w:hint="eastAsia" w:ascii="宋体" w:hAnsi="宋体" w:cs="仿宋_GB2312"/>
          <w:color w:val="auto"/>
          <w:szCs w:val="21"/>
          <w:highlight w:val="none"/>
        </w:rPr>
        <w:t>乙方（盖章）：</w:t>
      </w:r>
    </w:p>
    <w:p>
      <w:pPr>
        <w:snapToGrid w:val="0"/>
        <w:spacing w:line="360" w:lineRule="auto"/>
        <w:ind w:firstLine="315" w:firstLineChars="150"/>
        <w:rPr>
          <w:rFonts w:ascii="宋体" w:cs="仿宋_GB2312"/>
          <w:color w:val="auto"/>
          <w:szCs w:val="21"/>
          <w:highlight w:val="none"/>
        </w:rPr>
      </w:pPr>
    </w:p>
    <w:p>
      <w:pPr>
        <w:snapToGrid w:val="0"/>
        <w:spacing w:line="360" w:lineRule="auto"/>
        <w:ind w:firstLine="315" w:firstLineChars="150"/>
        <w:rPr>
          <w:rFonts w:ascii="宋体" w:cs="仿宋_GB2312"/>
          <w:color w:val="auto"/>
          <w:szCs w:val="21"/>
          <w:highlight w:val="none"/>
        </w:rPr>
      </w:pPr>
      <w:r>
        <w:rPr>
          <w:rFonts w:hint="eastAsia" w:ascii="宋体" w:hAnsi="宋体" w:cs="仿宋_GB2312"/>
          <w:color w:val="auto"/>
          <w:szCs w:val="21"/>
          <w:highlight w:val="none"/>
        </w:rPr>
        <w:t>法定代表人（签字）：</w:t>
      </w:r>
      <w:r>
        <w:rPr>
          <w:rFonts w:ascii="宋体" w:hAnsi="宋体" w:cs="仿宋_GB2312"/>
          <w:color w:val="auto"/>
          <w:szCs w:val="21"/>
          <w:highlight w:val="none"/>
        </w:rPr>
        <w:t xml:space="preserve">                   </w:t>
      </w:r>
      <w:r>
        <w:rPr>
          <w:rFonts w:hint="eastAsia" w:ascii="宋体" w:hAnsi="宋体" w:cs="仿宋_GB2312"/>
          <w:color w:val="auto"/>
          <w:szCs w:val="21"/>
          <w:highlight w:val="none"/>
        </w:rPr>
        <w:t>法定代表人（签字）：</w:t>
      </w:r>
      <w:r>
        <w:rPr>
          <w:rFonts w:ascii="宋体" w:hAnsi="宋体" w:cs="仿宋_GB2312"/>
          <w:color w:val="auto"/>
          <w:szCs w:val="21"/>
          <w:highlight w:val="none"/>
        </w:rPr>
        <w:t xml:space="preserve">  </w:t>
      </w:r>
    </w:p>
    <w:p>
      <w:pPr>
        <w:snapToGrid w:val="0"/>
        <w:spacing w:line="360" w:lineRule="auto"/>
        <w:ind w:firstLine="315" w:firstLineChars="150"/>
        <w:rPr>
          <w:rFonts w:ascii="宋体" w:cs="仿宋_GB2312"/>
          <w:color w:val="auto"/>
          <w:szCs w:val="21"/>
          <w:highlight w:val="none"/>
        </w:rPr>
      </w:pPr>
    </w:p>
    <w:p>
      <w:pPr>
        <w:snapToGrid w:val="0"/>
        <w:spacing w:line="360" w:lineRule="auto"/>
        <w:ind w:firstLine="315" w:firstLineChars="150"/>
        <w:rPr>
          <w:rFonts w:ascii="宋体" w:cs="仿宋_GB2312"/>
          <w:color w:val="auto"/>
          <w:szCs w:val="21"/>
          <w:highlight w:val="none"/>
        </w:rPr>
      </w:pPr>
      <w:r>
        <w:rPr>
          <w:rFonts w:hint="eastAsia" w:ascii="宋体" w:hAnsi="宋体" w:cs="仿宋_GB2312"/>
          <w:color w:val="auto"/>
          <w:szCs w:val="21"/>
          <w:highlight w:val="none"/>
        </w:rPr>
        <w:t>委托代理人：</w:t>
      </w:r>
      <w:r>
        <w:rPr>
          <w:rFonts w:ascii="宋体" w:hAnsi="宋体" w:cs="仿宋_GB2312"/>
          <w:color w:val="auto"/>
          <w:szCs w:val="21"/>
          <w:highlight w:val="none"/>
        </w:rPr>
        <w:t xml:space="preserve">                      </w:t>
      </w: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ascii="宋体" w:hAnsi="宋体" w:cs="仿宋_GB2312"/>
          <w:color w:val="auto"/>
          <w:szCs w:val="21"/>
          <w:highlight w:val="none"/>
        </w:rPr>
        <w:t>委托代理人：</w:t>
      </w:r>
    </w:p>
    <w:p>
      <w:pPr>
        <w:snapToGrid w:val="0"/>
        <w:spacing w:line="360" w:lineRule="auto"/>
        <w:ind w:firstLine="315" w:firstLineChars="150"/>
        <w:rPr>
          <w:rFonts w:ascii="宋体" w:cs="仿宋_GB2312"/>
          <w:color w:val="auto"/>
          <w:szCs w:val="21"/>
          <w:highlight w:val="none"/>
        </w:rPr>
      </w:pPr>
    </w:p>
    <w:p>
      <w:pPr>
        <w:spacing w:line="500" w:lineRule="exact"/>
        <w:ind w:firstLine="210" w:firstLineChars="100"/>
        <w:rPr>
          <w:rFonts w:hint="eastAsia" w:ascii="宋体" w:hAnsi="宋体"/>
          <w:color w:val="auto"/>
          <w:szCs w:val="21"/>
          <w:highlight w:val="none"/>
        </w:rPr>
      </w:pPr>
      <w:r>
        <w:rPr>
          <w:rFonts w:hint="eastAsia" w:ascii="宋体" w:hAnsi="宋体" w:cs="仿宋_GB2312"/>
          <w:color w:val="auto"/>
          <w:szCs w:val="21"/>
          <w:highlight w:val="none"/>
        </w:rPr>
        <w:t>联系电话：</w:t>
      </w:r>
      <w:r>
        <w:rPr>
          <w:rFonts w:ascii="宋体" w:hAnsi="宋体" w:cs="仿宋_GB2312"/>
          <w:color w:val="auto"/>
          <w:szCs w:val="21"/>
          <w:highlight w:val="none"/>
        </w:rPr>
        <w:t xml:space="preserve">                             </w:t>
      </w:r>
      <w:r>
        <w:rPr>
          <w:rFonts w:hint="eastAsia" w:ascii="宋体" w:hAnsi="宋体" w:cs="仿宋_GB2312"/>
          <w:color w:val="auto"/>
          <w:szCs w:val="21"/>
          <w:highlight w:val="none"/>
        </w:rPr>
        <w:t>联系电话：</w:t>
      </w:r>
      <w:r>
        <w:rPr>
          <w:rFonts w:ascii="宋体" w:hAnsi="宋体" w:cs="仿宋_GB2312"/>
          <w:color w:val="auto"/>
          <w:szCs w:val="21"/>
          <w:highlight w:val="none"/>
        </w:rPr>
        <w:t xml:space="preserve">    </w:t>
      </w:r>
    </w:p>
    <w:p>
      <w:pPr>
        <w:pStyle w:val="16"/>
        <w:rPr>
          <w:color w:val="auto"/>
          <w:highlight w:val="none"/>
        </w:rPr>
      </w:pPr>
    </w:p>
    <w:p>
      <w:pPr>
        <w:spacing w:line="400" w:lineRule="exact"/>
        <w:jc w:val="left"/>
        <w:outlineLvl w:val="0"/>
        <w:rPr>
          <w:rFonts w:ascii="宋体" w:hAnsi="宋体"/>
          <w:b/>
          <w:color w:val="auto"/>
          <w:szCs w:val="21"/>
          <w:highlight w:val="none"/>
        </w:rPr>
        <w:sectPr>
          <w:headerReference r:id="rId7" w:type="default"/>
          <w:pgSz w:w="11907" w:h="16840"/>
          <w:pgMar w:top="854" w:right="1607" w:bottom="1138" w:left="1418" w:header="284" w:footer="727" w:gutter="0"/>
          <w:cols w:space="720" w:num="1"/>
          <w:docGrid w:linePitch="285" w:charSpace="0"/>
        </w:sectPr>
      </w:pPr>
    </w:p>
    <w:p>
      <w:pPr>
        <w:spacing w:before="120" w:beforeLines="50" w:after="120" w:afterLines="50" w:line="400" w:lineRule="exact"/>
        <w:jc w:val="center"/>
        <w:outlineLvl w:val="0"/>
        <w:rPr>
          <w:rFonts w:ascii="宋体" w:hAnsi="宋体"/>
          <w:b/>
          <w:color w:val="auto"/>
          <w:sz w:val="32"/>
          <w:highlight w:val="none"/>
        </w:rPr>
      </w:pPr>
      <w:bookmarkStart w:id="47" w:name="_Toc90369652"/>
      <w:bookmarkStart w:id="48"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47"/>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一、概况</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海曙区高桥镇长乐未来社区项目房屋征收</w:t>
      </w:r>
      <w:r>
        <w:rPr>
          <w:rFonts w:hint="eastAsia" w:ascii="宋体" w:hAnsi="宋体"/>
          <w:b w:val="0"/>
          <w:bCs w:val="0"/>
          <w:color w:val="auto"/>
          <w:szCs w:val="21"/>
          <w:highlight w:val="none"/>
        </w:rPr>
        <w:t>工作涉及征收房屋总建筑面积约</w:t>
      </w:r>
      <w:r>
        <w:rPr>
          <w:rFonts w:hint="eastAsia" w:ascii="宋体" w:hAnsi="宋体"/>
          <w:b w:val="0"/>
          <w:bCs w:val="0"/>
          <w:color w:val="auto"/>
          <w:szCs w:val="21"/>
          <w:highlight w:val="none"/>
          <w:lang w:val="en-US" w:eastAsia="zh-CN"/>
        </w:rPr>
        <w:t>18.4</w:t>
      </w:r>
      <w:r>
        <w:rPr>
          <w:rFonts w:hint="eastAsia" w:ascii="宋体" w:hAnsi="宋体"/>
          <w:b w:val="0"/>
          <w:bCs w:val="0"/>
          <w:color w:val="auto"/>
          <w:szCs w:val="21"/>
          <w:highlight w:val="none"/>
        </w:rPr>
        <w:t>万平方米（含未经登记建筑），最终以实际测绘签约面积为准，征收总户数约</w:t>
      </w:r>
      <w:r>
        <w:rPr>
          <w:rFonts w:hint="eastAsia" w:ascii="宋体" w:hAnsi="宋体"/>
          <w:b w:val="0"/>
          <w:bCs w:val="0"/>
          <w:color w:val="auto"/>
          <w:szCs w:val="21"/>
          <w:highlight w:val="none"/>
          <w:lang w:val="en-US" w:eastAsia="zh-CN"/>
        </w:rPr>
        <w:t>42</w:t>
      </w:r>
      <w:r>
        <w:rPr>
          <w:rFonts w:hint="eastAsia" w:ascii="宋体" w:hAnsi="宋体"/>
          <w:b w:val="0"/>
          <w:bCs w:val="0"/>
          <w:color w:val="auto"/>
          <w:szCs w:val="21"/>
          <w:highlight w:val="none"/>
        </w:rPr>
        <w:t>户。</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1.项目名称：</w:t>
      </w:r>
      <w:r>
        <w:rPr>
          <w:rFonts w:hint="eastAsia" w:ascii="宋体" w:hAnsi="宋体"/>
          <w:b w:val="0"/>
          <w:bCs w:val="0"/>
          <w:color w:val="auto"/>
          <w:szCs w:val="21"/>
          <w:highlight w:val="none"/>
          <w:lang w:eastAsia="zh-CN"/>
        </w:rPr>
        <w:t>海曙区高桥镇长乐未来社区项目房屋征收第三方服务采购项目</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2.预算金额：</w:t>
      </w:r>
      <w:r>
        <w:rPr>
          <w:rFonts w:hint="eastAsia" w:ascii="宋体" w:hAnsi="宋体"/>
          <w:b w:val="0"/>
          <w:bCs w:val="0"/>
          <w:color w:val="auto"/>
          <w:szCs w:val="21"/>
          <w:highlight w:val="none"/>
          <w:lang w:val="en-US" w:eastAsia="zh-CN"/>
        </w:rPr>
        <w:t>370</w:t>
      </w:r>
      <w:r>
        <w:rPr>
          <w:rFonts w:hint="eastAsia" w:ascii="宋体" w:hAnsi="宋体"/>
          <w:b w:val="0"/>
          <w:bCs w:val="0"/>
          <w:color w:val="auto"/>
          <w:szCs w:val="21"/>
          <w:highlight w:val="none"/>
        </w:rPr>
        <w:t>0000元</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二、服务内容</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（一）前期确权确户</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1、对被征收人的房屋、土地、征收意愿、</w:t>
      </w:r>
      <w:r>
        <w:rPr>
          <w:rFonts w:hint="eastAsia" w:ascii="宋体" w:hAnsi="宋体"/>
          <w:b w:val="0"/>
          <w:bCs w:val="0"/>
          <w:color w:val="auto"/>
          <w:szCs w:val="21"/>
          <w:highlight w:val="none"/>
          <w:lang w:val="en-US" w:eastAsia="zh-CN"/>
        </w:rPr>
        <w:t>产权人或法定代表人</w:t>
      </w:r>
      <w:r>
        <w:rPr>
          <w:rFonts w:hint="eastAsia" w:ascii="宋体" w:hAnsi="宋体"/>
          <w:b w:val="0"/>
          <w:bCs w:val="0"/>
          <w:color w:val="auto"/>
          <w:szCs w:val="21"/>
          <w:highlight w:val="none"/>
        </w:rPr>
        <w:t>的身份居住</w:t>
      </w:r>
      <w:r>
        <w:rPr>
          <w:rFonts w:hint="eastAsia" w:ascii="宋体" w:hAnsi="宋体"/>
          <w:b w:val="0"/>
          <w:bCs w:val="0"/>
          <w:color w:val="auto"/>
          <w:szCs w:val="21"/>
          <w:highlight w:val="none"/>
          <w:lang w:val="en-US" w:eastAsia="zh-CN"/>
        </w:rPr>
        <w:t>地</w:t>
      </w:r>
      <w:r>
        <w:rPr>
          <w:rFonts w:hint="eastAsia" w:ascii="宋体" w:hAnsi="宋体"/>
          <w:b w:val="0"/>
          <w:bCs w:val="0"/>
          <w:color w:val="auto"/>
          <w:szCs w:val="21"/>
          <w:highlight w:val="none"/>
        </w:rPr>
        <w:t>等信息进行调查；</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2、走访不动产登记、规划、***等部门搜集房屋权属等信息，协助委托方做好确权确户；</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3、协助委托方制定完善房屋征收补偿方案；</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4、协助委托方对征收补偿方案、评估结果、测绘面积结果、确权确户结果等信息的公示，记录被征收户的诉求和投诉，进行信息汇总反馈。</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（二）中期签约结算</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1、协助委托方做好签约前准备工作（将调查数据录入独立的房屋征收服务软件系统，做安置补偿协议模板配置，汇总表模板配置）；</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2、集中协助签约，协助委托方做好政策、确权确户解释工作并根据委托方要求做好各类报表的数据汇总；</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3、协助委托方做好房屋腾空，做好安置补偿结算工作；</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4、对确权确户、评估、签约、结算四大资料进行整理，如有缺失协助委托方进行催交补充、初步建立一户一档。</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（三）后期安置及档案管理</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1、协助委托方安置房源管理、抽签定位、交付、资金结算；</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2、按一户一档完善征收户的电子及纸质档案。</w:t>
      </w:r>
    </w:p>
    <w:p>
      <w:pPr>
        <w:spacing w:line="44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（四）负责《房屋所有权证》、《国有土地使用证》或《不动产权证》的收交和注销</w:t>
      </w:r>
      <w:r>
        <w:rPr>
          <w:rFonts w:hint="eastAsia" w:ascii="宋体" w:hAnsi="宋体"/>
          <w:b w:val="0"/>
          <w:bCs w:val="0"/>
          <w:color w:val="auto"/>
          <w:szCs w:val="21"/>
          <w:highlight w:val="none"/>
          <w:lang w:val="en-US" w:eastAsia="zh-CN"/>
        </w:rPr>
        <w:t>以及</w:t>
      </w:r>
      <w:r>
        <w:rPr>
          <w:rFonts w:hint="eastAsia" w:ascii="宋体" w:hAnsi="宋体"/>
          <w:b w:val="0"/>
          <w:bCs w:val="0"/>
          <w:color w:val="auto"/>
          <w:szCs w:val="21"/>
          <w:highlight w:val="none"/>
        </w:rPr>
        <w:t>完成甲方交办的与本项目征地房屋补偿和房屋征收工作相关的其他工作。</w:t>
      </w:r>
    </w:p>
    <w:p>
      <w:pPr>
        <w:spacing w:line="440" w:lineRule="exact"/>
        <w:ind w:firstLine="420" w:firstLineChars="200"/>
        <w:rPr>
          <w:rFonts w:hint="eastAsia" w:ascii="宋体" w:hAnsi="宋体" w:cs="宋体"/>
          <w:b w:val="0"/>
          <w:bCs w:val="0"/>
          <w:color w:val="auto"/>
          <w:szCs w:val="21"/>
          <w:highlight w:val="none"/>
        </w:rPr>
      </w:pPr>
    </w:p>
    <w:p>
      <w:pPr>
        <w:spacing w:before="240" w:beforeLines="100" w:after="240" w:afterLines="100" w:line="400" w:lineRule="exact"/>
        <w:jc w:val="center"/>
        <w:outlineLvl w:val="0"/>
        <w:rPr>
          <w:rFonts w:ascii="宋体" w:hAnsi="宋体"/>
          <w:b/>
          <w:color w:val="auto"/>
          <w:sz w:val="32"/>
          <w:highlight w:val="none"/>
        </w:rPr>
      </w:pPr>
      <w:r>
        <w:rPr>
          <w:rFonts w:ascii="宋体" w:hAnsi="宋体"/>
          <w:b/>
          <w:color w:val="auto"/>
          <w:szCs w:val="21"/>
          <w:highlight w:val="none"/>
        </w:rPr>
        <w:br w:type="page"/>
      </w:r>
      <w:bookmarkStart w:id="49" w:name="_Toc90369653"/>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49"/>
    </w:p>
    <w:tbl>
      <w:tblPr>
        <w:tblStyle w:val="44"/>
        <w:tblW w:w="0" w:type="auto"/>
        <w:tblInd w:w="108" w:type="dxa"/>
        <w:tblLayout w:type="fixed"/>
        <w:tblCellMar>
          <w:top w:w="0" w:type="dxa"/>
          <w:left w:w="108" w:type="dxa"/>
          <w:bottom w:w="0" w:type="dxa"/>
          <w:right w:w="108" w:type="dxa"/>
        </w:tblCellMar>
      </w:tblPr>
      <w:tblGrid>
        <w:gridCol w:w="851"/>
        <w:gridCol w:w="8221"/>
      </w:tblGrid>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221" w:type="dxa"/>
            <w:tcBorders>
              <w:top w:val="single" w:color="auto" w:sz="4" w:space="0"/>
              <w:left w:val="single" w:color="000000" w:sz="6" w:space="0"/>
              <w:bottom w:val="single" w:color="000000" w:sz="6" w:space="0"/>
              <w:right w:val="single" w:color="auto" w:sz="4" w:space="0"/>
            </w:tcBorders>
            <w:noWrap w:val="0"/>
            <w:vAlign w:val="center"/>
          </w:tcPr>
          <w:p>
            <w:pPr>
              <w:autoSpaceDE w:val="0"/>
              <w:autoSpaceDN w:val="0"/>
              <w:adjustRightInd w:val="0"/>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4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221" w:type="dxa"/>
            <w:tcBorders>
              <w:top w:val="single" w:color="auto" w:sz="4" w:space="0"/>
              <w:left w:val="single" w:color="000000" w:sz="6" w:space="0"/>
              <w:bottom w:val="single" w:color="000000" w:sz="6" w:space="0"/>
              <w:right w:val="single" w:color="auto" w:sz="4" w:space="0"/>
            </w:tcBorders>
            <w:noWrap w:val="0"/>
            <w:vAlign w:val="center"/>
          </w:tcPr>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服务期限：</w:t>
            </w:r>
            <w:r>
              <w:rPr>
                <w:rFonts w:hint="eastAsia" w:ascii="宋体" w:hAnsi="宋体"/>
                <w:color w:val="auto"/>
                <w:szCs w:val="21"/>
                <w:highlight w:val="none"/>
                <w:lang w:eastAsia="zh-CN"/>
              </w:rPr>
              <w:t>自合同签订之日起至合同全部权利义务履行完毕止</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40" w:lineRule="exact"/>
              <w:jc w:val="center"/>
              <w:rPr>
                <w:rFonts w:ascii="宋体" w:hAnsi="宋体" w:cs="宋体"/>
                <w:bCs/>
                <w:color w:val="auto"/>
                <w:szCs w:val="21"/>
                <w:highlight w:val="none"/>
              </w:rPr>
            </w:pPr>
            <w:r>
              <w:rPr>
                <w:rFonts w:ascii="宋体" w:hAnsi="宋体" w:cs="宋体"/>
                <w:bCs/>
                <w:color w:val="auto"/>
                <w:szCs w:val="21"/>
                <w:highlight w:val="none"/>
              </w:rPr>
              <w:t>2</w:t>
            </w:r>
          </w:p>
        </w:tc>
        <w:tc>
          <w:tcPr>
            <w:tcW w:w="8221" w:type="dxa"/>
            <w:tcBorders>
              <w:top w:val="single" w:color="auto" w:sz="4" w:space="0"/>
              <w:left w:val="single" w:color="000000" w:sz="6" w:space="0"/>
              <w:bottom w:val="single" w:color="000000" w:sz="6" w:space="0"/>
              <w:right w:val="single" w:color="auto" w:sz="4" w:space="0"/>
            </w:tcBorders>
            <w:noWrap w:val="0"/>
            <w:vAlign w:val="center"/>
          </w:tcPr>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支付方式：由宁波市海曙区高桥镇人民政府下属单位宁波市海曙区高桥镇房屋征收（拆迁）办公室支付。</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1、前期</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（1）乙方完成入户调查人员配置到位后，支付合同价款的10%；</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（2）乙方完成入户调查全部工作，出台征迁具体实施方案后，支付合同价款的20%（累计30%）。</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2、中期</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在征迁方案规定的签约期限内，签约率达到8</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rPr>
              <w:t>% （含）以上，支付合同价款的15%（累计45%）；若在征迁方案规定的签约期限内签约率达到9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rPr>
              <w:t>%（含）以上，支付合同价款的40%（累计70%）；若在征迁方案规定的签约期限内签约率达到</w:t>
            </w:r>
            <w:r>
              <w:rPr>
                <w:rFonts w:hint="eastAsia" w:ascii="宋体" w:hAnsi="宋体" w:cs="宋体"/>
                <w:color w:val="auto"/>
                <w:szCs w:val="21"/>
                <w:highlight w:val="none"/>
                <w:lang w:val="en-US" w:eastAsia="zh-CN"/>
              </w:rPr>
              <w:t>95</w:t>
            </w:r>
            <w:r>
              <w:rPr>
                <w:rFonts w:hint="eastAsia" w:ascii="宋体" w:hAnsi="宋体" w:cs="宋体"/>
                <w:color w:val="auto"/>
                <w:szCs w:val="21"/>
                <w:highlight w:val="none"/>
                <w:lang w:val="zh-CN"/>
              </w:rPr>
              <w:t>%（含）以上，支付合同价款的50%（累计80%）。</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3、后期</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（1）规定时间内，完成房屋腾空搬迁后，支付合同价款的5%（累计85%）；</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（2）完成跟踪审计、档案移交后，支付合同价款的5%（累计90%）；</w:t>
            </w:r>
          </w:p>
          <w:p>
            <w:pPr>
              <w:spacing w:line="440" w:lineRule="exact"/>
              <w:rPr>
                <w:rFonts w:ascii="宋体" w:hAnsi="宋体"/>
                <w:color w:val="auto"/>
                <w:kern w:val="10"/>
                <w:szCs w:val="21"/>
                <w:highlight w:val="none"/>
                <w:lang w:val="zh-CN"/>
              </w:rPr>
            </w:pPr>
            <w:r>
              <w:rPr>
                <w:rFonts w:hint="eastAsia" w:ascii="宋体" w:hAnsi="宋体" w:cs="宋体"/>
                <w:color w:val="auto"/>
                <w:szCs w:val="21"/>
                <w:highlight w:val="none"/>
                <w:lang w:val="zh-CN"/>
              </w:rPr>
              <w:t>（3）</w:t>
            </w:r>
            <w:r>
              <w:rPr>
                <w:rFonts w:hint="eastAsia" w:ascii="宋体" w:hAnsi="宋体" w:cs="仿宋_GB2312"/>
                <w:color w:val="auto"/>
                <w:szCs w:val="21"/>
                <w:highlight w:val="none"/>
              </w:rPr>
              <w:t>房屋抽签、定位、结算完成且归档移交后，支付</w:t>
            </w:r>
            <w:r>
              <w:rPr>
                <w:rFonts w:hint="eastAsia" w:ascii="宋体" w:hAnsi="宋体" w:cs="仿宋_GB2312"/>
                <w:color w:val="auto"/>
                <w:szCs w:val="21"/>
                <w:highlight w:val="none"/>
                <w:lang w:val="en-US" w:eastAsia="zh-CN"/>
              </w:rPr>
              <w:t>至结算审定价款的100%</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若无房屋抽签工作的，则在完成跟踪审计、归档移交后，支付至结算审定价款的100%</w:t>
            </w:r>
            <w:r>
              <w:rPr>
                <w:rFonts w:hint="eastAsia" w:ascii="宋体" w:hAnsi="宋体" w:cs="仿宋_GB2312"/>
                <w:color w:val="auto"/>
                <w:szCs w:val="21"/>
                <w:highlight w:val="none"/>
              </w:rPr>
              <w:t>。</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40" w:lineRule="exact"/>
              <w:jc w:val="center"/>
              <w:rPr>
                <w:rFonts w:hint="eastAsia" w:ascii="宋体" w:hAnsi="宋体" w:cs="宋体"/>
                <w:color w:val="auto"/>
                <w:szCs w:val="21"/>
                <w:highlight w:val="none"/>
              </w:rPr>
            </w:pPr>
            <w:r>
              <w:rPr>
                <w:rFonts w:ascii="宋体" w:hAnsi="宋体" w:cs="宋体"/>
                <w:color w:val="auto"/>
                <w:szCs w:val="21"/>
                <w:highlight w:val="none"/>
              </w:rPr>
              <w:t>3</w:t>
            </w:r>
          </w:p>
        </w:tc>
        <w:tc>
          <w:tcPr>
            <w:tcW w:w="8221" w:type="dxa"/>
            <w:tcBorders>
              <w:top w:val="single" w:color="000000" w:sz="6" w:space="0"/>
              <w:left w:val="single" w:color="000000" w:sz="6" w:space="0"/>
              <w:bottom w:val="single" w:color="000000" w:sz="6" w:space="0"/>
              <w:right w:val="single" w:color="auto" w:sz="4" w:space="0"/>
            </w:tcBorders>
            <w:noWrap w:val="0"/>
            <w:vAlign w:val="center"/>
          </w:tcPr>
          <w:p>
            <w:pPr>
              <w:spacing w:line="360" w:lineRule="exact"/>
              <w:rPr>
                <w:rFonts w:hint="eastAsia" w:hAnsi="宋体"/>
                <w:color w:val="auto"/>
                <w:szCs w:val="21"/>
                <w:highlight w:val="none"/>
                <w:u w:val="single"/>
              </w:rPr>
            </w:pPr>
            <w:r>
              <w:rPr>
                <w:rFonts w:hint="eastAsia" w:ascii="宋体" w:hAnsi="宋体" w:cs="宋体"/>
                <w:color w:val="auto"/>
                <w:szCs w:val="21"/>
                <w:highlight w:val="none"/>
              </w:rPr>
              <w:t>履约保证金：</w:t>
            </w:r>
            <w:r>
              <w:rPr>
                <w:rFonts w:hint="eastAsia" w:hAnsi="宋体"/>
                <w:color w:val="auto"/>
                <w:szCs w:val="21"/>
                <w:highlight w:val="none"/>
                <w:u w:val="single"/>
              </w:rPr>
              <w:t xml:space="preserve">合同价款的5% </w:t>
            </w:r>
          </w:p>
          <w:p>
            <w:pPr>
              <w:spacing w:line="360" w:lineRule="exact"/>
              <w:rPr>
                <w:rFonts w:ascii="ˎ̥" w:hAnsi="ˎ̥" w:cs="宋体"/>
                <w:color w:val="auto"/>
                <w:szCs w:val="21"/>
                <w:highlight w:val="none"/>
              </w:rPr>
            </w:pPr>
            <w:r>
              <w:rPr>
                <w:rFonts w:hint="eastAsia" w:hAnsi="宋体"/>
                <w:color w:val="auto"/>
                <w:szCs w:val="21"/>
                <w:highlight w:val="none"/>
              </w:rPr>
              <w:t>履约保证金形式：</w:t>
            </w:r>
            <w:r>
              <w:rPr>
                <w:rFonts w:hint="eastAsia" w:ascii="ˎ̥" w:hAnsi="ˎ̥" w:cs="宋体"/>
                <w:color w:val="auto"/>
                <w:szCs w:val="21"/>
                <w:highlight w:val="none"/>
                <w:u w:val="single"/>
              </w:rPr>
              <w:t>对公账户的转帐支票、汇票、电汇</w:t>
            </w:r>
          </w:p>
          <w:p>
            <w:pPr>
              <w:spacing w:line="440" w:lineRule="exact"/>
              <w:jc w:val="left"/>
              <w:rPr>
                <w:rFonts w:hint="eastAsia" w:ascii="宋体" w:hAnsi="宋体" w:cs="宋体"/>
                <w:color w:val="auto"/>
                <w:szCs w:val="21"/>
                <w:highlight w:val="none"/>
                <w:lang w:val="zh-CN"/>
              </w:rPr>
            </w:pPr>
            <w:r>
              <w:rPr>
                <w:rFonts w:hint="eastAsia"/>
                <w:color w:val="auto"/>
                <w:szCs w:val="21"/>
                <w:highlight w:val="none"/>
              </w:rPr>
              <w:t>履约保证金在中标通知书发出后7天内，合同签订之前缴纳给采购人。在项目经相关部门进行现</w:t>
            </w:r>
            <w:r>
              <w:rPr>
                <w:rFonts w:hAnsi="宋体"/>
                <w:color w:val="auto"/>
                <w:szCs w:val="21"/>
                <w:highlight w:val="none"/>
              </w:rPr>
              <w:t>场检查、检验、综合评定</w:t>
            </w:r>
            <w:r>
              <w:rPr>
                <w:rFonts w:hint="eastAsia" w:hAnsi="宋体"/>
                <w:color w:val="auto"/>
                <w:szCs w:val="21"/>
                <w:highlight w:val="none"/>
              </w:rPr>
              <w:t>，</w:t>
            </w:r>
            <w:r>
              <w:rPr>
                <w:rFonts w:hAnsi="宋体"/>
                <w:color w:val="auto"/>
                <w:szCs w:val="21"/>
                <w:highlight w:val="none"/>
              </w:rPr>
              <w:t>验收</w:t>
            </w:r>
            <w:r>
              <w:rPr>
                <w:rFonts w:hint="eastAsia" w:hAnsi="宋体"/>
                <w:color w:val="auto"/>
                <w:szCs w:val="21"/>
                <w:highlight w:val="none"/>
              </w:rPr>
              <w:t>合格后退回。</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221"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adjustRightInd w:val="0"/>
              <w:spacing w:line="44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pPr>
              <w:autoSpaceDE w:val="0"/>
              <w:autoSpaceDN w:val="0"/>
              <w:adjustRightInd w:val="0"/>
              <w:spacing w:line="44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①中标通知书发出之日起30天内，中标供应商应按照招标文件的规定、中标供应商的投标响应及中标通知书确定的金额签订合同。</w:t>
            </w:r>
          </w:p>
          <w:p>
            <w:pPr>
              <w:autoSpaceDE w:val="0"/>
              <w:autoSpaceDN w:val="0"/>
              <w:adjustRightInd w:val="0"/>
              <w:spacing w:line="440" w:lineRule="exact"/>
              <w:rPr>
                <w:rFonts w:ascii="宋体" w:hAnsi="宋体" w:cs="宋体"/>
                <w:color w:val="auto"/>
                <w:szCs w:val="21"/>
                <w:highlight w:val="none"/>
                <w:lang w:val="zh-CN"/>
              </w:rPr>
            </w:pPr>
            <w:r>
              <w:rPr>
                <w:rFonts w:hint="eastAsia" w:ascii="宋体" w:hAnsi="宋体"/>
                <w:color w:val="auto"/>
                <w:szCs w:val="21"/>
                <w:highlight w:val="none"/>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bookmarkEnd w:id="48"/>
    </w:tbl>
    <w:p>
      <w:pPr>
        <w:spacing w:line="400" w:lineRule="exact"/>
        <w:jc w:val="center"/>
        <w:outlineLvl w:val="0"/>
        <w:rPr>
          <w:rFonts w:ascii="宋体" w:hAnsi="宋体"/>
          <w:b/>
          <w:color w:val="auto"/>
          <w:sz w:val="32"/>
          <w:highlight w:val="none"/>
        </w:rPr>
      </w:pPr>
      <w:r>
        <w:rPr>
          <w:rFonts w:ascii="宋体" w:hAnsi="宋体"/>
          <w:b/>
          <w:color w:val="auto"/>
          <w:sz w:val="32"/>
          <w:highlight w:val="none"/>
        </w:rPr>
        <w:br w:type="page"/>
      </w:r>
      <w:bookmarkStart w:id="50" w:name="_Toc90369654"/>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50"/>
    </w:p>
    <w:p>
      <w:pPr>
        <w:autoSpaceDE w:val="0"/>
        <w:autoSpaceDN w:val="0"/>
        <w:adjustRightInd w:val="0"/>
        <w:spacing w:before="960" w:beforeLines="400" w:line="420" w:lineRule="exact"/>
        <w:jc w:val="center"/>
        <w:rPr>
          <w:rStyle w:val="169"/>
          <w:rFonts w:ascii="宋体" w:hAnsi="宋体"/>
          <w:color w:val="auto"/>
          <w:sz w:val="32"/>
          <w:szCs w:val="32"/>
          <w:highlight w:val="none"/>
        </w:rPr>
      </w:pPr>
      <w:r>
        <w:rPr>
          <w:rStyle w:val="169"/>
          <w:rFonts w:ascii="宋体" w:hAnsi="宋体"/>
          <w:color w:val="auto"/>
          <w:sz w:val="32"/>
          <w:szCs w:val="32"/>
          <w:highlight w:val="none"/>
        </w:rPr>
        <w:t>A.</w:t>
      </w:r>
      <w:r>
        <w:rPr>
          <w:rStyle w:val="169"/>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pPr>
        <w:spacing w:line="360" w:lineRule="auto"/>
        <w:rPr>
          <w:rFonts w:ascii="宋体" w:hAnsi="宋体"/>
          <w:color w:val="auto"/>
          <w:sz w:val="28"/>
          <w:szCs w:val="28"/>
          <w:highlight w:val="none"/>
        </w:rPr>
      </w:pPr>
    </w:p>
    <w:p>
      <w:pPr>
        <w:spacing w:line="360" w:lineRule="auto"/>
        <w:jc w:val="center"/>
        <w:rPr>
          <w:rFonts w:hint="eastAsia" w:ascii="宋体" w:hAnsi="宋体" w:eastAsia="宋体"/>
          <w:color w:val="auto"/>
          <w:sz w:val="36"/>
          <w:szCs w:val="36"/>
          <w:highlight w:val="none"/>
          <w:lang w:eastAsia="zh-CN"/>
        </w:rPr>
      </w:pPr>
      <w:r>
        <w:rPr>
          <w:rFonts w:hint="eastAsia" w:ascii="宋体" w:hAnsi="宋体"/>
          <w:b/>
          <w:color w:val="auto"/>
          <w:sz w:val="36"/>
          <w:szCs w:val="36"/>
          <w:highlight w:val="none"/>
          <w:lang w:eastAsia="zh-CN"/>
        </w:rPr>
        <w:t>海曙区高桥镇长乐未来社区项目房屋征收第三方服务采购项目</w:t>
      </w:r>
    </w:p>
    <w:p>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2022NBHSWT007</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   项：</w:t>
      </w:r>
      <w:r>
        <w:rPr>
          <w:rFonts w:hint="eastAsia" w:ascii="宋体" w:hAnsi="宋体"/>
          <w:color w:val="auto"/>
          <w:sz w:val="36"/>
          <w:szCs w:val="36"/>
          <w:highlight w:val="none"/>
          <w:u w:val="single"/>
        </w:rPr>
        <w:t>（如有多个标项）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4"/>
        <w:ind w:left="101" w:leftChars="48"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pPr>
        <w:spacing w:line="360" w:lineRule="auto"/>
        <w:jc w:val="center"/>
        <w:rPr>
          <w:rFonts w:hint="eastAsia" w:ascii="宋体" w:hAnsi="宋体"/>
          <w:color w:val="auto"/>
          <w:szCs w:val="21"/>
          <w:highlight w:val="none"/>
        </w:rPr>
      </w:pPr>
      <w:r>
        <w:rPr>
          <w:rStyle w:val="169"/>
          <w:rFonts w:ascii="宋体" w:hAnsi="宋体"/>
          <w:color w:val="auto"/>
          <w:sz w:val="21"/>
          <w:szCs w:val="21"/>
          <w:highlight w:val="none"/>
        </w:rPr>
        <w:br w:type="page"/>
      </w:r>
      <w:r>
        <w:rPr>
          <w:rStyle w:val="169"/>
          <w:rFonts w:hint="eastAsia" w:ascii="宋体" w:hAnsi="宋体"/>
          <w:color w:val="auto"/>
          <w:sz w:val="21"/>
          <w:szCs w:val="21"/>
          <w:highlight w:val="none"/>
        </w:rPr>
        <w:t>A1关于资格的承诺函</w:t>
      </w: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hint="eastAsia"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rPr>
        <w:t xml:space="preserve">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b/>
          <w:bCs/>
          <w:color w:val="auto"/>
          <w:szCs w:val="21"/>
          <w:highlight w:val="none"/>
        </w:rPr>
      </w:pPr>
      <w:r>
        <w:rPr>
          <w:rFonts w:ascii="宋体" w:hAnsi="宋体"/>
          <w:color w:val="auto"/>
          <w:szCs w:val="21"/>
          <w:highlight w:val="none"/>
        </w:rPr>
        <w:br w:type="page"/>
      </w:r>
      <w:r>
        <w:rPr>
          <w:rFonts w:hint="eastAsia" w:ascii="宋体" w:hAnsi="宋体"/>
          <w:b/>
          <w:bCs/>
          <w:color w:val="auto"/>
          <w:szCs w:val="21"/>
          <w:highlight w:val="none"/>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jc w:val="left"/>
        <w:rPr>
          <w:rFonts w:ascii="宋体" w:hAnsi="宋体"/>
          <w:b/>
          <w:bCs/>
          <w:color w:val="auto"/>
          <w:szCs w:val="21"/>
          <w:highlight w:val="none"/>
        </w:rPr>
      </w:pPr>
    </w:p>
    <w:p>
      <w:pPr>
        <w:spacing w:line="400" w:lineRule="exact"/>
        <w:ind w:firstLine="414" w:firstLineChars="200"/>
        <w:jc w:val="left"/>
        <w:rPr>
          <w:rStyle w:val="169"/>
          <w:rFonts w:ascii="宋体" w:hAnsi="宋体"/>
          <w:color w:val="auto"/>
          <w:sz w:val="21"/>
          <w:szCs w:val="21"/>
          <w:highlight w:val="none"/>
        </w:rPr>
      </w:pPr>
      <w:r>
        <w:rPr>
          <w:rStyle w:val="169"/>
          <w:rFonts w:ascii="宋体" w:hAnsi="宋体"/>
          <w:color w:val="auto"/>
          <w:sz w:val="21"/>
          <w:szCs w:val="21"/>
          <w:highlight w:val="none"/>
        </w:rPr>
        <w:br w:type="page"/>
      </w:r>
    </w:p>
    <w:p>
      <w:pPr>
        <w:spacing w:line="400" w:lineRule="exact"/>
        <w:ind w:firstLine="414" w:firstLineChars="200"/>
        <w:jc w:val="left"/>
        <w:rPr>
          <w:rStyle w:val="169"/>
          <w:rFonts w:ascii="宋体" w:hAnsi="宋体"/>
          <w:color w:val="auto"/>
          <w:sz w:val="21"/>
          <w:szCs w:val="21"/>
          <w:highlight w:val="none"/>
        </w:rPr>
      </w:pPr>
    </w:p>
    <w:p>
      <w:pPr>
        <w:spacing w:line="400" w:lineRule="exact"/>
        <w:jc w:val="left"/>
        <w:rPr>
          <w:rStyle w:val="169"/>
          <w:rFonts w:ascii="宋体" w:hAnsi="宋体"/>
          <w:color w:val="auto"/>
          <w:sz w:val="28"/>
          <w:szCs w:val="28"/>
          <w:highlight w:val="none"/>
        </w:rPr>
      </w:pPr>
    </w:p>
    <w:p>
      <w:pPr>
        <w:autoSpaceDE w:val="0"/>
        <w:autoSpaceDN w:val="0"/>
        <w:adjustRightInd w:val="0"/>
        <w:spacing w:before="960" w:beforeLines="400" w:line="420" w:lineRule="exact"/>
        <w:jc w:val="center"/>
        <w:rPr>
          <w:rStyle w:val="169"/>
          <w:rFonts w:ascii="宋体" w:hAnsi="宋体"/>
          <w:color w:val="auto"/>
          <w:sz w:val="32"/>
          <w:szCs w:val="32"/>
          <w:highlight w:val="none"/>
        </w:rPr>
      </w:pPr>
      <w:bookmarkStart w:id="51" w:name="_Toc21541026"/>
      <w:r>
        <w:rPr>
          <w:rStyle w:val="169"/>
          <w:rFonts w:ascii="宋体" w:hAnsi="宋体"/>
          <w:color w:val="auto"/>
          <w:sz w:val="32"/>
          <w:szCs w:val="32"/>
          <w:highlight w:val="none"/>
        </w:rPr>
        <w:t>B.</w:t>
      </w:r>
      <w:r>
        <w:rPr>
          <w:rStyle w:val="169"/>
          <w:rFonts w:hint="eastAsia" w:ascii="宋体" w:hAnsi="宋体"/>
          <w:color w:val="auto"/>
          <w:sz w:val="32"/>
          <w:szCs w:val="32"/>
          <w:highlight w:val="none"/>
        </w:rPr>
        <w:t>商务和技术文件</w:t>
      </w:r>
      <w:bookmarkEnd w:id="51"/>
    </w:p>
    <w:p>
      <w:pPr>
        <w:autoSpaceDE w:val="0"/>
        <w:autoSpaceDN w:val="0"/>
        <w:adjustRightInd w:val="0"/>
        <w:spacing w:line="420" w:lineRule="exact"/>
        <w:rPr>
          <w:rStyle w:val="169"/>
          <w:rFonts w:ascii="宋体" w:hAnsi="宋体"/>
          <w:b w:val="0"/>
          <w:color w:val="auto"/>
          <w:highlight w:val="none"/>
          <w:lang w:val="zh-CN"/>
        </w:rPr>
      </w:pPr>
      <w:r>
        <w:rPr>
          <w:rStyle w:val="169"/>
          <w:rFonts w:ascii="宋体" w:hAnsi="宋体"/>
          <w:color w:val="auto"/>
          <w:sz w:val="32"/>
          <w:szCs w:val="32"/>
          <w:highlight w:val="none"/>
        </w:rPr>
        <w:br w:type="page"/>
      </w:r>
      <w:r>
        <w:rPr>
          <w:rStyle w:val="169"/>
          <w:rFonts w:hint="eastAsia" w:ascii="宋体" w:hAnsi="宋体"/>
          <w:color w:val="auto"/>
          <w:sz w:val="21"/>
          <w:szCs w:val="21"/>
          <w:highlight w:val="none"/>
        </w:rPr>
        <w:t>封面</w:t>
      </w:r>
    </w:p>
    <w:p>
      <w:pPr>
        <w:spacing w:line="360" w:lineRule="auto"/>
        <w:rPr>
          <w:rFonts w:ascii="宋体" w:hAnsi="宋体"/>
          <w:color w:val="auto"/>
          <w:sz w:val="28"/>
          <w:szCs w:val="28"/>
          <w:highlight w:val="none"/>
        </w:rPr>
      </w:pPr>
    </w:p>
    <w:p>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36"/>
          <w:szCs w:val="36"/>
          <w:highlight w:val="none"/>
          <w:lang w:eastAsia="zh-CN"/>
        </w:rPr>
        <w:t>海曙区高桥镇长乐未来社区项目房屋征收第三方服务采购项目</w:t>
      </w:r>
    </w:p>
    <w:p>
      <w:pPr>
        <w:spacing w:line="360" w:lineRule="auto"/>
        <w:jc w:val="center"/>
        <w:rPr>
          <w:rFonts w:hint="eastAsia" w:ascii="宋体" w:hAnsi="宋体"/>
          <w:color w:val="auto"/>
          <w:sz w:val="36"/>
          <w:szCs w:val="36"/>
          <w:highlight w:val="none"/>
          <w:u w:val="single"/>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2022NBHSWT007</w:t>
      </w:r>
    </w:p>
    <w:p>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4"/>
        <w:ind w:left="101" w:leftChars="48" w:firstLine="1920" w:firstLineChars="800"/>
        <w:jc w:val="left"/>
        <w:rPr>
          <w:rFonts w:hAnsi="宋体"/>
          <w:color w:val="auto"/>
          <w:kern w:val="2"/>
          <w:szCs w:val="28"/>
          <w:highlight w:val="none"/>
          <w:u w:val="single"/>
        </w:rPr>
      </w:pPr>
    </w:p>
    <w:p>
      <w:pPr>
        <w:spacing w:line="360" w:lineRule="auto"/>
        <w:jc w:val="center"/>
        <w:rPr>
          <w:b/>
          <w:color w:val="auto"/>
          <w:sz w:val="36"/>
          <w:szCs w:val="36"/>
          <w:highlight w:val="none"/>
        </w:rPr>
      </w:pPr>
      <w:bookmarkStart w:id="52" w:name="_Toc21541027"/>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52"/>
    </w:p>
    <w:p>
      <w:pPr>
        <w:spacing w:line="360" w:lineRule="auto"/>
        <w:ind w:firstLine="4200" w:firstLineChars="2000"/>
        <w:jc w:val="left"/>
        <w:rPr>
          <w:rFonts w:ascii="宋体" w:hAnsi="宋体"/>
          <w:color w:val="auto"/>
          <w:szCs w:val="21"/>
          <w:highlight w:val="none"/>
        </w:rPr>
      </w:pPr>
    </w:p>
    <w:p>
      <w:pPr>
        <w:spacing w:line="360" w:lineRule="auto"/>
        <w:jc w:val="center"/>
        <w:rPr>
          <w:rFonts w:hint="eastAsia" w:ascii="宋体" w:hAnsi="宋体"/>
          <w:b/>
          <w:color w:val="auto"/>
          <w:szCs w:val="21"/>
          <w:highlight w:val="none"/>
        </w:rPr>
      </w:pPr>
      <w:r>
        <w:rPr>
          <w:rStyle w:val="169"/>
          <w:rFonts w:ascii="宋体" w:hAnsi="宋体"/>
          <w:color w:val="auto"/>
          <w:sz w:val="21"/>
          <w:szCs w:val="21"/>
          <w:highlight w:val="none"/>
        </w:rPr>
        <w:br w:type="page"/>
      </w:r>
      <w:r>
        <w:rPr>
          <w:rFonts w:hint="eastAsia" w:ascii="宋体" w:hAnsi="宋体"/>
          <w:b/>
          <w:color w:val="auto"/>
          <w:szCs w:val="21"/>
          <w:highlight w:val="none"/>
        </w:rPr>
        <w:t>B1投标书</w:t>
      </w:r>
    </w:p>
    <w:p>
      <w:pPr>
        <w:spacing w:line="40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eastAsia="zh-CN"/>
        </w:rPr>
        <w:t>浙江联达工程项目管理有限公司</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海曙区高桥镇长乐未来社区项目房屋征收第三方服务采购项目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2022NBHSWT007</w:t>
      </w:r>
      <w:r>
        <w:rPr>
          <w:rFonts w:hint="eastAsia" w:ascii="宋体" w:hAnsi="宋体"/>
          <w:color w:val="auto"/>
          <w:szCs w:val="21"/>
          <w:highlight w:val="none"/>
        </w:rPr>
        <w:t>）招标活动并投标，为便于采购人公正、择优地确定中标供应商及其服务，我方就本次投标有关事项郑重声明如下：</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、我们已详细审查全部采购文件及有关的澄清</w:t>
      </w:r>
      <w:r>
        <w:rPr>
          <w:rFonts w:ascii="宋体" w:hAnsi="宋体"/>
          <w:color w:val="auto"/>
          <w:szCs w:val="21"/>
          <w:highlight w:val="none"/>
        </w:rPr>
        <w:t>/</w:t>
      </w:r>
      <w:r>
        <w:rPr>
          <w:rFonts w:hint="eastAsia" w:ascii="宋体" w:hAnsi="宋体"/>
          <w:color w:val="auto"/>
          <w:szCs w:val="21"/>
          <w:highlight w:val="none"/>
        </w:rPr>
        <w:t>修改文件</w:t>
      </w:r>
      <w:r>
        <w:rPr>
          <w:rFonts w:ascii="宋体" w:hAnsi="宋体"/>
          <w:color w:val="auto"/>
          <w:szCs w:val="21"/>
          <w:highlight w:val="none"/>
        </w:rPr>
        <w:t>(</w:t>
      </w:r>
      <w:r>
        <w:rPr>
          <w:rFonts w:hint="eastAsia" w:ascii="宋体" w:hAnsi="宋体"/>
          <w:color w:val="auto"/>
          <w:szCs w:val="21"/>
          <w:highlight w:val="none"/>
        </w:rPr>
        <w:t>若有</w:t>
      </w:r>
      <w:r>
        <w:rPr>
          <w:rFonts w:ascii="宋体" w:hAnsi="宋体"/>
          <w:color w:val="auto"/>
          <w:szCs w:val="21"/>
          <w:highlight w:val="none"/>
        </w:rPr>
        <w:t>)</w:t>
      </w:r>
      <w:r>
        <w:rPr>
          <w:rFonts w:hint="eastAsia" w:ascii="宋体" w:hAnsi="宋体"/>
          <w:color w:val="auto"/>
          <w:szCs w:val="21"/>
          <w:highlight w:val="none"/>
        </w:rPr>
        <w:t>，我们完全理解并同意放弃对这方面提出任何异议的权利。</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保证遵守采购文件有关条款规定。</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ascii="宋体" w:hAnsi="宋体"/>
          <w:color w:val="auto"/>
          <w:szCs w:val="21"/>
          <w:highlight w:val="none"/>
          <w:u w:val="single"/>
        </w:rPr>
        <w:t xml:space="preserve"> 90 </w:t>
      </w:r>
      <w:r>
        <w:rPr>
          <w:rFonts w:hint="eastAsia" w:ascii="宋体" w:hAnsi="宋体"/>
          <w:color w:val="auto"/>
          <w:szCs w:val="21"/>
          <w:highlight w:val="none"/>
        </w:rPr>
        <w:t>个日历</w:t>
      </w:r>
      <w:r>
        <w:rPr>
          <w:rFonts w:hint="eastAsia" w:ascii="宋体" w:hAnsi="宋体"/>
          <w:color w:val="auto"/>
          <w:szCs w:val="21"/>
          <w:highlight w:val="none"/>
          <w:lang w:val="en-US" w:eastAsia="zh-CN"/>
        </w:rPr>
        <w:t>天</w:t>
      </w:r>
      <w:r>
        <w:rPr>
          <w:rFonts w:hint="eastAsia" w:ascii="宋体" w:hAnsi="宋体"/>
          <w:color w:val="auto"/>
          <w:szCs w:val="21"/>
          <w:highlight w:val="none"/>
        </w:rPr>
        <w:t>。</w:t>
      </w:r>
    </w:p>
    <w:p>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pPr>
        <w:spacing w:line="400" w:lineRule="exact"/>
        <w:ind w:firstLine="420" w:firstLineChars="200"/>
        <w:jc w:val="left"/>
        <w:rPr>
          <w:rFonts w:hint="eastAsia" w:ascii="宋体" w:hAnsi="宋体"/>
          <w:color w:val="auto"/>
          <w:highlight w:val="none"/>
        </w:rPr>
      </w:pPr>
      <w:r>
        <w:rPr>
          <w:rFonts w:ascii="宋体" w:hAnsi="宋体"/>
          <w:color w:val="auto"/>
          <w:highlight w:val="none"/>
        </w:rPr>
        <w:t>8</w:t>
      </w:r>
      <w:r>
        <w:rPr>
          <w:rFonts w:hint="eastAsia" w:ascii="宋体" w:hAnsi="宋体"/>
          <w:color w:val="auto"/>
          <w:highlight w:val="none"/>
        </w:rPr>
        <w:t>、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w:t>
      </w:r>
      <w:r>
        <w:rPr>
          <w:rFonts w:ascii="宋体" w:hAnsi="宋体"/>
          <w:color w:val="auto"/>
          <w:highlight w:val="none"/>
        </w:rPr>
        <w:t>200%</w:t>
      </w:r>
      <w:r>
        <w:rPr>
          <w:rFonts w:hint="eastAsia" w:ascii="宋体" w:hAnsi="宋体"/>
          <w:color w:val="auto"/>
          <w:highlight w:val="none"/>
        </w:rPr>
        <w:t>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w:t>
      </w:r>
      <w:r>
        <w:rPr>
          <w:rFonts w:hint="eastAsia"/>
          <w:color w:val="auto"/>
          <w:highlight w:val="none"/>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u w:val="single"/>
        </w:rPr>
        <w:t xml:space="preserve">                    </w:t>
      </w:r>
      <w:r>
        <w:rPr>
          <w:rFonts w:hint="eastAsia" w:ascii="宋体" w:hAnsi="宋体"/>
          <w:color w:val="auto"/>
          <w:szCs w:val="21"/>
          <w:highlight w:val="none"/>
        </w:rPr>
        <w:t>邮编：</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left="540" w:firstLine="30"/>
        <w:jc w:val="left"/>
        <w:rPr>
          <w:rFonts w:ascii="宋体" w:hAnsi="宋体"/>
          <w:color w:val="auto"/>
          <w:szCs w:val="21"/>
          <w:highlight w:val="none"/>
        </w:rPr>
      </w:pP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jc w:val="left"/>
        <w:rPr>
          <w:rFonts w:ascii="宋体" w:hAnsi="宋体"/>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u w:val="single"/>
        </w:rPr>
        <w:t xml:space="preserve">                  </w:t>
      </w:r>
    </w:p>
    <w:p>
      <w:pPr>
        <w:spacing w:line="400" w:lineRule="exac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360" w:lineRule="auto"/>
        <w:jc w:val="center"/>
        <w:rPr>
          <w:rFonts w:ascii="宋体" w:hAnsi="宋体"/>
          <w:b/>
          <w:color w:val="auto"/>
          <w:szCs w:val="21"/>
          <w:highlight w:val="none"/>
        </w:rPr>
      </w:pPr>
      <w:r>
        <w:rPr>
          <w:rStyle w:val="169"/>
          <w:rFonts w:ascii="宋体" w:hAnsi="宋体"/>
          <w:color w:val="auto"/>
          <w:sz w:val="21"/>
          <w:szCs w:val="21"/>
          <w:highlight w:val="none"/>
        </w:rPr>
        <w:br w:type="page"/>
      </w:r>
      <w:r>
        <w:rPr>
          <w:rStyle w:val="169"/>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后附：法定代表人身份证复印件（不同页的须加盖供应商公章）。</w:t>
      </w:r>
    </w:p>
    <w:p>
      <w:pPr>
        <w:spacing w:line="400" w:lineRule="atLeast"/>
        <w:rPr>
          <w:rFonts w:ascii="宋体" w:hAnsi="宋体"/>
          <w:color w:val="auto"/>
          <w:szCs w:val="21"/>
          <w:highlight w:val="none"/>
          <w:u w:val="single"/>
        </w:rPr>
      </w:pPr>
    </w:p>
    <w:p>
      <w:pPr>
        <w:spacing w:line="400" w:lineRule="exact"/>
        <w:jc w:val="center"/>
        <w:rPr>
          <w:rFonts w:ascii="宋体" w:hAnsi="宋体"/>
          <w:b/>
          <w:color w:val="auto"/>
          <w:szCs w:val="21"/>
          <w:highlight w:val="none"/>
        </w:rPr>
      </w:pPr>
      <w:r>
        <w:rPr>
          <w:rStyle w:val="169"/>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海曙区高桥镇长乐未来社区项目房屋征收第三方服务采购项目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2022NBHSWT007</w:t>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后附：</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、授权代表身份证复印件（不同页的须加盖供应商公章）；</w:t>
      </w:r>
    </w:p>
    <w:p>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、提供社保部门出具的供应商单位2021年</w:t>
      </w:r>
      <w:r>
        <w:rPr>
          <w:rFonts w:hint="eastAsia" w:ascii="宋体" w:hAnsi="宋体"/>
          <w:color w:val="auto"/>
          <w:szCs w:val="21"/>
          <w:highlight w:val="none"/>
          <w:lang w:val="en-US" w:eastAsia="zh-CN"/>
        </w:rPr>
        <w:t>10</w:t>
      </w:r>
      <w:r>
        <w:rPr>
          <w:rFonts w:hint="eastAsia" w:ascii="宋体" w:hAnsi="宋体"/>
          <w:color w:val="auto"/>
          <w:szCs w:val="21"/>
          <w:highlight w:val="none"/>
        </w:rPr>
        <w:t>月-2021年</w:t>
      </w:r>
      <w:r>
        <w:rPr>
          <w:rFonts w:hint="eastAsia" w:ascii="宋体" w:hAnsi="宋体"/>
          <w:color w:val="auto"/>
          <w:szCs w:val="21"/>
          <w:highlight w:val="none"/>
          <w:lang w:val="en-US" w:eastAsia="zh-CN"/>
        </w:rPr>
        <w:t>12</w:t>
      </w:r>
      <w:r>
        <w:rPr>
          <w:rFonts w:hint="eastAsia" w:ascii="宋体" w:hAnsi="宋体"/>
          <w:color w:val="auto"/>
          <w:szCs w:val="21"/>
          <w:highlight w:val="none"/>
        </w:rPr>
        <w:t>月为授权代表缴纳社保的证明资料复印件。</w:t>
      </w:r>
    </w:p>
    <w:p>
      <w:pPr>
        <w:spacing w:line="360" w:lineRule="auto"/>
        <w:ind w:firstLine="517" w:firstLineChars="250"/>
        <w:jc w:val="center"/>
        <w:rPr>
          <w:rFonts w:ascii="宋体" w:hAnsi="宋体"/>
          <w:b/>
          <w:color w:val="auto"/>
          <w:szCs w:val="21"/>
          <w:highlight w:val="none"/>
        </w:rPr>
      </w:pPr>
      <w:r>
        <w:rPr>
          <w:rStyle w:val="169"/>
          <w:rFonts w:ascii="宋体" w:hAnsi="宋体"/>
          <w:color w:val="auto"/>
          <w:sz w:val="21"/>
          <w:szCs w:val="21"/>
          <w:highlight w:val="none"/>
        </w:rPr>
        <w:br w:type="page"/>
      </w:r>
      <w:r>
        <w:rPr>
          <w:rFonts w:ascii="宋体" w:hAnsi="宋体"/>
          <w:b/>
          <w:color w:val="auto"/>
          <w:szCs w:val="21"/>
          <w:highlight w:val="none"/>
        </w:rPr>
        <w:t xml:space="preserve"> </w:t>
      </w:r>
    </w:p>
    <w:p>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noWrap w:val="0"/>
            <w:vAlign w:val="center"/>
          </w:tcPr>
          <w:p>
            <w:pPr>
              <w:spacing w:line="400" w:lineRule="exact"/>
              <w:rPr>
                <w:rFonts w:ascii="宋体" w:hAnsi="宋体"/>
                <w:color w:val="auto"/>
                <w:szCs w:val="21"/>
                <w:highlight w:val="none"/>
              </w:rPr>
            </w:pPr>
          </w:p>
        </w:tc>
      </w:tr>
    </w:tbl>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Style w:val="169"/>
          <w:rFonts w:ascii="宋体" w:hAnsi="宋体"/>
          <w:color w:val="auto"/>
          <w:sz w:val="21"/>
          <w:szCs w:val="21"/>
          <w:highlight w:val="none"/>
        </w:rPr>
      </w:pPr>
      <w:r>
        <w:rPr>
          <w:rFonts w:ascii="宋体" w:hAnsi="宋体"/>
          <w:color w:val="auto"/>
          <w:szCs w:val="21"/>
          <w:highlight w:val="none"/>
        </w:rPr>
        <w:br w:type="page"/>
      </w:r>
    </w:p>
    <w:p>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pPr>
        <w:spacing w:line="360" w:lineRule="auto"/>
        <w:ind w:left="540"/>
        <w:jc w:val="center"/>
        <w:rPr>
          <w:rFonts w:ascii="宋体" w:hAnsi="宋体"/>
          <w:b/>
          <w:color w:val="auto"/>
          <w:szCs w:val="21"/>
          <w:highlight w:val="none"/>
        </w:rPr>
      </w:pPr>
    </w:p>
    <w:p>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海曙区高桥镇长乐未来社区项目房屋征收第三方服务采购项目</w:t>
      </w:r>
    </w:p>
    <w:p>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2022NBHSWT007</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bl>
    <w:p>
      <w:pPr>
        <w:pStyle w:val="22"/>
        <w:adjustRightInd w:val="0"/>
        <w:snapToGrid w:val="0"/>
        <w:spacing w:before="120" w:after="120"/>
        <w:rPr>
          <w:rFonts w:hint="eastAsia" w:hAnsi="宋体"/>
          <w:color w:val="auto"/>
          <w:sz w:val="21"/>
          <w:szCs w:val="21"/>
          <w:highlight w:val="none"/>
        </w:rPr>
      </w:pPr>
      <w:r>
        <w:rPr>
          <w:rFonts w:hint="eastAsia" w:hAnsi="宋体"/>
          <w:color w:val="auto"/>
          <w:sz w:val="21"/>
          <w:szCs w:val="21"/>
          <w:highlight w:val="none"/>
        </w:rPr>
        <w:t>注：1、商务条款内容主要是针对招标文件有关的包括付款方式、服务期、合同主要条款等内容。</w:t>
      </w:r>
    </w:p>
    <w:p>
      <w:pPr>
        <w:pStyle w:val="22"/>
        <w:adjustRightInd w:val="0"/>
        <w:snapToGrid w:val="0"/>
        <w:spacing w:before="120" w:after="120"/>
        <w:ind w:firstLine="420" w:firstLineChars="200"/>
        <w:rPr>
          <w:rFonts w:hint="eastAsia" w:hAnsi="宋体"/>
          <w:color w:val="auto"/>
          <w:sz w:val="21"/>
          <w:szCs w:val="21"/>
          <w:highlight w:val="none"/>
        </w:rPr>
      </w:pPr>
      <w:r>
        <w:rPr>
          <w:rFonts w:hint="eastAsia" w:hAnsi="宋体"/>
          <w:color w:val="auto"/>
          <w:sz w:val="21"/>
          <w:szCs w:val="21"/>
          <w:highlight w:val="none"/>
        </w:rPr>
        <w:t>2、若无偏离应在本表空白处醒目地注明“无商务条款偏离”的字样。</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bookmarkStart w:id="53" w:name="_Toc436408720"/>
      <w:bookmarkStart w:id="54" w:name="_Toc441316563"/>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hint="eastAsia"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w:t>
      </w:r>
      <w:r>
        <w:rPr>
          <w:rFonts w:hint="eastAsia" w:ascii="宋体" w:hAnsi="宋体"/>
          <w:b/>
          <w:color w:val="auto"/>
          <w:szCs w:val="21"/>
          <w:highlight w:val="none"/>
        </w:rPr>
        <w:t>6</w:t>
      </w:r>
      <w:r>
        <w:rPr>
          <w:rFonts w:hint="eastAsia" w:ascii="宋体" w:hAnsi="宋体"/>
          <w:b/>
          <w:bCs/>
          <w:color w:val="auto"/>
          <w:szCs w:val="21"/>
          <w:highlight w:val="none"/>
        </w:rPr>
        <w:t>技术条款响应表</w:t>
      </w:r>
    </w:p>
    <w:p>
      <w:pPr>
        <w:adjustRightInd w:val="0"/>
        <w:snapToGrid w:val="0"/>
        <w:spacing w:line="360" w:lineRule="auto"/>
        <w:jc w:val="center"/>
        <w:rPr>
          <w:rFonts w:hint="eastAsia" w:ascii="宋体" w:hAnsi="宋体"/>
          <w:iCs/>
          <w:color w:val="auto"/>
          <w:szCs w:val="21"/>
          <w:highlight w:val="none"/>
        </w:rPr>
      </w:pPr>
    </w:p>
    <w:p>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海曙区高桥镇长乐未来社区项目房屋征收第三方服务采购项目</w:t>
      </w:r>
    </w:p>
    <w:p>
      <w:pPr>
        <w:adjustRightInd w:val="0"/>
        <w:snapToGrid w:val="0"/>
        <w:spacing w:line="360" w:lineRule="auto"/>
        <w:rPr>
          <w:rFonts w:hint="eastAsia" w:ascii="宋体" w:hAnsi="宋体"/>
          <w:b/>
          <w:bCs/>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2022NBHSWT007</w:t>
      </w: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hint="eastAsia" w:hAnsi="宋体"/>
          <w:color w:val="auto"/>
          <w:sz w:val="21"/>
          <w:szCs w:val="21"/>
          <w:highlight w:val="none"/>
          <w:lang w:eastAsia="zh-CN"/>
        </w:rPr>
      </w:pPr>
      <w:r>
        <w:rPr>
          <w:rFonts w:hint="eastAsia" w:ascii="宋体" w:hAnsi="宋体"/>
          <w:color w:val="auto"/>
          <w:szCs w:val="21"/>
          <w:highlight w:val="none"/>
        </w:rPr>
        <w:t>注：</w:t>
      </w:r>
      <w:r>
        <w:rPr>
          <w:rFonts w:hint="eastAsia" w:ascii="宋体" w:hAnsi="宋体"/>
          <w:color w:val="auto"/>
          <w:szCs w:val="21"/>
          <w:highlight w:val="none"/>
          <w:lang w:val="en-US" w:eastAsia="zh-CN"/>
        </w:rPr>
        <w:t>1、</w:t>
      </w:r>
      <w:r>
        <w:rPr>
          <w:rFonts w:hint="eastAsia" w:ascii="宋体" w:hAnsi="宋体"/>
          <w:color w:val="auto"/>
          <w:szCs w:val="21"/>
          <w:highlight w:val="none"/>
        </w:rPr>
        <w:t>技术条款</w:t>
      </w:r>
      <w:r>
        <w:rPr>
          <w:rFonts w:hint="eastAsia" w:ascii="宋体" w:hAnsi="宋体"/>
          <w:color w:val="auto"/>
          <w:szCs w:val="21"/>
          <w:highlight w:val="none"/>
          <w:lang w:val="en-US" w:eastAsia="zh-CN"/>
        </w:rPr>
        <w:t>内容</w:t>
      </w:r>
      <w:r>
        <w:rPr>
          <w:rFonts w:hint="eastAsia" w:hAnsi="宋体"/>
          <w:color w:val="auto"/>
          <w:sz w:val="21"/>
          <w:szCs w:val="21"/>
          <w:highlight w:val="none"/>
        </w:rPr>
        <w:t>主要是针对招标文件</w:t>
      </w:r>
      <w:r>
        <w:rPr>
          <w:rFonts w:hint="eastAsia" w:ascii="宋体" w:hAnsi="宋体"/>
          <w:color w:val="auto"/>
          <w:szCs w:val="21"/>
          <w:highlight w:val="none"/>
        </w:rPr>
        <w:t>“第五章 招标内容与技术需求”</w:t>
      </w:r>
      <w:r>
        <w:rPr>
          <w:rFonts w:hint="eastAsia" w:hAnsi="宋体"/>
          <w:color w:val="auto"/>
          <w:sz w:val="21"/>
          <w:szCs w:val="21"/>
          <w:highlight w:val="none"/>
        </w:rPr>
        <w:t>等内容</w:t>
      </w:r>
      <w:r>
        <w:rPr>
          <w:rFonts w:hint="eastAsia" w:hAnsi="宋体"/>
          <w:color w:val="auto"/>
          <w:sz w:val="21"/>
          <w:szCs w:val="21"/>
          <w:highlight w:val="none"/>
          <w:lang w:eastAsia="zh-CN"/>
        </w:rPr>
        <w:t>。</w:t>
      </w:r>
    </w:p>
    <w:p>
      <w:pPr>
        <w:pStyle w:val="22"/>
        <w:adjustRightInd w:val="0"/>
        <w:snapToGrid w:val="0"/>
        <w:spacing w:before="120" w:after="120"/>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若无偏离应在本表空白处醒目地注明“无</w:t>
      </w:r>
      <w:r>
        <w:rPr>
          <w:rFonts w:hint="eastAsia" w:hAnsi="宋体"/>
          <w:color w:val="auto"/>
          <w:sz w:val="21"/>
          <w:szCs w:val="21"/>
          <w:highlight w:val="none"/>
          <w:lang w:val="en-US" w:eastAsia="zh-CN"/>
        </w:rPr>
        <w:t>技术</w:t>
      </w:r>
      <w:r>
        <w:rPr>
          <w:rFonts w:hint="eastAsia" w:hAnsi="宋体"/>
          <w:color w:val="auto"/>
          <w:sz w:val="21"/>
          <w:szCs w:val="21"/>
          <w:highlight w:val="none"/>
        </w:rPr>
        <w:t>条款偏离”的字样。</w:t>
      </w:r>
    </w:p>
    <w:p>
      <w:pPr>
        <w:pStyle w:val="2"/>
        <w:rPr>
          <w:rFonts w:hint="eastAsia"/>
          <w:color w:val="auto"/>
          <w:highlight w:val="none"/>
          <w:lang w:eastAsia="zh-CN"/>
        </w:rPr>
      </w:pPr>
    </w:p>
    <w:p>
      <w:pPr>
        <w:pStyle w:val="2"/>
        <w:rPr>
          <w:rFonts w:hint="eastAsia"/>
          <w:color w:val="auto"/>
          <w:highlight w:val="none"/>
          <w:lang w:eastAsia="zh-CN"/>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jc w:val="left"/>
        <w:rPr>
          <w:rFonts w:hint="eastAsia" w:ascii="宋体" w:hAnsi="宋体"/>
          <w:b/>
          <w:bCs/>
          <w:color w:val="auto"/>
          <w:szCs w:val="21"/>
          <w:highlight w:val="none"/>
        </w:rPr>
      </w:pPr>
      <w:r>
        <w:rPr>
          <w:rStyle w:val="169"/>
          <w:rFonts w:ascii="宋体" w:hAnsi="宋体"/>
          <w:color w:val="auto"/>
          <w:sz w:val="21"/>
          <w:szCs w:val="21"/>
          <w:highlight w:val="none"/>
        </w:rPr>
        <w:br w:type="page"/>
      </w:r>
      <w:bookmarkEnd w:id="53"/>
      <w:bookmarkStart w:id="55" w:name="_Toc441316564"/>
      <w:r>
        <w:rPr>
          <w:rFonts w:hint="eastAsia" w:ascii="宋体" w:hAnsi="宋体"/>
          <w:b/>
          <w:bCs/>
          <w:color w:val="auto"/>
          <w:szCs w:val="21"/>
          <w:highlight w:val="none"/>
        </w:rPr>
        <w:t>B7、针对本项目第三章评标办法及标准及第五章招标内容与技术需求中的条款拟定各种方案，格式自拟；</w:t>
      </w:r>
    </w:p>
    <w:p>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B8、第三章“评标办法及标准”中“商务和技术评分表”要求提供的其他资料（如有需提供）；</w:t>
      </w:r>
    </w:p>
    <w:p>
      <w:pPr>
        <w:spacing w:line="400" w:lineRule="exact"/>
        <w:jc w:val="left"/>
        <w:rPr>
          <w:rStyle w:val="169"/>
          <w:rFonts w:hint="eastAsia" w:ascii="宋体" w:hAnsi="宋体"/>
          <w:bCs/>
          <w:color w:val="auto"/>
          <w:sz w:val="21"/>
          <w:szCs w:val="21"/>
          <w:highlight w:val="none"/>
        </w:rPr>
      </w:pPr>
      <w:r>
        <w:rPr>
          <w:rFonts w:hint="eastAsia" w:ascii="宋体" w:hAnsi="宋体"/>
          <w:b/>
          <w:bCs/>
          <w:color w:val="auto"/>
          <w:szCs w:val="21"/>
          <w:highlight w:val="none"/>
        </w:rPr>
        <w:t>B9、供应商认为需要的其他资料（如有需提供）。</w:t>
      </w:r>
    </w:p>
    <w:p>
      <w:pPr>
        <w:spacing w:line="400" w:lineRule="exact"/>
        <w:rPr>
          <w:rFonts w:ascii="宋体" w:hAnsi="宋体"/>
          <w:b/>
          <w:color w:val="auto"/>
          <w:szCs w:val="21"/>
          <w:highlight w:val="none"/>
        </w:rPr>
      </w:pPr>
      <w:r>
        <w:rPr>
          <w:rStyle w:val="169"/>
          <w:rFonts w:ascii="宋体" w:hAnsi="宋体"/>
          <w:color w:val="auto"/>
          <w:sz w:val="21"/>
          <w:szCs w:val="21"/>
          <w:highlight w:val="none"/>
        </w:rPr>
        <w:br w:type="page"/>
      </w:r>
    </w:p>
    <w:p>
      <w:pPr>
        <w:spacing w:line="400" w:lineRule="exact"/>
        <w:rPr>
          <w:rStyle w:val="169"/>
          <w:rFonts w:ascii="宋体" w:hAnsi="宋体"/>
          <w:color w:val="auto"/>
          <w:sz w:val="21"/>
          <w:szCs w:val="21"/>
          <w:highlight w:val="none"/>
        </w:rPr>
      </w:pPr>
      <w:r>
        <w:rPr>
          <w:rFonts w:hint="eastAsia" w:ascii="宋体" w:hAnsi="宋体"/>
          <w:b/>
          <w:color w:val="auto"/>
          <w:szCs w:val="21"/>
          <w:highlight w:val="none"/>
        </w:rPr>
        <w:t xml:space="preserve"> </w:t>
      </w:r>
    </w:p>
    <w:p>
      <w:pPr>
        <w:spacing w:line="400" w:lineRule="exact"/>
        <w:ind w:firstLine="414" w:firstLineChars="200"/>
        <w:jc w:val="left"/>
        <w:rPr>
          <w:rStyle w:val="169"/>
          <w:rFonts w:ascii="宋体" w:hAnsi="宋体"/>
          <w:color w:val="auto"/>
          <w:sz w:val="21"/>
          <w:szCs w:val="21"/>
          <w:highlight w:val="none"/>
        </w:rPr>
      </w:pPr>
    </w:p>
    <w:p>
      <w:pPr>
        <w:spacing w:line="400" w:lineRule="exact"/>
        <w:jc w:val="left"/>
        <w:rPr>
          <w:rStyle w:val="169"/>
          <w:rFonts w:ascii="宋体" w:hAnsi="宋体"/>
          <w:color w:val="auto"/>
          <w:sz w:val="28"/>
          <w:szCs w:val="28"/>
          <w:highlight w:val="none"/>
        </w:rPr>
      </w:pPr>
    </w:p>
    <w:p>
      <w:pPr>
        <w:autoSpaceDE w:val="0"/>
        <w:autoSpaceDN w:val="0"/>
        <w:adjustRightInd w:val="0"/>
        <w:spacing w:before="960" w:beforeLines="400" w:line="420" w:lineRule="exact"/>
        <w:jc w:val="center"/>
        <w:rPr>
          <w:rStyle w:val="169"/>
          <w:rFonts w:ascii="宋体" w:hAnsi="宋体"/>
          <w:color w:val="auto"/>
          <w:sz w:val="32"/>
          <w:szCs w:val="32"/>
          <w:highlight w:val="none"/>
        </w:rPr>
      </w:pPr>
      <w:bookmarkStart w:id="56" w:name="_Toc21541028"/>
      <w:bookmarkStart w:id="57" w:name="_Toc443468293"/>
      <w:r>
        <w:rPr>
          <w:rStyle w:val="169"/>
          <w:rFonts w:ascii="宋体" w:hAnsi="宋体"/>
          <w:color w:val="auto"/>
          <w:sz w:val="32"/>
          <w:szCs w:val="32"/>
          <w:highlight w:val="none"/>
        </w:rPr>
        <w:t>C.</w:t>
      </w:r>
      <w:r>
        <w:rPr>
          <w:rStyle w:val="169"/>
          <w:rFonts w:hint="eastAsia" w:ascii="宋体" w:hAnsi="宋体"/>
          <w:color w:val="auto"/>
          <w:sz w:val="32"/>
          <w:szCs w:val="32"/>
          <w:highlight w:val="none"/>
        </w:rPr>
        <w:t>报价文件</w:t>
      </w:r>
      <w:bookmarkEnd w:id="56"/>
      <w:bookmarkEnd w:id="57"/>
    </w:p>
    <w:p>
      <w:pPr>
        <w:autoSpaceDE w:val="0"/>
        <w:autoSpaceDN w:val="0"/>
        <w:adjustRightInd w:val="0"/>
        <w:spacing w:line="420" w:lineRule="exact"/>
        <w:rPr>
          <w:rStyle w:val="169"/>
          <w:rFonts w:ascii="宋体" w:hAnsi="宋体"/>
          <w:b w:val="0"/>
          <w:color w:val="auto"/>
          <w:highlight w:val="none"/>
          <w:lang w:val="zh-CN"/>
        </w:rPr>
      </w:pPr>
      <w:r>
        <w:rPr>
          <w:rStyle w:val="169"/>
          <w:rFonts w:ascii="宋体" w:hAnsi="宋体"/>
          <w:color w:val="auto"/>
          <w:sz w:val="32"/>
          <w:szCs w:val="32"/>
          <w:highlight w:val="none"/>
        </w:rPr>
        <w:br w:type="page"/>
      </w:r>
      <w:r>
        <w:rPr>
          <w:rStyle w:val="169"/>
          <w:rFonts w:hint="eastAsia" w:ascii="宋体" w:hAnsi="宋体"/>
          <w:color w:val="auto"/>
          <w:sz w:val="21"/>
          <w:szCs w:val="21"/>
          <w:highlight w:val="none"/>
        </w:rPr>
        <w:t>封面</w:t>
      </w:r>
    </w:p>
    <w:p>
      <w:pPr>
        <w:spacing w:line="360" w:lineRule="auto"/>
        <w:rPr>
          <w:rFonts w:ascii="宋体" w:hAnsi="宋体"/>
          <w:color w:val="auto"/>
          <w:sz w:val="28"/>
          <w:szCs w:val="28"/>
          <w:highlight w:val="none"/>
        </w:rPr>
      </w:pPr>
    </w:p>
    <w:p>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海曙区高桥镇长乐未来社区项目房屋征收第三方服务采购项目</w:t>
      </w:r>
    </w:p>
    <w:p>
      <w:pPr>
        <w:spacing w:line="360" w:lineRule="auto"/>
        <w:jc w:val="center"/>
        <w:rPr>
          <w:rFonts w:hint="eastAsia" w:ascii="宋体" w:hAnsi="宋体"/>
          <w:color w:val="auto"/>
          <w:sz w:val="36"/>
          <w:szCs w:val="36"/>
          <w:highlight w:val="none"/>
          <w:u w:val="single"/>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2022NBHSWT007</w:t>
      </w:r>
    </w:p>
    <w:p>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4"/>
        <w:ind w:left="101" w:leftChars="48" w:firstLine="1920" w:firstLineChars="800"/>
        <w:jc w:val="left"/>
        <w:rPr>
          <w:rFonts w:hAnsi="宋体"/>
          <w:color w:val="auto"/>
          <w:kern w:val="2"/>
          <w:szCs w:val="28"/>
          <w:highlight w:val="none"/>
          <w:u w:val="single"/>
        </w:rPr>
      </w:pPr>
    </w:p>
    <w:p>
      <w:pPr>
        <w:spacing w:line="360" w:lineRule="auto"/>
        <w:jc w:val="center"/>
        <w:rPr>
          <w:b/>
          <w:color w:val="auto"/>
          <w:sz w:val="36"/>
          <w:szCs w:val="36"/>
          <w:highlight w:val="none"/>
        </w:rPr>
      </w:pPr>
      <w:bookmarkStart w:id="58" w:name="_Toc443468294"/>
      <w:bookmarkStart w:id="59" w:name="_Toc21541029"/>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58"/>
      <w:bookmarkEnd w:id="59"/>
    </w:p>
    <w:p>
      <w:pPr>
        <w:spacing w:line="360" w:lineRule="auto"/>
        <w:jc w:val="center"/>
        <w:rPr>
          <w:rStyle w:val="169"/>
          <w:rFonts w:ascii="宋体" w:hAnsi="宋体"/>
          <w:color w:val="auto"/>
          <w:sz w:val="28"/>
          <w:szCs w:val="28"/>
          <w:highlight w:val="none"/>
        </w:rPr>
      </w:pPr>
    </w:p>
    <w:p>
      <w:pPr>
        <w:rPr>
          <w:color w:val="auto"/>
          <w:highlight w:val="none"/>
        </w:rPr>
      </w:pPr>
    </w:p>
    <w:p>
      <w:pPr>
        <w:spacing w:line="400" w:lineRule="exact"/>
        <w:jc w:val="center"/>
        <w:rPr>
          <w:rFonts w:ascii="宋体" w:hAnsi="宋体"/>
          <w:b/>
          <w:color w:val="auto"/>
          <w:szCs w:val="21"/>
          <w:highlight w:val="none"/>
        </w:rPr>
      </w:pPr>
      <w:r>
        <w:rPr>
          <w:rStyle w:val="169"/>
          <w:rFonts w:ascii="宋体" w:hAnsi="宋体"/>
          <w:color w:val="auto"/>
          <w:sz w:val="28"/>
          <w:szCs w:val="28"/>
          <w:highlight w:val="none"/>
        </w:rPr>
        <w:br w:type="page"/>
      </w:r>
      <w:bookmarkEnd w:id="54"/>
      <w:bookmarkEnd w:id="55"/>
      <w:bookmarkStart w:id="60" w:name="_Toc21541030"/>
      <w:r>
        <w:rPr>
          <w:rFonts w:ascii="宋体" w:hAnsi="宋体"/>
          <w:b/>
          <w:bCs/>
          <w:color w:val="auto"/>
          <w:szCs w:val="21"/>
          <w:highlight w:val="none"/>
        </w:rPr>
        <w:t>C1</w:t>
      </w:r>
      <w:r>
        <w:rPr>
          <w:rFonts w:hint="eastAsia" w:ascii="宋体" w:hAnsi="宋体"/>
          <w:b/>
          <w:bCs/>
          <w:color w:val="auto"/>
          <w:szCs w:val="21"/>
          <w:highlight w:val="none"/>
        </w:rPr>
        <w:t>开标一览表</w:t>
      </w:r>
      <w:bookmarkEnd w:id="60"/>
    </w:p>
    <w:p>
      <w:pPr>
        <w:pStyle w:val="18"/>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海曙区高桥镇长乐未来社区项目房屋征收第三方服务采购项目</w:t>
      </w:r>
    </w:p>
    <w:p>
      <w:pPr>
        <w:pStyle w:val="18"/>
        <w:spacing w:line="400" w:lineRule="exact"/>
        <w:ind w:firstLine="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2022NBHSWT007</w:t>
      </w:r>
    </w:p>
    <w:p>
      <w:pPr>
        <w:pStyle w:val="22"/>
        <w:snapToGrid w:val="0"/>
        <w:spacing w:line="400" w:lineRule="exact"/>
        <w:ind w:firstLine="2520" w:firstLineChars="1200"/>
        <w:rPr>
          <w:color w:val="auto"/>
          <w:kern w:val="2"/>
          <w:sz w:val="21"/>
          <w:szCs w:val="21"/>
          <w:highlight w:val="none"/>
        </w:rPr>
      </w:pPr>
      <w:r>
        <w:rPr>
          <w:color w:val="auto"/>
          <w:kern w:val="2"/>
          <w:sz w:val="21"/>
          <w:szCs w:val="21"/>
          <w:highlight w:val="none"/>
        </w:rPr>
        <w:t xml:space="preserve">                                    </w:t>
      </w:r>
      <w:r>
        <w:rPr>
          <w:rFonts w:hint="eastAsia"/>
          <w:color w:val="auto"/>
          <w:kern w:val="2"/>
          <w:sz w:val="21"/>
          <w:szCs w:val="21"/>
          <w:highlight w:val="none"/>
        </w:rPr>
        <w:t>金额单位：人民币（元）</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015"/>
        <w:gridCol w:w="1860"/>
        <w:gridCol w:w="233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2" w:hRule="atLeast"/>
          <w:jc w:val="center"/>
        </w:trPr>
        <w:tc>
          <w:tcPr>
            <w:tcW w:w="793" w:type="dxa"/>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标项</w:t>
            </w:r>
          </w:p>
        </w:tc>
        <w:tc>
          <w:tcPr>
            <w:tcW w:w="3015" w:type="dxa"/>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名称</w:t>
            </w:r>
          </w:p>
        </w:tc>
        <w:tc>
          <w:tcPr>
            <w:tcW w:w="1860" w:type="dxa"/>
            <w:noWrap w:val="0"/>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服务期限</w:t>
            </w:r>
          </w:p>
        </w:tc>
        <w:tc>
          <w:tcPr>
            <w:tcW w:w="2336" w:type="dxa"/>
            <w:noWrap w:val="0"/>
            <w:vAlign w:val="center"/>
          </w:tcPr>
          <w:p>
            <w:pPr>
              <w:snapToGri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元/平方米</w:t>
            </w:r>
            <w:r>
              <w:rPr>
                <w:rFonts w:hint="eastAsia" w:ascii="宋体" w:hAnsi="宋体"/>
                <w:color w:val="auto"/>
                <w:szCs w:val="21"/>
                <w:highlight w:val="none"/>
                <w:lang w:eastAsia="zh-CN"/>
              </w:rPr>
              <w:t>）</w:t>
            </w:r>
          </w:p>
        </w:tc>
        <w:tc>
          <w:tcPr>
            <w:tcW w:w="1710" w:type="dxa"/>
            <w:noWrap w:val="0"/>
            <w:vAlign w:val="center"/>
          </w:tcPr>
          <w:p>
            <w:pPr>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2" w:hRule="atLeast"/>
          <w:jc w:val="center"/>
        </w:trPr>
        <w:tc>
          <w:tcPr>
            <w:tcW w:w="793" w:type="dxa"/>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3015" w:type="dxa"/>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海曙区高桥镇长乐未来社区项目房屋征收第三方服务</w:t>
            </w:r>
          </w:p>
        </w:tc>
        <w:tc>
          <w:tcPr>
            <w:tcW w:w="1860" w:type="dxa"/>
            <w:noWrap w:val="0"/>
            <w:vAlign w:val="center"/>
          </w:tcPr>
          <w:p>
            <w:pPr>
              <w:snapToGrid w:val="0"/>
              <w:spacing w:line="400" w:lineRule="exact"/>
              <w:jc w:val="center"/>
              <w:rPr>
                <w:rFonts w:hint="eastAsia" w:ascii="宋体" w:hAnsi="宋体"/>
                <w:color w:val="auto"/>
                <w:szCs w:val="21"/>
                <w:highlight w:val="none"/>
              </w:rPr>
            </w:pPr>
          </w:p>
        </w:tc>
        <w:tc>
          <w:tcPr>
            <w:tcW w:w="2336" w:type="dxa"/>
            <w:noWrap w:val="0"/>
            <w:vAlign w:val="center"/>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大写：</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小写：</w:t>
            </w:r>
          </w:p>
        </w:tc>
        <w:tc>
          <w:tcPr>
            <w:tcW w:w="1710" w:type="dxa"/>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本报价作为价格分的评审依据</w:t>
            </w:r>
          </w:p>
        </w:tc>
      </w:tr>
    </w:tbl>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outlineLvl w:val="9"/>
        <w:rPr>
          <w:rFonts w:hint="default" w:hAnsi="宋体" w:eastAsia="宋体" w:cs="宋体"/>
          <w:color w:val="auto"/>
          <w:sz w:val="21"/>
          <w:szCs w:val="21"/>
          <w:highlight w:val="none"/>
          <w:lang w:val="en-US"/>
        </w:rPr>
      </w:pPr>
      <w:r>
        <w:rPr>
          <w:rFonts w:hint="eastAsia" w:ascii="宋体" w:hAnsi="宋体"/>
          <w:color w:val="auto"/>
          <w:szCs w:val="21"/>
          <w:highlight w:val="none"/>
        </w:rPr>
        <w:t>备注：</w:t>
      </w:r>
      <w:r>
        <w:rPr>
          <w:rFonts w:hint="eastAsia" w:ascii="宋体" w:hAnsi="宋体"/>
          <w:b w:val="0"/>
          <w:bCs/>
          <w:color w:val="auto"/>
          <w:sz w:val="21"/>
          <w:szCs w:val="21"/>
          <w:highlight w:val="none"/>
          <w:lang w:val="en-US" w:eastAsia="zh-CN"/>
        </w:rPr>
        <w:t>本项目服务单价最高限价为20元/</w:t>
      </w:r>
      <w:r>
        <w:rPr>
          <w:rFonts w:hint="eastAsia" w:ascii="宋体" w:hAnsi="宋体"/>
          <w:color w:val="auto"/>
          <w:szCs w:val="21"/>
          <w:highlight w:val="none"/>
          <w:lang w:val="en-US" w:eastAsia="zh-CN"/>
        </w:rPr>
        <w:t>平方米</w:t>
      </w:r>
      <w:r>
        <w:rPr>
          <w:rFonts w:hint="eastAsia" w:ascii="宋体" w:hAnsi="宋体"/>
          <w:b w:val="0"/>
          <w:bCs/>
          <w:color w:val="auto"/>
          <w:sz w:val="21"/>
          <w:szCs w:val="21"/>
          <w:highlight w:val="none"/>
          <w:lang w:val="en-US" w:eastAsia="zh-CN"/>
        </w:rPr>
        <w:t>，</w:t>
      </w:r>
      <w:r>
        <w:rPr>
          <w:rFonts w:hint="eastAsia" w:ascii="宋体" w:hAnsi="宋体"/>
          <w:color w:val="auto"/>
          <w:szCs w:val="21"/>
          <w:highlight w:val="none"/>
        </w:rPr>
        <w:t>投标报价超出单价控制价的投标无效。</w:t>
      </w:r>
    </w:p>
    <w:p>
      <w:pPr>
        <w:snapToGrid w:val="0"/>
        <w:spacing w:line="400" w:lineRule="exact"/>
        <w:rPr>
          <w:rFonts w:hint="eastAsia" w:ascii="宋体" w:hAnsi="宋体"/>
          <w:color w:val="auto"/>
          <w:szCs w:val="21"/>
          <w:highlight w:val="none"/>
        </w:rPr>
      </w:pPr>
    </w:p>
    <w:p>
      <w:pPr>
        <w:spacing w:line="400" w:lineRule="atLeast"/>
        <w:jc w:val="left"/>
        <w:rPr>
          <w:rFonts w:ascii="宋体"/>
          <w:color w:val="auto"/>
          <w:szCs w:val="21"/>
          <w:highlight w:val="none"/>
        </w:rPr>
      </w:pPr>
    </w:p>
    <w:p>
      <w:pPr>
        <w:spacing w:line="400" w:lineRule="atLeast"/>
        <w:jc w:val="left"/>
        <w:rPr>
          <w:rFonts w:ascii="宋体" w:hAnsi="宋体"/>
          <w:color w:val="auto"/>
          <w:szCs w:val="21"/>
          <w:highlight w:val="none"/>
        </w:rPr>
      </w:pPr>
    </w:p>
    <w:p>
      <w:pPr>
        <w:spacing w:line="400" w:lineRule="atLeast"/>
        <w:jc w:val="left"/>
        <w:rPr>
          <w:rFonts w:hint="eastAsia"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hint="eastAsia"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rPr>
      </w:pPr>
    </w:p>
    <w:p>
      <w:pPr>
        <w:autoSpaceDE w:val="0"/>
        <w:autoSpaceDN w:val="0"/>
        <w:adjustRightInd w:val="0"/>
        <w:spacing w:line="400" w:lineRule="exact"/>
        <w:jc w:val="center"/>
        <w:outlineLvl w:val="0"/>
        <w:rPr>
          <w:rFonts w:ascii="宋体" w:hAnsi="宋体"/>
          <w:color w:val="auto"/>
          <w:szCs w:val="21"/>
          <w:highlight w:val="none"/>
        </w:rPr>
        <w:sectPr>
          <w:headerReference r:id="rId8" w:type="default"/>
          <w:footerReference r:id="rId9" w:type="default"/>
          <w:pgSz w:w="11907" w:h="16840"/>
          <w:pgMar w:top="1138" w:right="1588" w:bottom="1423" w:left="1339" w:header="285" w:footer="990" w:gutter="0"/>
          <w:cols w:space="720" w:num="1"/>
          <w:docGrid w:linePitch="285" w:charSpace="0"/>
        </w:sectPr>
      </w:pPr>
    </w:p>
    <w:p>
      <w:pPr>
        <w:spacing w:line="400" w:lineRule="exact"/>
        <w:jc w:val="center"/>
        <w:rPr>
          <w:rFonts w:ascii="宋体" w:hAnsi="宋体"/>
          <w:b/>
          <w:bCs/>
          <w:color w:val="auto"/>
          <w:szCs w:val="21"/>
          <w:highlight w:val="none"/>
        </w:rPr>
      </w:pPr>
      <w:bookmarkStart w:id="61" w:name="_Toc21541032"/>
      <w:r>
        <w:rPr>
          <w:rFonts w:ascii="宋体" w:hAnsi="宋体"/>
          <w:b/>
          <w:bCs/>
          <w:color w:val="auto"/>
          <w:szCs w:val="21"/>
          <w:highlight w:val="none"/>
        </w:rPr>
        <w:t>C</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中小企业声明函</w:t>
      </w:r>
      <w:bookmarkEnd w:id="61"/>
    </w:p>
    <w:p>
      <w:pPr>
        <w:spacing w:line="400" w:lineRule="exact"/>
        <w:rPr>
          <w:rFonts w:ascii="宋体" w:hAnsi="宋体"/>
          <w:b/>
          <w:color w:val="auto"/>
          <w:szCs w:val="21"/>
          <w:highlight w:val="none"/>
        </w:rPr>
      </w:pPr>
    </w:p>
    <w:p>
      <w:pPr>
        <w:widowControl/>
        <w:spacing w:before="100" w:beforeAutospacing="1" w:after="100" w:afterAutospacing="1"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本公司（联合体）郑重声明，根据《政府采购促进中小企业发展管理办法》（财库﹝2020﹞46号）的规定，本公司（联合体）参加</w:t>
      </w:r>
      <w:r>
        <w:rPr>
          <w:rFonts w:ascii="宋体" w:hAnsi="宋体" w:cs="宋体"/>
          <w:iCs/>
          <w:color w:val="auto"/>
          <w:kern w:val="0"/>
          <w:szCs w:val="21"/>
          <w:highlight w:val="none"/>
          <w:u w:val="single"/>
        </w:rPr>
        <w:t>（单位名称）</w:t>
      </w:r>
      <w:r>
        <w:rPr>
          <w:rFonts w:ascii="宋体" w:hAnsi="宋体" w:cs="宋体"/>
          <w:color w:val="auto"/>
          <w:kern w:val="0"/>
          <w:szCs w:val="21"/>
          <w:highlight w:val="none"/>
        </w:rPr>
        <w:t>的</w:t>
      </w:r>
      <w:r>
        <w:rPr>
          <w:rFonts w:ascii="宋体" w:hAnsi="宋体" w:cs="宋体"/>
          <w:iCs/>
          <w:color w:val="auto"/>
          <w:kern w:val="0"/>
          <w:szCs w:val="21"/>
          <w:highlight w:val="none"/>
          <w:u w:val="single"/>
        </w:rPr>
        <w:t>（项目名称）</w:t>
      </w:r>
      <w:r>
        <w:rPr>
          <w:rFonts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3825"/>
        </w:tabs>
        <w:spacing w:line="360" w:lineRule="auto"/>
        <w:ind w:firstLine="525" w:firstLineChars="250"/>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项目</w:t>
      </w:r>
      <w:r>
        <w:rPr>
          <w:rFonts w:ascii="宋体" w:hAnsi="宋体" w:cs="宋体"/>
          <w:color w:val="auto"/>
          <w:kern w:val="0"/>
          <w:szCs w:val="21"/>
          <w:highlight w:val="none"/>
        </w:rPr>
        <w:t>，属于</w:t>
      </w:r>
      <w:r>
        <w:rPr>
          <w:rFonts w:hint="eastAsia" w:ascii="宋体" w:hAnsi="宋体" w:cs="宋体"/>
          <w:b/>
          <w:bCs/>
          <w:color w:val="auto"/>
          <w:kern w:val="0"/>
          <w:szCs w:val="21"/>
          <w:highlight w:val="none"/>
          <w:u w:val="single"/>
        </w:rPr>
        <w:t>其他未列明行业</w:t>
      </w:r>
      <w:r>
        <w:rPr>
          <w:rFonts w:ascii="宋体" w:hAnsi="宋体" w:cs="宋体"/>
          <w:color w:val="auto"/>
          <w:kern w:val="0"/>
          <w:szCs w:val="21"/>
          <w:highlight w:val="none"/>
        </w:rPr>
        <w:t>；承建（承接）企业为</w:t>
      </w:r>
      <w:r>
        <w:rPr>
          <w:rFonts w:ascii="宋体" w:hAnsi="宋体" w:cs="宋体"/>
          <w:iCs/>
          <w:color w:val="auto"/>
          <w:kern w:val="0"/>
          <w:szCs w:val="21"/>
          <w:highlight w:val="none"/>
          <w:u w:val="single"/>
        </w:rPr>
        <w:t>（企业名称）</w:t>
      </w:r>
      <w:r>
        <w:rPr>
          <w:rFonts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w:t>
      </w:r>
      <w:r>
        <w:rPr>
          <w:rFonts w:ascii="宋体" w:hAnsi="宋体" w:cs="宋体"/>
          <w:iCs/>
          <w:color w:val="auto"/>
          <w:kern w:val="0"/>
          <w:szCs w:val="21"/>
          <w:highlight w:val="none"/>
          <w:u w:val="single"/>
        </w:rPr>
        <w:t>（中型企业、小型企业、微型企业）</w:t>
      </w:r>
      <w:r>
        <w:rPr>
          <w:rFonts w:ascii="宋体" w:hAnsi="宋体" w:cs="宋体"/>
          <w:color w:val="auto"/>
          <w:kern w:val="0"/>
          <w:szCs w:val="21"/>
          <w:highlight w:val="none"/>
        </w:rPr>
        <w:t>；</w:t>
      </w:r>
    </w:p>
    <w:p>
      <w:pPr>
        <w:widowControl/>
        <w:spacing w:before="100" w:beforeAutospacing="1" w:after="100" w:afterAutospacing="1" w:line="360" w:lineRule="auto"/>
        <w:ind w:left="420" w:leftChars="200"/>
        <w:jc w:val="left"/>
        <w:rPr>
          <w:rFonts w:ascii="宋体" w:hAnsi="宋体" w:cs="宋体"/>
          <w:color w:val="auto"/>
          <w:kern w:val="0"/>
          <w:szCs w:val="21"/>
          <w:highlight w:val="none"/>
        </w:rPr>
      </w:pPr>
      <w:r>
        <w:rPr>
          <w:rFonts w:ascii="宋体" w:hAnsi="宋体" w:cs="宋体"/>
          <w:color w:val="auto"/>
          <w:kern w:val="0"/>
          <w:szCs w:val="21"/>
          <w:highlight w:val="none"/>
        </w:rPr>
        <w:t>……</w:t>
      </w:r>
    </w:p>
    <w:p>
      <w:pPr>
        <w:widowControl/>
        <w:spacing w:before="100" w:beforeAutospacing="1" w:after="100" w:afterAutospacing="1" w:line="360" w:lineRule="auto"/>
        <w:ind w:left="420" w:leftChars="200"/>
        <w:jc w:val="left"/>
        <w:rPr>
          <w:rFonts w:ascii="宋体" w:hAnsi="宋体" w:cs="宋体"/>
          <w:color w:val="auto"/>
          <w:kern w:val="0"/>
          <w:szCs w:val="21"/>
          <w:highlight w:val="none"/>
        </w:rPr>
      </w:pPr>
      <w:r>
        <w:rPr>
          <w:rFonts w:ascii="宋体" w:hAnsi="宋体" w:cs="宋体"/>
          <w:color w:val="auto"/>
          <w:kern w:val="0"/>
          <w:szCs w:val="21"/>
          <w:highlight w:val="none"/>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left="420" w:leftChars="200"/>
        <w:jc w:val="left"/>
        <w:rPr>
          <w:rFonts w:hint="eastAsia" w:ascii="宋体" w:hAnsi="宋体" w:cs="宋体"/>
          <w:color w:val="auto"/>
          <w:kern w:val="0"/>
          <w:szCs w:val="21"/>
          <w:highlight w:val="none"/>
        </w:rPr>
      </w:pPr>
      <w:r>
        <w:rPr>
          <w:rFonts w:ascii="宋体" w:hAnsi="宋体" w:cs="宋体"/>
          <w:color w:val="auto"/>
          <w:kern w:val="0"/>
          <w:szCs w:val="21"/>
          <w:highlight w:val="none"/>
        </w:rPr>
        <w:t>本企业对上述声明内容的真实性负责。如有虚假，将依法承担相应责任。</w:t>
      </w:r>
    </w:p>
    <w:p>
      <w:pPr>
        <w:pStyle w:val="16"/>
        <w:spacing w:line="400" w:lineRule="exact"/>
        <w:ind w:firstLine="420" w:firstLineChars="200"/>
        <w:jc w:val="center"/>
        <w:rPr>
          <w:rFonts w:hint="eastAsia" w:cs="宋体"/>
          <w:color w:val="auto"/>
          <w:sz w:val="21"/>
          <w:szCs w:val="21"/>
          <w:highlight w:val="none"/>
        </w:rPr>
      </w:pPr>
    </w:p>
    <w:p>
      <w:pPr>
        <w:pStyle w:val="16"/>
        <w:spacing w:line="400" w:lineRule="exact"/>
        <w:ind w:firstLine="420" w:firstLineChars="200"/>
        <w:jc w:val="center"/>
        <w:rPr>
          <w:rFonts w:hint="eastAsia" w:cs="宋体"/>
          <w:color w:val="auto"/>
          <w:sz w:val="21"/>
          <w:szCs w:val="21"/>
          <w:highlight w:val="none"/>
        </w:rPr>
      </w:pPr>
    </w:p>
    <w:p>
      <w:pPr>
        <w:pStyle w:val="16"/>
        <w:spacing w:line="400" w:lineRule="exact"/>
        <w:ind w:firstLine="420" w:firstLineChars="200"/>
        <w:jc w:val="center"/>
        <w:rPr>
          <w:rFonts w:hint="eastAsia" w:cs="宋体"/>
          <w:color w:val="auto"/>
          <w:sz w:val="21"/>
          <w:szCs w:val="21"/>
          <w:highlight w:val="none"/>
        </w:rPr>
      </w:pPr>
      <w:r>
        <w:rPr>
          <w:rFonts w:hint="eastAsia" w:cs="宋体"/>
          <w:color w:val="auto"/>
          <w:sz w:val="21"/>
          <w:szCs w:val="21"/>
          <w:highlight w:val="none"/>
        </w:rPr>
        <w:t xml:space="preserve">企业名称（盖章）： </w:t>
      </w:r>
    </w:p>
    <w:p>
      <w:pPr>
        <w:spacing w:line="400" w:lineRule="exact"/>
        <w:ind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日 期：</w:t>
      </w:r>
    </w:p>
    <w:p>
      <w:pPr>
        <w:spacing w:line="400" w:lineRule="exact"/>
        <w:ind w:firstLine="3780" w:firstLineChars="1800"/>
        <w:rPr>
          <w:rFonts w:hint="eastAsia" w:ascii="宋体" w:hAnsi="宋体" w:cs="宋体"/>
          <w:color w:val="auto"/>
          <w:szCs w:val="21"/>
          <w:highlight w:val="none"/>
        </w:rPr>
      </w:pPr>
    </w:p>
    <w:p>
      <w:pPr>
        <w:spacing w:line="400" w:lineRule="exact"/>
        <w:ind w:firstLine="3780" w:firstLineChars="1800"/>
        <w:rPr>
          <w:rFonts w:hint="eastAsia" w:ascii="宋体" w:hAnsi="宋体"/>
          <w:color w:val="auto"/>
          <w:szCs w:val="21"/>
          <w:highlight w:val="none"/>
        </w:rPr>
      </w:pPr>
    </w:p>
    <w:p>
      <w:pPr>
        <w:spacing w:line="400" w:lineRule="exact"/>
        <w:ind w:firstLine="3780" w:firstLineChars="1800"/>
        <w:rPr>
          <w:rFonts w:hint="eastAsia" w:ascii="宋体" w:hAnsi="宋体"/>
          <w:color w:val="auto"/>
          <w:szCs w:val="21"/>
          <w:highlight w:val="none"/>
        </w:rPr>
      </w:pPr>
    </w:p>
    <w:p>
      <w:pPr>
        <w:spacing w:line="400" w:lineRule="exact"/>
        <w:ind w:firstLine="3780" w:firstLineChars="1800"/>
        <w:rPr>
          <w:rFonts w:hint="eastAsia" w:ascii="宋体" w:hAnsi="宋体"/>
          <w:color w:val="auto"/>
          <w:szCs w:val="21"/>
          <w:highlight w:val="none"/>
        </w:rPr>
      </w:pPr>
    </w:p>
    <w:p>
      <w:pPr>
        <w:spacing w:line="400" w:lineRule="exact"/>
        <w:ind w:firstLine="3780" w:firstLineChars="1800"/>
        <w:rPr>
          <w:rFonts w:hint="eastAsia" w:ascii="宋体" w:hAnsi="宋体"/>
          <w:color w:val="auto"/>
          <w:szCs w:val="21"/>
          <w:highlight w:val="none"/>
        </w:rPr>
      </w:pPr>
    </w:p>
    <w:p>
      <w:pPr>
        <w:spacing w:line="400" w:lineRule="exact"/>
        <w:ind w:firstLine="3780" w:firstLineChars="1800"/>
        <w:rPr>
          <w:rFonts w:hint="eastAsia" w:ascii="宋体" w:hAnsi="宋体"/>
          <w:color w:val="auto"/>
          <w:szCs w:val="21"/>
          <w:highlight w:val="none"/>
        </w:rPr>
      </w:pPr>
    </w:p>
    <w:p>
      <w:pPr>
        <w:pStyle w:val="16"/>
        <w:spacing w:line="400" w:lineRule="exact"/>
        <w:ind w:firstLine="420" w:firstLineChars="200"/>
        <w:jc w:val="left"/>
        <w:rPr>
          <w:rFonts w:hint="eastAsia" w:cs="宋体"/>
          <w:color w:val="auto"/>
          <w:sz w:val="21"/>
          <w:szCs w:val="21"/>
          <w:highlight w:val="none"/>
        </w:rPr>
      </w:pPr>
    </w:p>
    <w:p>
      <w:pPr>
        <w:numPr>
          <w:ilvl w:val="0"/>
          <w:numId w:val="4"/>
        </w:numPr>
        <w:spacing w:line="588" w:lineRule="exact"/>
        <w:rPr>
          <w:rFonts w:hint="eastAsia"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pPr>
        <w:numPr>
          <w:ilvl w:val="0"/>
          <w:numId w:val="4"/>
        </w:numPr>
        <w:spacing w:line="588" w:lineRule="exact"/>
        <w:rPr>
          <w:rFonts w:hint="eastAsia" w:ascii="宋体" w:hAnsi="宋体"/>
          <w:color w:val="auto"/>
          <w:szCs w:val="21"/>
          <w:highlight w:val="none"/>
        </w:rPr>
      </w:pPr>
      <w:r>
        <w:rPr>
          <w:rFonts w:hint="eastAsia" w:ascii="宋体" w:hAnsi="宋体"/>
          <w:color w:val="auto"/>
          <w:szCs w:val="21"/>
          <w:highlight w:val="none"/>
        </w:rPr>
        <w:t>采购文件中明确的所属行业：详见招标文件第三章。</w:t>
      </w:r>
    </w:p>
    <w:p>
      <w:pPr>
        <w:spacing w:line="588" w:lineRule="exact"/>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C</w:t>
      </w:r>
      <w:r>
        <w:rPr>
          <w:rFonts w:hint="eastAsia" w:ascii="宋体" w:hAnsi="宋体"/>
          <w:b/>
          <w:color w:val="auto"/>
          <w:szCs w:val="21"/>
          <w:highlight w:val="none"/>
          <w:lang w:val="en-US" w:eastAsia="zh-CN"/>
        </w:rPr>
        <w:t>3</w:t>
      </w:r>
      <w:r>
        <w:rPr>
          <w:rFonts w:hint="eastAsia" w:ascii="宋体" w:hAnsi="宋体"/>
          <w:b/>
          <w:color w:val="auto"/>
          <w:szCs w:val="21"/>
          <w:highlight w:val="none"/>
        </w:rPr>
        <w:t>残疾人福利性单位声明函（如有需提供）</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 w:val="44"/>
          <w:szCs w:val="44"/>
          <w:highlight w:val="none"/>
        </w:rPr>
      </w:pPr>
    </w:p>
    <w:p>
      <w:pPr>
        <w:spacing w:line="400" w:lineRule="exact"/>
        <w:jc w:val="center"/>
        <w:rPr>
          <w:rFonts w:ascii="宋体" w:hAnsi="宋体"/>
          <w:b/>
          <w:bCs/>
          <w:color w:val="auto"/>
          <w:szCs w:val="21"/>
          <w:highlight w:val="none"/>
        </w:rPr>
      </w:pPr>
      <w:r>
        <w:rPr>
          <w:rStyle w:val="169"/>
          <w:rFonts w:ascii="宋体" w:hAnsi="宋体"/>
          <w:color w:val="auto"/>
          <w:sz w:val="21"/>
          <w:szCs w:val="21"/>
          <w:highlight w:val="none"/>
        </w:rPr>
        <w:br w:type="page"/>
      </w:r>
      <w:bookmarkStart w:id="62" w:name="_Toc21541033"/>
      <w:r>
        <w:rPr>
          <w:rFonts w:ascii="宋体" w:hAnsi="宋体"/>
          <w:b/>
          <w:bCs/>
          <w:color w:val="auto"/>
          <w:szCs w:val="21"/>
          <w:highlight w:val="none"/>
        </w:rPr>
        <w:t>C</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供应商认为需要的其他资料（如有需提供）</w:t>
      </w:r>
      <w:bookmarkEnd w:id="62"/>
    </w:p>
    <w:p>
      <w:pPr>
        <w:autoSpaceDE w:val="0"/>
        <w:autoSpaceDN w:val="0"/>
        <w:adjustRightInd w:val="0"/>
        <w:spacing w:line="400" w:lineRule="exact"/>
        <w:outlineLvl w:val="0"/>
        <w:rPr>
          <w:rFonts w:ascii="宋体" w:hAnsi="宋体"/>
          <w:b/>
          <w:color w:val="auto"/>
          <w:szCs w:val="21"/>
          <w:highlight w:val="none"/>
        </w:rPr>
      </w:pPr>
    </w:p>
    <w:p>
      <w:pPr>
        <w:autoSpaceDE w:val="0"/>
        <w:autoSpaceDN w:val="0"/>
        <w:adjustRightInd w:val="0"/>
        <w:spacing w:line="400" w:lineRule="exact"/>
        <w:jc w:val="center"/>
        <w:outlineLvl w:val="0"/>
        <w:rPr>
          <w:b/>
          <w:color w:val="auto"/>
          <w:highlight w:val="none"/>
        </w:rPr>
      </w:pPr>
      <w:r>
        <w:rPr>
          <w:rStyle w:val="169"/>
          <w:rFonts w:ascii="宋体" w:hAnsi="宋体"/>
          <w:color w:val="auto"/>
          <w:sz w:val="21"/>
          <w:szCs w:val="21"/>
          <w:highlight w:val="none"/>
        </w:rPr>
        <w:br w:type="page"/>
      </w:r>
      <w:bookmarkStart w:id="63" w:name="_Toc90369655"/>
      <w:r>
        <w:rPr>
          <w:rFonts w:hint="eastAsia"/>
          <w:b/>
          <w:color w:val="auto"/>
          <w:highlight w:val="none"/>
        </w:rPr>
        <w:t>政府采购活动现场确认声明书</w:t>
      </w:r>
      <w:bookmarkEnd w:id="63"/>
    </w:p>
    <w:p>
      <w:pPr>
        <w:pStyle w:val="182"/>
        <w:snapToGrid w:val="0"/>
        <w:spacing w:line="400" w:lineRule="exact"/>
        <w:rPr>
          <w:rFonts w:hAnsi="宋体"/>
          <w:color w:val="auto"/>
          <w:szCs w:val="21"/>
          <w:highlight w:val="none"/>
        </w:rPr>
      </w:pPr>
      <w:r>
        <w:rPr>
          <w:rFonts w:hint="eastAsia" w:hAnsi="宋体"/>
          <w:color w:val="auto"/>
          <w:szCs w:val="21"/>
          <w:highlight w:val="none"/>
        </w:rPr>
        <w:t>致：采购人</w:t>
      </w:r>
    </w:p>
    <w:p>
      <w:pPr>
        <w:pStyle w:val="182"/>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海曙区高桥镇长乐未来社区项目房屋征收第三方服务采购项目</w:t>
      </w:r>
      <w:r>
        <w:rPr>
          <w:rFonts w:hint="eastAsia" w:hAnsi="宋体"/>
          <w:color w:val="auto"/>
          <w:szCs w:val="21"/>
          <w:highlight w:val="none"/>
        </w:rPr>
        <w:t>（项目编号：</w:t>
      </w:r>
      <w:r>
        <w:rPr>
          <w:rFonts w:hint="eastAsia" w:hAnsi="宋体"/>
          <w:color w:val="auto"/>
          <w:szCs w:val="21"/>
          <w:highlight w:val="none"/>
          <w:u w:val="single"/>
          <w:lang w:eastAsia="zh-CN"/>
        </w:rPr>
        <w:t>2022NBHSWT007</w:t>
      </w:r>
      <w:r>
        <w:rPr>
          <w:rFonts w:hint="eastAsia" w:hAnsi="宋体"/>
          <w:color w:val="auto"/>
          <w:szCs w:val="21"/>
          <w:highlight w:val="none"/>
        </w:rPr>
        <w:t>）政府采购活动，经与本单位法人代表（负责人）联系确认，现就有关公平竞争事项郑重声明如下：</w:t>
      </w:r>
    </w:p>
    <w:p>
      <w:pPr>
        <w:pStyle w:val="301"/>
        <w:widowControl/>
        <w:numPr>
          <w:ilvl w:val="0"/>
          <w:numId w:val="5"/>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301"/>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301"/>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301"/>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pPr>
        <w:pStyle w:val="301"/>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301"/>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301"/>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301"/>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3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301"/>
        <w:widowControl/>
        <w:numPr>
          <w:ilvl w:val="0"/>
          <w:numId w:val="6"/>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301"/>
        <w:widowControl/>
        <w:numPr>
          <w:ilvl w:val="0"/>
          <w:numId w:val="6"/>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pPr>
        <w:pStyle w:val="182"/>
        <w:snapToGrid w:val="0"/>
        <w:spacing w:line="400" w:lineRule="exact"/>
        <w:ind w:firstLine="420" w:firstLineChars="200"/>
        <w:rPr>
          <w:rFonts w:hAnsi="宋体"/>
          <w:color w:val="auto"/>
          <w:szCs w:val="21"/>
          <w:highlight w:val="none"/>
        </w:rPr>
      </w:pPr>
    </w:p>
    <w:p>
      <w:pPr>
        <w:pStyle w:val="182"/>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、本表在开标现场由代理机构提供给各供应商，由各供应商签署。</w:t>
      </w:r>
    </w:p>
    <w:p>
      <w:pPr>
        <w:autoSpaceDE w:val="0"/>
        <w:autoSpaceDN w:val="0"/>
        <w:adjustRightInd w:val="0"/>
        <w:spacing w:line="400" w:lineRule="exact"/>
        <w:jc w:val="center"/>
        <w:outlineLvl w:val="0"/>
        <w:rPr>
          <w:rFonts w:hint="eastAsia"/>
          <w:b/>
          <w:color w:val="auto"/>
          <w:highlight w:val="none"/>
        </w:rPr>
      </w:pPr>
      <w:r>
        <w:rPr>
          <w:rFonts w:ascii="宋体" w:hAnsi="宋体"/>
          <w:b/>
          <w:color w:val="auto"/>
          <w:sz w:val="28"/>
          <w:szCs w:val="28"/>
          <w:highlight w:val="none"/>
        </w:rPr>
        <w:br w:type="page"/>
      </w:r>
      <w:bookmarkStart w:id="64" w:name="_Toc90369656"/>
      <w:r>
        <w:rPr>
          <w:rFonts w:hint="eastAsia"/>
          <w:b/>
          <w:color w:val="auto"/>
          <w:highlight w:val="none"/>
        </w:rPr>
        <w:t>评分索引表（建议放在目录之前）</w:t>
      </w:r>
      <w:bookmarkEnd w:id="64"/>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noWrap w:val="0"/>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noWrap w:val="0"/>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color w:val="auto"/>
                <w:szCs w:val="21"/>
                <w:highlight w:val="none"/>
              </w:rPr>
            </w:pPr>
          </w:p>
        </w:tc>
        <w:tc>
          <w:tcPr>
            <w:tcW w:w="1715" w:type="dxa"/>
            <w:noWrap w:val="0"/>
            <w:vAlign w:val="center"/>
          </w:tcPr>
          <w:p>
            <w:pPr>
              <w:spacing w:line="400" w:lineRule="exact"/>
              <w:jc w:val="center"/>
              <w:rPr>
                <w:rFonts w:ascii="宋体" w:hAnsi="宋体"/>
                <w:color w:val="auto"/>
                <w:szCs w:val="21"/>
                <w:highlight w:val="none"/>
              </w:rPr>
            </w:pPr>
          </w:p>
        </w:tc>
        <w:tc>
          <w:tcPr>
            <w:tcW w:w="1716" w:type="dxa"/>
            <w:noWrap w:val="0"/>
            <w:vAlign w:val="center"/>
          </w:tcPr>
          <w:p>
            <w:pPr>
              <w:spacing w:line="400" w:lineRule="exact"/>
              <w:jc w:val="center"/>
              <w:rPr>
                <w:rFonts w:ascii="宋体" w:hAnsi="宋体"/>
                <w:color w:val="auto"/>
                <w:szCs w:val="21"/>
                <w:highlight w:val="none"/>
              </w:rPr>
            </w:pPr>
          </w:p>
        </w:tc>
      </w:tr>
    </w:tbl>
    <w:p>
      <w:pPr>
        <w:spacing w:line="400" w:lineRule="exact"/>
        <w:rPr>
          <w:rFonts w:hint="eastAsia" w:ascii="宋体" w:hAnsi="宋体"/>
          <w:color w:val="auto"/>
          <w:highlight w:val="none"/>
        </w:rPr>
      </w:pPr>
      <w:r>
        <w:rPr>
          <w:rFonts w:hint="eastAsia" w:ascii="宋体" w:hAnsi="宋体"/>
          <w:color w:val="auto"/>
          <w:highlight w:val="none"/>
        </w:rPr>
        <w:t>注：1、供应商对客观分可以进行自评分，主观分可以不用自评分。</w:t>
      </w:r>
    </w:p>
    <w:p>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pPr>
        <w:spacing w:line="400" w:lineRule="exact"/>
        <w:rPr>
          <w:rFonts w:hint="eastAsia" w:ascii="宋体" w:hAnsi="宋体"/>
          <w:b/>
          <w:color w:val="auto"/>
          <w:sz w:val="28"/>
          <w:szCs w:val="28"/>
          <w:highlight w:val="none"/>
        </w:rPr>
      </w:pPr>
    </w:p>
    <w:p>
      <w:pPr>
        <w:spacing w:line="500" w:lineRule="exact"/>
        <w:rPr>
          <w:rFonts w:ascii="宋体" w:hAnsi="宋体"/>
          <w:b/>
          <w:color w:val="auto"/>
          <w:sz w:val="28"/>
          <w:szCs w:val="28"/>
          <w:highlight w:val="none"/>
        </w:rPr>
      </w:pPr>
    </w:p>
    <w:p>
      <w:pPr>
        <w:pStyle w:val="24"/>
        <w:spacing w:line="360" w:lineRule="auto"/>
        <w:ind w:left="101" w:leftChars="48" w:firstLine="2880" w:firstLineChars="800"/>
        <w:jc w:val="left"/>
        <w:rPr>
          <w:rFonts w:hAnsi="宋体"/>
          <w:color w:val="auto"/>
          <w:sz w:val="36"/>
          <w:szCs w:val="36"/>
          <w:highlight w:val="none"/>
        </w:rPr>
        <w:sectPr>
          <w:pgSz w:w="11907" w:h="16840"/>
          <w:pgMar w:top="1138" w:right="1588" w:bottom="1423" w:left="1339" w:header="285" w:footer="990" w:gutter="0"/>
          <w:cols w:space="720" w:num="1"/>
          <w:docGrid w:linePitch="285" w:charSpace="0"/>
        </w:sectPr>
      </w:pPr>
    </w:p>
    <w:tbl>
      <w:tblPr>
        <w:tblStyle w:val="4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dxa"/>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CellMar>
            <w:top w:w="0" w:type="dxa"/>
            <w:left w:w="108" w:type="dxa"/>
            <w:bottom w:w="0" w:type="dxa"/>
            <w:right w:w="108" w:type="dxa"/>
          </w:tblCellMar>
        </w:tblPrEx>
        <w:trPr>
          <w:gridAfter w:val="1"/>
          <w:wBefore w:w="0" w:type="dxa"/>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Before w:w="0" w:type="dxa"/>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wBefore w:w="0" w:type="dxa"/>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4"/>
        <w:tabs>
          <w:tab w:val="left" w:pos="811"/>
        </w:tabs>
        <w:spacing w:line="360" w:lineRule="auto"/>
        <w:jc w:val="left"/>
        <w:rPr>
          <w:rFonts w:hint="eastAsia" w:hAnsi="宋体"/>
          <w:color w:val="auto"/>
          <w:sz w:val="36"/>
          <w:szCs w:val="36"/>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auto"/>
    <w:pitch w:val="default"/>
    <w:sig w:usb0="00000000" w:usb1="080E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E0002AFF" w:usb1="C0007841"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Univers">
    <w:altName w:val="Segoe Print"/>
    <w:panose1 w:val="020B0603020202030204"/>
    <w:charset w:val="00"/>
    <w:family w:val="swiss"/>
    <w:pitch w:val="default"/>
    <w:sig w:usb0="00000007" w:usb1="00000000" w:usb2="00000000" w:usb3="00000000" w:csb0="00000093"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7"/>
                            <w:rPr>
                              <w:rStyle w:val="48"/>
                            </w:rPr>
                          </w:pPr>
                          <w:r>
                            <w:fldChar w:fldCharType="begin"/>
                          </w:r>
                          <w:r>
                            <w:rPr>
                              <w:rStyle w:val="48"/>
                            </w:rPr>
                            <w:instrText xml:space="preserve">PAGE  </w:instrText>
                          </w:r>
                          <w:r>
                            <w:fldChar w:fldCharType="separate"/>
                          </w:r>
                          <w:r>
                            <w:rPr>
                              <w:rStyle w:val="48"/>
                              <w:lang/>
                            </w:rPr>
                            <w:t>12</w:t>
                          </w:r>
                          <w:r>
                            <w:fldChar w:fldCharType="end"/>
                          </w:r>
                        </w:p>
                      </w:txbxContent>
                    </wps:txbx>
                    <wps:bodyPr wrap="none" lIns="0" tIns="0" rIns="0" bIns="0" upright="0">
                      <a:spAutoFit/>
                    </wps:bodyPr>
                  </wps:wsp>
                </a:graphicData>
              </a:graphic>
            </wp:anchor>
          </w:drawing>
        </mc:Choice>
        <mc:Fallback>
          <w:pict>
            <v:shape id="文本框 4097"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 AQAADwAAAGRycy9kb3ducmV2LnhtbE2PwWrDMBBE74X8g9hAb43sBFrjWs4h0EtvTUuht421sUyl lZEUx/77Kr20l4Vhhpm3zX52VkwU4uBZQbkpQBB3Xg/cK/h4f3moQMSErNF6JgULRdi3q7sGa+2v /EbTMfUil3CsUYFJaayljJ0hh3HjR+LsnX1wmLIMvdQBr7ncWbktikfpcOC8YHCkg6Hu+3hxCp7m T09jpAN9nacumGGp7Oui1P26LJ5BJJrTXxhu+Bkd2sx08hfWUVgF+ZH0e29eVYI4KdjudiDbRv5n b38AUEsDBBQAAAAIAIdO4kAPQj3s0QEAAJoDAAAOAAAAZHJzL2Uyb0RvYy54bWytU0tu2zAQ3Qfo HQjua8qp3dSC5aCFkaJA0RRIewCaoiwC/IFDW/IF2ht01U32OZfPkSElO226yaIbajgzfDPvzWh5 3RtN9jKAcrai00lBibTC1cpuK/r9283rd5RA5Lbm2llZ0YMEer16dbHsfCkvXet0LQNBEAtl5yva xuhLxkC00nCYOC8tBhsXDI94DVtWB94hutHssijess6F2gcnJAB610OQjojhJYCuaZSQayd2Rto4 oAapeURK0CoPdJW7bRop4m3TgIxEVxSZxnxiEbQ36WSrJS+3gftWibEF/pIWnnEyXFkseoZa88jJ Lqh/oIwSwYFr4kQ4wwYiWRFkMS2eaXPXci8zF5Qa/Fl0+H+w4sv+ayCqxk2gxHKDAz/++nn8/XC8 /0FmxeIqKdR5KDHxzmNq7D+4PmWPfkBnIt43waQvUiIYR30PZ31lH4lIj6azxZs5JQJD09nVYj5P KOzpsQ8QP0pnSDIqGnB8WVW+/wxxSD2lpFrW3Sit0c9Lbf9yIGbysNT50GGyYr/px7Y3rj4gmw4n X1GLi06J/mRR2LQkJyOcjM3J2Pmgtm3eolQP/PtdxCZyb6nCADsWxpFlduN6pZ34856znn6p1SN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A AAAAZHJzL1BLAQIUABQAAAAIAIdO4kBrpb8P0QAAAAMBAAAPAAAAAAAAAAEAIAAAACIAAABkcnMv ZG93bnJldi54bWxQSwECFAAUAAAACACHTuJAD0I97NEBAACaAwAADgAAAAAAAAABACAAAAAgAQAA ZHJzL2Uyb0RvYy54bWxQSwUGAAAAAAYABgBZAQAAYwUAAAAA ">
              <v:fill on="f" focussize="0,0"/>
              <v:stroke on="f"/>
              <v:imagedata o:title=""/>
              <o:lock v:ext="edit" aspectratio="f"/>
              <v:textbox inset="0mm,0mm,0mm,0mm" style="mso-fit-shape-to-text:t;">
                <w:txbxContent>
                  <w:p>
                    <w:pPr>
                      <w:pStyle w:val="27"/>
                      <w:rPr>
                        <w:rStyle w:val="48"/>
                      </w:rPr>
                    </w:pPr>
                    <w:r>
                      <w:fldChar w:fldCharType="begin"/>
                    </w:r>
                    <w:r>
                      <w:rPr>
                        <w:rStyle w:val="48"/>
                      </w:rPr>
                      <w:instrText xml:space="preserve">PAGE  </w:instrText>
                    </w:r>
                    <w:r>
                      <w:fldChar w:fldCharType="separate"/>
                    </w:r>
                    <w:r>
                      <w:rPr>
                        <w:rStyle w:val="48"/>
                        <w:lang/>
                      </w:rP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7"/>
                            <w:rPr>
                              <w:rStyle w:val="48"/>
                            </w:rPr>
                          </w:pPr>
                          <w:r>
                            <w:fldChar w:fldCharType="begin"/>
                          </w:r>
                          <w:r>
                            <w:rPr>
                              <w:rStyle w:val="48"/>
                            </w:rPr>
                            <w:instrText xml:space="preserve">PAGE  </w:instrText>
                          </w:r>
                          <w:r>
                            <w:fldChar w:fldCharType="separate"/>
                          </w:r>
                          <w:r>
                            <w:rPr>
                              <w:rStyle w:val="48"/>
                              <w:lang/>
                            </w:rPr>
                            <w:t>15</w:t>
                          </w:r>
                          <w:r>
                            <w:fldChar w:fldCharType="end"/>
                          </w:r>
                        </w:p>
                      </w:txbxContent>
                    </wps:txbx>
                    <wps:bodyPr wrap="none" lIns="0" tIns="0" rIns="0" bIns="0" upright="0">
                      <a:spAutoFit/>
                    </wps:bodyPr>
                  </wps:wsp>
                </a:graphicData>
              </a:graphic>
            </wp:anchor>
          </w:drawing>
        </mc:Choice>
        <mc:Fallback>
          <w:pict>
            <v:shape id="文本框 4098"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 AQAADwAAAGRycy9kb3ducmV2LnhtbE2PwWrDMBBE74X8g9hAb43sBFrjWs4h0EtvTUuht421sUyl lZEUx/77Kr20l4Vhhpm3zX52VkwU4uBZQbkpQBB3Xg/cK/h4f3moQMSErNF6JgULRdi3q7sGa+2v /EbTMfUil3CsUYFJaayljJ0hh3HjR+LsnX1wmLIMvdQBr7ncWbktikfpcOC8YHCkg6Hu+3hxCp7m T09jpAN9nacumGGp7Oui1P26LJ5BJJrTXxhu+Bkd2sx08hfWUVgF+ZH0e29eVYI4KdjudiDbRv5n b38AUEsDBBQAAAAIAIdO4kAwATj60AEAAJoDAAAOAAAAZHJzL2Uyb0RvYy54bWytU0tu2zAQ3RfI HQjua8mu3caC5aCBkaJA0RZIcwCaoiwC/IFDW/IF2ht01U33PZfPkSElOb9NFt1Qw5nhm3lvRqur TityEB6kNSWdTnJKhOG2kmZX0rsfN28vKYHATMWUNaKkRwH0an3xZtW6QsxsY1UlPEEQA0XrStqE 4IosA94IzWBinTAYrK3XLODV77LKsxbRtcpmef4+a62vnLdcAKB30wfpgOhfA2jrWnKxsXyvhQk9 qheKBaQEjXRA16nbuhY8fKtrEIGokiLTkE4sgvY2ntl6xYqdZ66RfGiBvaaFZ5w0kwaLnqE2LDCy 9/IFlJbcW7B1mHCrs55IUgRZTPNn2tw2zInEBaUGdxYd/h8s/3r47omsSjqjxDCNAz/9/nX68+/0 9yeZ58vLqFDroMDEW4epobu2He7N6Ad0RuJd7XX8IiWCcdT3eNZXdIHw+Gg6X75bUMIxNJ1/WC4W ESV7eOw8hE/CahKNknocX1KVHb5A6FPHlFjL2BupVBqhMk8ciBk9Wey87zBaodt2A52trY7IpsXJ l9TgolOiPhsUNi7JaPjR2I7G3nm5a9IWxXrgPu4DNpF6ixV62KEwjiyxG9Yr7sTje8p6+KXW9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Gulvw/RAAAAAwEAAA8AAAAAAAAAAQAgAAAAIgAAAGRycy9k b3ducmV2LnhtbFBLAQIUABQAAAAIAIdO4kAwATj60AEAAJoDAAAOAAAAAAAAAAEAIAAAACABAABk cnMvZTJvRG9jLnhtbFBLBQYAAAAABgAGAFkBAABiBQAAAAA= ">
              <v:fill on="f" focussize="0,0"/>
              <v:stroke on="f"/>
              <v:imagedata o:title=""/>
              <o:lock v:ext="edit" aspectratio="f"/>
              <v:textbox inset="0mm,0mm,0mm,0mm" style="mso-fit-shape-to-text:t;">
                <w:txbxContent>
                  <w:p>
                    <w:pPr>
                      <w:pStyle w:val="27"/>
                      <w:rPr>
                        <w:rStyle w:val="48"/>
                      </w:rPr>
                    </w:pPr>
                    <w:r>
                      <w:fldChar w:fldCharType="begin"/>
                    </w:r>
                    <w:r>
                      <w:rPr>
                        <w:rStyle w:val="48"/>
                      </w:rPr>
                      <w:instrText xml:space="preserve">PAGE  </w:instrText>
                    </w:r>
                    <w:r>
                      <w:fldChar w:fldCharType="separate"/>
                    </w:r>
                    <w:r>
                      <w:rPr>
                        <w:rStyle w:val="48"/>
                        <w:lang/>
                      </w:rP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4099"/>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7"/>
                            <w:jc w:val="center"/>
                            <w:rPr>
                              <w:rStyle w:val="48"/>
                            </w:rPr>
                          </w:pPr>
                          <w:r>
                            <w:fldChar w:fldCharType="begin"/>
                          </w:r>
                          <w:r>
                            <w:rPr>
                              <w:rStyle w:val="48"/>
                            </w:rPr>
                            <w:instrText xml:space="preserve">PAGE  </w:instrText>
                          </w:r>
                          <w:r>
                            <w:fldChar w:fldCharType="separate"/>
                          </w:r>
                          <w:r>
                            <w:rPr>
                              <w:rStyle w:val="48"/>
                              <w:lang/>
                            </w:rPr>
                            <w:t>52</w:t>
                          </w:r>
                          <w:r>
                            <w:fldChar w:fldCharType="end"/>
                          </w:r>
                        </w:p>
                      </w:txbxContent>
                    </wps:txbx>
                    <wps:bodyPr wrap="none" lIns="0" tIns="0" rIns="0" bIns="0" upright="0">
                      <a:spAutoFit/>
                    </wps:bodyPr>
                  </wps:wsp>
                </a:graphicData>
              </a:graphic>
            </wp:anchor>
          </w:drawing>
        </mc:Choice>
        <mc:Fallback>
          <w:pict>
            <v:shape id="文本框 4099"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 AQAADwAAAGRycy9kb3ducmV2LnhtbE2PwWrDMBBE74X8g9hAb43sBFrjWs4h0EtvTUuht421sUyl lZEUx/77Kr20l4Vhhpm3zX52VkwU4uBZQbkpQBB3Xg/cK/h4f3moQMSErNF6JgULRdi3q7sGa+2v /EbTMfUil3CsUYFJaayljJ0hh3HjR+LsnX1wmLIMvdQBr7ncWbktikfpcOC8YHCkg6Hu+3hxCp7m T09jpAN9nacumGGp7Oui1P26LJ5BJJrTXxhu+Bkd2sx08hfWUVgF+ZH0e29eVYI4KdjudiDbRv5n b38AUEsDBBQAAAAIAIdO4kAqRDa40AEAAJoDAAAOAAAAZHJzL2Uyb0RvYy54bWytU82O0zAQviPx Dpbv1OluCzRqugJVi5AQIC08gOs4jSX/yeM26QvAG3Diwp3n6nPs2Em6sFz2wMUZz4y/me+byfqm N5ocZQDlbEXns4ISaYWrld1X9OuX2xevKYHIbc21s7KiJwn0ZvP82brzpbxyrdO1DARBLJSdr2gb oy8ZA9FKw2HmvLQYbFwwPOI17FkdeIfoRrOronjJOhdqH5yQAOjdDkE6IoanALqmUUJunTgYaeOA GqTmESlBqzzQTe62aaSIn5oGZCS6osg05hOLoL1LJ9usebkP3LdKjC3wp7TwiJPhymLRC9SWR04O Qf0DZZQIDlwTZ8IZNhDJiiCLefFIm7uWe5m5oNTgL6LD/4MVH4+fA1F1Ra8psdzgwM8/vp9//j7/ +kYWxWqVFOo8lJh45zE19m9dj3sz+QGdiXjfBJO+SIlgHPU9XfSVfSQiPZovVtdLSgSG5otXq+Uy obCHxz5AfCedIcmoaMDxZVX58QPEIXVKSbWsu1Va5xFq+5cDMZOHpc6HDpMV+10/0tm5+oRsOpx8 RS0uOiX6vUVh05JMRpiM3WQcfFD7Nm9Rqgf+zSFiE7m3VGGAHQvjyDK7cb3STvx5z1kPv9TmHl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Gulvw/RAAAAAwEAAA8AAAAAAAAAAQAgAAAAIgAAAGRycy9k b3ducmV2LnhtbFBLAQIUABQAAAAIAIdO4kAqRDa40AEAAJoDAAAOAAAAAAAAAAEAIAAAACABAABk cnMvZTJvRG9jLnhtbFBLBQYAAAAABgAGAFkBAABiBQAAAAA= ">
              <v:fill on="f" focussize="0,0"/>
              <v:stroke on="f"/>
              <v:imagedata o:title=""/>
              <o:lock v:ext="edit" aspectratio="f"/>
              <v:textbox inset="0mm,0mm,0mm,0mm" style="mso-fit-shape-to-text:t;">
                <w:txbxContent>
                  <w:p>
                    <w:pPr>
                      <w:pStyle w:val="27"/>
                      <w:jc w:val="center"/>
                      <w:rPr>
                        <w:rStyle w:val="48"/>
                      </w:rPr>
                    </w:pPr>
                    <w:r>
                      <w:fldChar w:fldCharType="begin"/>
                    </w:r>
                    <w:r>
                      <w:rPr>
                        <w:rStyle w:val="48"/>
                      </w:rPr>
                      <w:instrText xml:space="preserve">PAGE  </w:instrText>
                    </w:r>
                    <w:r>
                      <w:fldChar w:fldCharType="separate"/>
                    </w:r>
                    <w:r>
                      <w:rPr>
                        <w:rStyle w:val="48"/>
                        <w:lang/>
                      </w:rP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E5C31"/>
    <w:multiLevelType w:val="singleLevel"/>
    <w:tmpl w:val="932E5C31"/>
    <w:lvl w:ilvl="0" w:tentative="0">
      <w:start w:val="2"/>
      <w:numFmt w:val="decimal"/>
      <w:suff w:val="nothing"/>
      <w:lvlText w:val="%1、"/>
      <w:lvlJc w:val="left"/>
    </w:lvl>
  </w:abstractNum>
  <w:abstractNum w:abstractNumId="1">
    <w:nsid w:val="E372E750"/>
    <w:multiLevelType w:val="singleLevel"/>
    <w:tmpl w:val="E372E750"/>
    <w:lvl w:ilvl="0" w:tentative="0">
      <w:start w:val="1"/>
      <w:numFmt w:val="decimal"/>
      <w:lvlText w:val="%1."/>
      <w:lvlJc w:val="left"/>
      <w:pPr>
        <w:tabs>
          <w:tab w:val="left" w:pos="312"/>
        </w:tabs>
      </w:pPr>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abstractNum w:abstractNumId="4">
    <w:nsid w:val="57A74C8F"/>
    <w:multiLevelType w:val="singleLevel"/>
    <w:tmpl w:val="57A74C8F"/>
    <w:lvl w:ilvl="0" w:tentative="0">
      <w:start w:val="1"/>
      <w:numFmt w:val="chineseCounting"/>
      <w:pStyle w:val="264"/>
      <w:suff w:val="nothing"/>
      <w:lvlText w:val="%1、"/>
      <w:lvlJc w:val="left"/>
      <w:rPr>
        <w:rFonts w:hint="eastAsia" w:cs="Times New Roman"/>
      </w:rPr>
    </w:lvl>
  </w:abstractNum>
  <w:abstractNum w:abstractNumId="5">
    <w:nsid w:val="57B56D15"/>
    <w:multiLevelType w:val="singleLevel"/>
    <w:tmpl w:val="57B56D15"/>
    <w:lvl w:ilvl="0" w:tentative="0">
      <w:start w:val="6"/>
      <w:numFmt w:val="chineseCounting"/>
      <w:suff w:val="space"/>
      <w:lvlText w:val="第%1条"/>
      <w:lvlJc w:val="left"/>
      <w:rPr>
        <w:rFonts w:cs="Times New Roman"/>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A82"/>
    <w:rsid w:val="00001A89"/>
    <w:rsid w:val="00002288"/>
    <w:rsid w:val="00002AFA"/>
    <w:rsid w:val="00002B25"/>
    <w:rsid w:val="00003757"/>
    <w:rsid w:val="0000377D"/>
    <w:rsid w:val="000037AD"/>
    <w:rsid w:val="0000380B"/>
    <w:rsid w:val="00003965"/>
    <w:rsid w:val="000039EB"/>
    <w:rsid w:val="00003E11"/>
    <w:rsid w:val="00005AD2"/>
    <w:rsid w:val="00005F96"/>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580"/>
    <w:rsid w:val="0002795F"/>
    <w:rsid w:val="00030242"/>
    <w:rsid w:val="00032826"/>
    <w:rsid w:val="000328FE"/>
    <w:rsid w:val="00033017"/>
    <w:rsid w:val="0003306F"/>
    <w:rsid w:val="00034204"/>
    <w:rsid w:val="000344B9"/>
    <w:rsid w:val="00035959"/>
    <w:rsid w:val="0003725C"/>
    <w:rsid w:val="000378FE"/>
    <w:rsid w:val="00037CE4"/>
    <w:rsid w:val="000414C4"/>
    <w:rsid w:val="00041A39"/>
    <w:rsid w:val="00041B3B"/>
    <w:rsid w:val="00042AAE"/>
    <w:rsid w:val="00042BCE"/>
    <w:rsid w:val="00043099"/>
    <w:rsid w:val="00043143"/>
    <w:rsid w:val="00043490"/>
    <w:rsid w:val="00043715"/>
    <w:rsid w:val="000437D4"/>
    <w:rsid w:val="00044435"/>
    <w:rsid w:val="0004542A"/>
    <w:rsid w:val="00045CE3"/>
    <w:rsid w:val="00046F89"/>
    <w:rsid w:val="00047134"/>
    <w:rsid w:val="00047990"/>
    <w:rsid w:val="00050357"/>
    <w:rsid w:val="000510EC"/>
    <w:rsid w:val="00051226"/>
    <w:rsid w:val="00052035"/>
    <w:rsid w:val="00052187"/>
    <w:rsid w:val="000546E4"/>
    <w:rsid w:val="00054AD8"/>
    <w:rsid w:val="00054D7E"/>
    <w:rsid w:val="00055A3D"/>
    <w:rsid w:val="00055BDF"/>
    <w:rsid w:val="000564BB"/>
    <w:rsid w:val="00056AB8"/>
    <w:rsid w:val="00056B01"/>
    <w:rsid w:val="00056DC8"/>
    <w:rsid w:val="00056E86"/>
    <w:rsid w:val="00056F94"/>
    <w:rsid w:val="00057D5B"/>
    <w:rsid w:val="00060FB1"/>
    <w:rsid w:val="000613FD"/>
    <w:rsid w:val="000617D3"/>
    <w:rsid w:val="00061A87"/>
    <w:rsid w:val="00063327"/>
    <w:rsid w:val="00064121"/>
    <w:rsid w:val="000645B5"/>
    <w:rsid w:val="00064AF3"/>
    <w:rsid w:val="00065622"/>
    <w:rsid w:val="00065626"/>
    <w:rsid w:val="000675B4"/>
    <w:rsid w:val="0007006B"/>
    <w:rsid w:val="0007088F"/>
    <w:rsid w:val="0007129B"/>
    <w:rsid w:val="00071AB2"/>
    <w:rsid w:val="000726A2"/>
    <w:rsid w:val="000735CF"/>
    <w:rsid w:val="00074517"/>
    <w:rsid w:val="00074FCC"/>
    <w:rsid w:val="000766AD"/>
    <w:rsid w:val="000767E6"/>
    <w:rsid w:val="00076EAC"/>
    <w:rsid w:val="000770AD"/>
    <w:rsid w:val="00077864"/>
    <w:rsid w:val="00077C69"/>
    <w:rsid w:val="00077F66"/>
    <w:rsid w:val="00077FAF"/>
    <w:rsid w:val="000808EC"/>
    <w:rsid w:val="000816EB"/>
    <w:rsid w:val="00081DAC"/>
    <w:rsid w:val="0008275C"/>
    <w:rsid w:val="00083095"/>
    <w:rsid w:val="00083641"/>
    <w:rsid w:val="00083CA0"/>
    <w:rsid w:val="0008426D"/>
    <w:rsid w:val="000846B2"/>
    <w:rsid w:val="0008644B"/>
    <w:rsid w:val="00086CB0"/>
    <w:rsid w:val="00086E53"/>
    <w:rsid w:val="000876CB"/>
    <w:rsid w:val="00087BC6"/>
    <w:rsid w:val="00087E79"/>
    <w:rsid w:val="0009066F"/>
    <w:rsid w:val="00090836"/>
    <w:rsid w:val="000912BA"/>
    <w:rsid w:val="00091A35"/>
    <w:rsid w:val="00093D28"/>
    <w:rsid w:val="000941D6"/>
    <w:rsid w:val="000945F2"/>
    <w:rsid w:val="00096587"/>
    <w:rsid w:val="00096C6C"/>
    <w:rsid w:val="000A01C4"/>
    <w:rsid w:val="000A0A04"/>
    <w:rsid w:val="000A2586"/>
    <w:rsid w:val="000A387A"/>
    <w:rsid w:val="000A3CD8"/>
    <w:rsid w:val="000A53B6"/>
    <w:rsid w:val="000A5C01"/>
    <w:rsid w:val="000B1619"/>
    <w:rsid w:val="000B1B5F"/>
    <w:rsid w:val="000B2117"/>
    <w:rsid w:val="000B259B"/>
    <w:rsid w:val="000B494B"/>
    <w:rsid w:val="000B4B81"/>
    <w:rsid w:val="000B4BE2"/>
    <w:rsid w:val="000B53C9"/>
    <w:rsid w:val="000B5C0C"/>
    <w:rsid w:val="000B5D68"/>
    <w:rsid w:val="000B6717"/>
    <w:rsid w:val="000B689C"/>
    <w:rsid w:val="000B6D51"/>
    <w:rsid w:val="000B7284"/>
    <w:rsid w:val="000B7341"/>
    <w:rsid w:val="000B7791"/>
    <w:rsid w:val="000C07E7"/>
    <w:rsid w:val="000C0998"/>
    <w:rsid w:val="000C1770"/>
    <w:rsid w:val="000C1A07"/>
    <w:rsid w:val="000C1EB3"/>
    <w:rsid w:val="000C27D4"/>
    <w:rsid w:val="000C28B3"/>
    <w:rsid w:val="000C29B6"/>
    <w:rsid w:val="000C30FE"/>
    <w:rsid w:val="000C3200"/>
    <w:rsid w:val="000C3334"/>
    <w:rsid w:val="000C3E16"/>
    <w:rsid w:val="000C4DB6"/>
    <w:rsid w:val="000C509A"/>
    <w:rsid w:val="000C596C"/>
    <w:rsid w:val="000C59C2"/>
    <w:rsid w:val="000C735A"/>
    <w:rsid w:val="000C7792"/>
    <w:rsid w:val="000C7D54"/>
    <w:rsid w:val="000D190D"/>
    <w:rsid w:val="000D24F3"/>
    <w:rsid w:val="000D2D36"/>
    <w:rsid w:val="000D5612"/>
    <w:rsid w:val="000D5E11"/>
    <w:rsid w:val="000D5F1A"/>
    <w:rsid w:val="000D6E5C"/>
    <w:rsid w:val="000D766C"/>
    <w:rsid w:val="000D7EB0"/>
    <w:rsid w:val="000E07CB"/>
    <w:rsid w:val="000E107A"/>
    <w:rsid w:val="000E16EE"/>
    <w:rsid w:val="000E1AC6"/>
    <w:rsid w:val="000E1D05"/>
    <w:rsid w:val="000E2E16"/>
    <w:rsid w:val="000E2FFC"/>
    <w:rsid w:val="000E3656"/>
    <w:rsid w:val="000E3836"/>
    <w:rsid w:val="000E3906"/>
    <w:rsid w:val="000E4D1F"/>
    <w:rsid w:val="000E77CE"/>
    <w:rsid w:val="000E7D4D"/>
    <w:rsid w:val="000F03E6"/>
    <w:rsid w:val="000F0F1E"/>
    <w:rsid w:val="000F22BF"/>
    <w:rsid w:val="000F3E53"/>
    <w:rsid w:val="000F4991"/>
    <w:rsid w:val="000F52F1"/>
    <w:rsid w:val="000F5C44"/>
    <w:rsid w:val="000F5E59"/>
    <w:rsid w:val="000F6493"/>
    <w:rsid w:val="000F6CBF"/>
    <w:rsid w:val="000F76B2"/>
    <w:rsid w:val="000F7B7C"/>
    <w:rsid w:val="000F7E1B"/>
    <w:rsid w:val="001007F1"/>
    <w:rsid w:val="00102A0A"/>
    <w:rsid w:val="001054A8"/>
    <w:rsid w:val="0010552B"/>
    <w:rsid w:val="00106100"/>
    <w:rsid w:val="001062FF"/>
    <w:rsid w:val="00106308"/>
    <w:rsid w:val="00110480"/>
    <w:rsid w:val="00110FE8"/>
    <w:rsid w:val="00112DEA"/>
    <w:rsid w:val="00113033"/>
    <w:rsid w:val="0011397C"/>
    <w:rsid w:val="0011637E"/>
    <w:rsid w:val="00117141"/>
    <w:rsid w:val="001178EF"/>
    <w:rsid w:val="00117BF7"/>
    <w:rsid w:val="00117C5C"/>
    <w:rsid w:val="00121861"/>
    <w:rsid w:val="00123158"/>
    <w:rsid w:val="00123213"/>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D87"/>
    <w:rsid w:val="00137933"/>
    <w:rsid w:val="001412B3"/>
    <w:rsid w:val="00141A3D"/>
    <w:rsid w:val="00141DA4"/>
    <w:rsid w:val="0014220A"/>
    <w:rsid w:val="00143987"/>
    <w:rsid w:val="00143E4E"/>
    <w:rsid w:val="00144797"/>
    <w:rsid w:val="00144D2E"/>
    <w:rsid w:val="00145CC6"/>
    <w:rsid w:val="0014627F"/>
    <w:rsid w:val="0014669B"/>
    <w:rsid w:val="0014709C"/>
    <w:rsid w:val="001474EC"/>
    <w:rsid w:val="0015014F"/>
    <w:rsid w:val="001511A8"/>
    <w:rsid w:val="001514DF"/>
    <w:rsid w:val="001515A3"/>
    <w:rsid w:val="0015242E"/>
    <w:rsid w:val="00152A25"/>
    <w:rsid w:val="00152D09"/>
    <w:rsid w:val="0015323D"/>
    <w:rsid w:val="00153474"/>
    <w:rsid w:val="00154158"/>
    <w:rsid w:val="00155DD1"/>
    <w:rsid w:val="0015656F"/>
    <w:rsid w:val="00157814"/>
    <w:rsid w:val="00157AC5"/>
    <w:rsid w:val="00160AEE"/>
    <w:rsid w:val="001611B9"/>
    <w:rsid w:val="0016197A"/>
    <w:rsid w:val="00162216"/>
    <w:rsid w:val="00162340"/>
    <w:rsid w:val="00162D8C"/>
    <w:rsid w:val="001635BE"/>
    <w:rsid w:val="00164368"/>
    <w:rsid w:val="0016437F"/>
    <w:rsid w:val="00164BD5"/>
    <w:rsid w:val="00165710"/>
    <w:rsid w:val="001657E4"/>
    <w:rsid w:val="001659BA"/>
    <w:rsid w:val="00165F65"/>
    <w:rsid w:val="001660EB"/>
    <w:rsid w:val="00170FC3"/>
    <w:rsid w:val="0017189E"/>
    <w:rsid w:val="00171CC9"/>
    <w:rsid w:val="0017212D"/>
    <w:rsid w:val="001728DE"/>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2116"/>
    <w:rsid w:val="001929D2"/>
    <w:rsid w:val="00193506"/>
    <w:rsid w:val="001945DD"/>
    <w:rsid w:val="00194FA2"/>
    <w:rsid w:val="0019657D"/>
    <w:rsid w:val="001967E0"/>
    <w:rsid w:val="00196C38"/>
    <w:rsid w:val="0019734D"/>
    <w:rsid w:val="001974E7"/>
    <w:rsid w:val="001976A5"/>
    <w:rsid w:val="00197B19"/>
    <w:rsid w:val="001A033A"/>
    <w:rsid w:val="001A2482"/>
    <w:rsid w:val="001A263B"/>
    <w:rsid w:val="001A2952"/>
    <w:rsid w:val="001A2E73"/>
    <w:rsid w:val="001A2EF7"/>
    <w:rsid w:val="001A3122"/>
    <w:rsid w:val="001A3306"/>
    <w:rsid w:val="001A3428"/>
    <w:rsid w:val="001A34EA"/>
    <w:rsid w:val="001A4B78"/>
    <w:rsid w:val="001A6DE5"/>
    <w:rsid w:val="001A6EF8"/>
    <w:rsid w:val="001A71F6"/>
    <w:rsid w:val="001A7276"/>
    <w:rsid w:val="001A7B64"/>
    <w:rsid w:val="001B0193"/>
    <w:rsid w:val="001B2042"/>
    <w:rsid w:val="001B20C1"/>
    <w:rsid w:val="001B21AC"/>
    <w:rsid w:val="001B2E12"/>
    <w:rsid w:val="001B4088"/>
    <w:rsid w:val="001B4173"/>
    <w:rsid w:val="001B41E6"/>
    <w:rsid w:val="001B425D"/>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8DB"/>
    <w:rsid w:val="001C4A57"/>
    <w:rsid w:val="001C4FDF"/>
    <w:rsid w:val="001C520B"/>
    <w:rsid w:val="001C563D"/>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3105"/>
    <w:rsid w:val="001D4289"/>
    <w:rsid w:val="001D501E"/>
    <w:rsid w:val="001D50A0"/>
    <w:rsid w:val="001D523E"/>
    <w:rsid w:val="001D6DA4"/>
    <w:rsid w:val="001D7120"/>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4CB4"/>
    <w:rsid w:val="00204D14"/>
    <w:rsid w:val="00205CA2"/>
    <w:rsid w:val="002069A1"/>
    <w:rsid w:val="0020709F"/>
    <w:rsid w:val="002071F1"/>
    <w:rsid w:val="00207AD7"/>
    <w:rsid w:val="00207B01"/>
    <w:rsid w:val="00210108"/>
    <w:rsid w:val="002110F1"/>
    <w:rsid w:val="002113AD"/>
    <w:rsid w:val="00211625"/>
    <w:rsid w:val="00211AFC"/>
    <w:rsid w:val="00211FB8"/>
    <w:rsid w:val="00212BC1"/>
    <w:rsid w:val="0021517E"/>
    <w:rsid w:val="00215858"/>
    <w:rsid w:val="00215F29"/>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496"/>
    <w:rsid w:val="00231710"/>
    <w:rsid w:val="002327D0"/>
    <w:rsid w:val="00232958"/>
    <w:rsid w:val="002329AA"/>
    <w:rsid w:val="00233995"/>
    <w:rsid w:val="00234379"/>
    <w:rsid w:val="002347FB"/>
    <w:rsid w:val="00235203"/>
    <w:rsid w:val="00235EBA"/>
    <w:rsid w:val="002361D9"/>
    <w:rsid w:val="002364FF"/>
    <w:rsid w:val="0023679F"/>
    <w:rsid w:val="00237752"/>
    <w:rsid w:val="0023775B"/>
    <w:rsid w:val="00237F21"/>
    <w:rsid w:val="0024153F"/>
    <w:rsid w:val="00242F73"/>
    <w:rsid w:val="002430F9"/>
    <w:rsid w:val="00243185"/>
    <w:rsid w:val="00243560"/>
    <w:rsid w:val="00243AF1"/>
    <w:rsid w:val="00243C56"/>
    <w:rsid w:val="00244AF8"/>
    <w:rsid w:val="00244BEC"/>
    <w:rsid w:val="00244F15"/>
    <w:rsid w:val="0024539B"/>
    <w:rsid w:val="00246E6A"/>
    <w:rsid w:val="00246E7C"/>
    <w:rsid w:val="00247521"/>
    <w:rsid w:val="00247835"/>
    <w:rsid w:val="002502BB"/>
    <w:rsid w:val="002506A1"/>
    <w:rsid w:val="00250C28"/>
    <w:rsid w:val="002510AE"/>
    <w:rsid w:val="0025122B"/>
    <w:rsid w:val="002521E4"/>
    <w:rsid w:val="002529CD"/>
    <w:rsid w:val="00252A15"/>
    <w:rsid w:val="002534DC"/>
    <w:rsid w:val="002535FF"/>
    <w:rsid w:val="002536AF"/>
    <w:rsid w:val="00253BB7"/>
    <w:rsid w:val="0025473D"/>
    <w:rsid w:val="00254784"/>
    <w:rsid w:val="002547F1"/>
    <w:rsid w:val="00254A64"/>
    <w:rsid w:val="00254A7E"/>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A1C"/>
    <w:rsid w:val="00270DCC"/>
    <w:rsid w:val="00272284"/>
    <w:rsid w:val="00272827"/>
    <w:rsid w:val="00272DD0"/>
    <w:rsid w:val="002739A0"/>
    <w:rsid w:val="00273BF6"/>
    <w:rsid w:val="00273C68"/>
    <w:rsid w:val="002761E0"/>
    <w:rsid w:val="002765CF"/>
    <w:rsid w:val="002779BA"/>
    <w:rsid w:val="00277C3C"/>
    <w:rsid w:val="002804F4"/>
    <w:rsid w:val="002807FE"/>
    <w:rsid w:val="00281E4A"/>
    <w:rsid w:val="00281E7F"/>
    <w:rsid w:val="002823A4"/>
    <w:rsid w:val="00282E77"/>
    <w:rsid w:val="002835E1"/>
    <w:rsid w:val="002837B8"/>
    <w:rsid w:val="00285374"/>
    <w:rsid w:val="00286910"/>
    <w:rsid w:val="002869C9"/>
    <w:rsid w:val="002878A8"/>
    <w:rsid w:val="00287D44"/>
    <w:rsid w:val="002909BC"/>
    <w:rsid w:val="00291376"/>
    <w:rsid w:val="0029226B"/>
    <w:rsid w:val="00292750"/>
    <w:rsid w:val="00292763"/>
    <w:rsid w:val="00292947"/>
    <w:rsid w:val="00293373"/>
    <w:rsid w:val="002937BE"/>
    <w:rsid w:val="002951E1"/>
    <w:rsid w:val="0029533D"/>
    <w:rsid w:val="00295D6D"/>
    <w:rsid w:val="002963A6"/>
    <w:rsid w:val="00296B76"/>
    <w:rsid w:val="00297993"/>
    <w:rsid w:val="00297B92"/>
    <w:rsid w:val="00297E19"/>
    <w:rsid w:val="002A00D7"/>
    <w:rsid w:val="002A07FF"/>
    <w:rsid w:val="002A0FC3"/>
    <w:rsid w:val="002A13D8"/>
    <w:rsid w:val="002A1D3C"/>
    <w:rsid w:val="002A3898"/>
    <w:rsid w:val="002A51E1"/>
    <w:rsid w:val="002A5301"/>
    <w:rsid w:val="002A65DA"/>
    <w:rsid w:val="002A74CF"/>
    <w:rsid w:val="002B0267"/>
    <w:rsid w:val="002B2BC5"/>
    <w:rsid w:val="002B2C36"/>
    <w:rsid w:val="002B37E3"/>
    <w:rsid w:val="002B4DA2"/>
    <w:rsid w:val="002B5CF2"/>
    <w:rsid w:val="002B65D6"/>
    <w:rsid w:val="002B6E8B"/>
    <w:rsid w:val="002B768D"/>
    <w:rsid w:val="002B7A93"/>
    <w:rsid w:val="002B7B2C"/>
    <w:rsid w:val="002B7B5C"/>
    <w:rsid w:val="002C00F0"/>
    <w:rsid w:val="002C01B1"/>
    <w:rsid w:val="002C0E7C"/>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651"/>
    <w:rsid w:val="002D1C15"/>
    <w:rsid w:val="002D3091"/>
    <w:rsid w:val="002D4263"/>
    <w:rsid w:val="002D4657"/>
    <w:rsid w:val="002D4751"/>
    <w:rsid w:val="002D4757"/>
    <w:rsid w:val="002D4CB6"/>
    <w:rsid w:val="002D4D0A"/>
    <w:rsid w:val="002D5305"/>
    <w:rsid w:val="002D5314"/>
    <w:rsid w:val="002D5563"/>
    <w:rsid w:val="002D601D"/>
    <w:rsid w:val="002D7543"/>
    <w:rsid w:val="002D7D14"/>
    <w:rsid w:val="002E0904"/>
    <w:rsid w:val="002E0C8C"/>
    <w:rsid w:val="002E0F62"/>
    <w:rsid w:val="002E1645"/>
    <w:rsid w:val="002E1747"/>
    <w:rsid w:val="002E174E"/>
    <w:rsid w:val="002E1BC9"/>
    <w:rsid w:val="002E1CC2"/>
    <w:rsid w:val="002E2D83"/>
    <w:rsid w:val="002E3CA2"/>
    <w:rsid w:val="002E6A87"/>
    <w:rsid w:val="002E7228"/>
    <w:rsid w:val="002E7DD7"/>
    <w:rsid w:val="002F0A9A"/>
    <w:rsid w:val="002F0C9C"/>
    <w:rsid w:val="002F125E"/>
    <w:rsid w:val="002F12B2"/>
    <w:rsid w:val="002F1CCB"/>
    <w:rsid w:val="002F37D5"/>
    <w:rsid w:val="002F4187"/>
    <w:rsid w:val="002F4337"/>
    <w:rsid w:val="002F46C6"/>
    <w:rsid w:val="002F4BAC"/>
    <w:rsid w:val="002F4E75"/>
    <w:rsid w:val="002F5F0F"/>
    <w:rsid w:val="002F62A3"/>
    <w:rsid w:val="002F7510"/>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D1F"/>
    <w:rsid w:val="00307F12"/>
    <w:rsid w:val="0031023A"/>
    <w:rsid w:val="00310C09"/>
    <w:rsid w:val="0031116B"/>
    <w:rsid w:val="00312165"/>
    <w:rsid w:val="00312D44"/>
    <w:rsid w:val="00313831"/>
    <w:rsid w:val="00313C3D"/>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99A"/>
    <w:rsid w:val="00327F40"/>
    <w:rsid w:val="00331721"/>
    <w:rsid w:val="003317AA"/>
    <w:rsid w:val="00331CC6"/>
    <w:rsid w:val="00331E6E"/>
    <w:rsid w:val="0033339D"/>
    <w:rsid w:val="00334479"/>
    <w:rsid w:val="003354C9"/>
    <w:rsid w:val="003361E3"/>
    <w:rsid w:val="003371C1"/>
    <w:rsid w:val="003372D4"/>
    <w:rsid w:val="00337FBC"/>
    <w:rsid w:val="0034018F"/>
    <w:rsid w:val="00340418"/>
    <w:rsid w:val="00340E0C"/>
    <w:rsid w:val="003411B4"/>
    <w:rsid w:val="00342002"/>
    <w:rsid w:val="00342220"/>
    <w:rsid w:val="003430BC"/>
    <w:rsid w:val="003431C2"/>
    <w:rsid w:val="00343284"/>
    <w:rsid w:val="00343640"/>
    <w:rsid w:val="00343815"/>
    <w:rsid w:val="00343C82"/>
    <w:rsid w:val="0034471F"/>
    <w:rsid w:val="003451DE"/>
    <w:rsid w:val="003453F1"/>
    <w:rsid w:val="00345964"/>
    <w:rsid w:val="003461A2"/>
    <w:rsid w:val="003468ED"/>
    <w:rsid w:val="00347D3C"/>
    <w:rsid w:val="00350A2D"/>
    <w:rsid w:val="00351E59"/>
    <w:rsid w:val="00352D19"/>
    <w:rsid w:val="00353461"/>
    <w:rsid w:val="0035366D"/>
    <w:rsid w:val="00354A7F"/>
    <w:rsid w:val="00355752"/>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445"/>
    <w:rsid w:val="00364836"/>
    <w:rsid w:val="003648B6"/>
    <w:rsid w:val="00366A1A"/>
    <w:rsid w:val="00367609"/>
    <w:rsid w:val="00367C97"/>
    <w:rsid w:val="00370043"/>
    <w:rsid w:val="0037007E"/>
    <w:rsid w:val="00370D87"/>
    <w:rsid w:val="00370E83"/>
    <w:rsid w:val="003715F0"/>
    <w:rsid w:val="003723FC"/>
    <w:rsid w:val="00372C42"/>
    <w:rsid w:val="00372DB9"/>
    <w:rsid w:val="00373AB6"/>
    <w:rsid w:val="00373C35"/>
    <w:rsid w:val="00374082"/>
    <w:rsid w:val="0037468C"/>
    <w:rsid w:val="00374DB2"/>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7FEE"/>
    <w:rsid w:val="00390BF4"/>
    <w:rsid w:val="003913E8"/>
    <w:rsid w:val="003914BE"/>
    <w:rsid w:val="003914CA"/>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344B"/>
    <w:rsid w:val="003B3E34"/>
    <w:rsid w:val="003B430C"/>
    <w:rsid w:val="003B4547"/>
    <w:rsid w:val="003B4BDE"/>
    <w:rsid w:val="003B58C2"/>
    <w:rsid w:val="003B5C8A"/>
    <w:rsid w:val="003B7092"/>
    <w:rsid w:val="003B7372"/>
    <w:rsid w:val="003B7B18"/>
    <w:rsid w:val="003C1064"/>
    <w:rsid w:val="003C109F"/>
    <w:rsid w:val="003C1669"/>
    <w:rsid w:val="003C1F05"/>
    <w:rsid w:val="003C221A"/>
    <w:rsid w:val="003C22E8"/>
    <w:rsid w:val="003C23B0"/>
    <w:rsid w:val="003C5618"/>
    <w:rsid w:val="003C5E1D"/>
    <w:rsid w:val="003C6DB3"/>
    <w:rsid w:val="003C6EAD"/>
    <w:rsid w:val="003C72D1"/>
    <w:rsid w:val="003D1A6C"/>
    <w:rsid w:val="003D1B33"/>
    <w:rsid w:val="003D26B5"/>
    <w:rsid w:val="003D273C"/>
    <w:rsid w:val="003D2BB6"/>
    <w:rsid w:val="003D2F2D"/>
    <w:rsid w:val="003D313D"/>
    <w:rsid w:val="003D4367"/>
    <w:rsid w:val="003D4855"/>
    <w:rsid w:val="003D52A8"/>
    <w:rsid w:val="003D5CA9"/>
    <w:rsid w:val="003D5DC9"/>
    <w:rsid w:val="003D5F48"/>
    <w:rsid w:val="003D6A63"/>
    <w:rsid w:val="003D7A7A"/>
    <w:rsid w:val="003D7D66"/>
    <w:rsid w:val="003E1590"/>
    <w:rsid w:val="003E1D1E"/>
    <w:rsid w:val="003E1D20"/>
    <w:rsid w:val="003E1E8E"/>
    <w:rsid w:val="003E21FC"/>
    <w:rsid w:val="003E2574"/>
    <w:rsid w:val="003E2CA0"/>
    <w:rsid w:val="003E317E"/>
    <w:rsid w:val="003E3731"/>
    <w:rsid w:val="003E5461"/>
    <w:rsid w:val="003E5F37"/>
    <w:rsid w:val="003E6E5E"/>
    <w:rsid w:val="003F04D7"/>
    <w:rsid w:val="003F0AEF"/>
    <w:rsid w:val="003F1F14"/>
    <w:rsid w:val="003F2594"/>
    <w:rsid w:val="003F25DC"/>
    <w:rsid w:val="003F2787"/>
    <w:rsid w:val="003F2D13"/>
    <w:rsid w:val="003F2EB2"/>
    <w:rsid w:val="003F2FB9"/>
    <w:rsid w:val="003F2FDF"/>
    <w:rsid w:val="003F3D6B"/>
    <w:rsid w:val="003F4306"/>
    <w:rsid w:val="003F50FC"/>
    <w:rsid w:val="003F551B"/>
    <w:rsid w:val="003F6A89"/>
    <w:rsid w:val="003F6C5B"/>
    <w:rsid w:val="003F7510"/>
    <w:rsid w:val="003F7600"/>
    <w:rsid w:val="003F79C5"/>
    <w:rsid w:val="00402D1D"/>
    <w:rsid w:val="00403024"/>
    <w:rsid w:val="00403F83"/>
    <w:rsid w:val="00404CBA"/>
    <w:rsid w:val="004050C3"/>
    <w:rsid w:val="00405901"/>
    <w:rsid w:val="00406392"/>
    <w:rsid w:val="00406C01"/>
    <w:rsid w:val="0040787F"/>
    <w:rsid w:val="0041058F"/>
    <w:rsid w:val="0041070C"/>
    <w:rsid w:val="0041188A"/>
    <w:rsid w:val="00412704"/>
    <w:rsid w:val="00412AAE"/>
    <w:rsid w:val="00412F00"/>
    <w:rsid w:val="00412FE6"/>
    <w:rsid w:val="0041398D"/>
    <w:rsid w:val="00413993"/>
    <w:rsid w:val="00413C17"/>
    <w:rsid w:val="00414C9A"/>
    <w:rsid w:val="00414E3D"/>
    <w:rsid w:val="00414F6B"/>
    <w:rsid w:val="00415189"/>
    <w:rsid w:val="0041524D"/>
    <w:rsid w:val="00415957"/>
    <w:rsid w:val="00416BE2"/>
    <w:rsid w:val="00417ED4"/>
    <w:rsid w:val="00420F3A"/>
    <w:rsid w:val="0042278D"/>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1051"/>
    <w:rsid w:val="00431F15"/>
    <w:rsid w:val="004326B8"/>
    <w:rsid w:val="00432954"/>
    <w:rsid w:val="004339E5"/>
    <w:rsid w:val="004341F7"/>
    <w:rsid w:val="0043445D"/>
    <w:rsid w:val="00435142"/>
    <w:rsid w:val="00435B9F"/>
    <w:rsid w:val="0043635B"/>
    <w:rsid w:val="004364F1"/>
    <w:rsid w:val="00436A31"/>
    <w:rsid w:val="004375C6"/>
    <w:rsid w:val="00440340"/>
    <w:rsid w:val="004410E9"/>
    <w:rsid w:val="00441703"/>
    <w:rsid w:val="00441A08"/>
    <w:rsid w:val="00441DDA"/>
    <w:rsid w:val="00441FBA"/>
    <w:rsid w:val="00442E01"/>
    <w:rsid w:val="00443374"/>
    <w:rsid w:val="00444F06"/>
    <w:rsid w:val="00445448"/>
    <w:rsid w:val="00446870"/>
    <w:rsid w:val="00446C56"/>
    <w:rsid w:val="00446CE9"/>
    <w:rsid w:val="00450C96"/>
    <w:rsid w:val="00451850"/>
    <w:rsid w:val="00452121"/>
    <w:rsid w:val="004526A4"/>
    <w:rsid w:val="00452E92"/>
    <w:rsid w:val="0045336C"/>
    <w:rsid w:val="0045385F"/>
    <w:rsid w:val="00453AB9"/>
    <w:rsid w:val="0045617B"/>
    <w:rsid w:val="00456906"/>
    <w:rsid w:val="00457097"/>
    <w:rsid w:val="00457244"/>
    <w:rsid w:val="00457759"/>
    <w:rsid w:val="0046045F"/>
    <w:rsid w:val="00461101"/>
    <w:rsid w:val="004622CB"/>
    <w:rsid w:val="00463CEB"/>
    <w:rsid w:val="00464178"/>
    <w:rsid w:val="004644D4"/>
    <w:rsid w:val="00464DC3"/>
    <w:rsid w:val="00464E89"/>
    <w:rsid w:val="00467873"/>
    <w:rsid w:val="0047014A"/>
    <w:rsid w:val="00470570"/>
    <w:rsid w:val="00470C7E"/>
    <w:rsid w:val="00470CD8"/>
    <w:rsid w:val="00471197"/>
    <w:rsid w:val="004713E2"/>
    <w:rsid w:val="004717D2"/>
    <w:rsid w:val="00471B5B"/>
    <w:rsid w:val="00472C22"/>
    <w:rsid w:val="00472DBD"/>
    <w:rsid w:val="00472E0F"/>
    <w:rsid w:val="00472F2F"/>
    <w:rsid w:val="004730F6"/>
    <w:rsid w:val="00473750"/>
    <w:rsid w:val="00473A1E"/>
    <w:rsid w:val="00473AB1"/>
    <w:rsid w:val="00473CC3"/>
    <w:rsid w:val="004749A2"/>
    <w:rsid w:val="00474FA3"/>
    <w:rsid w:val="0047563C"/>
    <w:rsid w:val="00475BB1"/>
    <w:rsid w:val="00476259"/>
    <w:rsid w:val="00477715"/>
    <w:rsid w:val="00477D54"/>
    <w:rsid w:val="00480924"/>
    <w:rsid w:val="00481546"/>
    <w:rsid w:val="0048207C"/>
    <w:rsid w:val="00482425"/>
    <w:rsid w:val="00483016"/>
    <w:rsid w:val="004836A3"/>
    <w:rsid w:val="00484E4A"/>
    <w:rsid w:val="00485283"/>
    <w:rsid w:val="00486DBE"/>
    <w:rsid w:val="004874D1"/>
    <w:rsid w:val="004879D6"/>
    <w:rsid w:val="00487C95"/>
    <w:rsid w:val="00490F5A"/>
    <w:rsid w:val="00490FB3"/>
    <w:rsid w:val="004916A6"/>
    <w:rsid w:val="004917C1"/>
    <w:rsid w:val="00491DA3"/>
    <w:rsid w:val="00492C5A"/>
    <w:rsid w:val="00493606"/>
    <w:rsid w:val="00493C1D"/>
    <w:rsid w:val="00493C7F"/>
    <w:rsid w:val="00494293"/>
    <w:rsid w:val="00494355"/>
    <w:rsid w:val="00494D49"/>
    <w:rsid w:val="004966B6"/>
    <w:rsid w:val="00497E63"/>
    <w:rsid w:val="004A06AD"/>
    <w:rsid w:val="004A07C6"/>
    <w:rsid w:val="004A09A8"/>
    <w:rsid w:val="004A2126"/>
    <w:rsid w:val="004A2FF5"/>
    <w:rsid w:val="004A35EE"/>
    <w:rsid w:val="004A3856"/>
    <w:rsid w:val="004A49E7"/>
    <w:rsid w:val="004A509D"/>
    <w:rsid w:val="004A51DF"/>
    <w:rsid w:val="004A51E1"/>
    <w:rsid w:val="004A5AF5"/>
    <w:rsid w:val="004A5D2C"/>
    <w:rsid w:val="004A68C6"/>
    <w:rsid w:val="004A6A5A"/>
    <w:rsid w:val="004A7C61"/>
    <w:rsid w:val="004A7F54"/>
    <w:rsid w:val="004B03C1"/>
    <w:rsid w:val="004B13D7"/>
    <w:rsid w:val="004B2A91"/>
    <w:rsid w:val="004B313D"/>
    <w:rsid w:val="004B3B24"/>
    <w:rsid w:val="004B3D1A"/>
    <w:rsid w:val="004B5279"/>
    <w:rsid w:val="004B56DC"/>
    <w:rsid w:val="004B61EC"/>
    <w:rsid w:val="004B6749"/>
    <w:rsid w:val="004B6A92"/>
    <w:rsid w:val="004B73C7"/>
    <w:rsid w:val="004B7928"/>
    <w:rsid w:val="004C0059"/>
    <w:rsid w:val="004C1B89"/>
    <w:rsid w:val="004C22AA"/>
    <w:rsid w:val="004C239D"/>
    <w:rsid w:val="004C2946"/>
    <w:rsid w:val="004C2BE9"/>
    <w:rsid w:val="004C3A00"/>
    <w:rsid w:val="004C3FAC"/>
    <w:rsid w:val="004C427B"/>
    <w:rsid w:val="004C47DC"/>
    <w:rsid w:val="004C4840"/>
    <w:rsid w:val="004C59CB"/>
    <w:rsid w:val="004C5A71"/>
    <w:rsid w:val="004C6878"/>
    <w:rsid w:val="004C6A78"/>
    <w:rsid w:val="004C7A29"/>
    <w:rsid w:val="004D0179"/>
    <w:rsid w:val="004D0EAF"/>
    <w:rsid w:val="004D0EF2"/>
    <w:rsid w:val="004D0F8F"/>
    <w:rsid w:val="004D0FD2"/>
    <w:rsid w:val="004D3210"/>
    <w:rsid w:val="004D3217"/>
    <w:rsid w:val="004D3248"/>
    <w:rsid w:val="004D362D"/>
    <w:rsid w:val="004D3A74"/>
    <w:rsid w:val="004D47E9"/>
    <w:rsid w:val="004D4CFE"/>
    <w:rsid w:val="004D5661"/>
    <w:rsid w:val="004D5876"/>
    <w:rsid w:val="004D5A6F"/>
    <w:rsid w:val="004D5EEF"/>
    <w:rsid w:val="004D637F"/>
    <w:rsid w:val="004D67B3"/>
    <w:rsid w:val="004D7F55"/>
    <w:rsid w:val="004E01A1"/>
    <w:rsid w:val="004E0C8E"/>
    <w:rsid w:val="004E1662"/>
    <w:rsid w:val="004E2DE0"/>
    <w:rsid w:val="004E4115"/>
    <w:rsid w:val="004E4EE5"/>
    <w:rsid w:val="004E66A2"/>
    <w:rsid w:val="004E6D19"/>
    <w:rsid w:val="004E7592"/>
    <w:rsid w:val="004E75A9"/>
    <w:rsid w:val="004E7D78"/>
    <w:rsid w:val="004F0416"/>
    <w:rsid w:val="004F096B"/>
    <w:rsid w:val="004F0BA4"/>
    <w:rsid w:val="004F1A80"/>
    <w:rsid w:val="004F1A98"/>
    <w:rsid w:val="004F1CE0"/>
    <w:rsid w:val="004F40DF"/>
    <w:rsid w:val="004F4478"/>
    <w:rsid w:val="004F4C0A"/>
    <w:rsid w:val="004F4D2E"/>
    <w:rsid w:val="004F5EE7"/>
    <w:rsid w:val="004F5F21"/>
    <w:rsid w:val="004F605E"/>
    <w:rsid w:val="004F607A"/>
    <w:rsid w:val="004F64AE"/>
    <w:rsid w:val="004F6C06"/>
    <w:rsid w:val="004F7612"/>
    <w:rsid w:val="004F766B"/>
    <w:rsid w:val="004F7871"/>
    <w:rsid w:val="004F7EBD"/>
    <w:rsid w:val="005009E2"/>
    <w:rsid w:val="00500A26"/>
    <w:rsid w:val="00500B26"/>
    <w:rsid w:val="00501195"/>
    <w:rsid w:val="005018B1"/>
    <w:rsid w:val="00501B14"/>
    <w:rsid w:val="00502379"/>
    <w:rsid w:val="005027CE"/>
    <w:rsid w:val="00505225"/>
    <w:rsid w:val="00505FA4"/>
    <w:rsid w:val="00507499"/>
    <w:rsid w:val="0051108B"/>
    <w:rsid w:val="00511A26"/>
    <w:rsid w:val="00511C81"/>
    <w:rsid w:val="005131E8"/>
    <w:rsid w:val="00514972"/>
    <w:rsid w:val="00515537"/>
    <w:rsid w:val="00515B04"/>
    <w:rsid w:val="00515CDD"/>
    <w:rsid w:val="005160EB"/>
    <w:rsid w:val="005172FF"/>
    <w:rsid w:val="00517EAD"/>
    <w:rsid w:val="00517FF6"/>
    <w:rsid w:val="00520CD4"/>
    <w:rsid w:val="005217C7"/>
    <w:rsid w:val="00521F1C"/>
    <w:rsid w:val="00522C3C"/>
    <w:rsid w:val="00522F1F"/>
    <w:rsid w:val="00524515"/>
    <w:rsid w:val="00524BE9"/>
    <w:rsid w:val="00525023"/>
    <w:rsid w:val="00526139"/>
    <w:rsid w:val="0052699B"/>
    <w:rsid w:val="00527101"/>
    <w:rsid w:val="005272DA"/>
    <w:rsid w:val="0052745D"/>
    <w:rsid w:val="00527F8E"/>
    <w:rsid w:val="00530475"/>
    <w:rsid w:val="00530680"/>
    <w:rsid w:val="00530800"/>
    <w:rsid w:val="0053088E"/>
    <w:rsid w:val="005310D8"/>
    <w:rsid w:val="00531D6D"/>
    <w:rsid w:val="00531D8A"/>
    <w:rsid w:val="0053213C"/>
    <w:rsid w:val="00532CD0"/>
    <w:rsid w:val="00533516"/>
    <w:rsid w:val="00533BA2"/>
    <w:rsid w:val="00533E41"/>
    <w:rsid w:val="005340A2"/>
    <w:rsid w:val="00534D6D"/>
    <w:rsid w:val="00536ADD"/>
    <w:rsid w:val="00537229"/>
    <w:rsid w:val="00537DC6"/>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5F2"/>
    <w:rsid w:val="00547DA6"/>
    <w:rsid w:val="00547FD6"/>
    <w:rsid w:val="00551357"/>
    <w:rsid w:val="0055223F"/>
    <w:rsid w:val="00552AA8"/>
    <w:rsid w:val="00553C61"/>
    <w:rsid w:val="00553D1A"/>
    <w:rsid w:val="00553ECC"/>
    <w:rsid w:val="00556401"/>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FE"/>
    <w:rsid w:val="005672FE"/>
    <w:rsid w:val="00567D95"/>
    <w:rsid w:val="00567D99"/>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56B"/>
    <w:rsid w:val="00584620"/>
    <w:rsid w:val="005847B0"/>
    <w:rsid w:val="005849D1"/>
    <w:rsid w:val="00584ABA"/>
    <w:rsid w:val="00586232"/>
    <w:rsid w:val="005863B7"/>
    <w:rsid w:val="00586891"/>
    <w:rsid w:val="00586EF1"/>
    <w:rsid w:val="005871EE"/>
    <w:rsid w:val="00590B28"/>
    <w:rsid w:val="005916C4"/>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E72"/>
    <w:rsid w:val="005A3F44"/>
    <w:rsid w:val="005A4495"/>
    <w:rsid w:val="005A46CA"/>
    <w:rsid w:val="005A63AC"/>
    <w:rsid w:val="005A6432"/>
    <w:rsid w:val="005A6765"/>
    <w:rsid w:val="005A7168"/>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B7EC2"/>
    <w:rsid w:val="005C041C"/>
    <w:rsid w:val="005C18E6"/>
    <w:rsid w:val="005C2424"/>
    <w:rsid w:val="005C29C4"/>
    <w:rsid w:val="005C5368"/>
    <w:rsid w:val="005C5B9C"/>
    <w:rsid w:val="005C5DD2"/>
    <w:rsid w:val="005C5E64"/>
    <w:rsid w:val="005C5F9B"/>
    <w:rsid w:val="005C6A0B"/>
    <w:rsid w:val="005C77AE"/>
    <w:rsid w:val="005C7F37"/>
    <w:rsid w:val="005D101E"/>
    <w:rsid w:val="005D15DA"/>
    <w:rsid w:val="005D1A91"/>
    <w:rsid w:val="005D1AA4"/>
    <w:rsid w:val="005D1AE8"/>
    <w:rsid w:val="005D1CED"/>
    <w:rsid w:val="005D2A10"/>
    <w:rsid w:val="005D4599"/>
    <w:rsid w:val="005D579D"/>
    <w:rsid w:val="005D5C81"/>
    <w:rsid w:val="005D6408"/>
    <w:rsid w:val="005E07E5"/>
    <w:rsid w:val="005E0B69"/>
    <w:rsid w:val="005E1214"/>
    <w:rsid w:val="005E2397"/>
    <w:rsid w:val="005E2CC6"/>
    <w:rsid w:val="005E336B"/>
    <w:rsid w:val="005E3538"/>
    <w:rsid w:val="005E3906"/>
    <w:rsid w:val="005E3B01"/>
    <w:rsid w:val="005E3D61"/>
    <w:rsid w:val="005E4745"/>
    <w:rsid w:val="005E4E92"/>
    <w:rsid w:val="005E6E4B"/>
    <w:rsid w:val="005E7604"/>
    <w:rsid w:val="005E7767"/>
    <w:rsid w:val="005E7AFC"/>
    <w:rsid w:val="005F0341"/>
    <w:rsid w:val="005F132D"/>
    <w:rsid w:val="005F1614"/>
    <w:rsid w:val="005F26DC"/>
    <w:rsid w:val="005F27F0"/>
    <w:rsid w:val="005F39F0"/>
    <w:rsid w:val="005F4429"/>
    <w:rsid w:val="005F4643"/>
    <w:rsid w:val="005F4897"/>
    <w:rsid w:val="005F5253"/>
    <w:rsid w:val="005F6C32"/>
    <w:rsid w:val="005F75D0"/>
    <w:rsid w:val="005F7C9A"/>
    <w:rsid w:val="0060065B"/>
    <w:rsid w:val="006007DE"/>
    <w:rsid w:val="00600A45"/>
    <w:rsid w:val="00600E96"/>
    <w:rsid w:val="00600F2D"/>
    <w:rsid w:val="00601DB3"/>
    <w:rsid w:val="00601E67"/>
    <w:rsid w:val="00601F52"/>
    <w:rsid w:val="00602549"/>
    <w:rsid w:val="00602DD9"/>
    <w:rsid w:val="006038CB"/>
    <w:rsid w:val="00604092"/>
    <w:rsid w:val="006043CB"/>
    <w:rsid w:val="00604B23"/>
    <w:rsid w:val="00604E11"/>
    <w:rsid w:val="00605749"/>
    <w:rsid w:val="00605FCC"/>
    <w:rsid w:val="006060A9"/>
    <w:rsid w:val="0060682D"/>
    <w:rsid w:val="006105B6"/>
    <w:rsid w:val="006108A1"/>
    <w:rsid w:val="00610B93"/>
    <w:rsid w:val="00610C19"/>
    <w:rsid w:val="00611255"/>
    <w:rsid w:val="006117B5"/>
    <w:rsid w:val="00611D7A"/>
    <w:rsid w:val="006125AA"/>
    <w:rsid w:val="006130DB"/>
    <w:rsid w:val="0061392A"/>
    <w:rsid w:val="006140BE"/>
    <w:rsid w:val="00615788"/>
    <w:rsid w:val="0061654E"/>
    <w:rsid w:val="0062122B"/>
    <w:rsid w:val="00621442"/>
    <w:rsid w:val="00621B4E"/>
    <w:rsid w:val="00622FD3"/>
    <w:rsid w:val="00625E96"/>
    <w:rsid w:val="00625FCA"/>
    <w:rsid w:val="00626815"/>
    <w:rsid w:val="00626E3D"/>
    <w:rsid w:val="00627C66"/>
    <w:rsid w:val="00630500"/>
    <w:rsid w:val="006309D3"/>
    <w:rsid w:val="0063190B"/>
    <w:rsid w:val="0063287B"/>
    <w:rsid w:val="00632BD2"/>
    <w:rsid w:val="00632DE7"/>
    <w:rsid w:val="006334E3"/>
    <w:rsid w:val="0063362B"/>
    <w:rsid w:val="00634D1F"/>
    <w:rsid w:val="00635353"/>
    <w:rsid w:val="00636535"/>
    <w:rsid w:val="00637066"/>
    <w:rsid w:val="00637207"/>
    <w:rsid w:val="006372E9"/>
    <w:rsid w:val="00640052"/>
    <w:rsid w:val="00640064"/>
    <w:rsid w:val="00640068"/>
    <w:rsid w:val="00640994"/>
    <w:rsid w:val="00641624"/>
    <w:rsid w:val="00641B3A"/>
    <w:rsid w:val="00642920"/>
    <w:rsid w:val="0064444E"/>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C88"/>
    <w:rsid w:val="00653C4A"/>
    <w:rsid w:val="00653DDC"/>
    <w:rsid w:val="0065461F"/>
    <w:rsid w:val="00654D85"/>
    <w:rsid w:val="0065575A"/>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314B"/>
    <w:rsid w:val="006740E1"/>
    <w:rsid w:val="006741E7"/>
    <w:rsid w:val="006743E0"/>
    <w:rsid w:val="00674C12"/>
    <w:rsid w:val="006757CE"/>
    <w:rsid w:val="00676063"/>
    <w:rsid w:val="0067638E"/>
    <w:rsid w:val="0067702D"/>
    <w:rsid w:val="0067710C"/>
    <w:rsid w:val="00677F71"/>
    <w:rsid w:val="00680569"/>
    <w:rsid w:val="00680A8F"/>
    <w:rsid w:val="00680F9E"/>
    <w:rsid w:val="00680FAC"/>
    <w:rsid w:val="0068217A"/>
    <w:rsid w:val="0068246A"/>
    <w:rsid w:val="00684B8C"/>
    <w:rsid w:val="006864DE"/>
    <w:rsid w:val="00687121"/>
    <w:rsid w:val="00690A97"/>
    <w:rsid w:val="00691B5E"/>
    <w:rsid w:val="00691FC7"/>
    <w:rsid w:val="00692386"/>
    <w:rsid w:val="00692FA7"/>
    <w:rsid w:val="006934B8"/>
    <w:rsid w:val="00693CCD"/>
    <w:rsid w:val="00694B73"/>
    <w:rsid w:val="0069514E"/>
    <w:rsid w:val="00695E4C"/>
    <w:rsid w:val="00695F1C"/>
    <w:rsid w:val="00696E8B"/>
    <w:rsid w:val="006970E6"/>
    <w:rsid w:val="00697AC4"/>
    <w:rsid w:val="006A0671"/>
    <w:rsid w:val="006A1366"/>
    <w:rsid w:val="006A1808"/>
    <w:rsid w:val="006A187B"/>
    <w:rsid w:val="006A1B32"/>
    <w:rsid w:val="006A1DD0"/>
    <w:rsid w:val="006A3FD6"/>
    <w:rsid w:val="006A4A81"/>
    <w:rsid w:val="006A4FD8"/>
    <w:rsid w:val="006A56B6"/>
    <w:rsid w:val="006A5B07"/>
    <w:rsid w:val="006A5DBD"/>
    <w:rsid w:val="006A5DC0"/>
    <w:rsid w:val="006A6644"/>
    <w:rsid w:val="006A6BE6"/>
    <w:rsid w:val="006A72D8"/>
    <w:rsid w:val="006A766B"/>
    <w:rsid w:val="006A7F32"/>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09B0"/>
    <w:rsid w:val="006C1812"/>
    <w:rsid w:val="006C25D1"/>
    <w:rsid w:val="006C270A"/>
    <w:rsid w:val="006C2BA3"/>
    <w:rsid w:val="006C3528"/>
    <w:rsid w:val="006C3826"/>
    <w:rsid w:val="006C5400"/>
    <w:rsid w:val="006C558D"/>
    <w:rsid w:val="006C69E1"/>
    <w:rsid w:val="006C6AD6"/>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5B9"/>
    <w:rsid w:val="006E37FA"/>
    <w:rsid w:val="006E3D8B"/>
    <w:rsid w:val="006E3ED4"/>
    <w:rsid w:val="006E40E3"/>
    <w:rsid w:val="006E42B6"/>
    <w:rsid w:val="006E4BC0"/>
    <w:rsid w:val="006E5129"/>
    <w:rsid w:val="006E605D"/>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50E"/>
    <w:rsid w:val="006F4E58"/>
    <w:rsid w:val="006F6B67"/>
    <w:rsid w:val="006F7EA9"/>
    <w:rsid w:val="007011FE"/>
    <w:rsid w:val="007019DF"/>
    <w:rsid w:val="00701C06"/>
    <w:rsid w:val="00702463"/>
    <w:rsid w:val="00702B71"/>
    <w:rsid w:val="00703084"/>
    <w:rsid w:val="0070347F"/>
    <w:rsid w:val="00705561"/>
    <w:rsid w:val="007055A2"/>
    <w:rsid w:val="00706457"/>
    <w:rsid w:val="00706554"/>
    <w:rsid w:val="00706D20"/>
    <w:rsid w:val="00707E7C"/>
    <w:rsid w:val="00710B0E"/>
    <w:rsid w:val="00710B6E"/>
    <w:rsid w:val="00711055"/>
    <w:rsid w:val="007114DB"/>
    <w:rsid w:val="00711CA5"/>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92D"/>
    <w:rsid w:val="00725A5B"/>
    <w:rsid w:val="007307CE"/>
    <w:rsid w:val="00731667"/>
    <w:rsid w:val="007316BE"/>
    <w:rsid w:val="00731E0A"/>
    <w:rsid w:val="00733949"/>
    <w:rsid w:val="00734265"/>
    <w:rsid w:val="00734CC7"/>
    <w:rsid w:val="007357E1"/>
    <w:rsid w:val="007359E9"/>
    <w:rsid w:val="00735FA7"/>
    <w:rsid w:val="00736358"/>
    <w:rsid w:val="00736605"/>
    <w:rsid w:val="00737738"/>
    <w:rsid w:val="00740DDE"/>
    <w:rsid w:val="007420A7"/>
    <w:rsid w:val="007423B3"/>
    <w:rsid w:val="007427F5"/>
    <w:rsid w:val="007428AC"/>
    <w:rsid w:val="00742FFB"/>
    <w:rsid w:val="00743A4C"/>
    <w:rsid w:val="00744211"/>
    <w:rsid w:val="00744607"/>
    <w:rsid w:val="0074566A"/>
    <w:rsid w:val="007459EE"/>
    <w:rsid w:val="00745B64"/>
    <w:rsid w:val="00746CBC"/>
    <w:rsid w:val="00746DAF"/>
    <w:rsid w:val="0074764D"/>
    <w:rsid w:val="00747791"/>
    <w:rsid w:val="0075047B"/>
    <w:rsid w:val="007507C4"/>
    <w:rsid w:val="0075118D"/>
    <w:rsid w:val="00751571"/>
    <w:rsid w:val="00751B1C"/>
    <w:rsid w:val="00752A29"/>
    <w:rsid w:val="00753534"/>
    <w:rsid w:val="00753639"/>
    <w:rsid w:val="00753E05"/>
    <w:rsid w:val="00756A2A"/>
    <w:rsid w:val="00756EE3"/>
    <w:rsid w:val="00757270"/>
    <w:rsid w:val="00757359"/>
    <w:rsid w:val="007579D2"/>
    <w:rsid w:val="00760437"/>
    <w:rsid w:val="00760ADF"/>
    <w:rsid w:val="00760F4E"/>
    <w:rsid w:val="00761AC8"/>
    <w:rsid w:val="00764784"/>
    <w:rsid w:val="00770726"/>
    <w:rsid w:val="00770DC0"/>
    <w:rsid w:val="00771068"/>
    <w:rsid w:val="007727A7"/>
    <w:rsid w:val="00773721"/>
    <w:rsid w:val="00773D0D"/>
    <w:rsid w:val="00774EC3"/>
    <w:rsid w:val="00775E38"/>
    <w:rsid w:val="007760F9"/>
    <w:rsid w:val="00776811"/>
    <w:rsid w:val="007768B8"/>
    <w:rsid w:val="0077733E"/>
    <w:rsid w:val="00777F0D"/>
    <w:rsid w:val="0078064D"/>
    <w:rsid w:val="00781BDA"/>
    <w:rsid w:val="00781DD9"/>
    <w:rsid w:val="0078256A"/>
    <w:rsid w:val="00782855"/>
    <w:rsid w:val="00782EF9"/>
    <w:rsid w:val="007837ED"/>
    <w:rsid w:val="00784042"/>
    <w:rsid w:val="00784752"/>
    <w:rsid w:val="00784C74"/>
    <w:rsid w:val="007856C8"/>
    <w:rsid w:val="0078583C"/>
    <w:rsid w:val="00785879"/>
    <w:rsid w:val="00785A23"/>
    <w:rsid w:val="0078657C"/>
    <w:rsid w:val="00786B2C"/>
    <w:rsid w:val="007872A6"/>
    <w:rsid w:val="00787367"/>
    <w:rsid w:val="00787487"/>
    <w:rsid w:val="00790052"/>
    <w:rsid w:val="00791498"/>
    <w:rsid w:val="00792248"/>
    <w:rsid w:val="00793D94"/>
    <w:rsid w:val="00794A98"/>
    <w:rsid w:val="00795175"/>
    <w:rsid w:val="007953EE"/>
    <w:rsid w:val="00795C2F"/>
    <w:rsid w:val="00796586"/>
    <w:rsid w:val="0079789F"/>
    <w:rsid w:val="007978FF"/>
    <w:rsid w:val="00797FC1"/>
    <w:rsid w:val="007A1E2C"/>
    <w:rsid w:val="007A21DD"/>
    <w:rsid w:val="007A22D1"/>
    <w:rsid w:val="007A232C"/>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1F75"/>
    <w:rsid w:val="007B32DB"/>
    <w:rsid w:val="007B3F50"/>
    <w:rsid w:val="007B548B"/>
    <w:rsid w:val="007B629A"/>
    <w:rsid w:val="007B6DD7"/>
    <w:rsid w:val="007B6FC1"/>
    <w:rsid w:val="007B7897"/>
    <w:rsid w:val="007B7903"/>
    <w:rsid w:val="007B7D60"/>
    <w:rsid w:val="007C02D3"/>
    <w:rsid w:val="007C05A6"/>
    <w:rsid w:val="007C0A4E"/>
    <w:rsid w:val="007C1025"/>
    <w:rsid w:val="007C11A2"/>
    <w:rsid w:val="007C1536"/>
    <w:rsid w:val="007C193F"/>
    <w:rsid w:val="007C1A74"/>
    <w:rsid w:val="007C2386"/>
    <w:rsid w:val="007C268C"/>
    <w:rsid w:val="007C2E96"/>
    <w:rsid w:val="007C33D7"/>
    <w:rsid w:val="007C3719"/>
    <w:rsid w:val="007C374A"/>
    <w:rsid w:val="007C3BAD"/>
    <w:rsid w:val="007C5CFB"/>
    <w:rsid w:val="007C5F2F"/>
    <w:rsid w:val="007C6050"/>
    <w:rsid w:val="007C7C36"/>
    <w:rsid w:val="007C7DCB"/>
    <w:rsid w:val="007D0679"/>
    <w:rsid w:val="007D0E7B"/>
    <w:rsid w:val="007D1BF2"/>
    <w:rsid w:val="007D1D31"/>
    <w:rsid w:val="007D29BB"/>
    <w:rsid w:val="007D2AD3"/>
    <w:rsid w:val="007D3845"/>
    <w:rsid w:val="007D3AD2"/>
    <w:rsid w:val="007D514A"/>
    <w:rsid w:val="007D5311"/>
    <w:rsid w:val="007D5A1E"/>
    <w:rsid w:val="007D5ADD"/>
    <w:rsid w:val="007D6335"/>
    <w:rsid w:val="007D67BA"/>
    <w:rsid w:val="007D79AB"/>
    <w:rsid w:val="007E0D20"/>
    <w:rsid w:val="007E12DD"/>
    <w:rsid w:val="007E1EE6"/>
    <w:rsid w:val="007E1FFB"/>
    <w:rsid w:val="007E2285"/>
    <w:rsid w:val="007E2903"/>
    <w:rsid w:val="007E293B"/>
    <w:rsid w:val="007E2D5C"/>
    <w:rsid w:val="007E3BA2"/>
    <w:rsid w:val="007E43AF"/>
    <w:rsid w:val="007E4B28"/>
    <w:rsid w:val="007E4C62"/>
    <w:rsid w:val="007E5D42"/>
    <w:rsid w:val="007E5DAF"/>
    <w:rsid w:val="007E637A"/>
    <w:rsid w:val="007F216A"/>
    <w:rsid w:val="007F2467"/>
    <w:rsid w:val="007F2DF2"/>
    <w:rsid w:val="007F3DD9"/>
    <w:rsid w:val="007F44DF"/>
    <w:rsid w:val="007F571F"/>
    <w:rsid w:val="007F7770"/>
    <w:rsid w:val="007F783A"/>
    <w:rsid w:val="007F7B56"/>
    <w:rsid w:val="007F7BA5"/>
    <w:rsid w:val="0080015F"/>
    <w:rsid w:val="008002BA"/>
    <w:rsid w:val="00800BEC"/>
    <w:rsid w:val="0080162A"/>
    <w:rsid w:val="008017DE"/>
    <w:rsid w:val="00801ADE"/>
    <w:rsid w:val="00801CF4"/>
    <w:rsid w:val="00801DF3"/>
    <w:rsid w:val="0080292D"/>
    <w:rsid w:val="00805517"/>
    <w:rsid w:val="00805603"/>
    <w:rsid w:val="00807BC1"/>
    <w:rsid w:val="00807C5A"/>
    <w:rsid w:val="00807F5B"/>
    <w:rsid w:val="00810A99"/>
    <w:rsid w:val="008114AA"/>
    <w:rsid w:val="008122FD"/>
    <w:rsid w:val="00814A08"/>
    <w:rsid w:val="00814B71"/>
    <w:rsid w:val="00814F1E"/>
    <w:rsid w:val="0081566C"/>
    <w:rsid w:val="00817233"/>
    <w:rsid w:val="008173DD"/>
    <w:rsid w:val="00817A9B"/>
    <w:rsid w:val="00817C22"/>
    <w:rsid w:val="008219F9"/>
    <w:rsid w:val="00821EED"/>
    <w:rsid w:val="00822214"/>
    <w:rsid w:val="00822327"/>
    <w:rsid w:val="00822A3E"/>
    <w:rsid w:val="00822B95"/>
    <w:rsid w:val="00822BEF"/>
    <w:rsid w:val="00824794"/>
    <w:rsid w:val="00824900"/>
    <w:rsid w:val="00824DB5"/>
    <w:rsid w:val="00824FC2"/>
    <w:rsid w:val="008252EA"/>
    <w:rsid w:val="00825CF0"/>
    <w:rsid w:val="00825DD2"/>
    <w:rsid w:val="00825EBE"/>
    <w:rsid w:val="00830E8A"/>
    <w:rsid w:val="00831067"/>
    <w:rsid w:val="00831183"/>
    <w:rsid w:val="00831647"/>
    <w:rsid w:val="00831817"/>
    <w:rsid w:val="008319B5"/>
    <w:rsid w:val="00831F82"/>
    <w:rsid w:val="0083219C"/>
    <w:rsid w:val="00832304"/>
    <w:rsid w:val="008324BE"/>
    <w:rsid w:val="0083281F"/>
    <w:rsid w:val="00833539"/>
    <w:rsid w:val="00833ADF"/>
    <w:rsid w:val="00833B53"/>
    <w:rsid w:val="00834261"/>
    <w:rsid w:val="008342CE"/>
    <w:rsid w:val="0083431C"/>
    <w:rsid w:val="00834CCF"/>
    <w:rsid w:val="0083532A"/>
    <w:rsid w:val="00835575"/>
    <w:rsid w:val="0083622F"/>
    <w:rsid w:val="00836B62"/>
    <w:rsid w:val="0083732F"/>
    <w:rsid w:val="00837A21"/>
    <w:rsid w:val="00841052"/>
    <w:rsid w:val="008412F8"/>
    <w:rsid w:val="0084242F"/>
    <w:rsid w:val="00842467"/>
    <w:rsid w:val="008435BB"/>
    <w:rsid w:val="00844BC0"/>
    <w:rsid w:val="0084510B"/>
    <w:rsid w:val="00845AF3"/>
    <w:rsid w:val="00845BC0"/>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3B34"/>
    <w:rsid w:val="00864F1E"/>
    <w:rsid w:val="00865870"/>
    <w:rsid w:val="00865AC0"/>
    <w:rsid w:val="00867143"/>
    <w:rsid w:val="0086742B"/>
    <w:rsid w:val="00870528"/>
    <w:rsid w:val="008708E1"/>
    <w:rsid w:val="008710DC"/>
    <w:rsid w:val="008711B8"/>
    <w:rsid w:val="00871763"/>
    <w:rsid w:val="00871E04"/>
    <w:rsid w:val="00871F97"/>
    <w:rsid w:val="008735D6"/>
    <w:rsid w:val="00873686"/>
    <w:rsid w:val="0087371F"/>
    <w:rsid w:val="0087377B"/>
    <w:rsid w:val="00873A7D"/>
    <w:rsid w:val="00873DCA"/>
    <w:rsid w:val="00874157"/>
    <w:rsid w:val="00875D89"/>
    <w:rsid w:val="00875EA8"/>
    <w:rsid w:val="008770C8"/>
    <w:rsid w:val="0087780A"/>
    <w:rsid w:val="00877B36"/>
    <w:rsid w:val="00880A1C"/>
    <w:rsid w:val="00880B5A"/>
    <w:rsid w:val="00880F8A"/>
    <w:rsid w:val="00881619"/>
    <w:rsid w:val="00881AA1"/>
    <w:rsid w:val="00881CDA"/>
    <w:rsid w:val="00883375"/>
    <w:rsid w:val="00884644"/>
    <w:rsid w:val="00884C8C"/>
    <w:rsid w:val="00885189"/>
    <w:rsid w:val="00885803"/>
    <w:rsid w:val="008861AF"/>
    <w:rsid w:val="008862E0"/>
    <w:rsid w:val="00886FF6"/>
    <w:rsid w:val="00887821"/>
    <w:rsid w:val="00887A9A"/>
    <w:rsid w:val="00887D35"/>
    <w:rsid w:val="00891E1D"/>
    <w:rsid w:val="00891F7F"/>
    <w:rsid w:val="008927E8"/>
    <w:rsid w:val="00892C87"/>
    <w:rsid w:val="00893892"/>
    <w:rsid w:val="00893D31"/>
    <w:rsid w:val="00894C87"/>
    <w:rsid w:val="00894DE8"/>
    <w:rsid w:val="00895084"/>
    <w:rsid w:val="00895D7E"/>
    <w:rsid w:val="0089683D"/>
    <w:rsid w:val="00897DD4"/>
    <w:rsid w:val="008A137C"/>
    <w:rsid w:val="008A26B3"/>
    <w:rsid w:val="008A2B1A"/>
    <w:rsid w:val="008A2DA3"/>
    <w:rsid w:val="008A3023"/>
    <w:rsid w:val="008A33B1"/>
    <w:rsid w:val="008A5C4D"/>
    <w:rsid w:val="008A62B7"/>
    <w:rsid w:val="008A63D7"/>
    <w:rsid w:val="008A6D51"/>
    <w:rsid w:val="008A6DA8"/>
    <w:rsid w:val="008A7D00"/>
    <w:rsid w:val="008B0F3C"/>
    <w:rsid w:val="008B1665"/>
    <w:rsid w:val="008B178D"/>
    <w:rsid w:val="008B1800"/>
    <w:rsid w:val="008B1F3A"/>
    <w:rsid w:val="008B205D"/>
    <w:rsid w:val="008B2534"/>
    <w:rsid w:val="008B2575"/>
    <w:rsid w:val="008B2BC7"/>
    <w:rsid w:val="008B2CB7"/>
    <w:rsid w:val="008B2D61"/>
    <w:rsid w:val="008B3735"/>
    <w:rsid w:val="008B4AC2"/>
    <w:rsid w:val="008B4F50"/>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C2C"/>
    <w:rsid w:val="008C3283"/>
    <w:rsid w:val="008C381D"/>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960"/>
    <w:rsid w:val="008D4D38"/>
    <w:rsid w:val="008D54E3"/>
    <w:rsid w:val="008D5A4A"/>
    <w:rsid w:val="008D5BEA"/>
    <w:rsid w:val="008D61EE"/>
    <w:rsid w:val="008D6C4B"/>
    <w:rsid w:val="008D72F1"/>
    <w:rsid w:val="008E0177"/>
    <w:rsid w:val="008E0342"/>
    <w:rsid w:val="008E0DE0"/>
    <w:rsid w:val="008E1667"/>
    <w:rsid w:val="008E1991"/>
    <w:rsid w:val="008E1A52"/>
    <w:rsid w:val="008E276C"/>
    <w:rsid w:val="008E2A5D"/>
    <w:rsid w:val="008E3589"/>
    <w:rsid w:val="008E380B"/>
    <w:rsid w:val="008E383C"/>
    <w:rsid w:val="008E388F"/>
    <w:rsid w:val="008E5134"/>
    <w:rsid w:val="008E5BE0"/>
    <w:rsid w:val="008E63C7"/>
    <w:rsid w:val="008E7940"/>
    <w:rsid w:val="008E7F9D"/>
    <w:rsid w:val="008F0293"/>
    <w:rsid w:val="008F0ACD"/>
    <w:rsid w:val="008F256B"/>
    <w:rsid w:val="008F2684"/>
    <w:rsid w:val="008F2D71"/>
    <w:rsid w:val="008F3BB2"/>
    <w:rsid w:val="008F3BFA"/>
    <w:rsid w:val="008F441E"/>
    <w:rsid w:val="008F442E"/>
    <w:rsid w:val="008F4866"/>
    <w:rsid w:val="008F4912"/>
    <w:rsid w:val="008F5358"/>
    <w:rsid w:val="008F538B"/>
    <w:rsid w:val="008F597E"/>
    <w:rsid w:val="008F5BEC"/>
    <w:rsid w:val="008F6211"/>
    <w:rsid w:val="008F709B"/>
    <w:rsid w:val="008F7E22"/>
    <w:rsid w:val="009005A7"/>
    <w:rsid w:val="00902364"/>
    <w:rsid w:val="00902FB2"/>
    <w:rsid w:val="0090398B"/>
    <w:rsid w:val="0090420F"/>
    <w:rsid w:val="00904551"/>
    <w:rsid w:val="00904BB5"/>
    <w:rsid w:val="00905548"/>
    <w:rsid w:val="0090674A"/>
    <w:rsid w:val="009072BC"/>
    <w:rsid w:val="00907D16"/>
    <w:rsid w:val="00907F3C"/>
    <w:rsid w:val="00910BBC"/>
    <w:rsid w:val="00910EAC"/>
    <w:rsid w:val="00912219"/>
    <w:rsid w:val="00912579"/>
    <w:rsid w:val="00912693"/>
    <w:rsid w:val="00912864"/>
    <w:rsid w:val="00912970"/>
    <w:rsid w:val="00913134"/>
    <w:rsid w:val="009133EB"/>
    <w:rsid w:val="0091372C"/>
    <w:rsid w:val="00914847"/>
    <w:rsid w:val="0091499B"/>
    <w:rsid w:val="00915149"/>
    <w:rsid w:val="0091517B"/>
    <w:rsid w:val="00915812"/>
    <w:rsid w:val="00916487"/>
    <w:rsid w:val="009169F8"/>
    <w:rsid w:val="00917957"/>
    <w:rsid w:val="0092083E"/>
    <w:rsid w:val="00920B36"/>
    <w:rsid w:val="00921F2B"/>
    <w:rsid w:val="00922058"/>
    <w:rsid w:val="0092283F"/>
    <w:rsid w:val="00923638"/>
    <w:rsid w:val="009244EE"/>
    <w:rsid w:val="00924DF4"/>
    <w:rsid w:val="00925095"/>
    <w:rsid w:val="009252BA"/>
    <w:rsid w:val="00925C18"/>
    <w:rsid w:val="009266D7"/>
    <w:rsid w:val="00926F90"/>
    <w:rsid w:val="0092728E"/>
    <w:rsid w:val="0093150A"/>
    <w:rsid w:val="00931776"/>
    <w:rsid w:val="00932FB6"/>
    <w:rsid w:val="0093374B"/>
    <w:rsid w:val="00934DB6"/>
    <w:rsid w:val="00935041"/>
    <w:rsid w:val="00935119"/>
    <w:rsid w:val="009357A2"/>
    <w:rsid w:val="00935928"/>
    <w:rsid w:val="00936631"/>
    <w:rsid w:val="00936BB4"/>
    <w:rsid w:val="00936C0A"/>
    <w:rsid w:val="00936CB6"/>
    <w:rsid w:val="00936CBC"/>
    <w:rsid w:val="009371B3"/>
    <w:rsid w:val="00937291"/>
    <w:rsid w:val="00937735"/>
    <w:rsid w:val="009405DA"/>
    <w:rsid w:val="00941146"/>
    <w:rsid w:val="00941234"/>
    <w:rsid w:val="009415EF"/>
    <w:rsid w:val="00942B10"/>
    <w:rsid w:val="00942E21"/>
    <w:rsid w:val="00943048"/>
    <w:rsid w:val="00943A78"/>
    <w:rsid w:val="00943E32"/>
    <w:rsid w:val="00944306"/>
    <w:rsid w:val="009443B2"/>
    <w:rsid w:val="00944AB3"/>
    <w:rsid w:val="0094523F"/>
    <w:rsid w:val="00945686"/>
    <w:rsid w:val="00947409"/>
    <w:rsid w:val="00950609"/>
    <w:rsid w:val="00950839"/>
    <w:rsid w:val="0095209D"/>
    <w:rsid w:val="00952811"/>
    <w:rsid w:val="009535E3"/>
    <w:rsid w:val="00953602"/>
    <w:rsid w:val="00953AE7"/>
    <w:rsid w:val="009545A3"/>
    <w:rsid w:val="009551F2"/>
    <w:rsid w:val="00955245"/>
    <w:rsid w:val="00955846"/>
    <w:rsid w:val="00957370"/>
    <w:rsid w:val="009573CA"/>
    <w:rsid w:val="00957EC6"/>
    <w:rsid w:val="00957F15"/>
    <w:rsid w:val="00957F30"/>
    <w:rsid w:val="00960C07"/>
    <w:rsid w:val="00960C10"/>
    <w:rsid w:val="00960D7D"/>
    <w:rsid w:val="00960DD2"/>
    <w:rsid w:val="00963072"/>
    <w:rsid w:val="00963AD3"/>
    <w:rsid w:val="00963D08"/>
    <w:rsid w:val="00964554"/>
    <w:rsid w:val="00964ADF"/>
    <w:rsid w:val="009659EC"/>
    <w:rsid w:val="0096614D"/>
    <w:rsid w:val="009661BD"/>
    <w:rsid w:val="00967234"/>
    <w:rsid w:val="00967279"/>
    <w:rsid w:val="00967580"/>
    <w:rsid w:val="0096766C"/>
    <w:rsid w:val="00970BAB"/>
    <w:rsid w:val="0097131F"/>
    <w:rsid w:val="00972EA4"/>
    <w:rsid w:val="00973172"/>
    <w:rsid w:val="00973FA3"/>
    <w:rsid w:val="009740AE"/>
    <w:rsid w:val="00974361"/>
    <w:rsid w:val="009743F4"/>
    <w:rsid w:val="00974B27"/>
    <w:rsid w:val="0097618F"/>
    <w:rsid w:val="0097722D"/>
    <w:rsid w:val="009804C1"/>
    <w:rsid w:val="00980705"/>
    <w:rsid w:val="00980FE1"/>
    <w:rsid w:val="00981256"/>
    <w:rsid w:val="009816B2"/>
    <w:rsid w:val="0098170D"/>
    <w:rsid w:val="009826DC"/>
    <w:rsid w:val="00982FAC"/>
    <w:rsid w:val="009834A0"/>
    <w:rsid w:val="00983E39"/>
    <w:rsid w:val="00984DD5"/>
    <w:rsid w:val="0098532F"/>
    <w:rsid w:val="009858CF"/>
    <w:rsid w:val="00985D19"/>
    <w:rsid w:val="00986FC9"/>
    <w:rsid w:val="0099020D"/>
    <w:rsid w:val="0099073D"/>
    <w:rsid w:val="00991A0B"/>
    <w:rsid w:val="00992DBB"/>
    <w:rsid w:val="00993BB9"/>
    <w:rsid w:val="00994ACD"/>
    <w:rsid w:val="00995E09"/>
    <w:rsid w:val="009A0165"/>
    <w:rsid w:val="009A01F5"/>
    <w:rsid w:val="009A0205"/>
    <w:rsid w:val="009A035D"/>
    <w:rsid w:val="009A06E4"/>
    <w:rsid w:val="009A0B64"/>
    <w:rsid w:val="009A0DE5"/>
    <w:rsid w:val="009A0F46"/>
    <w:rsid w:val="009A1683"/>
    <w:rsid w:val="009A16E0"/>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C49"/>
    <w:rsid w:val="009B39B1"/>
    <w:rsid w:val="009B48E8"/>
    <w:rsid w:val="009B49D6"/>
    <w:rsid w:val="009B5AAB"/>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30F3"/>
    <w:rsid w:val="009D337F"/>
    <w:rsid w:val="009D3685"/>
    <w:rsid w:val="009D3735"/>
    <w:rsid w:val="009D4480"/>
    <w:rsid w:val="009D4DF1"/>
    <w:rsid w:val="009D684C"/>
    <w:rsid w:val="009D738D"/>
    <w:rsid w:val="009D73C4"/>
    <w:rsid w:val="009D7594"/>
    <w:rsid w:val="009D7C10"/>
    <w:rsid w:val="009E09F6"/>
    <w:rsid w:val="009E10CA"/>
    <w:rsid w:val="009E160D"/>
    <w:rsid w:val="009E194A"/>
    <w:rsid w:val="009E4701"/>
    <w:rsid w:val="009E4CF7"/>
    <w:rsid w:val="009E5195"/>
    <w:rsid w:val="009E5332"/>
    <w:rsid w:val="009E53B0"/>
    <w:rsid w:val="009E5BBD"/>
    <w:rsid w:val="009E5DBB"/>
    <w:rsid w:val="009E6BEA"/>
    <w:rsid w:val="009E6CB3"/>
    <w:rsid w:val="009E7509"/>
    <w:rsid w:val="009E7955"/>
    <w:rsid w:val="009F0646"/>
    <w:rsid w:val="009F1492"/>
    <w:rsid w:val="009F2548"/>
    <w:rsid w:val="009F27D9"/>
    <w:rsid w:val="009F2B33"/>
    <w:rsid w:val="009F3529"/>
    <w:rsid w:val="009F3A7D"/>
    <w:rsid w:val="009F3BD8"/>
    <w:rsid w:val="009F4D04"/>
    <w:rsid w:val="009F523B"/>
    <w:rsid w:val="009F56F4"/>
    <w:rsid w:val="009F57F3"/>
    <w:rsid w:val="009F5E18"/>
    <w:rsid w:val="009F649C"/>
    <w:rsid w:val="009F68C7"/>
    <w:rsid w:val="009F709D"/>
    <w:rsid w:val="009F7D19"/>
    <w:rsid w:val="00A006D8"/>
    <w:rsid w:val="00A00E28"/>
    <w:rsid w:val="00A00E8E"/>
    <w:rsid w:val="00A016DA"/>
    <w:rsid w:val="00A018DB"/>
    <w:rsid w:val="00A01DAD"/>
    <w:rsid w:val="00A02130"/>
    <w:rsid w:val="00A02350"/>
    <w:rsid w:val="00A025A0"/>
    <w:rsid w:val="00A02DBB"/>
    <w:rsid w:val="00A02EC0"/>
    <w:rsid w:val="00A03175"/>
    <w:rsid w:val="00A0470C"/>
    <w:rsid w:val="00A0493F"/>
    <w:rsid w:val="00A051A8"/>
    <w:rsid w:val="00A0554F"/>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533F"/>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88"/>
    <w:rsid w:val="00A24DA0"/>
    <w:rsid w:val="00A24E80"/>
    <w:rsid w:val="00A27303"/>
    <w:rsid w:val="00A27629"/>
    <w:rsid w:val="00A27BDD"/>
    <w:rsid w:val="00A300A6"/>
    <w:rsid w:val="00A30524"/>
    <w:rsid w:val="00A31B3C"/>
    <w:rsid w:val="00A31DB4"/>
    <w:rsid w:val="00A3383E"/>
    <w:rsid w:val="00A33C91"/>
    <w:rsid w:val="00A34046"/>
    <w:rsid w:val="00A3510D"/>
    <w:rsid w:val="00A35C15"/>
    <w:rsid w:val="00A36E32"/>
    <w:rsid w:val="00A37E36"/>
    <w:rsid w:val="00A37E76"/>
    <w:rsid w:val="00A40023"/>
    <w:rsid w:val="00A41403"/>
    <w:rsid w:val="00A418E5"/>
    <w:rsid w:val="00A44207"/>
    <w:rsid w:val="00A44394"/>
    <w:rsid w:val="00A444E7"/>
    <w:rsid w:val="00A44AB0"/>
    <w:rsid w:val="00A45429"/>
    <w:rsid w:val="00A4581E"/>
    <w:rsid w:val="00A46909"/>
    <w:rsid w:val="00A46C1C"/>
    <w:rsid w:val="00A47559"/>
    <w:rsid w:val="00A47C7E"/>
    <w:rsid w:val="00A47DCB"/>
    <w:rsid w:val="00A503EA"/>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F40"/>
    <w:rsid w:val="00A66FF4"/>
    <w:rsid w:val="00A67789"/>
    <w:rsid w:val="00A6791D"/>
    <w:rsid w:val="00A7027F"/>
    <w:rsid w:val="00A7064D"/>
    <w:rsid w:val="00A7249D"/>
    <w:rsid w:val="00A72579"/>
    <w:rsid w:val="00A72AB3"/>
    <w:rsid w:val="00A72CB3"/>
    <w:rsid w:val="00A734C0"/>
    <w:rsid w:val="00A74A1B"/>
    <w:rsid w:val="00A806F1"/>
    <w:rsid w:val="00A80BB5"/>
    <w:rsid w:val="00A818A9"/>
    <w:rsid w:val="00A81C9B"/>
    <w:rsid w:val="00A81D07"/>
    <w:rsid w:val="00A83204"/>
    <w:rsid w:val="00A83CD9"/>
    <w:rsid w:val="00A83FB5"/>
    <w:rsid w:val="00A847E6"/>
    <w:rsid w:val="00A8496C"/>
    <w:rsid w:val="00A86BDA"/>
    <w:rsid w:val="00A87C75"/>
    <w:rsid w:val="00A9060A"/>
    <w:rsid w:val="00A91447"/>
    <w:rsid w:val="00A91456"/>
    <w:rsid w:val="00A92265"/>
    <w:rsid w:val="00A92624"/>
    <w:rsid w:val="00A92B1A"/>
    <w:rsid w:val="00A9398C"/>
    <w:rsid w:val="00A946B4"/>
    <w:rsid w:val="00A95799"/>
    <w:rsid w:val="00A95B04"/>
    <w:rsid w:val="00A95FB7"/>
    <w:rsid w:val="00A96117"/>
    <w:rsid w:val="00A96296"/>
    <w:rsid w:val="00A964D5"/>
    <w:rsid w:val="00A96540"/>
    <w:rsid w:val="00AA041B"/>
    <w:rsid w:val="00AA08E1"/>
    <w:rsid w:val="00AA1D75"/>
    <w:rsid w:val="00AA2097"/>
    <w:rsid w:val="00AA2856"/>
    <w:rsid w:val="00AA3B00"/>
    <w:rsid w:val="00AA3CEF"/>
    <w:rsid w:val="00AA41C1"/>
    <w:rsid w:val="00AA436D"/>
    <w:rsid w:val="00AA5284"/>
    <w:rsid w:val="00AA73CD"/>
    <w:rsid w:val="00AA7499"/>
    <w:rsid w:val="00AA79E3"/>
    <w:rsid w:val="00AB0938"/>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A65"/>
    <w:rsid w:val="00AC7F97"/>
    <w:rsid w:val="00AD0EC4"/>
    <w:rsid w:val="00AD172B"/>
    <w:rsid w:val="00AD1B27"/>
    <w:rsid w:val="00AD1C38"/>
    <w:rsid w:val="00AD23F3"/>
    <w:rsid w:val="00AD2572"/>
    <w:rsid w:val="00AD2733"/>
    <w:rsid w:val="00AD2776"/>
    <w:rsid w:val="00AD2A4A"/>
    <w:rsid w:val="00AD2ECF"/>
    <w:rsid w:val="00AD39CE"/>
    <w:rsid w:val="00AD3A72"/>
    <w:rsid w:val="00AD4185"/>
    <w:rsid w:val="00AD433F"/>
    <w:rsid w:val="00AD46B5"/>
    <w:rsid w:val="00AD4F47"/>
    <w:rsid w:val="00AD59AB"/>
    <w:rsid w:val="00AD5B84"/>
    <w:rsid w:val="00AD6508"/>
    <w:rsid w:val="00AD68EF"/>
    <w:rsid w:val="00AD69F5"/>
    <w:rsid w:val="00AD7AEC"/>
    <w:rsid w:val="00AD7E6C"/>
    <w:rsid w:val="00AE0214"/>
    <w:rsid w:val="00AE0389"/>
    <w:rsid w:val="00AE0BB2"/>
    <w:rsid w:val="00AE10F5"/>
    <w:rsid w:val="00AE11DC"/>
    <w:rsid w:val="00AE14B2"/>
    <w:rsid w:val="00AE23B7"/>
    <w:rsid w:val="00AE268E"/>
    <w:rsid w:val="00AE39A1"/>
    <w:rsid w:val="00AE4C00"/>
    <w:rsid w:val="00AE5B8E"/>
    <w:rsid w:val="00AE695E"/>
    <w:rsid w:val="00AE69EE"/>
    <w:rsid w:val="00AE6D5F"/>
    <w:rsid w:val="00AE6E7D"/>
    <w:rsid w:val="00AE778D"/>
    <w:rsid w:val="00AE7C3D"/>
    <w:rsid w:val="00AE7FF1"/>
    <w:rsid w:val="00AF03C1"/>
    <w:rsid w:val="00AF0465"/>
    <w:rsid w:val="00AF0674"/>
    <w:rsid w:val="00AF14FB"/>
    <w:rsid w:val="00AF20EE"/>
    <w:rsid w:val="00AF2467"/>
    <w:rsid w:val="00AF2E56"/>
    <w:rsid w:val="00AF35F8"/>
    <w:rsid w:val="00AF4074"/>
    <w:rsid w:val="00AF56DB"/>
    <w:rsid w:val="00AF5981"/>
    <w:rsid w:val="00AF59B5"/>
    <w:rsid w:val="00AF6545"/>
    <w:rsid w:val="00AF6B5D"/>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5D79"/>
    <w:rsid w:val="00B0607B"/>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737E"/>
    <w:rsid w:val="00B201C0"/>
    <w:rsid w:val="00B23168"/>
    <w:rsid w:val="00B236E8"/>
    <w:rsid w:val="00B2382E"/>
    <w:rsid w:val="00B239A9"/>
    <w:rsid w:val="00B244FB"/>
    <w:rsid w:val="00B24AD1"/>
    <w:rsid w:val="00B24B34"/>
    <w:rsid w:val="00B253A6"/>
    <w:rsid w:val="00B256A7"/>
    <w:rsid w:val="00B263D3"/>
    <w:rsid w:val="00B27668"/>
    <w:rsid w:val="00B30020"/>
    <w:rsid w:val="00B3005F"/>
    <w:rsid w:val="00B30124"/>
    <w:rsid w:val="00B319AA"/>
    <w:rsid w:val="00B3275A"/>
    <w:rsid w:val="00B3368E"/>
    <w:rsid w:val="00B33693"/>
    <w:rsid w:val="00B33D9A"/>
    <w:rsid w:val="00B340EF"/>
    <w:rsid w:val="00B34638"/>
    <w:rsid w:val="00B34998"/>
    <w:rsid w:val="00B34F1B"/>
    <w:rsid w:val="00B36563"/>
    <w:rsid w:val="00B37695"/>
    <w:rsid w:val="00B3776B"/>
    <w:rsid w:val="00B37A99"/>
    <w:rsid w:val="00B402AE"/>
    <w:rsid w:val="00B404DD"/>
    <w:rsid w:val="00B4119E"/>
    <w:rsid w:val="00B420D8"/>
    <w:rsid w:val="00B427BD"/>
    <w:rsid w:val="00B42A5D"/>
    <w:rsid w:val="00B42BCF"/>
    <w:rsid w:val="00B42D82"/>
    <w:rsid w:val="00B433CD"/>
    <w:rsid w:val="00B43D3F"/>
    <w:rsid w:val="00B4402C"/>
    <w:rsid w:val="00B44757"/>
    <w:rsid w:val="00B455BE"/>
    <w:rsid w:val="00B46471"/>
    <w:rsid w:val="00B46CD3"/>
    <w:rsid w:val="00B46F3E"/>
    <w:rsid w:val="00B4727B"/>
    <w:rsid w:val="00B47F8F"/>
    <w:rsid w:val="00B50A08"/>
    <w:rsid w:val="00B50AFD"/>
    <w:rsid w:val="00B5196E"/>
    <w:rsid w:val="00B529DE"/>
    <w:rsid w:val="00B535B9"/>
    <w:rsid w:val="00B53D68"/>
    <w:rsid w:val="00B54A08"/>
    <w:rsid w:val="00B54C29"/>
    <w:rsid w:val="00B54EA2"/>
    <w:rsid w:val="00B57120"/>
    <w:rsid w:val="00B57B4C"/>
    <w:rsid w:val="00B57E30"/>
    <w:rsid w:val="00B611AE"/>
    <w:rsid w:val="00B626EA"/>
    <w:rsid w:val="00B62720"/>
    <w:rsid w:val="00B62875"/>
    <w:rsid w:val="00B62DF4"/>
    <w:rsid w:val="00B62F42"/>
    <w:rsid w:val="00B62FB9"/>
    <w:rsid w:val="00B63128"/>
    <w:rsid w:val="00B634F6"/>
    <w:rsid w:val="00B64006"/>
    <w:rsid w:val="00B646A5"/>
    <w:rsid w:val="00B64E05"/>
    <w:rsid w:val="00B64F46"/>
    <w:rsid w:val="00B64F92"/>
    <w:rsid w:val="00B64FC1"/>
    <w:rsid w:val="00B665B8"/>
    <w:rsid w:val="00B702B1"/>
    <w:rsid w:val="00B70C16"/>
    <w:rsid w:val="00B71FFF"/>
    <w:rsid w:val="00B72D45"/>
    <w:rsid w:val="00B72FAB"/>
    <w:rsid w:val="00B73273"/>
    <w:rsid w:val="00B737F9"/>
    <w:rsid w:val="00B7541E"/>
    <w:rsid w:val="00B75B22"/>
    <w:rsid w:val="00B75CC6"/>
    <w:rsid w:val="00B7615C"/>
    <w:rsid w:val="00B767F5"/>
    <w:rsid w:val="00B7680F"/>
    <w:rsid w:val="00B801DD"/>
    <w:rsid w:val="00B8047F"/>
    <w:rsid w:val="00B8067E"/>
    <w:rsid w:val="00B80F3A"/>
    <w:rsid w:val="00B812CC"/>
    <w:rsid w:val="00B816F4"/>
    <w:rsid w:val="00B819B9"/>
    <w:rsid w:val="00B819EC"/>
    <w:rsid w:val="00B82860"/>
    <w:rsid w:val="00B82E71"/>
    <w:rsid w:val="00B83E21"/>
    <w:rsid w:val="00B8411E"/>
    <w:rsid w:val="00B84427"/>
    <w:rsid w:val="00B85BE3"/>
    <w:rsid w:val="00B86086"/>
    <w:rsid w:val="00B86626"/>
    <w:rsid w:val="00B86B2F"/>
    <w:rsid w:val="00B90EA1"/>
    <w:rsid w:val="00B91436"/>
    <w:rsid w:val="00B91782"/>
    <w:rsid w:val="00B921E7"/>
    <w:rsid w:val="00B92943"/>
    <w:rsid w:val="00B92978"/>
    <w:rsid w:val="00B92E2F"/>
    <w:rsid w:val="00B9354F"/>
    <w:rsid w:val="00B94979"/>
    <w:rsid w:val="00B95FE5"/>
    <w:rsid w:val="00B963BC"/>
    <w:rsid w:val="00B9755C"/>
    <w:rsid w:val="00BA09FE"/>
    <w:rsid w:val="00BA147B"/>
    <w:rsid w:val="00BA21A6"/>
    <w:rsid w:val="00BA3A5C"/>
    <w:rsid w:val="00BA4BEA"/>
    <w:rsid w:val="00BA4E0A"/>
    <w:rsid w:val="00BA6950"/>
    <w:rsid w:val="00BA6B34"/>
    <w:rsid w:val="00BA762E"/>
    <w:rsid w:val="00BA790F"/>
    <w:rsid w:val="00BA7D7B"/>
    <w:rsid w:val="00BB06C9"/>
    <w:rsid w:val="00BB090D"/>
    <w:rsid w:val="00BB09C3"/>
    <w:rsid w:val="00BB0EEF"/>
    <w:rsid w:val="00BB0FAE"/>
    <w:rsid w:val="00BB1914"/>
    <w:rsid w:val="00BB2294"/>
    <w:rsid w:val="00BB2BD9"/>
    <w:rsid w:val="00BB3C2D"/>
    <w:rsid w:val="00BB5719"/>
    <w:rsid w:val="00BB714A"/>
    <w:rsid w:val="00BC06D4"/>
    <w:rsid w:val="00BC0F69"/>
    <w:rsid w:val="00BC1037"/>
    <w:rsid w:val="00BC2CD0"/>
    <w:rsid w:val="00BC365C"/>
    <w:rsid w:val="00BC4C4D"/>
    <w:rsid w:val="00BC4DAF"/>
    <w:rsid w:val="00BC5005"/>
    <w:rsid w:val="00BC6022"/>
    <w:rsid w:val="00BC637B"/>
    <w:rsid w:val="00BC7F01"/>
    <w:rsid w:val="00BD0675"/>
    <w:rsid w:val="00BD0F15"/>
    <w:rsid w:val="00BD216D"/>
    <w:rsid w:val="00BD2506"/>
    <w:rsid w:val="00BD477B"/>
    <w:rsid w:val="00BD488C"/>
    <w:rsid w:val="00BD4CB9"/>
    <w:rsid w:val="00BD4E3B"/>
    <w:rsid w:val="00BD68EF"/>
    <w:rsid w:val="00BD73E6"/>
    <w:rsid w:val="00BD7FAE"/>
    <w:rsid w:val="00BE09C8"/>
    <w:rsid w:val="00BE0A92"/>
    <w:rsid w:val="00BE0FBC"/>
    <w:rsid w:val="00BE1850"/>
    <w:rsid w:val="00BE2B4E"/>
    <w:rsid w:val="00BE2C25"/>
    <w:rsid w:val="00BE2D02"/>
    <w:rsid w:val="00BE2E37"/>
    <w:rsid w:val="00BE3060"/>
    <w:rsid w:val="00BE336E"/>
    <w:rsid w:val="00BE342F"/>
    <w:rsid w:val="00BE3984"/>
    <w:rsid w:val="00BE3B57"/>
    <w:rsid w:val="00BE51D8"/>
    <w:rsid w:val="00BE5E59"/>
    <w:rsid w:val="00BE5F8D"/>
    <w:rsid w:val="00BF028D"/>
    <w:rsid w:val="00BF10B3"/>
    <w:rsid w:val="00BF1635"/>
    <w:rsid w:val="00BF16EB"/>
    <w:rsid w:val="00BF253B"/>
    <w:rsid w:val="00BF2B9A"/>
    <w:rsid w:val="00BF2C07"/>
    <w:rsid w:val="00BF2C4C"/>
    <w:rsid w:val="00BF39D4"/>
    <w:rsid w:val="00BF3E1B"/>
    <w:rsid w:val="00BF4F6E"/>
    <w:rsid w:val="00BF52D6"/>
    <w:rsid w:val="00BF6210"/>
    <w:rsid w:val="00BF7044"/>
    <w:rsid w:val="00BF7202"/>
    <w:rsid w:val="00C00DD2"/>
    <w:rsid w:val="00C02164"/>
    <w:rsid w:val="00C029B2"/>
    <w:rsid w:val="00C02B6B"/>
    <w:rsid w:val="00C034FE"/>
    <w:rsid w:val="00C039C6"/>
    <w:rsid w:val="00C04005"/>
    <w:rsid w:val="00C045DE"/>
    <w:rsid w:val="00C04BCC"/>
    <w:rsid w:val="00C04F94"/>
    <w:rsid w:val="00C051D1"/>
    <w:rsid w:val="00C069B4"/>
    <w:rsid w:val="00C071B9"/>
    <w:rsid w:val="00C0737C"/>
    <w:rsid w:val="00C076D1"/>
    <w:rsid w:val="00C10601"/>
    <w:rsid w:val="00C11103"/>
    <w:rsid w:val="00C112F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587B"/>
    <w:rsid w:val="00C25DF8"/>
    <w:rsid w:val="00C26A67"/>
    <w:rsid w:val="00C27C89"/>
    <w:rsid w:val="00C27E35"/>
    <w:rsid w:val="00C3052F"/>
    <w:rsid w:val="00C30ADF"/>
    <w:rsid w:val="00C31E6E"/>
    <w:rsid w:val="00C32C5E"/>
    <w:rsid w:val="00C332B3"/>
    <w:rsid w:val="00C33C90"/>
    <w:rsid w:val="00C357E6"/>
    <w:rsid w:val="00C36090"/>
    <w:rsid w:val="00C368E7"/>
    <w:rsid w:val="00C36AAB"/>
    <w:rsid w:val="00C36D89"/>
    <w:rsid w:val="00C37103"/>
    <w:rsid w:val="00C37D3E"/>
    <w:rsid w:val="00C407E5"/>
    <w:rsid w:val="00C412CC"/>
    <w:rsid w:val="00C41A04"/>
    <w:rsid w:val="00C432C2"/>
    <w:rsid w:val="00C43CCF"/>
    <w:rsid w:val="00C4433A"/>
    <w:rsid w:val="00C4485C"/>
    <w:rsid w:val="00C44CAE"/>
    <w:rsid w:val="00C44D29"/>
    <w:rsid w:val="00C44FDC"/>
    <w:rsid w:val="00C46508"/>
    <w:rsid w:val="00C47C92"/>
    <w:rsid w:val="00C47DB5"/>
    <w:rsid w:val="00C507CD"/>
    <w:rsid w:val="00C50C71"/>
    <w:rsid w:val="00C517E4"/>
    <w:rsid w:val="00C51B0C"/>
    <w:rsid w:val="00C526E0"/>
    <w:rsid w:val="00C52865"/>
    <w:rsid w:val="00C545FE"/>
    <w:rsid w:val="00C54D81"/>
    <w:rsid w:val="00C551C4"/>
    <w:rsid w:val="00C554BC"/>
    <w:rsid w:val="00C55E57"/>
    <w:rsid w:val="00C56B78"/>
    <w:rsid w:val="00C56CED"/>
    <w:rsid w:val="00C56D00"/>
    <w:rsid w:val="00C57896"/>
    <w:rsid w:val="00C6142B"/>
    <w:rsid w:val="00C62193"/>
    <w:rsid w:val="00C62A10"/>
    <w:rsid w:val="00C62FBD"/>
    <w:rsid w:val="00C6464A"/>
    <w:rsid w:val="00C65432"/>
    <w:rsid w:val="00C65A3F"/>
    <w:rsid w:val="00C6632D"/>
    <w:rsid w:val="00C667B5"/>
    <w:rsid w:val="00C703F6"/>
    <w:rsid w:val="00C71DCC"/>
    <w:rsid w:val="00C73E7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C9C"/>
    <w:rsid w:val="00C83210"/>
    <w:rsid w:val="00C833C8"/>
    <w:rsid w:val="00C83693"/>
    <w:rsid w:val="00C83D6A"/>
    <w:rsid w:val="00C8493E"/>
    <w:rsid w:val="00C849D6"/>
    <w:rsid w:val="00C84EE8"/>
    <w:rsid w:val="00C85716"/>
    <w:rsid w:val="00C86F06"/>
    <w:rsid w:val="00C870C6"/>
    <w:rsid w:val="00C8737C"/>
    <w:rsid w:val="00C87B96"/>
    <w:rsid w:val="00C87CE5"/>
    <w:rsid w:val="00C90090"/>
    <w:rsid w:val="00C9022C"/>
    <w:rsid w:val="00C903A8"/>
    <w:rsid w:val="00C91702"/>
    <w:rsid w:val="00C9183A"/>
    <w:rsid w:val="00C91E57"/>
    <w:rsid w:val="00C921AA"/>
    <w:rsid w:val="00C92380"/>
    <w:rsid w:val="00C92CF0"/>
    <w:rsid w:val="00C9323E"/>
    <w:rsid w:val="00C936F8"/>
    <w:rsid w:val="00C93DF9"/>
    <w:rsid w:val="00C9436F"/>
    <w:rsid w:val="00C94CE5"/>
    <w:rsid w:val="00C95AE9"/>
    <w:rsid w:val="00C966DF"/>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ACA"/>
    <w:rsid w:val="00CB26EA"/>
    <w:rsid w:val="00CB3B59"/>
    <w:rsid w:val="00CB44C3"/>
    <w:rsid w:val="00CB4672"/>
    <w:rsid w:val="00CB4B94"/>
    <w:rsid w:val="00CB4CD5"/>
    <w:rsid w:val="00CB56B8"/>
    <w:rsid w:val="00CB61CC"/>
    <w:rsid w:val="00CB691B"/>
    <w:rsid w:val="00CB6C30"/>
    <w:rsid w:val="00CB7191"/>
    <w:rsid w:val="00CC03D9"/>
    <w:rsid w:val="00CC161C"/>
    <w:rsid w:val="00CC28BF"/>
    <w:rsid w:val="00CC28C3"/>
    <w:rsid w:val="00CC2BD8"/>
    <w:rsid w:val="00CC307C"/>
    <w:rsid w:val="00CC32F6"/>
    <w:rsid w:val="00CC4B00"/>
    <w:rsid w:val="00CC5C4C"/>
    <w:rsid w:val="00CC723A"/>
    <w:rsid w:val="00CC723C"/>
    <w:rsid w:val="00CD15D6"/>
    <w:rsid w:val="00CD16F8"/>
    <w:rsid w:val="00CD174C"/>
    <w:rsid w:val="00CD1B62"/>
    <w:rsid w:val="00CD1BD8"/>
    <w:rsid w:val="00CD2FBC"/>
    <w:rsid w:val="00CD32A6"/>
    <w:rsid w:val="00CD3479"/>
    <w:rsid w:val="00CD3A21"/>
    <w:rsid w:val="00CD3F01"/>
    <w:rsid w:val="00CD5159"/>
    <w:rsid w:val="00CD51F7"/>
    <w:rsid w:val="00CD67C4"/>
    <w:rsid w:val="00CD6C10"/>
    <w:rsid w:val="00CD71B4"/>
    <w:rsid w:val="00CD7766"/>
    <w:rsid w:val="00CD7A53"/>
    <w:rsid w:val="00CD7B89"/>
    <w:rsid w:val="00CE0DE1"/>
    <w:rsid w:val="00CE1D5E"/>
    <w:rsid w:val="00CE3F47"/>
    <w:rsid w:val="00CE6AE0"/>
    <w:rsid w:val="00CE72FD"/>
    <w:rsid w:val="00CE7678"/>
    <w:rsid w:val="00CE792A"/>
    <w:rsid w:val="00CE7C23"/>
    <w:rsid w:val="00CF06E5"/>
    <w:rsid w:val="00CF07F5"/>
    <w:rsid w:val="00CF0D08"/>
    <w:rsid w:val="00CF22A3"/>
    <w:rsid w:val="00CF2721"/>
    <w:rsid w:val="00CF2C4F"/>
    <w:rsid w:val="00CF3779"/>
    <w:rsid w:val="00CF3C14"/>
    <w:rsid w:val="00CF3F32"/>
    <w:rsid w:val="00CF5ACA"/>
    <w:rsid w:val="00CF60E1"/>
    <w:rsid w:val="00CF621E"/>
    <w:rsid w:val="00CF7800"/>
    <w:rsid w:val="00D0006B"/>
    <w:rsid w:val="00D00776"/>
    <w:rsid w:val="00D01535"/>
    <w:rsid w:val="00D02389"/>
    <w:rsid w:val="00D0247C"/>
    <w:rsid w:val="00D02B6E"/>
    <w:rsid w:val="00D03918"/>
    <w:rsid w:val="00D039CA"/>
    <w:rsid w:val="00D0423A"/>
    <w:rsid w:val="00D047C9"/>
    <w:rsid w:val="00D06F8D"/>
    <w:rsid w:val="00D070FE"/>
    <w:rsid w:val="00D07D9A"/>
    <w:rsid w:val="00D102A9"/>
    <w:rsid w:val="00D104E8"/>
    <w:rsid w:val="00D1056B"/>
    <w:rsid w:val="00D119E2"/>
    <w:rsid w:val="00D12C34"/>
    <w:rsid w:val="00D1315D"/>
    <w:rsid w:val="00D139D8"/>
    <w:rsid w:val="00D155A0"/>
    <w:rsid w:val="00D16374"/>
    <w:rsid w:val="00D16581"/>
    <w:rsid w:val="00D16692"/>
    <w:rsid w:val="00D1738F"/>
    <w:rsid w:val="00D17BD8"/>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3A8"/>
    <w:rsid w:val="00D35497"/>
    <w:rsid w:val="00D35795"/>
    <w:rsid w:val="00D3639F"/>
    <w:rsid w:val="00D369A6"/>
    <w:rsid w:val="00D37703"/>
    <w:rsid w:val="00D40A33"/>
    <w:rsid w:val="00D40AED"/>
    <w:rsid w:val="00D4165C"/>
    <w:rsid w:val="00D419C6"/>
    <w:rsid w:val="00D4262E"/>
    <w:rsid w:val="00D43CB3"/>
    <w:rsid w:val="00D445F2"/>
    <w:rsid w:val="00D448A5"/>
    <w:rsid w:val="00D44B89"/>
    <w:rsid w:val="00D44EAC"/>
    <w:rsid w:val="00D45467"/>
    <w:rsid w:val="00D45D31"/>
    <w:rsid w:val="00D46F90"/>
    <w:rsid w:val="00D47BA0"/>
    <w:rsid w:val="00D47DF7"/>
    <w:rsid w:val="00D5009B"/>
    <w:rsid w:val="00D5017F"/>
    <w:rsid w:val="00D504A5"/>
    <w:rsid w:val="00D50F41"/>
    <w:rsid w:val="00D51330"/>
    <w:rsid w:val="00D5156D"/>
    <w:rsid w:val="00D517EC"/>
    <w:rsid w:val="00D52A67"/>
    <w:rsid w:val="00D52DAE"/>
    <w:rsid w:val="00D53031"/>
    <w:rsid w:val="00D5377A"/>
    <w:rsid w:val="00D53E68"/>
    <w:rsid w:val="00D5420E"/>
    <w:rsid w:val="00D550AB"/>
    <w:rsid w:val="00D552CE"/>
    <w:rsid w:val="00D5596C"/>
    <w:rsid w:val="00D55D1E"/>
    <w:rsid w:val="00D56A27"/>
    <w:rsid w:val="00D5739A"/>
    <w:rsid w:val="00D57771"/>
    <w:rsid w:val="00D61CF9"/>
    <w:rsid w:val="00D62B3D"/>
    <w:rsid w:val="00D630DD"/>
    <w:rsid w:val="00D6313F"/>
    <w:rsid w:val="00D631FA"/>
    <w:rsid w:val="00D63B66"/>
    <w:rsid w:val="00D64005"/>
    <w:rsid w:val="00D6490E"/>
    <w:rsid w:val="00D654D0"/>
    <w:rsid w:val="00D665CB"/>
    <w:rsid w:val="00D66740"/>
    <w:rsid w:val="00D66B84"/>
    <w:rsid w:val="00D7066C"/>
    <w:rsid w:val="00D70D6E"/>
    <w:rsid w:val="00D7197D"/>
    <w:rsid w:val="00D719E6"/>
    <w:rsid w:val="00D71EC2"/>
    <w:rsid w:val="00D72381"/>
    <w:rsid w:val="00D72984"/>
    <w:rsid w:val="00D7357C"/>
    <w:rsid w:val="00D73994"/>
    <w:rsid w:val="00D74DD0"/>
    <w:rsid w:val="00D7567F"/>
    <w:rsid w:val="00D75FB8"/>
    <w:rsid w:val="00D76732"/>
    <w:rsid w:val="00D76C89"/>
    <w:rsid w:val="00D76EC5"/>
    <w:rsid w:val="00D770D9"/>
    <w:rsid w:val="00D77F45"/>
    <w:rsid w:val="00D800CB"/>
    <w:rsid w:val="00D80A1F"/>
    <w:rsid w:val="00D813C3"/>
    <w:rsid w:val="00D81657"/>
    <w:rsid w:val="00D81C4F"/>
    <w:rsid w:val="00D8257B"/>
    <w:rsid w:val="00D84F7E"/>
    <w:rsid w:val="00D851EE"/>
    <w:rsid w:val="00D85A35"/>
    <w:rsid w:val="00D85DAF"/>
    <w:rsid w:val="00D87C38"/>
    <w:rsid w:val="00D91101"/>
    <w:rsid w:val="00D922FE"/>
    <w:rsid w:val="00D93200"/>
    <w:rsid w:val="00D9454F"/>
    <w:rsid w:val="00D94E97"/>
    <w:rsid w:val="00D95C91"/>
    <w:rsid w:val="00D95EC6"/>
    <w:rsid w:val="00D95F09"/>
    <w:rsid w:val="00D95F84"/>
    <w:rsid w:val="00D9785F"/>
    <w:rsid w:val="00D979E2"/>
    <w:rsid w:val="00DA0374"/>
    <w:rsid w:val="00DA1EAE"/>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B0067"/>
    <w:rsid w:val="00DB0362"/>
    <w:rsid w:val="00DB0ABB"/>
    <w:rsid w:val="00DB0F71"/>
    <w:rsid w:val="00DB11A3"/>
    <w:rsid w:val="00DB1B1D"/>
    <w:rsid w:val="00DB1F53"/>
    <w:rsid w:val="00DB30DD"/>
    <w:rsid w:val="00DB368A"/>
    <w:rsid w:val="00DB4BBE"/>
    <w:rsid w:val="00DB5644"/>
    <w:rsid w:val="00DB5933"/>
    <w:rsid w:val="00DB594F"/>
    <w:rsid w:val="00DB595B"/>
    <w:rsid w:val="00DB5D7B"/>
    <w:rsid w:val="00DB6659"/>
    <w:rsid w:val="00DB6CB1"/>
    <w:rsid w:val="00DB739D"/>
    <w:rsid w:val="00DC088D"/>
    <w:rsid w:val="00DC2873"/>
    <w:rsid w:val="00DC2B8A"/>
    <w:rsid w:val="00DC2F67"/>
    <w:rsid w:val="00DC3421"/>
    <w:rsid w:val="00DC35A7"/>
    <w:rsid w:val="00DC37C2"/>
    <w:rsid w:val="00DC3D2E"/>
    <w:rsid w:val="00DC3E43"/>
    <w:rsid w:val="00DC4811"/>
    <w:rsid w:val="00DC4C0B"/>
    <w:rsid w:val="00DC6652"/>
    <w:rsid w:val="00DD01A5"/>
    <w:rsid w:val="00DD08F8"/>
    <w:rsid w:val="00DD110A"/>
    <w:rsid w:val="00DD1A4C"/>
    <w:rsid w:val="00DD28A5"/>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05B"/>
    <w:rsid w:val="00DE0919"/>
    <w:rsid w:val="00DE11DC"/>
    <w:rsid w:val="00DE171B"/>
    <w:rsid w:val="00DE1BD7"/>
    <w:rsid w:val="00DE2460"/>
    <w:rsid w:val="00DE4D57"/>
    <w:rsid w:val="00DE5B1F"/>
    <w:rsid w:val="00DE6280"/>
    <w:rsid w:val="00DE68CD"/>
    <w:rsid w:val="00DE695E"/>
    <w:rsid w:val="00DE7821"/>
    <w:rsid w:val="00DF00D6"/>
    <w:rsid w:val="00DF0577"/>
    <w:rsid w:val="00DF0709"/>
    <w:rsid w:val="00DF0A6C"/>
    <w:rsid w:val="00DF0C06"/>
    <w:rsid w:val="00DF14B0"/>
    <w:rsid w:val="00DF1D64"/>
    <w:rsid w:val="00DF2CEC"/>
    <w:rsid w:val="00DF31CF"/>
    <w:rsid w:val="00DF344B"/>
    <w:rsid w:val="00DF4277"/>
    <w:rsid w:val="00DF46AB"/>
    <w:rsid w:val="00DF4E7F"/>
    <w:rsid w:val="00DF5F90"/>
    <w:rsid w:val="00DF65B6"/>
    <w:rsid w:val="00DF7350"/>
    <w:rsid w:val="00DF7DDB"/>
    <w:rsid w:val="00E00ACE"/>
    <w:rsid w:val="00E00FC2"/>
    <w:rsid w:val="00E0102C"/>
    <w:rsid w:val="00E03036"/>
    <w:rsid w:val="00E036D4"/>
    <w:rsid w:val="00E03E74"/>
    <w:rsid w:val="00E042B1"/>
    <w:rsid w:val="00E049CC"/>
    <w:rsid w:val="00E04AD1"/>
    <w:rsid w:val="00E054EF"/>
    <w:rsid w:val="00E0597B"/>
    <w:rsid w:val="00E06551"/>
    <w:rsid w:val="00E06781"/>
    <w:rsid w:val="00E06F8C"/>
    <w:rsid w:val="00E07C1B"/>
    <w:rsid w:val="00E10760"/>
    <w:rsid w:val="00E11476"/>
    <w:rsid w:val="00E11C5F"/>
    <w:rsid w:val="00E11E8F"/>
    <w:rsid w:val="00E12845"/>
    <w:rsid w:val="00E12A43"/>
    <w:rsid w:val="00E12CBC"/>
    <w:rsid w:val="00E13A3B"/>
    <w:rsid w:val="00E1423A"/>
    <w:rsid w:val="00E14C73"/>
    <w:rsid w:val="00E15BE1"/>
    <w:rsid w:val="00E15E54"/>
    <w:rsid w:val="00E167C8"/>
    <w:rsid w:val="00E16CC5"/>
    <w:rsid w:val="00E20157"/>
    <w:rsid w:val="00E205B1"/>
    <w:rsid w:val="00E2067A"/>
    <w:rsid w:val="00E209C9"/>
    <w:rsid w:val="00E215AE"/>
    <w:rsid w:val="00E21765"/>
    <w:rsid w:val="00E21939"/>
    <w:rsid w:val="00E222F5"/>
    <w:rsid w:val="00E2268B"/>
    <w:rsid w:val="00E251E2"/>
    <w:rsid w:val="00E251EF"/>
    <w:rsid w:val="00E256EB"/>
    <w:rsid w:val="00E25848"/>
    <w:rsid w:val="00E26E3C"/>
    <w:rsid w:val="00E2734F"/>
    <w:rsid w:val="00E27AA5"/>
    <w:rsid w:val="00E27ACD"/>
    <w:rsid w:val="00E303B2"/>
    <w:rsid w:val="00E30D22"/>
    <w:rsid w:val="00E315A9"/>
    <w:rsid w:val="00E325EC"/>
    <w:rsid w:val="00E3310D"/>
    <w:rsid w:val="00E340C8"/>
    <w:rsid w:val="00E34B7D"/>
    <w:rsid w:val="00E36486"/>
    <w:rsid w:val="00E37096"/>
    <w:rsid w:val="00E375D4"/>
    <w:rsid w:val="00E403DC"/>
    <w:rsid w:val="00E40AD6"/>
    <w:rsid w:val="00E40DF4"/>
    <w:rsid w:val="00E40E58"/>
    <w:rsid w:val="00E40F43"/>
    <w:rsid w:val="00E412B6"/>
    <w:rsid w:val="00E41637"/>
    <w:rsid w:val="00E41A90"/>
    <w:rsid w:val="00E42C8C"/>
    <w:rsid w:val="00E43594"/>
    <w:rsid w:val="00E44F52"/>
    <w:rsid w:val="00E4566B"/>
    <w:rsid w:val="00E4621D"/>
    <w:rsid w:val="00E46FE7"/>
    <w:rsid w:val="00E471C4"/>
    <w:rsid w:val="00E478F3"/>
    <w:rsid w:val="00E501CF"/>
    <w:rsid w:val="00E5062E"/>
    <w:rsid w:val="00E522E9"/>
    <w:rsid w:val="00E53AC7"/>
    <w:rsid w:val="00E53C2E"/>
    <w:rsid w:val="00E53F28"/>
    <w:rsid w:val="00E5418E"/>
    <w:rsid w:val="00E5450C"/>
    <w:rsid w:val="00E54C14"/>
    <w:rsid w:val="00E5603B"/>
    <w:rsid w:val="00E560A5"/>
    <w:rsid w:val="00E57CB4"/>
    <w:rsid w:val="00E60C57"/>
    <w:rsid w:val="00E61391"/>
    <w:rsid w:val="00E61689"/>
    <w:rsid w:val="00E62D6E"/>
    <w:rsid w:val="00E63034"/>
    <w:rsid w:val="00E639C9"/>
    <w:rsid w:val="00E63B5A"/>
    <w:rsid w:val="00E648A2"/>
    <w:rsid w:val="00E659EE"/>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15B1"/>
    <w:rsid w:val="00E8201A"/>
    <w:rsid w:val="00E822CA"/>
    <w:rsid w:val="00E82AC7"/>
    <w:rsid w:val="00E82B99"/>
    <w:rsid w:val="00E82C8A"/>
    <w:rsid w:val="00E83CF7"/>
    <w:rsid w:val="00E84E31"/>
    <w:rsid w:val="00E8500B"/>
    <w:rsid w:val="00E859DF"/>
    <w:rsid w:val="00E8657B"/>
    <w:rsid w:val="00E86970"/>
    <w:rsid w:val="00E87465"/>
    <w:rsid w:val="00E8791B"/>
    <w:rsid w:val="00E90936"/>
    <w:rsid w:val="00E9120B"/>
    <w:rsid w:val="00E91697"/>
    <w:rsid w:val="00E9225C"/>
    <w:rsid w:val="00E9226C"/>
    <w:rsid w:val="00E93F63"/>
    <w:rsid w:val="00E941BF"/>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7BD2"/>
    <w:rsid w:val="00EA7C9C"/>
    <w:rsid w:val="00EA7CA5"/>
    <w:rsid w:val="00EB0C9B"/>
    <w:rsid w:val="00EB18AD"/>
    <w:rsid w:val="00EB2256"/>
    <w:rsid w:val="00EB2280"/>
    <w:rsid w:val="00EB24B9"/>
    <w:rsid w:val="00EB29A3"/>
    <w:rsid w:val="00EB29AD"/>
    <w:rsid w:val="00EB2A6B"/>
    <w:rsid w:val="00EB2BC2"/>
    <w:rsid w:val="00EB2E9D"/>
    <w:rsid w:val="00EB398A"/>
    <w:rsid w:val="00EB3A1A"/>
    <w:rsid w:val="00EB3E63"/>
    <w:rsid w:val="00EB5062"/>
    <w:rsid w:val="00EB5A6E"/>
    <w:rsid w:val="00EB61F9"/>
    <w:rsid w:val="00EB63B2"/>
    <w:rsid w:val="00EB6630"/>
    <w:rsid w:val="00EB67FB"/>
    <w:rsid w:val="00EB6967"/>
    <w:rsid w:val="00EB6ADD"/>
    <w:rsid w:val="00EB6D2B"/>
    <w:rsid w:val="00EB709C"/>
    <w:rsid w:val="00EC13B2"/>
    <w:rsid w:val="00EC13BA"/>
    <w:rsid w:val="00EC2099"/>
    <w:rsid w:val="00EC2732"/>
    <w:rsid w:val="00EC2C02"/>
    <w:rsid w:val="00EC38F8"/>
    <w:rsid w:val="00EC3910"/>
    <w:rsid w:val="00EC3A3B"/>
    <w:rsid w:val="00EC3DA1"/>
    <w:rsid w:val="00EC4488"/>
    <w:rsid w:val="00EC47C3"/>
    <w:rsid w:val="00EC498E"/>
    <w:rsid w:val="00EC50B0"/>
    <w:rsid w:val="00EC51A7"/>
    <w:rsid w:val="00EC558E"/>
    <w:rsid w:val="00EC5CEE"/>
    <w:rsid w:val="00EC61F5"/>
    <w:rsid w:val="00EC6772"/>
    <w:rsid w:val="00EC7A57"/>
    <w:rsid w:val="00ED033D"/>
    <w:rsid w:val="00ED0D3D"/>
    <w:rsid w:val="00ED0FEF"/>
    <w:rsid w:val="00ED139A"/>
    <w:rsid w:val="00ED1C5C"/>
    <w:rsid w:val="00ED290A"/>
    <w:rsid w:val="00ED2DE4"/>
    <w:rsid w:val="00ED2F50"/>
    <w:rsid w:val="00ED3776"/>
    <w:rsid w:val="00ED40A9"/>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21B5"/>
    <w:rsid w:val="00EE2D0F"/>
    <w:rsid w:val="00EE302A"/>
    <w:rsid w:val="00EE3557"/>
    <w:rsid w:val="00EE3651"/>
    <w:rsid w:val="00EE370E"/>
    <w:rsid w:val="00EE3C21"/>
    <w:rsid w:val="00EE4F8D"/>
    <w:rsid w:val="00EE523A"/>
    <w:rsid w:val="00EE59B1"/>
    <w:rsid w:val="00EE60E5"/>
    <w:rsid w:val="00EE618F"/>
    <w:rsid w:val="00EE6857"/>
    <w:rsid w:val="00EE7B08"/>
    <w:rsid w:val="00EF01D6"/>
    <w:rsid w:val="00EF042C"/>
    <w:rsid w:val="00EF0B99"/>
    <w:rsid w:val="00EF11F7"/>
    <w:rsid w:val="00EF19AA"/>
    <w:rsid w:val="00EF317F"/>
    <w:rsid w:val="00EF32A3"/>
    <w:rsid w:val="00EF3775"/>
    <w:rsid w:val="00EF3CD1"/>
    <w:rsid w:val="00EF405B"/>
    <w:rsid w:val="00EF53E3"/>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3A9"/>
    <w:rsid w:val="00F1031D"/>
    <w:rsid w:val="00F10691"/>
    <w:rsid w:val="00F110A0"/>
    <w:rsid w:val="00F110DF"/>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599"/>
    <w:rsid w:val="00F22727"/>
    <w:rsid w:val="00F22837"/>
    <w:rsid w:val="00F2348D"/>
    <w:rsid w:val="00F238BB"/>
    <w:rsid w:val="00F239B9"/>
    <w:rsid w:val="00F23DD3"/>
    <w:rsid w:val="00F23F47"/>
    <w:rsid w:val="00F2443F"/>
    <w:rsid w:val="00F24EB7"/>
    <w:rsid w:val="00F250AF"/>
    <w:rsid w:val="00F25324"/>
    <w:rsid w:val="00F26B36"/>
    <w:rsid w:val="00F27ABA"/>
    <w:rsid w:val="00F32088"/>
    <w:rsid w:val="00F32AFA"/>
    <w:rsid w:val="00F334B9"/>
    <w:rsid w:val="00F3380F"/>
    <w:rsid w:val="00F33B4D"/>
    <w:rsid w:val="00F33FEB"/>
    <w:rsid w:val="00F34AB8"/>
    <w:rsid w:val="00F34E0E"/>
    <w:rsid w:val="00F35A2F"/>
    <w:rsid w:val="00F360BE"/>
    <w:rsid w:val="00F379EB"/>
    <w:rsid w:val="00F407F0"/>
    <w:rsid w:val="00F40B11"/>
    <w:rsid w:val="00F41A9B"/>
    <w:rsid w:val="00F41F44"/>
    <w:rsid w:val="00F42255"/>
    <w:rsid w:val="00F42792"/>
    <w:rsid w:val="00F42A90"/>
    <w:rsid w:val="00F42F46"/>
    <w:rsid w:val="00F43303"/>
    <w:rsid w:val="00F433B9"/>
    <w:rsid w:val="00F434E0"/>
    <w:rsid w:val="00F43C65"/>
    <w:rsid w:val="00F449E3"/>
    <w:rsid w:val="00F45394"/>
    <w:rsid w:val="00F453B8"/>
    <w:rsid w:val="00F45737"/>
    <w:rsid w:val="00F45ACA"/>
    <w:rsid w:val="00F45EE1"/>
    <w:rsid w:val="00F4659B"/>
    <w:rsid w:val="00F4706D"/>
    <w:rsid w:val="00F51AC0"/>
    <w:rsid w:val="00F51B4C"/>
    <w:rsid w:val="00F51F41"/>
    <w:rsid w:val="00F524E0"/>
    <w:rsid w:val="00F5292E"/>
    <w:rsid w:val="00F52C82"/>
    <w:rsid w:val="00F5337F"/>
    <w:rsid w:val="00F53D5F"/>
    <w:rsid w:val="00F540C8"/>
    <w:rsid w:val="00F546E7"/>
    <w:rsid w:val="00F54A0B"/>
    <w:rsid w:val="00F5515F"/>
    <w:rsid w:val="00F55484"/>
    <w:rsid w:val="00F559A5"/>
    <w:rsid w:val="00F562CC"/>
    <w:rsid w:val="00F5665A"/>
    <w:rsid w:val="00F5743B"/>
    <w:rsid w:val="00F60C13"/>
    <w:rsid w:val="00F6111E"/>
    <w:rsid w:val="00F61301"/>
    <w:rsid w:val="00F613BB"/>
    <w:rsid w:val="00F61424"/>
    <w:rsid w:val="00F61BA3"/>
    <w:rsid w:val="00F61C8A"/>
    <w:rsid w:val="00F62036"/>
    <w:rsid w:val="00F6204D"/>
    <w:rsid w:val="00F62287"/>
    <w:rsid w:val="00F6238B"/>
    <w:rsid w:val="00F62C2F"/>
    <w:rsid w:val="00F63086"/>
    <w:rsid w:val="00F63442"/>
    <w:rsid w:val="00F63741"/>
    <w:rsid w:val="00F653B5"/>
    <w:rsid w:val="00F65BF0"/>
    <w:rsid w:val="00F66B9E"/>
    <w:rsid w:val="00F67EBA"/>
    <w:rsid w:val="00F7022F"/>
    <w:rsid w:val="00F7049D"/>
    <w:rsid w:val="00F706A7"/>
    <w:rsid w:val="00F70D6F"/>
    <w:rsid w:val="00F721FF"/>
    <w:rsid w:val="00F72B3D"/>
    <w:rsid w:val="00F72DAE"/>
    <w:rsid w:val="00F73BD5"/>
    <w:rsid w:val="00F73D21"/>
    <w:rsid w:val="00F74E19"/>
    <w:rsid w:val="00F752B1"/>
    <w:rsid w:val="00F75B17"/>
    <w:rsid w:val="00F75B35"/>
    <w:rsid w:val="00F75F93"/>
    <w:rsid w:val="00F76496"/>
    <w:rsid w:val="00F7656E"/>
    <w:rsid w:val="00F7766B"/>
    <w:rsid w:val="00F77BA6"/>
    <w:rsid w:val="00F81309"/>
    <w:rsid w:val="00F8164A"/>
    <w:rsid w:val="00F81B08"/>
    <w:rsid w:val="00F8266E"/>
    <w:rsid w:val="00F82D07"/>
    <w:rsid w:val="00F835E7"/>
    <w:rsid w:val="00F84D12"/>
    <w:rsid w:val="00F87115"/>
    <w:rsid w:val="00F87AFA"/>
    <w:rsid w:val="00F91500"/>
    <w:rsid w:val="00F919E0"/>
    <w:rsid w:val="00F91A57"/>
    <w:rsid w:val="00F92C1F"/>
    <w:rsid w:val="00F9309C"/>
    <w:rsid w:val="00F933DF"/>
    <w:rsid w:val="00F93698"/>
    <w:rsid w:val="00F94191"/>
    <w:rsid w:val="00F9431E"/>
    <w:rsid w:val="00F95997"/>
    <w:rsid w:val="00FA07ED"/>
    <w:rsid w:val="00FA11D9"/>
    <w:rsid w:val="00FA147A"/>
    <w:rsid w:val="00FA184F"/>
    <w:rsid w:val="00FA25D4"/>
    <w:rsid w:val="00FA2B5B"/>
    <w:rsid w:val="00FA2D45"/>
    <w:rsid w:val="00FA3757"/>
    <w:rsid w:val="00FA3C48"/>
    <w:rsid w:val="00FA3E6D"/>
    <w:rsid w:val="00FA4880"/>
    <w:rsid w:val="00FA4BF0"/>
    <w:rsid w:val="00FA64DB"/>
    <w:rsid w:val="00FA65D1"/>
    <w:rsid w:val="00FA728E"/>
    <w:rsid w:val="00FA7F68"/>
    <w:rsid w:val="00FB03DA"/>
    <w:rsid w:val="00FB0B3B"/>
    <w:rsid w:val="00FB1051"/>
    <w:rsid w:val="00FB3272"/>
    <w:rsid w:val="00FB356D"/>
    <w:rsid w:val="00FB4CD4"/>
    <w:rsid w:val="00FB588A"/>
    <w:rsid w:val="00FB63F8"/>
    <w:rsid w:val="00FB74AC"/>
    <w:rsid w:val="00FC0401"/>
    <w:rsid w:val="00FC1F44"/>
    <w:rsid w:val="00FC2129"/>
    <w:rsid w:val="00FC2F4B"/>
    <w:rsid w:val="00FC30E1"/>
    <w:rsid w:val="00FC39A8"/>
    <w:rsid w:val="00FC3B03"/>
    <w:rsid w:val="00FC3C05"/>
    <w:rsid w:val="00FC40F4"/>
    <w:rsid w:val="00FC45D3"/>
    <w:rsid w:val="00FC5776"/>
    <w:rsid w:val="00FC5F02"/>
    <w:rsid w:val="00FC7280"/>
    <w:rsid w:val="00FC76EB"/>
    <w:rsid w:val="00FC78D9"/>
    <w:rsid w:val="00FD1216"/>
    <w:rsid w:val="00FD26D2"/>
    <w:rsid w:val="00FD3AF2"/>
    <w:rsid w:val="00FD4012"/>
    <w:rsid w:val="00FD40B7"/>
    <w:rsid w:val="00FD42C7"/>
    <w:rsid w:val="00FD455B"/>
    <w:rsid w:val="00FD4650"/>
    <w:rsid w:val="00FD4E37"/>
    <w:rsid w:val="00FD4F86"/>
    <w:rsid w:val="00FD5AE9"/>
    <w:rsid w:val="00FD708B"/>
    <w:rsid w:val="00FD7271"/>
    <w:rsid w:val="00FD7B05"/>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37D"/>
    <w:rsid w:val="00FF1421"/>
    <w:rsid w:val="00FF16FD"/>
    <w:rsid w:val="00FF1B5C"/>
    <w:rsid w:val="00FF2B8A"/>
    <w:rsid w:val="00FF2B8E"/>
    <w:rsid w:val="00FF2D8B"/>
    <w:rsid w:val="00FF2E79"/>
    <w:rsid w:val="00FF4202"/>
    <w:rsid w:val="00FF472C"/>
    <w:rsid w:val="00FF4A0A"/>
    <w:rsid w:val="00FF4A3E"/>
    <w:rsid w:val="00FF4B29"/>
    <w:rsid w:val="00FF67DE"/>
    <w:rsid w:val="00FF7A1B"/>
    <w:rsid w:val="02B35D48"/>
    <w:rsid w:val="02BF4547"/>
    <w:rsid w:val="02D0381A"/>
    <w:rsid w:val="02FF7A7B"/>
    <w:rsid w:val="032B0AAB"/>
    <w:rsid w:val="033C033E"/>
    <w:rsid w:val="034E3E75"/>
    <w:rsid w:val="03970EF3"/>
    <w:rsid w:val="03D3399E"/>
    <w:rsid w:val="04664A43"/>
    <w:rsid w:val="049C474E"/>
    <w:rsid w:val="05690EBD"/>
    <w:rsid w:val="05AC21E1"/>
    <w:rsid w:val="065906F6"/>
    <w:rsid w:val="07A9679C"/>
    <w:rsid w:val="085E58E2"/>
    <w:rsid w:val="08A201D6"/>
    <w:rsid w:val="08EF7436"/>
    <w:rsid w:val="092A6291"/>
    <w:rsid w:val="09855EF7"/>
    <w:rsid w:val="09B513A5"/>
    <w:rsid w:val="0A3C3B1A"/>
    <w:rsid w:val="0B0C76BB"/>
    <w:rsid w:val="0B0E7430"/>
    <w:rsid w:val="0BE13394"/>
    <w:rsid w:val="0BE33974"/>
    <w:rsid w:val="0D5364A5"/>
    <w:rsid w:val="0DC3473D"/>
    <w:rsid w:val="0E585316"/>
    <w:rsid w:val="0F980C7B"/>
    <w:rsid w:val="10425354"/>
    <w:rsid w:val="10B81251"/>
    <w:rsid w:val="10F05187"/>
    <w:rsid w:val="11404AF9"/>
    <w:rsid w:val="117A055D"/>
    <w:rsid w:val="12160F3D"/>
    <w:rsid w:val="12383670"/>
    <w:rsid w:val="127D0E27"/>
    <w:rsid w:val="12887937"/>
    <w:rsid w:val="12E54A8E"/>
    <w:rsid w:val="143119FB"/>
    <w:rsid w:val="1485428A"/>
    <w:rsid w:val="148616C8"/>
    <w:rsid w:val="15540968"/>
    <w:rsid w:val="15633BC1"/>
    <w:rsid w:val="16096F98"/>
    <w:rsid w:val="162B2D76"/>
    <w:rsid w:val="16515F22"/>
    <w:rsid w:val="1679060D"/>
    <w:rsid w:val="167A7865"/>
    <w:rsid w:val="17DC4231"/>
    <w:rsid w:val="17DC660A"/>
    <w:rsid w:val="1A5F4DCB"/>
    <w:rsid w:val="1AB91E1B"/>
    <w:rsid w:val="1B57738F"/>
    <w:rsid w:val="1B6028EE"/>
    <w:rsid w:val="1B6F0841"/>
    <w:rsid w:val="1C3B0307"/>
    <w:rsid w:val="1C7E0F55"/>
    <w:rsid w:val="1CFD009B"/>
    <w:rsid w:val="1E516DEC"/>
    <w:rsid w:val="1EAA247F"/>
    <w:rsid w:val="1EAB3E43"/>
    <w:rsid w:val="1EAC7F39"/>
    <w:rsid w:val="1F1C0096"/>
    <w:rsid w:val="1F537411"/>
    <w:rsid w:val="1F686565"/>
    <w:rsid w:val="20F14967"/>
    <w:rsid w:val="214F03B6"/>
    <w:rsid w:val="221664B3"/>
    <w:rsid w:val="22783DF4"/>
    <w:rsid w:val="22F14C44"/>
    <w:rsid w:val="23111B23"/>
    <w:rsid w:val="231D3324"/>
    <w:rsid w:val="23EC1470"/>
    <w:rsid w:val="24764DC1"/>
    <w:rsid w:val="24B21BAD"/>
    <w:rsid w:val="24BE7297"/>
    <w:rsid w:val="2581355B"/>
    <w:rsid w:val="25AA584B"/>
    <w:rsid w:val="25EC01AA"/>
    <w:rsid w:val="26172014"/>
    <w:rsid w:val="262168A0"/>
    <w:rsid w:val="262827A7"/>
    <w:rsid w:val="26CC2BAD"/>
    <w:rsid w:val="27CC3A63"/>
    <w:rsid w:val="27E6578C"/>
    <w:rsid w:val="285F1E1A"/>
    <w:rsid w:val="28E54ED2"/>
    <w:rsid w:val="28EC7340"/>
    <w:rsid w:val="29664C70"/>
    <w:rsid w:val="29DF092A"/>
    <w:rsid w:val="2A355E34"/>
    <w:rsid w:val="2A3935EF"/>
    <w:rsid w:val="2A4370E4"/>
    <w:rsid w:val="2A8E7D19"/>
    <w:rsid w:val="2ACF254B"/>
    <w:rsid w:val="2B183EC6"/>
    <w:rsid w:val="2B4C3B06"/>
    <w:rsid w:val="2C1106C8"/>
    <w:rsid w:val="2C1800E2"/>
    <w:rsid w:val="2DC7257B"/>
    <w:rsid w:val="2E141457"/>
    <w:rsid w:val="2EDD7922"/>
    <w:rsid w:val="2EEF4086"/>
    <w:rsid w:val="2EF61FDA"/>
    <w:rsid w:val="2EFE61BF"/>
    <w:rsid w:val="2F0D2540"/>
    <w:rsid w:val="2F8F7A65"/>
    <w:rsid w:val="300B39FC"/>
    <w:rsid w:val="305A3890"/>
    <w:rsid w:val="307743A8"/>
    <w:rsid w:val="30F96E53"/>
    <w:rsid w:val="313708CB"/>
    <w:rsid w:val="31BB5A50"/>
    <w:rsid w:val="31D04B93"/>
    <w:rsid w:val="320D43F1"/>
    <w:rsid w:val="322E2CC1"/>
    <w:rsid w:val="32744B8F"/>
    <w:rsid w:val="329F3E6F"/>
    <w:rsid w:val="335E6905"/>
    <w:rsid w:val="34095375"/>
    <w:rsid w:val="3424001A"/>
    <w:rsid w:val="344833D7"/>
    <w:rsid w:val="34CC2AE4"/>
    <w:rsid w:val="356928AF"/>
    <w:rsid w:val="35AD3D88"/>
    <w:rsid w:val="35BE30C2"/>
    <w:rsid w:val="369F0F65"/>
    <w:rsid w:val="36E75463"/>
    <w:rsid w:val="36FB77C2"/>
    <w:rsid w:val="371A213B"/>
    <w:rsid w:val="373A1EFF"/>
    <w:rsid w:val="37C7727E"/>
    <w:rsid w:val="38C67413"/>
    <w:rsid w:val="39255B4E"/>
    <w:rsid w:val="39581820"/>
    <w:rsid w:val="3A2434C0"/>
    <w:rsid w:val="3B1C5E6D"/>
    <w:rsid w:val="3B263C85"/>
    <w:rsid w:val="3B690366"/>
    <w:rsid w:val="3BAC2EC4"/>
    <w:rsid w:val="3C774B0B"/>
    <w:rsid w:val="3C7C2505"/>
    <w:rsid w:val="3DFD5073"/>
    <w:rsid w:val="3E434140"/>
    <w:rsid w:val="3F0F35EE"/>
    <w:rsid w:val="3FED2FEE"/>
    <w:rsid w:val="3FF2184A"/>
    <w:rsid w:val="40D01062"/>
    <w:rsid w:val="40DD1060"/>
    <w:rsid w:val="41013E8A"/>
    <w:rsid w:val="41640598"/>
    <w:rsid w:val="42754AA0"/>
    <w:rsid w:val="4354388F"/>
    <w:rsid w:val="448829CC"/>
    <w:rsid w:val="451373CA"/>
    <w:rsid w:val="45365B70"/>
    <w:rsid w:val="45FC0CDF"/>
    <w:rsid w:val="4603075E"/>
    <w:rsid w:val="47D64702"/>
    <w:rsid w:val="481475FD"/>
    <w:rsid w:val="48A87AA3"/>
    <w:rsid w:val="493F5A1F"/>
    <w:rsid w:val="497213D0"/>
    <w:rsid w:val="49A3785C"/>
    <w:rsid w:val="49D4640E"/>
    <w:rsid w:val="49DD2C0D"/>
    <w:rsid w:val="4A0A0C5A"/>
    <w:rsid w:val="4AA06C59"/>
    <w:rsid w:val="4B4B5BA4"/>
    <w:rsid w:val="4B7464EA"/>
    <w:rsid w:val="4BCF198B"/>
    <w:rsid w:val="4D9D5E63"/>
    <w:rsid w:val="4F45079D"/>
    <w:rsid w:val="4FE24864"/>
    <w:rsid w:val="50D81075"/>
    <w:rsid w:val="510C244B"/>
    <w:rsid w:val="511558D4"/>
    <w:rsid w:val="51A24FBC"/>
    <w:rsid w:val="51DD2185"/>
    <w:rsid w:val="522F7129"/>
    <w:rsid w:val="523A0195"/>
    <w:rsid w:val="52715451"/>
    <w:rsid w:val="53AF0349"/>
    <w:rsid w:val="54C530D9"/>
    <w:rsid w:val="54F30D92"/>
    <w:rsid w:val="55600FCF"/>
    <w:rsid w:val="5604752C"/>
    <w:rsid w:val="56D7432E"/>
    <w:rsid w:val="5770446B"/>
    <w:rsid w:val="581666E6"/>
    <w:rsid w:val="584D1551"/>
    <w:rsid w:val="58F7220F"/>
    <w:rsid w:val="59262B0D"/>
    <w:rsid w:val="59520038"/>
    <w:rsid w:val="59993301"/>
    <w:rsid w:val="5A433EE2"/>
    <w:rsid w:val="5A9056E2"/>
    <w:rsid w:val="5AF778F7"/>
    <w:rsid w:val="5B0B723D"/>
    <w:rsid w:val="5BA10461"/>
    <w:rsid w:val="5BEA3E40"/>
    <w:rsid w:val="5C1D26A5"/>
    <w:rsid w:val="5C60789B"/>
    <w:rsid w:val="5D016E2C"/>
    <w:rsid w:val="5D1E7213"/>
    <w:rsid w:val="5D883602"/>
    <w:rsid w:val="5DE8500B"/>
    <w:rsid w:val="5EE07ED1"/>
    <w:rsid w:val="5FC324AB"/>
    <w:rsid w:val="5FF067F2"/>
    <w:rsid w:val="5FF33B69"/>
    <w:rsid w:val="5FFE4650"/>
    <w:rsid w:val="60C6423E"/>
    <w:rsid w:val="60FE69AF"/>
    <w:rsid w:val="617C3741"/>
    <w:rsid w:val="61817672"/>
    <w:rsid w:val="61BB76F7"/>
    <w:rsid w:val="61DD173B"/>
    <w:rsid w:val="62165216"/>
    <w:rsid w:val="62E71D2E"/>
    <w:rsid w:val="630E456D"/>
    <w:rsid w:val="63492EA1"/>
    <w:rsid w:val="63FF2D3F"/>
    <w:rsid w:val="657F1A4D"/>
    <w:rsid w:val="66071BDE"/>
    <w:rsid w:val="660A5F0D"/>
    <w:rsid w:val="664034E9"/>
    <w:rsid w:val="66CA7DB4"/>
    <w:rsid w:val="66F37725"/>
    <w:rsid w:val="67741E40"/>
    <w:rsid w:val="67FC5821"/>
    <w:rsid w:val="68065131"/>
    <w:rsid w:val="69382A2C"/>
    <w:rsid w:val="69434640"/>
    <w:rsid w:val="69DB5D7C"/>
    <w:rsid w:val="6A470EAA"/>
    <w:rsid w:val="6A9F574B"/>
    <w:rsid w:val="6AFB6F7F"/>
    <w:rsid w:val="6B167754"/>
    <w:rsid w:val="6B8C7DC6"/>
    <w:rsid w:val="6B9D7F45"/>
    <w:rsid w:val="6BA74E8D"/>
    <w:rsid w:val="6BAE6280"/>
    <w:rsid w:val="6BD20B5E"/>
    <w:rsid w:val="6BD62C39"/>
    <w:rsid w:val="6C8C571F"/>
    <w:rsid w:val="6C920B69"/>
    <w:rsid w:val="6D4C48F3"/>
    <w:rsid w:val="6D63049F"/>
    <w:rsid w:val="6D6433E4"/>
    <w:rsid w:val="6D822A0D"/>
    <w:rsid w:val="6DEF7AF4"/>
    <w:rsid w:val="6DF87AF7"/>
    <w:rsid w:val="6E0C6C58"/>
    <w:rsid w:val="6FAA344B"/>
    <w:rsid w:val="6FD46502"/>
    <w:rsid w:val="6FE1733C"/>
    <w:rsid w:val="6FFB1155"/>
    <w:rsid w:val="717A5259"/>
    <w:rsid w:val="71FB4625"/>
    <w:rsid w:val="72246809"/>
    <w:rsid w:val="72A503F6"/>
    <w:rsid w:val="731C634C"/>
    <w:rsid w:val="73963697"/>
    <w:rsid w:val="74FC01D4"/>
    <w:rsid w:val="766E211A"/>
    <w:rsid w:val="77BA4C1C"/>
    <w:rsid w:val="77E36DBE"/>
    <w:rsid w:val="782B4920"/>
    <w:rsid w:val="79B73810"/>
    <w:rsid w:val="79B96F93"/>
    <w:rsid w:val="7A072DB3"/>
    <w:rsid w:val="7AD0650C"/>
    <w:rsid w:val="7AD84847"/>
    <w:rsid w:val="7B28499C"/>
    <w:rsid w:val="7B3A497C"/>
    <w:rsid w:val="7BC218EF"/>
    <w:rsid w:val="7BFE4EEF"/>
    <w:rsid w:val="7C4C347A"/>
    <w:rsid w:val="7C5A65DC"/>
    <w:rsid w:val="7CC75155"/>
    <w:rsid w:val="7D57156E"/>
    <w:rsid w:val="7D74374B"/>
    <w:rsid w:val="7D7D15ED"/>
    <w:rsid w:val="7D7D678B"/>
    <w:rsid w:val="7D7F6BF0"/>
    <w:rsid w:val="7E3C3C60"/>
    <w:rsid w:val="7EB87782"/>
    <w:rsid w:val="7F1D60EA"/>
    <w:rsid w:val="7F636773"/>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0"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56"/>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57"/>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58"/>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2">
    <w:name w:val="heading 4"/>
    <w:basedOn w:val="1"/>
    <w:next w:val="3"/>
    <w:link w:val="54"/>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59"/>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0"/>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1"/>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2"/>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3"/>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unhideWhenUsed/>
    <w:uiPriority w:val="1"/>
  </w:style>
  <w:style w:type="table" w:default="1" w:styleId="44">
    <w:name w:val="Normal Table"/>
    <w:unhideWhenUsed/>
    <w:qFormat/>
    <w:uiPriority w:val="99"/>
    <w:tblPr>
      <w:tblStyle w:val="44"/>
      <w:tblCellMar>
        <w:top w:w="0" w:type="dxa"/>
        <w:left w:w="108" w:type="dxa"/>
        <w:bottom w:w="0" w:type="dxa"/>
        <w:right w:w="108" w:type="dxa"/>
      </w:tblCellMar>
    </w:tblPr>
  </w:style>
  <w:style w:type="paragraph" w:styleId="3">
    <w:name w:val="Normal Indent"/>
    <w:basedOn w:val="1"/>
    <w:next w:val="1"/>
    <w:link w:val="55"/>
    <w:qFormat/>
    <w:uiPriority w:val="0"/>
    <w:pPr>
      <w:ind w:firstLine="420" w:firstLineChars="200"/>
    </w:pPr>
    <w:rPr>
      <w:rFonts w:ascii="宋体" w:hAnsi="宋体"/>
      <w:spacing w:val="14"/>
      <w:kern w:val="24"/>
      <w:sz w:val="24"/>
      <w:szCs w:val="24"/>
    </w:rPr>
  </w:style>
  <w:style w:type="paragraph" w:styleId="12">
    <w:name w:val="toc 7"/>
    <w:basedOn w:val="1"/>
    <w:next w:val="1"/>
    <w:qFormat/>
    <w:uiPriority w:val="0"/>
    <w:pPr>
      <w:ind w:left="1260"/>
      <w:jc w:val="left"/>
    </w:pPr>
    <w:rPr>
      <w:sz w:val="18"/>
      <w:szCs w:val="18"/>
    </w:rPr>
  </w:style>
  <w:style w:type="paragraph" w:styleId="13">
    <w:name w:val="Document Map"/>
    <w:basedOn w:val="1"/>
    <w:link w:val="64"/>
    <w:semiHidden/>
    <w:qFormat/>
    <w:uiPriority w:val="99"/>
    <w:pPr>
      <w:shd w:val="clear" w:color="auto" w:fill="000080"/>
    </w:pPr>
  </w:style>
  <w:style w:type="paragraph" w:styleId="14">
    <w:name w:val="annotation text"/>
    <w:basedOn w:val="1"/>
    <w:link w:val="65"/>
    <w:qFormat/>
    <w:uiPriority w:val="99"/>
    <w:pPr>
      <w:jc w:val="left"/>
    </w:pPr>
    <w:rPr>
      <w:rFonts w:ascii="宋体" w:hAnsi="宋体"/>
      <w:szCs w:val="21"/>
    </w:rPr>
  </w:style>
  <w:style w:type="paragraph" w:styleId="15">
    <w:name w:val="Body Text 3"/>
    <w:basedOn w:val="1"/>
    <w:link w:val="66"/>
    <w:qFormat/>
    <w:uiPriority w:val="99"/>
    <w:pPr>
      <w:spacing w:after="120" w:line="360" w:lineRule="auto"/>
    </w:pPr>
    <w:rPr>
      <w:kern w:val="0"/>
      <w:sz w:val="16"/>
    </w:rPr>
  </w:style>
  <w:style w:type="paragraph" w:styleId="16">
    <w:name w:val="Body Text"/>
    <w:basedOn w:val="1"/>
    <w:next w:val="17"/>
    <w:link w:val="67"/>
    <w:qFormat/>
    <w:uiPriority w:val="99"/>
    <w:rPr>
      <w:rFonts w:ascii="宋体" w:hAnsi="宋体"/>
      <w:kern w:val="0"/>
      <w:sz w:val="20"/>
    </w:rPr>
  </w:style>
  <w:style w:type="paragraph" w:styleId="17">
    <w:name w:val="Body Text First Indent"/>
    <w:basedOn w:val="16"/>
    <w:next w:val="1"/>
    <w:link w:val="68"/>
    <w:qFormat/>
    <w:uiPriority w:val="99"/>
    <w:pPr>
      <w:spacing w:after="120"/>
      <w:ind w:firstLine="420" w:firstLineChars="100"/>
    </w:pPr>
    <w:rPr>
      <w:i/>
      <w:kern w:val="2"/>
      <w:sz w:val="24"/>
    </w:rPr>
  </w:style>
  <w:style w:type="paragraph" w:styleId="18">
    <w:name w:val="Body Text Indent"/>
    <w:basedOn w:val="1"/>
    <w:link w:val="69"/>
    <w:qFormat/>
    <w:uiPriority w:val="99"/>
    <w:pPr>
      <w:spacing w:line="380" w:lineRule="exact"/>
      <w:ind w:firstLine="480"/>
    </w:pPr>
    <w:rPr>
      <w:rFonts w:eastAsia="方正书宋简体"/>
      <w:sz w:val="24"/>
    </w:rPr>
  </w:style>
  <w:style w:type="paragraph" w:styleId="19">
    <w:name w:val="List Number 3"/>
    <w:basedOn w:val="1"/>
    <w:qFormat/>
    <w:uiPriority w:val="0"/>
    <w:pPr>
      <w:widowControl/>
      <w:tabs>
        <w:tab w:val="left" w:pos="482"/>
      </w:tabs>
      <w:spacing w:afterLines="50"/>
      <w:ind w:left="482" w:hanging="340"/>
      <w:jc w:val="left"/>
    </w:pPr>
    <w:rPr>
      <w:kern w:val="0"/>
      <w:sz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0"/>
    <w:pPr>
      <w:ind w:left="420"/>
      <w:jc w:val="left"/>
    </w:pPr>
    <w:rPr>
      <w:i/>
      <w:iCs/>
      <w:sz w:val="20"/>
    </w:rPr>
  </w:style>
  <w:style w:type="paragraph" w:styleId="22">
    <w:name w:val="Plain Text"/>
    <w:basedOn w:val="1"/>
    <w:link w:val="70"/>
    <w:qFormat/>
    <w:uiPriority w:val="0"/>
    <w:pPr>
      <w:widowControl/>
      <w:spacing w:before="100" w:beforeAutospacing="1" w:after="100" w:afterAutospacing="1"/>
      <w:jc w:val="left"/>
    </w:pPr>
    <w:rPr>
      <w:rFonts w:ascii="宋体" w:hAnsi="Courier New"/>
      <w:kern w:val="0"/>
      <w:sz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1"/>
    <w:qFormat/>
    <w:uiPriority w:val="99"/>
    <w:pPr>
      <w:adjustRightInd w:val="0"/>
      <w:spacing w:line="312" w:lineRule="atLeast"/>
      <w:jc w:val="right"/>
      <w:textAlignment w:val="baseline"/>
    </w:pPr>
    <w:rPr>
      <w:rFonts w:ascii="宋体"/>
      <w:kern w:val="0"/>
      <w:sz w:val="24"/>
    </w:rPr>
  </w:style>
  <w:style w:type="paragraph" w:styleId="25">
    <w:name w:val="Body Text Indent 2"/>
    <w:basedOn w:val="1"/>
    <w:link w:val="72"/>
    <w:qFormat/>
    <w:uiPriority w:val="99"/>
    <w:pPr>
      <w:spacing w:line="380" w:lineRule="exact"/>
      <w:ind w:left="840" w:hanging="45"/>
    </w:pPr>
    <w:rPr>
      <w:rFonts w:ascii="宋体"/>
      <w:sz w:val="24"/>
    </w:rPr>
  </w:style>
  <w:style w:type="paragraph" w:styleId="26">
    <w:name w:val="Balloon Text"/>
    <w:basedOn w:val="1"/>
    <w:link w:val="73"/>
    <w:semiHidden/>
    <w:qFormat/>
    <w:uiPriority w:val="99"/>
    <w:rPr>
      <w:rFonts w:ascii="宋体" w:hAnsi="宋体"/>
      <w:sz w:val="18"/>
      <w:szCs w:val="18"/>
    </w:rPr>
  </w:style>
  <w:style w:type="paragraph" w:styleId="27">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9">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0">
    <w:name w:val="toc 4"/>
    <w:basedOn w:val="1"/>
    <w:next w:val="1"/>
    <w:qFormat/>
    <w:uiPriority w:val="0"/>
    <w:pPr>
      <w:ind w:left="630"/>
      <w:jc w:val="left"/>
    </w:pPr>
    <w:rPr>
      <w:sz w:val="18"/>
      <w:szCs w:val="18"/>
    </w:rPr>
  </w:style>
  <w:style w:type="paragraph" w:styleId="31">
    <w:name w:val="List Number 5"/>
    <w:basedOn w:val="1"/>
    <w:qFormat/>
    <w:uiPriority w:val="0"/>
    <w:pPr>
      <w:tabs>
        <w:tab w:val="left" w:pos="2608"/>
      </w:tabs>
      <w:spacing w:line="360" w:lineRule="auto"/>
      <w:ind w:left="840" w:hanging="360"/>
    </w:pPr>
    <w:rPr>
      <w:sz w:val="24"/>
      <w:szCs w:val="24"/>
    </w:rPr>
  </w:style>
  <w:style w:type="paragraph" w:styleId="32">
    <w:name w:val="List"/>
    <w:basedOn w:val="1"/>
    <w:unhideWhenUsed/>
    <w:uiPriority w:val="0"/>
    <w:pPr>
      <w:ind w:left="200" w:hanging="200" w:hangingChars="200"/>
      <w:contextualSpacing/>
    </w:pPr>
  </w:style>
  <w:style w:type="paragraph" w:styleId="33">
    <w:name w:val="toc 6"/>
    <w:basedOn w:val="1"/>
    <w:next w:val="1"/>
    <w:qFormat/>
    <w:uiPriority w:val="0"/>
    <w:pPr>
      <w:ind w:left="1050"/>
      <w:jc w:val="left"/>
    </w:pPr>
    <w:rPr>
      <w:sz w:val="18"/>
      <w:szCs w:val="18"/>
    </w:rPr>
  </w:style>
  <w:style w:type="paragraph" w:styleId="34">
    <w:name w:val="Body Text Indent 3"/>
    <w:basedOn w:val="1"/>
    <w:link w:val="76"/>
    <w:qFormat/>
    <w:uiPriority w:val="99"/>
    <w:pPr>
      <w:spacing w:line="380" w:lineRule="exact"/>
      <w:ind w:left="525"/>
    </w:pPr>
    <w:rPr>
      <w:rFonts w:ascii="宋体" w:hAnsi="宋体"/>
      <w:b/>
      <w:sz w:val="24"/>
      <w:szCs w:val="24"/>
    </w:rPr>
  </w:style>
  <w:style w:type="paragraph" w:styleId="35">
    <w:name w:val="table of figures"/>
    <w:basedOn w:val="1"/>
    <w:next w:val="1"/>
    <w:qFormat/>
    <w:uiPriority w:val="0"/>
    <w:pPr>
      <w:ind w:left="420" w:hanging="420"/>
      <w:jc w:val="left"/>
    </w:pPr>
    <w:rPr>
      <w:smallCaps/>
      <w:sz w:val="20"/>
    </w:rPr>
  </w:style>
  <w:style w:type="paragraph" w:styleId="36">
    <w:name w:val="toc 2"/>
    <w:basedOn w:val="1"/>
    <w:next w:val="1"/>
    <w:qFormat/>
    <w:uiPriority w:val="0"/>
    <w:pPr>
      <w:ind w:left="210"/>
      <w:jc w:val="left"/>
    </w:pPr>
    <w:rPr>
      <w:smallCaps/>
      <w:sz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99"/>
    <w:pPr>
      <w:spacing w:after="120" w:line="480" w:lineRule="auto"/>
    </w:pPr>
    <w:rPr>
      <w:kern w:val="0"/>
      <w:sz w:val="24"/>
    </w:rPr>
  </w:style>
  <w:style w:type="paragraph" w:styleId="39">
    <w:name w:val="HTML Preformatted"/>
    <w:basedOn w:val="1"/>
    <w:link w:val="78"/>
    <w:qFormat/>
    <w:uiPriority w:val="99"/>
    <w:rPr>
      <w:rFonts w:ascii="Courier New" w:hAnsi="Courier New"/>
      <w:sz w:val="20"/>
    </w:rPr>
  </w:style>
  <w:style w:type="paragraph" w:styleId="40">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semiHidden/>
    <w:qFormat/>
    <w:uiPriority w:val="0"/>
  </w:style>
  <w:style w:type="paragraph" w:styleId="42">
    <w:name w:val="Title"/>
    <w:basedOn w:val="1"/>
    <w:link w:val="79"/>
    <w:qFormat/>
    <w:uiPriority w:val="0"/>
    <w:pPr>
      <w:spacing w:before="240" w:after="60"/>
      <w:jc w:val="center"/>
      <w:outlineLvl w:val="0"/>
    </w:pPr>
    <w:rPr>
      <w:rFonts w:ascii="Arial" w:hAnsi="Arial"/>
      <w:b/>
      <w:bCs/>
      <w:sz w:val="32"/>
      <w:szCs w:val="32"/>
    </w:rPr>
  </w:style>
  <w:style w:type="paragraph" w:styleId="43">
    <w:name w:val="annotation subject"/>
    <w:basedOn w:val="14"/>
    <w:next w:val="14"/>
    <w:link w:val="80"/>
    <w:semiHidden/>
    <w:qFormat/>
    <w:uiPriority w:val="99"/>
    <w:rPr>
      <w:b/>
    </w:rPr>
  </w:style>
  <w:style w:type="table" w:styleId="45">
    <w:name w:val="Table Grid"/>
    <w:basedOn w:val="44"/>
    <w:qFormat/>
    <w:uiPriority w:val="0"/>
    <w:pPr>
      <w:widowControl w:val="0"/>
      <w:jc w:val="both"/>
    </w:p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0"/>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0"/>
    <w:rPr>
      <w:rFonts w:ascii="Courier New" w:hAnsi="Courier New"/>
      <w:sz w:val="20"/>
    </w:rPr>
  </w:style>
  <w:style w:type="character" w:styleId="52">
    <w:name w:val="Hyperlink"/>
    <w:qFormat/>
    <w:uiPriority w:val="99"/>
    <w:rPr>
      <w:color w:val="0000FF"/>
      <w:u w:val="single"/>
    </w:rPr>
  </w:style>
  <w:style w:type="character" w:styleId="53">
    <w:name w:val="annotation reference"/>
    <w:semiHidden/>
    <w:qFormat/>
    <w:uiPriority w:val="0"/>
    <w:rPr>
      <w:sz w:val="21"/>
    </w:rPr>
  </w:style>
  <w:style w:type="character" w:customStyle="1" w:styleId="54">
    <w:name w:val="标题 4 Char"/>
    <w:link w:val="2"/>
    <w:qFormat/>
    <w:locked/>
    <w:uiPriority w:val="0"/>
    <w:rPr>
      <w:rFonts w:ascii="Arial" w:hAnsi="Arial" w:eastAsia="黑体"/>
      <w:b/>
      <w:kern w:val="2"/>
      <w:sz w:val="28"/>
      <w:lang w:val="en-US" w:eastAsia="zh-CN"/>
    </w:rPr>
  </w:style>
  <w:style w:type="character" w:customStyle="1" w:styleId="55">
    <w:name w:val="正文缩进 Char1"/>
    <w:link w:val="3"/>
    <w:locked/>
    <w:uiPriority w:val="0"/>
    <w:rPr>
      <w:rFonts w:ascii="宋体" w:hAnsi="宋体" w:eastAsia="宋体" w:cs="宋体"/>
      <w:spacing w:val="14"/>
      <w:kern w:val="24"/>
      <w:sz w:val="24"/>
      <w:szCs w:val="24"/>
      <w:lang w:val="en-US" w:eastAsia="zh-CN"/>
    </w:rPr>
  </w:style>
  <w:style w:type="character" w:customStyle="1" w:styleId="56">
    <w:name w:val="标题 1 Char1"/>
    <w:link w:val="4"/>
    <w:locked/>
    <w:uiPriority w:val="9"/>
    <w:rPr>
      <w:rFonts w:ascii="宋体" w:hAnsi="宋体" w:eastAsia="宋体" w:cs="宋体"/>
      <w:b/>
      <w:kern w:val="44"/>
      <w:sz w:val="44"/>
      <w:szCs w:val="44"/>
      <w:lang w:val="en-US" w:eastAsia="zh-CN"/>
    </w:rPr>
  </w:style>
  <w:style w:type="character" w:customStyle="1" w:styleId="57">
    <w:name w:val="标题 2 Char1"/>
    <w:link w:val="5"/>
    <w:locked/>
    <w:uiPriority w:val="9"/>
    <w:rPr>
      <w:rFonts w:ascii="Cambria" w:hAnsi="Cambria" w:eastAsia="宋体" w:cs="Cambria"/>
      <w:kern w:val="2"/>
      <w:sz w:val="21"/>
      <w:szCs w:val="21"/>
      <w:lang w:val="en-US" w:eastAsia="zh-CN"/>
    </w:rPr>
  </w:style>
  <w:style w:type="character" w:customStyle="1" w:styleId="58">
    <w:name w:val="标题 3 Char1"/>
    <w:link w:val="6"/>
    <w:locked/>
    <w:uiPriority w:val="9"/>
    <w:rPr>
      <w:rFonts w:ascii="宋体" w:hAnsi="宋体" w:eastAsia="宋体" w:cs="宋体"/>
      <w:b/>
      <w:kern w:val="2"/>
      <w:sz w:val="32"/>
      <w:szCs w:val="32"/>
      <w:lang w:val="en-US" w:eastAsia="zh-CN"/>
    </w:rPr>
  </w:style>
  <w:style w:type="character" w:customStyle="1" w:styleId="59">
    <w:name w:val="标题 5 Char"/>
    <w:link w:val="7"/>
    <w:qFormat/>
    <w:locked/>
    <w:uiPriority w:val="9"/>
    <w:rPr>
      <w:rFonts w:eastAsia="宋体"/>
      <w:b/>
      <w:kern w:val="2"/>
      <w:sz w:val="28"/>
      <w:lang w:val="en-US" w:eastAsia="zh-CN"/>
    </w:rPr>
  </w:style>
  <w:style w:type="character" w:customStyle="1" w:styleId="60">
    <w:name w:val="标题 6 Char"/>
    <w:link w:val="8"/>
    <w:qFormat/>
    <w:locked/>
    <w:uiPriority w:val="9"/>
    <w:rPr>
      <w:rFonts w:ascii="Cambria" w:hAnsi="Cambria" w:eastAsia="宋体"/>
      <w:b/>
      <w:kern w:val="2"/>
      <w:sz w:val="24"/>
      <w:lang w:val="en-US" w:eastAsia="zh-CN"/>
    </w:rPr>
  </w:style>
  <w:style w:type="character" w:customStyle="1" w:styleId="61">
    <w:name w:val="标题 7 Char"/>
    <w:link w:val="9"/>
    <w:qFormat/>
    <w:locked/>
    <w:uiPriority w:val="9"/>
    <w:rPr>
      <w:b/>
      <w:kern w:val="2"/>
      <w:sz w:val="24"/>
    </w:rPr>
  </w:style>
  <w:style w:type="character" w:customStyle="1" w:styleId="62">
    <w:name w:val="标题 8 Char"/>
    <w:link w:val="10"/>
    <w:qFormat/>
    <w:locked/>
    <w:uiPriority w:val="9"/>
    <w:rPr>
      <w:rFonts w:ascii="Arial" w:hAnsi="Arial" w:eastAsia="黑体"/>
      <w:kern w:val="2"/>
      <w:sz w:val="24"/>
    </w:rPr>
  </w:style>
  <w:style w:type="character" w:customStyle="1" w:styleId="63">
    <w:name w:val="标题 9 Char"/>
    <w:link w:val="11"/>
    <w:qFormat/>
    <w:locked/>
    <w:uiPriority w:val="9"/>
    <w:rPr>
      <w:rFonts w:ascii="Arial" w:hAnsi="Arial" w:eastAsia="黑体"/>
      <w:kern w:val="2"/>
      <w:sz w:val="21"/>
    </w:rPr>
  </w:style>
  <w:style w:type="character" w:customStyle="1" w:styleId="64">
    <w:name w:val="文档结构图 Char"/>
    <w:link w:val="13"/>
    <w:qFormat/>
    <w:locked/>
    <w:uiPriority w:val="99"/>
    <w:rPr>
      <w:rFonts w:eastAsia="宋体"/>
      <w:kern w:val="2"/>
      <w:sz w:val="21"/>
      <w:lang w:val="en-US" w:eastAsia="zh-CN"/>
    </w:rPr>
  </w:style>
  <w:style w:type="character" w:customStyle="1" w:styleId="65">
    <w:name w:val="批注文字 Char2"/>
    <w:link w:val="14"/>
    <w:locked/>
    <w:uiPriority w:val="99"/>
    <w:rPr>
      <w:rFonts w:ascii="宋体" w:hAnsi="宋体" w:eastAsia="宋体" w:cs="宋体"/>
      <w:kern w:val="2"/>
      <w:sz w:val="21"/>
      <w:szCs w:val="21"/>
      <w:lang w:val="en-US" w:eastAsia="zh-CN"/>
    </w:rPr>
  </w:style>
  <w:style w:type="character" w:customStyle="1" w:styleId="66">
    <w:name w:val="正文文本 3 Char"/>
    <w:link w:val="15"/>
    <w:qFormat/>
    <w:locked/>
    <w:uiPriority w:val="99"/>
    <w:rPr>
      <w:rFonts w:eastAsia="宋体"/>
      <w:sz w:val="16"/>
    </w:rPr>
  </w:style>
  <w:style w:type="character" w:customStyle="1" w:styleId="67">
    <w:name w:val="正文文本 Char2"/>
    <w:link w:val="16"/>
    <w:locked/>
    <w:uiPriority w:val="99"/>
    <w:rPr>
      <w:rFonts w:ascii="宋体" w:hAnsi="宋体" w:eastAsia="宋体" w:cs="宋体"/>
      <w:lang w:val="en-US" w:eastAsia="zh-CN"/>
    </w:rPr>
  </w:style>
  <w:style w:type="character" w:customStyle="1" w:styleId="68">
    <w:name w:val="正文首行缩进 Char"/>
    <w:link w:val="17"/>
    <w:qFormat/>
    <w:locked/>
    <w:uiPriority w:val="99"/>
    <w:rPr>
      <w:rFonts w:ascii="宋体" w:hAnsi="宋体" w:eastAsia="宋体" w:cs="宋体"/>
      <w:i/>
      <w:kern w:val="2"/>
      <w:sz w:val="24"/>
      <w:lang w:val="en-US" w:eastAsia="zh-CN"/>
    </w:rPr>
  </w:style>
  <w:style w:type="character" w:customStyle="1" w:styleId="69">
    <w:name w:val="正文文本缩进 Char2"/>
    <w:link w:val="18"/>
    <w:qFormat/>
    <w:locked/>
    <w:uiPriority w:val="99"/>
    <w:rPr>
      <w:rFonts w:eastAsia="方正书宋简体"/>
      <w:kern w:val="2"/>
      <w:sz w:val="24"/>
      <w:lang w:val="en-US" w:eastAsia="zh-CN"/>
    </w:rPr>
  </w:style>
  <w:style w:type="character" w:customStyle="1" w:styleId="70">
    <w:name w:val="纯文本 Char3"/>
    <w:link w:val="22"/>
    <w:qFormat/>
    <w:locked/>
    <w:uiPriority w:val="0"/>
    <w:rPr>
      <w:rFonts w:ascii="宋体" w:hAnsi="Courier New" w:eastAsia="宋体" w:cs="宋体"/>
      <w:lang w:val="en-US" w:eastAsia="zh-CN"/>
    </w:rPr>
  </w:style>
  <w:style w:type="character" w:customStyle="1" w:styleId="71">
    <w:name w:val="日期 Char"/>
    <w:link w:val="24"/>
    <w:qFormat/>
    <w:locked/>
    <w:uiPriority w:val="99"/>
    <w:rPr>
      <w:rFonts w:ascii="宋体" w:cs="Times New Roman"/>
      <w:sz w:val="24"/>
    </w:rPr>
  </w:style>
  <w:style w:type="character" w:customStyle="1" w:styleId="72">
    <w:name w:val="正文文本缩进 2 Char"/>
    <w:link w:val="25"/>
    <w:qFormat/>
    <w:locked/>
    <w:uiPriority w:val="99"/>
    <w:rPr>
      <w:rFonts w:ascii="宋体" w:eastAsia="宋体"/>
      <w:kern w:val="2"/>
      <w:sz w:val="24"/>
      <w:lang w:val="en-US" w:eastAsia="zh-CN"/>
    </w:rPr>
  </w:style>
  <w:style w:type="character" w:customStyle="1" w:styleId="73">
    <w:name w:val="批注框文本 Char2"/>
    <w:link w:val="26"/>
    <w:locked/>
    <w:uiPriority w:val="99"/>
    <w:rPr>
      <w:rFonts w:ascii="宋体" w:hAnsi="宋体" w:eastAsia="宋体" w:cs="宋体"/>
      <w:kern w:val="2"/>
      <w:sz w:val="18"/>
      <w:szCs w:val="18"/>
      <w:lang w:val="en-US" w:eastAsia="zh-CN"/>
    </w:rPr>
  </w:style>
  <w:style w:type="character" w:customStyle="1" w:styleId="74">
    <w:name w:val="页脚 Char2"/>
    <w:link w:val="27"/>
    <w:locked/>
    <w:uiPriority w:val="99"/>
    <w:rPr>
      <w:rFonts w:ascii="宋体" w:hAnsi="宋体" w:eastAsia="宋体" w:cs="宋体"/>
      <w:kern w:val="2"/>
      <w:sz w:val="18"/>
      <w:szCs w:val="18"/>
      <w:lang w:val="en-US" w:eastAsia="zh-CN"/>
    </w:rPr>
  </w:style>
  <w:style w:type="character" w:customStyle="1" w:styleId="75">
    <w:name w:val="页眉 Char2"/>
    <w:link w:val="28"/>
    <w:locked/>
    <w:uiPriority w:val="99"/>
    <w:rPr>
      <w:rFonts w:ascii="宋体" w:hAnsi="宋体" w:eastAsia="宋体" w:cs="宋体"/>
      <w:kern w:val="2"/>
      <w:sz w:val="18"/>
      <w:szCs w:val="18"/>
      <w:lang w:val="en-US" w:eastAsia="zh-CN"/>
    </w:rPr>
  </w:style>
  <w:style w:type="character" w:customStyle="1" w:styleId="76">
    <w:name w:val="正文文本缩进 3 Char2"/>
    <w:link w:val="34"/>
    <w:locked/>
    <w:uiPriority w:val="99"/>
    <w:rPr>
      <w:rFonts w:ascii="宋体" w:hAnsi="宋体" w:eastAsia="宋体" w:cs="宋体"/>
      <w:b/>
      <w:kern w:val="2"/>
      <w:sz w:val="24"/>
      <w:szCs w:val="24"/>
      <w:lang w:val="en-US" w:eastAsia="zh-CN"/>
    </w:rPr>
  </w:style>
  <w:style w:type="character" w:customStyle="1" w:styleId="77">
    <w:name w:val="正文文本 2 Char"/>
    <w:link w:val="38"/>
    <w:qFormat/>
    <w:locked/>
    <w:uiPriority w:val="99"/>
    <w:rPr>
      <w:rFonts w:eastAsia="宋体"/>
      <w:sz w:val="24"/>
    </w:rPr>
  </w:style>
  <w:style w:type="character" w:customStyle="1" w:styleId="78">
    <w:name w:val="HTML 预设格式 Char"/>
    <w:link w:val="39"/>
    <w:qFormat/>
    <w:locked/>
    <w:uiPriority w:val="99"/>
    <w:rPr>
      <w:rFonts w:ascii="Courier New" w:hAnsi="Courier New"/>
      <w:kern w:val="2"/>
    </w:rPr>
  </w:style>
  <w:style w:type="character" w:customStyle="1" w:styleId="79">
    <w:name w:val="标题 Char"/>
    <w:link w:val="42"/>
    <w:uiPriority w:val="0"/>
    <w:rPr>
      <w:rFonts w:ascii="Arial" w:hAnsi="Arial" w:cs="Arial"/>
      <w:b/>
      <w:bCs/>
      <w:kern w:val="2"/>
      <w:sz w:val="32"/>
      <w:szCs w:val="32"/>
    </w:rPr>
  </w:style>
  <w:style w:type="character" w:customStyle="1" w:styleId="80">
    <w:name w:val="批注主题 Char2"/>
    <w:link w:val="43"/>
    <w:locked/>
    <w:uiPriority w:val="99"/>
    <w:rPr>
      <w:rFonts w:ascii="宋体" w:hAnsi="宋体" w:eastAsia="宋体" w:cs="宋体"/>
      <w:b/>
      <w:kern w:val="2"/>
      <w:sz w:val="21"/>
      <w:szCs w:val="21"/>
      <w:lang w:val="en-US" w:eastAsia="zh-CN"/>
    </w:rPr>
  </w:style>
  <w:style w:type="character" w:customStyle="1" w:styleId="81">
    <w:name w:val="List Paragraph Char"/>
    <w:link w:val="82"/>
    <w:qFormat/>
    <w:locked/>
    <w:uiPriority w:val="0"/>
    <w:rPr>
      <w:rFonts w:ascii="Calibri" w:hAnsi="Calibri" w:eastAsia="宋体"/>
      <w:kern w:val="2"/>
      <w:sz w:val="22"/>
      <w:lang w:val="en-US" w:eastAsia="zh-CN"/>
    </w:rPr>
  </w:style>
  <w:style w:type="paragraph" w:customStyle="1" w:styleId="82">
    <w:name w:val="列出段落1"/>
    <w:basedOn w:val="1"/>
    <w:link w:val="81"/>
    <w:qFormat/>
    <w:uiPriority w:val="0"/>
    <w:pPr>
      <w:ind w:firstLine="420" w:firstLineChars="200"/>
    </w:pPr>
    <w:rPr>
      <w:rFonts w:ascii="Calibri" w:hAnsi="Calibri"/>
      <w:sz w:val="22"/>
    </w:rPr>
  </w:style>
  <w:style w:type="character" w:customStyle="1" w:styleId="83">
    <w:name w:val="标题 2 字符"/>
    <w:locked/>
    <w:uiPriority w:val="0"/>
    <w:rPr>
      <w:rFonts w:ascii="Cambria" w:hAnsi="Cambria" w:eastAsia="宋体" w:cs="Cambria"/>
      <w:kern w:val="2"/>
      <w:sz w:val="21"/>
      <w:szCs w:val="21"/>
      <w:lang w:val="en-US" w:eastAsia="zh-CN"/>
    </w:rPr>
  </w:style>
  <w:style w:type="character" w:customStyle="1" w:styleId="84">
    <w:name w:val="正文文本 Char1"/>
    <w:uiPriority w:val="0"/>
    <w:rPr>
      <w:rFonts w:ascii="Times New Roman" w:hAnsi="Times New Roman" w:eastAsia="宋体" w:cs="Times New Roman"/>
      <w:sz w:val="24"/>
      <w:szCs w:val="24"/>
    </w:rPr>
  </w:style>
  <w:style w:type="character" w:customStyle="1" w:styleId="85">
    <w:name w:val="font21"/>
    <w:uiPriority w:val="0"/>
    <w:rPr>
      <w:rFonts w:hint="eastAsia" w:ascii="宋体" w:hAnsi="宋体" w:eastAsia="宋体"/>
      <w:b/>
      <w:bCs/>
      <w:color w:val="000000"/>
      <w:sz w:val="20"/>
      <w:szCs w:val="20"/>
      <w:u w:val="none"/>
    </w:rPr>
  </w:style>
  <w:style w:type="character" w:customStyle="1" w:styleId="86">
    <w:name w:val="正文文本缩进 3 字符1"/>
    <w:semiHidden/>
    <w:uiPriority w:val="99"/>
    <w:rPr>
      <w:kern w:val="2"/>
      <w:sz w:val="16"/>
      <w:szCs w:val="16"/>
    </w:rPr>
  </w:style>
  <w:style w:type="character" w:customStyle="1" w:styleId="87">
    <w:name w:val="HTML 预设格式 字符1"/>
    <w:semiHidden/>
    <w:uiPriority w:val="99"/>
    <w:rPr>
      <w:rFonts w:ascii="Courier New" w:hAnsi="Courier New" w:cs="Courier New"/>
      <w:kern w:val="2"/>
    </w:rPr>
  </w:style>
  <w:style w:type="character" w:customStyle="1" w:styleId="88">
    <w:name w:val="Char Char13"/>
    <w:locked/>
    <w:uiPriority w:val="0"/>
    <w:rPr>
      <w:rFonts w:ascii="宋体" w:hAnsi="宋体" w:eastAsia="宋体"/>
      <w:kern w:val="2"/>
      <w:sz w:val="21"/>
      <w:lang w:val="en-US" w:eastAsia="zh-CN" w:bidi="ar-SA"/>
    </w:rPr>
  </w:style>
  <w:style w:type="character" w:customStyle="1" w:styleId="89">
    <w:name w:val="批注文字 字符1"/>
    <w:semiHidden/>
    <w:uiPriority w:val="99"/>
    <w:rPr>
      <w:kern w:val="2"/>
      <w:sz w:val="21"/>
    </w:rPr>
  </w:style>
  <w:style w:type="character" w:customStyle="1" w:styleId="90">
    <w:name w:val="中等深浅网格 1 - 强调文字颜色 2 Char"/>
    <w:link w:val="91"/>
    <w:qFormat/>
    <w:locked/>
    <w:uiPriority w:val="34"/>
    <w:rPr>
      <w:rFonts w:ascii="Calibri" w:hAnsi="Calibri"/>
      <w:kern w:val="2"/>
      <w:sz w:val="22"/>
    </w:rPr>
  </w:style>
  <w:style w:type="paragraph" w:customStyle="1" w:styleId="91">
    <w:name w:val="中等深浅网格 1 - 强调文字颜色 21"/>
    <w:basedOn w:val="1"/>
    <w:link w:val="90"/>
    <w:qFormat/>
    <w:uiPriority w:val="34"/>
    <w:pPr>
      <w:ind w:firstLine="420" w:firstLineChars="200"/>
    </w:pPr>
    <w:rPr>
      <w:rFonts w:ascii="Calibri" w:hAnsi="Calibri"/>
      <w:sz w:val="22"/>
    </w:rPr>
  </w:style>
  <w:style w:type="character" w:customStyle="1" w:styleId="92">
    <w:name w:val="Char Char6"/>
    <w:locked/>
    <w:uiPriority w:val="0"/>
    <w:rPr>
      <w:rFonts w:ascii="宋体" w:hAnsi="宋体" w:eastAsia="宋体"/>
      <w:kern w:val="2"/>
      <w:sz w:val="18"/>
      <w:lang w:val="en-US" w:eastAsia="zh-CN" w:bidi="ar-SA"/>
    </w:rPr>
  </w:style>
  <w:style w:type="character" w:customStyle="1" w:styleId="93">
    <w:name w:val="批注主题 字符"/>
    <w:locked/>
    <w:uiPriority w:val="99"/>
    <w:rPr>
      <w:rFonts w:ascii="宋体" w:hAnsi="宋体" w:eastAsia="宋体" w:cs="宋体"/>
      <w:b/>
      <w:kern w:val="2"/>
      <w:sz w:val="21"/>
      <w:szCs w:val="21"/>
      <w:lang w:val="en-US" w:eastAsia="zh-CN"/>
    </w:rPr>
  </w:style>
  <w:style w:type="character" w:customStyle="1" w:styleId="94">
    <w:name w:val="文档结构图 字符1"/>
    <w:semiHidden/>
    <w:uiPriority w:val="99"/>
    <w:rPr>
      <w:rFonts w:ascii="Microsoft YaHei UI" w:eastAsia="Microsoft YaHei UI"/>
      <w:kern w:val="2"/>
      <w:sz w:val="18"/>
      <w:szCs w:val="18"/>
    </w:rPr>
  </w:style>
  <w:style w:type="character" w:customStyle="1" w:styleId="95">
    <w:name w:val="样式4 Char"/>
    <w:link w:val="96"/>
    <w:qFormat/>
    <w:locked/>
    <w:uiPriority w:val="0"/>
    <w:rPr>
      <w:rFonts w:ascii="黑体" w:hAnsi="黑体" w:eastAsia="黑体"/>
      <w:kern w:val="44"/>
      <w:sz w:val="44"/>
      <w:lang w:val="en-US" w:eastAsia="zh-CN"/>
    </w:rPr>
  </w:style>
  <w:style w:type="paragraph" w:customStyle="1" w:styleId="96">
    <w:name w:val="样式4"/>
    <w:basedOn w:val="4"/>
    <w:link w:val="95"/>
    <w:qFormat/>
    <w:uiPriority w:val="0"/>
    <w:pPr>
      <w:keepLines/>
      <w:spacing w:line="360" w:lineRule="auto"/>
    </w:pPr>
    <w:rPr>
      <w:rFonts w:ascii="黑体" w:hAnsi="黑体" w:eastAsia="黑体"/>
      <w:b w:val="0"/>
      <w:szCs w:val="20"/>
    </w:rPr>
  </w:style>
  <w:style w:type="character" w:customStyle="1" w:styleId="97">
    <w:name w:val="正文文本缩进 字符"/>
    <w:uiPriority w:val="0"/>
    <w:rPr>
      <w:rFonts w:ascii="Calibri" w:hAnsi="Calibri" w:cs="Calibri"/>
    </w:rPr>
  </w:style>
  <w:style w:type="character" w:customStyle="1" w:styleId="98">
    <w:name w:val="正文文本缩进 2 字符"/>
    <w:qFormat/>
    <w:locked/>
    <w:uiPriority w:val="0"/>
    <w:rPr>
      <w:rFonts w:ascii="宋体" w:eastAsia="宋体"/>
      <w:kern w:val="2"/>
      <w:sz w:val="24"/>
      <w:lang w:val="en-US" w:eastAsia="zh-CN"/>
    </w:rPr>
  </w:style>
  <w:style w:type="character" w:customStyle="1" w:styleId="99">
    <w:name w:val="Char Char12"/>
    <w:locked/>
    <w:uiPriority w:val="0"/>
    <w:rPr>
      <w:rFonts w:ascii="宋体" w:hAnsi="宋体" w:eastAsia="宋体"/>
      <w:kern w:val="2"/>
      <w:sz w:val="21"/>
      <w:szCs w:val="24"/>
      <w:lang w:val="en-US" w:eastAsia="zh-CN" w:bidi="ar-SA"/>
    </w:rPr>
  </w:style>
  <w:style w:type="character" w:customStyle="1" w:styleId="100">
    <w:name w:val="Char Char20"/>
    <w:locked/>
    <w:uiPriority w:val="0"/>
    <w:rPr>
      <w:rFonts w:ascii="Arial" w:hAnsi="Arial" w:eastAsia="黑体" w:cs="Arial"/>
      <w:b/>
      <w:bCs/>
      <w:kern w:val="2"/>
      <w:sz w:val="30"/>
      <w:szCs w:val="32"/>
      <w:lang w:val="en-US" w:eastAsia="zh-CN" w:bidi="ar-SA"/>
    </w:rPr>
  </w:style>
  <w:style w:type="character" w:customStyle="1" w:styleId="101">
    <w:name w:val="Char Char5"/>
    <w:locked/>
    <w:uiPriority w:val="0"/>
    <w:rPr>
      <w:rFonts w:ascii="宋体" w:hAnsi="宋体" w:eastAsia="宋体"/>
      <w:kern w:val="2"/>
      <w:sz w:val="24"/>
      <w:lang w:val="en-US" w:eastAsia="zh-CN" w:bidi="ar-SA"/>
    </w:rPr>
  </w:style>
  <w:style w:type="character" w:customStyle="1" w:styleId="102">
    <w:name w:val="Char Char9"/>
    <w:locked/>
    <w:uiPriority w:val="0"/>
    <w:rPr>
      <w:rFonts w:ascii="宋体" w:hAnsi="宋体" w:eastAsia="宋体"/>
      <w:sz w:val="16"/>
      <w:szCs w:val="16"/>
      <w:lang w:bidi="ar-SA"/>
    </w:rPr>
  </w:style>
  <w:style w:type="character" w:customStyle="1" w:styleId="103">
    <w:name w:val="列出段落 字符"/>
    <w:qFormat/>
    <w:locked/>
    <w:uiPriority w:val="34"/>
    <w:rPr>
      <w:rFonts w:eastAsia="宋体"/>
      <w:kern w:val="2"/>
      <w:sz w:val="24"/>
      <w:lang w:val="en-US" w:eastAsia="zh-CN"/>
    </w:rPr>
  </w:style>
  <w:style w:type="character" w:customStyle="1" w:styleId="104">
    <w:name w:val="纯文本 Char2"/>
    <w:qFormat/>
    <w:uiPriority w:val="0"/>
    <w:rPr>
      <w:rFonts w:ascii="宋体" w:hAnsi="宋体" w:eastAsia="宋体"/>
      <w:color w:val="000000"/>
      <w:sz w:val="24"/>
      <w:lang w:val="en-US" w:eastAsia="zh-CN"/>
    </w:rPr>
  </w:style>
  <w:style w:type="character" w:customStyle="1" w:styleId="105">
    <w:name w:val="金保标题3 Char"/>
    <w:link w:val="106"/>
    <w:qFormat/>
    <w:locked/>
    <w:uiPriority w:val="0"/>
    <w:rPr>
      <w:rFonts w:ascii="楷体" w:hAnsi="楷体" w:eastAsia="楷体"/>
      <w:b/>
      <w:sz w:val="28"/>
    </w:rPr>
  </w:style>
  <w:style w:type="paragraph" w:customStyle="1" w:styleId="106">
    <w:name w:val="金保标题3"/>
    <w:basedOn w:val="6"/>
    <w:next w:val="1"/>
    <w:link w:val="105"/>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07">
    <w:name w:val="文档结构图 Char1"/>
    <w:semiHidden/>
    <w:uiPriority w:val="0"/>
    <w:rPr>
      <w:rFonts w:ascii="宋体"/>
      <w:kern w:val="2"/>
      <w:sz w:val="18"/>
      <w:szCs w:val="18"/>
    </w:rPr>
  </w:style>
  <w:style w:type="character" w:customStyle="1" w:styleId="108">
    <w:name w:val="正文文本 3 Char1"/>
    <w:semiHidden/>
    <w:uiPriority w:val="0"/>
    <w:rPr>
      <w:kern w:val="2"/>
      <w:sz w:val="16"/>
      <w:szCs w:val="16"/>
    </w:rPr>
  </w:style>
  <w:style w:type="character" w:customStyle="1" w:styleId="109">
    <w:name w:val="Char Char10"/>
    <w:locked/>
    <w:uiPriority w:val="0"/>
    <w:rPr>
      <w:rFonts w:ascii="宋体" w:hAnsi="宋体" w:eastAsia="宋体"/>
      <w:sz w:val="24"/>
      <w:szCs w:val="24"/>
      <w:lang w:bidi="ar-SA"/>
    </w:rPr>
  </w:style>
  <w:style w:type="character" w:customStyle="1" w:styleId="110">
    <w:name w:val="页眉 Char"/>
    <w:qFormat/>
    <w:uiPriority w:val="99"/>
    <w:rPr>
      <w:rFonts w:eastAsia="宋体"/>
      <w:kern w:val="2"/>
      <w:sz w:val="18"/>
      <w:lang w:val="en-US" w:eastAsia="zh-CN"/>
    </w:rPr>
  </w:style>
  <w:style w:type="character" w:customStyle="1" w:styleId="111">
    <w:name w:val="文档结构图 字符"/>
    <w:qFormat/>
    <w:locked/>
    <w:uiPriority w:val="0"/>
    <w:rPr>
      <w:rFonts w:eastAsia="宋体"/>
      <w:kern w:val="2"/>
      <w:sz w:val="21"/>
      <w:lang w:val="en-US" w:eastAsia="zh-CN"/>
    </w:rPr>
  </w:style>
  <w:style w:type="character" w:customStyle="1" w:styleId="112">
    <w:name w:val="页眉 Char1"/>
    <w:semiHidden/>
    <w:uiPriority w:val="0"/>
    <w:rPr>
      <w:kern w:val="2"/>
      <w:sz w:val="18"/>
      <w:szCs w:val="18"/>
    </w:rPr>
  </w:style>
  <w:style w:type="character" w:customStyle="1" w:styleId="113">
    <w:name w:val="列表段落 字符1"/>
    <w:locked/>
    <w:uiPriority w:val="0"/>
    <w:rPr>
      <w:rFonts w:eastAsia="宋体"/>
      <w:kern w:val="2"/>
      <w:sz w:val="24"/>
      <w:szCs w:val="24"/>
      <w:lang w:val="en-US" w:eastAsia="zh-CN" w:bidi="ar-SA"/>
    </w:rPr>
  </w:style>
  <w:style w:type="character" w:customStyle="1" w:styleId="114">
    <w:name w:val="批注框文本 字符"/>
    <w:locked/>
    <w:uiPriority w:val="0"/>
    <w:rPr>
      <w:rFonts w:ascii="宋体" w:hAnsi="宋体" w:eastAsia="宋体" w:cs="宋体"/>
      <w:kern w:val="2"/>
      <w:sz w:val="18"/>
      <w:szCs w:val="18"/>
      <w:lang w:val="en-US" w:eastAsia="zh-CN"/>
    </w:rPr>
  </w:style>
  <w:style w:type="character" w:customStyle="1" w:styleId="115">
    <w:name w:val="NormalCharacter"/>
    <w:semiHidden/>
    <w:qFormat/>
    <w:uiPriority w:val="0"/>
  </w:style>
  <w:style w:type="character" w:customStyle="1" w:styleId="116">
    <w:name w:val="正文文本缩进 字符1"/>
    <w:qFormat/>
    <w:locked/>
    <w:uiPriority w:val="99"/>
    <w:rPr>
      <w:rFonts w:eastAsia="方正书宋简体"/>
      <w:kern w:val="2"/>
      <w:sz w:val="24"/>
      <w:lang w:val="en-US" w:eastAsia="zh-CN"/>
    </w:rPr>
  </w:style>
  <w:style w:type="character" w:customStyle="1" w:styleId="117">
    <w:name w:val="列出段落 Char"/>
    <w:link w:val="118"/>
    <w:qFormat/>
    <w:locked/>
    <w:uiPriority w:val="0"/>
    <w:rPr>
      <w:rFonts w:eastAsia="宋体"/>
      <w:kern w:val="2"/>
      <w:sz w:val="24"/>
      <w:lang w:val="en-US" w:eastAsia="zh-CN"/>
    </w:rPr>
  </w:style>
  <w:style w:type="paragraph" w:styleId="118">
    <w:name w:val="List Paragraph"/>
    <w:basedOn w:val="1"/>
    <w:link w:val="117"/>
    <w:qFormat/>
    <w:uiPriority w:val="0"/>
    <w:pPr>
      <w:ind w:firstLine="420" w:firstLineChars="200"/>
    </w:pPr>
    <w:rPr>
      <w:sz w:val="24"/>
    </w:rPr>
  </w:style>
  <w:style w:type="character" w:customStyle="1" w:styleId="119">
    <w:name w:val="Char Char18"/>
    <w:locked/>
    <w:uiPriority w:val="0"/>
    <w:rPr>
      <w:rFonts w:eastAsia="宋体"/>
      <w:b/>
      <w:bCs/>
      <w:kern w:val="2"/>
      <w:sz w:val="28"/>
      <w:szCs w:val="28"/>
      <w:lang w:val="en-US" w:eastAsia="zh-CN" w:bidi="ar-SA"/>
    </w:rPr>
  </w:style>
  <w:style w:type="character" w:customStyle="1" w:styleId="120">
    <w:name w:val="Char Char7"/>
    <w:locked/>
    <w:uiPriority w:val="0"/>
    <w:rPr>
      <w:rFonts w:ascii="宋体" w:hAnsi="宋体" w:eastAsia="宋体" w:cs="宋体"/>
      <w:color w:val="000000"/>
      <w:sz w:val="24"/>
      <w:szCs w:val="24"/>
      <w:lang w:val="en-US" w:eastAsia="zh-CN" w:bidi="ar-SA"/>
    </w:rPr>
  </w:style>
  <w:style w:type="character" w:customStyle="1" w:styleId="121">
    <w:name w:val="批注框文本 Char1"/>
    <w:semiHidden/>
    <w:uiPriority w:val="0"/>
    <w:rPr>
      <w:kern w:val="2"/>
      <w:sz w:val="18"/>
      <w:szCs w:val="18"/>
    </w:rPr>
  </w:style>
  <w:style w:type="character" w:customStyle="1" w:styleId="122">
    <w:name w:val="正文文本首行缩进 字符"/>
    <w:uiPriority w:val="0"/>
  </w:style>
  <w:style w:type="character" w:customStyle="1" w:styleId="123">
    <w:name w:val="15"/>
    <w:uiPriority w:val="0"/>
    <w:rPr>
      <w:rFonts w:hint="eastAsia" w:ascii="宋体" w:hAnsi="宋体" w:eastAsia="宋体"/>
      <w:b/>
      <w:bCs/>
      <w:color w:val="000000"/>
      <w:sz w:val="18"/>
      <w:szCs w:val="18"/>
    </w:rPr>
  </w:style>
  <w:style w:type="character" w:customStyle="1" w:styleId="124">
    <w:name w:val="正文文本 Char"/>
    <w:qFormat/>
    <w:uiPriority w:val="0"/>
    <w:rPr>
      <w:rFonts w:eastAsia="宋体"/>
      <w:i/>
      <w:kern w:val="2"/>
      <w:sz w:val="18"/>
      <w:lang w:val="en-US" w:eastAsia="zh-CN"/>
    </w:rPr>
  </w:style>
  <w:style w:type="character" w:customStyle="1" w:styleId="125">
    <w:name w:val="批注主题 Char1"/>
    <w:semiHidden/>
    <w:locked/>
    <w:uiPriority w:val="0"/>
    <w:rPr>
      <w:rFonts w:ascii="宋体" w:hAnsi="宋体" w:eastAsia="宋体" w:cs="宋体"/>
      <w:b/>
      <w:bCs/>
      <w:kern w:val="2"/>
      <w:sz w:val="21"/>
      <w:szCs w:val="21"/>
      <w:lang w:val="en-US" w:eastAsia="zh-CN" w:bidi="ar-SA"/>
    </w:rPr>
  </w:style>
  <w:style w:type="character" w:customStyle="1" w:styleId="126">
    <w:name w:val="日期 字符"/>
    <w:qFormat/>
    <w:locked/>
    <w:uiPriority w:val="0"/>
    <w:rPr>
      <w:rFonts w:ascii="宋体" w:cs="Times New Roman"/>
      <w:sz w:val="24"/>
    </w:rPr>
  </w:style>
  <w:style w:type="character" w:customStyle="1" w:styleId="127">
    <w:name w:val="未处理的提及"/>
    <w:unhideWhenUsed/>
    <w:uiPriority w:val="99"/>
    <w:rPr>
      <w:color w:val="605E5C"/>
      <w:shd w:val="clear" w:color="auto" w:fill="E1DFDD"/>
    </w:rPr>
  </w:style>
  <w:style w:type="character" w:customStyle="1" w:styleId="128">
    <w:name w:val="正文文本 字符2"/>
    <w:locked/>
    <w:uiPriority w:val="99"/>
    <w:rPr>
      <w:rFonts w:ascii="宋体" w:hAnsi="宋体" w:eastAsia="宋体" w:cs="宋体"/>
      <w:lang w:val="en-US" w:eastAsia="zh-CN"/>
    </w:rPr>
  </w:style>
  <w:style w:type="character" w:customStyle="1" w:styleId="129">
    <w:name w:val="正文首行缩进 Char1"/>
    <w:semiHidden/>
    <w:uiPriority w:val="0"/>
    <w:rPr>
      <w:rFonts w:ascii="Times New Roman" w:hAnsi="Times New Roman" w:eastAsia="宋体" w:cs="Times New Roman"/>
      <w:kern w:val="2"/>
      <w:sz w:val="21"/>
      <w:szCs w:val="24"/>
    </w:rPr>
  </w:style>
  <w:style w:type="character" w:customStyle="1" w:styleId="130">
    <w:name w:val="标题 7 字符"/>
    <w:qFormat/>
    <w:locked/>
    <w:uiPriority w:val="0"/>
    <w:rPr>
      <w:b/>
      <w:kern w:val="2"/>
      <w:sz w:val="24"/>
    </w:rPr>
  </w:style>
  <w:style w:type="character" w:customStyle="1" w:styleId="131">
    <w:name w:val="正文文本缩进 2 字符1"/>
    <w:semiHidden/>
    <w:uiPriority w:val="99"/>
    <w:rPr>
      <w:kern w:val="2"/>
      <w:sz w:val="21"/>
    </w:rPr>
  </w:style>
  <w:style w:type="character" w:customStyle="1" w:styleId="132">
    <w:name w:val="批注框文本 Char"/>
    <w:semiHidden/>
    <w:qFormat/>
    <w:locked/>
    <w:uiPriority w:val="99"/>
    <w:rPr>
      <w:rFonts w:cs="Times New Roman"/>
      <w:kern w:val="2"/>
      <w:sz w:val="18"/>
      <w:szCs w:val="18"/>
    </w:rPr>
  </w:style>
  <w:style w:type="character" w:customStyle="1" w:styleId="133">
    <w:name w:val="Char Char19"/>
    <w:locked/>
    <w:uiPriority w:val="0"/>
    <w:rPr>
      <w:rFonts w:ascii="Arial" w:hAnsi="Arial" w:eastAsia="黑体"/>
      <w:b/>
      <w:bCs/>
      <w:kern w:val="2"/>
      <w:sz w:val="28"/>
      <w:szCs w:val="28"/>
      <w:lang w:val="en-US" w:eastAsia="zh-CN" w:bidi="ar-SA"/>
    </w:rPr>
  </w:style>
  <w:style w:type="character" w:customStyle="1" w:styleId="134">
    <w:name w:val="页脚 字符1"/>
    <w:uiPriority w:val="99"/>
    <w:rPr>
      <w:kern w:val="2"/>
      <w:sz w:val="18"/>
      <w:szCs w:val="18"/>
    </w:rPr>
  </w:style>
  <w:style w:type="character" w:customStyle="1" w:styleId="135">
    <w:name w:val="正文文本缩进 Char"/>
    <w:qFormat/>
    <w:locked/>
    <w:uiPriority w:val="0"/>
    <w:rPr>
      <w:rFonts w:eastAsia="方正书宋简体"/>
      <w:kern w:val="2"/>
      <w:sz w:val="24"/>
      <w:lang w:val="en-US" w:eastAsia="zh-CN"/>
    </w:rPr>
  </w:style>
  <w:style w:type="character" w:customStyle="1" w:styleId="136">
    <w:name w:val="日期 字符1"/>
    <w:semiHidden/>
    <w:uiPriority w:val="99"/>
    <w:rPr>
      <w:kern w:val="2"/>
      <w:sz w:val="21"/>
    </w:rPr>
  </w:style>
  <w:style w:type="character" w:customStyle="1" w:styleId="137">
    <w:name w:val="hui3"/>
    <w:qFormat/>
    <w:uiPriority w:val="0"/>
    <w:rPr>
      <w:color w:val="333333"/>
    </w:rPr>
  </w:style>
  <w:style w:type="character" w:customStyle="1" w:styleId="138">
    <w:name w:val="Char Char8"/>
    <w:locked/>
    <w:uiPriority w:val="0"/>
    <w:rPr>
      <w:rFonts w:ascii="Arial" w:hAnsi="Arial" w:eastAsia="宋体" w:cs="Arial"/>
      <w:b/>
      <w:bCs/>
      <w:kern w:val="2"/>
      <w:sz w:val="32"/>
      <w:szCs w:val="32"/>
      <w:lang w:val="en-US" w:eastAsia="zh-CN" w:bidi="ar-SA"/>
    </w:rPr>
  </w:style>
  <w:style w:type="character" w:customStyle="1" w:styleId="139">
    <w:name w:val="Char Char2"/>
    <w:locked/>
    <w:uiPriority w:val="0"/>
    <w:rPr>
      <w:rFonts w:ascii="宋体" w:hAnsi="宋体" w:eastAsia="宋体" w:cs="Arial"/>
      <w:b/>
      <w:bCs/>
      <w:i/>
      <w:kern w:val="2"/>
      <w:sz w:val="21"/>
      <w:szCs w:val="24"/>
      <w:lang w:val="en-US" w:eastAsia="zh-CN" w:bidi="ar-SA"/>
    </w:rPr>
  </w:style>
  <w:style w:type="character" w:customStyle="1" w:styleId="140">
    <w:name w:val="apple-style-span"/>
    <w:qFormat/>
    <w:uiPriority w:val="0"/>
    <w:rPr>
      <w:rFonts w:cs="Times New Roman"/>
    </w:rPr>
  </w:style>
  <w:style w:type="character" w:customStyle="1" w:styleId="141">
    <w:name w:val="表格用 Char Char"/>
    <w:link w:val="142"/>
    <w:qFormat/>
    <w:locked/>
    <w:uiPriority w:val="0"/>
    <w:rPr>
      <w:rFonts w:ascii="宋体" w:hAnsi="宋体" w:cs="宋体"/>
      <w:szCs w:val="24"/>
    </w:rPr>
  </w:style>
  <w:style w:type="paragraph" w:customStyle="1" w:styleId="142">
    <w:name w:val="表格用"/>
    <w:basedOn w:val="1"/>
    <w:link w:val="141"/>
    <w:qFormat/>
    <w:uiPriority w:val="0"/>
    <w:pPr>
      <w:widowControl/>
      <w:spacing w:line="360" w:lineRule="auto"/>
      <w:jc w:val="left"/>
    </w:pPr>
    <w:rPr>
      <w:rFonts w:ascii="宋体" w:hAnsi="宋体"/>
      <w:kern w:val="0"/>
      <w:sz w:val="20"/>
      <w:szCs w:val="24"/>
    </w:rPr>
  </w:style>
  <w:style w:type="character" w:customStyle="1" w:styleId="143">
    <w:name w:val="正文文本 3 字符"/>
    <w:qFormat/>
    <w:locked/>
    <w:uiPriority w:val="0"/>
    <w:rPr>
      <w:rFonts w:eastAsia="宋体"/>
      <w:sz w:val="16"/>
    </w:rPr>
  </w:style>
  <w:style w:type="character" w:customStyle="1" w:styleId="144">
    <w:name w:val="批注文字 Char1"/>
    <w:semiHidden/>
    <w:uiPriority w:val="0"/>
    <w:rPr>
      <w:kern w:val="2"/>
      <w:sz w:val="21"/>
    </w:rPr>
  </w:style>
  <w:style w:type="character" w:customStyle="1" w:styleId="145">
    <w:name w:val="正文文本 3 字符1"/>
    <w:semiHidden/>
    <w:uiPriority w:val="99"/>
    <w:rPr>
      <w:kern w:val="2"/>
      <w:sz w:val="16"/>
      <w:szCs w:val="16"/>
    </w:rPr>
  </w:style>
  <w:style w:type="character" w:customStyle="1" w:styleId="146">
    <w:name w:val="正文文本 2 字符1"/>
    <w:semiHidden/>
    <w:uiPriority w:val="99"/>
    <w:rPr>
      <w:kern w:val="2"/>
      <w:sz w:val="21"/>
    </w:rPr>
  </w:style>
  <w:style w:type="character" w:customStyle="1" w:styleId="147">
    <w:name w:val="正文文本 字符"/>
    <w:locked/>
    <w:uiPriority w:val="1"/>
    <w:rPr>
      <w:rFonts w:ascii="宋体" w:hAnsi="宋体" w:eastAsia="宋体" w:cs="宋体"/>
      <w:lang w:val="en-US" w:eastAsia="zh-CN"/>
    </w:rPr>
  </w:style>
  <w:style w:type="character" w:customStyle="1" w:styleId="148">
    <w:name w:val="Char Char16"/>
    <w:locked/>
    <w:uiPriority w:val="0"/>
    <w:rPr>
      <w:rFonts w:eastAsia="宋体"/>
      <w:b/>
      <w:bCs/>
      <w:kern w:val="2"/>
      <w:sz w:val="24"/>
      <w:szCs w:val="24"/>
      <w:lang w:val="en-US" w:eastAsia="zh-CN" w:bidi="ar-SA"/>
    </w:rPr>
  </w:style>
  <w:style w:type="character" w:customStyle="1" w:styleId="149">
    <w:name w:val="标题 2 Char"/>
    <w:aliases w:val="H2 Char,标题 1.1 Char,Title2 Char,h2 Char,Underrubrik1 Char,prop2 Char,标题二 Char,H21 Char,Heading 2 Hidden Char,Heading 2 CCBS Char,heading 2 Char,Level 2 Topic Heading Char,Second Level Topic Char,- Para Char,sect 1.2 Char,sect 1.21 Char,2 Char"/>
    <w:qFormat/>
    <w:uiPriority w:val="0"/>
    <w:rPr>
      <w:rFonts w:ascii="Arial" w:hAnsi="Arial" w:eastAsia="黑体"/>
      <w:b/>
      <w:kern w:val="2"/>
      <w:sz w:val="32"/>
      <w:lang w:val="en-US" w:eastAsia="zh-CN"/>
    </w:rPr>
  </w:style>
  <w:style w:type="character" w:customStyle="1" w:styleId="150">
    <w:name w:val="标题 9 字符"/>
    <w:qFormat/>
    <w:locked/>
    <w:uiPriority w:val="0"/>
    <w:rPr>
      <w:rFonts w:ascii="Arial" w:hAnsi="Arial" w:eastAsia="黑体"/>
      <w:kern w:val="2"/>
      <w:sz w:val="21"/>
    </w:rPr>
  </w:style>
  <w:style w:type="character" w:customStyle="1" w:styleId="151">
    <w:name w:val="批注主题 字符1"/>
    <w:semiHidden/>
    <w:uiPriority w:val="0"/>
    <w:rPr>
      <w:b/>
      <w:bCs/>
      <w:kern w:val="2"/>
      <w:sz w:val="21"/>
    </w:rPr>
  </w:style>
  <w:style w:type="character" w:customStyle="1" w:styleId="152">
    <w:name w:val="页脚 字符"/>
    <w:locked/>
    <w:uiPriority w:val="99"/>
    <w:rPr>
      <w:rFonts w:ascii="宋体" w:hAnsi="宋体" w:eastAsia="宋体" w:cs="宋体"/>
      <w:kern w:val="2"/>
      <w:sz w:val="18"/>
      <w:szCs w:val="18"/>
      <w:lang w:val="en-US" w:eastAsia="zh-CN"/>
    </w:rPr>
  </w:style>
  <w:style w:type="character" w:customStyle="1" w:styleId="153">
    <w:name w:val="哈哈正文 Char"/>
    <w:link w:val="154"/>
    <w:qFormat/>
    <w:locked/>
    <w:uiPriority w:val="0"/>
    <w:rPr>
      <w:rFonts w:ascii="宋体" w:hAnsi="宋体" w:eastAsia="宋体"/>
      <w:kern w:val="2"/>
      <w:sz w:val="24"/>
      <w:lang w:val="en-US" w:eastAsia="zh-CN"/>
    </w:rPr>
  </w:style>
  <w:style w:type="paragraph" w:customStyle="1" w:styleId="154">
    <w:name w:val="哈哈正文"/>
    <w:basedOn w:val="1"/>
    <w:link w:val="153"/>
    <w:qFormat/>
    <w:uiPriority w:val="0"/>
    <w:pPr>
      <w:spacing w:line="360" w:lineRule="auto"/>
      <w:ind w:firstLine="200" w:firstLineChars="200"/>
    </w:pPr>
    <w:rPr>
      <w:rFonts w:ascii="宋体" w:hAnsi="宋体"/>
      <w:sz w:val="24"/>
    </w:rPr>
  </w:style>
  <w:style w:type="character" w:customStyle="1" w:styleId="155">
    <w:name w:val="标题 1 Char"/>
    <w:aliases w:val="卷标题 Char,合同标题 Char,featurehead Char,Title1 Char,LN Char,H1 Char,H11 Char,H12 Char,H13 Char,H14 Char,H15 Char,H16 Char,H17 Char,H111 Char,H121 Char,H131 Char,H141 Char,H151 Char,H161 Char,H18 Char,H112 Char,H122 Char,H132 Char,H142 Char,l1 Char"/>
    <w:qFormat/>
    <w:uiPriority w:val="0"/>
    <w:rPr>
      <w:rFonts w:ascii="宋体" w:eastAsia="宋体"/>
      <w:b/>
      <w:kern w:val="2"/>
      <w:sz w:val="28"/>
      <w:lang w:val="en-US" w:eastAsia="zh-CN"/>
    </w:rPr>
  </w:style>
  <w:style w:type="character" w:customStyle="1" w:styleId="156">
    <w:name w:val="批注文字 字符"/>
    <w:locked/>
    <w:uiPriority w:val="0"/>
    <w:rPr>
      <w:rFonts w:ascii="宋体" w:hAnsi="宋体" w:eastAsia="宋体" w:cs="宋体"/>
      <w:kern w:val="2"/>
      <w:sz w:val="21"/>
      <w:szCs w:val="21"/>
      <w:lang w:val="en-US" w:eastAsia="zh-CN"/>
    </w:rPr>
  </w:style>
  <w:style w:type="character" w:customStyle="1" w:styleId="157">
    <w:name w:val="font51"/>
    <w:uiPriority w:val="0"/>
    <w:rPr>
      <w:rFonts w:hint="eastAsia" w:ascii="宋体" w:hAnsi="宋体" w:eastAsia="宋体" w:cs="宋体"/>
      <w:color w:val="auto"/>
      <w:sz w:val="22"/>
      <w:szCs w:val="22"/>
      <w:u w:val="none"/>
    </w:rPr>
  </w:style>
  <w:style w:type="character" w:customStyle="1" w:styleId="158">
    <w:name w:val="标题 字符1"/>
    <w:uiPriority w:val="0"/>
    <w:rPr>
      <w:rFonts w:ascii="等线 Light" w:hAnsi="等线 Light" w:cs="Times New Roman"/>
      <w:b/>
      <w:bCs/>
      <w:kern w:val="2"/>
      <w:sz w:val="32"/>
      <w:szCs w:val="32"/>
    </w:rPr>
  </w:style>
  <w:style w:type="character" w:customStyle="1" w:styleId="159">
    <w:name w:val="font121"/>
    <w:uiPriority w:val="0"/>
    <w:rPr>
      <w:rFonts w:hint="eastAsia" w:ascii="宋体" w:hAnsi="宋体" w:eastAsia="宋体" w:cs="宋体"/>
      <w:b/>
      <w:color w:val="FF0000"/>
      <w:sz w:val="22"/>
      <w:szCs w:val="22"/>
      <w:u w:val="none"/>
    </w:rPr>
  </w:style>
  <w:style w:type="character" w:customStyle="1" w:styleId="160">
    <w:name w:val="正文文本 2 Char1"/>
    <w:semiHidden/>
    <w:uiPriority w:val="0"/>
    <w:rPr>
      <w:kern w:val="2"/>
      <w:sz w:val="21"/>
    </w:rPr>
  </w:style>
  <w:style w:type="character" w:customStyle="1" w:styleId="161">
    <w:name w:val="正文文本缩进 字符2"/>
    <w:semiHidden/>
    <w:uiPriority w:val="99"/>
    <w:rPr>
      <w:kern w:val="2"/>
      <w:sz w:val="21"/>
    </w:rPr>
  </w:style>
  <w:style w:type="character" w:customStyle="1" w:styleId="162">
    <w:name w:val="标题 1 字符"/>
    <w:locked/>
    <w:uiPriority w:val="0"/>
    <w:rPr>
      <w:rFonts w:ascii="宋体" w:hAnsi="宋体" w:eastAsia="宋体" w:cs="宋体"/>
      <w:b/>
      <w:kern w:val="44"/>
      <w:sz w:val="44"/>
      <w:szCs w:val="44"/>
      <w:lang w:val="en-US" w:eastAsia="zh-CN"/>
    </w:rPr>
  </w:style>
  <w:style w:type="character" w:customStyle="1" w:styleId="163">
    <w:name w:val="font71"/>
    <w:uiPriority w:val="0"/>
    <w:rPr>
      <w:rFonts w:hint="eastAsia" w:ascii="宋体" w:hAnsi="宋体" w:eastAsia="宋体" w:cs="宋体"/>
      <w:color w:val="auto"/>
      <w:sz w:val="22"/>
      <w:szCs w:val="22"/>
      <w:u w:val="none"/>
    </w:rPr>
  </w:style>
  <w:style w:type="character" w:customStyle="1" w:styleId="164">
    <w:name w:val="HTML 预设格式 Char1"/>
    <w:semiHidden/>
    <w:locked/>
    <w:uiPriority w:val="0"/>
    <w:rPr>
      <w:rFonts w:ascii="Courier New" w:hAnsi="Courier New" w:cs="Courier New"/>
      <w:kern w:val="2"/>
    </w:rPr>
  </w:style>
  <w:style w:type="character" w:customStyle="1" w:styleId="165">
    <w:name w:val="页眉 字符1"/>
    <w:uiPriority w:val="0"/>
    <w:rPr>
      <w:kern w:val="2"/>
      <w:sz w:val="18"/>
      <w:szCs w:val="18"/>
    </w:rPr>
  </w:style>
  <w:style w:type="character" w:customStyle="1" w:styleId="166">
    <w:name w:val="正文文本缩进 Char1"/>
    <w:qFormat/>
    <w:uiPriority w:val="0"/>
    <w:rPr>
      <w:rFonts w:eastAsia="方正书宋简体"/>
      <w:kern w:val="2"/>
      <w:sz w:val="24"/>
      <w:lang w:val="en-US" w:eastAsia="zh-CN"/>
    </w:rPr>
  </w:style>
  <w:style w:type="character" w:customStyle="1" w:styleId="167">
    <w:name w:val="font81"/>
    <w:uiPriority w:val="0"/>
    <w:rPr>
      <w:rFonts w:hint="eastAsia" w:ascii="宋体" w:hAnsi="宋体" w:eastAsia="宋体"/>
      <w:color w:val="FF0000"/>
      <w:sz w:val="20"/>
      <w:szCs w:val="20"/>
      <w:u w:val="none"/>
    </w:rPr>
  </w:style>
  <w:style w:type="character" w:customStyle="1" w:styleId="168">
    <w:name w:val="标题 3 字符"/>
    <w:locked/>
    <w:uiPriority w:val="0"/>
    <w:rPr>
      <w:rFonts w:ascii="宋体" w:hAnsi="宋体" w:eastAsia="宋体" w:cs="宋体"/>
      <w:b/>
      <w:kern w:val="2"/>
      <w:sz w:val="32"/>
      <w:szCs w:val="32"/>
      <w:lang w:val="en-US" w:eastAsia="zh-CN"/>
    </w:rPr>
  </w:style>
  <w:style w:type="character" w:customStyle="1" w:styleId="169">
    <w:name w:val="标题 1 Char Char"/>
    <w:qFormat/>
    <w:uiPriority w:val="0"/>
    <w:rPr>
      <w:rFonts w:eastAsia="宋体"/>
      <w:b/>
      <w:spacing w:val="-2"/>
      <w:sz w:val="24"/>
      <w:lang w:val="en-US" w:eastAsia="zh-CN"/>
    </w:rPr>
  </w:style>
  <w:style w:type="character" w:customStyle="1" w:styleId="170">
    <w:name w:val="纯文本 Char1"/>
    <w:locked/>
    <w:uiPriority w:val="0"/>
    <w:rPr>
      <w:rFonts w:ascii="宋体" w:hAnsi="Courier New" w:eastAsia="宋体" w:cs="宋体"/>
      <w:lang w:val="en-US" w:eastAsia="zh-CN"/>
    </w:rPr>
  </w:style>
  <w:style w:type="character" w:customStyle="1" w:styleId="171">
    <w:name w:val="纯文本 Char"/>
    <w:qFormat/>
    <w:uiPriority w:val="0"/>
    <w:rPr>
      <w:rFonts w:ascii="宋体" w:hAnsi="宋体" w:eastAsia="宋体"/>
      <w:color w:val="000000"/>
      <w:sz w:val="24"/>
      <w:lang w:val="en-US" w:eastAsia="zh-CN"/>
    </w:rPr>
  </w:style>
  <w:style w:type="character" w:customStyle="1" w:styleId="172">
    <w:name w:val=" Char Char33"/>
    <w:uiPriority w:val="0"/>
    <w:rPr>
      <w:rFonts w:ascii="宋体" w:hAnsi="宋体" w:eastAsia="宋体" w:cs="宋体"/>
      <w:i/>
      <w:kern w:val="2"/>
      <w:sz w:val="21"/>
      <w:szCs w:val="24"/>
      <w:lang w:val="en-US" w:eastAsia="zh-CN" w:bidi="ar-SA"/>
    </w:rPr>
  </w:style>
  <w:style w:type="character" w:customStyle="1" w:styleId="173">
    <w:name w:val="页脚 Char1"/>
    <w:semiHidden/>
    <w:uiPriority w:val="99"/>
    <w:rPr>
      <w:kern w:val="2"/>
      <w:sz w:val="18"/>
      <w:szCs w:val="18"/>
    </w:rPr>
  </w:style>
  <w:style w:type="character" w:customStyle="1" w:styleId="174">
    <w:name w:val="样式5 Char"/>
    <w:link w:val="175"/>
    <w:qFormat/>
    <w:locked/>
    <w:uiPriority w:val="0"/>
    <w:rPr>
      <w:rFonts w:eastAsia="宋体"/>
      <w:b/>
      <w:kern w:val="2"/>
      <w:sz w:val="28"/>
      <w:lang w:val="en-US" w:eastAsia="zh-CN"/>
    </w:rPr>
  </w:style>
  <w:style w:type="paragraph" w:customStyle="1" w:styleId="175">
    <w:name w:val="样式5"/>
    <w:basedOn w:val="1"/>
    <w:link w:val="174"/>
    <w:qFormat/>
    <w:uiPriority w:val="0"/>
    <w:pPr>
      <w:keepNext/>
      <w:keepLines/>
      <w:spacing w:before="280" w:after="290" w:line="376" w:lineRule="auto"/>
      <w:ind w:left="210" w:leftChars="100" w:right="210" w:rightChars="100"/>
      <w:outlineLvl w:val="4"/>
    </w:pPr>
    <w:rPr>
      <w:b/>
      <w:sz w:val="28"/>
    </w:rPr>
  </w:style>
  <w:style w:type="character" w:customStyle="1" w:styleId="176">
    <w:name w:val="font01"/>
    <w:qFormat/>
    <w:uiPriority w:val="0"/>
    <w:rPr>
      <w:rFonts w:ascii="宋体" w:hAnsi="宋体" w:eastAsia="宋体"/>
      <w:color w:val="000000"/>
      <w:sz w:val="24"/>
      <w:u w:val="none"/>
    </w:rPr>
  </w:style>
  <w:style w:type="character" w:customStyle="1" w:styleId="177">
    <w:name w:val="标题 5 字符"/>
    <w:qFormat/>
    <w:locked/>
    <w:uiPriority w:val="0"/>
    <w:rPr>
      <w:rFonts w:eastAsia="宋体"/>
      <w:b/>
      <w:kern w:val="2"/>
      <w:sz w:val="28"/>
      <w:lang w:val="en-US" w:eastAsia="zh-CN"/>
    </w:rPr>
  </w:style>
  <w:style w:type="character" w:customStyle="1" w:styleId="178">
    <w:name w:val="样式2 Char"/>
    <w:link w:val="179"/>
    <w:qFormat/>
    <w:locked/>
    <w:uiPriority w:val="0"/>
    <w:rPr>
      <w:rFonts w:ascii="黑体" w:hAnsi="黑体" w:eastAsia="黑体"/>
      <w:color w:val="FF0000"/>
      <w:kern w:val="2"/>
      <w:sz w:val="32"/>
      <w:lang w:val="en-US" w:eastAsia="zh-CN"/>
    </w:rPr>
  </w:style>
  <w:style w:type="paragraph" w:customStyle="1" w:styleId="179">
    <w:name w:val="样式2"/>
    <w:basedOn w:val="6"/>
    <w:link w:val="178"/>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80">
    <w:name w:val="Char Char1"/>
    <w:locked/>
    <w:uiPriority w:val="0"/>
    <w:rPr>
      <w:rFonts w:ascii="方正书宋简体" w:eastAsia="方正书宋简体"/>
      <w:kern w:val="2"/>
      <w:sz w:val="24"/>
      <w:lang w:val="en-US" w:eastAsia="zh-CN" w:bidi="ar-SA"/>
    </w:rPr>
  </w:style>
  <w:style w:type="character" w:customStyle="1" w:styleId="181">
    <w:name w:val="纯文本 Char Char"/>
    <w:link w:val="182"/>
    <w:uiPriority w:val="0"/>
    <w:rPr>
      <w:rFonts w:ascii="宋体" w:hAnsi="Courier New"/>
      <w:kern w:val="2"/>
      <w:sz w:val="21"/>
    </w:rPr>
  </w:style>
  <w:style w:type="paragraph" w:customStyle="1" w:styleId="182">
    <w:name w:val="纯文本1"/>
    <w:basedOn w:val="1"/>
    <w:link w:val="181"/>
    <w:qFormat/>
    <w:uiPriority w:val="0"/>
    <w:rPr>
      <w:rFonts w:ascii="宋体" w:hAnsi="Courier New"/>
    </w:rPr>
  </w:style>
  <w:style w:type="character" w:customStyle="1" w:styleId="183">
    <w:name w:val="font91"/>
    <w:uiPriority w:val="0"/>
    <w:rPr>
      <w:rFonts w:hint="eastAsia" w:ascii="宋体" w:hAnsi="宋体" w:eastAsia="宋体" w:cs="宋体"/>
      <w:b/>
      <w:bCs/>
      <w:color w:val="000000"/>
      <w:sz w:val="21"/>
      <w:szCs w:val="21"/>
      <w:u w:val="none"/>
    </w:rPr>
  </w:style>
  <w:style w:type="character" w:customStyle="1" w:styleId="184">
    <w:name w:val="Char Char15"/>
    <w:locked/>
    <w:uiPriority w:val="0"/>
    <w:rPr>
      <w:rFonts w:ascii="Arial" w:hAnsi="Arial" w:eastAsia="黑体"/>
      <w:kern w:val="2"/>
      <w:sz w:val="24"/>
      <w:szCs w:val="24"/>
      <w:lang w:val="en-US" w:eastAsia="zh-CN" w:bidi="ar-SA"/>
    </w:rPr>
  </w:style>
  <w:style w:type="character" w:customStyle="1" w:styleId="185">
    <w:name w:val="正文缩进 字符"/>
    <w:locked/>
    <w:uiPriority w:val="0"/>
    <w:rPr>
      <w:rFonts w:ascii="宋体" w:hAnsi="宋体" w:eastAsia="宋体" w:cs="宋体"/>
      <w:spacing w:val="14"/>
      <w:kern w:val="24"/>
      <w:sz w:val="24"/>
      <w:szCs w:val="24"/>
      <w:lang w:val="en-US" w:eastAsia="zh-CN"/>
    </w:rPr>
  </w:style>
  <w:style w:type="character" w:customStyle="1" w:styleId="186">
    <w:name w:val="正文文本缩进 3 字符"/>
    <w:locked/>
    <w:uiPriority w:val="0"/>
    <w:rPr>
      <w:rFonts w:ascii="宋体" w:hAnsi="宋体" w:eastAsia="宋体" w:cs="宋体"/>
      <w:b/>
      <w:kern w:val="2"/>
      <w:sz w:val="24"/>
      <w:szCs w:val="24"/>
      <w:lang w:val="en-US" w:eastAsia="zh-CN"/>
    </w:rPr>
  </w:style>
  <w:style w:type="character" w:customStyle="1" w:styleId="187">
    <w:name w:val="Char Char4"/>
    <w:locked/>
    <w:uiPriority w:val="0"/>
    <w:rPr>
      <w:rFonts w:ascii="宋体" w:hAnsi="宋体" w:eastAsia="宋体"/>
      <w:kern w:val="2"/>
      <w:sz w:val="24"/>
      <w:lang w:val="en-US" w:eastAsia="zh-CN" w:bidi="ar-SA"/>
    </w:rPr>
  </w:style>
  <w:style w:type="character" w:customStyle="1" w:styleId="188">
    <w:name w:val="正文文本 字符1"/>
    <w:semiHidden/>
    <w:uiPriority w:val="99"/>
    <w:rPr>
      <w:kern w:val="2"/>
      <w:sz w:val="21"/>
    </w:rPr>
  </w:style>
  <w:style w:type="character" w:customStyle="1" w:styleId="189">
    <w:name w:val="样式1 Char"/>
    <w:link w:val="190"/>
    <w:qFormat/>
    <w:locked/>
    <w:uiPriority w:val="0"/>
    <w:rPr>
      <w:rFonts w:ascii="黑体" w:hAnsi="黑体" w:eastAsia="黑体"/>
      <w:b/>
      <w:kern w:val="2"/>
      <w:sz w:val="32"/>
    </w:rPr>
  </w:style>
  <w:style w:type="paragraph" w:customStyle="1" w:styleId="190">
    <w:name w:val="样式1"/>
    <w:basedOn w:val="5"/>
    <w:link w:val="189"/>
    <w:qFormat/>
    <w:uiPriority w:val="0"/>
    <w:pPr>
      <w:tabs>
        <w:tab w:val="clear" w:pos="578"/>
      </w:tabs>
      <w:spacing w:beforeLines="0" w:afterLines="0"/>
      <w:ind w:left="0" w:firstLine="0"/>
    </w:pPr>
    <w:rPr>
      <w:rFonts w:ascii="黑体" w:hAnsi="黑体" w:eastAsia="黑体"/>
      <w:b/>
      <w:sz w:val="32"/>
      <w:szCs w:val="20"/>
    </w:rPr>
  </w:style>
  <w:style w:type="character" w:customStyle="1" w:styleId="191">
    <w:name w:val="标题 4 字符"/>
    <w:qFormat/>
    <w:locked/>
    <w:uiPriority w:val="0"/>
    <w:rPr>
      <w:rFonts w:ascii="Arial" w:hAnsi="Arial" w:eastAsia="黑体"/>
      <w:b/>
      <w:kern w:val="2"/>
      <w:sz w:val="28"/>
      <w:lang w:val="en-US" w:eastAsia="zh-CN"/>
    </w:rPr>
  </w:style>
  <w:style w:type="character" w:customStyle="1" w:styleId="192">
    <w:name w:val="正文文本缩进 3 Char"/>
    <w:qFormat/>
    <w:uiPriority w:val="0"/>
    <w:rPr>
      <w:rFonts w:ascii="宋体" w:eastAsia="宋体"/>
      <w:kern w:val="2"/>
      <w:sz w:val="24"/>
      <w:lang w:val="en-US" w:eastAsia="zh-CN"/>
    </w:rPr>
  </w:style>
  <w:style w:type="character" w:customStyle="1" w:styleId="193">
    <w:name w:val="正文文本 2 字符"/>
    <w:qFormat/>
    <w:locked/>
    <w:uiPriority w:val="0"/>
    <w:rPr>
      <w:rFonts w:eastAsia="宋体"/>
      <w:sz w:val="24"/>
    </w:rPr>
  </w:style>
  <w:style w:type="character" w:customStyle="1" w:styleId="194">
    <w:name w:val="无间距字符"/>
    <w:link w:val="195"/>
    <w:qFormat/>
    <w:locked/>
    <w:uiPriority w:val="0"/>
    <w:rPr>
      <w:rFonts w:ascii="Calibri" w:hAnsi="Calibri"/>
      <w:sz w:val="22"/>
      <w:lang w:val="en-US" w:eastAsia="zh-CN" w:bidi="ar-SA"/>
    </w:rPr>
  </w:style>
  <w:style w:type="paragraph" w:customStyle="1" w:styleId="195">
    <w:name w:val="无间距"/>
    <w:link w:val="194"/>
    <w:qFormat/>
    <w:uiPriority w:val="0"/>
    <w:rPr>
      <w:rFonts w:ascii="Calibri" w:hAnsi="Calibri"/>
      <w:sz w:val="22"/>
      <w:lang w:val="en-US" w:eastAsia="zh-CN" w:bidi="ar-SA"/>
    </w:rPr>
  </w:style>
  <w:style w:type="character" w:customStyle="1" w:styleId="196">
    <w:name w:val="方案－正文 Char"/>
    <w:link w:val="197"/>
    <w:qFormat/>
    <w:locked/>
    <w:uiPriority w:val="0"/>
    <w:rPr>
      <w:rFonts w:ascii="仿宋_GB2312" w:hAnsi="宋体"/>
      <w:sz w:val="24"/>
    </w:rPr>
  </w:style>
  <w:style w:type="paragraph" w:customStyle="1" w:styleId="197">
    <w:name w:val="方案－正文"/>
    <w:basedOn w:val="1"/>
    <w:link w:val="196"/>
    <w:qFormat/>
    <w:uiPriority w:val="0"/>
    <w:pPr>
      <w:spacing w:line="360" w:lineRule="auto"/>
      <w:ind w:firstLine="480" w:firstLineChars="200"/>
    </w:pPr>
    <w:rPr>
      <w:rFonts w:ascii="仿宋_GB2312" w:hAnsi="宋体"/>
      <w:kern w:val="0"/>
      <w:sz w:val="24"/>
    </w:rPr>
  </w:style>
  <w:style w:type="character" w:customStyle="1" w:styleId="198">
    <w:name w:val="正文首行缩进 字符"/>
    <w:qFormat/>
    <w:locked/>
    <w:uiPriority w:val="99"/>
    <w:rPr>
      <w:rFonts w:ascii="宋体" w:hAnsi="宋体" w:eastAsia="宋体" w:cs="宋体"/>
      <w:i/>
      <w:kern w:val="2"/>
      <w:sz w:val="24"/>
      <w:lang w:val="en-US" w:eastAsia="zh-CN"/>
    </w:rPr>
  </w:style>
  <w:style w:type="character" w:customStyle="1" w:styleId="199">
    <w:name w:val=" Char Char3"/>
    <w:uiPriority w:val="0"/>
    <w:rPr>
      <w:rFonts w:ascii="宋体" w:hAnsi="Courier New" w:eastAsia="宋体"/>
      <w:color w:val="000000"/>
      <w:kern w:val="2"/>
      <w:sz w:val="21"/>
      <w:lang w:val="en-US" w:eastAsia="zh-CN" w:bidi="ar-SA"/>
    </w:rPr>
  </w:style>
  <w:style w:type="character" w:customStyle="1" w:styleId="200">
    <w:name w:val="标题2正文 Char Char"/>
    <w:link w:val="201"/>
    <w:qFormat/>
    <w:locked/>
    <w:uiPriority w:val="0"/>
    <w:rPr>
      <w:rFonts w:eastAsia="宋体"/>
      <w:sz w:val="24"/>
    </w:rPr>
  </w:style>
  <w:style w:type="paragraph" w:customStyle="1" w:styleId="201">
    <w:name w:val="标题2正文 Char"/>
    <w:basedOn w:val="1"/>
    <w:link w:val="200"/>
    <w:qFormat/>
    <w:uiPriority w:val="0"/>
    <w:pPr>
      <w:spacing w:beforeLines="50" w:afterLines="50"/>
      <w:ind w:right="38" w:rightChars="18" w:firstLine="420"/>
    </w:pPr>
    <w:rPr>
      <w:kern w:val="0"/>
      <w:sz w:val="24"/>
    </w:rPr>
  </w:style>
  <w:style w:type="character" w:customStyle="1" w:styleId="202">
    <w:name w:val="标题 3 Char"/>
    <w:aliases w:val="H3 Char,h3 Char,3rd level Char,Level 3 Head Char,l3 Char,CT Char,Heading 3 - old Char,ISO2 Char,L3 Char,sect1.2.3 Char,sect1.2.31 Char,sect1.2.32 Char,sect1.2.311 Char,sect1.2.33 Char,sect1.2.312 Char,3 Char,sl3 Char,Heading 3under Char"/>
    <w:qFormat/>
    <w:uiPriority w:val="0"/>
    <w:rPr>
      <w:rFonts w:ascii="Arial" w:hAnsi="Arial" w:eastAsia="黑体"/>
      <w:b/>
      <w:kern w:val="2"/>
      <w:sz w:val="32"/>
      <w:lang w:val="en-US" w:eastAsia="zh-CN"/>
    </w:rPr>
  </w:style>
  <w:style w:type="character" w:customStyle="1" w:styleId="203">
    <w:name w:val="Char Char11"/>
    <w:locked/>
    <w:uiPriority w:val="0"/>
    <w:rPr>
      <w:rFonts w:ascii="宋体" w:hAnsi="宋体" w:eastAsia="宋体"/>
      <w:kern w:val="2"/>
      <w:sz w:val="18"/>
      <w:lang w:val="en-US" w:eastAsia="zh-CN" w:bidi="ar-SA"/>
    </w:rPr>
  </w:style>
  <w:style w:type="character" w:customStyle="1" w:styleId="204">
    <w:name w:val="Char Char17"/>
    <w:semiHidden/>
    <w:locked/>
    <w:uiPriority w:val="0"/>
    <w:rPr>
      <w:rFonts w:ascii="Cambria" w:hAnsi="Cambria" w:eastAsia="宋体"/>
      <w:b/>
      <w:bCs/>
      <w:kern w:val="2"/>
      <w:sz w:val="24"/>
      <w:szCs w:val="24"/>
      <w:lang w:val="en-US" w:eastAsia="zh-CN" w:bidi="ar-SA"/>
    </w:rPr>
  </w:style>
  <w:style w:type="character" w:customStyle="1" w:styleId="205">
    <w:name w:val="页眉 字符"/>
    <w:locked/>
    <w:uiPriority w:val="0"/>
    <w:rPr>
      <w:rFonts w:ascii="宋体" w:hAnsi="宋体" w:eastAsia="宋体" w:cs="宋体"/>
      <w:kern w:val="2"/>
      <w:sz w:val="18"/>
      <w:szCs w:val="18"/>
      <w:lang w:val="en-US" w:eastAsia="zh-CN"/>
    </w:rPr>
  </w:style>
  <w:style w:type="character" w:customStyle="1" w:styleId="206">
    <w:name w:val="批注主题 Char"/>
    <w:semiHidden/>
    <w:qFormat/>
    <w:locked/>
    <w:uiPriority w:val="0"/>
    <w:rPr>
      <w:rFonts w:cs="Times New Roman"/>
      <w:b/>
      <w:bCs/>
      <w:kern w:val="2"/>
      <w:sz w:val="21"/>
    </w:rPr>
  </w:style>
  <w:style w:type="character" w:customStyle="1" w:styleId="207">
    <w:name w:val="font61"/>
    <w:qFormat/>
    <w:uiPriority w:val="0"/>
    <w:rPr>
      <w:rFonts w:ascii="Times New Roman" w:hAnsi="Times New Roman"/>
      <w:color w:val="000000"/>
      <w:sz w:val="20"/>
      <w:u w:val="none"/>
    </w:rPr>
  </w:style>
  <w:style w:type="character" w:customStyle="1" w:styleId="208">
    <w:name w:val="Char Char22"/>
    <w:locked/>
    <w:uiPriority w:val="0"/>
    <w:rPr>
      <w:rFonts w:ascii="宋体" w:eastAsia="宋体"/>
      <w:b/>
      <w:bCs/>
      <w:kern w:val="2"/>
      <w:sz w:val="28"/>
      <w:lang w:val="en-US" w:eastAsia="zh-CN" w:bidi="ar-SA"/>
    </w:rPr>
  </w:style>
  <w:style w:type="character" w:customStyle="1" w:styleId="209">
    <w:name w:val="页脚 Char"/>
    <w:qFormat/>
    <w:uiPriority w:val="99"/>
    <w:rPr>
      <w:rFonts w:eastAsia="宋体"/>
      <w:kern w:val="2"/>
      <w:sz w:val="18"/>
      <w:lang w:val="en-US" w:eastAsia="zh-CN"/>
    </w:rPr>
  </w:style>
  <w:style w:type="character" w:customStyle="1" w:styleId="210">
    <w:name w:val="正文文本缩进 2 Char1"/>
    <w:semiHidden/>
    <w:uiPriority w:val="0"/>
    <w:rPr>
      <w:kern w:val="2"/>
      <w:sz w:val="21"/>
    </w:rPr>
  </w:style>
  <w:style w:type="character" w:customStyle="1" w:styleId="211">
    <w:name w:val="日期 Char1"/>
    <w:semiHidden/>
    <w:locked/>
    <w:uiPriority w:val="0"/>
    <w:rPr>
      <w:rFonts w:ascii="宋体"/>
      <w:sz w:val="24"/>
    </w:rPr>
  </w:style>
  <w:style w:type="character" w:customStyle="1" w:styleId="212">
    <w:name w:val="纯文本 字符1"/>
    <w:semiHidden/>
    <w:uiPriority w:val="99"/>
    <w:rPr>
      <w:rFonts w:ascii="等线" w:hAnsi="Courier New" w:eastAsia="等线" w:cs="Courier New"/>
      <w:kern w:val="2"/>
      <w:sz w:val="21"/>
    </w:rPr>
  </w:style>
  <w:style w:type="character" w:customStyle="1" w:styleId="213">
    <w:name w:val="批注框文本 字符1"/>
    <w:semiHidden/>
    <w:uiPriority w:val="99"/>
    <w:rPr>
      <w:kern w:val="2"/>
      <w:sz w:val="18"/>
      <w:szCs w:val="18"/>
    </w:rPr>
  </w:style>
  <w:style w:type="character" w:customStyle="1" w:styleId="214">
    <w:name w:val="纯文本 字符"/>
    <w:qFormat/>
    <w:locked/>
    <w:uiPriority w:val="0"/>
    <w:rPr>
      <w:rFonts w:ascii="宋体" w:hAnsi="Courier New" w:eastAsia="宋体" w:cs="宋体"/>
      <w:lang w:val="en-US" w:eastAsia="zh-CN"/>
    </w:rPr>
  </w:style>
  <w:style w:type="character" w:customStyle="1" w:styleId="215">
    <w:name w:val="标题 6 字符"/>
    <w:qFormat/>
    <w:locked/>
    <w:uiPriority w:val="0"/>
    <w:rPr>
      <w:rFonts w:ascii="Cambria" w:hAnsi="Cambria" w:eastAsia="宋体"/>
      <w:b/>
      <w:kern w:val="2"/>
      <w:sz w:val="24"/>
      <w:lang w:val="en-US" w:eastAsia="zh-CN"/>
    </w:rPr>
  </w:style>
  <w:style w:type="character" w:customStyle="1" w:styleId="216">
    <w:name w:val="HTML 预设格式 字符"/>
    <w:qFormat/>
    <w:locked/>
    <w:uiPriority w:val="0"/>
    <w:rPr>
      <w:rFonts w:ascii="Courier New" w:hAnsi="Courier New"/>
      <w:kern w:val="2"/>
    </w:rPr>
  </w:style>
  <w:style w:type="character" w:customStyle="1" w:styleId="217">
    <w:name w:val="正文缩进 Char"/>
    <w:qFormat/>
    <w:uiPriority w:val="0"/>
    <w:rPr>
      <w:rFonts w:eastAsia="宋体"/>
      <w:kern w:val="2"/>
      <w:sz w:val="24"/>
      <w:lang w:val="en-US" w:eastAsia="zh-CN"/>
    </w:rPr>
  </w:style>
  <w:style w:type="character" w:customStyle="1" w:styleId="218">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qFormat/>
    <w:uiPriority w:val="0"/>
    <w:rPr>
      <w:rFonts w:ascii="Arial" w:hAnsi="Arial" w:eastAsia="宋体"/>
      <w:b/>
      <w:kern w:val="2"/>
      <w:sz w:val="24"/>
      <w:lang w:val="en-US" w:eastAsia="zh-CN"/>
    </w:rPr>
  </w:style>
  <w:style w:type="character" w:customStyle="1" w:styleId="219">
    <w:name w:val="apple-converted-space"/>
    <w:qFormat/>
    <w:uiPriority w:val="0"/>
    <w:rPr>
      <w:rFonts w:cs="Times New Roman"/>
    </w:rPr>
  </w:style>
  <w:style w:type="character" w:customStyle="1" w:styleId="220">
    <w:name w:val="Char Char14"/>
    <w:locked/>
    <w:uiPriority w:val="0"/>
    <w:rPr>
      <w:rFonts w:ascii="Arial" w:hAnsi="Arial" w:eastAsia="黑体"/>
      <w:kern w:val="2"/>
      <w:sz w:val="21"/>
      <w:szCs w:val="21"/>
      <w:lang w:val="en-US" w:eastAsia="zh-CN" w:bidi="ar-SA"/>
    </w:rPr>
  </w:style>
  <w:style w:type="character" w:customStyle="1" w:styleId="221">
    <w:name w:val="font11"/>
    <w:qFormat/>
    <w:uiPriority w:val="0"/>
    <w:rPr>
      <w:rFonts w:ascii="Times New Roman" w:hAnsi="Times New Roman"/>
      <w:color w:val="000000"/>
      <w:sz w:val="24"/>
      <w:u w:val="none"/>
    </w:rPr>
  </w:style>
  <w:style w:type="character" w:customStyle="1" w:styleId="222">
    <w:name w:val="font31"/>
    <w:uiPriority w:val="0"/>
    <w:rPr>
      <w:rFonts w:hint="eastAsia" w:ascii="宋体" w:hAnsi="宋体" w:eastAsia="宋体"/>
      <w:color w:val="000000"/>
      <w:sz w:val="20"/>
      <w:szCs w:val="20"/>
      <w:u w:val="none"/>
    </w:rPr>
  </w:style>
  <w:style w:type="character" w:customStyle="1" w:styleId="223">
    <w:name w:val="正文文本缩进 3 Char1"/>
    <w:semiHidden/>
    <w:uiPriority w:val="0"/>
    <w:rPr>
      <w:kern w:val="2"/>
      <w:sz w:val="16"/>
      <w:szCs w:val="16"/>
    </w:rPr>
  </w:style>
  <w:style w:type="character" w:customStyle="1" w:styleId="224">
    <w:name w:val="Char Char"/>
    <w:locked/>
    <w:uiPriority w:val="0"/>
    <w:rPr>
      <w:rFonts w:ascii="Arial" w:hAnsi="Arial" w:eastAsia="宋体" w:cs="Arial"/>
      <w:b/>
      <w:bCs/>
      <w:kern w:val="2"/>
      <w:sz w:val="32"/>
      <w:szCs w:val="32"/>
      <w:lang w:val="en-US" w:eastAsia="zh-CN" w:bidi="ar-SA"/>
    </w:rPr>
  </w:style>
  <w:style w:type="character" w:customStyle="1" w:styleId="225">
    <w:name w:val="Char Char3"/>
    <w:uiPriority w:val="0"/>
    <w:rPr>
      <w:rFonts w:hint="eastAsia" w:ascii="宋体" w:hAnsi="Courier New" w:eastAsia="宋体"/>
      <w:color w:val="000000"/>
      <w:kern w:val="2"/>
      <w:sz w:val="21"/>
      <w:lang w:val="en-US" w:eastAsia="zh-CN" w:bidi="ar-SA"/>
    </w:rPr>
  </w:style>
  <w:style w:type="character" w:customStyle="1" w:styleId="226">
    <w:name w:val="Char Char21"/>
    <w:locked/>
    <w:uiPriority w:val="0"/>
    <w:rPr>
      <w:rFonts w:ascii="Arial" w:hAnsi="Arial" w:eastAsia="黑体"/>
      <w:b/>
      <w:bCs/>
      <w:kern w:val="2"/>
      <w:sz w:val="32"/>
      <w:szCs w:val="32"/>
      <w:lang w:val="en-US" w:eastAsia="zh-CN" w:bidi="ar-SA"/>
    </w:rPr>
  </w:style>
  <w:style w:type="character" w:customStyle="1" w:styleId="227">
    <w:name w:val="标题 8 字符"/>
    <w:qFormat/>
    <w:locked/>
    <w:uiPriority w:val="0"/>
    <w:rPr>
      <w:rFonts w:ascii="Arial" w:hAnsi="Arial" w:eastAsia="黑体"/>
      <w:kern w:val="2"/>
      <w:sz w:val="24"/>
    </w:rPr>
  </w:style>
  <w:style w:type="character" w:customStyle="1" w:styleId="228">
    <w:name w:val="Char Char33"/>
    <w:uiPriority w:val="0"/>
    <w:rPr>
      <w:rFonts w:hint="eastAsia" w:ascii="宋体" w:hAnsi="宋体" w:eastAsia="宋体" w:cs="宋体"/>
      <w:i/>
      <w:kern w:val="2"/>
      <w:sz w:val="21"/>
      <w:szCs w:val="24"/>
      <w:lang w:val="en-US" w:eastAsia="zh-CN" w:bidi="ar-SA"/>
    </w:rPr>
  </w:style>
  <w:style w:type="character" w:customStyle="1" w:styleId="229">
    <w:name w:val="标题 Char1"/>
    <w:uiPriority w:val="0"/>
    <w:rPr>
      <w:rFonts w:ascii="Cambria" w:hAnsi="Cambria" w:cs="Times New Roman"/>
      <w:b/>
      <w:bCs/>
      <w:kern w:val="2"/>
      <w:sz w:val="32"/>
      <w:szCs w:val="32"/>
    </w:rPr>
  </w:style>
  <w:style w:type="character" w:customStyle="1" w:styleId="230">
    <w:name w:val="font41"/>
    <w:uiPriority w:val="0"/>
    <w:rPr>
      <w:rFonts w:hint="eastAsia" w:ascii="仿宋" w:hAnsi="仿宋" w:eastAsia="仿宋" w:cs="仿宋"/>
      <w:color w:val="000000"/>
      <w:sz w:val="24"/>
      <w:szCs w:val="24"/>
      <w:u w:val="none"/>
    </w:rPr>
  </w:style>
  <w:style w:type="character" w:customStyle="1" w:styleId="231">
    <w:name w:val="批注文字 Char"/>
    <w:qFormat/>
    <w:locked/>
    <w:uiPriority w:val="0"/>
    <w:rPr>
      <w:rFonts w:cs="Times New Roman"/>
      <w:kern w:val="2"/>
      <w:sz w:val="21"/>
    </w:rPr>
  </w:style>
  <w:style w:type="paragraph" w:customStyle="1" w:styleId="232">
    <w:name w:val="F-正文"/>
    <w:qFormat/>
    <w:uiPriority w:val="0"/>
    <w:pPr>
      <w:spacing w:line="560" w:lineRule="exact"/>
      <w:jc w:val="both"/>
    </w:pPr>
    <w:rPr>
      <w:rFonts w:ascii="Times" w:hAnsi="Times" w:eastAsia="仿宋"/>
      <w:kern w:val="2"/>
      <w:sz w:val="24"/>
      <w:lang w:val="en-US" w:eastAsia="zh-CN" w:bidi="ar-SA"/>
    </w:rPr>
  </w:style>
  <w:style w:type="paragraph" w:customStyle="1" w:styleId="233">
    <w:name w:val="彩色列表 - 强调文字颜色 11"/>
    <w:basedOn w:val="1"/>
    <w:qFormat/>
    <w:uiPriority w:val="0"/>
    <w:pPr>
      <w:ind w:firstLine="420" w:firstLineChars="200"/>
    </w:pPr>
    <w:rPr>
      <w:rFonts w:ascii="Calibri" w:hAnsi="Calibri"/>
      <w:szCs w:val="22"/>
    </w:rPr>
  </w:style>
  <w:style w:type="paragraph" w:customStyle="1" w:styleId="234">
    <w:name w:val="正文 New New New New"/>
    <w:qFormat/>
    <w:uiPriority w:val="0"/>
    <w:pPr>
      <w:widowControl w:val="0"/>
      <w:jc w:val="both"/>
    </w:pPr>
    <w:rPr>
      <w:sz w:val="21"/>
      <w:szCs w:val="24"/>
      <w:lang w:val="en-US" w:eastAsia="zh-CN" w:bidi="ar-SA"/>
    </w:rPr>
  </w:style>
  <w:style w:type="paragraph" w:customStyle="1" w:styleId="235">
    <w:name w:val="Char Char Char1 Char"/>
    <w:basedOn w:val="1"/>
    <w:qFormat/>
    <w:uiPriority w:val="0"/>
    <w:pPr>
      <w:spacing w:line="360" w:lineRule="auto"/>
      <w:ind w:firstLine="200" w:firstLineChars="200"/>
    </w:pPr>
  </w:style>
  <w:style w:type="paragraph" w:customStyle="1" w:styleId="236">
    <w:name w:val="Char Char Char Char Char Char Char"/>
    <w:basedOn w:val="1"/>
    <w:qFormat/>
    <w:uiPriority w:val="0"/>
    <w:pPr>
      <w:tabs>
        <w:tab w:val="left" w:pos="432"/>
      </w:tabs>
      <w:ind w:left="432" w:hanging="432"/>
    </w:pPr>
    <w:rPr>
      <w:rFonts w:ascii="Tahoma" w:hAnsi="Tahoma"/>
      <w:sz w:val="24"/>
    </w:rPr>
  </w:style>
  <w:style w:type="paragraph" w:customStyle="1" w:styleId="237">
    <w:name w:val=" Char Char1 Char Char Char Char"/>
    <w:basedOn w:val="1"/>
    <w:uiPriority w:val="0"/>
    <w:rPr>
      <w:rFonts w:ascii="Tahoma" w:hAnsi="Tahoma"/>
      <w:sz w:val="24"/>
    </w:rPr>
  </w:style>
  <w:style w:type="paragraph" w:customStyle="1" w:styleId="238">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39">
    <w:name w:val="Char1"/>
    <w:basedOn w:val="1"/>
    <w:qFormat/>
    <w:uiPriority w:val="0"/>
    <w:rPr>
      <w:rFonts w:ascii="仿宋_GB2312" w:eastAsia="仿宋_GB2312"/>
      <w:b/>
      <w:sz w:val="32"/>
      <w:szCs w:val="32"/>
    </w:rPr>
  </w:style>
  <w:style w:type="paragraph" w:customStyle="1" w:styleId="240">
    <w:name w:val="Plain Text"/>
    <w:basedOn w:val="1"/>
    <w:qFormat/>
    <w:uiPriority w:val="0"/>
    <w:rPr>
      <w:rFonts w:ascii="宋体" w:hAnsi="Courier New"/>
    </w:rPr>
  </w:style>
  <w:style w:type="paragraph" w:styleId="241">
    <w:name w:val="No Spacing"/>
    <w:qFormat/>
    <w:uiPriority w:val="1"/>
    <w:pPr>
      <w:widowControl w:val="0"/>
      <w:jc w:val="both"/>
    </w:pPr>
    <w:rPr>
      <w:kern w:val="2"/>
      <w:sz w:val="21"/>
      <w:lang w:val="en-US" w:eastAsia="zh-CN" w:bidi="ar-SA"/>
    </w:rPr>
  </w:style>
  <w:style w:type="paragraph" w:customStyle="1" w:styleId="242">
    <w:name w:val="正文段"/>
    <w:basedOn w:val="1"/>
    <w:qFormat/>
    <w:uiPriority w:val="0"/>
    <w:pPr>
      <w:widowControl/>
      <w:snapToGrid w:val="0"/>
      <w:spacing w:afterLines="50"/>
      <w:ind w:firstLine="200" w:firstLineChars="200"/>
    </w:pPr>
    <w:rPr>
      <w:kern w:val="0"/>
      <w:sz w:val="24"/>
    </w:rPr>
  </w:style>
  <w:style w:type="paragraph" w:customStyle="1" w:styleId="243">
    <w:name w:val="列出段落11"/>
    <w:basedOn w:val="1"/>
    <w:qFormat/>
    <w:uiPriority w:val="0"/>
    <w:pPr>
      <w:ind w:firstLine="420" w:firstLineChars="200"/>
    </w:pPr>
    <w:rPr>
      <w:szCs w:val="24"/>
    </w:rPr>
  </w:style>
  <w:style w:type="paragraph" w:customStyle="1" w:styleId="24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样式3"/>
    <w:basedOn w:val="22"/>
    <w:qFormat/>
    <w:uiPriority w:val="0"/>
    <w:pPr>
      <w:widowControl w:val="0"/>
      <w:spacing w:before="0" w:beforeAutospacing="0" w:after="0" w:afterAutospacing="0" w:line="0" w:lineRule="atLeast"/>
      <w:jc w:val="both"/>
      <w:outlineLvl w:val="0"/>
    </w:pPr>
    <w:rPr>
      <w:kern w:val="2"/>
      <w:sz w:val="28"/>
    </w:rPr>
  </w:style>
  <w:style w:type="paragraph" w:customStyle="1" w:styleId="246">
    <w:name w:val="List Paragraph1"/>
    <w:basedOn w:val="1"/>
    <w:qFormat/>
    <w:uiPriority w:val="34"/>
    <w:pPr>
      <w:ind w:firstLine="420" w:firstLineChars="200"/>
    </w:pPr>
    <w:rPr>
      <w:szCs w:val="24"/>
    </w:rPr>
  </w:style>
  <w:style w:type="paragraph" w:customStyle="1" w:styleId="247">
    <w:name w:val="默认段落字体11"/>
    <w:basedOn w:val="1"/>
    <w:uiPriority w:val="0"/>
    <w:pPr>
      <w:widowControl/>
      <w:spacing w:before="100" w:beforeAutospacing="1" w:after="100" w:afterAutospacing="1"/>
      <w:jc w:val="left"/>
    </w:pPr>
    <w:rPr>
      <w:szCs w:val="22"/>
    </w:rPr>
  </w:style>
  <w:style w:type="paragraph" w:customStyle="1" w:styleId="248">
    <w:name w:val="默认段落字体 Para Char Char Char Char Char Char Char Char Char1 Char Char Char Char"/>
    <w:basedOn w:val="1"/>
    <w:qFormat/>
    <w:uiPriority w:val="0"/>
    <w:rPr>
      <w:rFonts w:ascii="Tahoma" w:hAnsi="Tahoma"/>
      <w:sz w:val="24"/>
    </w:rPr>
  </w:style>
  <w:style w:type="paragraph" w:customStyle="1" w:styleId="249">
    <w:name w:val="Body Text Indent"/>
    <w:basedOn w:val="1"/>
    <w:uiPriority w:val="0"/>
    <w:pPr>
      <w:spacing w:after="120"/>
      <w:ind w:left="420" w:leftChars="200"/>
    </w:pPr>
    <w:rPr>
      <w:szCs w:val="24"/>
    </w:rPr>
  </w:style>
  <w:style w:type="paragraph" w:customStyle="1" w:styleId="250">
    <w:name w:val="*正文"/>
    <w:basedOn w:val="1"/>
    <w:qFormat/>
    <w:uiPriority w:val="0"/>
    <w:pPr>
      <w:widowControl/>
      <w:ind w:firstLine="200" w:firstLineChars="200"/>
    </w:pPr>
    <w:rPr>
      <w:rFonts w:ascii="仿宋_GB2312" w:hAnsi="等线" w:eastAsia="仿宋_GB2312"/>
      <w:sz w:val="24"/>
      <w:szCs w:val="28"/>
    </w:rPr>
  </w:style>
  <w:style w:type="paragraph" w:customStyle="1" w:styleId="251">
    <w:name w:val="msonormal"/>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25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53">
    <w:name w:val="p0"/>
    <w:basedOn w:val="1"/>
    <w:qFormat/>
    <w:uiPriority w:val="0"/>
    <w:pPr>
      <w:widowControl/>
    </w:pPr>
    <w:rPr>
      <w:kern w:val="0"/>
      <w:szCs w:val="21"/>
    </w:rPr>
  </w:style>
  <w:style w:type="paragraph" w:customStyle="1" w:styleId="254">
    <w:name w:val="_Style 1"/>
    <w:basedOn w:val="1"/>
    <w:qFormat/>
    <w:uiPriority w:val="0"/>
    <w:pPr>
      <w:ind w:firstLine="420" w:firstLineChars="200"/>
    </w:pPr>
    <w:rPr>
      <w:rFonts w:ascii="Calibri" w:hAnsi="Calibri"/>
      <w:szCs w:val="22"/>
    </w:rPr>
  </w:style>
  <w:style w:type="paragraph" w:customStyle="1" w:styleId="255">
    <w:name w:val="xl31"/>
    <w:basedOn w:val="1"/>
    <w:qFormat/>
    <w:uiPriority w:val="99"/>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56">
    <w:name w:val="Table Text"/>
    <w:basedOn w:val="1"/>
    <w:qFormat/>
    <w:uiPriority w:val="0"/>
    <w:pPr>
      <w:widowControl/>
      <w:jc w:val="left"/>
    </w:pPr>
    <w:rPr>
      <w:rFonts w:ascii="Arial" w:hAnsi="Arial"/>
      <w:kern w:val="0"/>
      <w:szCs w:val="21"/>
    </w:rPr>
  </w:style>
  <w:style w:type="paragraph" w:customStyle="1" w:styleId="257">
    <w:name w:val=" Char"/>
    <w:basedOn w:val="1"/>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258">
    <w:name w:val="符号 1"/>
    <w:basedOn w:val="18"/>
    <w:qFormat/>
    <w:uiPriority w:val="0"/>
    <w:pPr>
      <w:tabs>
        <w:tab w:val="left" w:pos="900"/>
      </w:tabs>
      <w:spacing w:line="360" w:lineRule="auto"/>
      <w:ind w:left="1200" w:hanging="720"/>
    </w:pPr>
    <w:rPr>
      <w:rFonts w:eastAsia="宋体"/>
      <w:kern w:val="28"/>
      <w:szCs w:val="24"/>
    </w:rPr>
  </w:style>
  <w:style w:type="paragraph" w:customStyle="1" w:styleId="259">
    <w:name w:val="正文 居中"/>
    <w:basedOn w:val="1"/>
    <w:qFormat/>
    <w:uiPriority w:val="0"/>
    <w:pPr>
      <w:spacing w:line="360" w:lineRule="auto"/>
      <w:jc w:val="center"/>
    </w:pPr>
    <w:rPr>
      <w:rFonts w:cs="宋体"/>
      <w:sz w:val="24"/>
    </w:rPr>
  </w:style>
  <w:style w:type="paragraph" w:customStyle="1" w:styleId="260">
    <w:name w:val="Char Char Char Char"/>
    <w:basedOn w:val="1"/>
    <w:qFormat/>
    <w:uiPriority w:val="0"/>
    <w:pPr>
      <w:widowControl/>
      <w:spacing w:line="400" w:lineRule="exact"/>
      <w:jc w:val="center"/>
    </w:pPr>
    <w:rPr>
      <w:rFonts w:ascii="Verdana" w:hAnsi="Verdana"/>
      <w:kern w:val="0"/>
      <w:lang w:eastAsia="en-US"/>
    </w:rPr>
  </w:style>
  <w:style w:type="paragraph" w:customStyle="1" w:styleId="261">
    <w:name w:val="首行缩进"/>
    <w:basedOn w:val="1"/>
    <w:qFormat/>
    <w:uiPriority w:val="0"/>
    <w:pPr>
      <w:spacing w:line="360" w:lineRule="auto"/>
      <w:ind w:firstLine="480" w:firstLineChars="200"/>
      <w:jc w:val="left"/>
    </w:pPr>
    <w:rPr>
      <w:rFonts w:ascii="宋体" w:hAnsi="宋体"/>
      <w:sz w:val="24"/>
    </w:rPr>
  </w:style>
  <w:style w:type="paragraph" w:customStyle="1" w:styleId="262">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63">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64">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65">
    <w:name w:val="List Paragraph"/>
    <w:basedOn w:val="1"/>
    <w:qFormat/>
    <w:uiPriority w:val="0"/>
    <w:pPr>
      <w:ind w:firstLine="420" w:firstLineChars="200"/>
    </w:pPr>
    <w:rPr>
      <w:rFonts w:ascii="Calibri" w:hAnsi="Calibri"/>
      <w:szCs w:val="22"/>
    </w:rPr>
  </w:style>
  <w:style w:type="paragraph" w:customStyle="1" w:styleId="266">
    <w:name w:val="标准正文"/>
    <w:basedOn w:val="1"/>
    <w:qFormat/>
    <w:uiPriority w:val="0"/>
    <w:pPr>
      <w:adjustRightInd w:val="0"/>
      <w:spacing w:line="360" w:lineRule="auto"/>
      <w:ind w:firstLine="480" w:firstLineChars="200"/>
    </w:pPr>
    <w:rPr>
      <w:kern w:val="0"/>
      <w:sz w:val="24"/>
    </w:rPr>
  </w:style>
  <w:style w:type="paragraph" w:customStyle="1" w:styleId="267">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68">
    <w:name w:val=" Char Char Char Char"/>
    <w:basedOn w:val="1"/>
    <w:uiPriority w:val="0"/>
    <w:pPr>
      <w:widowControl/>
      <w:spacing w:line="400" w:lineRule="exact"/>
      <w:jc w:val="center"/>
    </w:pPr>
    <w:rPr>
      <w:rFonts w:ascii="Verdana" w:hAnsi="Verdana"/>
      <w:kern w:val="0"/>
      <w:lang w:eastAsia="en-US"/>
    </w:rPr>
  </w:style>
  <w:style w:type="paragraph" w:customStyle="1" w:styleId="269">
    <w:name w:val="Body"/>
    <w:qFormat/>
    <w:uiPriority w:val="0"/>
    <w:pPr>
      <w:spacing w:before="130" w:after="130" w:line="260" w:lineRule="exact"/>
    </w:pPr>
    <w:rPr>
      <w:rFonts w:ascii="Univers" w:hAnsi="Univers"/>
      <w:color w:val="000000"/>
      <w:sz w:val="22"/>
      <w:lang w:val="en-US" w:eastAsia="en-US" w:bidi="ar-SA"/>
    </w:rPr>
  </w:style>
  <w:style w:type="paragraph" w:customStyle="1" w:styleId="270">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71">
    <w:name w:val=" Char Char Char Char Char Char Char"/>
    <w:basedOn w:val="1"/>
    <w:uiPriority w:val="0"/>
    <w:pPr>
      <w:tabs>
        <w:tab w:val="left" w:pos="432"/>
      </w:tabs>
      <w:ind w:left="432" w:hanging="432"/>
    </w:pPr>
    <w:rPr>
      <w:rFonts w:ascii="Tahoma" w:hAnsi="Tahoma"/>
      <w:sz w:val="24"/>
    </w:rPr>
  </w:style>
  <w:style w:type="paragraph" w:customStyle="1" w:styleId="272">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73">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7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77">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9">
    <w:name w:val="中等深浅网格 21"/>
    <w:qFormat/>
    <w:uiPriority w:val="0"/>
    <w:pPr>
      <w:widowControl w:val="0"/>
      <w:jc w:val="both"/>
    </w:pPr>
    <w:rPr>
      <w:kern w:val="2"/>
      <w:sz w:val="21"/>
      <w:szCs w:val="24"/>
      <w:lang w:val="en-US" w:eastAsia="zh-CN" w:bidi="ar-SA"/>
    </w:rPr>
  </w:style>
  <w:style w:type="paragraph" w:customStyle="1" w:styleId="280">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D&amp;L"/>
    <w:basedOn w:val="28"/>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28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83">
    <w:name w:val="正文编码"/>
    <w:basedOn w:val="17"/>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84">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28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86">
    <w:name w:val="Char11"/>
    <w:basedOn w:val="1"/>
    <w:qFormat/>
    <w:uiPriority w:val="0"/>
    <w:rPr>
      <w:szCs w:val="24"/>
    </w:rPr>
  </w:style>
  <w:style w:type="paragraph" w:customStyle="1" w:styleId="287">
    <w:name w:val="Char2"/>
    <w:basedOn w:val="1"/>
    <w:qFormat/>
    <w:uiPriority w:val="0"/>
    <w:pPr>
      <w:tabs>
        <w:tab w:val="left" w:pos="1200"/>
      </w:tabs>
      <w:ind w:left="1200" w:hanging="720"/>
    </w:pPr>
    <w:rPr>
      <w:sz w:val="24"/>
      <w:szCs w:val="24"/>
    </w:rPr>
  </w:style>
  <w:style w:type="paragraph" w:customStyle="1" w:styleId="288">
    <w:name w:val="默认段落字体 Para Char Char Char Char Char Char Char Char Char Char"/>
    <w:basedOn w:val="1"/>
    <w:qFormat/>
    <w:uiPriority w:val="0"/>
    <w:rPr>
      <w:rFonts w:ascii="Tahoma" w:hAnsi="Tahoma"/>
      <w:sz w:val="24"/>
    </w:rPr>
  </w:style>
  <w:style w:type="paragraph" w:customStyle="1" w:styleId="289">
    <w:name w:val="标题1"/>
    <w:basedOn w:val="4"/>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290">
    <w:name w:val="_Style 3"/>
    <w:qFormat/>
    <w:uiPriority w:val="0"/>
    <w:rPr>
      <w:sz w:val="22"/>
      <w:szCs w:val="22"/>
      <w:lang w:val="en-US" w:eastAsia="zh-CN" w:bidi="ar-SA"/>
    </w:rPr>
  </w:style>
  <w:style w:type="paragraph" w:customStyle="1" w:styleId="291">
    <w:name w:val=" Char1"/>
    <w:basedOn w:val="1"/>
    <w:uiPriority w:val="0"/>
    <w:rPr>
      <w:rFonts w:ascii="仿宋_GB2312" w:eastAsia="仿宋_GB2312"/>
      <w:b/>
      <w:sz w:val="32"/>
      <w:szCs w:val="32"/>
    </w:rPr>
  </w:style>
  <w:style w:type="paragraph" w:customStyle="1" w:styleId="292">
    <w:name w:val="Char Char Char"/>
    <w:basedOn w:val="1"/>
    <w:qFormat/>
    <w:uiPriority w:val="0"/>
    <w:pPr>
      <w:spacing w:before="120" w:after="120" w:line="360" w:lineRule="auto"/>
      <w:ind w:firstLine="200" w:firstLineChars="200"/>
    </w:pPr>
    <w:rPr>
      <w:rFonts w:ascii="Tahoma" w:hAnsi="Tahoma"/>
      <w:sz w:val="24"/>
    </w:rPr>
  </w:style>
  <w:style w:type="paragraph" w:customStyle="1" w:styleId="293">
    <w:name w:val="表格正文"/>
    <w:basedOn w:val="1"/>
    <w:qFormat/>
    <w:uiPriority w:val="0"/>
    <w:rPr>
      <w:rFonts w:eastAsia="黑体"/>
    </w:rPr>
  </w:style>
  <w:style w:type="paragraph" w:customStyle="1" w:styleId="294">
    <w:name w:val="符号 2"/>
    <w:basedOn w:val="258"/>
    <w:qFormat/>
    <w:uiPriority w:val="0"/>
    <w:pPr>
      <w:tabs>
        <w:tab w:val="left" w:pos="1320"/>
        <w:tab w:val="clear" w:pos="900"/>
      </w:tabs>
      <w:ind w:left="1320" w:hanging="420"/>
    </w:pPr>
  </w:style>
  <w:style w:type="paragraph" w:customStyle="1" w:styleId="295">
    <w:name w:val="段"/>
    <w:qFormat/>
    <w:uiPriority w:val="0"/>
    <w:pPr>
      <w:autoSpaceDE w:val="0"/>
      <w:autoSpaceDN w:val="0"/>
      <w:ind w:firstLine="200" w:firstLineChars="200"/>
      <w:jc w:val="both"/>
    </w:pPr>
    <w:rPr>
      <w:rFonts w:ascii="宋体"/>
      <w:sz w:val="21"/>
      <w:lang w:val="en-US" w:eastAsia="zh-CN" w:bidi="ar-SA"/>
    </w:rPr>
  </w:style>
  <w:style w:type="paragraph" w:customStyle="1" w:styleId="29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97">
    <w:name w:val="此正文"/>
    <w:basedOn w:val="1"/>
    <w:uiPriority w:val="0"/>
    <w:pPr>
      <w:spacing w:line="360" w:lineRule="auto"/>
      <w:ind w:firstLine="200" w:firstLineChars="200"/>
    </w:pPr>
    <w:rPr>
      <w:sz w:val="24"/>
      <w:szCs w:val="24"/>
    </w:rPr>
  </w:style>
  <w:style w:type="paragraph" w:customStyle="1" w:styleId="298">
    <w:name w:val="中等深浅网格 22"/>
    <w:qFormat/>
    <w:uiPriority w:val="0"/>
    <w:pPr>
      <w:widowControl w:val="0"/>
      <w:jc w:val="both"/>
    </w:pPr>
    <w:rPr>
      <w:kern w:val="2"/>
      <w:sz w:val="21"/>
      <w:szCs w:val="24"/>
      <w:lang w:val="en-US" w:eastAsia="zh-CN" w:bidi="ar-SA"/>
    </w:rPr>
  </w:style>
  <w:style w:type="paragraph" w:customStyle="1" w:styleId="299">
    <w:name w:val="Char Char1 Char Char Char Char"/>
    <w:basedOn w:val="1"/>
    <w:qFormat/>
    <w:uiPriority w:val="0"/>
    <w:rPr>
      <w:rFonts w:ascii="Tahoma" w:hAnsi="Tahoma"/>
      <w:sz w:val="24"/>
    </w:rPr>
  </w:style>
  <w:style w:type="paragraph" w:customStyle="1" w:styleId="300">
    <w:name w:val="无间隔1"/>
    <w:qFormat/>
    <w:uiPriority w:val="99"/>
    <w:rPr>
      <w:sz w:val="21"/>
      <w:lang w:val="en-US" w:eastAsia="zh-CN" w:bidi="ar-SA"/>
    </w:rPr>
  </w:style>
  <w:style w:type="paragraph" w:customStyle="1" w:styleId="301">
    <w:name w:val="正文1"/>
    <w:qFormat/>
    <w:uiPriority w:val="0"/>
    <w:pPr>
      <w:widowControl w:val="0"/>
      <w:jc w:val="both"/>
    </w:pPr>
    <w:rPr>
      <w:kern w:val="2"/>
      <w:sz w:val="21"/>
      <w:lang w:val="en-US" w:eastAsia="zh-CN" w:bidi="ar-SA"/>
    </w:rPr>
  </w:style>
  <w:style w:type="paragraph" w:customStyle="1" w:styleId="302">
    <w:name w:val="标准小四"/>
    <w:basedOn w:val="1"/>
    <w:qFormat/>
    <w:uiPriority w:val="0"/>
    <w:pPr>
      <w:spacing w:line="360" w:lineRule="auto"/>
      <w:ind w:firstLine="480" w:firstLineChars="200"/>
    </w:pPr>
    <w:rPr>
      <w:rFonts w:ascii="Arial" w:hAnsi="Arial"/>
      <w:sz w:val="24"/>
      <w:szCs w:val="21"/>
    </w:rPr>
  </w:style>
  <w:style w:type="paragraph" w:customStyle="1" w:styleId="303">
    <w:name w:val="Normal"/>
    <w:qFormat/>
    <w:uiPriority w:val="0"/>
    <w:pPr>
      <w:widowControl w:val="0"/>
      <w:jc w:val="both"/>
    </w:pPr>
    <w:rPr>
      <w:rFonts w:hint="eastAsia"/>
      <w:kern w:val="2"/>
      <w:sz w:val="21"/>
      <w:lang w:val="en-US" w:eastAsia="zh-CN" w:bidi="ar-SA"/>
    </w:rPr>
  </w:style>
  <w:style w:type="paragraph" w:customStyle="1" w:styleId="304">
    <w:name w:val="UserStyle_4"/>
    <w:basedOn w:val="1"/>
    <w:qFormat/>
    <w:uiPriority w:val="0"/>
    <w:pPr>
      <w:widowControl/>
      <w:ind w:firstLine="420" w:firstLineChars="200"/>
    </w:pPr>
    <w:rPr>
      <w:rFonts w:ascii="Calibri" w:hAnsi="Calibri" w:cs="Times New Roman"/>
      <w:szCs w:val="22"/>
    </w:rPr>
  </w:style>
  <w:style w:type="paragraph" w:customStyle="1" w:styleId="305">
    <w:name w:val="Proposals body"/>
    <w:basedOn w:val="1"/>
    <w:next w:val="1"/>
    <w:qFormat/>
    <w:uiPriority w:val="0"/>
    <w:pPr>
      <w:widowControl/>
      <w:spacing w:line="360" w:lineRule="auto"/>
      <w:jc w:val="left"/>
    </w:pPr>
    <w:rPr>
      <w:rFonts w:ascii="宋体"/>
      <w:color w:val="000000"/>
      <w:kern w:val="0"/>
      <w:sz w:val="24"/>
    </w:rPr>
  </w:style>
  <w:style w:type="paragraph" w:customStyle="1" w:styleId="306">
    <w:name w:val="Char Char Char Char Char Char Char1 Char"/>
    <w:basedOn w:val="1"/>
    <w:qFormat/>
    <w:uiPriority w:val="0"/>
    <w:rPr>
      <w:rFonts w:ascii="Arial" w:hAnsi="Arial" w:eastAsia="宋体" w:cs="Arial"/>
      <w:sz w:val="24"/>
      <w:szCs w:val="20"/>
    </w:rPr>
  </w:style>
  <w:style w:type="paragraph" w:customStyle="1" w:styleId="307">
    <w:name w:val="Normal_3"/>
    <w:qFormat/>
    <w:uiPriority w:val="0"/>
    <w:rPr>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4855</Words>
  <Characters>27674</Characters>
  <Lines>230</Lines>
  <Paragraphs>64</Paragraphs>
  <TotalTime>46</TotalTime>
  <ScaleCrop>false</ScaleCrop>
  <LinksUpToDate>false</LinksUpToDate>
  <CharactersWithSpaces>32465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2021-12-17T02:05:00Z</dcterms:created>
  <dc:creator>dyp</dc:creator>
  <cp:lastModifiedBy>WPS_1701756769</cp:lastModifiedBy>
  <cp:lastPrinted>2021-12-15T01:43:00Z</cp:lastPrinted>
  <dcterms:modified xsi:type="dcterms:W3CDTF">2024-02-26T03:10:47Z</dcterms:modified>
  <cp:revision>16</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4A3C9275E24D4105922E165C69531D7B_13</vt:lpwstr>
  </property>
</Properties>
</file>