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rPr>
      </w:pPr>
      <w:bookmarkStart w:id="22" w:name="_GoBack"/>
      <w:bookmarkEnd w:id="22"/>
    </w:p>
    <w:p>
      <w:pPr>
        <w:pStyle w:val="2"/>
        <w:rPr>
          <w:rFonts w:hint="eastAsia"/>
        </w:rPr>
      </w:pPr>
    </w:p>
    <w:p>
      <w:pPr>
        <w:pStyle w:val="4"/>
        <w:rPr>
          <w:rFonts w:hint="eastAsia"/>
        </w:rPr>
      </w:pPr>
    </w:p>
    <w:p>
      <w:pPr>
        <w:spacing w:line="1000" w:lineRule="exact"/>
        <w:jc w:val="center"/>
        <w:rPr>
          <w:rFonts w:hint="eastAsia" w:ascii="黑体" w:eastAsia="黑体"/>
          <w:sz w:val="84"/>
          <w:szCs w:val="84"/>
        </w:rPr>
      </w:pPr>
      <w:r>
        <w:rPr>
          <w:rFonts w:hint="eastAsia" w:ascii="黑体" w:eastAsia="黑体"/>
          <w:sz w:val="84"/>
          <w:szCs w:val="84"/>
        </w:rPr>
        <w:t>电子化政府采购</w:t>
      </w:r>
    </w:p>
    <w:p>
      <w:pPr>
        <w:spacing w:line="1000" w:lineRule="exact"/>
        <w:jc w:val="center"/>
        <w:rPr>
          <w:rFonts w:hint="eastAsia" w:ascii="黑体" w:eastAsia="黑体"/>
          <w:color w:val="auto"/>
          <w:sz w:val="84"/>
          <w:szCs w:val="84"/>
        </w:rPr>
      </w:pPr>
      <w:r>
        <w:rPr>
          <w:rFonts w:hint="eastAsia" w:ascii="黑体" w:eastAsia="黑体"/>
          <w:color w:val="auto"/>
          <w:sz w:val="84"/>
          <w:szCs w:val="84"/>
        </w:rPr>
        <w:t>招标文件</w:t>
      </w:r>
    </w:p>
    <w:p>
      <w:pPr>
        <w:spacing w:line="500" w:lineRule="exact"/>
        <w:jc w:val="both"/>
        <w:rPr>
          <w:rFonts w:hint="eastAsia" w:ascii="宋体"/>
          <w:color w:val="auto"/>
          <w:sz w:val="32"/>
          <w:lang w:val="en-US" w:eastAsia="zh-CN"/>
        </w:rPr>
      </w:pPr>
      <w:r>
        <w:rPr>
          <w:rFonts w:hint="eastAsia" w:ascii="宋体"/>
          <w:color w:val="auto"/>
          <w:sz w:val="32"/>
          <w:lang w:val="en-US" w:eastAsia="zh-CN"/>
        </w:rPr>
        <w:t xml:space="preserve"> </w:t>
      </w:r>
    </w:p>
    <w:p>
      <w:pPr>
        <w:pStyle w:val="2"/>
        <w:rPr>
          <w:rFonts w:hint="eastAsia"/>
          <w:color w:val="auto"/>
          <w:lang w:val="en-US" w:eastAsia="zh-CN"/>
        </w:rPr>
      </w:pPr>
    </w:p>
    <w:p>
      <w:pPr>
        <w:pStyle w:val="2"/>
        <w:ind w:left="0" w:leftChars="0" w:firstLine="0" w:firstLineChars="0"/>
        <w:rPr>
          <w:rFonts w:hint="eastAsia"/>
          <w:color w:val="auto"/>
          <w:lang w:val="en-US" w:eastAsia="zh-CN"/>
        </w:rPr>
      </w:pPr>
    </w:p>
    <w:p>
      <w:pPr>
        <w:pStyle w:val="4"/>
        <w:rPr>
          <w:rFonts w:hint="eastAsia"/>
          <w:color w:val="auto"/>
          <w:lang w:val="en-US" w:eastAsia="zh-CN"/>
        </w:rPr>
      </w:pPr>
    </w:p>
    <w:p>
      <w:pPr>
        <w:spacing w:line="500" w:lineRule="exact"/>
        <w:rPr>
          <w:rFonts w:hint="eastAsia" w:ascii="宋体"/>
          <w:color w:val="auto"/>
          <w:sz w:val="32"/>
        </w:rPr>
      </w:pPr>
    </w:p>
    <w:p>
      <w:pPr>
        <w:keepNext w:val="0"/>
        <w:keepLines w:val="0"/>
        <w:pageBreakBefore w:val="0"/>
        <w:widowControl w:val="0"/>
        <w:kinsoku/>
        <w:wordWrap/>
        <w:overflowPunct/>
        <w:topLinePunct w:val="0"/>
        <w:autoSpaceDE/>
        <w:autoSpaceDN/>
        <w:bidi w:val="0"/>
        <w:adjustRightInd/>
        <w:snapToGrid/>
        <w:spacing w:line="600" w:lineRule="auto"/>
        <w:ind w:left="1050" w:leftChars="500"/>
        <w:textAlignment w:val="auto"/>
        <w:outlineLvl w:val="9"/>
        <w:rPr>
          <w:rFonts w:hint="default" w:ascii="宋体" w:eastAsia="宋体"/>
          <w:color w:val="auto"/>
          <w:sz w:val="32"/>
          <w:lang w:val="en-US" w:eastAsia="zh-CN"/>
        </w:rPr>
      </w:pPr>
      <w:r>
        <w:rPr>
          <w:rFonts w:hint="eastAsia" w:ascii="宋体"/>
          <w:color w:val="auto"/>
          <w:sz w:val="32"/>
        </w:rPr>
        <w:t>采购编号:21CG0200</w:t>
      </w:r>
      <w:r>
        <w:rPr>
          <w:rFonts w:hint="eastAsia" w:ascii="宋体"/>
          <w:color w:val="auto"/>
          <w:sz w:val="32"/>
          <w:lang w:val="en-US" w:eastAsia="zh-CN"/>
        </w:rPr>
        <w:t>91</w:t>
      </w:r>
    </w:p>
    <w:p>
      <w:pPr>
        <w:keepNext w:val="0"/>
        <w:keepLines w:val="0"/>
        <w:pageBreakBefore w:val="0"/>
        <w:widowControl w:val="0"/>
        <w:kinsoku/>
        <w:wordWrap/>
        <w:overflowPunct/>
        <w:topLinePunct w:val="0"/>
        <w:autoSpaceDE/>
        <w:autoSpaceDN/>
        <w:bidi w:val="0"/>
        <w:adjustRightInd/>
        <w:snapToGrid/>
        <w:spacing w:line="600" w:lineRule="auto"/>
        <w:ind w:left="2650" w:leftChars="500" w:hanging="1600" w:hangingChars="500"/>
        <w:textAlignment w:val="auto"/>
        <w:outlineLvl w:val="9"/>
        <w:rPr>
          <w:rFonts w:hint="eastAsia" w:ascii="宋体"/>
          <w:color w:val="auto"/>
          <w:sz w:val="32"/>
          <w:szCs w:val="22"/>
        </w:rPr>
      </w:pPr>
      <w:r>
        <w:rPr>
          <w:rFonts w:hint="eastAsia" w:ascii="宋体"/>
          <w:color w:val="auto"/>
          <w:sz w:val="32"/>
          <w:szCs w:val="22"/>
        </w:rPr>
        <w:t>项目名称:贵驷街道东桂社区服务中心（居家养老中心）中央空调机组采购</w:t>
      </w:r>
      <w:r>
        <w:rPr>
          <w:rFonts w:hint="eastAsia" w:ascii="宋体"/>
          <w:color w:val="auto"/>
          <w:sz w:val="32"/>
          <w:szCs w:val="22"/>
          <w:lang w:eastAsia="zh-CN"/>
        </w:rPr>
        <w:t>及安装</w:t>
      </w:r>
      <w:r>
        <w:rPr>
          <w:rFonts w:hint="eastAsia" w:ascii="宋体"/>
          <w:color w:val="auto"/>
          <w:sz w:val="32"/>
          <w:szCs w:val="22"/>
        </w:rPr>
        <w:t>项目</w:t>
      </w:r>
    </w:p>
    <w:p>
      <w:pPr>
        <w:keepNext w:val="0"/>
        <w:keepLines w:val="0"/>
        <w:pageBreakBefore w:val="0"/>
        <w:widowControl w:val="0"/>
        <w:kinsoku/>
        <w:wordWrap/>
        <w:overflowPunct/>
        <w:topLinePunct w:val="0"/>
        <w:autoSpaceDE/>
        <w:autoSpaceDN/>
        <w:bidi w:val="0"/>
        <w:adjustRightInd/>
        <w:snapToGrid/>
        <w:spacing w:line="600" w:lineRule="auto"/>
        <w:ind w:left="1050" w:leftChars="500"/>
        <w:textAlignment w:val="auto"/>
        <w:outlineLvl w:val="9"/>
        <w:rPr>
          <w:rFonts w:hint="eastAsia" w:ascii="宋体"/>
          <w:color w:val="auto"/>
          <w:spacing w:val="-20"/>
          <w:sz w:val="32"/>
          <w:szCs w:val="22"/>
        </w:rPr>
      </w:pPr>
      <w:r>
        <w:rPr>
          <w:rFonts w:hint="eastAsia" w:ascii="宋体"/>
          <w:color w:val="auto"/>
          <w:sz w:val="32"/>
          <w:szCs w:val="22"/>
        </w:rPr>
        <w:t>采购人：</w:t>
      </w:r>
      <w:r>
        <w:rPr>
          <w:rFonts w:hint="eastAsia" w:ascii="宋体"/>
          <w:color w:val="auto"/>
          <w:sz w:val="32"/>
          <w:szCs w:val="22"/>
          <w:lang w:eastAsia="zh-CN"/>
        </w:rPr>
        <w:t>宁波市镇海区人民政府贵驷街道办事处</w:t>
      </w:r>
      <w:r>
        <w:rPr>
          <w:rFonts w:hint="eastAsia" w:ascii="宋体"/>
          <w:color w:val="auto"/>
          <w:spacing w:val="-20"/>
          <w:sz w:val="32"/>
          <w:szCs w:val="22"/>
        </w:rPr>
        <w:t>（盖章）</w:t>
      </w:r>
    </w:p>
    <w:p>
      <w:pPr>
        <w:keepNext w:val="0"/>
        <w:keepLines w:val="0"/>
        <w:pageBreakBefore w:val="0"/>
        <w:widowControl w:val="0"/>
        <w:kinsoku/>
        <w:wordWrap/>
        <w:overflowPunct/>
        <w:topLinePunct w:val="0"/>
        <w:autoSpaceDE/>
        <w:autoSpaceDN/>
        <w:bidi w:val="0"/>
        <w:adjustRightInd/>
        <w:snapToGrid/>
        <w:spacing w:line="600" w:lineRule="auto"/>
        <w:ind w:left="3290" w:leftChars="500" w:hanging="2240" w:hangingChars="700"/>
        <w:textAlignment w:val="auto"/>
        <w:outlineLvl w:val="9"/>
        <w:rPr>
          <w:rFonts w:hint="eastAsia" w:ascii="宋体"/>
          <w:color w:val="auto"/>
          <w:sz w:val="32"/>
          <w:szCs w:val="22"/>
        </w:rPr>
      </w:pPr>
      <w:r>
        <w:rPr>
          <w:rFonts w:hint="eastAsia" w:ascii="宋体"/>
          <w:color w:val="auto"/>
          <w:sz w:val="32"/>
          <w:szCs w:val="22"/>
        </w:rPr>
        <w:t>集中采购机构：宁波国家高新区行政服务中心（宁波国家高新区公共资源交易中心）（盖章）</w:t>
      </w:r>
    </w:p>
    <w:p>
      <w:pPr>
        <w:keepNext w:val="0"/>
        <w:keepLines w:val="0"/>
        <w:pageBreakBefore w:val="0"/>
        <w:widowControl w:val="0"/>
        <w:kinsoku/>
        <w:wordWrap/>
        <w:overflowPunct/>
        <w:topLinePunct w:val="0"/>
        <w:autoSpaceDE/>
        <w:autoSpaceDN/>
        <w:bidi w:val="0"/>
        <w:adjustRightInd/>
        <w:snapToGrid/>
        <w:spacing w:line="600" w:lineRule="auto"/>
        <w:ind w:left="1050" w:leftChars="500"/>
        <w:textAlignment w:val="auto"/>
        <w:outlineLvl w:val="9"/>
        <w:rPr>
          <w:rFonts w:hint="eastAsia" w:ascii="宋体"/>
          <w:color w:val="auto"/>
          <w:sz w:val="32"/>
          <w:szCs w:val="22"/>
        </w:rPr>
      </w:pPr>
      <w:r>
        <w:rPr>
          <w:rFonts w:hint="eastAsia" w:ascii="宋体"/>
          <w:color w:val="auto"/>
          <w:sz w:val="32"/>
          <w:szCs w:val="22"/>
        </w:rPr>
        <w:t>备案单位：宁波国家高新区政府采购办公室</w:t>
      </w:r>
    </w:p>
    <w:p>
      <w:pPr>
        <w:keepNext w:val="0"/>
        <w:keepLines w:val="0"/>
        <w:pageBreakBefore w:val="0"/>
        <w:widowControl w:val="0"/>
        <w:kinsoku/>
        <w:wordWrap/>
        <w:overflowPunct/>
        <w:topLinePunct w:val="0"/>
        <w:autoSpaceDE/>
        <w:autoSpaceDN/>
        <w:bidi w:val="0"/>
        <w:adjustRightInd/>
        <w:snapToGrid/>
        <w:spacing w:line="600" w:lineRule="auto"/>
        <w:ind w:left="1050" w:leftChars="500"/>
        <w:textAlignment w:val="auto"/>
        <w:outlineLvl w:val="9"/>
        <w:rPr>
          <w:b/>
          <w:color w:val="auto"/>
          <w:sz w:val="48"/>
        </w:rPr>
      </w:pPr>
      <w:r>
        <w:rPr>
          <w:rFonts w:hint="eastAsia" w:ascii="宋体"/>
          <w:color w:val="auto"/>
          <w:sz w:val="32"/>
          <w:szCs w:val="22"/>
        </w:rPr>
        <w:t>编制日期：2021年</w:t>
      </w:r>
      <w:r>
        <w:rPr>
          <w:rFonts w:hint="eastAsia" w:ascii="宋体"/>
          <w:color w:val="auto"/>
          <w:sz w:val="32"/>
          <w:szCs w:val="22"/>
          <w:lang w:val="en-US" w:eastAsia="zh-CN"/>
        </w:rPr>
        <w:t>10</w:t>
      </w:r>
      <w:r>
        <w:rPr>
          <w:rFonts w:hint="eastAsia" w:ascii="宋体"/>
          <w:color w:val="auto"/>
          <w:sz w:val="32"/>
          <w:szCs w:val="22"/>
        </w:rPr>
        <w:t>月</w:t>
      </w:r>
    </w:p>
    <w:p>
      <w:pPr>
        <w:tabs>
          <w:tab w:val="left" w:pos="105"/>
          <w:tab w:val="left" w:pos="735"/>
          <w:tab w:val="left" w:pos="945"/>
          <w:tab w:val="left" w:pos="3360"/>
        </w:tabs>
        <w:spacing w:line="500" w:lineRule="exact"/>
        <w:jc w:val="center"/>
        <w:rPr>
          <w:rFonts w:hint="eastAsia"/>
          <w:b/>
          <w:color w:val="auto"/>
          <w:sz w:val="48"/>
        </w:rPr>
      </w:pPr>
      <w:r>
        <w:rPr>
          <w:b/>
          <w:color w:val="auto"/>
          <w:sz w:val="48"/>
        </w:rPr>
        <w:br w:type="page"/>
      </w:r>
    </w:p>
    <w:p>
      <w:pPr>
        <w:tabs>
          <w:tab w:val="left" w:pos="105"/>
          <w:tab w:val="left" w:pos="735"/>
          <w:tab w:val="left" w:pos="945"/>
          <w:tab w:val="left" w:pos="3360"/>
        </w:tabs>
        <w:spacing w:line="500" w:lineRule="exact"/>
        <w:jc w:val="center"/>
        <w:rPr>
          <w:rFonts w:hint="eastAsia"/>
          <w:b/>
          <w:color w:val="auto"/>
          <w:sz w:val="48"/>
        </w:rPr>
      </w:pPr>
      <w:r>
        <w:rPr>
          <w:rFonts w:hint="eastAsia"/>
          <w:b/>
          <w:color w:val="auto"/>
          <w:sz w:val="48"/>
        </w:rPr>
        <w:t>目  录</w:t>
      </w:r>
    </w:p>
    <w:p>
      <w:pPr>
        <w:tabs>
          <w:tab w:val="left" w:pos="105"/>
          <w:tab w:val="left" w:pos="735"/>
          <w:tab w:val="left" w:pos="945"/>
          <w:tab w:val="left" w:pos="3360"/>
        </w:tabs>
        <w:spacing w:line="500" w:lineRule="exact"/>
        <w:rPr>
          <w:rFonts w:hint="eastAsia" w:eastAsia="仿宋_GB2312"/>
          <w:color w:val="auto"/>
          <w:sz w:val="32"/>
        </w:rPr>
      </w:pPr>
    </w:p>
    <w:p>
      <w:pPr>
        <w:tabs>
          <w:tab w:val="left" w:pos="105"/>
          <w:tab w:val="left" w:pos="735"/>
          <w:tab w:val="left" w:pos="945"/>
          <w:tab w:val="left" w:pos="3360"/>
        </w:tabs>
        <w:spacing w:line="500" w:lineRule="exact"/>
        <w:rPr>
          <w:rFonts w:ascii="宋体" w:hAnsi="宋体"/>
          <w:color w:val="auto"/>
          <w:sz w:val="32"/>
        </w:rPr>
      </w:pPr>
      <w:r>
        <w:rPr>
          <w:rFonts w:hint="eastAsia" w:ascii="宋体" w:hAnsi="宋体"/>
          <w:color w:val="auto"/>
          <w:sz w:val="32"/>
        </w:rPr>
        <w:t>第一章 专用部分</w:t>
      </w:r>
    </w:p>
    <w:p>
      <w:pPr>
        <w:tabs>
          <w:tab w:val="left" w:pos="105"/>
          <w:tab w:val="left" w:pos="735"/>
          <w:tab w:val="left" w:pos="945"/>
          <w:tab w:val="left" w:pos="3360"/>
        </w:tabs>
        <w:spacing w:line="500" w:lineRule="exact"/>
        <w:rPr>
          <w:rFonts w:ascii="宋体" w:hAnsi="宋体"/>
          <w:color w:val="auto"/>
          <w:sz w:val="32"/>
        </w:rPr>
      </w:pPr>
      <w:r>
        <w:rPr>
          <w:rFonts w:hint="eastAsia" w:ascii="宋体" w:hAnsi="宋体"/>
          <w:color w:val="auto"/>
          <w:sz w:val="32"/>
        </w:rPr>
        <w:tab/>
      </w:r>
      <w:r>
        <w:rPr>
          <w:rFonts w:hint="eastAsia" w:ascii="宋体" w:hAnsi="宋体"/>
          <w:color w:val="auto"/>
          <w:sz w:val="32"/>
        </w:rPr>
        <w:tab/>
      </w:r>
      <w:r>
        <w:rPr>
          <w:rFonts w:hint="eastAsia" w:ascii="宋体" w:hAnsi="宋体"/>
          <w:color w:val="auto"/>
          <w:sz w:val="32"/>
        </w:rPr>
        <w:t>第一部分  投标邀请</w:t>
      </w:r>
    </w:p>
    <w:p>
      <w:pPr>
        <w:tabs>
          <w:tab w:val="left" w:pos="105"/>
          <w:tab w:val="left" w:pos="945"/>
          <w:tab w:val="left" w:pos="3360"/>
        </w:tabs>
        <w:spacing w:line="500" w:lineRule="exact"/>
        <w:rPr>
          <w:rFonts w:hint="eastAsia" w:ascii="宋体" w:hAnsi="宋体"/>
          <w:color w:val="auto"/>
          <w:sz w:val="32"/>
        </w:rPr>
      </w:pPr>
      <w:r>
        <w:rPr>
          <w:rFonts w:hint="eastAsia" w:ascii="宋体" w:hAnsi="宋体"/>
          <w:color w:val="auto"/>
          <w:sz w:val="32"/>
        </w:rPr>
        <w:tab/>
      </w:r>
      <w:r>
        <w:rPr>
          <w:rFonts w:hint="eastAsia" w:ascii="宋体" w:hAnsi="宋体"/>
          <w:color w:val="auto"/>
          <w:sz w:val="32"/>
        </w:rPr>
        <w:t xml:space="preserve">    第二部分  项目需求说明及评标标准</w:t>
      </w:r>
    </w:p>
    <w:p>
      <w:pPr>
        <w:tabs>
          <w:tab w:val="left" w:pos="105"/>
          <w:tab w:val="left" w:pos="735"/>
          <w:tab w:val="left" w:pos="945"/>
          <w:tab w:val="left" w:pos="3360"/>
        </w:tabs>
        <w:spacing w:line="500" w:lineRule="exact"/>
        <w:rPr>
          <w:rFonts w:hint="eastAsia" w:ascii="宋体" w:hAnsi="宋体"/>
          <w:color w:val="auto"/>
          <w:sz w:val="32"/>
        </w:rPr>
      </w:pPr>
      <w:r>
        <w:rPr>
          <w:rFonts w:hint="eastAsia" w:ascii="宋体" w:hAnsi="宋体"/>
          <w:color w:val="auto"/>
          <w:sz w:val="32"/>
        </w:rPr>
        <w:tab/>
      </w:r>
      <w:r>
        <w:rPr>
          <w:rFonts w:hint="eastAsia" w:ascii="宋体" w:hAnsi="宋体"/>
          <w:color w:val="auto"/>
          <w:sz w:val="32"/>
        </w:rPr>
        <w:tab/>
      </w:r>
      <w:r>
        <w:rPr>
          <w:rFonts w:hint="eastAsia" w:ascii="宋体" w:hAnsi="宋体"/>
          <w:color w:val="auto"/>
          <w:sz w:val="32"/>
        </w:rPr>
        <w:t>第三部分  投标人须知资料表</w:t>
      </w:r>
    </w:p>
    <w:p>
      <w:pPr>
        <w:tabs>
          <w:tab w:val="left" w:pos="105"/>
          <w:tab w:val="left" w:pos="735"/>
          <w:tab w:val="left" w:pos="945"/>
          <w:tab w:val="left" w:pos="3360"/>
        </w:tabs>
        <w:spacing w:line="500" w:lineRule="exact"/>
        <w:rPr>
          <w:rFonts w:ascii="宋体" w:hAnsi="宋体"/>
          <w:color w:val="auto"/>
          <w:sz w:val="32"/>
        </w:rPr>
      </w:pPr>
      <w:r>
        <w:rPr>
          <w:rFonts w:hint="eastAsia" w:ascii="宋体" w:hAnsi="宋体"/>
          <w:color w:val="auto"/>
          <w:sz w:val="32"/>
        </w:rPr>
        <w:tab/>
      </w:r>
      <w:r>
        <w:rPr>
          <w:rFonts w:hint="eastAsia" w:ascii="宋体" w:hAnsi="宋体"/>
          <w:color w:val="auto"/>
          <w:sz w:val="32"/>
        </w:rPr>
        <w:t>第二章 通用部分</w:t>
      </w:r>
    </w:p>
    <w:p>
      <w:pPr>
        <w:tabs>
          <w:tab w:val="left" w:pos="105"/>
          <w:tab w:val="left" w:pos="735"/>
          <w:tab w:val="left" w:pos="945"/>
          <w:tab w:val="left" w:pos="3360"/>
        </w:tabs>
        <w:spacing w:line="500" w:lineRule="exact"/>
        <w:rPr>
          <w:rFonts w:hint="eastAsia" w:ascii="宋体" w:hAnsi="宋体"/>
          <w:color w:val="auto"/>
          <w:sz w:val="32"/>
        </w:rPr>
      </w:pPr>
      <w:r>
        <w:rPr>
          <w:rFonts w:hint="eastAsia" w:ascii="宋体" w:hAnsi="宋体"/>
          <w:color w:val="auto"/>
          <w:sz w:val="32"/>
        </w:rPr>
        <w:tab/>
      </w:r>
      <w:r>
        <w:rPr>
          <w:rFonts w:hint="eastAsia" w:ascii="宋体" w:hAnsi="宋体"/>
          <w:color w:val="auto"/>
          <w:sz w:val="32"/>
        </w:rPr>
        <w:tab/>
      </w:r>
      <w:r>
        <w:rPr>
          <w:rFonts w:hint="eastAsia" w:ascii="宋体" w:hAnsi="宋体"/>
          <w:color w:val="auto"/>
          <w:sz w:val="32"/>
        </w:rPr>
        <w:t>第四部分  投标人须知</w:t>
      </w:r>
    </w:p>
    <w:p>
      <w:pPr>
        <w:tabs>
          <w:tab w:val="left" w:pos="105"/>
          <w:tab w:val="left" w:pos="735"/>
          <w:tab w:val="left" w:pos="945"/>
          <w:tab w:val="left" w:pos="3360"/>
        </w:tabs>
        <w:spacing w:line="500" w:lineRule="exact"/>
        <w:rPr>
          <w:rFonts w:hint="eastAsia" w:ascii="宋体" w:hAnsi="宋体"/>
          <w:color w:val="auto"/>
          <w:sz w:val="32"/>
        </w:rPr>
      </w:pPr>
      <w:r>
        <w:rPr>
          <w:rFonts w:hint="eastAsia" w:ascii="宋体" w:hAnsi="宋体"/>
          <w:color w:val="auto"/>
          <w:sz w:val="32"/>
        </w:rPr>
        <w:tab/>
      </w:r>
      <w:r>
        <w:rPr>
          <w:rFonts w:hint="eastAsia" w:ascii="宋体" w:hAnsi="宋体"/>
          <w:color w:val="auto"/>
          <w:sz w:val="32"/>
        </w:rPr>
        <w:tab/>
      </w:r>
      <w:r>
        <w:rPr>
          <w:rFonts w:hint="eastAsia" w:ascii="宋体" w:hAnsi="宋体"/>
          <w:color w:val="auto"/>
          <w:sz w:val="32"/>
        </w:rPr>
        <w:t>第五部分  合同格式</w:t>
      </w:r>
    </w:p>
    <w:p>
      <w:pPr>
        <w:tabs>
          <w:tab w:val="left" w:pos="105"/>
          <w:tab w:val="left" w:pos="735"/>
          <w:tab w:val="left" w:pos="945"/>
          <w:tab w:val="left" w:pos="3360"/>
        </w:tabs>
        <w:spacing w:line="500" w:lineRule="exact"/>
        <w:rPr>
          <w:rFonts w:hint="eastAsia" w:ascii="宋体" w:hAnsi="宋体"/>
          <w:color w:val="auto"/>
          <w:sz w:val="32"/>
        </w:rPr>
      </w:pPr>
      <w:r>
        <w:rPr>
          <w:rFonts w:hint="eastAsia" w:ascii="宋体" w:hAnsi="宋体"/>
          <w:color w:val="auto"/>
          <w:sz w:val="32"/>
        </w:rPr>
        <w:tab/>
      </w:r>
      <w:r>
        <w:rPr>
          <w:rFonts w:hint="eastAsia" w:ascii="宋体" w:hAnsi="宋体"/>
          <w:color w:val="auto"/>
          <w:sz w:val="32"/>
        </w:rPr>
        <w:tab/>
      </w:r>
      <w:r>
        <w:rPr>
          <w:rFonts w:hint="eastAsia" w:ascii="宋体" w:hAnsi="宋体"/>
          <w:color w:val="auto"/>
          <w:sz w:val="32"/>
        </w:rPr>
        <w:t>第六部分  投标文件格式</w:t>
      </w:r>
    </w:p>
    <w:p>
      <w:pPr>
        <w:tabs>
          <w:tab w:val="left" w:pos="105"/>
          <w:tab w:val="left" w:pos="735"/>
          <w:tab w:val="left" w:pos="945"/>
          <w:tab w:val="left" w:pos="3360"/>
        </w:tabs>
        <w:spacing w:line="500" w:lineRule="exact"/>
        <w:rPr>
          <w:rFonts w:hint="eastAsia" w:ascii="宋体" w:hAnsi="宋体"/>
          <w:color w:val="auto"/>
          <w:sz w:val="32"/>
        </w:rPr>
      </w:pPr>
      <w:r>
        <w:rPr>
          <w:rFonts w:hint="eastAsia" w:ascii="宋体" w:hAnsi="宋体"/>
          <w:color w:val="auto"/>
          <w:sz w:val="32"/>
        </w:rPr>
        <w:tab/>
      </w:r>
      <w:r>
        <w:rPr>
          <w:rFonts w:hint="eastAsia" w:ascii="宋体" w:hAnsi="宋体"/>
          <w:color w:val="auto"/>
          <w:sz w:val="32"/>
        </w:rPr>
        <w:tab/>
      </w:r>
      <w:r>
        <w:rPr>
          <w:rFonts w:hint="eastAsia" w:ascii="宋体" w:hAnsi="宋体"/>
          <w:color w:val="auto"/>
          <w:sz w:val="32"/>
        </w:rPr>
        <w:t>第七部分  其他文件格式</w:t>
      </w:r>
    </w:p>
    <w:p>
      <w:pPr>
        <w:tabs>
          <w:tab w:val="left" w:pos="105"/>
          <w:tab w:val="left" w:pos="735"/>
          <w:tab w:val="left" w:pos="945"/>
          <w:tab w:val="left" w:pos="3360"/>
        </w:tabs>
        <w:spacing w:line="500" w:lineRule="exact"/>
        <w:rPr>
          <w:rFonts w:hint="eastAsia" w:ascii="仿宋_GB2312" w:eastAsia="仿宋_GB2312"/>
          <w:color w:val="auto"/>
          <w:sz w:val="32"/>
        </w:rPr>
      </w:pPr>
    </w:p>
    <w:p>
      <w:pPr>
        <w:jc w:val="center"/>
        <w:rPr>
          <w:rFonts w:hint="eastAsia" w:ascii="仿宋_GB2312" w:eastAsia="仿宋_GB2312"/>
          <w:b/>
          <w:color w:val="auto"/>
          <w:sz w:val="32"/>
        </w:rPr>
      </w:pPr>
      <w:r>
        <w:rPr>
          <w:rFonts w:eastAsia="黑体"/>
          <w:color w:val="auto"/>
          <w:sz w:val="32"/>
        </w:rPr>
        <w:br w:type="page"/>
      </w:r>
      <w:r>
        <w:rPr>
          <w:rFonts w:hint="eastAsia" w:eastAsia="黑体"/>
          <w:color w:val="auto"/>
          <w:sz w:val="32"/>
        </w:rPr>
        <w:t xml:space="preserve">第一部分 </w:t>
      </w:r>
      <w:r>
        <w:rPr>
          <w:rFonts w:hint="eastAsia" w:ascii="仿宋_GB2312" w:eastAsia="仿宋_GB2312"/>
          <w:b/>
          <w:color w:val="auto"/>
          <w:sz w:val="32"/>
        </w:rPr>
        <w:t>投标邀请</w:t>
      </w:r>
    </w:p>
    <w:p>
      <w:pPr>
        <w:rPr>
          <w:rFonts w:hint="eastAsia" w:ascii="宋体" w:hAnsi="宋体"/>
          <w:color w:val="auto"/>
          <w:sz w:val="24"/>
          <w:szCs w:val="24"/>
        </w:rPr>
      </w:pP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宁波国家高新区行政服务中心（宁波国家高新区公共资源交易中心）就以下项目进行公开招标，现邀请合格投标人进行加密电子投标。</w:t>
      </w:r>
    </w:p>
    <w:p>
      <w:pPr>
        <w:spacing w:line="276" w:lineRule="auto"/>
        <w:rPr>
          <w:rFonts w:hint="eastAsia" w:ascii="宋体" w:hAnsi="宋体"/>
          <w:color w:val="auto"/>
          <w:sz w:val="24"/>
          <w:szCs w:val="24"/>
        </w:rPr>
      </w:pPr>
      <w:r>
        <w:rPr>
          <w:rFonts w:hint="eastAsia" w:ascii="宋体" w:hAnsi="宋体"/>
          <w:color w:val="auto"/>
          <w:sz w:val="24"/>
          <w:szCs w:val="24"/>
        </w:rPr>
        <w:t>一、项目基本情况</w:t>
      </w:r>
    </w:p>
    <w:p>
      <w:pPr>
        <w:spacing w:line="276"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1、项目编号：21CG0200</w:t>
      </w:r>
      <w:r>
        <w:rPr>
          <w:rFonts w:hint="eastAsia" w:ascii="宋体" w:hAnsi="宋体"/>
          <w:color w:val="auto"/>
          <w:sz w:val="24"/>
          <w:szCs w:val="24"/>
          <w:lang w:val="en-US" w:eastAsia="zh-CN"/>
        </w:rPr>
        <w:t>91</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2、项目名称：贵驷街道东桂社区服务中心（居家养老中心）中央空调机组采购</w:t>
      </w:r>
      <w:r>
        <w:rPr>
          <w:rFonts w:hint="eastAsia" w:ascii="宋体" w:hAnsi="宋体"/>
          <w:color w:val="auto"/>
          <w:sz w:val="24"/>
          <w:szCs w:val="24"/>
          <w:lang w:eastAsia="zh-CN"/>
        </w:rPr>
        <w:t>及安装</w:t>
      </w:r>
      <w:r>
        <w:rPr>
          <w:rFonts w:hint="eastAsia" w:ascii="宋体" w:hAnsi="宋体"/>
          <w:color w:val="auto"/>
          <w:sz w:val="24"/>
          <w:szCs w:val="24"/>
        </w:rPr>
        <w:t>项目</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3、最高限价：人民</w:t>
      </w:r>
      <w:r>
        <w:rPr>
          <w:rFonts w:hint="eastAsia" w:ascii="宋体" w:hAnsi="宋体"/>
          <w:color w:val="auto"/>
          <w:sz w:val="24"/>
          <w:szCs w:val="24"/>
          <w:highlight w:val="none"/>
        </w:rPr>
        <w:t>币</w:t>
      </w:r>
      <w:r>
        <w:rPr>
          <w:rFonts w:hint="eastAsia" w:ascii="宋体" w:hAnsi="宋体"/>
          <w:color w:val="auto"/>
          <w:sz w:val="24"/>
          <w:szCs w:val="24"/>
          <w:highlight w:val="none"/>
          <w:lang w:val="en-US" w:eastAsia="zh-CN"/>
        </w:rPr>
        <w:t>77.547</w:t>
      </w:r>
      <w:r>
        <w:rPr>
          <w:rFonts w:hint="eastAsia" w:ascii="宋体" w:hAnsi="宋体"/>
          <w:color w:val="auto"/>
          <w:sz w:val="24"/>
          <w:szCs w:val="24"/>
          <w:highlight w:val="none"/>
        </w:rPr>
        <w:t>万元。</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4、采购需求：贵驷街道东桂社区服务中心（居家养老中心）中央空调机组采购，详见项目需求说明。</w:t>
      </w:r>
    </w:p>
    <w:p>
      <w:pPr>
        <w:spacing w:line="276" w:lineRule="auto"/>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、联合体投标：不接受</w:t>
      </w:r>
    </w:p>
    <w:p>
      <w:pPr>
        <w:spacing w:line="276" w:lineRule="auto"/>
        <w:rPr>
          <w:rFonts w:hint="eastAsia" w:ascii="宋体" w:hAnsi="宋体"/>
          <w:sz w:val="24"/>
          <w:szCs w:val="24"/>
        </w:rPr>
      </w:pPr>
      <w:r>
        <w:rPr>
          <w:rFonts w:hint="eastAsia" w:ascii="宋体" w:hAnsi="宋体"/>
          <w:sz w:val="24"/>
          <w:szCs w:val="24"/>
        </w:rPr>
        <w:t>二、投标人的资格要求</w:t>
      </w:r>
    </w:p>
    <w:p>
      <w:pPr>
        <w:spacing w:line="276" w:lineRule="auto"/>
        <w:ind w:firstLine="480" w:firstLineChars="200"/>
        <w:rPr>
          <w:rFonts w:hint="eastAsia" w:ascii="宋体" w:hAnsi="宋体"/>
          <w:sz w:val="24"/>
          <w:szCs w:val="24"/>
        </w:rPr>
      </w:pPr>
      <w:r>
        <w:rPr>
          <w:rFonts w:hint="eastAsia" w:ascii="宋体" w:hAnsi="宋体"/>
          <w:sz w:val="24"/>
          <w:szCs w:val="24"/>
        </w:rPr>
        <w:t>1、符合《政府采购法》第二十二条</w:t>
      </w:r>
      <w:r>
        <w:rPr>
          <w:rFonts w:ascii="宋体" w:hAnsi="宋体"/>
          <w:sz w:val="24"/>
          <w:szCs w:val="24"/>
        </w:rPr>
        <w:t>的规定</w:t>
      </w:r>
      <w:r>
        <w:rPr>
          <w:rFonts w:hint="eastAsia" w:ascii="宋体" w:hAnsi="宋体"/>
          <w:sz w:val="24"/>
          <w:szCs w:val="24"/>
        </w:rPr>
        <w:t>且未列入“www.creditchina.gov.cn、www.ccgp.gov.cn”网站失信被执行人、重大税收违法案件当事人名单、政府采购严重违法失信记录名单在禁止参加采购期限的供应商。</w:t>
      </w:r>
    </w:p>
    <w:p>
      <w:pPr>
        <w:spacing w:line="276" w:lineRule="auto"/>
        <w:ind w:firstLine="480" w:firstLineChars="200"/>
        <w:rPr>
          <w:rFonts w:ascii="宋体" w:hAnsi="宋体"/>
          <w:sz w:val="24"/>
          <w:szCs w:val="24"/>
        </w:rPr>
      </w:pPr>
      <w:r>
        <w:rPr>
          <w:rFonts w:hint="eastAsia" w:ascii="宋体" w:hAnsi="宋体"/>
          <w:sz w:val="24"/>
          <w:szCs w:val="24"/>
        </w:rPr>
        <w:t>2、特定资格要求：无。</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三、获取招标文件：</w:t>
      </w:r>
    </w:p>
    <w:p>
      <w:pPr>
        <w:pStyle w:val="5"/>
        <w:ind w:firstLine="480" w:firstLineChars="200"/>
        <w:rPr>
          <w:rFonts w:hint="eastAsia" w:ascii="宋体" w:hAnsi="宋体"/>
          <w:color w:val="auto"/>
          <w:kern w:val="2"/>
          <w:sz w:val="24"/>
          <w:highlight w:val="none"/>
        </w:rPr>
      </w:pPr>
      <w:r>
        <w:rPr>
          <w:rFonts w:hint="eastAsia" w:ascii="宋体" w:hAnsi="宋体"/>
          <w:color w:val="auto"/>
          <w:kern w:val="2"/>
          <w:sz w:val="24"/>
          <w:highlight w:val="none"/>
        </w:rPr>
        <w:t>时间：2021年</w:t>
      </w:r>
      <w:r>
        <w:rPr>
          <w:rFonts w:hint="eastAsia" w:ascii="宋体" w:hAnsi="宋体"/>
          <w:color w:val="auto"/>
          <w:kern w:val="2"/>
          <w:sz w:val="24"/>
          <w:highlight w:val="none"/>
          <w:lang w:val="en-US" w:eastAsia="zh-CN"/>
        </w:rPr>
        <w:t>11</w:t>
      </w:r>
      <w:r>
        <w:rPr>
          <w:rFonts w:hint="eastAsia" w:ascii="宋体" w:hAnsi="宋体"/>
          <w:color w:val="auto"/>
          <w:kern w:val="2"/>
          <w:sz w:val="24"/>
          <w:highlight w:val="none"/>
        </w:rPr>
        <w:t>月</w:t>
      </w:r>
      <w:r>
        <w:rPr>
          <w:rFonts w:hint="eastAsia" w:ascii="宋体" w:hAnsi="宋体"/>
          <w:color w:val="auto"/>
          <w:kern w:val="2"/>
          <w:sz w:val="24"/>
          <w:highlight w:val="none"/>
          <w:lang w:val="en-US" w:eastAsia="zh-CN"/>
        </w:rPr>
        <w:t>3</w:t>
      </w:r>
      <w:r>
        <w:rPr>
          <w:rFonts w:hint="eastAsia" w:ascii="宋体" w:hAnsi="宋体"/>
          <w:color w:val="auto"/>
          <w:kern w:val="2"/>
          <w:sz w:val="24"/>
          <w:highlight w:val="none"/>
        </w:rPr>
        <w:t>日至2021年</w:t>
      </w:r>
      <w:r>
        <w:rPr>
          <w:rFonts w:hint="eastAsia" w:ascii="宋体" w:hAnsi="宋体"/>
          <w:color w:val="auto"/>
          <w:kern w:val="2"/>
          <w:sz w:val="24"/>
          <w:highlight w:val="none"/>
          <w:lang w:val="en-US" w:eastAsia="zh-CN"/>
        </w:rPr>
        <w:t>11</w:t>
      </w:r>
      <w:r>
        <w:rPr>
          <w:rFonts w:hint="eastAsia" w:ascii="宋体" w:hAnsi="宋体"/>
          <w:color w:val="auto"/>
          <w:kern w:val="2"/>
          <w:sz w:val="24"/>
          <w:highlight w:val="none"/>
        </w:rPr>
        <w:t>月</w:t>
      </w:r>
      <w:r>
        <w:rPr>
          <w:rFonts w:hint="eastAsia" w:ascii="宋体" w:hAnsi="宋体"/>
          <w:color w:val="auto"/>
          <w:kern w:val="2"/>
          <w:sz w:val="24"/>
          <w:highlight w:val="none"/>
          <w:lang w:val="en-US" w:eastAsia="zh-CN"/>
        </w:rPr>
        <w:t>9</w:t>
      </w:r>
      <w:r>
        <w:rPr>
          <w:rFonts w:hint="eastAsia" w:ascii="宋体" w:hAnsi="宋体"/>
          <w:color w:val="auto"/>
          <w:kern w:val="2"/>
          <w:sz w:val="24"/>
          <w:highlight w:val="none"/>
        </w:rPr>
        <w:t>日，每天上午00:00至12:00，下午12:00至23:59（北京时间，线上获取法定节假日均可，线下获取文件法定节假日除外）</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地点（网址）：政采云平台（www.zcygov.cn）</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方式：（1）投标人登录政府采购云平台（www.zcygov.cn）的注册账号后，进入政采云系统“项目采购”模块“获取采购文件”菜单，进行网上获取招标文件。如有疑问请及时咨询网站客服，咨询电话：4008817190。（2）获取招标文件前，投标人应按照《浙江省政府采购投标人注册及诚信管理暂行办法》的规定在“浙江政府采购网（zfcg.czt.zj.gov.cn）”上进行投标人注册申请，并通过财政部门的终审后登记加入到“浙江省政府采购投标人库”。中标投标人必须注册并登记加入“浙江省政府采购投标人库”。具体要求及注册申请流程详见《浙江省政府采购投标人注册及诚信管理暂行办法》（浙财采监字{2009}28号）和浙江政府采购网“网上办事指南”的“投标人注册申请”。注册咨询电话：4008817190，如未注册的投标人，请注意注册所需时间。（3）本招标公告附件中的招标文件仅供阅览使用，投标人应在规定的招标文件提供期限内在政采云平台登录上述投标人注册的账号后获取招标文件，未在规定的招标文件提供期限内或未按上述方式获取招标文件的，其投标均视为无效，并不得对招标文件提起质疑投诉。</w:t>
      </w:r>
    </w:p>
    <w:p>
      <w:pPr>
        <w:spacing w:line="276" w:lineRule="auto"/>
        <w:rPr>
          <w:rFonts w:hint="eastAsia" w:ascii="宋体" w:hAnsi="宋体"/>
          <w:color w:val="auto"/>
          <w:sz w:val="24"/>
          <w:szCs w:val="24"/>
          <w:highlight w:val="none"/>
        </w:rPr>
      </w:pPr>
      <w:r>
        <w:rPr>
          <w:rFonts w:hint="eastAsia" w:ascii="宋体" w:hAnsi="宋体"/>
          <w:color w:val="auto"/>
          <w:sz w:val="24"/>
          <w:szCs w:val="24"/>
          <w:highlight w:val="none"/>
        </w:rPr>
        <w:t>四、电子投标和开标事项</w:t>
      </w:r>
    </w:p>
    <w:p>
      <w:pPr>
        <w:spacing w:line="276"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1、政采云电子投标开标平台：www.zcygov.cn</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2、提交电子投标文件截止时间：2021年</w:t>
      </w:r>
      <w:r>
        <w:rPr>
          <w:rFonts w:hint="eastAsia" w:ascii="宋体" w:hAnsi="宋体"/>
          <w:color w:val="auto"/>
          <w:sz w:val="24"/>
          <w:szCs w:val="24"/>
          <w:highlight w:val="none"/>
          <w:lang w:val="en-US" w:eastAsia="zh-CN"/>
        </w:rPr>
        <w:t>11</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23</w:t>
      </w:r>
      <w:r>
        <w:rPr>
          <w:rFonts w:hint="eastAsia" w:ascii="宋体" w:hAnsi="宋体"/>
          <w:color w:val="auto"/>
          <w:sz w:val="24"/>
          <w:szCs w:val="24"/>
          <w:highlight w:val="none"/>
        </w:rPr>
        <w:t>日9：00。</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3、电子投标文件解密开标时间：投标截止时间后一小时内。</w:t>
      </w:r>
    </w:p>
    <w:p>
      <w:pPr>
        <w:spacing w:line="276"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4、开标现场地址：宁波市高新区广贤路997号南楼3楼</w:t>
      </w:r>
      <w:r>
        <w:rPr>
          <w:rFonts w:hint="eastAsia" w:ascii="宋体" w:hAnsi="宋体"/>
          <w:color w:val="auto"/>
          <w:sz w:val="24"/>
          <w:szCs w:val="24"/>
          <w:highlight w:val="none"/>
          <w:lang w:val="en-US" w:eastAsia="zh-CN"/>
        </w:rPr>
        <w:t>309</w:t>
      </w:r>
      <w:r>
        <w:rPr>
          <w:rFonts w:hint="eastAsia" w:ascii="宋体" w:hAnsi="宋体"/>
          <w:color w:val="auto"/>
          <w:sz w:val="24"/>
          <w:szCs w:val="24"/>
          <w:highlight w:val="none"/>
        </w:rPr>
        <w:t>开标室。</w:t>
      </w:r>
    </w:p>
    <w:p>
      <w:pPr>
        <w:spacing w:line="276" w:lineRule="auto"/>
        <w:rPr>
          <w:rFonts w:hint="eastAsia" w:ascii="宋体" w:hAnsi="宋体"/>
          <w:sz w:val="24"/>
          <w:szCs w:val="24"/>
        </w:rPr>
      </w:pPr>
      <w:r>
        <w:rPr>
          <w:rFonts w:hint="eastAsia" w:ascii="宋体" w:hAnsi="宋体"/>
          <w:sz w:val="24"/>
          <w:szCs w:val="24"/>
        </w:rPr>
        <w:t>五、公告期限：自公告之日起5个工作日。</w:t>
      </w:r>
    </w:p>
    <w:p>
      <w:pPr>
        <w:spacing w:line="400" w:lineRule="exact"/>
        <w:rPr>
          <w:rFonts w:hint="eastAsia" w:ascii="宋体" w:hAnsi="宋体"/>
          <w:sz w:val="24"/>
          <w:szCs w:val="24"/>
        </w:rPr>
      </w:pPr>
      <w:r>
        <w:rPr>
          <w:rFonts w:hint="eastAsia" w:ascii="宋体" w:hAnsi="宋体"/>
          <w:sz w:val="24"/>
          <w:szCs w:val="24"/>
        </w:rPr>
        <w:t>六、其他补充事项：</w:t>
      </w:r>
    </w:p>
    <w:p>
      <w:pPr>
        <w:spacing w:line="276" w:lineRule="auto"/>
        <w:ind w:firstLine="480" w:firstLineChars="200"/>
        <w:rPr>
          <w:rFonts w:hint="eastAsia" w:ascii="宋体" w:hAnsi="宋体"/>
          <w:sz w:val="24"/>
          <w:szCs w:val="24"/>
        </w:rPr>
      </w:pPr>
      <w:r>
        <w:rPr>
          <w:rFonts w:hint="eastAsia" w:ascii="宋体" w:hAnsi="宋体"/>
          <w:sz w:val="24"/>
          <w:szCs w:val="24"/>
        </w:rPr>
        <w:t>1.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76" w:lineRule="auto"/>
        <w:ind w:firstLine="480" w:firstLineChars="200"/>
        <w:rPr>
          <w:rFonts w:hint="eastAsia" w:ascii="宋体" w:hAnsi="宋体"/>
          <w:sz w:val="24"/>
          <w:szCs w:val="24"/>
        </w:rPr>
      </w:pPr>
      <w:r>
        <w:rPr>
          <w:rFonts w:hint="eastAsia" w:ascii="宋体" w:hAnsi="宋体"/>
          <w:sz w:val="24"/>
          <w:szCs w:val="24"/>
        </w:rPr>
        <w:t>2.其他事项：（1）单位负责人为同一人或者存在直接控股、管理关系的不同投标人，不得参加同一子包号的投标。（2）为本项目提供整体设计、规范编制或者项目管理、监理、检测等服务的投标人，不得再参加本项目的投标。（3）落实的政策：《关于促进残疾人就业政府采购政策的通知》（财库[2017]141号）、</w:t>
      </w:r>
      <w:r>
        <w:rPr>
          <w:rFonts w:hint="eastAsia" w:ascii="宋体" w:hAnsi="宋体" w:cs="宋体"/>
          <w:kern w:val="0"/>
          <w:sz w:val="24"/>
          <w:szCs w:val="24"/>
        </w:rPr>
        <w:t>《政府采购促进中小企业发展管理办法》（财库[2020]46号）</w:t>
      </w:r>
      <w:r>
        <w:rPr>
          <w:rFonts w:hint="eastAsia" w:ascii="宋体" w:hAnsi="宋体"/>
          <w:sz w:val="24"/>
          <w:szCs w:val="24"/>
        </w:rPr>
        <w:t>、《关于政府采购支持监狱企业发展有关问题的通知》(财库[2014]68号)、《关于环境标志产品政府采购实施的意见》（财库〔2006〕90号）、《节能产品政府采购实施意见》的通知（财库〔2004〕185号）</w:t>
      </w:r>
    </w:p>
    <w:p>
      <w:pPr>
        <w:spacing w:line="276" w:lineRule="auto"/>
        <w:rPr>
          <w:rFonts w:hint="eastAsia" w:ascii="宋体" w:hAnsi="宋体"/>
          <w:sz w:val="24"/>
          <w:szCs w:val="24"/>
        </w:rPr>
      </w:pPr>
      <w:r>
        <w:rPr>
          <w:rFonts w:hint="eastAsia" w:ascii="宋体" w:hAnsi="宋体"/>
          <w:sz w:val="24"/>
          <w:szCs w:val="24"/>
        </w:rPr>
        <w:t>七、对本次采购提出询问，请按以下方式联系。</w:t>
      </w:r>
    </w:p>
    <w:p>
      <w:pPr>
        <w:spacing w:line="276" w:lineRule="auto"/>
        <w:ind w:firstLine="480" w:firstLineChars="200"/>
        <w:rPr>
          <w:rFonts w:hint="eastAsia" w:ascii="宋体" w:hAnsi="宋体"/>
          <w:sz w:val="24"/>
          <w:szCs w:val="24"/>
        </w:rPr>
      </w:pPr>
      <w:r>
        <w:rPr>
          <w:rFonts w:hint="eastAsia" w:ascii="宋体" w:hAnsi="宋体"/>
          <w:sz w:val="24"/>
          <w:szCs w:val="24"/>
        </w:rPr>
        <w:t>1、采购人：</w:t>
      </w:r>
      <w:r>
        <w:rPr>
          <w:rFonts w:hint="eastAsia" w:ascii="宋体" w:hAnsi="宋体"/>
          <w:sz w:val="24"/>
          <w:szCs w:val="24"/>
          <w:lang w:eastAsia="zh-CN"/>
        </w:rPr>
        <w:t>宁波市镇海区人民政府贵驷街道办事处</w:t>
      </w:r>
      <w:r>
        <w:rPr>
          <w:rFonts w:hint="eastAsia" w:ascii="宋体" w:hAnsi="宋体"/>
          <w:sz w:val="24"/>
          <w:szCs w:val="24"/>
        </w:rPr>
        <w:t xml:space="preserve"> 联系人:</w:t>
      </w:r>
      <w:r>
        <w:rPr>
          <w:rFonts w:hint="eastAsia" w:ascii="宋体" w:hAnsi="宋体"/>
          <w:sz w:val="24"/>
          <w:szCs w:val="24"/>
          <w:lang w:eastAsia="zh-CN"/>
        </w:rPr>
        <w:t>王</w:t>
      </w:r>
      <w:r>
        <w:rPr>
          <w:rFonts w:hint="eastAsia" w:ascii="宋体" w:hAnsi="宋体"/>
          <w:sz w:val="24"/>
          <w:szCs w:val="24"/>
        </w:rPr>
        <w:t>老师 电话：</w:t>
      </w:r>
      <w:r>
        <w:rPr>
          <w:rFonts w:hint="eastAsia" w:ascii="宋体" w:hAnsi="宋体"/>
          <w:sz w:val="24"/>
          <w:szCs w:val="24"/>
          <w:lang w:val="en-US" w:eastAsia="zh-CN"/>
        </w:rPr>
        <w:t>0574-86559037</w:t>
      </w:r>
      <w:r>
        <w:rPr>
          <w:rFonts w:hint="eastAsia" w:ascii="宋体" w:hAnsi="宋体"/>
          <w:sz w:val="24"/>
          <w:szCs w:val="24"/>
        </w:rPr>
        <w:t xml:space="preserve"> 地址：宁波市镇海区镇骆西路1091号贵驷街道办事处。</w:t>
      </w:r>
    </w:p>
    <w:p>
      <w:pPr>
        <w:spacing w:line="276" w:lineRule="auto"/>
        <w:ind w:firstLine="480" w:firstLineChars="200"/>
        <w:rPr>
          <w:rFonts w:hint="eastAsia" w:ascii="宋体" w:hAnsi="宋体"/>
          <w:sz w:val="24"/>
          <w:szCs w:val="24"/>
        </w:rPr>
      </w:pPr>
      <w:r>
        <w:rPr>
          <w:rFonts w:hint="eastAsia" w:ascii="宋体" w:hAnsi="宋体"/>
          <w:sz w:val="24"/>
          <w:szCs w:val="24"/>
        </w:rPr>
        <w:t>2、集中采购机构：宁波国家高新区行政服务中心（宁波国家高新区公共资源交易中心）</w:t>
      </w:r>
    </w:p>
    <w:p>
      <w:pPr>
        <w:spacing w:line="276" w:lineRule="auto"/>
        <w:ind w:firstLine="480" w:firstLineChars="200"/>
        <w:rPr>
          <w:rFonts w:hint="eastAsia" w:ascii="宋体" w:hAnsi="宋体"/>
          <w:sz w:val="24"/>
          <w:szCs w:val="24"/>
        </w:rPr>
      </w:pPr>
      <w:r>
        <w:rPr>
          <w:rFonts w:hint="eastAsia" w:ascii="宋体" w:hAnsi="宋体"/>
          <w:sz w:val="24"/>
          <w:szCs w:val="24"/>
        </w:rPr>
        <w:t>项目联系人：马老师、</w:t>
      </w:r>
      <w:r>
        <w:rPr>
          <w:rFonts w:hint="eastAsia" w:ascii="宋体" w:hAnsi="宋体"/>
          <w:sz w:val="24"/>
          <w:szCs w:val="24"/>
          <w:lang w:eastAsia="zh-CN"/>
        </w:rPr>
        <w:t>赵</w:t>
      </w:r>
      <w:r>
        <w:rPr>
          <w:rFonts w:hint="eastAsia" w:ascii="宋体" w:hAnsi="宋体"/>
          <w:sz w:val="24"/>
          <w:szCs w:val="24"/>
        </w:rPr>
        <w:t>老师</w:t>
      </w:r>
      <w:r>
        <w:rPr>
          <w:rFonts w:hint="eastAsia" w:ascii="宋体" w:hAnsi="宋体"/>
          <w:szCs w:val="21"/>
        </w:rPr>
        <w:t xml:space="preserve"> </w:t>
      </w:r>
      <w:r>
        <w:rPr>
          <w:rFonts w:hint="eastAsia" w:ascii="宋体" w:hAnsi="宋体"/>
          <w:sz w:val="24"/>
          <w:szCs w:val="24"/>
        </w:rPr>
        <w:tab/>
      </w:r>
      <w:r>
        <w:rPr>
          <w:rFonts w:hint="eastAsia" w:ascii="宋体" w:hAnsi="宋体"/>
          <w:sz w:val="24"/>
          <w:szCs w:val="24"/>
        </w:rPr>
        <w:t>TEL：0574-89288917</w:t>
      </w:r>
      <w:r>
        <w:rPr>
          <w:rFonts w:hint="eastAsia" w:ascii="宋体" w:hAnsi="宋体"/>
          <w:sz w:val="24"/>
          <w:szCs w:val="24"/>
          <w:lang w:eastAsia="zh-CN"/>
        </w:rPr>
        <w:t>、</w:t>
      </w:r>
      <w:r>
        <w:rPr>
          <w:rFonts w:hint="eastAsia" w:ascii="宋体" w:hAnsi="宋体"/>
          <w:sz w:val="24"/>
          <w:szCs w:val="24"/>
        </w:rPr>
        <w:t>0574-89288918</w:t>
      </w:r>
      <w:r>
        <w:rPr>
          <w:rFonts w:hint="eastAsia" w:ascii="宋体" w:hAnsi="宋体"/>
          <w:sz w:val="24"/>
          <w:szCs w:val="24"/>
        </w:rPr>
        <w:tab/>
      </w:r>
      <w:r>
        <w:rPr>
          <w:rFonts w:hint="eastAsia" w:ascii="宋体" w:hAnsi="宋体"/>
          <w:sz w:val="24"/>
          <w:szCs w:val="24"/>
        </w:rPr>
        <w:t>FAX：0574-89288918</w:t>
      </w:r>
    </w:p>
    <w:p>
      <w:pPr>
        <w:spacing w:line="276" w:lineRule="auto"/>
        <w:ind w:firstLine="480" w:firstLineChars="200"/>
        <w:rPr>
          <w:rFonts w:ascii="宋体" w:hAnsi="宋体"/>
          <w:sz w:val="24"/>
          <w:szCs w:val="24"/>
        </w:rPr>
      </w:pPr>
      <w:r>
        <w:rPr>
          <w:rFonts w:hint="eastAsia" w:ascii="宋体" w:hAnsi="宋体"/>
          <w:sz w:val="24"/>
          <w:szCs w:val="24"/>
        </w:rPr>
        <w:t>地址：宁波市高新区广贤路997号南楼3楼  邮编：315040</w:t>
      </w:r>
    </w:p>
    <w:p>
      <w:pPr>
        <w:spacing w:line="440" w:lineRule="exact"/>
        <w:jc w:val="center"/>
        <w:rPr>
          <w:rFonts w:ascii="宋体" w:hAnsi="宋体"/>
          <w:b/>
          <w:sz w:val="36"/>
        </w:rPr>
      </w:pPr>
      <w:r>
        <w:rPr>
          <w:rFonts w:eastAsia="黑体"/>
          <w:b w:val="0"/>
          <w:bCs w:val="0"/>
          <w:sz w:val="32"/>
        </w:rPr>
        <w:br w:type="page"/>
      </w:r>
      <w:r>
        <w:rPr>
          <w:rFonts w:hint="eastAsia" w:ascii="宋体" w:hAnsi="宋体"/>
          <w:b/>
          <w:sz w:val="36"/>
        </w:rPr>
        <w:t>第二部分  项目需求说明及评标标准</w:t>
      </w:r>
    </w:p>
    <w:p>
      <w:pPr>
        <w:spacing w:line="440" w:lineRule="exact"/>
        <w:rPr>
          <w:rFonts w:hint="eastAsia" w:ascii="宋体" w:hAnsi="宋体"/>
          <w:b/>
          <w:sz w:val="32"/>
        </w:rPr>
      </w:pPr>
    </w:p>
    <w:p>
      <w:pPr>
        <w:tabs>
          <w:tab w:val="left" w:pos="2520"/>
        </w:tabs>
        <w:ind w:left="1" w:hanging="1"/>
        <w:rPr>
          <w:rFonts w:hint="eastAsia"/>
          <w:b/>
          <w:sz w:val="28"/>
        </w:rPr>
      </w:pPr>
      <w:r>
        <w:rPr>
          <w:rFonts w:hint="eastAsia"/>
          <w:b/>
          <w:sz w:val="32"/>
        </w:rPr>
        <w:t>特别申明</w:t>
      </w:r>
      <w:r>
        <w:rPr>
          <w:rFonts w:hint="eastAsia"/>
          <w:b/>
          <w:sz w:val="28"/>
        </w:rPr>
        <w:t>：</w:t>
      </w:r>
    </w:p>
    <w:p>
      <w:pPr>
        <w:numPr>
          <w:ilvl w:val="0"/>
          <w:numId w:val="3"/>
        </w:numPr>
        <w:tabs>
          <w:tab w:val="left" w:pos="2520"/>
        </w:tabs>
        <w:ind w:left="1" w:hanging="1"/>
        <w:rPr>
          <w:rFonts w:hint="eastAsia"/>
          <w:b/>
          <w:sz w:val="24"/>
        </w:rPr>
      </w:pPr>
      <w:r>
        <w:rPr>
          <w:rFonts w:hint="eastAsia"/>
          <w:b/>
          <w:sz w:val="24"/>
        </w:rPr>
        <w:t>任何违反《政府采购法实施条例》第20条规定的要求均为无效采购需求。</w:t>
      </w:r>
    </w:p>
    <w:p>
      <w:pPr>
        <w:numPr>
          <w:ilvl w:val="0"/>
          <w:numId w:val="3"/>
        </w:numPr>
        <w:tabs>
          <w:tab w:val="left" w:pos="2520"/>
        </w:tabs>
        <w:ind w:left="1" w:hanging="1"/>
        <w:rPr>
          <w:rFonts w:hint="eastAsia"/>
          <w:b/>
          <w:bCs w:val="0"/>
          <w:sz w:val="24"/>
        </w:rPr>
      </w:pPr>
      <w:r>
        <w:rPr>
          <w:rFonts w:hint="eastAsia"/>
          <w:b/>
          <w:bCs w:val="0"/>
          <w:sz w:val="24"/>
        </w:rPr>
        <w:t>不得将注册资金、资产总额、营业收入、从业人员、利润、纳税额等供应商规模条件作为资格要求或者评审因素，不得将除进口产品以外的生产厂家的授权、承诺、证明、背书等作为资格要求。</w:t>
      </w:r>
    </w:p>
    <w:p>
      <w:pPr>
        <w:numPr>
          <w:ilvl w:val="0"/>
          <w:numId w:val="3"/>
        </w:numPr>
        <w:jc w:val="left"/>
        <w:rPr>
          <w:rFonts w:ascii="宋体" w:hAnsi="宋体"/>
          <w:b/>
          <w:bCs w:val="0"/>
          <w:sz w:val="24"/>
          <w:szCs w:val="24"/>
        </w:rPr>
      </w:pPr>
      <w:r>
        <w:rPr>
          <w:rFonts w:hint="eastAsia" w:ascii="宋体" w:hAnsi="宋体"/>
          <w:b/>
          <w:bCs w:val="0"/>
          <w:sz w:val="24"/>
          <w:szCs w:val="24"/>
        </w:rPr>
        <w:t>招标文件提供的数据资料仅为投标参考使用，详细信息投标方可以实地踏勘现场调查核实，中标后，供应商不得以不完全了解施工现场和周围环境情况为借口，提出额外补偿的要求！</w:t>
      </w:r>
    </w:p>
    <w:p>
      <w:pPr>
        <w:numPr>
          <w:ilvl w:val="0"/>
          <w:numId w:val="3"/>
        </w:numPr>
        <w:tabs>
          <w:tab w:val="left" w:pos="2520"/>
        </w:tabs>
        <w:ind w:left="1" w:hanging="1"/>
        <w:rPr>
          <w:b/>
          <w:bCs w:val="0"/>
        </w:rPr>
      </w:pPr>
      <w:r>
        <w:rPr>
          <w:rFonts w:hint="eastAsia"/>
          <w:b/>
          <w:bCs w:val="0"/>
          <w:sz w:val="24"/>
        </w:rPr>
        <w:t>项目需求中出现的品牌型号仅供参考，欢迎其他相当的产品投标。</w:t>
      </w:r>
    </w:p>
    <w:p>
      <w:pPr>
        <w:numPr>
          <w:ilvl w:val="0"/>
          <w:numId w:val="3"/>
        </w:numPr>
        <w:jc w:val="left"/>
        <w:rPr>
          <w:rFonts w:hint="eastAsia" w:ascii="宋体" w:hAnsi="宋体"/>
          <w:b/>
          <w:bCs/>
          <w:sz w:val="24"/>
          <w:szCs w:val="24"/>
        </w:rPr>
      </w:pPr>
      <w:r>
        <w:rPr>
          <w:rFonts w:hint="eastAsia" w:ascii="宋体" w:hAnsi="宋体"/>
          <w:b/>
          <w:bCs w:val="0"/>
          <w:sz w:val="24"/>
          <w:szCs w:val="24"/>
        </w:rPr>
        <w:t>招标文件要求合同、资质、证明等资料需原件扫描并盖章编制到投标书中</w:t>
      </w:r>
      <w:r>
        <w:rPr>
          <w:rFonts w:hint="eastAsia" w:ascii="宋体" w:hAnsi="宋体"/>
          <w:b/>
          <w:bCs/>
          <w:sz w:val="24"/>
          <w:szCs w:val="24"/>
        </w:rPr>
        <w:t>。</w:t>
      </w:r>
    </w:p>
    <w:p>
      <w:pPr>
        <w:numPr>
          <w:ilvl w:val="0"/>
          <w:numId w:val="3"/>
        </w:numPr>
        <w:jc w:val="left"/>
        <w:rPr>
          <w:rFonts w:hint="eastAsia"/>
          <w:b/>
          <w:sz w:val="24"/>
        </w:rPr>
      </w:pPr>
      <w:r>
        <w:rPr>
          <w:rFonts w:hint="eastAsia" w:ascii="宋体" w:hAnsi="宋体"/>
          <w:b/>
          <w:bCs/>
          <w:sz w:val="24"/>
          <w:szCs w:val="24"/>
        </w:rPr>
        <w:t>投标人应列出报价的明细构成表，并附上每项报价的计算方法、过程及依据。</w:t>
      </w:r>
    </w:p>
    <w:p>
      <w:pPr>
        <w:numPr>
          <w:ilvl w:val="0"/>
          <w:numId w:val="3"/>
        </w:numPr>
        <w:jc w:val="left"/>
        <w:rPr>
          <w:rFonts w:hint="eastAsia" w:ascii="宋体" w:hAnsi="宋体"/>
          <w:b/>
          <w:bCs/>
          <w:sz w:val="24"/>
          <w:szCs w:val="24"/>
        </w:rPr>
      </w:pPr>
      <w:r>
        <w:rPr>
          <w:rFonts w:hint="eastAsia" w:ascii="宋体" w:hAnsi="宋体"/>
          <w:b/>
          <w:bCs/>
          <w:sz w:val="24"/>
          <w:szCs w:val="24"/>
        </w:rPr>
        <w:t>以“</w:t>
      </w:r>
      <w:r>
        <w:rPr>
          <w:rFonts w:hint="eastAsia" w:ascii="宋体" w:hAnsi="宋体"/>
        </w:rPr>
        <w:t>★</w:t>
      </w:r>
      <w:r>
        <w:rPr>
          <w:rFonts w:hint="eastAsia" w:ascii="宋体" w:hAnsi="宋体"/>
          <w:b/>
          <w:bCs/>
          <w:sz w:val="24"/>
          <w:szCs w:val="24"/>
        </w:rPr>
        <w:t>”标识的为实质性条款。</w:t>
      </w:r>
    </w:p>
    <w:p>
      <w:pPr>
        <w:tabs>
          <w:tab w:val="left" w:pos="2520"/>
        </w:tabs>
        <w:ind w:left="1" w:hanging="1"/>
        <w:rPr>
          <w:sz w:val="24"/>
        </w:rPr>
      </w:pPr>
    </w:p>
    <w:p>
      <w:pPr>
        <w:pStyle w:val="73"/>
        <w:ind w:firstLine="267" w:firstLineChars="83"/>
        <w:jc w:val="center"/>
        <w:rPr>
          <w:rFonts w:hint="eastAsia" w:ascii="Arial" w:hAnsi="Arial"/>
        </w:rPr>
      </w:pPr>
      <w:r>
        <w:rPr>
          <w:rFonts w:hint="eastAsia"/>
          <w:b/>
          <w:sz w:val="32"/>
        </w:rPr>
        <w:t>项目需求说明</w:t>
      </w:r>
      <w:r>
        <w:rPr>
          <w:rFonts w:hint="eastAsia"/>
          <w:b/>
          <w:sz w:val="28"/>
        </w:rPr>
        <w:t>：</w:t>
      </w:r>
    </w:p>
    <w:p>
      <w:pPr>
        <w:pStyle w:val="73"/>
        <w:ind w:firstLine="0" w:firstLineChars="0"/>
        <w:rPr>
          <w:rFonts w:hint="eastAsia" w:ascii="宋体" w:hAnsi="宋体" w:cs="Tahoma"/>
        </w:rPr>
      </w:pPr>
    </w:p>
    <w:p>
      <w:pPr>
        <w:pStyle w:val="5"/>
        <w:ind w:firstLine="420"/>
        <w:rPr>
          <w:rFonts w:hint="eastAsia" w:ascii="宋体" w:hAnsi="宋体"/>
          <w:b/>
          <w:kern w:val="2"/>
          <w:sz w:val="28"/>
          <w:szCs w:val="28"/>
        </w:rPr>
      </w:pPr>
      <w:r>
        <w:rPr>
          <w:rFonts w:hint="eastAsia" w:ascii="宋体" w:hAnsi="宋体"/>
          <w:b/>
          <w:kern w:val="2"/>
          <w:sz w:val="28"/>
          <w:szCs w:val="28"/>
        </w:rPr>
        <w:t>一、前附表</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2270"/>
        <w:gridCol w:w="5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673" w:type="dxa"/>
            <w:tcBorders>
              <w:top w:val="single" w:color="000000" w:sz="10" w:space="0"/>
              <w:left w:val="single" w:color="000000" w:sz="10" w:space="0"/>
            </w:tcBorders>
            <w:noWrap w:val="0"/>
            <w:vAlign w:val="center"/>
          </w:tcPr>
          <w:p>
            <w:pPr>
              <w:pStyle w:val="68"/>
            </w:pPr>
            <w:r>
              <w:t>序号</w:t>
            </w:r>
          </w:p>
        </w:tc>
        <w:tc>
          <w:tcPr>
            <w:tcW w:w="2270" w:type="dxa"/>
            <w:tcBorders>
              <w:top w:val="single" w:color="000000" w:sz="10" w:space="0"/>
              <w:right w:val="single" w:color="000000" w:sz="2" w:space="0"/>
            </w:tcBorders>
            <w:noWrap w:val="0"/>
            <w:vAlign w:val="center"/>
          </w:tcPr>
          <w:p>
            <w:pPr>
              <w:pStyle w:val="68"/>
            </w:pPr>
            <w:r>
              <w:t>项目</w:t>
            </w:r>
          </w:p>
        </w:tc>
        <w:tc>
          <w:tcPr>
            <w:tcW w:w="5579" w:type="dxa"/>
            <w:tcBorders>
              <w:top w:val="single" w:color="000000" w:sz="10" w:space="0"/>
              <w:left w:val="single" w:color="000000" w:sz="2" w:space="0"/>
              <w:right w:val="single" w:color="000000" w:sz="10" w:space="0"/>
            </w:tcBorders>
            <w:noWrap w:val="0"/>
            <w:vAlign w:val="center"/>
          </w:tcPr>
          <w:p>
            <w:pPr>
              <w:pStyle w:val="68"/>
            </w:pPr>
            <w:r>
              <w:t>招标需求内容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3" w:type="dxa"/>
            <w:tcBorders>
              <w:left w:val="single" w:color="000000" w:sz="10" w:space="0"/>
            </w:tcBorders>
            <w:noWrap w:val="0"/>
            <w:vAlign w:val="center"/>
          </w:tcPr>
          <w:p>
            <w:pPr>
              <w:pStyle w:val="68"/>
            </w:pPr>
            <w:r>
              <w:t>1</w:t>
            </w:r>
          </w:p>
        </w:tc>
        <w:tc>
          <w:tcPr>
            <w:tcW w:w="2270" w:type="dxa"/>
            <w:tcBorders>
              <w:right w:val="single" w:color="000000" w:sz="2" w:space="0"/>
            </w:tcBorders>
            <w:noWrap w:val="0"/>
            <w:vAlign w:val="center"/>
          </w:tcPr>
          <w:p>
            <w:pPr>
              <w:pStyle w:val="68"/>
            </w:pPr>
            <w:r>
              <w:t>采购内容</w:t>
            </w:r>
          </w:p>
        </w:tc>
        <w:tc>
          <w:tcPr>
            <w:tcW w:w="5579" w:type="dxa"/>
            <w:tcBorders>
              <w:left w:val="single" w:color="000000" w:sz="2" w:space="0"/>
              <w:right w:val="single" w:color="000000" w:sz="10" w:space="0"/>
            </w:tcBorders>
            <w:noWrap w:val="0"/>
            <w:vAlign w:val="center"/>
          </w:tcPr>
          <w:p>
            <w:pPr>
              <w:pStyle w:val="68"/>
            </w:pPr>
            <w:r>
              <w:t>贵驷街道东桂社区服务中心（居家养老中心）中央空调机组采</w:t>
            </w:r>
            <w:r>
              <w:rPr>
                <w:color w:val="auto"/>
              </w:rPr>
              <w:t>购</w:t>
            </w:r>
            <w:r>
              <w:rPr>
                <w:rFonts w:hint="eastAsia"/>
                <w:color w:val="auto"/>
                <w:lang w:eastAsia="zh-CN"/>
              </w:rPr>
              <w:t>及安装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673" w:type="dxa"/>
            <w:tcBorders>
              <w:left w:val="single" w:color="000000" w:sz="10" w:space="0"/>
            </w:tcBorders>
            <w:noWrap w:val="0"/>
            <w:vAlign w:val="center"/>
          </w:tcPr>
          <w:p>
            <w:pPr>
              <w:pStyle w:val="68"/>
            </w:pPr>
            <w:r>
              <w:t>2</w:t>
            </w:r>
          </w:p>
        </w:tc>
        <w:tc>
          <w:tcPr>
            <w:tcW w:w="2270" w:type="dxa"/>
            <w:tcBorders>
              <w:right w:val="single" w:color="000000" w:sz="2" w:space="0"/>
            </w:tcBorders>
            <w:noWrap w:val="0"/>
            <w:vAlign w:val="center"/>
          </w:tcPr>
          <w:p>
            <w:pPr>
              <w:pStyle w:val="68"/>
            </w:pPr>
            <w:r>
              <w:t>单位及数量</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673" w:type="dxa"/>
            <w:tcBorders>
              <w:left w:val="single" w:color="000000" w:sz="10" w:space="0"/>
            </w:tcBorders>
            <w:noWrap w:val="0"/>
            <w:vAlign w:val="center"/>
          </w:tcPr>
          <w:p>
            <w:pPr>
              <w:pStyle w:val="68"/>
              <w:rPr>
                <w:rFonts w:hint="eastAsia" w:eastAsia="宋体"/>
                <w:lang w:eastAsia="zh-CN"/>
              </w:rPr>
            </w:pPr>
            <w:r>
              <w:rPr>
                <w:rFonts w:hint="eastAsia"/>
                <w:lang w:val="en-US" w:eastAsia="zh-CN"/>
              </w:rPr>
              <w:t>3</w:t>
            </w:r>
          </w:p>
        </w:tc>
        <w:tc>
          <w:tcPr>
            <w:tcW w:w="2270" w:type="dxa"/>
            <w:tcBorders>
              <w:right w:val="single" w:color="000000" w:sz="2" w:space="0"/>
            </w:tcBorders>
            <w:noWrap w:val="0"/>
            <w:vAlign w:val="center"/>
          </w:tcPr>
          <w:p>
            <w:pPr>
              <w:pStyle w:val="68"/>
            </w:pPr>
            <w:r>
              <w:t>需实现的功能或者目标</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3" w:hRule="atLeast"/>
        </w:trPr>
        <w:tc>
          <w:tcPr>
            <w:tcW w:w="673" w:type="dxa"/>
            <w:tcBorders>
              <w:left w:val="single" w:color="000000" w:sz="10" w:space="0"/>
            </w:tcBorders>
            <w:noWrap w:val="0"/>
            <w:vAlign w:val="center"/>
          </w:tcPr>
          <w:p>
            <w:pPr>
              <w:pStyle w:val="68"/>
              <w:rPr>
                <w:rFonts w:hint="default" w:eastAsia="宋体"/>
                <w:lang w:val="en-US" w:eastAsia="zh-CN"/>
              </w:rPr>
            </w:pPr>
            <w:r>
              <w:rPr>
                <w:rFonts w:hint="eastAsia"/>
                <w:lang w:val="en-US" w:eastAsia="zh-CN"/>
              </w:rPr>
              <w:t>4</w:t>
            </w:r>
          </w:p>
        </w:tc>
        <w:tc>
          <w:tcPr>
            <w:tcW w:w="2270" w:type="dxa"/>
            <w:tcBorders>
              <w:right w:val="single" w:color="000000" w:sz="2" w:space="0"/>
            </w:tcBorders>
            <w:noWrap w:val="0"/>
            <w:vAlign w:val="center"/>
          </w:tcPr>
          <w:p>
            <w:pPr>
              <w:pStyle w:val="68"/>
            </w:pPr>
            <w:r>
              <w:t>执行的国家相关标准、行业标准、地方标准或者其它标准、规范</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673" w:type="dxa"/>
            <w:tcBorders>
              <w:left w:val="single" w:color="000000" w:sz="10" w:space="0"/>
            </w:tcBorders>
            <w:noWrap w:val="0"/>
            <w:vAlign w:val="center"/>
          </w:tcPr>
          <w:p>
            <w:pPr>
              <w:pStyle w:val="68"/>
              <w:rPr>
                <w:rFonts w:hint="eastAsia" w:eastAsia="宋体"/>
                <w:lang w:eastAsia="zh-CN"/>
              </w:rPr>
            </w:pPr>
            <w:r>
              <w:rPr>
                <w:rFonts w:hint="eastAsia"/>
                <w:lang w:val="en-US" w:eastAsia="zh-CN"/>
              </w:rPr>
              <w:t>5</w:t>
            </w:r>
          </w:p>
        </w:tc>
        <w:tc>
          <w:tcPr>
            <w:tcW w:w="2270" w:type="dxa"/>
            <w:tcBorders>
              <w:right w:val="single" w:color="000000" w:sz="2" w:space="0"/>
            </w:tcBorders>
            <w:noWrap w:val="0"/>
            <w:vAlign w:val="center"/>
          </w:tcPr>
          <w:p>
            <w:pPr>
              <w:pStyle w:val="68"/>
            </w:pPr>
            <w:r>
              <w:t>技术规格要求</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673" w:type="dxa"/>
            <w:tcBorders>
              <w:left w:val="single" w:color="000000" w:sz="10" w:space="0"/>
            </w:tcBorders>
            <w:noWrap w:val="0"/>
            <w:vAlign w:val="center"/>
          </w:tcPr>
          <w:p>
            <w:pPr>
              <w:pStyle w:val="68"/>
              <w:rPr>
                <w:rFonts w:hint="eastAsia" w:eastAsia="宋体"/>
                <w:lang w:eastAsia="zh-CN"/>
              </w:rPr>
            </w:pPr>
            <w:r>
              <w:rPr>
                <w:rFonts w:hint="eastAsia"/>
                <w:lang w:val="en-US" w:eastAsia="zh-CN"/>
              </w:rPr>
              <w:t>6</w:t>
            </w:r>
          </w:p>
        </w:tc>
        <w:tc>
          <w:tcPr>
            <w:tcW w:w="2270" w:type="dxa"/>
            <w:tcBorders>
              <w:right w:val="single" w:color="000000" w:sz="2" w:space="0"/>
            </w:tcBorders>
            <w:noWrap w:val="0"/>
            <w:vAlign w:val="center"/>
          </w:tcPr>
          <w:p>
            <w:pPr>
              <w:pStyle w:val="68"/>
            </w:pPr>
            <w:r>
              <w:t>物理特性要求</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673" w:type="dxa"/>
            <w:tcBorders>
              <w:left w:val="single" w:color="000000" w:sz="10" w:space="0"/>
            </w:tcBorders>
            <w:noWrap w:val="0"/>
            <w:vAlign w:val="center"/>
          </w:tcPr>
          <w:p>
            <w:pPr>
              <w:pStyle w:val="68"/>
              <w:rPr>
                <w:rFonts w:hint="eastAsia" w:eastAsia="宋体"/>
                <w:lang w:eastAsia="zh-CN"/>
              </w:rPr>
            </w:pPr>
            <w:r>
              <w:rPr>
                <w:rFonts w:hint="eastAsia"/>
                <w:lang w:val="en-US" w:eastAsia="zh-CN"/>
              </w:rPr>
              <w:t>7</w:t>
            </w:r>
          </w:p>
        </w:tc>
        <w:tc>
          <w:tcPr>
            <w:tcW w:w="2270" w:type="dxa"/>
            <w:tcBorders>
              <w:right w:val="single" w:color="000000" w:sz="2" w:space="0"/>
            </w:tcBorders>
            <w:noWrap w:val="0"/>
            <w:vAlign w:val="center"/>
          </w:tcPr>
          <w:p>
            <w:pPr>
              <w:pStyle w:val="68"/>
            </w:pPr>
            <w:r>
              <w:t>质量、安全要求</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673" w:type="dxa"/>
            <w:tcBorders>
              <w:left w:val="single" w:color="000000" w:sz="10" w:space="0"/>
            </w:tcBorders>
            <w:noWrap w:val="0"/>
            <w:vAlign w:val="center"/>
          </w:tcPr>
          <w:p>
            <w:pPr>
              <w:pStyle w:val="68"/>
              <w:rPr>
                <w:rFonts w:hint="eastAsia" w:eastAsia="宋体"/>
                <w:lang w:eastAsia="zh-CN"/>
              </w:rPr>
            </w:pPr>
            <w:r>
              <w:rPr>
                <w:rFonts w:hint="eastAsia"/>
                <w:lang w:val="en-US" w:eastAsia="zh-CN"/>
              </w:rPr>
              <w:t>8</w:t>
            </w:r>
          </w:p>
        </w:tc>
        <w:tc>
          <w:tcPr>
            <w:tcW w:w="2270" w:type="dxa"/>
            <w:tcBorders>
              <w:right w:val="single" w:color="000000" w:sz="2" w:space="0"/>
            </w:tcBorders>
            <w:noWrap w:val="0"/>
            <w:vAlign w:val="center"/>
          </w:tcPr>
          <w:p>
            <w:pPr>
              <w:pStyle w:val="68"/>
            </w:pPr>
            <w:r>
              <w:t>服务标准、期限、效率</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673" w:type="dxa"/>
            <w:tcBorders>
              <w:left w:val="single" w:color="000000" w:sz="10" w:space="0"/>
            </w:tcBorders>
            <w:noWrap w:val="0"/>
            <w:vAlign w:val="center"/>
          </w:tcPr>
          <w:p>
            <w:pPr>
              <w:pStyle w:val="68"/>
              <w:rPr>
                <w:rFonts w:hint="eastAsia" w:eastAsia="宋体"/>
                <w:lang w:eastAsia="zh-CN"/>
              </w:rPr>
            </w:pPr>
            <w:r>
              <w:rPr>
                <w:rFonts w:hint="eastAsia"/>
                <w:lang w:val="en-US" w:eastAsia="zh-CN"/>
              </w:rPr>
              <w:t>9</w:t>
            </w:r>
          </w:p>
        </w:tc>
        <w:tc>
          <w:tcPr>
            <w:tcW w:w="2270" w:type="dxa"/>
            <w:tcBorders>
              <w:right w:val="single" w:color="000000" w:sz="2" w:space="0"/>
            </w:tcBorders>
            <w:noWrap w:val="0"/>
            <w:vAlign w:val="center"/>
          </w:tcPr>
          <w:p>
            <w:pPr>
              <w:pStyle w:val="68"/>
            </w:pPr>
            <w:r>
              <w:t>验收标准</w:t>
            </w:r>
          </w:p>
        </w:tc>
        <w:tc>
          <w:tcPr>
            <w:tcW w:w="5579" w:type="dxa"/>
            <w:tcBorders>
              <w:left w:val="single" w:color="000000" w:sz="2" w:space="0"/>
              <w:right w:val="single" w:color="000000" w:sz="10" w:space="0"/>
            </w:tcBorders>
            <w:noWrap w:val="0"/>
            <w:vAlign w:val="center"/>
          </w:tcPr>
          <w:p>
            <w:pPr>
              <w:pStyle w:val="68"/>
            </w:pPr>
            <w:r>
              <w:t>详见技术需求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673" w:type="dxa"/>
            <w:tcBorders>
              <w:left w:val="single" w:color="000000" w:sz="10" w:space="0"/>
            </w:tcBorders>
            <w:noWrap w:val="0"/>
            <w:vAlign w:val="center"/>
          </w:tcPr>
          <w:p>
            <w:pPr>
              <w:pStyle w:val="68"/>
              <w:rPr>
                <w:rFonts w:hint="eastAsia" w:eastAsia="宋体"/>
                <w:lang w:eastAsia="zh-CN"/>
              </w:rPr>
            </w:pPr>
            <w:r>
              <w:t>1</w:t>
            </w:r>
            <w:r>
              <w:rPr>
                <w:rFonts w:hint="eastAsia"/>
                <w:lang w:val="en-US" w:eastAsia="zh-CN"/>
              </w:rPr>
              <w:t>0</w:t>
            </w:r>
          </w:p>
        </w:tc>
        <w:tc>
          <w:tcPr>
            <w:tcW w:w="2270" w:type="dxa"/>
            <w:tcBorders>
              <w:right w:val="single" w:color="000000" w:sz="2" w:space="0"/>
            </w:tcBorders>
            <w:noWrap w:val="0"/>
            <w:vAlign w:val="center"/>
          </w:tcPr>
          <w:p>
            <w:pPr>
              <w:pStyle w:val="68"/>
            </w:pPr>
            <w:r>
              <w:t>现场踏勘</w:t>
            </w:r>
          </w:p>
        </w:tc>
        <w:tc>
          <w:tcPr>
            <w:tcW w:w="5579" w:type="dxa"/>
            <w:tcBorders>
              <w:left w:val="single" w:color="000000" w:sz="2" w:space="0"/>
              <w:right w:val="single" w:color="000000" w:sz="10" w:space="0"/>
            </w:tcBorders>
            <w:noWrap w:val="0"/>
            <w:vAlign w:val="center"/>
          </w:tcPr>
          <w:p>
            <w:pPr>
              <w:pStyle w:val="68"/>
            </w:pPr>
            <w:r>
              <w:rPr>
                <w:rFonts w:hint="eastAsia"/>
              </w:rPr>
              <w:t>不组织集中</w:t>
            </w:r>
            <w:r>
              <w:t>踏勘</w:t>
            </w:r>
            <w:r>
              <w:rPr>
                <w:rFonts w:hint="eastAsia"/>
              </w:rPr>
              <w:t>，可自行踏勘</w:t>
            </w:r>
          </w:p>
        </w:tc>
      </w:tr>
    </w:tbl>
    <w:p>
      <w:pPr>
        <w:rPr>
          <w:rFonts w:ascii="宋体" w:hAnsi="宋体"/>
          <w:szCs w:val="21"/>
        </w:rPr>
      </w:pPr>
    </w:p>
    <w:p>
      <w:pPr>
        <w:pStyle w:val="2"/>
      </w:pPr>
    </w:p>
    <w:p>
      <w:pPr>
        <w:pStyle w:val="5"/>
        <w:ind w:firstLine="420"/>
        <w:rPr>
          <w:rFonts w:hint="eastAsia" w:ascii="宋体" w:hAnsi="宋体"/>
          <w:b/>
          <w:kern w:val="2"/>
          <w:sz w:val="28"/>
          <w:szCs w:val="28"/>
        </w:rPr>
      </w:pPr>
      <w:r>
        <w:rPr>
          <w:rFonts w:hint="eastAsia" w:ascii="宋体" w:hAnsi="宋体"/>
          <w:b/>
          <w:kern w:val="2"/>
          <w:sz w:val="28"/>
          <w:szCs w:val="28"/>
        </w:rPr>
        <w:t>二、商务要求表</w:t>
      </w:r>
    </w:p>
    <w:tbl>
      <w:tblPr>
        <w:tblStyle w:val="21"/>
        <w:tblW w:w="0" w:type="auto"/>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26" w:type="dxa"/>
            <w:noWrap w:val="0"/>
            <w:vAlign w:val="center"/>
          </w:tcPr>
          <w:p>
            <w:pPr>
              <w:pStyle w:val="68"/>
            </w:pPr>
            <w:r>
              <w:t>项目</w:t>
            </w:r>
          </w:p>
        </w:tc>
        <w:tc>
          <w:tcPr>
            <w:tcW w:w="6827" w:type="dxa"/>
            <w:noWrap w:val="0"/>
            <w:vAlign w:val="center"/>
          </w:tcPr>
          <w:p>
            <w:pPr>
              <w:pStyle w:val="68"/>
            </w:pPr>
            <w:r>
              <w:rPr>
                <w:spacing w:val="-2"/>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1426" w:type="dxa"/>
            <w:noWrap w:val="0"/>
            <w:vAlign w:val="center"/>
          </w:tcPr>
          <w:p>
            <w:pPr>
              <w:pStyle w:val="68"/>
            </w:pPr>
            <w:r>
              <w:rPr>
                <w:rFonts w:hint="eastAsia"/>
              </w:rPr>
              <w:t>★</w:t>
            </w:r>
            <w:r>
              <w:rPr>
                <w:spacing w:val="-3"/>
              </w:rPr>
              <w:t>投标报价</w:t>
            </w:r>
          </w:p>
        </w:tc>
        <w:tc>
          <w:tcPr>
            <w:tcW w:w="6827" w:type="dxa"/>
            <w:noWrap w:val="0"/>
            <w:vAlign w:val="center"/>
          </w:tcPr>
          <w:p>
            <w:pPr>
              <w:spacing w:line="420" w:lineRule="exact"/>
              <w:rPr>
                <w:rFonts w:hint="eastAsia" w:ascii="宋体" w:hAnsi="宋体"/>
              </w:rPr>
            </w:pPr>
            <w:r>
              <w:rPr>
                <w:rFonts w:hint="eastAsia" w:ascii="宋体" w:hAnsi="宋体"/>
              </w:rPr>
              <w:t>1.</w:t>
            </w:r>
            <w:r>
              <w:rPr>
                <w:rFonts w:hint="eastAsia"/>
              </w:rPr>
              <w:t>本项目投标报价</w:t>
            </w:r>
            <w:r>
              <w:rPr>
                <w:rFonts w:hint="eastAsia"/>
                <w:highlight w:val="none"/>
              </w:rPr>
              <w:t>为交钥匙价，报价应包含按要求完成本项目的所有费用，包含但不仅限于实施所需的硬</w:t>
            </w:r>
            <w:r>
              <w:rPr>
                <w:rFonts w:hint="eastAsia"/>
              </w:rPr>
              <w:t>件、附件、备品备件等费用，以及本项目在实施过程中涉及的专用工具、辅材、安装、调试、检验、技术服务、运杂、保险费、税金、验收检定</w:t>
            </w:r>
            <w:r>
              <w:rPr>
                <w:rFonts w:hint="eastAsia"/>
                <w:lang w:eastAsia="zh-CN"/>
              </w:rPr>
              <w:t>、培训费用</w:t>
            </w:r>
            <w:r>
              <w:rPr>
                <w:rFonts w:hint="eastAsia"/>
              </w:rPr>
              <w:t>及供应商认为需要的所有费用。中标价格一经确定，除采购有要求追加或变动项目外，不再另行支付任何费用。</w:t>
            </w:r>
            <w:r>
              <w:rPr>
                <w:rFonts w:hint="eastAsia" w:ascii="宋体" w:hAnsi="宋体"/>
              </w:rPr>
              <w:t>同时，除非合同条款中另有规定，否则，供应商所报价格在合同实施期间不因市场变化和政策因素而变动。</w:t>
            </w:r>
          </w:p>
          <w:p>
            <w:pPr>
              <w:spacing w:line="420" w:lineRule="exact"/>
              <w:ind w:left="120" w:hanging="120"/>
              <w:rPr>
                <w:rFonts w:hint="eastAsia" w:ascii="宋体" w:hAnsi="Calibri"/>
              </w:rPr>
            </w:pPr>
            <w:r>
              <w:rPr>
                <w:rFonts w:hint="eastAsia" w:ascii="宋体"/>
              </w:rPr>
              <w:t>2.投标报价必须是人民币报价。</w:t>
            </w:r>
          </w:p>
          <w:p>
            <w:pPr>
              <w:spacing w:line="420" w:lineRule="exact"/>
              <w:rPr>
                <w:rFonts w:hint="eastAsia" w:ascii="宋体"/>
              </w:rPr>
            </w:pPr>
            <w:r>
              <w:rPr>
                <w:rFonts w:hint="eastAsia" w:ascii="宋体"/>
              </w:rPr>
              <w:t>3.投标报价为一次性报价且只允许一个报价，不接受两个及两个以上的投标报价，不接受选择性报价或者具有附加条件的报价。</w:t>
            </w:r>
          </w:p>
          <w:p>
            <w:pPr>
              <w:spacing w:line="420" w:lineRule="exact"/>
              <w:rPr>
                <w:rFonts w:hint="eastAsia" w:ascii="宋体"/>
              </w:rPr>
            </w:pPr>
            <w:r>
              <w:rPr>
                <w:rFonts w:hint="eastAsia" w:ascii="宋体"/>
              </w:rPr>
              <w:t>4.投标报价不得高于采购预算，采购文件设有最高限价的，不得高于最高限价。</w:t>
            </w:r>
          </w:p>
          <w:p>
            <w:pPr>
              <w:pStyle w:val="68"/>
              <w:jc w:val="both"/>
              <w:rPr>
                <w:rFonts w:hint="eastAsia" w:eastAsia="宋体"/>
                <w:color w:val="auto"/>
              </w:rPr>
            </w:pPr>
            <w:r>
              <w:rPr>
                <w:rFonts w:hint="eastAsia"/>
                <w:b/>
                <w:bCs/>
              </w:rPr>
              <w:t>本项目最高限价</w:t>
            </w:r>
            <w:r>
              <w:rPr>
                <w:rFonts w:hint="eastAsia"/>
                <w:b/>
                <w:bCs/>
                <w:lang w:val="en-US" w:eastAsia="zh-CN"/>
              </w:rPr>
              <w:t>7</w:t>
            </w:r>
            <w:r>
              <w:rPr>
                <w:rFonts w:hint="eastAsia"/>
                <w:b/>
                <w:bCs/>
                <w:lang w:val="en-US" w:eastAsia="zh-CN"/>
              </w:rPr>
              <w:t>7.547</w:t>
            </w:r>
            <w:r>
              <w:rPr>
                <w:rFonts w:hint="eastAsia"/>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26" w:type="dxa"/>
            <w:noWrap w:val="0"/>
            <w:vAlign w:val="center"/>
          </w:tcPr>
          <w:p>
            <w:pPr>
              <w:pStyle w:val="68"/>
              <w:rPr>
                <w:rFonts w:hint="eastAsia" w:eastAsia="宋体"/>
              </w:rPr>
            </w:pPr>
            <w:r>
              <w:rPr>
                <w:rFonts w:hint="eastAsia"/>
              </w:rPr>
              <w:t>签订合同时间</w:t>
            </w:r>
          </w:p>
        </w:tc>
        <w:tc>
          <w:tcPr>
            <w:tcW w:w="6827" w:type="dxa"/>
            <w:noWrap w:val="0"/>
            <w:vAlign w:val="center"/>
          </w:tcPr>
          <w:p>
            <w:pPr>
              <w:pStyle w:val="68"/>
              <w:jc w:val="both"/>
              <w:rPr>
                <w:rFonts w:hint="eastAsia"/>
                <w:b/>
                <w:bCs/>
              </w:rPr>
            </w:pPr>
            <w:r>
              <w:rPr>
                <w:rFonts w:hint="eastAsia"/>
                <w:szCs w:val="24"/>
              </w:rPr>
              <w:t>中标通知书发出之日起30日内签订合同，具体签约时间以采购人通知为准。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26" w:type="dxa"/>
            <w:noWrap w:val="0"/>
            <w:vAlign w:val="center"/>
          </w:tcPr>
          <w:p>
            <w:pPr>
              <w:pStyle w:val="68"/>
              <w:rPr>
                <w:rFonts w:hint="eastAsia"/>
              </w:rPr>
            </w:pPr>
            <w:r>
              <w:rPr>
                <w:rFonts w:hint="eastAsia"/>
              </w:rPr>
              <w:t>★质保期</w:t>
            </w:r>
          </w:p>
        </w:tc>
        <w:tc>
          <w:tcPr>
            <w:tcW w:w="6827" w:type="dxa"/>
            <w:noWrap w:val="0"/>
            <w:vAlign w:val="center"/>
          </w:tcPr>
          <w:p>
            <w:pPr>
              <w:pStyle w:val="68"/>
              <w:jc w:val="both"/>
              <w:rPr>
                <w:rFonts w:hint="default" w:eastAsia="宋体"/>
                <w:szCs w:val="24"/>
                <w:lang w:val="en-US" w:eastAsia="zh-CN"/>
              </w:rPr>
            </w:pPr>
            <w:r>
              <w:rPr>
                <w:rFonts w:hint="eastAsia"/>
                <w:szCs w:val="24"/>
                <w:lang w:val="en-US" w:eastAsia="zh-CN"/>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426" w:type="dxa"/>
            <w:noWrap w:val="0"/>
            <w:vAlign w:val="center"/>
          </w:tcPr>
          <w:p>
            <w:pPr>
              <w:pStyle w:val="68"/>
            </w:pPr>
            <w:r>
              <w:rPr>
                <w:rFonts w:hint="eastAsia"/>
              </w:rPr>
              <w:t>★</w:t>
            </w:r>
            <w:r>
              <w:rPr>
                <w:spacing w:val="-3"/>
              </w:rPr>
              <w:t>履约保证金</w:t>
            </w:r>
          </w:p>
        </w:tc>
        <w:tc>
          <w:tcPr>
            <w:tcW w:w="6827" w:type="dxa"/>
            <w:noWrap w:val="0"/>
            <w:vAlign w:val="center"/>
          </w:tcPr>
          <w:p>
            <w:pPr>
              <w:rPr>
                <w:rFonts w:hAnsi="宋体" w:cs="宋体"/>
                <w:szCs w:val="24"/>
              </w:rPr>
            </w:pPr>
            <w:r>
              <w:rPr>
                <w:rFonts w:hint="eastAsia" w:hAnsi="宋体" w:cs="宋体"/>
                <w:szCs w:val="24"/>
              </w:rPr>
              <w:t>履约担保金额：合同总价的5%。</w:t>
            </w:r>
          </w:p>
          <w:p>
            <w:pPr>
              <w:rPr>
                <w:rFonts w:hAnsi="宋体" w:cs="宋体"/>
                <w:szCs w:val="24"/>
              </w:rPr>
            </w:pPr>
            <w:r>
              <w:rPr>
                <w:rFonts w:hint="eastAsia" w:hAnsi="宋体" w:cs="宋体"/>
                <w:szCs w:val="24"/>
              </w:rPr>
              <w:t>履约担保提交时间：合同签订后5日历天内向采购人提供银行保函或保险保函。</w:t>
            </w:r>
          </w:p>
          <w:p>
            <w:pPr>
              <w:rPr>
                <w:rFonts w:hAnsi="宋体" w:cs="宋体"/>
                <w:szCs w:val="24"/>
              </w:rPr>
            </w:pPr>
            <w:r>
              <w:rPr>
                <w:rFonts w:hint="eastAsia" w:hAnsi="宋体" w:cs="宋体"/>
                <w:szCs w:val="24"/>
              </w:rPr>
              <w:t>履约担保期限：自保函开立之日起生效，有效期至项目终验后一年。</w:t>
            </w:r>
          </w:p>
          <w:p>
            <w:pPr>
              <w:pStyle w:val="68"/>
              <w:jc w:val="both"/>
              <w:rPr>
                <w:rFonts w:hint="eastAsia"/>
                <w:szCs w:val="24"/>
              </w:rPr>
            </w:pPr>
            <w:r>
              <w:rPr>
                <w:rFonts w:hint="eastAsia"/>
                <w:szCs w:val="24"/>
              </w:rPr>
              <w:t>履约担保形式：银行或保险公司出具的保函。</w:t>
            </w:r>
          </w:p>
          <w:p>
            <w:pPr>
              <w:pStyle w:val="68"/>
              <w:jc w:val="both"/>
            </w:pPr>
            <w:r>
              <w:t>如中标人拒绝履行合同规定的义务，履约保</w:t>
            </w:r>
            <w:r>
              <w:rPr>
                <w:spacing w:val="-1"/>
              </w:rPr>
              <w:t>证金将作为违约金被没收。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26" w:type="dxa"/>
            <w:noWrap w:val="0"/>
            <w:vAlign w:val="center"/>
          </w:tcPr>
          <w:p>
            <w:pPr>
              <w:pStyle w:val="68"/>
              <w:rPr>
                <w:rFonts w:hint="eastAsia" w:eastAsia="宋体"/>
                <w:spacing w:val="-3"/>
                <w:highlight w:val="none"/>
              </w:rPr>
            </w:pPr>
            <w:r>
              <w:rPr>
                <w:rFonts w:hint="eastAsia"/>
                <w:highlight w:val="none"/>
              </w:rPr>
              <w:t>★</w:t>
            </w:r>
            <w:r>
              <w:rPr>
                <w:spacing w:val="-3"/>
                <w:highlight w:val="none"/>
              </w:rPr>
              <w:t>付款</w:t>
            </w:r>
            <w:r>
              <w:rPr>
                <w:rFonts w:hint="eastAsia"/>
                <w:spacing w:val="-3"/>
                <w:highlight w:val="none"/>
              </w:rPr>
              <w:t>方式</w:t>
            </w:r>
          </w:p>
        </w:tc>
        <w:tc>
          <w:tcPr>
            <w:tcW w:w="6827" w:type="dxa"/>
            <w:noWrap w:val="0"/>
            <w:vAlign w:val="center"/>
          </w:tcPr>
          <w:p>
            <w:pPr>
              <w:rPr>
                <w:rFonts w:hAnsi="宋体" w:cs="宋体"/>
                <w:szCs w:val="24"/>
                <w:highlight w:val="none"/>
              </w:rPr>
            </w:pPr>
            <w:r>
              <w:rPr>
                <w:rFonts w:hint="eastAsia" w:hAnsi="宋体" w:cs="宋体"/>
                <w:szCs w:val="24"/>
                <w:highlight w:val="none"/>
              </w:rPr>
              <w:t>首付款：合同签订后支付合同总价的30%。</w:t>
            </w:r>
          </w:p>
          <w:p>
            <w:pPr>
              <w:rPr>
                <w:rFonts w:hAnsi="宋体" w:cs="宋体"/>
                <w:szCs w:val="24"/>
                <w:highlight w:val="none"/>
              </w:rPr>
            </w:pPr>
            <w:r>
              <w:rPr>
                <w:rFonts w:hint="eastAsia" w:hAnsi="宋体" w:cs="宋体"/>
                <w:szCs w:val="24"/>
                <w:highlight w:val="none"/>
              </w:rPr>
              <w:t>进度款：产品主要设备到货签收后，支付至合同总价的70%。</w:t>
            </w:r>
          </w:p>
          <w:p>
            <w:pPr>
              <w:rPr>
                <w:rFonts w:hAnsi="宋体" w:cs="宋体"/>
                <w:szCs w:val="24"/>
                <w:highlight w:val="none"/>
              </w:rPr>
            </w:pPr>
            <w:r>
              <w:rPr>
                <w:rFonts w:hint="eastAsia" w:hAnsi="宋体" w:cs="宋体"/>
                <w:szCs w:val="24"/>
                <w:highlight w:val="none"/>
              </w:rPr>
              <w:t>初验付款：初验通过之后支付至合同总价的85%。</w:t>
            </w:r>
          </w:p>
          <w:p>
            <w:pPr>
              <w:rPr>
                <w:rFonts w:hAnsi="宋体" w:cs="宋体"/>
                <w:szCs w:val="24"/>
                <w:highlight w:val="none"/>
              </w:rPr>
            </w:pPr>
            <w:r>
              <w:rPr>
                <w:rFonts w:hint="eastAsia" w:hAnsi="宋体" w:cs="宋体"/>
                <w:szCs w:val="24"/>
                <w:highlight w:val="none"/>
              </w:rPr>
              <w:t>终验付款：终验通过，支付至最终结算金额的100%。</w:t>
            </w:r>
          </w:p>
          <w:p>
            <w:pPr>
              <w:pStyle w:val="68"/>
              <w:jc w:val="both"/>
              <w:rPr>
                <w:rFonts w:hint="eastAsia" w:eastAsia="宋体"/>
                <w:spacing w:val="-3"/>
                <w:highlight w:val="none"/>
              </w:rPr>
            </w:pPr>
            <w:r>
              <w:rPr>
                <w:rFonts w:hint="eastAsia"/>
                <w:szCs w:val="24"/>
                <w:highlight w:val="none"/>
              </w:rPr>
              <w:t>注：每次支付前中标人必须开具相应金额的正式发票并提交给采购人，采购人收到发票后15日内支付。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26" w:type="dxa"/>
            <w:noWrap w:val="0"/>
            <w:vAlign w:val="center"/>
          </w:tcPr>
          <w:p>
            <w:pPr>
              <w:pStyle w:val="68"/>
              <w:rPr>
                <w:rFonts w:hint="eastAsia" w:eastAsia="宋体"/>
              </w:rPr>
            </w:pPr>
            <w:r>
              <w:rPr>
                <w:rFonts w:hint="eastAsia"/>
              </w:rPr>
              <w:t>质量标准</w:t>
            </w:r>
          </w:p>
        </w:tc>
        <w:tc>
          <w:tcPr>
            <w:tcW w:w="6827" w:type="dxa"/>
            <w:noWrap w:val="0"/>
            <w:vAlign w:val="center"/>
          </w:tcPr>
          <w:p>
            <w:pPr>
              <w:jc w:val="left"/>
              <w:rPr>
                <w:rFonts w:hAnsi="宋体" w:cs="宋体"/>
                <w:szCs w:val="24"/>
              </w:rPr>
            </w:pPr>
            <w:r>
              <w:rPr>
                <w:rFonts w:hint="eastAsia" w:hAnsi="宋体" w:cs="宋体"/>
                <w:szCs w:val="24"/>
              </w:rPr>
              <w:t>产品质量必须执行国家相关标准、行业标准、地方标准或者其它标准、规范，按照就高原则执行。</w:t>
            </w:r>
          </w:p>
          <w:p>
            <w:pPr>
              <w:rPr>
                <w:rFonts w:hAnsi="宋体" w:cs="宋体"/>
                <w:szCs w:val="24"/>
              </w:rPr>
            </w:pPr>
            <w:r>
              <w:rPr>
                <w:rFonts w:hint="eastAsia" w:hAnsi="宋体" w:cs="宋体"/>
                <w:szCs w:val="24"/>
              </w:rPr>
              <w:t>1、本项目的材料、设备、安装必须达到现行中华人民共和国及省市行业的一切有关法规规范的要求。</w:t>
            </w:r>
          </w:p>
          <w:p>
            <w:pPr>
              <w:rPr>
                <w:rFonts w:hAnsi="宋体" w:cs="宋体"/>
                <w:szCs w:val="24"/>
              </w:rPr>
            </w:pPr>
            <w:r>
              <w:rPr>
                <w:rFonts w:hint="eastAsia" w:hAnsi="宋体" w:cs="宋体"/>
                <w:szCs w:val="24"/>
              </w:rPr>
              <w:t>2、施工工艺及技术要求：按照相关的技术规范、验收规范。</w:t>
            </w:r>
          </w:p>
          <w:p>
            <w:pPr>
              <w:rPr>
                <w:rFonts w:hAnsi="宋体" w:cs="宋体"/>
                <w:szCs w:val="24"/>
              </w:rPr>
            </w:pPr>
            <w:r>
              <w:rPr>
                <w:rFonts w:hint="eastAsia" w:hAnsi="宋体" w:cs="宋体"/>
                <w:szCs w:val="24"/>
              </w:rPr>
              <w:t>3、供应商应负责在建设工地现场进行施工直至该项目验收合格、交付使用，其费用应包括在项目总价中。</w:t>
            </w:r>
          </w:p>
          <w:p>
            <w:pPr>
              <w:pStyle w:val="68"/>
              <w:jc w:val="both"/>
              <w:rPr>
                <w:rFonts w:hint="eastAsia"/>
                <w:szCs w:val="24"/>
              </w:rPr>
            </w:pPr>
            <w:r>
              <w:rPr>
                <w:rFonts w:hint="eastAsia"/>
                <w:szCs w:val="24"/>
              </w:rPr>
              <w:t>4、项目验收：由采购人验收，依据为国家有关规定、采购文件、中标人的投标文件以及其他相关文件和资料。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26" w:type="dxa"/>
            <w:noWrap w:val="0"/>
            <w:vAlign w:val="center"/>
          </w:tcPr>
          <w:p>
            <w:pPr>
              <w:pStyle w:val="68"/>
              <w:rPr>
                <w:rFonts w:hint="eastAsia"/>
              </w:rPr>
            </w:pPr>
            <w:r>
              <w:rPr>
                <w:rFonts w:hint="eastAsia"/>
              </w:rPr>
              <w:t>验收标准</w:t>
            </w:r>
          </w:p>
        </w:tc>
        <w:tc>
          <w:tcPr>
            <w:tcW w:w="6827" w:type="dxa"/>
            <w:noWrap w:val="0"/>
            <w:vAlign w:val="center"/>
          </w:tcPr>
          <w:p>
            <w:pPr>
              <w:adjustRightInd w:val="0"/>
              <w:rPr>
                <w:rFonts w:hAnsi="宋体" w:cs="宋体"/>
                <w:szCs w:val="24"/>
              </w:rPr>
            </w:pPr>
            <w:r>
              <w:rPr>
                <w:rFonts w:hint="eastAsia" w:hAnsi="宋体" w:cs="宋体"/>
                <w:szCs w:val="24"/>
              </w:rPr>
              <w:t>1、根据中华人民共和国现行技术标准，按招标文件以及合同规定的验收评定标准等规范，由用户组织验收。</w:t>
            </w:r>
          </w:p>
          <w:p>
            <w:pPr>
              <w:adjustRightInd w:val="0"/>
              <w:rPr>
                <w:rFonts w:hAnsi="宋体" w:cs="宋体"/>
                <w:szCs w:val="24"/>
              </w:rPr>
            </w:pPr>
            <w:r>
              <w:rPr>
                <w:rFonts w:hint="eastAsia" w:hAnsi="宋体" w:cs="宋体"/>
                <w:szCs w:val="24"/>
              </w:rPr>
              <w:t>2、用户对</w:t>
            </w:r>
            <w:r>
              <w:rPr>
                <w:rFonts w:hint="eastAsia" w:hAnsi="宋体" w:cs="宋体"/>
                <w:szCs w:val="24"/>
                <w:lang w:eastAsia="zh-CN"/>
              </w:rPr>
              <w:t>产品</w:t>
            </w:r>
            <w:r>
              <w:rPr>
                <w:rFonts w:hint="eastAsia" w:hAnsi="宋体" w:cs="宋体"/>
                <w:szCs w:val="24"/>
              </w:rPr>
              <w:t>验收合格后，双方共同签署验收意见，验收中发现</w:t>
            </w:r>
            <w:r>
              <w:rPr>
                <w:rFonts w:hint="eastAsia" w:hAnsi="宋体" w:cs="宋体"/>
                <w:szCs w:val="24"/>
                <w:lang w:eastAsia="zh-CN"/>
              </w:rPr>
              <w:t>产品</w:t>
            </w:r>
            <w:r>
              <w:rPr>
                <w:rFonts w:hint="eastAsia" w:hAnsi="宋体" w:cs="宋体"/>
                <w:szCs w:val="24"/>
              </w:rPr>
              <w:t>达不到验收标准或合同规定的性能指标，中标人必须免费更换，并且赔偿由此给用户造成的损失，直到验收合格为止。</w:t>
            </w:r>
          </w:p>
          <w:p>
            <w:pPr>
              <w:adjustRightInd w:val="0"/>
              <w:rPr>
                <w:rFonts w:hAnsi="宋体" w:cs="宋体"/>
                <w:szCs w:val="24"/>
              </w:rPr>
            </w:pPr>
            <w:r>
              <w:rPr>
                <w:rFonts w:hint="eastAsia" w:hAnsi="宋体" w:cs="宋体"/>
                <w:szCs w:val="24"/>
              </w:rPr>
              <w:t>3、分项内容建设完成后，可申请进行分项或多项初验，待均通过初验后进入试运行。</w:t>
            </w:r>
          </w:p>
          <w:p>
            <w:pPr>
              <w:pStyle w:val="68"/>
              <w:jc w:val="both"/>
              <w:rPr>
                <w:rFonts w:hint="eastAsia"/>
                <w:szCs w:val="24"/>
              </w:rPr>
            </w:pPr>
            <w:r>
              <w:rPr>
                <w:rFonts w:hint="eastAsia"/>
                <w:szCs w:val="24"/>
              </w:rPr>
              <w:t>项目验收合格后的验收报告(验收报告格式自拟)采购人按规定备案存查。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26" w:type="dxa"/>
            <w:noWrap w:val="0"/>
            <w:vAlign w:val="center"/>
          </w:tcPr>
          <w:p>
            <w:pPr>
              <w:pStyle w:val="68"/>
              <w:rPr>
                <w:rFonts w:hint="eastAsia"/>
              </w:rPr>
            </w:pPr>
            <w:r>
              <w:rPr>
                <w:rFonts w:hint="eastAsia"/>
              </w:rPr>
              <w:t>其他</w:t>
            </w:r>
          </w:p>
        </w:tc>
        <w:tc>
          <w:tcPr>
            <w:tcW w:w="6827" w:type="dxa"/>
            <w:noWrap w:val="0"/>
            <w:vAlign w:val="center"/>
          </w:tcPr>
          <w:p>
            <w:pPr>
              <w:pStyle w:val="68"/>
              <w:jc w:val="both"/>
              <w:rPr>
                <w:rFonts w:hint="eastAsia"/>
                <w:szCs w:val="24"/>
              </w:rPr>
            </w:pPr>
            <w:r>
              <w:rPr>
                <w:rFonts w:hint="eastAsia"/>
                <w:szCs w:val="24"/>
              </w:rPr>
              <w:t>1、在采购及合同执行过程中，供应商应承担由于其行为所造成的人身伤害、财产损失或损坏的责任，无论何种原因所造成，采购人均不负责。</w:t>
            </w:r>
          </w:p>
          <w:p>
            <w:pPr>
              <w:pStyle w:val="68"/>
              <w:jc w:val="both"/>
              <w:rPr>
                <w:rFonts w:hint="eastAsia"/>
                <w:szCs w:val="24"/>
              </w:rPr>
            </w:pPr>
            <w:r>
              <w:rPr>
                <w:rFonts w:hint="eastAsia"/>
                <w:szCs w:val="24"/>
              </w:rPr>
              <w:t>2、在合同履行过程中，中标人不得存在与本项目实施有利害冲突，影响或可能影响考核公正的情形，一旦出现，采购人有权解除合同。</w:t>
            </w:r>
          </w:p>
        </w:tc>
      </w:tr>
    </w:tbl>
    <w:p>
      <w:pPr>
        <w:ind w:firstLine="420"/>
        <w:rPr>
          <w:rFonts w:ascii="宋体" w:hAnsi="宋体"/>
          <w:szCs w:val="21"/>
        </w:rPr>
      </w:pPr>
    </w:p>
    <w:p>
      <w:pPr>
        <w:pStyle w:val="5"/>
        <w:numPr>
          <w:ilvl w:val="0"/>
          <w:numId w:val="4"/>
        </w:numPr>
        <w:ind w:firstLine="420"/>
        <w:rPr>
          <w:rFonts w:hint="eastAsia" w:ascii="宋体" w:hAnsi="宋体"/>
          <w:b/>
          <w:kern w:val="2"/>
          <w:sz w:val="28"/>
          <w:szCs w:val="28"/>
        </w:rPr>
      </w:pPr>
      <w:r>
        <w:rPr>
          <w:rFonts w:hint="eastAsia" w:ascii="宋体" w:hAnsi="宋体"/>
          <w:b/>
          <w:kern w:val="2"/>
          <w:sz w:val="28"/>
          <w:szCs w:val="28"/>
          <w:lang w:eastAsia="zh-CN"/>
        </w:rPr>
        <w:t>采购</w:t>
      </w:r>
      <w:r>
        <w:rPr>
          <w:rFonts w:hint="eastAsia" w:ascii="宋体" w:hAnsi="宋体"/>
          <w:b/>
          <w:kern w:val="2"/>
          <w:sz w:val="28"/>
          <w:szCs w:val="28"/>
        </w:rPr>
        <w:t>需求</w:t>
      </w:r>
    </w:p>
    <w:p>
      <w:pPr>
        <w:ind w:firstLine="422" w:firstLineChars="200"/>
        <w:jc w:val="left"/>
        <w:rPr>
          <w:rFonts w:hint="eastAsia"/>
          <w:b/>
          <w:color w:val="000000"/>
          <w:sz w:val="21"/>
          <w:szCs w:val="21"/>
          <w:lang w:val="en-US" w:eastAsia="zh-CN"/>
        </w:rPr>
      </w:pPr>
      <w:r>
        <w:rPr>
          <w:rFonts w:hint="eastAsia"/>
          <w:b/>
          <w:color w:val="000000"/>
          <w:sz w:val="21"/>
          <w:szCs w:val="21"/>
          <w:lang w:val="en-US" w:eastAsia="zh-CN"/>
        </w:rPr>
        <w:t>3.1项目基本情况</w:t>
      </w:r>
    </w:p>
    <w:p>
      <w:pPr>
        <w:ind w:firstLine="420" w:firstLineChars="200"/>
        <w:jc w:val="left"/>
        <w:rPr>
          <w:rFonts w:hint="eastAsia"/>
          <w:sz w:val="21"/>
          <w:szCs w:val="21"/>
          <w:lang w:val="en-US" w:eastAsia="zh-CN"/>
        </w:rPr>
      </w:pPr>
      <w:r>
        <w:rPr>
          <w:rFonts w:hint="eastAsia"/>
          <w:sz w:val="21"/>
          <w:szCs w:val="21"/>
          <w:lang w:val="en-US" w:eastAsia="zh-CN"/>
        </w:rPr>
        <w:t>3.1.1 项目背景</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eastAsia="宋体"/>
          <w:sz w:val="21"/>
          <w:szCs w:val="21"/>
          <w:lang w:val="en-US" w:eastAsia="zh-CN"/>
        </w:rPr>
      </w:pPr>
      <w:r>
        <w:rPr>
          <w:rFonts w:hint="eastAsia"/>
          <w:sz w:val="21"/>
          <w:szCs w:val="21"/>
          <w:lang w:val="en-US" w:eastAsia="zh-CN"/>
        </w:rPr>
        <w:t>为满足东桂社区居民日常活动及街道党群服务需求，经研究，建设东桂社区服务中心（街道党群服务中心）项目。贵驷街道东桂社区服务中心（居家养老中心）中央空调机组采购项目为该总包项目的一个子包项目。</w:t>
      </w:r>
    </w:p>
    <w:p>
      <w:pPr>
        <w:ind w:firstLine="420" w:firstLineChars="200"/>
        <w:jc w:val="left"/>
        <w:rPr>
          <w:rFonts w:hint="eastAsia"/>
          <w:sz w:val="21"/>
          <w:szCs w:val="21"/>
          <w:lang w:val="en-US" w:eastAsia="zh-CN"/>
        </w:rPr>
      </w:pPr>
      <w:r>
        <w:rPr>
          <w:rFonts w:hint="eastAsia"/>
          <w:sz w:val="21"/>
          <w:szCs w:val="21"/>
          <w:lang w:val="en-US" w:eastAsia="zh-CN"/>
        </w:rPr>
        <w:t>3.1.2 项目概况</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sz w:val="21"/>
          <w:szCs w:val="21"/>
          <w:lang w:val="en-US" w:eastAsia="zh-CN"/>
        </w:rPr>
      </w:pPr>
      <w:r>
        <w:rPr>
          <w:rFonts w:hint="eastAsia"/>
          <w:sz w:val="21"/>
          <w:szCs w:val="21"/>
          <w:lang w:val="en-US" w:eastAsia="zh-CN"/>
        </w:rPr>
        <w:t>东桂社区服务中心（街道党群服务中心）项目地址：东邻桂平路，南邻永和东路，西邻内部道路，北邻幼儿园。</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sz w:val="21"/>
          <w:szCs w:val="21"/>
          <w:lang w:val="en-US" w:eastAsia="zh-CN"/>
        </w:rPr>
      </w:pPr>
      <w:r>
        <w:rPr>
          <w:rFonts w:hint="eastAsia"/>
          <w:sz w:val="21"/>
          <w:szCs w:val="21"/>
          <w:lang w:val="en-US" w:eastAsia="zh-CN"/>
        </w:rPr>
        <w:t>各楼层工功能布局：</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sz w:val="21"/>
          <w:szCs w:val="21"/>
          <w:lang w:val="en-US" w:eastAsia="zh-CN"/>
        </w:rPr>
      </w:pPr>
      <w:r>
        <w:rPr>
          <w:rFonts w:hint="eastAsia"/>
          <w:sz w:val="21"/>
          <w:szCs w:val="21"/>
          <w:lang w:val="en-US" w:eastAsia="zh-CN"/>
        </w:rPr>
        <w:t>一楼设置社区办事服务大厅、社区卫生服务站、社区**中心、矛调室和其他配套用房。</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sz w:val="21"/>
          <w:szCs w:val="21"/>
          <w:lang w:val="en-US" w:eastAsia="zh-CN"/>
        </w:rPr>
      </w:pPr>
      <w:r>
        <w:rPr>
          <w:rFonts w:hint="eastAsia"/>
          <w:sz w:val="21"/>
          <w:szCs w:val="21"/>
          <w:lang w:val="en-US" w:eastAsia="zh-CN"/>
        </w:rPr>
        <w:t>二楼设置居家养老服务站、老年活动中心和图书阅览室。</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sz w:val="21"/>
          <w:szCs w:val="21"/>
          <w:lang w:val="en-US" w:eastAsia="zh-CN"/>
        </w:rPr>
      </w:pPr>
      <w:r>
        <w:rPr>
          <w:rFonts w:hint="eastAsia"/>
          <w:sz w:val="21"/>
          <w:szCs w:val="21"/>
          <w:lang w:val="en-US" w:eastAsia="zh-CN"/>
        </w:rPr>
        <w:t>三楼设置街道党群服务中心、市民学校、少儿活动区。</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sz w:val="21"/>
          <w:szCs w:val="21"/>
          <w:lang w:val="en-US" w:eastAsia="zh-CN"/>
        </w:rPr>
      </w:pPr>
      <w:r>
        <w:rPr>
          <w:rFonts w:hint="eastAsia"/>
          <w:sz w:val="21"/>
          <w:szCs w:val="21"/>
          <w:lang w:val="en-US" w:eastAsia="zh-CN"/>
        </w:rPr>
        <w:t>四楼设置社区办公区和居民活动场所。</w:t>
      </w:r>
    </w:p>
    <w:p>
      <w:pPr>
        <w:pStyle w:val="4"/>
        <w:rPr>
          <w:rFonts w:hint="eastAsia"/>
          <w:sz w:val="21"/>
          <w:szCs w:val="21"/>
          <w:lang w:val="en-US" w:eastAsia="zh-CN"/>
        </w:rPr>
      </w:pPr>
    </w:p>
    <w:p>
      <w:pPr>
        <w:rPr>
          <w:rFonts w:hint="eastAsia"/>
          <w:sz w:val="21"/>
          <w:szCs w:val="21"/>
          <w:lang w:val="en-US" w:eastAsia="zh-CN"/>
        </w:rPr>
      </w:pPr>
    </w:p>
    <w:p>
      <w:pPr>
        <w:pStyle w:val="2"/>
        <w:rPr>
          <w:rFonts w:hint="eastAsia"/>
          <w:sz w:val="21"/>
          <w:szCs w:val="21"/>
          <w:lang w:val="en-US" w:eastAsia="zh-CN"/>
        </w:rPr>
      </w:pPr>
    </w:p>
    <w:p>
      <w:pPr>
        <w:pStyle w:val="4"/>
        <w:rPr>
          <w:rFonts w:hint="eastAsia"/>
          <w:lang w:val="en-US" w:eastAsia="zh-CN"/>
        </w:rPr>
      </w:pPr>
    </w:p>
    <w:p>
      <w:pPr>
        <w:ind w:firstLine="422" w:firstLineChars="200"/>
        <w:jc w:val="left"/>
        <w:rPr>
          <w:b/>
          <w:color w:val="000000"/>
          <w:szCs w:val="21"/>
        </w:rPr>
      </w:pPr>
      <w:bookmarkStart w:id="0" w:name="_Toc51144447"/>
      <w:bookmarkEnd w:id="0"/>
      <w:r>
        <w:rPr>
          <w:rFonts w:hint="eastAsia"/>
          <w:b/>
          <w:color w:val="000000"/>
          <w:szCs w:val="21"/>
          <w:lang w:val="en-US" w:eastAsia="zh-CN"/>
        </w:rPr>
        <w:t>3.2</w:t>
      </w:r>
      <w:r>
        <w:rPr>
          <w:rFonts w:hint="eastAsia"/>
          <w:b/>
          <w:color w:val="000000"/>
          <w:szCs w:val="21"/>
        </w:rPr>
        <w:t>采购设备清单：</w:t>
      </w:r>
    </w:p>
    <w:tbl>
      <w:tblPr>
        <w:tblStyle w:val="21"/>
        <w:tblW w:w="0" w:type="auto"/>
        <w:jc w:val="center"/>
        <w:tblLayout w:type="fixed"/>
        <w:tblCellMar>
          <w:top w:w="0" w:type="dxa"/>
          <w:left w:w="108" w:type="dxa"/>
          <w:bottom w:w="0" w:type="dxa"/>
          <w:right w:w="108" w:type="dxa"/>
        </w:tblCellMar>
      </w:tblPr>
      <w:tblGrid>
        <w:gridCol w:w="846"/>
        <w:gridCol w:w="1417"/>
        <w:gridCol w:w="3119"/>
        <w:gridCol w:w="850"/>
        <w:gridCol w:w="1134"/>
        <w:gridCol w:w="1560"/>
      </w:tblGrid>
      <w:tr>
        <w:tblPrEx>
          <w:tblCellMar>
            <w:top w:w="0" w:type="dxa"/>
            <w:left w:w="108" w:type="dxa"/>
            <w:bottom w:w="0" w:type="dxa"/>
            <w:right w:w="108" w:type="dxa"/>
          </w:tblCellMar>
        </w:tblPrEx>
        <w:trPr>
          <w:trHeight w:val="72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材料名称</w:t>
            </w:r>
          </w:p>
        </w:tc>
        <w:tc>
          <w:tcPr>
            <w:tcW w:w="311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参数规格</w:t>
            </w:r>
          </w:p>
        </w:tc>
        <w:tc>
          <w:tcPr>
            <w:tcW w:w="8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1</w:t>
            </w:r>
          </w:p>
        </w:tc>
        <w:tc>
          <w:tcPr>
            <w:tcW w:w="1417"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全直流变频多联室外机</w:t>
            </w: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LQ/RQ=106/119kw</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2</w:t>
            </w:r>
          </w:p>
        </w:tc>
        <w:tc>
          <w:tcPr>
            <w:tcW w:w="1417"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LQ/RQ=12</w:t>
            </w:r>
            <w:r>
              <w:rPr>
                <w:rFonts w:ascii="宋体" w:hAnsi="宋体" w:cs="宋体"/>
                <w:color w:val="000000"/>
                <w:kern w:val="0"/>
                <w:szCs w:val="21"/>
              </w:rPr>
              <w:t>4</w:t>
            </w:r>
            <w:r>
              <w:rPr>
                <w:rFonts w:hint="eastAsia" w:ascii="宋体" w:hAnsi="宋体" w:cs="宋体"/>
                <w:color w:val="000000"/>
                <w:kern w:val="0"/>
                <w:szCs w:val="21"/>
              </w:rPr>
              <w:t>/138kw</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3</w:t>
            </w:r>
          </w:p>
        </w:tc>
        <w:tc>
          <w:tcPr>
            <w:tcW w:w="1417"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多联式风管室内机</w:t>
            </w: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540m³/h  72w  LQ/RQ=3.6/4.0kw  30Pa</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2</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4</w:t>
            </w:r>
          </w:p>
        </w:tc>
        <w:tc>
          <w:tcPr>
            <w:tcW w:w="1417"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800m³/h  80w  LQ/RQ=5.0/5.6kw  30Pa</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ascii="宋体" w:hAnsi="宋体" w:cs="宋体"/>
                <w:kern w:val="0"/>
                <w:sz w:val="22"/>
                <w:szCs w:val="22"/>
              </w:rPr>
              <w:t>5</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5</w:t>
            </w:r>
          </w:p>
        </w:tc>
        <w:tc>
          <w:tcPr>
            <w:tcW w:w="1417"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800m³/h  80w  LQ/RQ=5.6/6.3kw  30Pa</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3</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6</w:t>
            </w:r>
          </w:p>
        </w:tc>
        <w:tc>
          <w:tcPr>
            <w:tcW w:w="1417"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1000m³/h  105w  LQ/RQ=7.1/8.0kw  30Pa</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5</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7</w:t>
            </w:r>
          </w:p>
        </w:tc>
        <w:tc>
          <w:tcPr>
            <w:tcW w:w="1417"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1450m³/h  262w  LQ/RQ=10.0/11.2kw  50Pa</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2</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8</w:t>
            </w:r>
          </w:p>
        </w:tc>
        <w:tc>
          <w:tcPr>
            <w:tcW w:w="1417"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1800m³/h  355w  LQ/RQ=12.5/14.0kw  100Pa</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6</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9</w:t>
            </w:r>
          </w:p>
        </w:tc>
        <w:tc>
          <w:tcPr>
            <w:tcW w:w="1417"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多联式四面出风内机</w:t>
            </w: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1600m³/h  190w  LQ/RQ=10.0/11.2kw</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2</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10</w:t>
            </w:r>
          </w:p>
        </w:tc>
        <w:tc>
          <w:tcPr>
            <w:tcW w:w="1417" w:type="dxa"/>
            <w:vMerge w:val="continue"/>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p>
        </w:tc>
        <w:tc>
          <w:tcPr>
            <w:tcW w:w="3119"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1800m³/h  190w  LQ/RQ=14.0/16.0kw</w:t>
            </w:r>
          </w:p>
        </w:tc>
        <w:tc>
          <w:tcPr>
            <w:tcW w:w="85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2</w:t>
            </w:r>
          </w:p>
        </w:tc>
        <w:tc>
          <w:tcPr>
            <w:tcW w:w="113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nil"/>
              <w:left w:val="nil"/>
              <w:bottom w:val="single" w:color="auto" w:sz="4" w:space="0"/>
              <w:right w:val="single" w:color="auto" w:sz="4" w:space="0"/>
            </w:tcBorders>
            <w:noWrap w:val="0"/>
            <w:vAlign w:val="bottom"/>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1</w:t>
            </w:r>
            <w:r>
              <w:rPr>
                <w:rFonts w:ascii="宋体" w:hAnsi="宋体" w:cs="宋体"/>
                <w:color w:val="000000"/>
                <w:kern w:val="0"/>
                <w:sz w:val="20"/>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r>
              <w:rPr>
                <w:rFonts w:hint="eastAsia" w:ascii="宋体" w:hAnsi="宋体" w:cs="宋体"/>
                <w:kern w:val="0"/>
                <w:sz w:val="22"/>
                <w:szCs w:val="22"/>
              </w:rPr>
              <w:t>变频1</w:t>
            </w:r>
            <w:r>
              <w:rPr>
                <w:rFonts w:ascii="宋体" w:hAnsi="宋体" w:cs="宋体"/>
                <w:kern w:val="0"/>
                <w:sz w:val="22"/>
                <w:szCs w:val="22"/>
              </w:rPr>
              <w:t>0P</w:t>
            </w:r>
            <w:r>
              <w:rPr>
                <w:rFonts w:hint="eastAsia" w:ascii="宋体" w:hAnsi="宋体" w:cs="宋体"/>
                <w:kern w:val="0"/>
                <w:sz w:val="22"/>
                <w:szCs w:val="22"/>
              </w:rPr>
              <w:t>一拖二外机</w:t>
            </w:r>
          </w:p>
        </w:tc>
        <w:tc>
          <w:tcPr>
            <w:tcW w:w="311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 xml:space="preserve">LQ/RQ=25.0/28.0kw </w:t>
            </w:r>
          </w:p>
        </w:tc>
        <w:tc>
          <w:tcPr>
            <w:tcW w:w="8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ascii="宋体" w:hAnsi="宋体" w:cs="宋体"/>
                <w:color w:val="000000"/>
                <w:kern w:val="0"/>
                <w:sz w:val="22"/>
                <w:szCs w:val="22"/>
              </w:rPr>
              <w:t>11</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single" w:color="auto" w:sz="4" w:space="0"/>
              <w:left w:val="nil"/>
              <w:bottom w:val="single" w:color="auto" w:sz="4" w:space="0"/>
              <w:right w:val="single" w:color="auto" w:sz="4" w:space="0"/>
            </w:tcBorders>
            <w:noWrap w:val="0"/>
            <w:vAlign w:val="bottom"/>
          </w:tcPr>
          <w:p>
            <w:pPr>
              <w:jc w:val="left"/>
              <w:rPr>
                <w:rFonts w:ascii="宋体" w:hAnsi="宋体" w:cs="宋体"/>
                <w:color w:val="000000"/>
                <w:kern w:val="0"/>
                <w:sz w:val="22"/>
                <w:szCs w:val="22"/>
                <w:highlight w:val="yellow"/>
              </w:rPr>
            </w:pPr>
          </w:p>
        </w:tc>
      </w:tr>
      <w:tr>
        <w:tblPrEx>
          <w:tblCellMar>
            <w:top w:w="0" w:type="dxa"/>
            <w:left w:w="108" w:type="dxa"/>
            <w:bottom w:w="0" w:type="dxa"/>
            <w:right w:w="108" w:type="dxa"/>
          </w:tblCellMar>
        </w:tblPrEx>
        <w:trPr>
          <w:trHeight w:val="72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 w:val="20"/>
              </w:rPr>
            </w:pPr>
            <w:r>
              <w:rPr>
                <w:rFonts w:hint="eastAsia" w:ascii="宋体" w:hAnsi="宋体" w:cs="宋体"/>
                <w:color w:val="000000"/>
                <w:kern w:val="0"/>
                <w:sz w:val="20"/>
              </w:rPr>
              <w:t>1</w:t>
            </w:r>
            <w:r>
              <w:rPr>
                <w:rFonts w:ascii="宋体" w:hAnsi="宋体" w:cs="宋体"/>
                <w:color w:val="000000"/>
                <w:kern w:val="0"/>
                <w:sz w:val="20"/>
              </w:rPr>
              <w:t>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2"/>
                <w:szCs w:val="22"/>
              </w:rPr>
            </w:pPr>
            <w:r>
              <w:rPr>
                <w:rFonts w:hint="eastAsia" w:ascii="宋体" w:hAnsi="宋体" w:cs="宋体"/>
                <w:kern w:val="0"/>
                <w:sz w:val="22"/>
                <w:szCs w:val="22"/>
              </w:rPr>
              <w:t>变频1</w:t>
            </w:r>
            <w:r>
              <w:rPr>
                <w:rFonts w:ascii="宋体" w:hAnsi="宋体" w:cs="宋体"/>
                <w:kern w:val="0"/>
                <w:sz w:val="22"/>
                <w:szCs w:val="22"/>
              </w:rPr>
              <w:t>0P</w:t>
            </w:r>
            <w:r>
              <w:rPr>
                <w:rFonts w:hint="eastAsia" w:ascii="宋体" w:hAnsi="宋体" w:cs="宋体"/>
                <w:kern w:val="0"/>
                <w:sz w:val="22"/>
                <w:szCs w:val="22"/>
              </w:rPr>
              <w:t>一拖二四面出风天花内机</w:t>
            </w:r>
          </w:p>
        </w:tc>
        <w:tc>
          <w:tcPr>
            <w:tcW w:w="311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1800m³/h  190w  LQ/RQ=12.5/14.0kw</w:t>
            </w:r>
          </w:p>
        </w:tc>
        <w:tc>
          <w:tcPr>
            <w:tcW w:w="8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color w:val="000000"/>
                <w:kern w:val="0"/>
                <w:sz w:val="22"/>
                <w:szCs w:val="22"/>
              </w:rPr>
              <w:t>2</w:t>
            </w:r>
            <w:r>
              <w:rPr>
                <w:rFonts w:ascii="宋体" w:hAnsi="宋体" w:cs="宋体"/>
                <w:color w:val="000000"/>
                <w:kern w:val="0"/>
                <w:sz w:val="22"/>
                <w:szCs w:val="22"/>
              </w:rPr>
              <w:t>2</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2"/>
                <w:szCs w:val="22"/>
              </w:rPr>
            </w:pPr>
            <w:r>
              <w:rPr>
                <w:rFonts w:hint="eastAsia" w:ascii="宋体" w:hAnsi="宋体" w:cs="宋体"/>
                <w:kern w:val="0"/>
                <w:sz w:val="22"/>
                <w:szCs w:val="22"/>
              </w:rPr>
              <w:t>台</w:t>
            </w:r>
          </w:p>
        </w:tc>
        <w:tc>
          <w:tcPr>
            <w:tcW w:w="1560" w:type="dxa"/>
            <w:tcBorders>
              <w:top w:val="single" w:color="auto" w:sz="4" w:space="0"/>
              <w:left w:val="nil"/>
              <w:bottom w:val="single" w:color="auto" w:sz="4" w:space="0"/>
              <w:right w:val="single" w:color="auto" w:sz="4" w:space="0"/>
            </w:tcBorders>
            <w:noWrap w:val="0"/>
            <w:vAlign w:val="bottom"/>
          </w:tcPr>
          <w:p>
            <w:pPr>
              <w:jc w:val="left"/>
              <w:rPr>
                <w:rFonts w:ascii="宋体" w:hAnsi="宋体" w:cs="宋体"/>
                <w:color w:val="000000"/>
                <w:kern w:val="0"/>
                <w:sz w:val="22"/>
                <w:szCs w:val="22"/>
                <w:highlight w:val="yellow"/>
              </w:rPr>
            </w:pPr>
          </w:p>
        </w:tc>
      </w:tr>
    </w:tbl>
    <w:p>
      <w:pPr>
        <w:jc w:val="left"/>
        <w:rPr>
          <w:b/>
          <w:color w:val="000000"/>
          <w:szCs w:val="21"/>
        </w:rPr>
      </w:pPr>
    </w:p>
    <w:p>
      <w:pPr>
        <w:pStyle w:val="8"/>
        <w:spacing w:line="312" w:lineRule="auto"/>
        <w:ind w:firstLine="0"/>
        <w:rPr>
          <w:rFonts w:hAnsi="宋体"/>
          <w:b/>
          <w:color w:val="000000"/>
          <w:szCs w:val="21"/>
        </w:rPr>
      </w:pPr>
      <w:r>
        <w:rPr>
          <w:rFonts w:hint="eastAsia" w:hAnsi="宋体"/>
          <w:b/>
          <w:color w:val="000000"/>
          <w:szCs w:val="21"/>
          <w:lang w:val="en-US" w:eastAsia="zh-CN"/>
        </w:rPr>
        <w:t>3.3</w:t>
      </w:r>
      <w:r>
        <w:rPr>
          <w:rFonts w:hint="eastAsia" w:hAnsi="宋体"/>
          <w:b/>
          <w:color w:val="000000"/>
          <w:szCs w:val="21"/>
        </w:rPr>
        <w:t>安装材料清单：</w:t>
      </w:r>
    </w:p>
    <w:tbl>
      <w:tblPr>
        <w:tblStyle w:val="21"/>
        <w:tblW w:w="0" w:type="auto"/>
        <w:tblInd w:w="113" w:type="dxa"/>
        <w:tblLayout w:type="fixed"/>
        <w:tblCellMar>
          <w:top w:w="0" w:type="dxa"/>
          <w:left w:w="108" w:type="dxa"/>
          <w:bottom w:w="0" w:type="dxa"/>
          <w:right w:w="108" w:type="dxa"/>
        </w:tblCellMar>
      </w:tblPr>
      <w:tblGrid>
        <w:gridCol w:w="880"/>
        <w:gridCol w:w="2740"/>
        <w:gridCol w:w="2320"/>
        <w:gridCol w:w="1160"/>
        <w:gridCol w:w="1000"/>
        <w:gridCol w:w="1000"/>
      </w:tblGrid>
      <w:tr>
        <w:tblPrEx>
          <w:tblCellMar>
            <w:top w:w="0" w:type="dxa"/>
            <w:left w:w="108" w:type="dxa"/>
            <w:bottom w:w="0" w:type="dxa"/>
            <w:right w:w="108" w:type="dxa"/>
          </w:tblCellMar>
        </w:tblPrEx>
        <w:trPr>
          <w:trHeight w:val="5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材料名称</w:t>
            </w:r>
          </w:p>
        </w:tc>
        <w:tc>
          <w:tcPr>
            <w:tcW w:w="23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型号规格</w:t>
            </w:r>
          </w:p>
        </w:tc>
        <w:tc>
          <w:tcPr>
            <w:tcW w:w="11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7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铜管</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Φ6.35*0.8mm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Φ9.53*0.8mm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335</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Φ12.7*0.8mm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Φ15.9*1.0mm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240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Φ19.1*1.0mm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Φ22.2*1.2mm</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116</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Φ28.6*1.2mm</w:t>
            </w:r>
          </w:p>
        </w:tc>
        <w:tc>
          <w:tcPr>
            <w:tcW w:w="11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Φ31.8*1.3mm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ascii="Calibri" w:hAnsi="Calibri" w:cs="Calibri"/>
                <w:kern w:val="0"/>
                <w:sz w:val="22"/>
                <w:szCs w:val="22"/>
              </w:rPr>
              <w:t>Φ</w:t>
            </w:r>
            <w:r>
              <w:rPr>
                <w:rFonts w:hint="eastAsia" w:ascii="宋体" w:hAnsi="宋体" w:cs="宋体"/>
                <w:kern w:val="0"/>
                <w:sz w:val="22"/>
                <w:szCs w:val="22"/>
              </w:rPr>
              <w:t>38.1*1.3mm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7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铜管橡塑保温难燃B1级</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Φ6.35*10mm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Φ9.53*10mm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335</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Φ12.7*10mm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Φ15.9*15mm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240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Φ19.1*15mm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Φ22.2*20mm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116</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Φ28.6*20mm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Φ31.8*30mm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ascii="Calibri" w:hAnsi="Calibri" w:cs="Calibri"/>
                <w:kern w:val="0"/>
                <w:sz w:val="22"/>
                <w:szCs w:val="22"/>
              </w:rPr>
              <w:t>Φ38.1</w:t>
            </w:r>
            <w:r>
              <w:rPr>
                <w:rFonts w:hint="eastAsia" w:ascii="宋体" w:hAnsi="宋体" w:cs="宋体"/>
                <w:kern w:val="0"/>
                <w:sz w:val="22"/>
                <w:szCs w:val="22"/>
              </w:rPr>
              <w:t>*30mm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分歧管</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室内机</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7</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7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凝结水管</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UPVC25</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260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UPVC32</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120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7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凝结水管橡塑保温难燃B1</w:t>
            </w:r>
            <w:r>
              <w:rPr>
                <w:rFonts w:hint="eastAsia" w:ascii="宋体" w:hAnsi="宋体" w:cs="宋体"/>
                <w:kern w:val="0"/>
                <w:sz w:val="22"/>
                <w:szCs w:val="22"/>
                <w:lang w:val="en-US" w:eastAsia="zh-CN"/>
              </w:rPr>
              <w:t xml:space="preserve"> </w:t>
            </w:r>
            <w:r>
              <w:rPr>
                <w:rFonts w:hint="eastAsia" w:ascii="宋体" w:hAnsi="宋体" w:cs="宋体"/>
                <w:kern w:val="0"/>
                <w:sz w:val="22"/>
                <w:szCs w:val="22"/>
              </w:rPr>
              <w:t>级</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UPVC25（10mm)</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260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UPVC32（10mm)</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120</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m</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出风口</w:t>
            </w:r>
          </w:p>
        </w:tc>
        <w:tc>
          <w:tcPr>
            <w:tcW w:w="23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p>
        </w:tc>
        <w:tc>
          <w:tcPr>
            <w:tcW w:w="11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3</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回风口</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3</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帆布软接头（三防）</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内外机RVVP信号线</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5*0.75mm2</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450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线控线</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3*0.75mm2</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330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PVC线管</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20*1.6</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780</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155"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6"/>
                <w:szCs w:val="16"/>
              </w:rPr>
            </w:pPr>
            <w:r>
              <w:rPr>
                <w:rFonts w:hint="eastAsia" w:ascii="宋体" w:hAnsi="宋体" w:cs="宋体"/>
                <w:kern w:val="0"/>
                <w:sz w:val="22"/>
                <w:szCs w:val="22"/>
              </w:rPr>
              <w:t>吊杆、氮气、氧气、乙炔、焊条、管道试验、吹扫、五金、胶带等</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1</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制冷剂R410A</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Kg</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室外机搬运及安装</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3</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0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室内机搬运及安装</w:t>
            </w:r>
          </w:p>
        </w:tc>
        <w:tc>
          <w:tcPr>
            <w:tcW w:w="23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1</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1000"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7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穿墙打孔费、空调穿墙套管、控制线预埋槽</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0" w:hRule="atLeast"/>
        </w:trPr>
        <w:tc>
          <w:tcPr>
            <w:tcW w:w="8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7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吊装运输费</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0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c>
          <w:tcPr>
            <w:tcW w:w="1000"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pStyle w:val="8"/>
        <w:spacing w:line="312" w:lineRule="auto"/>
        <w:ind w:firstLine="0"/>
        <w:rPr>
          <w:rFonts w:hAnsi="宋体"/>
          <w:b/>
          <w:color w:val="000000"/>
          <w:szCs w:val="21"/>
        </w:rPr>
      </w:pPr>
    </w:p>
    <w:p>
      <w:pPr>
        <w:pStyle w:val="8"/>
        <w:spacing w:line="312" w:lineRule="auto"/>
        <w:ind w:firstLine="0"/>
        <w:rPr>
          <w:rFonts w:ascii="宋体" w:hAnsi="宋体"/>
          <w:b/>
          <w:color w:val="000000"/>
          <w:szCs w:val="21"/>
        </w:rPr>
      </w:pPr>
      <w:r>
        <w:rPr>
          <w:rFonts w:hint="eastAsia" w:hAnsi="宋体"/>
          <w:b/>
          <w:color w:val="000000"/>
          <w:szCs w:val="21"/>
          <w:lang w:val="en-US" w:eastAsia="zh-CN"/>
        </w:rPr>
        <w:t>3</w:t>
      </w:r>
      <w:r>
        <w:rPr>
          <w:rFonts w:hAnsi="宋体"/>
          <w:b/>
          <w:color w:val="000000"/>
          <w:szCs w:val="21"/>
        </w:rPr>
        <w:t>.</w:t>
      </w:r>
      <w:r>
        <w:rPr>
          <w:rFonts w:hint="eastAsia" w:hAnsi="宋体"/>
          <w:b/>
          <w:color w:val="000000"/>
          <w:szCs w:val="21"/>
          <w:lang w:val="en-US" w:eastAsia="zh-CN"/>
        </w:rPr>
        <w:t>3</w:t>
      </w:r>
      <w:r>
        <w:rPr>
          <w:rFonts w:hAnsi="宋体"/>
          <w:b/>
          <w:color w:val="000000"/>
          <w:szCs w:val="21"/>
        </w:rPr>
        <w:t>.</w:t>
      </w:r>
      <w:r>
        <w:rPr>
          <w:rFonts w:hint="eastAsia" w:hAnsi="宋体"/>
          <w:b/>
          <w:color w:val="000000"/>
          <w:szCs w:val="21"/>
        </w:rPr>
        <w:t>1、安装材料清单说明：</w:t>
      </w:r>
    </w:p>
    <w:p>
      <w:pPr>
        <w:pStyle w:val="8"/>
        <w:spacing w:line="312" w:lineRule="auto"/>
        <w:ind w:firstLine="0"/>
        <w:rPr>
          <w:rFonts w:hAnsi="宋体"/>
          <w:b/>
          <w:color w:val="000000"/>
          <w:szCs w:val="21"/>
        </w:rPr>
      </w:pPr>
      <w:r>
        <w:rPr>
          <w:rFonts w:hAnsi="宋体"/>
          <w:b/>
          <w:color w:val="000000"/>
          <w:szCs w:val="21"/>
        </w:rPr>
        <w:t>1</w:t>
      </w:r>
      <w:r>
        <w:rPr>
          <w:rFonts w:hint="eastAsia" w:hAnsi="宋体"/>
          <w:b/>
          <w:color w:val="000000"/>
          <w:szCs w:val="21"/>
        </w:rPr>
        <w:t>）安装材料请各供应商根据产品特点及招标图纸、招标范围自行计算与填写，对图纸中设备部分包含的安装材料和单独的安装材料均实行包干，费用包含在投标报价中。</w:t>
      </w:r>
    </w:p>
    <w:p>
      <w:pPr>
        <w:pStyle w:val="8"/>
        <w:spacing w:line="312" w:lineRule="auto"/>
        <w:ind w:firstLine="0"/>
        <w:rPr>
          <w:rFonts w:hAnsi="宋体"/>
          <w:b/>
          <w:color w:val="000000"/>
          <w:szCs w:val="21"/>
        </w:rPr>
      </w:pPr>
      <w:r>
        <w:rPr>
          <w:rFonts w:hint="eastAsia" w:hAnsi="宋体"/>
          <w:b/>
          <w:color w:val="000000"/>
          <w:szCs w:val="21"/>
        </w:rPr>
        <w:t>2）虽然招标图纸要求未明确或安装材料</w:t>
      </w:r>
      <w:r>
        <w:rPr>
          <w:rFonts w:hAnsi="宋体"/>
          <w:b/>
          <w:color w:val="000000"/>
          <w:szCs w:val="21"/>
        </w:rPr>
        <w:t>清单未列</w:t>
      </w:r>
      <w:r>
        <w:rPr>
          <w:rFonts w:hint="eastAsia" w:hAnsi="宋体"/>
          <w:b/>
          <w:color w:val="000000"/>
          <w:szCs w:val="21"/>
        </w:rPr>
        <w:t>，但供应商投标的设备必须有的其他配件（能满足招标图纸设计系统基本要求），费用</w:t>
      </w:r>
      <w:r>
        <w:rPr>
          <w:rFonts w:hAnsi="宋体"/>
          <w:b/>
          <w:color w:val="000000"/>
          <w:szCs w:val="21"/>
        </w:rPr>
        <w:t>也</w:t>
      </w:r>
      <w:r>
        <w:rPr>
          <w:rFonts w:hint="eastAsia" w:hAnsi="宋体"/>
          <w:b/>
          <w:color w:val="000000"/>
          <w:szCs w:val="21"/>
        </w:rPr>
        <w:t>包含在投标报价中。</w:t>
      </w:r>
    </w:p>
    <w:p>
      <w:pPr>
        <w:pStyle w:val="8"/>
        <w:spacing w:line="312" w:lineRule="auto"/>
        <w:ind w:firstLine="0"/>
        <w:rPr>
          <w:rFonts w:hint="eastAsia" w:hAnsi="宋体"/>
          <w:b/>
          <w:color w:val="000000"/>
          <w:szCs w:val="21"/>
        </w:rPr>
      </w:pPr>
      <w:r>
        <w:rPr>
          <w:rFonts w:hint="eastAsia" w:hAnsi="宋体"/>
          <w:b/>
          <w:color w:val="000000"/>
          <w:szCs w:val="21"/>
        </w:rPr>
        <w:t>3）安装材料材质及技术要求必须满足设计图纸《空调通风设计与施工说明》要求。</w:t>
      </w:r>
    </w:p>
    <w:p>
      <w:pPr>
        <w:pStyle w:val="8"/>
        <w:spacing w:line="312" w:lineRule="auto"/>
        <w:ind w:firstLine="0"/>
        <w:rPr>
          <w:rFonts w:hint="eastAsia" w:hAnsi="宋体"/>
          <w:b/>
          <w:color w:val="000000"/>
          <w:szCs w:val="21"/>
        </w:rPr>
      </w:pPr>
    </w:p>
    <w:p>
      <w:pPr>
        <w:widowControl/>
        <w:jc w:val="left"/>
        <w:rPr>
          <w:rFonts w:hint="eastAsia" w:hAnsi="宋体"/>
          <w:b/>
          <w:color w:val="000000"/>
          <w:kern w:val="0"/>
          <w:sz w:val="24"/>
          <w:szCs w:val="21"/>
          <w:lang w:val="en-US" w:eastAsia="zh-CN" w:bidi="ar-SA"/>
        </w:rPr>
      </w:pPr>
      <w:r>
        <w:rPr>
          <w:rFonts w:hint="eastAsia" w:hAnsi="宋体"/>
          <w:b/>
          <w:color w:val="000000"/>
          <w:szCs w:val="21"/>
          <w:lang w:val="en-US" w:eastAsia="zh-CN"/>
        </w:rPr>
        <w:t xml:space="preserve"> </w:t>
      </w:r>
      <w:r>
        <w:rPr>
          <w:rFonts w:hint="eastAsia" w:hAnsi="宋体"/>
          <w:b/>
          <w:color w:val="000000"/>
          <w:kern w:val="0"/>
          <w:sz w:val="24"/>
          <w:szCs w:val="21"/>
          <w:lang w:val="en-US" w:eastAsia="zh-CN" w:bidi="ar-SA"/>
        </w:rPr>
        <w:t xml:space="preserve"> 3.4、安装材料参考品牌</w:t>
      </w:r>
    </w:p>
    <w:tbl>
      <w:tblPr>
        <w:tblStyle w:val="21"/>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6"/>
        <w:gridCol w:w="1560"/>
        <w:gridCol w:w="1233"/>
        <w:gridCol w:w="1984"/>
        <w:gridCol w:w="1588"/>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6" w:type="dxa"/>
            <w:tcBorders>
              <w:top w:val="single" w:color="auto" w:sz="4"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序号</w:t>
            </w:r>
          </w:p>
        </w:tc>
        <w:tc>
          <w:tcPr>
            <w:tcW w:w="1560" w:type="dxa"/>
            <w:tcBorders>
              <w:top w:val="single" w:color="auto" w:sz="4"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安装材料名称</w:t>
            </w:r>
          </w:p>
        </w:tc>
        <w:tc>
          <w:tcPr>
            <w:tcW w:w="1233" w:type="dxa"/>
            <w:tcBorders>
              <w:top w:val="single" w:color="auto" w:sz="4"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材质</w:t>
            </w:r>
          </w:p>
        </w:tc>
        <w:tc>
          <w:tcPr>
            <w:tcW w:w="1984" w:type="dxa"/>
            <w:tcBorders>
              <w:top w:val="single" w:color="auto" w:sz="4"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规格</w:t>
            </w:r>
          </w:p>
        </w:tc>
        <w:tc>
          <w:tcPr>
            <w:tcW w:w="1588" w:type="dxa"/>
            <w:tcBorders>
              <w:top w:val="single" w:color="auto" w:sz="4"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参考品牌</w:t>
            </w:r>
          </w:p>
        </w:tc>
        <w:tc>
          <w:tcPr>
            <w:tcW w:w="1701" w:type="dxa"/>
            <w:tcBorders>
              <w:top w:val="single" w:color="auto" w:sz="4"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156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铜 管</w:t>
            </w:r>
          </w:p>
        </w:tc>
        <w:tc>
          <w:tcPr>
            <w:tcW w:w="123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脱氧亚磷无缝铜管</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φ6.4</w:t>
            </w:r>
            <w:r>
              <w:rPr>
                <w:rFonts w:hint="eastAsia" w:ascii="宋体" w:hAnsi="宋体"/>
                <w:color w:val="000000"/>
                <w:kern w:val="0"/>
                <w:szCs w:val="21"/>
              </w:rPr>
              <w:t>~</w:t>
            </w:r>
            <w:r>
              <w:rPr>
                <w:rFonts w:hint="eastAsia" w:ascii="宋体" w:hAnsi="宋体" w:cs="宋体"/>
                <w:color w:val="000000"/>
                <w:kern w:val="0"/>
                <w:szCs w:val="21"/>
              </w:rPr>
              <w:t>φ9.5</w:t>
            </w:r>
          </w:p>
        </w:tc>
        <w:tc>
          <w:tcPr>
            <w:tcW w:w="1588"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海亮（浙江）、宏泰（青岛）、中佳（青岛）、飞轮（上海）</w:t>
            </w: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厚度0.8mm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c>
          <w:tcPr>
            <w:tcW w:w="15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2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φ12.7</w:t>
            </w:r>
            <w:r>
              <w:rPr>
                <w:rFonts w:hint="eastAsia" w:ascii="宋体" w:hAnsi="宋体"/>
                <w:color w:val="000000"/>
                <w:kern w:val="0"/>
                <w:szCs w:val="21"/>
              </w:rPr>
              <w:t>~</w:t>
            </w:r>
            <w:r>
              <w:rPr>
                <w:rFonts w:hint="eastAsia" w:ascii="宋体" w:hAnsi="宋体" w:cs="宋体"/>
                <w:color w:val="000000"/>
                <w:kern w:val="0"/>
                <w:szCs w:val="21"/>
              </w:rPr>
              <w:t>φ15.9</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厚度1.0mm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3</w:t>
            </w:r>
          </w:p>
        </w:tc>
        <w:tc>
          <w:tcPr>
            <w:tcW w:w="15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2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φ19.0</w:t>
            </w:r>
            <w:r>
              <w:rPr>
                <w:rFonts w:hint="eastAsia" w:ascii="宋体" w:hAnsi="宋体"/>
                <w:color w:val="000000"/>
                <w:kern w:val="0"/>
                <w:szCs w:val="21"/>
              </w:rPr>
              <w:t>~</w:t>
            </w:r>
            <w:r>
              <w:rPr>
                <w:rFonts w:hint="eastAsia" w:ascii="宋体" w:hAnsi="宋体" w:cs="宋体"/>
                <w:color w:val="000000"/>
                <w:kern w:val="0"/>
                <w:szCs w:val="21"/>
              </w:rPr>
              <w:t>φ28.6</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厚度1.2mm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4</w:t>
            </w:r>
          </w:p>
        </w:tc>
        <w:tc>
          <w:tcPr>
            <w:tcW w:w="15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2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φ31.8</w:t>
            </w:r>
            <w:r>
              <w:rPr>
                <w:rFonts w:hint="eastAsia" w:ascii="宋体" w:hAnsi="宋体"/>
                <w:color w:val="000000"/>
                <w:kern w:val="0"/>
                <w:szCs w:val="21"/>
              </w:rPr>
              <w:t>~</w:t>
            </w:r>
            <w:r>
              <w:rPr>
                <w:rFonts w:hint="eastAsia" w:ascii="宋体" w:hAnsi="宋体" w:cs="宋体"/>
                <w:color w:val="000000"/>
                <w:kern w:val="0"/>
                <w:szCs w:val="21"/>
              </w:rPr>
              <w:t>φ38.1</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厚度1.5mm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5</w:t>
            </w:r>
          </w:p>
        </w:tc>
        <w:tc>
          <w:tcPr>
            <w:tcW w:w="15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2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φ38.1以上</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厚度1.5mm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6</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冷媒</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R410A冷媒</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Arial"/>
                <w:color w:val="000000"/>
                <w:kern w:val="0"/>
                <w:szCs w:val="21"/>
              </w:rPr>
            </w:pPr>
          </w:p>
        </w:tc>
        <w:tc>
          <w:tcPr>
            <w:tcW w:w="1588"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大金、杜邦、霍尼韦尔</w:t>
            </w: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7</w:t>
            </w:r>
          </w:p>
        </w:tc>
        <w:tc>
          <w:tcPr>
            <w:tcW w:w="156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保温材料</w:t>
            </w:r>
          </w:p>
        </w:tc>
        <w:tc>
          <w:tcPr>
            <w:tcW w:w="123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橡塑材料</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φ6.4</w:t>
            </w:r>
            <w:r>
              <w:rPr>
                <w:rFonts w:hint="eastAsia" w:ascii="宋体" w:hAnsi="宋体"/>
                <w:color w:val="000000"/>
                <w:kern w:val="0"/>
                <w:szCs w:val="21"/>
              </w:rPr>
              <w:t>~</w:t>
            </w:r>
            <w:r>
              <w:rPr>
                <w:rFonts w:hint="eastAsia" w:ascii="宋体" w:hAnsi="宋体" w:cs="宋体"/>
                <w:color w:val="000000"/>
                <w:kern w:val="0"/>
                <w:szCs w:val="21"/>
              </w:rPr>
              <w:t>φ9.5</w:t>
            </w:r>
          </w:p>
        </w:tc>
        <w:tc>
          <w:tcPr>
            <w:tcW w:w="1588"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一级福乐斯（苏州）、澳利斯、赢胜、</w:t>
            </w:r>
            <w:r>
              <w:rPr>
                <w:rFonts w:hint="eastAsia" w:ascii="宋体" w:hAnsi="宋体"/>
                <w:color w:val="000000"/>
                <w:szCs w:val="21"/>
              </w:rPr>
              <w:t>河北华美</w:t>
            </w: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保温厚度10mm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8</w:t>
            </w:r>
          </w:p>
        </w:tc>
        <w:tc>
          <w:tcPr>
            <w:tcW w:w="15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2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φ12.7</w:t>
            </w:r>
            <w:r>
              <w:rPr>
                <w:rFonts w:hint="eastAsia" w:ascii="宋体" w:hAnsi="宋体"/>
                <w:color w:val="000000"/>
                <w:kern w:val="0"/>
                <w:szCs w:val="21"/>
              </w:rPr>
              <w:t>~</w:t>
            </w:r>
            <w:r>
              <w:rPr>
                <w:rFonts w:hint="eastAsia" w:ascii="宋体" w:hAnsi="宋体" w:cs="宋体"/>
                <w:color w:val="000000"/>
                <w:kern w:val="0"/>
                <w:szCs w:val="21"/>
              </w:rPr>
              <w:t>φ15.9</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保温厚度15mm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9</w:t>
            </w:r>
          </w:p>
        </w:tc>
        <w:tc>
          <w:tcPr>
            <w:tcW w:w="15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2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φ28.6</w:t>
            </w:r>
            <w:r>
              <w:rPr>
                <w:rFonts w:hint="eastAsia" w:ascii="宋体" w:hAnsi="宋体"/>
                <w:color w:val="000000"/>
                <w:kern w:val="0"/>
                <w:szCs w:val="21"/>
              </w:rPr>
              <w:t>~</w:t>
            </w:r>
            <w:r>
              <w:rPr>
                <w:rFonts w:hint="eastAsia" w:ascii="宋体" w:hAnsi="宋体" w:cs="宋体"/>
                <w:color w:val="000000"/>
                <w:kern w:val="0"/>
                <w:szCs w:val="21"/>
              </w:rPr>
              <w:t>φ44.5</w:t>
            </w:r>
          </w:p>
        </w:tc>
        <w:tc>
          <w:tcPr>
            <w:tcW w:w="158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000000"/>
                <w:kern w:val="0"/>
                <w:szCs w:val="21"/>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保温厚度20mm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7"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10</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电线、电缆、控制线</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p>
        </w:tc>
        <w:tc>
          <w:tcPr>
            <w:tcW w:w="1588"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宁波球冠、宁波东方、上海宝胜</w:t>
            </w: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76"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11</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凝结水管及管件</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UPVC</w:t>
            </w:r>
          </w:p>
        </w:tc>
        <w:tc>
          <w:tcPr>
            <w:tcW w:w="1588"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公元（浙江）、白蝶（上海）、伟星（浙江）</w:t>
            </w:r>
          </w:p>
        </w:tc>
        <w:tc>
          <w:tcPr>
            <w:tcW w:w="1701" w:type="dxa"/>
            <w:tcBorders>
              <w:top w:val="single" w:color="auto" w:sz="6" w:space="0"/>
              <w:left w:val="single" w:color="auto" w:sz="6" w:space="0"/>
              <w:bottom w:val="single" w:color="auto" w:sz="6" w:space="0"/>
              <w:right w:val="single" w:color="auto" w:sz="4" w:space="0"/>
            </w:tcBorders>
            <w:noWrap w:val="0"/>
            <w:vAlign w:val="center"/>
          </w:tcPr>
          <w:p>
            <w:pPr>
              <w:widowControl/>
              <w:snapToGrid w:val="0"/>
              <w:jc w:val="center"/>
              <w:rPr>
                <w:rFonts w:ascii="宋体" w:hAnsi="宋体" w:cs="宋体"/>
                <w:color w:val="000000"/>
                <w:kern w:val="0"/>
                <w:szCs w:val="21"/>
              </w:rPr>
            </w:pPr>
          </w:p>
        </w:tc>
      </w:tr>
    </w:tbl>
    <w:p>
      <w:pPr>
        <w:pStyle w:val="8"/>
        <w:spacing w:line="312" w:lineRule="auto"/>
        <w:ind w:firstLine="0"/>
        <w:rPr>
          <w:rFonts w:hAnsi="宋体"/>
          <w:b/>
          <w:color w:val="000000"/>
          <w:szCs w:val="21"/>
        </w:rPr>
      </w:pPr>
    </w:p>
    <w:p>
      <w:pPr>
        <w:pStyle w:val="8"/>
        <w:spacing w:line="312" w:lineRule="auto"/>
        <w:ind w:firstLine="0"/>
        <w:rPr>
          <w:rFonts w:ascii="宋体" w:hAnsi="宋体"/>
          <w:b/>
          <w:color w:val="000000"/>
          <w:szCs w:val="21"/>
        </w:rPr>
      </w:pPr>
      <w:r>
        <w:rPr>
          <w:rFonts w:hint="eastAsia" w:hAnsi="宋体"/>
          <w:b/>
          <w:color w:val="000000"/>
          <w:szCs w:val="21"/>
        </w:rPr>
        <w:t>说明：</w:t>
      </w:r>
    </w:p>
    <w:p>
      <w:pPr>
        <w:spacing w:line="360" w:lineRule="auto"/>
        <w:outlineLvl w:val="1"/>
        <w:rPr>
          <w:rFonts w:ascii="Arial" w:hAnsi="Arial"/>
          <w:b/>
          <w:color w:val="000000"/>
          <w:szCs w:val="28"/>
        </w:rPr>
      </w:pPr>
      <w:r>
        <w:rPr>
          <w:rFonts w:hint="eastAsia" w:hAnsi="宋体"/>
          <w:b/>
          <w:color w:val="000000"/>
          <w:szCs w:val="21"/>
        </w:rPr>
        <w:t>清单内的品牌供供应商参考，供应商可选择同等或更优档次的产品，但必须满足相应技术要求、规格及安装条件。如所投产品未在此范围内的，</w:t>
      </w:r>
      <w:r>
        <w:rPr>
          <w:rFonts w:hint="eastAsia" w:hAnsi="宋体"/>
          <w:b/>
          <w:color w:val="000000"/>
          <w:szCs w:val="21"/>
          <w:highlight w:val="none"/>
        </w:rPr>
        <w:t>须经评标委员会</w:t>
      </w:r>
      <w:r>
        <w:rPr>
          <w:rFonts w:hint="eastAsia" w:hAnsi="宋体"/>
          <w:b/>
          <w:color w:val="000000"/>
          <w:szCs w:val="21"/>
          <w:highlight w:val="none"/>
          <w:lang w:eastAsia="zh-CN"/>
        </w:rPr>
        <w:t>五分之三（包含本数）以上</w:t>
      </w:r>
      <w:r>
        <w:rPr>
          <w:rFonts w:hint="eastAsia" w:hAnsi="宋体"/>
          <w:b/>
          <w:color w:val="000000"/>
          <w:szCs w:val="21"/>
          <w:highlight w:val="none"/>
        </w:rPr>
        <w:t>专</w:t>
      </w:r>
      <w:r>
        <w:rPr>
          <w:rFonts w:hint="eastAsia" w:hAnsi="宋体"/>
          <w:b/>
          <w:color w:val="000000"/>
          <w:szCs w:val="21"/>
        </w:rPr>
        <w:t>家确认。</w:t>
      </w:r>
    </w:p>
    <w:p>
      <w:pPr>
        <w:rPr>
          <w:b/>
          <w:color w:val="000000"/>
          <w:szCs w:val="21"/>
        </w:rPr>
      </w:pPr>
    </w:p>
    <w:p>
      <w:pPr>
        <w:rPr>
          <w:b/>
          <w:color w:val="000000"/>
        </w:rPr>
      </w:pPr>
      <w:r>
        <w:rPr>
          <w:rFonts w:hint="eastAsia"/>
          <w:b/>
          <w:color w:val="000000"/>
          <w:lang w:val="en-US" w:eastAsia="zh-CN"/>
        </w:rPr>
        <w:t>3</w:t>
      </w:r>
      <w:r>
        <w:rPr>
          <w:rFonts w:hint="eastAsia"/>
          <w:b/>
          <w:color w:val="000000"/>
        </w:rPr>
        <w:t>.</w:t>
      </w:r>
      <w:r>
        <w:rPr>
          <w:rFonts w:hint="eastAsia"/>
          <w:b/>
          <w:color w:val="000000"/>
          <w:lang w:val="en-US" w:eastAsia="zh-CN"/>
        </w:rPr>
        <w:t>5</w:t>
      </w:r>
      <w:r>
        <w:rPr>
          <w:rFonts w:hint="eastAsia"/>
          <w:b/>
          <w:color w:val="000000"/>
        </w:rPr>
        <w:t>、采购技术要求（多联式）：</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81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序号</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技术要求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一、</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工况要求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hint="eastAsia" w:ascii="宋体" w:hAnsi="宋体"/>
                <w:color w:val="000000"/>
              </w:rPr>
              <w:t>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ascii="宋体" w:hAnsi="宋体"/>
                <w:color w:val="000000"/>
              </w:rPr>
            </w:pPr>
            <w:r>
              <w:rPr>
                <w:rFonts w:hint="eastAsia" w:ascii="宋体" w:hAnsi="宋体"/>
                <w:color w:val="000000"/>
              </w:rPr>
              <w:t>制冷：室外温度：35℃；室内温度：25℃—28℃。</w:t>
            </w:r>
          </w:p>
          <w:p>
            <w:pPr>
              <w:tabs>
                <w:tab w:val="left" w:pos="1985"/>
              </w:tabs>
              <w:snapToGrid w:val="0"/>
              <w:spacing w:line="276" w:lineRule="auto"/>
              <w:rPr>
                <w:rFonts w:ascii="宋体" w:hAnsi="宋体"/>
                <w:color w:val="000000"/>
              </w:rPr>
            </w:pPr>
            <w:r>
              <w:rPr>
                <w:rFonts w:hint="eastAsia" w:ascii="宋体" w:hAnsi="宋体"/>
                <w:color w:val="000000"/>
              </w:rPr>
              <w:t>制热：室外温度：7℃；室内温度：16℃—22℃。</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二、</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设计要求：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2.1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请供应商提供空调系统负荷配置表。</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hint="eastAsia" w:ascii="宋体" w:hAnsi="宋体"/>
                <w:color w:val="000000"/>
              </w:rPr>
              <w:t>★2.2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供应商按设备需求清单的技术参数配置，所有设备数量不允许有负偏离。空调室外机、薄型风管天井式室内机、四面出风室内机的制冷量不允许负偏离。</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★2.3</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空调室外机、薄型风管天井式室内机、四面出风室内机的必须是同一品牌，否则将导致投标无效。</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★2.4</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空调系统不允许重新划分。</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三、</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系统要求及配置：</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多联式空调室外机</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室外机工作温度范围：-</w:t>
            </w:r>
            <w:r>
              <w:rPr>
                <w:rFonts w:ascii="宋体" w:hAnsi="宋体"/>
                <w:color w:val="000000"/>
              </w:rPr>
              <w:t>15</w:t>
            </w:r>
            <w:r>
              <w:rPr>
                <w:rFonts w:hint="eastAsia" w:ascii="宋体" w:hAnsi="宋体"/>
                <w:color w:val="000000"/>
              </w:rPr>
              <w:t>℃~48℃</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hint="eastAsia" w:ascii="宋体" w:hAnsi="宋体"/>
                <w:color w:val="000000"/>
              </w:rPr>
              <w:t>★3.1.2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每台室外机的压缩机的组成方式：</w:t>
            </w:r>
            <w:r>
              <w:rPr>
                <w:rFonts w:hint="eastAsia" w:ascii="宋体" w:hAnsi="宋体"/>
                <w:snapToGrid w:val="0"/>
                <w:color w:val="000000"/>
              </w:rPr>
              <w:t>要求每台室外机内的压缩机均为直流变频压缩机</w:t>
            </w:r>
            <w:r>
              <w:rPr>
                <w:rFonts w:hint="eastAsia" w:ascii="宋体" w:hAnsi="宋体"/>
                <w:color w:val="000000"/>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hint="eastAsia" w:ascii="宋体" w:hAnsi="宋体"/>
                <w:color w:val="000000"/>
              </w:rPr>
              <w:t>3.1.3</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snapToGrid w:val="0"/>
                <w:color w:val="000000"/>
              </w:rPr>
              <w:t>对压缩机变频技术及变频级数进行详述。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3.1.4</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提供本次投标所用每一款室外机制冷量、制热量、部分负荷能效比IPLV。（以中国能效标示网备案信息截图加盖制造商公章为准）。</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3.1.5</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提供室外机噪音指标，说明测试条件（以样本数据为准）。</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3.1.6</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室外机容量调节能力10%~100%。</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3.1.7</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提供所投机型样本加盖制造商公章。</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3.1.8</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室外机风扇电机性能阐述，明确风扇电机调节等级。</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★3.1.9</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ind w:firstLine="420" w:firstLineChars="200"/>
              <w:outlineLvl w:val="1"/>
              <w:rPr>
                <w:rFonts w:ascii="宋体" w:hAnsi="宋体"/>
                <w:color w:val="auto"/>
              </w:rPr>
            </w:pPr>
            <w:r>
              <w:rPr>
                <w:rFonts w:hint="eastAsia" w:ascii="宋体" w:hAnsi="宋体"/>
                <w:color w:val="auto"/>
              </w:rPr>
              <w:t>冷媒采用环保R410A冷媒，推荐品牌：大金、霍尼韦尔、</w:t>
            </w:r>
            <w:r>
              <w:rPr>
                <w:rFonts w:hint="eastAsia" w:ascii="宋体" w:hAnsi="宋体"/>
                <w:color w:val="auto"/>
                <w:szCs w:val="22"/>
              </w:rPr>
              <w:t>杜邦</w:t>
            </w:r>
            <w:r>
              <w:rPr>
                <w:rFonts w:hint="eastAsia" w:ascii="宋体" w:hAnsi="宋体"/>
                <w:color w:val="auto"/>
                <w:szCs w:val="22"/>
                <w:lang w:eastAsia="zh-CN"/>
              </w:rPr>
              <w:t>，可选择</w:t>
            </w:r>
            <w:r>
              <w:rPr>
                <w:rFonts w:hint="eastAsia" w:ascii="宋体" w:hAnsi="宋体"/>
                <w:color w:val="auto"/>
                <w:szCs w:val="22"/>
                <w:lang w:val="en-US" w:eastAsia="zh-CN"/>
              </w:rPr>
              <w:t>同等或更优档次的产品，但必须满足相应技术要求、规格及安装条件。</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3.1.10</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auto"/>
              </w:rPr>
            </w:pPr>
            <w:r>
              <w:rPr>
                <w:rFonts w:hint="eastAsia" w:ascii="宋体" w:hAnsi="宋体"/>
                <w:color w:val="auto"/>
              </w:rPr>
              <w:t>室外机最大噪音不大于64dB（A）。以样本数据为准。</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3.1.11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适用电源：3相380V/50Hz。</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空调室内机（薄型风管天井式室内机、四面出风室内机）。</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室内机形式须符合招标文件要求，风管机内机静压需满足招标文件要求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内机数量、制冷量须负荷图纸设计要求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3.2.3</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提供室内机尺寸参数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3.2.4</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提供室内机耗电指标</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3.2.5</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有线遥控故障代码显示功能</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3.2.6</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室内机清洗方便</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3.2.7</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snapToGrid w:val="0"/>
                <w:color w:val="000000"/>
              </w:rPr>
              <w:t>提供所投机型最新样本</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3.2.8</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snapToGrid w:val="0"/>
                <w:color w:val="000000"/>
              </w:rPr>
              <w:t>适用电源：单相 220V/50Hz或三相380V/50HZ，实际根据现场确认。</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3.2.9</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snapToGrid w:val="0"/>
                <w:color w:val="000000"/>
              </w:rPr>
              <w:t>室内机标配有线控制器，线控器具备无线遥控功能。</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snapToGrid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3.2.10</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室内机标配冷凝水提升泵</w:t>
            </w:r>
            <w:r>
              <w:rPr>
                <w:rFonts w:hint="eastAsia" w:ascii="宋体" w:hAnsi="宋体"/>
                <w:snapToGrid w:val="0"/>
                <w:color w:val="000000"/>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3.2.11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室内机最大噪音值不大于45dB（A）。以样本数据为准</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b/>
                <w:color w:val="000000"/>
              </w:rPr>
            </w:pPr>
            <w:r>
              <w:rPr>
                <w:rFonts w:hint="eastAsia" w:ascii="宋体" w:hAnsi="宋体"/>
                <w:b/>
                <w:color w:val="000000"/>
              </w:rPr>
              <w:t>四、</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b/>
                <w:color w:val="000000"/>
              </w:rPr>
              <w:t>其他要求</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ascii="宋体" w:hAnsi="宋体"/>
                <w:color w:val="000000"/>
              </w:rPr>
              <w:t>4</w:t>
            </w:r>
            <w:r>
              <w:rPr>
                <w:rFonts w:hint="eastAsia" w:ascii="宋体" w:hAnsi="宋体"/>
                <w:color w:val="000000"/>
              </w:rPr>
              <w:t>.1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空调单位与相关单位配合</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ascii="宋体" w:hAnsi="宋体"/>
                <w:color w:val="000000"/>
              </w:rPr>
              <w:t>4</w:t>
            </w:r>
            <w:r>
              <w:rPr>
                <w:rFonts w:hint="eastAsia" w:ascii="宋体" w:hAnsi="宋体"/>
                <w:color w:val="000000"/>
              </w:rPr>
              <w:t>.1.1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76" w:lineRule="auto"/>
              <w:rPr>
                <w:rFonts w:ascii="宋体" w:hAnsi="宋体"/>
                <w:color w:val="000000"/>
                <w:sz w:val="28"/>
              </w:rPr>
            </w:pPr>
            <w:r>
              <w:rPr>
                <w:rFonts w:hint="eastAsia" w:ascii="宋体" w:hAnsi="宋体"/>
                <w:color w:val="000000"/>
              </w:rPr>
              <w:t>空调室外机、室内机等设备的电源管线由总包施工至空调设备的实际安装处并预留出空调接驳所需的管线长度；空调线控器到室内机的布管（含线控器底盒）由总包单位施工至空调室内机的实际安装处；空调冷凝水立管由总包施工，并在立管上预留好冷凝水横管接入所需的接口；空调室外机的防雷接地系统由总包完成</w:t>
            </w:r>
            <w:r>
              <w:rPr>
                <w:rFonts w:hint="eastAsia" w:ascii="宋体" w:hAnsi="宋体"/>
                <w:color w:val="000000"/>
                <w:sz w:val="28"/>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ascii="宋体" w:hAnsi="宋体"/>
                <w:color w:val="000000"/>
              </w:rPr>
              <w:t>4</w:t>
            </w:r>
            <w:r>
              <w:rPr>
                <w:rFonts w:hint="eastAsia" w:ascii="宋体" w:hAnsi="宋体"/>
                <w:color w:val="000000"/>
              </w:rPr>
              <w:t>.2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安装材料：</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ascii="宋体" w:hAnsi="宋体"/>
                <w:color w:val="000000"/>
              </w:rPr>
              <w:t>4</w:t>
            </w:r>
            <w:r>
              <w:rPr>
                <w:rFonts w:hint="eastAsia" w:ascii="宋体" w:hAnsi="宋体"/>
                <w:color w:val="000000"/>
              </w:rPr>
              <w:t>.2.1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室内外机连接铜管采用去磷铜管，注明其产地品牌及厚度。</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ascii="宋体" w:hAnsi="宋体"/>
                <w:color w:val="000000"/>
              </w:rPr>
              <w:t>4</w:t>
            </w:r>
            <w:r>
              <w:rPr>
                <w:rFonts w:hint="eastAsia" w:ascii="宋体" w:hAnsi="宋体"/>
                <w:color w:val="000000"/>
              </w:rPr>
              <w:t>.2.2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空调冷凝水管采用UPVC塑料水管。冷凝水排水管道应进行分层灌水试验，系统注满水后应保持5分钟水面不下降，并无渗漏现象。同时要进行排水试验，保证排水坡度符合设计要求。敷设严禁倒坡，冷凝水泄水支管管坡度不小于1%,水平干管坡度不小于0.3%。冷凝水管支吊架间距不大于2.5米。所有空调机组的凝结水管均须做U型水封。冷凝水管注明品牌及产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ascii="宋体" w:hAnsi="宋体"/>
                <w:color w:val="000000"/>
              </w:rPr>
              <w:t>4</w:t>
            </w:r>
            <w:r>
              <w:rPr>
                <w:rFonts w:hint="eastAsia" w:ascii="宋体" w:hAnsi="宋体"/>
                <w:color w:val="000000"/>
              </w:rPr>
              <w:t>.2.3</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空调冷凝水管和冷媒管均应做保温，保温材料采用难燃B1级橡塑发泡保温材料，冷凝水管保温厚度为≥10mm；冷媒管保温厚度（铜管≤Φ19.05）为≥20mm，冷媒管保温厚度（铜管&gt;Φ19.05）为≥30mm。</w:t>
            </w:r>
          </w:p>
          <w:p>
            <w:pPr>
              <w:tabs>
                <w:tab w:val="left" w:pos="1985"/>
              </w:tabs>
              <w:snapToGrid w:val="0"/>
              <w:spacing w:line="276" w:lineRule="auto"/>
              <w:rPr>
                <w:rFonts w:ascii="宋体" w:hAnsi="宋体"/>
                <w:color w:val="000000"/>
              </w:rPr>
            </w:pPr>
            <w:r>
              <w:rPr>
                <w:rFonts w:hint="eastAsia" w:ascii="宋体" w:hAnsi="宋体"/>
                <w:color w:val="000000"/>
              </w:rPr>
              <w:t>保温材料采用橡塑保温材料，难燃B1级。符合国家免检标准，并提供货物合格证及质量保证书。注明品牌及产地。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b/>
                <w:color w:val="000000"/>
              </w:rPr>
            </w:pPr>
            <w:r>
              <w:rPr>
                <w:rFonts w:hint="eastAsia" w:ascii="宋体" w:hAnsi="宋体"/>
                <w:b/>
                <w:color w:val="000000"/>
              </w:rPr>
              <w:t>5.2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b/>
                <w:color w:val="000000"/>
              </w:rPr>
              <w:t>技术资料</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2"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5.2.1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300" w:lineRule="auto"/>
              <w:rPr>
                <w:rFonts w:ascii="宋体" w:hAnsi="宋体"/>
                <w:color w:val="000000"/>
              </w:rPr>
            </w:pPr>
            <w:r>
              <w:rPr>
                <w:rFonts w:hint="eastAsia" w:ascii="宋体" w:hAnsi="宋体"/>
                <w:color w:val="000000"/>
              </w:rPr>
              <w:t>供应商中标后应向采购人提供五份以上的以下技术资料，其费用应包括在投标总价中，并给出交付资料的时间。</w:t>
            </w:r>
          </w:p>
          <w:p>
            <w:pPr>
              <w:tabs>
                <w:tab w:val="left" w:pos="1985"/>
              </w:tabs>
              <w:snapToGrid w:val="0"/>
              <w:spacing w:line="300" w:lineRule="auto"/>
              <w:rPr>
                <w:rFonts w:ascii="宋体" w:hAnsi="宋体"/>
                <w:color w:val="000000"/>
              </w:rPr>
            </w:pPr>
            <w:r>
              <w:rPr>
                <w:rFonts w:hint="eastAsia" w:ascii="宋体" w:hAnsi="宋体"/>
                <w:color w:val="000000"/>
              </w:rPr>
              <w:t>电气安装图</w:t>
            </w:r>
          </w:p>
          <w:p>
            <w:pPr>
              <w:tabs>
                <w:tab w:val="left" w:pos="1985"/>
              </w:tabs>
              <w:snapToGrid w:val="0"/>
              <w:spacing w:line="300" w:lineRule="auto"/>
              <w:rPr>
                <w:rFonts w:ascii="宋体" w:hAnsi="宋体"/>
                <w:color w:val="000000"/>
              </w:rPr>
            </w:pPr>
            <w:r>
              <w:rPr>
                <w:rFonts w:hint="eastAsia" w:ascii="宋体" w:hAnsi="宋体"/>
                <w:color w:val="000000"/>
              </w:rPr>
              <w:t>电气设备及系统原理图</w:t>
            </w:r>
          </w:p>
          <w:p>
            <w:pPr>
              <w:tabs>
                <w:tab w:val="left" w:pos="1985"/>
              </w:tabs>
              <w:snapToGrid w:val="0"/>
              <w:spacing w:line="300" w:lineRule="auto"/>
              <w:rPr>
                <w:rFonts w:ascii="宋体" w:hAnsi="宋体"/>
                <w:color w:val="000000"/>
              </w:rPr>
            </w:pPr>
            <w:r>
              <w:rPr>
                <w:rFonts w:hint="eastAsia" w:ascii="宋体" w:hAnsi="宋体"/>
                <w:color w:val="000000"/>
              </w:rPr>
              <w:t>电气设备及系统安装线路图</w:t>
            </w:r>
          </w:p>
          <w:p>
            <w:pPr>
              <w:tabs>
                <w:tab w:val="left" w:pos="1985"/>
              </w:tabs>
              <w:snapToGrid w:val="0"/>
              <w:spacing w:line="300" w:lineRule="auto"/>
              <w:rPr>
                <w:rFonts w:ascii="宋体" w:hAnsi="宋体"/>
                <w:color w:val="000000"/>
              </w:rPr>
            </w:pPr>
            <w:r>
              <w:rPr>
                <w:rFonts w:hint="eastAsia" w:ascii="宋体" w:hAnsi="宋体"/>
                <w:color w:val="000000"/>
              </w:rPr>
              <w:t>构件、机械安装图</w:t>
            </w:r>
          </w:p>
          <w:p>
            <w:pPr>
              <w:tabs>
                <w:tab w:val="left" w:pos="1985"/>
              </w:tabs>
              <w:snapToGrid w:val="0"/>
              <w:spacing w:line="300" w:lineRule="auto"/>
              <w:rPr>
                <w:rFonts w:ascii="宋体" w:hAnsi="宋体"/>
                <w:color w:val="000000"/>
              </w:rPr>
            </w:pPr>
            <w:r>
              <w:rPr>
                <w:rFonts w:hint="eastAsia" w:ascii="宋体" w:hAnsi="宋体"/>
                <w:color w:val="000000"/>
              </w:rPr>
              <w:t>安装手册</w:t>
            </w:r>
          </w:p>
          <w:p>
            <w:pPr>
              <w:tabs>
                <w:tab w:val="left" w:pos="1985"/>
              </w:tabs>
              <w:snapToGrid w:val="0"/>
              <w:spacing w:line="300" w:lineRule="auto"/>
              <w:rPr>
                <w:rFonts w:ascii="宋体" w:hAnsi="宋体"/>
                <w:color w:val="000000"/>
              </w:rPr>
            </w:pPr>
            <w:r>
              <w:rPr>
                <w:rFonts w:hint="eastAsia" w:ascii="宋体" w:hAnsi="宋体"/>
                <w:color w:val="000000"/>
              </w:rPr>
              <w:t>操作手册</w:t>
            </w:r>
          </w:p>
          <w:p>
            <w:pPr>
              <w:tabs>
                <w:tab w:val="left" w:pos="1985"/>
              </w:tabs>
              <w:snapToGrid w:val="0"/>
              <w:spacing w:line="300" w:lineRule="auto"/>
              <w:rPr>
                <w:rFonts w:ascii="宋体" w:hAnsi="宋体"/>
                <w:color w:val="000000"/>
              </w:rPr>
            </w:pPr>
            <w:r>
              <w:rPr>
                <w:rFonts w:hint="eastAsia" w:ascii="宋体" w:hAnsi="宋体"/>
                <w:color w:val="000000"/>
              </w:rPr>
              <w:t>维修手册</w:t>
            </w:r>
          </w:p>
          <w:p>
            <w:pPr>
              <w:tabs>
                <w:tab w:val="left" w:pos="1985"/>
              </w:tabs>
              <w:snapToGrid w:val="0"/>
              <w:spacing w:line="300" w:lineRule="auto"/>
              <w:rPr>
                <w:rFonts w:ascii="宋体" w:hAnsi="宋体"/>
                <w:color w:val="000000"/>
              </w:rPr>
            </w:pPr>
            <w:r>
              <w:rPr>
                <w:rFonts w:hint="eastAsia" w:ascii="宋体" w:hAnsi="宋体"/>
                <w:color w:val="000000"/>
              </w:rPr>
              <w:t>制造、安装标准和技术规范</w:t>
            </w:r>
          </w:p>
          <w:p>
            <w:pPr>
              <w:tabs>
                <w:tab w:val="left" w:pos="1985"/>
              </w:tabs>
              <w:snapToGrid w:val="0"/>
              <w:spacing w:line="300" w:lineRule="auto"/>
              <w:rPr>
                <w:rFonts w:ascii="宋体" w:hAnsi="宋体"/>
                <w:color w:val="000000"/>
              </w:rPr>
            </w:pPr>
            <w:r>
              <w:rPr>
                <w:rFonts w:hint="eastAsia" w:ascii="宋体" w:hAnsi="宋体"/>
                <w:color w:val="000000"/>
              </w:rPr>
              <w:t>安装和验收报告</w:t>
            </w:r>
          </w:p>
          <w:p>
            <w:pPr>
              <w:tabs>
                <w:tab w:val="left" w:pos="1985"/>
              </w:tabs>
              <w:snapToGrid w:val="0"/>
              <w:spacing w:line="300" w:lineRule="auto"/>
              <w:rPr>
                <w:rFonts w:ascii="宋体" w:hAnsi="宋体"/>
                <w:color w:val="000000"/>
              </w:rPr>
            </w:pPr>
            <w:r>
              <w:rPr>
                <w:rFonts w:hint="eastAsia" w:ascii="宋体" w:hAnsi="宋体"/>
                <w:color w:val="000000"/>
              </w:rPr>
              <w:t>零部件清单和易损件清单</w:t>
            </w:r>
          </w:p>
          <w:p>
            <w:pPr>
              <w:tabs>
                <w:tab w:val="left" w:pos="1985"/>
              </w:tabs>
              <w:snapToGrid w:val="0"/>
              <w:spacing w:line="300" w:lineRule="auto"/>
              <w:rPr>
                <w:rFonts w:ascii="宋体" w:hAnsi="宋体"/>
                <w:color w:val="000000"/>
              </w:rPr>
            </w:pPr>
            <w:r>
              <w:rPr>
                <w:rFonts w:hint="eastAsia" w:ascii="宋体" w:hAnsi="宋体"/>
                <w:color w:val="000000"/>
              </w:rPr>
              <w:t>产品合格证和生产许可证</w:t>
            </w:r>
          </w:p>
          <w:p>
            <w:pPr>
              <w:tabs>
                <w:tab w:val="left" w:pos="1985"/>
              </w:tabs>
              <w:snapToGrid w:val="0"/>
              <w:spacing w:line="300" w:lineRule="auto"/>
              <w:rPr>
                <w:rFonts w:ascii="宋体" w:hAnsi="宋体"/>
                <w:color w:val="000000"/>
              </w:rPr>
            </w:pPr>
            <w:r>
              <w:rPr>
                <w:rFonts w:hint="eastAsia" w:ascii="宋体" w:hAnsi="宋体"/>
                <w:color w:val="000000"/>
              </w:rPr>
              <w:t>厂方整机测试记录报告（包括试验内容、方法、设备、时间、次数和结果等）</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300"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b/>
                <w:color w:val="000000"/>
              </w:rPr>
            </w:pPr>
            <w:r>
              <w:rPr>
                <w:rFonts w:hint="eastAsia" w:ascii="宋体" w:hAnsi="宋体"/>
                <w:b/>
                <w:color w:val="000000"/>
              </w:rPr>
              <w:t>5.3</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b/>
                <w:color w:val="000000"/>
              </w:rPr>
              <w:t>备品备件</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hint="eastAsia" w:ascii="宋体" w:hAnsi="宋体"/>
                <w:color w:val="000000"/>
              </w:rPr>
              <w:t>5.3.1</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供应商应在投标文件中标明：提供5年内不变的主要元部件及易损件的价格和清单（包括控制系统主要元器件），其费用不包含在投标总价内，供采购人参考。</w:t>
            </w:r>
          </w:p>
          <w:p>
            <w:pPr>
              <w:tabs>
                <w:tab w:val="left" w:pos="1985"/>
              </w:tabs>
              <w:snapToGrid w:val="0"/>
              <w:spacing w:line="276" w:lineRule="auto"/>
              <w:rPr>
                <w:rFonts w:ascii="宋体" w:hAnsi="宋体"/>
                <w:color w:val="000000"/>
              </w:rPr>
            </w:pPr>
            <w:r>
              <w:rPr>
                <w:rFonts w:hint="eastAsia" w:ascii="宋体" w:hAnsi="宋体"/>
                <w:color w:val="000000"/>
              </w:rPr>
              <w:t>必须包含：铜管、保温材料、各种型号的电路板、各种型号的压缩机、每种空调的详细组价表。金额与分项报价表相符合。</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hint="eastAsia" w:ascii="宋体" w:hAnsi="宋体"/>
                <w:color w:val="000000"/>
              </w:rPr>
              <w:t>5.3.2</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中标人生产厂在零部件停产前一年应事先通知采购人，以便采购人有足够时间购买所需的零部件。</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jc w:val="center"/>
              <w:rPr>
                <w:rFonts w:ascii="宋体" w:hAnsi="宋体"/>
                <w:color w:val="000000"/>
              </w:rPr>
            </w:pPr>
            <w:r>
              <w:rPr>
                <w:rFonts w:hint="eastAsia" w:ascii="宋体" w:hAnsi="宋体"/>
                <w:color w:val="000000"/>
              </w:rPr>
              <w:t>5.3.3</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spacing w:line="276" w:lineRule="auto"/>
              <w:rPr>
                <w:rFonts w:ascii="宋体" w:hAnsi="宋体"/>
                <w:color w:val="000000"/>
              </w:rPr>
            </w:pPr>
            <w:r>
              <w:rPr>
                <w:rFonts w:hint="eastAsia" w:ascii="宋体" w:hAnsi="宋体"/>
                <w:color w:val="000000"/>
              </w:rPr>
              <w:t>在零部件停产后，如果采购人还需要的话，中标人应无偿向采购人提供零部件的图纸和技术规范。</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spacing w:line="276" w:lineRule="auto"/>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jc w:val="center"/>
              <w:rPr>
                <w:rFonts w:ascii="宋体" w:hAnsi="宋体"/>
                <w:color w:val="000000"/>
              </w:rPr>
            </w:pPr>
            <w:r>
              <w:rPr>
                <w:rFonts w:hint="eastAsia" w:ascii="宋体" w:hAnsi="宋体"/>
                <w:color w:val="000000"/>
              </w:rPr>
              <w:t>5.3.4</w:t>
            </w:r>
          </w:p>
        </w:tc>
        <w:tc>
          <w:tcPr>
            <w:tcW w:w="581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985"/>
              </w:tabs>
              <w:snapToGrid w:val="0"/>
              <w:rPr>
                <w:rFonts w:ascii="宋体" w:hAnsi="宋体"/>
                <w:color w:val="000000"/>
              </w:rPr>
            </w:pPr>
            <w:r>
              <w:rPr>
                <w:rFonts w:hint="eastAsia" w:ascii="宋体" w:hAnsi="宋体"/>
                <w:color w:val="000000"/>
              </w:rPr>
              <w:t>采购人向中标人选购零件时，中标人不能解脱投标时所承诺的任何担保义务。</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985"/>
              </w:tabs>
              <w:snapToGrid w:val="0"/>
              <w:rPr>
                <w:rFonts w:ascii="宋体" w:hAnsi="宋体"/>
                <w:color w:val="000000"/>
              </w:rPr>
            </w:pPr>
          </w:p>
        </w:tc>
      </w:tr>
    </w:tbl>
    <w:p>
      <w:pPr>
        <w:pStyle w:val="8"/>
        <w:spacing w:line="312" w:lineRule="auto"/>
        <w:ind w:firstLine="0"/>
        <w:rPr>
          <w:rFonts w:hAnsi="宋体"/>
          <w:b/>
          <w:color w:val="000000"/>
        </w:rPr>
      </w:pPr>
      <w:r>
        <w:rPr>
          <w:rFonts w:hint="eastAsia" w:hAnsi="宋体"/>
          <w:b/>
          <w:color w:val="000000"/>
        </w:rPr>
        <w:t>说明：</w:t>
      </w:r>
    </w:p>
    <w:p>
      <w:pPr>
        <w:pStyle w:val="8"/>
        <w:spacing w:line="360" w:lineRule="auto"/>
        <w:ind w:firstLine="0"/>
        <w:rPr>
          <w:rFonts w:ascii="宋体" w:hAnsi="宋体"/>
          <w:b/>
          <w:color w:val="000000"/>
        </w:rPr>
      </w:pPr>
      <w:r>
        <w:rPr>
          <w:rFonts w:hint="eastAsia" w:ascii="宋体" w:hAnsi="宋体"/>
          <w:b/>
          <w:color w:val="000000"/>
        </w:rPr>
        <w:t>重要说明：</w:t>
      </w:r>
    </w:p>
    <w:p>
      <w:pPr>
        <w:pStyle w:val="8"/>
        <w:spacing w:line="360" w:lineRule="auto"/>
        <w:ind w:firstLine="0"/>
        <w:rPr>
          <w:rFonts w:ascii="宋体" w:hAnsi="宋体"/>
          <w:b/>
          <w:color w:val="000000"/>
        </w:rPr>
      </w:pPr>
      <w:r>
        <w:rPr>
          <w:rFonts w:hint="eastAsia" w:ascii="宋体" w:hAnsi="宋体"/>
          <w:b/>
          <w:color w:val="000000"/>
        </w:rPr>
        <w:t>1、供应商对带“★”的技术指标不得出现负偏离，否则导致投标无效。</w:t>
      </w:r>
    </w:p>
    <w:p>
      <w:pPr>
        <w:pStyle w:val="8"/>
        <w:spacing w:line="360" w:lineRule="auto"/>
        <w:ind w:firstLine="0"/>
        <w:rPr>
          <w:rFonts w:hint="eastAsia" w:ascii="宋体" w:hAnsi="宋体"/>
          <w:b/>
          <w:color w:val="auto"/>
        </w:rPr>
      </w:pPr>
      <w:r>
        <w:rPr>
          <w:rFonts w:hint="eastAsia" w:ascii="宋体" w:hAnsi="宋体"/>
          <w:b/>
          <w:color w:val="000000"/>
        </w:rPr>
        <w:t>2、变频多联空调系统的所有室外机与室内机必须是同一品牌，并且是同一系列，</w:t>
      </w:r>
      <w:r>
        <w:rPr>
          <w:rFonts w:hint="eastAsia" w:ascii="宋体" w:hAnsi="宋体"/>
          <w:b/>
          <w:color w:val="auto"/>
        </w:rPr>
        <w:t>否则将导致投标无效。</w:t>
      </w:r>
    </w:p>
    <w:p>
      <w:pPr>
        <w:spacing w:line="360" w:lineRule="auto"/>
        <w:ind w:firstLine="482" w:firstLineChars="200"/>
        <w:outlineLvl w:val="1"/>
        <w:rPr>
          <w:rFonts w:hint="eastAsia" w:ascii="宋体" w:hAnsi="宋体" w:eastAsia="宋体" w:cs="Times New Roman"/>
          <w:b/>
          <w:color w:val="auto"/>
          <w:kern w:val="0"/>
          <w:sz w:val="24"/>
          <w:lang w:val="en-US" w:eastAsia="zh-CN" w:bidi="ar-SA"/>
        </w:rPr>
      </w:pPr>
      <w:r>
        <w:rPr>
          <w:rFonts w:hint="eastAsia" w:ascii="宋体" w:hAnsi="宋体" w:eastAsia="宋体" w:cs="Times New Roman"/>
          <w:b/>
          <w:color w:val="auto"/>
          <w:kern w:val="0"/>
          <w:sz w:val="24"/>
          <w:lang w:val="en-US" w:eastAsia="zh-CN" w:bidi="ar-SA"/>
        </w:rPr>
        <w:t>3、清单内的品牌供供应商参考，供应商可选择同等或更优档次的产品，但必须满足相应技术要求、规格及安装条件。如所投产品未在此范围内的，须经评标委员会五分之三（包含本数）以上专家确认。</w:t>
      </w:r>
    </w:p>
    <w:p>
      <w:pPr>
        <w:pStyle w:val="8"/>
        <w:spacing w:line="360" w:lineRule="auto"/>
        <w:ind w:firstLine="0"/>
        <w:rPr>
          <w:rFonts w:hint="eastAsia" w:ascii="宋体" w:hAnsi="宋体" w:eastAsia="宋体"/>
          <w:b/>
          <w:color w:val="000000"/>
          <w:lang w:val="en-US" w:eastAsia="zh-CN"/>
        </w:rPr>
      </w:pPr>
    </w:p>
    <w:p>
      <w:pPr>
        <w:pStyle w:val="8"/>
        <w:spacing w:line="360" w:lineRule="auto"/>
        <w:ind w:firstLine="0"/>
        <w:rPr>
          <w:rFonts w:ascii="Arial" w:hAnsi="Arial"/>
          <w:b/>
          <w:color w:val="000000"/>
          <w:szCs w:val="21"/>
        </w:rPr>
      </w:pPr>
      <w:bookmarkStart w:id="1" w:name="_Toc497898813"/>
      <w:r>
        <w:rPr>
          <w:rFonts w:hint="eastAsia" w:ascii="Arial" w:hAnsi="Arial"/>
          <w:b/>
          <w:color w:val="000000"/>
          <w:szCs w:val="21"/>
          <w:lang w:val="en-US" w:eastAsia="zh-CN"/>
        </w:rPr>
        <w:t>3.6</w:t>
      </w:r>
      <w:r>
        <w:rPr>
          <w:rFonts w:hint="eastAsia" w:ascii="Arial" w:hAnsi="Arial"/>
          <w:b/>
          <w:color w:val="000000"/>
          <w:szCs w:val="21"/>
        </w:rPr>
        <w:t>采购标的需满足的服务标准、期限、效率等要求</w:t>
      </w:r>
      <w:bookmarkEnd w:id="1"/>
    </w:p>
    <w:p>
      <w:pPr>
        <w:adjustRightInd w:val="0"/>
        <w:spacing w:line="360" w:lineRule="auto"/>
        <w:rPr>
          <w:rFonts w:ascii="Arial" w:hAnsi="Arial"/>
          <w:b/>
          <w:color w:val="000000"/>
        </w:rPr>
      </w:pPr>
      <w:r>
        <w:rPr>
          <w:rFonts w:hint="eastAsia" w:ascii="Arial" w:hAnsi="Arial"/>
          <w:b/>
          <w:color w:val="000000"/>
          <w:lang w:val="en-US" w:eastAsia="zh-CN"/>
        </w:rPr>
        <w:t>3.6.</w:t>
      </w:r>
      <w:r>
        <w:rPr>
          <w:rFonts w:hint="eastAsia" w:ascii="Arial" w:hAnsi="Arial"/>
          <w:b/>
          <w:color w:val="000000"/>
        </w:rPr>
        <w:t>1</w:t>
      </w:r>
      <w:r>
        <w:rPr>
          <w:rFonts w:hint="eastAsia" w:ascii="Arial" w:hAnsi="Arial"/>
          <w:b/>
          <w:color w:val="000000"/>
          <w:lang w:val="en-US" w:eastAsia="zh-CN"/>
        </w:rPr>
        <w:t xml:space="preserve"> </w:t>
      </w:r>
      <w:r>
        <w:rPr>
          <w:rFonts w:hint="eastAsia" w:ascii="Arial" w:hAnsi="Arial"/>
          <w:b/>
          <w:color w:val="000000"/>
        </w:rPr>
        <w:t>质量保证</w:t>
      </w:r>
    </w:p>
    <w:p>
      <w:pPr>
        <w:adjustRightInd w:val="0"/>
        <w:spacing w:line="360" w:lineRule="auto"/>
        <w:ind w:firstLine="480"/>
        <w:rPr>
          <w:rFonts w:ascii="宋体" w:hAnsi="宋体" w:cs="宋体"/>
          <w:bCs/>
          <w:szCs w:val="21"/>
        </w:rPr>
      </w:pPr>
      <w:r>
        <w:rPr>
          <w:rFonts w:hint="eastAsia" w:ascii="宋体" w:hAnsi="宋体"/>
        </w:rPr>
        <w:t>1)工程质量标准:达到国家相关质量验收标准，确保项目验收一次性通过。</w:t>
      </w:r>
    </w:p>
    <w:p>
      <w:pPr>
        <w:adjustRightInd w:val="0"/>
        <w:spacing w:line="360" w:lineRule="auto"/>
        <w:ind w:firstLine="480"/>
        <w:rPr>
          <w:rFonts w:ascii="宋体" w:hAnsi="宋体"/>
          <w:color w:val="000000"/>
        </w:rPr>
      </w:pPr>
      <w:r>
        <w:rPr>
          <w:rFonts w:hint="eastAsia" w:ascii="宋体" w:hAnsi="宋体"/>
          <w:color w:val="000000"/>
        </w:rPr>
        <w:t>2）供应商应保证本工程质量符合合同规定的要求，所提供的设备材料为未使用过的全新产品，安装施工方法符合国家标准、规范的要求。</w:t>
      </w:r>
    </w:p>
    <w:p>
      <w:pPr>
        <w:adjustRightInd w:val="0"/>
        <w:spacing w:line="360" w:lineRule="auto"/>
        <w:ind w:firstLine="480"/>
        <w:rPr>
          <w:rFonts w:ascii="宋体" w:hAnsi="宋体"/>
          <w:color w:val="000000"/>
        </w:rPr>
      </w:pPr>
      <w:r>
        <w:rPr>
          <w:rFonts w:hint="eastAsia" w:ascii="宋体" w:hAnsi="宋体"/>
          <w:color w:val="000000"/>
        </w:rPr>
        <w:t>3）工程质量标准的评定以国家或行业的质量检验评定标准为依据。因供应商原因工程质量达不到约定的质量标准，供应商承担违约责任。</w:t>
      </w:r>
    </w:p>
    <w:p>
      <w:pPr>
        <w:adjustRightInd w:val="0"/>
        <w:spacing w:line="360" w:lineRule="auto"/>
        <w:ind w:firstLine="480"/>
        <w:rPr>
          <w:rFonts w:ascii="宋体" w:hAnsi="宋体"/>
          <w:bCs/>
          <w:color w:val="000000"/>
        </w:rPr>
      </w:pPr>
      <w:r>
        <w:rPr>
          <w:rFonts w:hint="eastAsia" w:ascii="宋体" w:hAnsi="宋体"/>
          <w:color w:val="000000"/>
        </w:rPr>
        <w:t>4）</w:t>
      </w:r>
      <w:r>
        <w:rPr>
          <w:rFonts w:hint="eastAsia" w:ascii="宋体" w:hAnsi="宋体"/>
          <w:bCs/>
          <w:color w:val="000000"/>
        </w:rPr>
        <w:t>整体质保期：从货物办理正式移交使用手续后24个月（时间从验收通过、业主接受并投入运行之日算起）。其中设备的制造商若提供产品质保期大于</w:t>
      </w:r>
      <w:r>
        <w:rPr>
          <w:rFonts w:hint="eastAsia" w:ascii="宋体" w:hAnsi="宋体"/>
          <w:bCs/>
          <w:color w:val="000000"/>
          <w:lang w:val="en-US" w:eastAsia="zh-CN"/>
        </w:rPr>
        <w:t>24个月</w:t>
      </w:r>
      <w:r>
        <w:rPr>
          <w:rFonts w:hint="eastAsia" w:ascii="宋体" w:hAnsi="宋体"/>
          <w:bCs/>
          <w:color w:val="000000"/>
        </w:rPr>
        <w:t>的，则以制造商的质保期为准；设备的制造商若提供产品质保期小于</w:t>
      </w:r>
      <w:r>
        <w:rPr>
          <w:rFonts w:hint="eastAsia" w:ascii="宋体" w:hAnsi="宋体"/>
          <w:bCs/>
          <w:color w:val="000000"/>
          <w:lang w:val="en-US" w:eastAsia="zh-CN"/>
        </w:rPr>
        <w:t>24个月</w:t>
      </w:r>
      <w:r>
        <w:rPr>
          <w:rFonts w:hint="eastAsia" w:ascii="宋体" w:hAnsi="宋体"/>
          <w:bCs/>
          <w:color w:val="000000"/>
        </w:rPr>
        <w:t>的，则以</w:t>
      </w:r>
      <w:r>
        <w:rPr>
          <w:rFonts w:hint="eastAsia" w:ascii="宋体" w:hAnsi="宋体"/>
          <w:bCs/>
          <w:color w:val="000000"/>
          <w:lang w:val="en-US" w:eastAsia="zh-CN"/>
        </w:rPr>
        <w:t>24个月</w:t>
      </w:r>
      <w:r>
        <w:rPr>
          <w:rFonts w:hint="eastAsia" w:ascii="宋体" w:hAnsi="宋体"/>
          <w:bCs/>
          <w:color w:val="000000"/>
        </w:rPr>
        <w:t>为准（由供应商负责）。供应商应在投标文件中注明空调的整机、压缩机、管道及附件的质保期，并以表格方式列出。</w:t>
      </w:r>
    </w:p>
    <w:p>
      <w:pPr>
        <w:adjustRightInd w:val="0"/>
        <w:spacing w:line="360" w:lineRule="auto"/>
        <w:ind w:firstLine="480"/>
        <w:rPr>
          <w:rFonts w:ascii="宋体" w:hAnsi="宋体"/>
          <w:color w:val="000000"/>
        </w:rPr>
      </w:pPr>
      <w:r>
        <w:rPr>
          <w:rFonts w:hint="eastAsia" w:ascii="宋体" w:hAnsi="宋体" w:cs="Arial"/>
          <w:bCs/>
          <w:color w:val="000000"/>
        </w:rPr>
        <w:t>5</w:t>
      </w:r>
      <w:r>
        <w:rPr>
          <w:rFonts w:ascii="宋体" w:hAnsi="宋体" w:cs="Arial"/>
          <w:bCs/>
          <w:color w:val="000000"/>
        </w:rPr>
        <w:t>）</w:t>
      </w:r>
      <w:r>
        <w:rPr>
          <w:rFonts w:hint="eastAsia" w:ascii="宋体" w:hAnsi="宋体"/>
          <w:bCs/>
          <w:color w:val="000000"/>
        </w:rPr>
        <w:t>以上质量保证的条款是采购人规定的基本要求，供应商可以根据工程实际情况和自己的实力及意愿在投标文件的“质量保证和售后服务承诺”中做出优于招标要求的保证或承诺。</w:t>
      </w:r>
    </w:p>
    <w:p>
      <w:pPr>
        <w:adjustRightInd w:val="0"/>
        <w:spacing w:line="360" w:lineRule="auto"/>
        <w:rPr>
          <w:rFonts w:ascii="Arial" w:hAnsi="Arial"/>
          <w:bCs/>
          <w:color w:val="000000"/>
        </w:rPr>
      </w:pPr>
      <w:r>
        <w:rPr>
          <w:rFonts w:hint="eastAsia" w:ascii="Arial" w:hAnsi="Arial"/>
          <w:bCs/>
          <w:color w:val="000000"/>
          <w:lang w:val="en-US" w:eastAsia="zh-CN"/>
        </w:rPr>
        <w:t xml:space="preserve">3.6.2 </w:t>
      </w:r>
      <w:r>
        <w:rPr>
          <w:rFonts w:hint="eastAsia" w:ascii="Arial" w:hAnsi="Arial"/>
          <w:bCs/>
          <w:color w:val="000000"/>
        </w:rPr>
        <w:t>设备技术性能</w:t>
      </w:r>
    </w:p>
    <w:p>
      <w:pPr>
        <w:adjustRightInd w:val="0"/>
        <w:spacing w:line="360" w:lineRule="auto"/>
        <w:ind w:firstLine="480"/>
        <w:rPr>
          <w:rFonts w:ascii="Arial" w:hAnsi="Arial"/>
          <w:bCs/>
          <w:color w:val="000000"/>
        </w:rPr>
      </w:pPr>
      <w:r>
        <w:rPr>
          <w:rFonts w:ascii="Arial" w:hAnsi="Arial"/>
          <w:bCs/>
          <w:color w:val="000000"/>
        </w:rPr>
        <w:t>1</w:t>
      </w:r>
      <w:r>
        <w:rPr>
          <w:rFonts w:hint="eastAsia" w:ascii="Arial" w:hAnsi="Arial"/>
          <w:bCs/>
          <w:color w:val="000000"/>
        </w:rPr>
        <w:t>）设备规格：根据采购需求，详细列出符合要求的设备配置情况及设备各项指标对应情况。</w:t>
      </w:r>
    </w:p>
    <w:p>
      <w:pPr>
        <w:adjustRightInd w:val="0"/>
        <w:spacing w:line="360" w:lineRule="auto"/>
        <w:ind w:firstLine="480"/>
        <w:rPr>
          <w:rFonts w:ascii="Arial" w:hAnsi="Arial"/>
          <w:bCs/>
          <w:color w:val="000000"/>
        </w:rPr>
      </w:pPr>
      <w:r>
        <w:rPr>
          <w:rFonts w:ascii="Arial" w:hAnsi="Arial"/>
          <w:bCs/>
          <w:color w:val="000000"/>
        </w:rPr>
        <w:t>2</w:t>
      </w:r>
      <w:r>
        <w:rPr>
          <w:rFonts w:hint="eastAsia" w:ascii="Arial" w:hAnsi="Arial"/>
          <w:bCs/>
          <w:color w:val="000000"/>
        </w:rPr>
        <w:t>）设备主要部件。说明货物的主要部件组成，详细说明其特点和性能。同时采用清单方式说明，并提供主要部件的原产地。提供设备主要部件表。</w:t>
      </w:r>
    </w:p>
    <w:p>
      <w:pPr>
        <w:adjustRightInd w:val="0"/>
        <w:spacing w:line="360" w:lineRule="auto"/>
        <w:ind w:firstLine="480"/>
        <w:rPr>
          <w:rFonts w:ascii="Arial" w:hAnsi="Arial"/>
          <w:bCs/>
          <w:color w:val="000000"/>
        </w:rPr>
      </w:pPr>
      <w:r>
        <w:rPr>
          <w:rFonts w:hint="eastAsia" w:ascii="Arial" w:hAnsi="Arial"/>
          <w:bCs/>
          <w:color w:val="000000"/>
        </w:rPr>
        <w:t>3）技术性能的先进性。设备的研发生产方面的技术先进性，性能稳定性等。并提供详细资料进行说明。</w:t>
      </w:r>
    </w:p>
    <w:p>
      <w:pPr>
        <w:adjustRightInd w:val="0"/>
        <w:spacing w:line="360" w:lineRule="auto"/>
        <w:rPr>
          <w:rFonts w:ascii="Arial" w:hAnsi="Arial"/>
          <w:bCs/>
          <w:color w:val="000000"/>
        </w:rPr>
      </w:pPr>
      <w:r>
        <w:rPr>
          <w:rFonts w:hint="eastAsia" w:ascii="Arial" w:hAnsi="Arial"/>
          <w:bCs/>
          <w:color w:val="000000"/>
          <w:lang w:val="en-US" w:eastAsia="zh-CN"/>
        </w:rPr>
        <w:t xml:space="preserve">3.6.3 </w:t>
      </w:r>
      <w:r>
        <w:rPr>
          <w:rFonts w:hint="eastAsia" w:ascii="Arial" w:hAnsi="Arial"/>
          <w:bCs/>
          <w:color w:val="000000"/>
        </w:rPr>
        <w:t>项目实施方案</w:t>
      </w:r>
    </w:p>
    <w:p>
      <w:pPr>
        <w:adjustRightInd w:val="0"/>
        <w:spacing w:line="360" w:lineRule="auto"/>
        <w:ind w:firstLine="480"/>
        <w:rPr>
          <w:rFonts w:ascii="Arial" w:hAnsi="Arial"/>
          <w:bCs/>
          <w:color w:val="000000"/>
        </w:rPr>
      </w:pPr>
      <w:r>
        <w:rPr>
          <w:rFonts w:hint="eastAsia" w:ascii="Arial" w:hAnsi="Arial"/>
          <w:bCs/>
          <w:color w:val="000000"/>
        </w:rPr>
        <w:t>1）项目实施方案包括施工组织设计，项目组成员配备等，内容简洁实用。</w:t>
      </w:r>
    </w:p>
    <w:p>
      <w:pPr>
        <w:adjustRightInd w:val="0"/>
        <w:spacing w:line="360" w:lineRule="auto"/>
        <w:ind w:firstLine="480"/>
        <w:rPr>
          <w:rFonts w:ascii="Arial" w:hAnsi="Arial"/>
          <w:bCs/>
          <w:color w:val="000000"/>
        </w:rPr>
      </w:pPr>
      <w:r>
        <w:rPr>
          <w:rFonts w:hint="eastAsia" w:ascii="Arial" w:hAnsi="Arial"/>
          <w:bCs/>
          <w:color w:val="000000"/>
        </w:rPr>
        <w:t>2）供应商应派技术好、经验丰富的专业技术人员进行安装调试，在合同签订后按要求进行现场查勘、设备采购、安装、调试、验收等，并注明时段以及每个阶段的负责人。</w:t>
      </w:r>
    </w:p>
    <w:p>
      <w:pPr>
        <w:adjustRightInd w:val="0"/>
        <w:spacing w:line="360" w:lineRule="auto"/>
        <w:ind w:firstLine="480"/>
        <w:rPr>
          <w:rFonts w:ascii="Arial" w:hAnsi="Arial"/>
          <w:bCs/>
          <w:color w:val="000000"/>
        </w:rPr>
      </w:pPr>
      <w:r>
        <w:rPr>
          <w:rFonts w:hint="eastAsia" w:ascii="Arial" w:hAnsi="Arial"/>
          <w:bCs/>
          <w:color w:val="000000"/>
        </w:rPr>
        <w:t>3）项目组成员介绍要体现项目经理的具体情况，以及相关技术人员的资料，未经采购人允许，不得对管理机构人员配置进行变更。</w:t>
      </w:r>
    </w:p>
    <w:p>
      <w:pPr>
        <w:adjustRightInd w:val="0"/>
        <w:spacing w:line="360" w:lineRule="auto"/>
        <w:ind w:firstLine="480"/>
        <w:rPr>
          <w:rFonts w:hint="eastAsia" w:ascii="Arial" w:hAnsi="Arial"/>
          <w:bCs/>
          <w:color w:val="000000"/>
          <w:szCs w:val="22"/>
        </w:rPr>
      </w:pPr>
      <w:r>
        <w:rPr>
          <w:rFonts w:hint="eastAsia" w:ascii="Arial" w:hAnsi="Arial"/>
          <w:bCs/>
          <w:color w:val="000000"/>
        </w:rPr>
        <w:t>4）</w:t>
      </w:r>
      <w:r>
        <w:rPr>
          <w:rFonts w:hint="eastAsia" w:ascii="Arial" w:hAnsi="Arial"/>
          <w:bCs/>
          <w:color w:val="000000"/>
          <w:szCs w:val="22"/>
        </w:rPr>
        <w:t>本方案应包括与贵驷街道东桂社区服务中心（居家养老中心）</w:t>
      </w:r>
      <w:r>
        <w:rPr>
          <w:rFonts w:hint="eastAsia" w:ascii="Arial" w:hAnsi="Arial"/>
          <w:bCs/>
          <w:color w:val="000000"/>
          <w:szCs w:val="22"/>
          <w:lang w:eastAsia="zh-CN"/>
        </w:rPr>
        <w:t>项目</w:t>
      </w:r>
      <w:r>
        <w:rPr>
          <w:rFonts w:hint="eastAsia" w:ascii="Arial" w:hAnsi="Arial"/>
          <w:bCs/>
          <w:color w:val="000000"/>
          <w:szCs w:val="22"/>
        </w:rPr>
        <w:t>总包单位、装修单位的现场施工配合内容。</w:t>
      </w:r>
    </w:p>
    <w:p>
      <w:pPr>
        <w:adjustRightInd w:val="0"/>
        <w:spacing w:line="360" w:lineRule="auto"/>
        <w:rPr>
          <w:rFonts w:ascii="Arial" w:hAnsi="Arial"/>
          <w:bCs/>
          <w:color w:val="000000"/>
        </w:rPr>
      </w:pPr>
      <w:r>
        <w:rPr>
          <w:rFonts w:hint="eastAsia" w:ascii="Arial" w:hAnsi="Arial"/>
          <w:bCs/>
          <w:color w:val="000000"/>
          <w:lang w:val="en-US" w:eastAsia="zh-CN"/>
        </w:rPr>
        <w:t xml:space="preserve">3.6.4 </w:t>
      </w:r>
      <w:r>
        <w:rPr>
          <w:rFonts w:hint="eastAsia" w:ascii="Arial" w:hAnsi="Arial"/>
          <w:bCs/>
          <w:color w:val="000000"/>
        </w:rPr>
        <w:t>售后服务承诺</w:t>
      </w:r>
    </w:p>
    <w:p>
      <w:pPr>
        <w:adjustRightInd w:val="0"/>
        <w:spacing w:line="360" w:lineRule="auto"/>
        <w:ind w:firstLine="480"/>
        <w:rPr>
          <w:rFonts w:ascii="Arial" w:hAnsi="Arial"/>
          <w:bCs/>
          <w:color w:val="000000"/>
        </w:rPr>
      </w:pPr>
      <w:r>
        <w:rPr>
          <w:rFonts w:hint="eastAsia" w:ascii="Arial" w:hAnsi="Arial"/>
          <w:bCs/>
          <w:color w:val="000000"/>
        </w:rPr>
        <w:t>1）供应商应在宁波地区设有固定的售后服务机构，以处理所有的维修服务。供应商对本项目提供长期有效的技术支持。在接到用户的故障维修电话后1小时内响应，简单故障能通过电话予以解决，如用户提出需要上门服务，维修人员应在4小时内赶到现场，提供不间断的服务直到结束。维修点需提供足够的备件以适应买方维修需求。</w:t>
      </w:r>
    </w:p>
    <w:p>
      <w:pPr>
        <w:adjustRightInd w:val="0"/>
        <w:spacing w:line="360" w:lineRule="auto"/>
        <w:ind w:firstLine="480"/>
        <w:rPr>
          <w:rFonts w:ascii="Arial" w:hAnsi="Arial"/>
          <w:bCs/>
          <w:color w:val="000000"/>
        </w:rPr>
      </w:pPr>
      <w:r>
        <w:rPr>
          <w:rFonts w:hint="eastAsia" w:ascii="Arial" w:hAnsi="Arial"/>
          <w:bCs/>
          <w:color w:val="000000"/>
        </w:rPr>
        <w:t>2）质保期内的工作应包括对所有设备常规检查、调整和润滑。具体的操作程序和内容须在投标文件中说明。</w:t>
      </w:r>
    </w:p>
    <w:p>
      <w:pPr>
        <w:adjustRightInd w:val="0"/>
        <w:spacing w:line="360" w:lineRule="auto"/>
        <w:ind w:firstLine="480"/>
        <w:rPr>
          <w:rFonts w:ascii="Arial" w:hAnsi="Arial"/>
          <w:bCs/>
          <w:color w:val="000000"/>
        </w:rPr>
      </w:pPr>
      <w:r>
        <w:rPr>
          <w:rFonts w:hint="eastAsia" w:ascii="Arial" w:hAnsi="Arial"/>
          <w:bCs/>
          <w:color w:val="000000"/>
        </w:rPr>
        <w:t>3）在质保期内，中标供应商须免费负责修理和替换任何由于设备自身质量问题造成的损坏及故障；质保期内被免费更换的零部件质量保证：自更换之日起计24个月。</w:t>
      </w:r>
    </w:p>
    <w:p>
      <w:pPr>
        <w:adjustRightInd w:val="0"/>
        <w:spacing w:line="360" w:lineRule="auto"/>
        <w:ind w:firstLine="480"/>
        <w:rPr>
          <w:rFonts w:ascii="Arial" w:hAnsi="Arial"/>
          <w:bCs/>
          <w:color w:val="000000"/>
        </w:rPr>
      </w:pPr>
      <w:r>
        <w:rPr>
          <w:rFonts w:hint="eastAsia" w:ascii="Arial" w:hAnsi="Arial"/>
          <w:bCs/>
          <w:color w:val="000000"/>
        </w:rPr>
        <w:t>4）在质保期结束前，中标供应商须派专业工程师对设备进行整体测试，属于本项目范围内任何故障在取得使用方同意后由中标供应商免费解决。修好后，中标供应商需提供一式三份测试报告给使用方，包括故障原因，解决措施，完成修理所费时间及恢复正常运行日期。</w:t>
      </w:r>
    </w:p>
    <w:p>
      <w:pPr>
        <w:adjustRightInd w:val="0"/>
        <w:spacing w:line="360" w:lineRule="auto"/>
        <w:ind w:firstLine="480"/>
        <w:rPr>
          <w:rFonts w:ascii="Arial" w:hAnsi="Arial"/>
          <w:bCs/>
          <w:color w:val="000000"/>
        </w:rPr>
      </w:pPr>
      <w:r>
        <w:rPr>
          <w:rFonts w:hint="eastAsia" w:ascii="Arial" w:hAnsi="Arial"/>
          <w:bCs/>
          <w:color w:val="000000"/>
        </w:rPr>
        <w:t>5）无论质量保证期是否已结束，供应商均需承担因空调系统质量问题引起的漏水而发生的原有装修工程的损失。</w:t>
      </w:r>
    </w:p>
    <w:p>
      <w:pPr>
        <w:adjustRightInd w:val="0"/>
        <w:spacing w:line="360" w:lineRule="auto"/>
        <w:ind w:firstLine="480"/>
        <w:rPr>
          <w:rFonts w:ascii="Arial" w:hAnsi="Arial"/>
          <w:bCs/>
          <w:color w:val="000000"/>
        </w:rPr>
      </w:pPr>
      <w:r>
        <w:rPr>
          <w:rFonts w:hint="eastAsia" w:ascii="Arial" w:hAnsi="Arial"/>
          <w:bCs/>
          <w:color w:val="000000"/>
        </w:rPr>
        <w:t>6）本招标文件有关售后服务的条款是采购人规定的基本要求，供应商可以根据自己的实力和意愿在投标文件的“质量保证和售后服务承诺”中做出优于招标要求的承诺。</w:t>
      </w:r>
    </w:p>
    <w:p>
      <w:pPr>
        <w:adjustRightInd w:val="0"/>
        <w:spacing w:line="360" w:lineRule="auto"/>
        <w:rPr>
          <w:rFonts w:ascii="Arial" w:hAnsi="Arial"/>
          <w:bCs/>
          <w:color w:val="000000"/>
        </w:rPr>
      </w:pPr>
      <w:r>
        <w:rPr>
          <w:rFonts w:hint="eastAsia" w:ascii="Arial" w:hAnsi="Arial"/>
          <w:bCs/>
          <w:color w:val="000000"/>
          <w:lang w:val="en-US" w:eastAsia="zh-CN"/>
        </w:rPr>
        <w:t xml:space="preserve">3.6.5 </w:t>
      </w:r>
      <w:r>
        <w:rPr>
          <w:rFonts w:hint="eastAsia" w:ascii="Arial" w:hAnsi="Arial"/>
          <w:bCs/>
          <w:color w:val="000000"/>
        </w:rPr>
        <w:t>技术培训承诺</w:t>
      </w:r>
    </w:p>
    <w:p>
      <w:pPr>
        <w:adjustRightInd w:val="0"/>
        <w:spacing w:line="360" w:lineRule="auto"/>
        <w:ind w:firstLine="480"/>
        <w:rPr>
          <w:rFonts w:ascii="Arial" w:hAnsi="Arial"/>
          <w:bCs/>
          <w:color w:val="000000"/>
        </w:rPr>
      </w:pPr>
      <w:r>
        <w:rPr>
          <w:rFonts w:hint="eastAsia" w:ascii="Arial" w:hAnsi="Arial"/>
          <w:bCs/>
          <w:color w:val="000000"/>
        </w:rPr>
        <w:t>1）供应商须对买方的技术人员、维修人员及操作人员进行培训。供应商须在投标文件中提供详细的培训方案，包括负责培训的人员、培训内容、培训时间、培训费用等。</w:t>
      </w:r>
    </w:p>
    <w:p>
      <w:pPr>
        <w:pStyle w:val="39"/>
        <w:numPr>
          <w:ilvl w:val="0"/>
          <w:numId w:val="5"/>
        </w:numPr>
        <w:adjustRightInd w:val="0"/>
        <w:spacing w:line="360" w:lineRule="auto"/>
        <w:ind w:firstLineChars="0"/>
        <w:rPr>
          <w:rFonts w:ascii="Arial" w:hAnsi="Arial"/>
          <w:bCs/>
          <w:color w:val="000000"/>
        </w:rPr>
      </w:pPr>
      <w:r>
        <w:rPr>
          <w:rFonts w:hint="eastAsia" w:ascii="Arial" w:hAnsi="Arial"/>
          <w:bCs/>
          <w:color w:val="000000"/>
        </w:rPr>
        <w:t>供应商提供的负责培训的人员应具备同类产品5年以上的维修经验。</w:t>
      </w:r>
    </w:p>
    <w:p>
      <w:pPr>
        <w:rPr>
          <w:rFonts w:hint="eastAsia"/>
          <w:color w:val="auto"/>
        </w:rPr>
      </w:pPr>
    </w:p>
    <w:p>
      <w:pPr>
        <w:pStyle w:val="46"/>
        <w:numPr>
          <w:ilvl w:val="0"/>
          <w:numId w:val="0"/>
        </w:numPr>
        <w:ind w:leftChars="0"/>
        <w:rPr>
          <w:rFonts w:ascii="宋体" w:eastAsia="宋体"/>
          <w:sz w:val="21"/>
          <w:szCs w:val="21"/>
        </w:rPr>
      </w:pPr>
      <w:r>
        <w:rPr>
          <w:rFonts w:hint="eastAsia" w:ascii="宋体" w:eastAsia="宋体"/>
          <w:sz w:val="21"/>
          <w:szCs w:val="21"/>
          <w:lang w:val="en-US" w:eastAsia="zh-CN"/>
        </w:rPr>
        <w:t xml:space="preserve">3.7 </w:t>
      </w:r>
      <w:r>
        <w:rPr>
          <w:rFonts w:hint="eastAsia" w:ascii="宋体" w:eastAsia="宋体"/>
          <w:sz w:val="21"/>
          <w:szCs w:val="21"/>
        </w:rPr>
        <w:t>其他要求</w:t>
      </w:r>
    </w:p>
    <w:p>
      <w:pPr>
        <w:pStyle w:val="52"/>
        <w:rPr>
          <w:sz w:val="21"/>
          <w:szCs w:val="21"/>
        </w:rPr>
      </w:pPr>
      <w:r>
        <w:rPr>
          <w:rFonts w:hint="eastAsia"/>
          <w:sz w:val="21"/>
          <w:szCs w:val="21"/>
        </w:rPr>
        <w:t>（1）招标文件中的技术要求不得被认为是详尽无遗的，无论规定与否，供应商应提供采购人没有规定但供应商认为完成本项目操作和使用，必要或必须的设备和材料，并应在报价明细表中一一列明。</w:t>
      </w:r>
    </w:p>
    <w:p>
      <w:pPr>
        <w:pStyle w:val="52"/>
        <w:rPr>
          <w:sz w:val="21"/>
          <w:szCs w:val="21"/>
        </w:rPr>
      </w:pPr>
      <w:r>
        <w:rPr>
          <w:rFonts w:hint="eastAsia"/>
          <w:sz w:val="21"/>
          <w:szCs w:val="21"/>
        </w:rPr>
        <w:t>（2）上述设备如无特别说明应为制造厂商出厂的原装配置。供应商应对清单中所列设备及其所有附件和配置进行报价，不允许只对其中部分设备或内容进行报价。</w:t>
      </w:r>
    </w:p>
    <w:p>
      <w:pPr>
        <w:pStyle w:val="52"/>
        <w:rPr>
          <w:sz w:val="21"/>
          <w:szCs w:val="21"/>
        </w:rPr>
      </w:pPr>
      <w:r>
        <w:rPr>
          <w:rFonts w:hint="eastAsia"/>
          <w:sz w:val="21"/>
          <w:szCs w:val="21"/>
        </w:rPr>
        <w:t>（3）供应商的投标文件应该真实、全面、完整，应提供完整的项目设计和实施方案，详细阐述对本项目总体要求的理解。包括：功能说明、性能指标及设备选型说明（质量、性能、价格、外观、体积等方面进行比较和选择的理由和过程），明确设备、材料的具体品牌、型号和数量，符合招标文件的要求。</w:t>
      </w:r>
    </w:p>
    <w:p>
      <w:pPr>
        <w:pStyle w:val="52"/>
        <w:rPr>
          <w:sz w:val="21"/>
          <w:szCs w:val="21"/>
        </w:rPr>
      </w:pPr>
      <w:r>
        <w:rPr>
          <w:rFonts w:hint="eastAsia"/>
          <w:sz w:val="21"/>
          <w:szCs w:val="21"/>
        </w:rPr>
        <w:t>（4）本项目投标报价为交钥匙价，报价应包含按要求完成本项目的所有费用，包含但不仅限于实施所需的硬件、附件、备品备件等费用，以及本项目在实施过程中涉及的专用工具、辅材、安装、调试、检验、技术服务、运杂、保险费、税金、验收检定、软件升级</w:t>
      </w:r>
      <w:r>
        <w:rPr>
          <w:rFonts w:hint="eastAsia"/>
          <w:sz w:val="21"/>
          <w:szCs w:val="21"/>
          <w:lang w:eastAsia="zh-CN"/>
        </w:rPr>
        <w:t>、培训费</w:t>
      </w:r>
      <w:r>
        <w:rPr>
          <w:rFonts w:hint="eastAsia"/>
          <w:sz w:val="21"/>
          <w:szCs w:val="21"/>
        </w:rPr>
        <w:t>及供应商认为需要的所有费用。中标价格一经确定，除采购有要求追加或变动项目外，不再另行支付任何费用。</w:t>
      </w:r>
    </w:p>
    <w:p>
      <w:pPr>
        <w:pStyle w:val="52"/>
        <w:rPr>
          <w:sz w:val="21"/>
          <w:szCs w:val="21"/>
        </w:rPr>
      </w:pPr>
      <w:r>
        <w:rPr>
          <w:rFonts w:hint="eastAsia"/>
          <w:sz w:val="21"/>
          <w:szCs w:val="21"/>
        </w:rPr>
        <w:t>招标清单中未列或与清单中设备有出入，但系统正常运行必须的设备，其价格按已包含在投标报价内处理。</w:t>
      </w:r>
    </w:p>
    <w:p>
      <w:pPr>
        <w:pStyle w:val="52"/>
        <w:rPr>
          <w:sz w:val="21"/>
          <w:szCs w:val="21"/>
        </w:rPr>
      </w:pPr>
      <w:r>
        <w:rPr>
          <w:rFonts w:hint="eastAsia"/>
          <w:sz w:val="21"/>
          <w:szCs w:val="21"/>
        </w:rPr>
        <w:t>招标清单中供应商没有填入单价或价格的子目，其费用视为已分摊在招标清单中其他相关子目的单价或价格之中。供应商必须按采购人指令完成招标清单中未填入单价或价格的子目，但不能得到结算与支付。符合合同条款规定的全部费用应认为已被计入有标价的招标清单所列各子目之中，未列子目不予计量的工作，其费用应视为已分摊在本合同的有关子目的单价或总额价之中。项目实施过程中可能发生的风险和费用均由成交供应商承担。</w:t>
      </w:r>
    </w:p>
    <w:p>
      <w:pPr>
        <w:pStyle w:val="52"/>
        <w:rPr>
          <w:sz w:val="21"/>
          <w:szCs w:val="21"/>
        </w:rPr>
      </w:pPr>
      <w:r>
        <w:rPr>
          <w:rFonts w:hint="eastAsia"/>
          <w:sz w:val="21"/>
          <w:szCs w:val="21"/>
        </w:rPr>
        <w:t>（5）在满足性能技术参数的前提下，采购人可以根据现场的实际情况和要求，对设备数量作适当的调整。如因采购人原因引起承包总价变化，最终以成交供应商实际供货数量并依据中标单价按实结算。</w:t>
      </w:r>
    </w:p>
    <w:p>
      <w:pPr>
        <w:pStyle w:val="52"/>
        <w:rPr>
          <w:sz w:val="21"/>
          <w:szCs w:val="21"/>
        </w:rPr>
      </w:pPr>
      <w:r>
        <w:rPr>
          <w:rFonts w:hint="eastAsia"/>
          <w:sz w:val="21"/>
          <w:szCs w:val="21"/>
        </w:rPr>
        <w:t>（6）要求使用绿色环保材料，制作的产品要进行异味的去除，确保安装后的货物对人体无害。</w:t>
      </w:r>
    </w:p>
    <w:p>
      <w:pPr>
        <w:pStyle w:val="52"/>
        <w:rPr>
          <w:sz w:val="21"/>
          <w:szCs w:val="21"/>
        </w:rPr>
      </w:pPr>
      <w:r>
        <w:rPr>
          <w:rFonts w:hint="eastAsia"/>
          <w:sz w:val="21"/>
          <w:szCs w:val="21"/>
        </w:rPr>
        <w:t>（</w:t>
      </w:r>
      <w:r>
        <w:rPr>
          <w:rFonts w:hint="eastAsia"/>
          <w:sz w:val="21"/>
          <w:szCs w:val="21"/>
          <w:lang w:val="en-US" w:eastAsia="zh-CN"/>
        </w:rPr>
        <w:t>7</w:t>
      </w:r>
      <w:r>
        <w:rPr>
          <w:rFonts w:hint="eastAsia"/>
          <w:sz w:val="21"/>
          <w:szCs w:val="21"/>
        </w:rPr>
        <w:t>）安全责任要求：设备运输、安装、调试、实施中的一切安全责任由供应商承担；供应商在安装、调试、实施中应遵守采购人有关的管理制度。</w:t>
      </w:r>
    </w:p>
    <w:p>
      <w:pPr>
        <w:pStyle w:val="52"/>
        <w:rPr>
          <w:rFonts w:hint="eastAsia"/>
          <w:sz w:val="21"/>
          <w:szCs w:val="21"/>
        </w:rPr>
      </w:pPr>
      <w:r>
        <w:rPr>
          <w:rFonts w:hint="eastAsia"/>
          <w:sz w:val="21"/>
          <w:szCs w:val="21"/>
        </w:rPr>
        <w:t>（</w:t>
      </w:r>
      <w:r>
        <w:rPr>
          <w:rFonts w:hint="eastAsia"/>
          <w:sz w:val="21"/>
          <w:szCs w:val="21"/>
          <w:lang w:val="en-US" w:eastAsia="zh-CN"/>
        </w:rPr>
        <w:t>8</w:t>
      </w:r>
      <w:r>
        <w:rPr>
          <w:rFonts w:hint="eastAsia"/>
          <w:sz w:val="21"/>
          <w:szCs w:val="21"/>
        </w:rPr>
        <w:t>）其他限制性要求：本项目不允许转包。</w:t>
      </w:r>
    </w:p>
    <w:p>
      <w:pPr>
        <w:ind w:firstLine="562" w:firstLineChars="200"/>
        <w:rPr>
          <w:rFonts w:hint="eastAsia" w:ascii="宋体" w:hAnsi="宋体"/>
          <w:b/>
          <w:sz w:val="28"/>
          <w:szCs w:val="28"/>
        </w:rPr>
      </w:pPr>
      <w:r>
        <w:rPr>
          <w:rFonts w:ascii="宋体" w:hAnsi="宋体"/>
          <w:b/>
          <w:sz w:val="28"/>
          <w:szCs w:val="28"/>
        </w:rPr>
        <w:t>四</w:t>
      </w:r>
      <w:r>
        <w:rPr>
          <w:rFonts w:hint="eastAsia" w:ascii="宋体" w:hAnsi="宋体"/>
          <w:b/>
          <w:sz w:val="28"/>
          <w:szCs w:val="28"/>
        </w:rPr>
        <w:t>、注意事项</w:t>
      </w:r>
    </w:p>
    <w:p>
      <w:pPr>
        <w:spacing w:line="390" w:lineRule="atLeast"/>
        <w:ind w:firstLine="525" w:firstLineChars="250"/>
        <w:textAlignment w:val="top"/>
        <w:rPr>
          <w:rFonts w:hint="eastAsia" w:ascii="宋体" w:hAnsi="宋体" w:cs="宋体"/>
        </w:rPr>
      </w:pPr>
      <w:r>
        <w:rPr>
          <w:rFonts w:hint="eastAsia" w:ascii="宋体" w:hAnsi="宋体" w:cs="宋体"/>
        </w:rPr>
        <w:t>（一）</w:t>
      </w:r>
      <w:bookmarkStart w:id="2" w:name="其它事项"/>
      <w:r>
        <w:rPr>
          <w:rFonts w:hint="eastAsia" w:ascii="宋体" w:hAnsi="宋体" w:cs="宋体"/>
        </w:rPr>
        <w:t>中标人不得将项目非法分包或整体转包给任何单位和个人。否则，采购单位有权即刻终止合同，并要求中标人赔偿相应损失。</w:t>
      </w:r>
    </w:p>
    <w:bookmarkEnd w:id="2"/>
    <w:p>
      <w:pPr>
        <w:spacing w:line="390" w:lineRule="atLeast"/>
        <w:ind w:firstLine="525" w:firstLineChars="250"/>
        <w:textAlignment w:val="top"/>
        <w:rPr>
          <w:rFonts w:hint="eastAsia" w:ascii="宋体" w:hAnsi="宋体" w:cs="宋体"/>
        </w:rPr>
      </w:pPr>
      <w:r>
        <w:rPr>
          <w:rFonts w:hint="eastAsia" w:ascii="宋体" w:hAnsi="宋体" w:cs="宋体"/>
        </w:rPr>
        <w:t>（二）投标人若认为招标文件的技术要求或其他要求有倾向性或不公正性，可在招标答疑阶段提出，以维护招标行为的公平、公正。</w:t>
      </w:r>
    </w:p>
    <w:p>
      <w:pPr>
        <w:spacing w:line="390" w:lineRule="atLeast"/>
        <w:ind w:firstLine="525" w:firstLineChars="250"/>
        <w:textAlignment w:val="top"/>
        <w:rPr>
          <w:rFonts w:hint="eastAsia" w:ascii="宋体" w:hAnsi="宋体" w:cs="宋体"/>
        </w:rPr>
      </w:pPr>
      <w:r>
        <w:rPr>
          <w:rFonts w:hint="eastAsia" w:ascii="宋体" w:hAnsi="宋体" w:cs="宋体"/>
        </w:rPr>
        <w:t>（三）投标人使用的标准必须是国际公认或国家、或地方政府颁布的同等或更高的标准，如投标人使用的标准低于上述标准,评标委员会将有权不予接受，投标人必须列表将明显的差异详细说明。</w:t>
      </w:r>
    </w:p>
    <w:p>
      <w:pPr>
        <w:spacing w:line="390" w:lineRule="atLeast"/>
        <w:ind w:firstLine="525" w:firstLineChars="250"/>
        <w:textAlignment w:val="top"/>
        <w:rPr>
          <w:rFonts w:hint="eastAsia" w:ascii="宋体" w:hAnsi="宋体" w:cs="宋体"/>
        </w:rPr>
      </w:pPr>
      <w:r>
        <w:rPr>
          <w:rFonts w:hint="eastAsia" w:ascii="宋体" w:hAnsi="宋体" w:cs="宋体"/>
        </w:rPr>
        <w:t>（四）如投标人提交伪造资质证书、合同文件，一经发现按有关规定进行处罚,没收投标保证金、通报批评，上报政府采购监督管理部门并在相关网站上公布。</w:t>
      </w:r>
    </w:p>
    <w:p>
      <w:pPr>
        <w:spacing w:line="390" w:lineRule="atLeast"/>
        <w:ind w:firstLine="525" w:firstLineChars="250"/>
        <w:textAlignment w:val="top"/>
        <w:rPr>
          <w:rFonts w:hint="eastAsia" w:ascii="宋体" w:hAnsi="宋体" w:cs="宋体"/>
        </w:rPr>
      </w:pPr>
      <w:r>
        <w:rPr>
          <w:rFonts w:hint="eastAsia" w:ascii="宋体" w:hAnsi="宋体" w:cs="宋体"/>
        </w:rPr>
        <w:t>（五）违反招标文件规定及在投标过程中违法违纪，或以任何形式采取不正当竞争手段的，一经查实，由招标单位按规定给予处罚，取消本次投标资格，已经中标的终止委托管理合同，一切后果由责任者自负。</w:t>
      </w:r>
    </w:p>
    <w:p>
      <w:pPr>
        <w:spacing w:line="360" w:lineRule="auto"/>
        <w:ind w:firstLine="643" w:firstLineChars="200"/>
        <w:jc w:val="center"/>
        <w:rPr>
          <w:b/>
          <w:sz w:val="32"/>
        </w:rPr>
      </w:pPr>
    </w:p>
    <w:p>
      <w:pPr>
        <w:spacing w:line="360" w:lineRule="auto"/>
        <w:ind w:firstLine="643" w:firstLineChars="200"/>
        <w:jc w:val="center"/>
        <w:rPr>
          <w:b/>
          <w:sz w:val="32"/>
        </w:rPr>
      </w:pPr>
      <w:r>
        <w:rPr>
          <w:b/>
          <w:sz w:val="32"/>
        </w:rPr>
        <w:br w:type="page"/>
      </w:r>
      <w:r>
        <w:rPr>
          <w:b/>
          <w:sz w:val="32"/>
        </w:rPr>
        <w:t>评标</w:t>
      </w:r>
      <w:r>
        <w:rPr>
          <w:rFonts w:hint="eastAsia"/>
          <w:b/>
          <w:sz w:val="32"/>
        </w:rPr>
        <w:t>标准与评标</w:t>
      </w:r>
      <w:r>
        <w:rPr>
          <w:b/>
          <w:sz w:val="32"/>
        </w:rPr>
        <w:t>办法</w:t>
      </w:r>
    </w:p>
    <w:p>
      <w:pPr>
        <w:pStyle w:val="72"/>
        <w:spacing w:line="440" w:lineRule="exact"/>
        <w:rPr>
          <w:rFonts w:ascii="宋体" w:hAnsi="宋体"/>
          <w:szCs w:val="24"/>
        </w:rPr>
      </w:pPr>
      <w:r>
        <w:rPr>
          <w:rFonts w:hint="eastAsia" w:ascii="宋体" w:hAnsi="宋体"/>
          <w:szCs w:val="24"/>
        </w:rPr>
        <w:t>一、评标原则</w:t>
      </w:r>
    </w:p>
    <w:p>
      <w:pPr>
        <w:tabs>
          <w:tab w:val="left" w:pos="780"/>
        </w:tabs>
        <w:spacing w:line="440" w:lineRule="exact"/>
        <w:ind w:firstLine="638" w:firstLineChars="266"/>
        <w:rPr>
          <w:rFonts w:hint="eastAsia" w:ascii="宋体" w:hAnsi="宋体"/>
          <w:sz w:val="24"/>
        </w:rPr>
      </w:pPr>
      <w:r>
        <w:rPr>
          <w:rFonts w:ascii="宋体" w:hAnsi="宋体"/>
          <w:sz w:val="24"/>
        </w:rPr>
        <w:t>1、公平、公正地对待所有合格的投标人</w:t>
      </w:r>
      <w:r>
        <w:rPr>
          <w:rFonts w:hint="eastAsia" w:ascii="宋体" w:hAnsi="宋体"/>
          <w:sz w:val="24"/>
        </w:rPr>
        <w:t>。</w:t>
      </w:r>
    </w:p>
    <w:p>
      <w:pPr>
        <w:tabs>
          <w:tab w:val="left" w:pos="780"/>
        </w:tabs>
        <w:spacing w:line="440" w:lineRule="exact"/>
        <w:ind w:firstLine="638" w:firstLineChars="266"/>
        <w:rPr>
          <w:rFonts w:hint="eastAsia" w:ascii="宋体" w:hAnsi="宋体"/>
          <w:sz w:val="24"/>
        </w:rPr>
      </w:pPr>
      <w:r>
        <w:rPr>
          <w:rFonts w:ascii="宋体" w:hAnsi="宋体"/>
          <w:sz w:val="24"/>
        </w:rPr>
        <w:t>2、遵守《中华</w:t>
      </w:r>
      <w:r>
        <w:rPr>
          <w:rFonts w:hint="eastAsia" w:ascii="宋体" w:hAnsi="宋体"/>
          <w:sz w:val="24"/>
        </w:rPr>
        <w:t>人民</w:t>
      </w:r>
      <w:r>
        <w:rPr>
          <w:rFonts w:ascii="宋体" w:hAnsi="宋体"/>
          <w:sz w:val="24"/>
        </w:rPr>
        <w:t>共和国政府采购法》</w:t>
      </w:r>
      <w:r>
        <w:rPr>
          <w:rFonts w:hint="eastAsia" w:ascii="宋体" w:hAnsi="宋体"/>
          <w:sz w:val="24"/>
        </w:rPr>
        <w:t>等</w:t>
      </w:r>
      <w:r>
        <w:rPr>
          <w:rFonts w:ascii="宋体" w:hAnsi="宋体"/>
          <w:sz w:val="24"/>
        </w:rPr>
        <w:t>有关</w:t>
      </w:r>
      <w:r>
        <w:rPr>
          <w:rFonts w:hint="eastAsia" w:ascii="宋体" w:hAnsi="宋体"/>
          <w:sz w:val="24"/>
        </w:rPr>
        <w:t>法律法规的</w:t>
      </w:r>
      <w:r>
        <w:rPr>
          <w:rFonts w:ascii="宋体" w:hAnsi="宋体"/>
          <w:sz w:val="24"/>
        </w:rPr>
        <w:t>规定</w:t>
      </w:r>
      <w:r>
        <w:rPr>
          <w:rFonts w:hint="eastAsia" w:ascii="宋体" w:hAnsi="宋体"/>
          <w:sz w:val="24"/>
        </w:rPr>
        <w:t>。</w:t>
      </w:r>
    </w:p>
    <w:p>
      <w:pPr>
        <w:tabs>
          <w:tab w:val="left" w:pos="780"/>
        </w:tabs>
        <w:spacing w:line="440" w:lineRule="exact"/>
        <w:ind w:firstLine="638" w:firstLineChars="266"/>
        <w:rPr>
          <w:rFonts w:hint="eastAsia" w:ascii="宋体" w:hAnsi="宋体"/>
          <w:sz w:val="24"/>
        </w:rPr>
      </w:pPr>
      <w:r>
        <w:rPr>
          <w:rFonts w:ascii="宋体" w:hAnsi="宋体"/>
          <w:sz w:val="24"/>
        </w:rPr>
        <w:t>3、评标必须以招标文件中各项规定条件为准</w:t>
      </w:r>
      <w:r>
        <w:rPr>
          <w:rFonts w:hint="eastAsia" w:ascii="宋体" w:hAnsi="宋体"/>
          <w:sz w:val="24"/>
        </w:rPr>
        <w:t>。</w:t>
      </w:r>
    </w:p>
    <w:p>
      <w:pPr>
        <w:pStyle w:val="72"/>
        <w:spacing w:line="440" w:lineRule="exact"/>
        <w:rPr>
          <w:rFonts w:ascii="宋体" w:hAnsi="宋体"/>
          <w:szCs w:val="24"/>
        </w:rPr>
      </w:pPr>
      <w:r>
        <w:rPr>
          <w:rFonts w:hint="eastAsia" w:ascii="宋体" w:hAnsi="宋体"/>
          <w:szCs w:val="24"/>
        </w:rPr>
        <w:t>二、</w:t>
      </w:r>
      <w:r>
        <w:rPr>
          <w:rFonts w:hint="eastAsia" w:ascii="宋体" w:hAnsi="宋体"/>
          <w:b/>
          <w:szCs w:val="24"/>
        </w:rPr>
        <w:t>无效标</w:t>
      </w:r>
    </w:p>
    <w:p>
      <w:pPr>
        <w:spacing w:line="440" w:lineRule="exact"/>
        <w:ind w:firstLine="560"/>
        <w:rPr>
          <w:rFonts w:ascii="宋体" w:hAnsi="宋体"/>
          <w:sz w:val="24"/>
        </w:rPr>
      </w:pPr>
      <w:r>
        <w:rPr>
          <w:rFonts w:hint="eastAsia" w:ascii="宋体" w:hAnsi="宋体"/>
          <w:sz w:val="24"/>
        </w:rPr>
        <w:t>资格审查由招标人负责，符合性审查及评审由评审委员会负责。凡出现以下情况之一的投标文件将被视为无效标，不进入技术评议及综合打分：</w:t>
      </w:r>
    </w:p>
    <w:p>
      <w:pPr>
        <w:numPr>
          <w:ilvl w:val="1"/>
          <w:numId w:val="6"/>
        </w:numPr>
        <w:spacing w:line="440" w:lineRule="exact"/>
        <w:rPr>
          <w:rFonts w:hint="eastAsia" w:ascii="宋体" w:hAnsi="宋体"/>
          <w:sz w:val="24"/>
        </w:rPr>
      </w:pPr>
      <w:r>
        <w:rPr>
          <w:rFonts w:hint="eastAsia" w:ascii="宋体" w:hAnsi="宋体"/>
          <w:sz w:val="24"/>
        </w:rPr>
        <w:t>符合下列条件之一的，资格性审查不合格：</w:t>
      </w:r>
    </w:p>
    <w:p>
      <w:pPr>
        <w:numPr>
          <w:ilvl w:val="0"/>
          <w:numId w:val="7"/>
        </w:numPr>
        <w:spacing w:line="440" w:lineRule="exact"/>
        <w:ind w:left="900"/>
        <w:rPr>
          <w:rFonts w:hint="eastAsia" w:ascii="宋体" w:hAnsi="宋体"/>
          <w:sz w:val="24"/>
        </w:rPr>
      </w:pPr>
      <w:r>
        <w:rPr>
          <w:rFonts w:hint="eastAsia" w:ascii="宋体" w:hAnsi="宋体"/>
          <w:sz w:val="24"/>
        </w:rPr>
        <w:t>不符合政府采购法第22条第1款之规定；</w:t>
      </w:r>
    </w:p>
    <w:p>
      <w:pPr>
        <w:numPr>
          <w:ilvl w:val="0"/>
          <w:numId w:val="7"/>
        </w:numPr>
        <w:spacing w:line="440" w:lineRule="exact"/>
        <w:ind w:left="900"/>
        <w:rPr>
          <w:rFonts w:hint="eastAsia" w:ascii="宋体" w:hAnsi="宋体"/>
          <w:sz w:val="24"/>
        </w:rPr>
      </w:pPr>
      <w:r>
        <w:rPr>
          <w:rFonts w:hint="eastAsia" w:ascii="宋体" w:hAnsi="宋体"/>
          <w:sz w:val="24"/>
          <w:szCs w:val="24"/>
        </w:rPr>
        <w:t>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r>
        <w:rPr>
          <w:rFonts w:hint="eastAsia" w:ascii="宋体" w:hAnsi="宋体"/>
          <w:sz w:val="24"/>
        </w:rPr>
        <w:t>；</w:t>
      </w:r>
    </w:p>
    <w:p>
      <w:pPr>
        <w:spacing w:line="440" w:lineRule="exact"/>
        <w:ind w:left="900"/>
        <w:rPr>
          <w:rFonts w:hint="eastAsia" w:ascii="宋体" w:hAnsi="宋体"/>
          <w:sz w:val="24"/>
          <w:szCs w:val="24"/>
        </w:rPr>
      </w:pPr>
      <w:r>
        <w:rPr>
          <w:rFonts w:hint="eastAsia" w:ascii="宋体" w:hAnsi="宋体"/>
          <w:sz w:val="24"/>
        </w:rPr>
        <w:t>（3）不符合特定资格条件的（若有）；</w:t>
      </w:r>
    </w:p>
    <w:p>
      <w:pPr>
        <w:spacing w:line="440" w:lineRule="exact"/>
        <w:ind w:left="900"/>
        <w:rPr>
          <w:rFonts w:hint="eastAsia" w:ascii="宋体" w:hAnsi="宋体"/>
          <w:sz w:val="24"/>
        </w:rPr>
      </w:pPr>
      <w:r>
        <w:rPr>
          <w:rFonts w:hint="eastAsia" w:ascii="宋体" w:hAnsi="宋体"/>
          <w:sz w:val="24"/>
        </w:rPr>
        <w:t>（4）未按规定缴纳投标保证金（若有）。</w:t>
      </w:r>
    </w:p>
    <w:p>
      <w:pPr>
        <w:numPr>
          <w:ilvl w:val="1"/>
          <w:numId w:val="6"/>
        </w:numPr>
        <w:spacing w:line="440" w:lineRule="exact"/>
        <w:rPr>
          <w:rFonts w:hint="eastAsia" w:ascii="宋体" w:hAnsi="宋体"/>
          <w:sz w:val="24"/>
        </w:rPr>
      </w:pPr>
      <w:r>
        <w:rPr>
          <w:rFonts w:hint="eastAsia" w:ascii="宋体" w:hAnsi="宋体"/>
          <w:sz w:val="24"/>
        </w:rPr>
        <w:t>符合下列条件之一的，符合性审查不合格：</w:t>
      </w:r>
    </w:p>
    <w:p>
      <w:pPr>
        <w:numPr>
          <w:ilvl w:val="0"/>
          <w:numId w:val="8"/>
        </w:numPr>
        <w:spacing w:line="440" w:lineRule="exact"/>
        <w:ind w:left="900"/>
        <w:rPr>
          <w:rFonts w:hint="eastAsia" w:ascii="宋体" w:hAnsi="宋体"/>
          <w:b/>
          <w:sz w:val="24"/>
          <w:szCs w:val="22"/>
        </w:rPr>
      </w:pPr>
      <w:r>
        <w:rPr>
          <w:rFonts w:hint="eastAsia" w:ascii="宋体" w:hAnsi="宋体"/>
          <w:b/>
          <w:sz w:val="24"/>
        </w:rPr>
        <w:t>未按要求提供诚信投标承诺书、</w:t>
      </w:r>
      <w:r>
        <w:rPr>
          <w:rFonts w:hint="eastAsia" w:ascii="宋体" w:hAnsi="宋体"/>
          <w:b/>
          <w:sz w:val="24"/>
          <w:szCs w:val="22"/>
        </w:rPr>
        <w:t>投标函、开标一览表、投标分项报价表的；</w:t>
      </w:r>
    </w:p>
    <w:p>
      <w:pPr>
        <w:numPr>
          <w:ilvl w:val="0"/>
          <w:numId w:val="8"/>
        </w:numPr>
        <w:spacing w:line="440" w:lineRule="exact"/>
        <w:ind w:left="900"/>
        <w:rPr>
          <w:rFonts w:hint="eastAsia" w:ascii="宋体" w:hAnsi="宋体"/>
          <w:b/>
          <w:sz w:val="24"/>
          <w:szCs w:val="22"/>
        </w:rPr>
      </w:pPr>
      <w:r>
        <w:rPr>
          <w:rFonts w:hint="eastAsia" w:ascii="宋体" w:hAnsi="宋体"/>
          <w:b/>
          <w:sz w:val="24"/>
          <w:szCs w:val="22"/>
        </w:rPr>
        <w:t>应当提供法定代表人授权书而未提供的；</w:t>
      </w:r>
    </w:p>
    <w:p>
      <w:pPr>
        <w:numPr>
          <w:ilvl w:val="0"/>
          <w:numId w:val="8"/>
        </w:numPr>
        <w:spacing w:line="440" w:lineRule="exact"/>
        <w:ind w:left="900"/>
        <w:rPr>
          <w:rFonts w:hint="eastAsia" w:ascii="宋体" w:hAnsi="宋体"/>
          <w:b/>
          <w:sz w:val="24"/>
          <w:szCs w:val="22"/>
        </w:rPr>
      </w:pPr>
      <w:r>
        <w:rPr>
          <w:rFonts w:hint="eastAsia" w:ascii="宋体" w:hAnsi="宋体"/>
          <w:b/>
          <w:sz w:val="24"/>
          <w:szCs w:val="22"/>
        </w:rPr>
        <w:t>实质性条款不满足的；</w:t>
      </w:r>
    </w:p>
    <w:p>
      <w:pPr>
        <w:numPr>
          <w:ilvl w:val="0"/>
          <w:numId w:val="8"/>
        </w:numPr>
        <w:spacing w:line="440" w:lineRule="exact"/>
        <w:ind w:left="900"/>
        <w:rPr>
          <w:rFonts w:hint="eastAsia" w:ascii="宋体" w:hAnsi="宋体"/>
          <w:b/>
          <w:bCs/>
          <w:sz w:val="24"/>
        </w:rPr>
      </w:pPr>
      <w:r>
        <w:rPr>
          <w:rFonts w:hint="eastAsia" w:ascii="宋体" w:hAnsi="宋体"/>
          <w:b/>
          <w:bCs/>
          <w:sz w:val="24"/>
        </w:rPr>
        <w:t>投标有效期少于招标文件要求的；</w:t>
      </w:r>
    </w:p>
    <w:p>
      <w:pPr>
        <w:spacing w:line="440" w:lineRule="exact"/>
        <w:ind w:left="900"/>
        <w:rPr>
          <w:rFonts w:hint="eastAsia" w:ascii="宋体" w:hAnsi="宋体"/>
          <w:b/>
          <w:bCs/>
          <w:sz w:val="24"/>
        </w:rPr>
      </w:pPr>
      <w:r>
        <w:rPr>
          <w:rFonts w:hint="eastAsia" w:ascii="宋体" w:hAnsi="宋体"/>
          <w:b/>
          <w:bCs/>
          <w:sz w:val="24"/>
        </w:rPr>
        <w:t>（5）</w:t>
      </w:r>
      <w:r>
        <w:rPr>
          <w:rFonts w:hint="eastAsia" w:ascii="宋体" w:hAnsi="宋体"/>
          <w:b/>
          <w:bCs/>
          <w:sz w:val="24"/>
          <w:szCs w:val="24"/>
        </w:rPr>
        <w:t>投标人应填写全称，加盖与全称相一致的公章（不得加盖带有“专用章”等字样的印章），</w:t>
      </w:r>
      <w:r>
        <w:rPr>
          <w:rFonts w:hint="eastAsia" w:ascii="宋体" w:hAnsi="宋体"/>
          <w:b/>
          <w:bCs/>
          <w:sz w:val="24"/>
        </w:rPr>
        <w:t>未按规定签署、盖章的，影响投标效力的；</w:t>
      </w:r>
    </w:p>
    <w:p>
      <w:pPr>
        <w:spacing w:line="440" w:lineRule="exact"/>
        <w:ind w:left="900"/>
        <w:rPr>
          <w:rFonts w:hint="eastAsia" w:ascii="宋体" w:hAnsi="宋体"/>
          <w:b/>
          <w:bCs/>
          <w:sz w:val="24"/>
        </w:rPr>
      </w:pPr>
      <w:r>
        <w:rPr>
          <w:rFonts w:hint="eastAsia" w:ascii="宋体" w:hAnsi="宋体"/>
          <w:b/>
          <w:bCs/>
          <w:sz w:val="24"/>
        </w:rPr>
        <w:t>（6）投标文件未按要求编制，内容缺失、不完整，导致无法评审的；</w:t>
      </w:r>
    </w:p>
    <w:p>
      <w:pPr>
        <w:spacing w:line="440" w:lineRule="exact"/>
        <w:ind w:left="900"/>
        <w:rPr>
          <w:rFonts w:hint="eastAsia" w:ascii="宋体" w:hAnsi="宋体"/>
          <w:b/>
          <w:bCs/>
          <w:sz w:val="24"/>
        </w:rPr>
      </w:pPr>
      <w:r>
        <w:rPr>
          <w:rFonts w:hint="eastAsia" w:ascii="宋体" w:hAnsi="宋体"/>
          <w:b/>
          <w:bCs/>
          <w:sz w:val="24"/>
        </w:rPr>
        <w:t>（7）投标价格错误且不同意按招标文件要求进行修正的；</w:t>
      </w:r>
    </w:p>
    <w:p>
      <w:pPr>
        <w:spacing w:line="440" w:lineRule="exact"/>
        <w:ind w:left="840" w:leftChars="400"/>
        <w:rPr>
          <w:rFonts w:hint="eastAsia" w:ascii="宋体" w:hAnsi="宋体"/>
          <w:b/>
          <w:sz w:val="24"/>
        </w:rPr>
      </w:pPr>
      <w:r>
        <w:rPr>
          <w:rFonts w:hint="eastAsia" w:ascii="宋体" w:hAnsi="宋体"/>
          <w:b/>
          <w:sz w:val="24"/>
        </w:rPr>
        <w:t>（8）投标人应做好详细的投标成本测算，有下列情形之一的，视为投标人不能证明其报价合理性：</w:t>
      </w:r>
    </w:p>
    <w:p>
      <w:pPr>
        <w:spacing w:line="440" w:lineRule="exact"/>
        <w:ind w:left="840" w:leftChars="400"/>
        <w:rPr>
          <w:rFonts w:hint="eastAsia" w:ascii="宋体" w:hAnsi="宋体"/>
          <w:b/>
          <w:sz w:val="24"/>
        </w:rPr>
      </w:pPr>
      <w:r>
        <w:rPr>
          <w:rFonts w:hint="eastAsia" w:ascii="宋体" w:hAnsi="宋体"/>
          <w:b/>
          <w:sz w:val="24"/>
        </w:rPr>
        <w:t>（i）对于低于采购预算（或最高限价）70%的投标报价，投标人未在投标文件中提供成本测算资料的；</w:t>
      </w:r>
    </w:p>
    <w:p>
      <w:pPr>
        <w:spacing w:line="440" w:lineRule="exact"/>
        <w:ind w:left="840" w:leftChars="400"/>
        <w:rPr>
          <w:rFonts w:hint="eastAsia" w:ascii="宋体" w:hAnsi="宋体"/>
          <w:b/>
          <w:sz w:val="24"/>
        </w:rPr>
      </w:pPr>
      <w:r>
        <w:rPr>
          <w:rFonts w:hint="eastAsia" w:ascii="宋体" w:hAnsi="宋体"/>
          <w:b/>
          <w:sz w:val="24"/>
        </w:rPr>
        <w:t>（ii）评审委员会半数以上成员认为投标人的报价明显过低时，投标人未在1小时内向评审委员会提供成本测算资料的；</w:t>
      </w:r>
    </w:p>
    <w:p>
      <w:pPr>
        <w:spacing w:line="440" w:lineRule="exact"/>
        <w:ind w:left="840" w:leftChars="400"/>
        <w:rPr>
          <w:rFonts w:hint="eastAsia" w:ascii="宋体" w:hAnsi="宋体"/>
          <w:b/>
          <w:sz w:val="24"/>
        </w:rPr>
      </w:pPr>
      <w:r>
        <w:rPr>
          <w:rFonts w:hint="eastAsia" w:ascii="宋体" w:hAnsi="宋体"/>
          <w:b/>
          <w:sz w:val="24"/>
        </w:rPr>
        <w:t>（iii）投标人虽然提供了成本测算资料，但评审委员会半数以上成员认为其成本测算依据不合理的。</w:t>
      </w:r>
    </w:p>
    <w:p>
      <w:pPr>
        <w:spacing w:line="440" w:lineRule="exact"/>
        <w:ind w:left="900"/>
        <w:rPr>
          <w:rFonts w:hint="eastAsia" w:ascii="宋体" w:hAnsi="宋体"/>
          <w:b/>
          <w:bCs/>
          <w:sz w:val="24"/>
        </w:rPr>
      </w:pPr>
      <w:r>
        <w:rPr>
          <w:rFonts w:hint="eastAsia" w:ascii="宋体" w:hAnsi="宋体"/>
          <w:b/>
          <w:bCs/>
          <w:sz w:val="24"/>
        </w:rPr>
        <w:t>（9）出现招标文件规定作无效标处理的其他情形。</w:t>
      </w:r>
    </w:p>
    <w:p>
      <w:pPr>
        <w:numPr>
          <w:ilvl w:val="1"/>
          <w:numId w:val="6"/>
        </w:numPr>
        <w:spacing w:line="440" w:lineRule="exact"/>
        <w:rPr>
          <w:rFonts w:ascii="宋体" w:hAnsi="宋体"/>
          <w:sz w:val="24"/>
        </w:rPr>
      </w:pPr>
      <w:r>
        <w:rPr>
          <w:rFonts w:hint="eastAsia" w:ascii="宋体" w:hAnsi="宋体"/>
          <w:sz w:val="24"/>
        </w:rPr>
        <w:t>法律、法规和规章规定的其他情形。</w:t>
      </w:r>
    </w:p>
    <w:p>
      <w:pPr>
        <w:spacing w:line="440" w:lineRule="exact"/>
        <w:rPr>
          <w:rFonts w:hint="eastAsia" w:ascii="宋体" w:hAnsi="宋体"/>
          <w:sz w:val="24"/>
        </w:rPr>
      </w:pPr>
      <w:r>
        <w:rPr>
          <w:rFonts w:hint="eastAsia" w:ascii="宋体" w:hAnsi="宋体"/>
          <w:sz w:val="24"/>
        </w:rPr>
        <w:t>三、</w:t>
      </w:r>
      <w:r>
        <w:rPr>
          <w:rFonts w:hint="eastAsia" w:ascii="宋体" w:hAnsi="宋体"/>
          <w:b/>
          <w:sz w:val="24"/>
        </w:rPr>
        <w:t>废标</w:t>
      </w:r>
    </w:p>
    <w:p>
      <w:pPr>
        <w:spacing w:line="440" w:lineRule="exact"/>
        <w:ind w:firstLine="480" w:firstLineChars="200"/>
        <w:rPr>
          <w:rFonts w:hint="eastAsia" w:ascii="宋体" w:hAnsi="宋体"/>
          <w:sz w:val="24"/>
        </w:rPr>
      </w:pPr>
      <w:r>
        <w:rPr>
          <w:rFonts w:hint="eastAsia" w:ascii="宋体" w:hAnsi="宋体"/>
          <w:sz w:val="24"/>
        </w:rPr>
        <w:t>凡出现以下情况之一的，本项目废标：</w:t>
      </w:r>
    </w:p>
    <w:p>
      <w:pPr>
        <w:spacing w:line="440" w:lineRule="exact"/>
        <w:ind w:firstLine="480" w:firstLineChars="200"/>
        <w:rPr>
          <w:rFonts w:hint="eastAsia" w:ascii="宋体" w:hAnsi="宋体"/>
          <w:color w:val="auto"/>
          <w:sz w:val="24"/>
        </w:rPr>
      </w:pPr>
      <w:r>
        <w:rPr>
          <w:rFonts w:hint="eastAsia" w:ascii="宋体" w:hAnsi="宋体"/>
          <w:sz w:val="24"/>
        </w:rPr>
        <w:t>（1）合格投标人不足</w:t>
      </w:r>
      <w:r>
        <w:rPr>
          <w:rFonts w:hint="eastAsia" w:ascii="宋体" w:hAnsi="宋体"/>
          <w:color w:val="auto"/>
          <w:sz w:val="24"/>
        </w:rPr>
        <w:t>三家的</w:t>
      </w:r>
      <w:r>
        <w:rPr>
          <w:rFonts w:hint="eastAsia" w:ascii="宋体" w:hAnsi="宋体"/>
          <w:color w:val="auto"/>
          <w:sz w:val="24"/>
          <w:szCs w:val="24"/>
        </w:rPr>
        <w:t>（</w:t>
      </w:r>
      <w:r>
        <w:rPr>
          <w:rFonts w:hint="eastAsia" w:ascii="宋体" w:hAnsi="宋体"/>
          <w:b/>
          <w:bCs/>
          <w:color w:val="auto"/>
          <w:sz w:val="24"/>
          <w:szCs w:val="24"/>
        </w:rPr>
        <w:t>单一产品项目：相同品牌的多家投标人按一家投标人计算，非单一产品项目：所有打“</w:t>
      </w:r>
      <w:r>
        <w:rPr>
          <w:rFonts w:hint="eastAsia" w:ascii="宋体" w:hAnsi="宋体" w:cs="宋体"/>
          <w:b/>
          <w:bCs/>
          <w:color w:val="auto"/>
          <w:sz w:val="24"/>
          <w:szCs w:val="24"/>
        </w:rPr>
        <w:t>※</w:t>
      </w:r>
      <w:r>
        <w:rPr>
          <w:rFonts w:hint="eastAsia" w:ascii="宋体" w:hAnsi="宋体"/>
          <w:b/>
          <w:bCs/>
          <w:color w:val="auto"/>
          <w:sz w:val="24"/>
          <w:szCs w:val="24"/>
        </w:rPr>
        <w:t>”</w:t>
      </w:r>
      <w:r>
        <w:rPr>
          <w:rFonts w:hint="eastAsia" w:ascii="宋体" w:hAnsi="宋体" w:cs="宋体"/>
          <w:b/>
          <w:bCs/>
          <w:color w:val="auto"/>
          <w:sz w:val="24"/>
          <w:szCs w:val="24"/>
        </w:rPr>
        <w:t>核心产品的品牌均相同的</w:t>
      </w:r>
      <w:r>
        <w:rPr>
          <w:rFonts w:hint="eastAsia" w:ascii="宋体" w:hAnsi="宋体"/>
          <w:b/>
          <w:bCs/>
          <w:color w:val="auto"/>
          <w:sz w:val="24"/>
          <w:szCs w:val="24"/>
        </w:rPr>
        <w:t>多家投标人按一家投标人计算</w:t>
      </w:r>
      <w:r>
        <w:rPr>
          <w:rFonts w:hint="eastAsia" w:ascii="宋体" w:hAnsi="宋体"/>
          <w:color w:val="auto"/>
          <w:sz w:val="24"/>
          <w:szCs w:val="24"/>
        </w:rPr>
        <w:t>）</w:t>
      </w:r>
      <w:r>
        <w:rPr>
          <w:rFonts w:hint="eastAsia" w:ascii="宋体" w:hAnsi="宋体"/>
          <w:color w:val="auto"/>
          <w:sz w:val="24"/>
        </w:rPr>
        <w:t>；</w:t>
      </w:r>
    </w:p>
    <w:p>
      <w:pPr>
        <w:spacing w:line="440" w:lineRule="exact"/>
        <w:ind w:firstLine="480" w:firstLineChars="200"/>
        <w:rPr>
          <w:rFonts w:hint="eastAsia" w:ascii="宋体" w:hAnsi="宋体"/>
          <w:sz w:val="24"/>
        </w:rPr>
      </w:pPr>
      <w:r>
        <w:rPr>
          <w:rFonts w:hint="eastAsia" w:ascii="宋体" w:hAnsi="宋体"/>
          <w:sz w:val="24"/>
        </w:rPr>
        <w:t>（2）法律法规规定的其他情形。</w:t>
      </w:r>
    </w:p>
    <w:p>
      <w:pPr>
        <w:tabs>
          <w:tab w:val="left" w:pos="0"/>
        </w:tabs>
        <w:spacing w:line="500" w:lineRule="exact"/>
        <w:rPr>
          <w:rFonts w:hint="eastAsia" w:ascii="宋体" w:hAnsi="宋体"/>
          <w:sz w:val="24"/>
          <w:szCs w:val="24"/>
        </w:rPr>
      </w:pPr>
      <w:r>
        <w:rPr>
          <w:rFonts w:hint="eastAsia" w:ascii="宋体" w:hAnsi="宋体"/>
          <w:sz w:val="24"/>
          <w:szCs w:val="24"/>
        </w:rPr>
        <w:t>四、投标不足三家后续处理</w:t>
      </w:r>
    </w:p>
    <w:p>
      <w:pPr>
        <w:tabs>
          <w:tab w:val="left" w:pos="0"/>
        </w:tabs>
        <w:spacing w:line="500" w:lineRule="exact"/>
        <w:rPr>
          <w:rFonts w:hint="eastAsia" w:ascii="宋体" w:hAnsi="宋体"/>
          <w:sz w:val="24"/>
          <w:szCs w:val="24"/>
        </w:rPr>
      </w:pPr>
      <w:r>
        <w:rPr>
          <w:rFonts w:hint="eastAsia" w:ascii="宋体" w:hAnsi="宋体"/>
          <w:sz w:val="24"/>
          <w:szCs w:val="24"/>
        </w:rPr>
        <w:tab/>
      </w:r>
      <w:r>
        <w:rPr>
          <w:rFonts w:hint="eastAsia" w:ascii="宋体" w:hAnsi="宋体"/>
          <w:sz w:val="24"/>
          <w:szCs w:val="24"/>
        </w:rPr>
        <w:t>1、投标供应商不足三家的，评审专家须重点审查招标公告时间和程序是否符合规定，供应商资格条件、采购需求和评审标准是否存在</w:t>
      </w:r>
      <w:r>
        <w:rPr>
          <w:rFonts w:ascii="宋体" w:hAnsi="宋体"/>
          <w:sz w:val="24"/>
          <w:szCs w:val="24"/>
        </w:rPr>
        <w:t>不合理条款</w:t>
      </w:r>
      <w:r>
        <w:rPr>
          <w:rFonts w:hint="eastAsia" w:ascii="宋体" w:hAnsi="宋体"/>
          <w:sz w:val="24"/>
          <w:szCs w:val="24"/>
        </w:rPr>
        <w:t>，并出具审查意见和修改建议。存在不合理条款的，应按审查意见和建议修改招标文件后重新组织招标。没有不合理条款的，按以下原则处理：</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（1）单个标包预算金额不到公开招标数额标准：</w:t>
      </w:r>
      <w:r>
        <w:rPr>
          <w:rFonts w:hint="eastAsia" w:ascii="宋体" w:hAnsi="宋体"/>
          <w:sz w:val="24"/>
        </w:rPr>
        <w:t>2家供应商具有竞争性的，可以</w:t>
      </w:r>
      <w:r>
        <w:rPr>
          <w:rFonts w:hint="eastAsia"/>
          <w:sz w:val="24"/>
        </w:rPr>
        <w:t>根据</w:t>
      </w:r>
      <w:r>
        <w:rPr>
          <w:rFonts w:hint="eastAsia" w:ascii="宋体" w:hAnsi="宋体"/>
          <w:sz w:val="24"/>
        </w:rPr>
        <w:t>“浙财采监字[2007]2号”文件规定继续按原程序进行2家供应商评审，或者比照竞争性磋商（综合评分法适用），或者比照竞争性谈判（最低评标价法适用）；1家供应商可以进行单一来源采购</w:t>
      </w:r>
      <w:r>
        <w:rPr>
          <w:rFonts w:hint="eastAsia" w:ascii="宋体" w:hAnsi="宋体"/>
          <w:sz w:val="24"/>
          <w:szCs w:val="24"/>
        </w:rPr>
        <w:t>。</w:t>
      </w:r>
    </w:p>
    <w:p>
      <w:pPr>
        <w:spacing w:line="500" w:lineRule="exact"/>
        <w:ind w:firstLine="425"/>
        <w:rPr>
          <w:rFonts w:hint="eastAsia" w:ascii="宋体" w:hAnsi="宋体"/>
          <w:sz w:val="24"/>
          <w:szCs w:val="24"/>
        </w:rPr>
      </w:pPr>
      <w:r>
        <w:rPr>
          <w:rFonts w:hint="eastAsia" w:ascii="宋体" w:hAnsi="宋体"/>
          <w:sz w:val="24"/>
          <w:szCs w:val="24"/>
        </w:rPr>
        <w:t>（2）其他情形的，后续程序终止，除采购任务取消外，招标人将重新组织招标或依法经同级财政部门批准采取其他方式组织采购。</w:t>
      </w:r>
    </w:p>
    <w:p>
      <w:pPr>
        <w:spacing w:line="500" w:lineRule="exact"/>
        <w:ind w:firstLine="425"/>
        <w:rPr>
          <w:rFonts w:hint="eastAsia" w:ascii="宋体" w:hAnsi="宋体"/>
          <w:sz w:val="24"/>
          <w:szCs w:val="24"/>
        </w:rPr>
      </w:pPr>
      <w:r>
        <w:rPr>
          <w:rFonts w:hint="eastAsia" w:ascii="宋体" w:hAnsi="宋体"/>
          <w:sz w:val="24"/>
          <w:szCs w:val="24"/>
        </w:rPr>
        <w:t>2、竞争性谈判（磋商）程序：</w:t>
      </w:r>
    </w:p>
    <w:p>
      <w:pPr>
        <w:spacing w:line="500" w:lineRule="exact"/>
        <w:ind w:firstLine="425"/>
        <w:rPr>
          <w:rFonts w:hint="eastAsia" w:ascii="宋体" w:hAnsi="宋体"/>
          <w:sz w:val="24"/>
          <w:szCs w:val="24"/>
        </w:rPr>
      </w:pPr>
      <w:r>
        <w:rPr>
          <w:rFonts w:hint="eastAsia" w:ascii="宋体" w:hAnsi="宋体"/>
          <w:sz w:val="24"/>
          <w:szCs w:val="24"/>
        </w:rPr>
        <w:t>（1）招标项目的评审委员会转为竞争性谈判（磋商）的评审小组；</w:t>
      </w:r>
    </w:p>
    <w:p>
      <w:pPr>
        <w:spacing w:line="500" w:lineRule="exact"/>
        <w:ind w:firstLine="425"/>
        <w:rPr>
          <w:rFonts w:hint="eastAsia" w:ascii="宋体" w:hAnsi="宋体"/>
          <w:sz w:val="24"/>
          <w:szCs w:val="24"/>
        </w:rPr>
      </w:pPr>
      <w:r>
        <w:rPr>
          <w:rFonts w:hint="eastAsia" w:ascii="宋体" w:hAnsi="宋体"/>
          <w:sz w:val="24"/>
          <w:szCs w:val="24"/>
        </w:rPr>
        <w:t>（2）评审小组确认原招标文件为竞争性谈判（磋商）文件；</w:t>
      </w:r>
    </w:p>
    <w:p>
      <w:pPr>
        <w:spacing w:line="500" w:lineRule="exact"/>
        <w:ind w:firstLine="425"/>
        <w:rPr>
          <w:rFonts w:hint="eastAsia" w:ascii="宋体" w:hAnsi="宋体"/>
          <w:sz w:val="24"/>
          <w:szCs w:val="24"/>
        </w:rPr>
      </w:pPr>
      <w:r>
        <w:rPr>
          <w:rFonts w:hint="eastAsia" w:ascii="宋体" w:hAnsi="宋体"/>
          <w:sz w:val="24"/>
          <w:szCs w:val="24"/>
        </w:rPr>
        <w:t>（3）供应商的投标文件转为竞争性谈判（磋商）的首次响应文件；</w:t>
      </w:r>
    </w:p>
    <w:p>
      <w:pPr>
        <w:spacing w:line="500" w:lineRule="exact"/>
        <w:ind w:firstLine="425"/>
        <w:rPr>
          <w:rFonts w:hint="eastAsia" w:ascii="宋体" w:hAnsi="宋体"/>
          <w:sz w:val="24"/>
        </w:rPr>
      </w:pPr>
      <w:r>
        <w:rPr>
          <w:rFonts w:hint="eastAsia" w:ascii="宋体" w:hAnsi="宋体"/>
          <w:sz w:val="24"/>
          <w:szCs w:val="24"/>
        </w:rPr>
        <w:t>（4）评审小组</w:t>
      </w:r>
      <w:r>
        <w:rPr>
          <w:rFonts w:ascii="宋体" w:hAnsi="宋体"/>
          <w:sz w:val="24"/>
        </w:rPr>
        <w:t>所有成员应当集中与单一供应商分别进行谈判</w:t>
      </w:r>
      <w:r>
        <w:rPr>
          <w:rFonts w:hint="eastAsia" w:ascii="宋体" w:hAnsi="宋体"/>
          <w:sz w:val="24"/>
        </w:rPr>
        <w:t>（磋商）</w:t>
      </w:r>
      <w:r>
        <w:rPr>
          <w:rFonts w:ascii="宋体" w:hAnsi="宋体"/>
          <w:sz w:val="24"/>
        </w:rPr>
        <w:t>，并给予所有参加谈判</w:t>
      </w:r>
      <w:r>
        <w:rPr>
          <w:rFonts w:hint="eastAsia" w:ascii="宋体" w:hAnsi="宋体"/>
          <w:sz w:val="24"/>
        </w:rPr>
        <w:t>（磋商）</w:t>
      </w:r>
      <w:r>
        <w:rPr>
          <w:rFonts w:ascii="宋体" w:hAnsi="宋体"/>
          <w:sz w:val="24"/>
        </w:rPr>
        <w:t>的供应商平等的谈判</w:t>
      </w:r>
      <w:r>
        <w:rPr>
          <w:rFonts w:hint="eastAsia" w:ascii="宋体" w:hAnsi="宋体"/>
          <w:sz w:val="24"/>
        </w:rPr>
        <w:t>（磋商）</w:t>
      </w:r>
      <w:r>
        <w:rPr>
          <w:rFonts w:ascii="宋体" w:hAnsi="宋体"/>
          <w:sz w:val="24"/>
        </w:rPr>
        <w:t>机会</w:t>
      </w:r>
      <w:r>
        <w:rPr>
          <w:rFonts w:hint="eastAsia" w:ascii="宋体" w:hAnsi="宋体"/>
          <w:sz w:val="24"/>
        </w:rPr>
        <w:t>；</w:t>
      </w:r>
    </w:p>
    <w:p>
      <w:pPr>
        <w:spacing w:line="500" w:lineRule="exact"/>
        <w:ind w:firstLine="425"/>
        <w:rPr>
          <w:rFonts w:hint="eastAsia" w:ascii="宋体" w:hAnsi="宋体"/>
          <w:sz w:val="24"/>
        </w:rPr>
      </w:pPr>
      <w:r>
        <w:rPr>
          <w:rFonts w:hint="eastAsia" w:ascii="宋体" w:hAnsi="宋体"/>
          <w:sz w:val="24"/>
          <w:szCs w:val="24"/>
        </w:rPr>
        <w:t>（5）</w:t>
      </w:r>
      <w:r>
        <w:rPr>
          <w:rFonts w:ascii="宋体" w:hAnsi="宋体"/>
          <w:sz w:val="24"/>
        </w:rPr>
        <w:t>谈判</w:t>
      </w:r>
      <w:r>
        <w:rPr>
          <w:rFonts w:hint="eastAsia" w:ascii="宋体" w:hAnsi="宋体"/>
          <w:sz w:val="24"/>
        </w:rPr>
        <w:t>（磋商）</w:t>
      </w:r>
      <w:r>
        <w:rPr>
          <w:rFonts w:ascii="宋体" w:hAnsi="宋体"/>
          <w:sz w:val="24"/>
        </w:rPr>
        <w:t>结束后，</w:t>
      </w:r>
      <w:r>
        <w:rPr>
          <w:rFonts w:hint="eastAsia" w:ascii="宋体" w:hAnsi="宋体"/>
          <w:sz w:val="24"/>
        </w:rPr>
        <w:t>评审小组</w:t>
      </w:r>
      <w:r>
        <w:rPr>
          <w:rFonts w:ascii="宋体" w:hAnsi="宋体"/>
          <w:sz w:val="24"/>
        </w:rPr>
        <w:t>应当要求所有继续参加谈判的供应商在规定时间内提交最后报价</w:t>
      </w:r>
      <w:r>
        <w:rPr>
          <w:rFonts w:hint="eastAsia" w:ascii="宋体" w:hAnsi="宋体"/>
          <w:sz w:val="24"/>
        </w:rPr>
        <w:t>。</w:t>
      </w:r>
    </w:p>
    <w:p>
      <w:pPr>
        <w:spacing w:line="500" w:lineRule="exact"/>
        <w:ind w:firstLine="425"/>
        <w:rPr>
          <w:rFonts w:hint="eastAsia" w:ascii="宋体" w:hAnsi="宋体"/>
          <w:sz w:val="24"/>
          <w:szCs w:val="24"/>
        </w:rPr>
      </w:pPr>
      <w:r>
        <w:rPr>
          <w:rFonts w:hint="eastAsia" w:ascii="宋体" w:hAnsi="宋体"/>
          <w:sz w:val="24"/>
        </w:rPr>
        <w:t>（6）竞争性谈判按照最低评标价法确定成交供应商，竞争性磋商按照综合评分法确定成交供应商。</w:t>
      </w:r>
    </w:p>
    <w:p>
      <w:pPr>
        <w:spacing w:line="500" w:lineRule="exact"/>
        <w:ind w:firstLine="425"/>
        <w:rPr>
          <w:rFonts w:hint="eastAsia" w:ascii="宋体" w:hAnsi="宋体"/>
          <w:sz w:val="24"/>
          <w:szCs w:val="24"/>
        </w:rPr>
      </w:pPr>
      <w:r>
        <w:rPr>
          <w:rFonts w:hint="eastAsia" w:ascii="宋体" w:hAnsi="宋体"/>
          <w:sz w:val="24"/>
          <w:szCs w:val="24"/>
        </w:rPr>
        <w:t>3、单一来源采购程序：</w:t>
      </w:r>
    </w:p>
    <w:p>
      <w:pPr>
        <w:spacing w:line="500" w:lineRule="exact"/>
        <w:ind w:firstLine="425"/>
        <w:rPr>
          <w:rFonts w:hint="eastAsia" w:ascii="宋体" w:hAnsi="宋体"/>
          <w:sz w:val="24"/>
          <w:szCs w:val="24"/>
        </w:rPr>
      </w:pPr>
      <w:r>
        <w:rPr>
          <w:rFonts w:hint="eastAsia" w:ascii="宋体" w:hAnsi="宋体"/>
          <w:sz w:val="24"/>
          <w:szCs w:val="24"/>
        </w:rPr>
        <w:t>（1）招标项目的评审委员会转为单一来源采购的评审小组；</w:t>
      </w:r>
    </w:p>
    <w:p>
      <w:pPr>
        <w:spacing w:line="500" w:lineRule="exact"/>
        <w:ind w:firstLine="425"/>
        <w:rPr>
          <w:rFonts w:hint="eastAsia" w:ascii="宋体" w:hAnsi="宋体"/>
          <w:sz w:val="24"/>
          <w:szCs w:val="24"/>
        </w:rPr>
      </w:pPr>
      <w:r>
        <w:rPr>
          <w:rFonts w:hint="eastAsia" w:ascii="宋体" w:hAnsi="宋体"/>
          <w:sz w:val="24"/>
          <w:szCs w:val="24"/>
        </w:rPr>
        <w:t>（2）评审小组确认原招标文件为单一来源采购文件；</w:t>
      </w:r>
    </w:p>
    <w:p>
      <w:pPr>
        <w:spacing w:line="500" w:lineRule="exact"/>
        <w:ind w:firstLine="425"/>
        <w:rPr>
          <w:rFonts w:hint="eastAsia" w:ascii="宋体" w:hAnsi="宋体"/>
          <w:sz w:val="24"/>
          <w:szCs w:val="24"/>
        </w:rPr>
      </w:pPr>
      <w:r>
        <w:rPr>
          <w:rFonts w:hint="eastAsia" w:ascii="宋体" w:hAnsi="宋体"/>
          <w:sz w:val="24"/>
          <w:szCs w:val="24"/>
        </w:rPr>
        <w:t>（3）供应商的投标文件转为单一来源采购的首次响应文件；</w:t>
      </w:r>
    </w:p>
    <w:p>
      <w:pPr>
        <w:spacing w:line="440" w:lineRule="exact"/>
        <w:ind w:firstLine="480" w:firstLineChars="200"/>
        <w:rPr>
          <w:rFonts w:hint="eastAsia" w:ascii="宋体" w:hAnsi="宋体"/>
          <w:sz w:val="24"/>
        </w:rPr>
      </w:pPr>
      <w:r>
        <w:rPr>
          <w:rFonts w:hint="eastAsia" w:ascii="宋体" w:hAnsi="宋体"/>
          <w:sz w:val="24"/>
          <w:szCs w:val="24"/>
        </w:rPr>
        <w:t>（4）评审小组</w:t>
      </w:r>
      <w:r>
        <w:rPr>
          <w:rFonts w:ascii="宋体" w:hAnsi="宋体"/>
          <w:sz w:val="24"/>
        </w:rPr>
        <w:t>与供应商</w:t>
      </w:r>
      <w:r>
        <w:rPr>
          <w:rFonts w:hint="eastAsia" w:ascii="宋体" w:hAnsi="宋体"/>
          <w:sz w:val="24"/>
        </w:rPr>
        <w:t>协商确定合理的成交价格。</w:t>
      </w:r>
    </w:p>
    <w:p>
      <w:pPr>
        <w:spacing w:line="440" w:lineRule="exact"/>
        <w:rPr>
          <w:rFonts w:hint="eastAsia" w:ascii="宋体" w:hAnsi="宋体"/>
          <w:sz w:val="24"/>
        </w:rPr>
      </w:pPr>
      <w:r>
        <w:rPr>
          <w:rFonts w:hint="eastAsia" w:ascii="宋体" w:hAnsi="宋体"/>
          <w:sz w:val="24"/>
        </w:rPr>
        <w:t>五、评审程序</w:t>
      </w:r>
    </w:p>
    <w:p>
      <w:pPr>
        <w:spacing w:line="440" w:lineRule="exact"/>
        <w:ind w:firstLine="480" w:firstLineChars="200"/>
        <w:rPr>
          <w:rFonts w:hint="eastAsia" w:ascii="宋体" w:hAnsi="宋体"/>
          <w:sz w:val="24"/>
        </w:rPr>
      </w:pPr>
      <w:r>
        <w:rPr>
          <w:rFonts w:hint="eastAsia" w:ascii="宋体" w:hAnsi="宋体"/>
          <w:sz w:val="24"/>
        </w:rPr>
        <w:t>1、招标人工作人员按评审委员会名单核对评委身份，组织评委及监管等人员签到。</w:t>
      </w:r>
    </w:p>
    <w:p>
      <w:pPr>
        <w:spacing w:line="440" w:lineRule="exact"/>
        <w:ind w:firstLine="480" w:firstLineChars="200"/>
        <w:rPr>
          <w:rFonts w:hint="eastAsia" w:ascii="宋体" w:hAnsi="宋体"/>
          <w:sz w:val="24"/>
        </w:rPr>
      </w:pPr>
      <w:r>
        <w:rPr>
          <w:rFonts w:hint="eastAsia" w:ascii="宋体" w:hAnsi="宋体"/>
          <w:sz w:val="24"/>
        </w:rPr>
        <w:t>2、招标人工作人员宣布评审纪律，征询评委有无回避情形；</w:t>
      </w:r>
    </w:p>
    <w:p>
      <w:pPr>
        <w:spacing w:line="440" w:lineRule="exact"/>
        <w:ind w:firstLine="480" w:firstLineChars="200"/>
        <w:rPr>
          <w:rFonts w:hint="eastAsia" w:ascii="宋体" w:hAnsi="宋体"/>
          <w:sz w:val="24"/>
        </w:rPr>
      </w:pPr>
      <w:r>
        <w:rPr>
          <w:rFonts w:hint="eastAsia" w:ascii="宋体" w:hAnsi="宋体"/>
          <w:sz w:val="24"/>
        </w:rPr>
        <w:t>3、评审委员会确定评审组长，负责组织主持评审活动；</w:t>
      </w:r>
    </w:p>
    <w:p>
      <w:pPr>
        <w:spacing w:line="440" w:lineRule="exact"/>
        <w:ind w:firstLine="480" w:firstLineChars="200"/>
        <w:rPr>
          <w:rFonts w:hint="eastAsia" w:ascii="宋体" w:hAnsi="宋体"/>
          <w:sz w:val="24"/>
        </w:rPr>
      </w:pPr>
      <w:r>
        <w:rPr>
          <w:rFonts w:hint="eastAsia" w:ascii="宋体" w:hAnsi="宋体"/>
          <w:sz w:val="24"/>
        </w:rPr>
        <w:t>4、招标人工作人员对每个评委评审情况进行复核，有差错的、或</w:t>
      </w:r>
      <w:r>
        <w:rPr>
          <w:rFonts w:hint="eastAsia" w:ascii="宋体" w:hAnsi="宋体"/>
          <w:b/>
          <w:bCs/>
          <w:sz w:val="24"/>
        </w:rPr>
        <w:t>畸高畸低</w:t>
      </w:r>
      <w:r>
        <w:rPr>
          <w:rFonts w:hint="eastAsia" w:ascii="宋体" w:hAnsi="宋体"/>
          <w:sz w:val="24"/>
        </w:rPr>
        <w:t>的，提醒评委进行修正，评委拒绝修正的，提交评委会按少数服从多数原则集体决定，并记入评审记录内。情节严重的，报监管部门处理。</w:t>
      </w:r>
    </w:p>
    <w:p>
      <w:pPr>
        <w:spacing w:line="440" w:lineRule="exact"/>
        <w:ind w:firstLine="480" w:firstLineChars="200"/>
        <w:rPr>
          <w:rFonts w:hint="eastAsia" w:ascii="宋体" w:hAnsi="宋体"/>
          <w:sz w:val="24"/>
        </w:rPr>
      </w:pPr>
      <w:r>
        <w:rPr>
          <w:rFonts w:hint="eastAsia" w:ascii="宋体" w:hAnsi="宋体"/>
          <w:sz w:val="24"/>
        </w:rPr>
        <w:t>5、招标人工作人员协助做好价格分和评审情况的计算、汇总工作。</w:t>
      </w:r>
    </w:p>
    <w:p>
      <w:pPr>
        <w:spacing w:line="440" w:lineRule="exact"/>
        <w:ind w:firstLine="480" w:firstLineChars="200"/>
        <w:rPr>
          <w:rFonts w:hint="eastAsia" w:ascii="宋体" w:hAnsi="宋体"/>
          <w:sz w:val="24"/>
        </w:rPr>
      </w:pPr>
      <w:r>
        <w:rPr>
          <w:rFonts w:hint="eastAsia" w:ascii="宋体" w:hAnsi="宋体"/>
          <w:sz w:val="24"/>
        </w:rPr>
        <w:t>6、评审委员会形成评标报告，应由全体成员签字确认。有保留意见的可以在评标报告中申明，未申明且拒绝签字的视同默认评标报告并载明此情形。</w:t>
      </w:r>
    </w:p>
    <w:p>
      <w:pPr>
        <w:spacing w:line="440" w:lineRule="exact"/>
        <w:ind w:firstLine="480" w:firstLineChars="200"/>
        <w:rPr>
          <w:rFonts w:hint="eastAsia" w:ascii="宋体" w:hAnsi="宋体"/>
          <w:sz w:val="24"/>
        </w:rPr>
      </w:pPr>
      <w:r>
        <w:rPr>
          <w:rFonts w:hint="eastAsia" w:ascii="宋体" w:hAnsi="宋体"/>
          <w:sz w:val="24"/>
        </w:rPr>
        <w:t>7、招标人工作人员宣布会议结束。</w:t>
      </w:r>
    </w:p>
    <w:p>
      <w:pPr>
        <w:spacing w:line="440" w:lineRule="exact"/>
        <w:rPr>
          <w:rFonts w:ascii="宋体" w:hAnsi="宋体"/>
          <w:sz w:val="24"/>
        </w:rPr>
      </w:pPr>
      <w:r>
        <w:rPr>
          <w:rFonts w:hint="eastAsia" w:ascii="宋体" w:hAnsi="宋体"/>
          <w:sz w:val="24"/>
        </w:rPr>
        <w:t>六、评标方法</w:t>
      </w:r>
    </w:p>
    <w:p>
      <w:pPr>
        <w:spacing w:line="440" w:lineRule="exact"/>
        <w:ind w:firstLine="560"/>
        <w:rPr>
          <w:rFonts w:ascii="宋体" w:hAnsi="宋体"/>
          <w:sz w:val="24"/>
        </w:rPr>
      </w:pPr>
      <w:r>
        <w:rPr>
          <w:rFonts w:hint="eastAsia" w:ascii="宋体" w:hAnsi="宋体"/>
          <w:sz w:val="24"/>
        </w:rPr>
        <w:t>以招标文件要求为基础，考虑各项相关因素的影响，将相关因素以定量计算的方法转换成分数表示形式，以</w:t>
      </w:r>
      <w:r>
        <w:rPr>
          <w:rFonts w:ascii="宋体" w:hAnsi="宋体"/>
          <w:sz w:val="24"/>
        </w:rPr>
        <w:t>评标</w:t>
      </w:r>
      <w:r>
        <w:rPr>
          <w:rFonts w:hint="eastAsia" w:ascii="宋体" w:hAnsi="宋体"/>
          <w:sz w:val="24"/>
        </w:rPr>
        <w:t>得</w:t>
      </w:r>
      <w:r>
        <w:rPr>
          <w:rFonts w:ascii="宋体" w:hAnsi="宋体"/>
          <w:sz w:val="24"/>
        </w:rPr>
        <w:t>分</w:t>
      </w:r>
      <w:r>
        <w:rPr>
          <w:rFonts w:hint="eastAsia" w:ascii="宋体" w:hAnsi="宋体"/>
          <w:sz w:val="24"/>
        </w:rPr>
        <w:t>高低</w:t>
      </w:r>
      <w:r>
        <w:rPr>
          <w:rFonts w:ascii="宋体" w:hAnsi="宋体"/>
          <w:sz w:val="24"/>
        </w:rPr>
        <w:t>确定评标结果顺序。</w:t>
      </w:r>
    </w:p>
    <w:p>
      <w:pPr>
        <w:spacing w:line="440" w:lineRule="exact"/>
        <w:rPr>
          <w:rFonts w:ascii="宋体" w:hAnsi="宋体"/>
          <w:sz w:val="24"/>
        </w:rPr>
      </w:pPr>
      <w:r>
        <w:rPr>
          <w:rFonts w:ascii="宋体" w:hAnsi="宋体"/>
          <w:sz w:val="24"/>
        </w:rPr>
        <w:t xml:space="preserve">    </w:t>
      </w:r>
      <w:r>
        <w:rPr>
          <w:rFonts w:hint="eastAsia" w:ascii="宋体" w:hAnsi="宋体"/>
          <w:sz w:val="24"/>
        </w:rPr>
        <w:t>本次招标的评标采用综合评分法。</w:t>
      </w:r>
    </w:p>
    <w:p>
      <w:pPr>
        <w:spacing w:line="440" w:lineRule="exact"/>
        <w:rPr>
          <w:rFonts w:ascii="宋体" w:hAnsi="宋体"/>
          <w:sz w:val="24"/>
        </w:rPr>
      </w:pPr>
      <w:r>
        <w:rPr>
          <w:rFonts w:ascii="宋体" w:hAnsi="宋体"/>
          <w:sz w:val="24"/>
        </w:rPr>
        <w:t xml:space="preserve">    </w:t>
      </w:r>
      <w:r>
        <w:rPr>
          <w:rFonts w:hint="eastAsia" w:ascii="宋体" w:hAnsi="宋体"/>
          <w:sz w:val="24"/>
        </w:rPr>
        <w:t>综合评分法：根据本项目招标文件的要求，按照本办法规定的内容和分值设置，对投标人的投标文件进行评分，最终得出该投标的总分；按评估分自高向低次序排出评标结果排序。</w:t>
      </w:r>
    </w:p>
    <w:p>
      <w:pPr>
        <w:spacing w:line="440" w:lineRule="exact"/>
        <w:rPr>
          <w:rFonts w:ascii="宋体" w:hAnsi="宋体"/>
          <w:sz w:val="24"/>
        </w:rPr>
      </w:pPr>
      <w:r>
        <w:rPr>
          <w:rFonts w:hint="eastAsia" w:ascii="宋体" w:hAnsi="宋体"/>
          <w:sz w:val="24"/>
        </w:rPr>
        <w:t>七、评标细则</w:t>
      </w:r>
    </w:p>
    <w:p>
      <w:pPr>
        <w:spacing w:line="440" w:lineRule="exact"/>
        <w:ind w:firstLine="480"/>
        <w:rPr>
          <w:rFonts w:ascii="宋体" w:hAnsi="宋体"/>
          <w:sz w:val="24"/>
        </w:rPr>
      </w:pPr>
      <w:r>
        <w:rPr>
          <w:rFonts w:hint="eastAsia" w:ascii="宋体" w:hAnsi="宋体"/>
          <w:sz w:val="24"/>
        </w:rPr>
        <w:t>首先根据招标文件的完整性、有效性及资格等方面进行审查，通过审查的投标文件才能进入综合比较与评议。</w:t>
      </w:r>
    </w:p>
    <w:p>
      <w:pPr>
        <w:spacing w:line="440" w:lineRule="exact"/>
        <w:ind w:firstLine="480" w:firstLineChars="200"/>
        <w:rPr>
          <w:rFonts w:ascii="宋体" w:hAnsi="宋体"/>
          <w:sz w:val="24"/>
        </w:rPr>
      </w:pPr>
    </w:p>
    <w:p>
      <w:pPr>
        <w:spacing w:line="440" w:lineRule="exact"/>
        <w:ind w:firstLine="480" w:firstLineChars="200"/>
      </w:pPr>
      <w:r>
        <w:rPr>
          <w:rFonts w:ascii="宋体" w:hAnsi="宋体"/>
          <w:sz w:val="24"/>
        </w:rPr>
        <w:t xml:space="preserve">(一) </w:t>
      </w:r>
      <w:r>
        <w:rPr>
          <w:rFonts w:hint="eastAsia" w:ascii="宋体" w:hAnsi="宋体"/>
          <w:sz w:val="24"/>
        </w:rPr>
        <w:t>评分标准</w:t>
      </w:r>
    </w:p>
    <w:p>
      <w:pPr>
        <w:pStyle w:val="5"/>
      </w:pPr>
    </w:p>
    <w:p>
      <w:pPr>
        <w:ind w:firstLine="480" w:firstLineChars="200"/>
        <w:rPr>
          <w:rFonts w:hint="eastAsia"/>
          <w:b/>
          <w:bCs/>
        </w:rPr>
      </w:pPr>
      <w:r>
        <w:rPr>
          <w:rFonts w:hint="eastAsia" w:ascii="宋体"/>
          <w:sz w:val="24"/>
        </w:rPr>
        <w:t>评分表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339"/>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699" w:type="dxa"/>
            <w:gridSpan w:val="3"/>
            <w:noWrap w:val="0"/>
            <w:vAlign w:val="center"/>
          </w:tcPr>
          <w:p>
            <w:pPr>
              <w:spacing w:line="360" w:lineRule="auto"/>
              <w:rPr>
                <w:rFonts w:ascii="宋体" w:hAnsi="宋体" w:cs="宋体"/>
                <w:color w:val="auto"/>
                <w:sz w:val="24"/>
              </w:rPr>
            </w:pPr>
            <w:r>
              <w:rPr>
                <w:rFonts w:hint="eastAsia" w:ascii="宋体" w:hAnsi="宋体" w:cs="宋体"/>
                <w:color w:val="auto"/>
                <w:sz w:val="24"/>
              </w:rPr>
              <w:t>评分内容和标准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699" w:type="dxa"/>
            <w:gridSpan w:val="3"/>
            <w:noWrap w:val="0"/>
            <w:vAlign w:val="center"/>
          </w:tcPr>
          <w:p>
            <w:pPr>
              <w:spacing w:line="360" w:lineRule="auto"/>
              <w:rPr>
                <w:rFonts w:ascii="宋体" w:hAnsi="宋体" w:cs="宋体"/>
                <w:color w:val="auto"/>
                <w:sz w:val="24"/>
              </w:rPr>
            </w:pPr>
            <w:r>
              <w:rPr>
                <w:rFonts w:hint="eastAsia" w:ascii="宋体" w:hAnsi="宋体" w:cs="宋体"/>
                <w:color w:val="auto"/>
                <w:sz w:val="24"/>
              </w:rPr>
              <w:t>资信技术分</w:t>
            </w:r>
            <w:r>
              <w:rPr>
                <w:rFonts w:ascii="宋体" w:hAnsi="宋体" w:cs="宋体"/>
                <w:color w:val="auto"/>
                <w:sz w:val="24"/>
              </w:rPr>
              <w:t>7</w:t>
            </w:r>
            <w:r>
              <w:rPr>
                <w:rFonts w:hint="eastAsia" w:ascii="宋体" w:hAnsi="宋体" w:cs="宋体"/>
                <w:color w:val="auto"/>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443" w:type="dxa"/>
            <w:gridSpan w:val="2"/>
            <w:vMerge w:val="restart"/>
            <w:noWrap w:val="0"/>
            <w:vAlign w:val="center"/>
          </w:tcPr>
          <w:p>
            <w:pPr>
              <w:rPr>
                <w:color w:val="auto"/>
                <w:sz w:val="24"/>
              </w:rPr>
            </w:pPr>
            <w:r>
              <w:rPr>
                <w:rFonts w:hint="eastAsia"/>
                <w:color w:val="auto"/>
                <w:sz w:val="24"/>
              </w:rPr>
              <w:t>1、制造商</w:t>
            </w:r>
            <w:r>
              <w:rPr>
                <w:rFonts w:hint="eastAsia"/>
                <w:color w:val="auto"/>
                <w:szCs w:val="21"/>
              </w:rPr>
              <w:t>综合</w:t>
            </w:r>
            <w:r>
              <w:rPr>
                <w:rFonts w:hint="eastAsia"/>
                <w:color w:val="auto"/>
                <w:sz w:val="24"/>
              </w:rPr>
              <w:t>实力（</w:t>
            </w:r>
            <w:r>
              <w:rPr>
                <w:rFonts w:hint="eastAsia"/>
                <w:color w:val="auto"/>
                <w:sz w:val="24"/>
                <w:lang w:val="en-US" w:eastAsia="zh-CN"/>
              </w:rPr>
              <w:t>10</w:t>
            </w:r>
            <w:r>
              <w:rPr>
                <w:rFonts w:hint="eastAsia"/>
                <w:color w:val="auto"/>
                <w:sz w:val="24"/>
              </w:rPr>
              <w:t>分）</w:t>
            </w:r>
          </w:p>
        </w:tc>
        <w:tc>
          <w:tcPr>
            <w:tcW w:w="7256" w:type="dxa"/>
            <w:noWrap w:val="0"/>
            <w:vAlign w:val="center"/>
          </w:tcPr>
          <w:p>
            <w:pPr>
              <w:tabs>
                <w:tab w:val="left" w:pos="4492"/>
              </w:tabs>
              <w:spacing w:line="300" w:lineRule="exact"/>
              <w:rPr>
                <w:color w:val="auto"/>
                <w:sz w:val="24"/>
              </w:rPr>
            </w:pPr>
            <w:r>
              <w:rPr>
                <w:rFonts w:hint="eastAsia"/>
                <w:color w:val="auto"/>
                <w:sz w:val="24"/>
              </w:rPr>
              <w:t>投标产品制造商的产品研发设计标准、生产制造标准、零部件采购标准、工艺制作标准、品质认定标准、工程设计安装服务标准进行综合评议。满分</w:t>
            </w:r>
            <w:r>
              <w:rPr>
                <w:rFonts w:hint="eastAsia"/>
                <w:color w:val="auto"/>
                <w:sz w:val="24"/>
                <w:lang w:val="en-US" w:eastAsia="zh-CN"/>
              </w:rPr>
              <w:t>6</w:t>
            </w:r>
            <w:r>
              <w:rPr>
                <w:rFonts w:hint="eastAsia"/>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443" w:type="dxa"/>
            <w:gridSpan w:val="2"/>
            <w:vMerge w:val="continue"/>
            <w:noWrap w:val="0"/>
            <w:vAlign w:val="center"/>
          </w:tcPr>
          <w:p>
            <w:pPr>
              <w:rPr>
                <w:color w:val="auto"/>
                <w:sz w:val="24"/>
              </w:rPr>
            </w:pPr>
          </w:p>
        </w:tc>
        <w:tc>
          <w:tcPr>
            <w:tcW w:w="7256" w:type="dxa"/>
            <w:noWrap w:val="0"/>
            <w:vAlign w:val="center"/>
          </w:tcPr>
          <w:p>
            <w:pPr>
              <w:pStyle w:val="3"/>
              <w:widowControl/>
              <w:tabs>
                <w:tab w:val="left" w:pos="420"/>
              </w:tabs>
              <w:autoSpaceDE w:val="0"/>
              <w:autoSpaceDN w:val="0"/>
              <w:spacing w:line="320" w:lineRule="exact"/>
              <w:ind w:firstLine="0"/>
              <w:textAlignment w:val="bottom"/>
              <w:rPr>
                <w:rFonts w:eastAsia="宋体"/>
                <w:color w:val="auto"/>
                <w:sz w:val="24"/>
                <w:szCs w:val="22"/>
              </w:rPr>
            </w:pPr>
            <w:r>
              <w:rPr>
                <w:rFonts w:hint="eastAsia" w:eastAsia="宋体"/>
                <w:color w:val="auto"/>
                <w:sz w:val="24"/>
                <w:szCs w:val="24"/>
              </w:rPr>
              <w:t>投标产品制造商具有有效的质量管理体系认证证书、环境管理体系认证证书、职业健康安全管理体系认证证书，知识产权管理认证证书。每提供一个得1分，</w:t>
            </w:r>
            <w:r>
              <w:rPr>
                <w:rFonts w:hint="eastAsia" w:eastAsia="宋体"/>
                <w:color w:val="auto"/>
                <w:sz w:val="24"/>
                <w:szCs w:val="22"/>
              </w:rPr>
              <w:t>满分</w:t>
            </w:r>
            <w:r>
              <w:rPr>
                <w:rFonts w:eastAsia="宋体"/>
                <w:color w:val="auto"/>
                <w:sz w:val="24"/>
                <w:szCs w:val="22"/>
              </w:rPr>
              <w:t>4</w:t>
            </w:r>
            <w:r>
              <w:rPr>
                <w:rFonts w:hint="eastAsia" w:eastAsia="宋体"/>
                <w:color w:val="auto"/>
                <w:sz w:val="24"/>
                <w:szCs w:val="22"/>
              </w:rPr>
              <w:t>分。</w:t>
            </w:r>
          </w:p>
          <w:p>
            <w:pPr>
              <w:pStyle w:val="3"/>
              <w:widowControl/>
              <w:tabs>
                <w:tab w:val="left" w:pos="420"/>
              </w:tabs>
              <w:autoSpaceDE w:val="0"/>
              <w:autoSpaceDN w:val="0"/>
              <w:spacing w:line="320" w:lineRule="exact"/>
              <w:ind w:firstLine="0"/>
              <w:textAlignment w:val="bottom"/>
              <w:rPr>
                <w:rFonts w:eastAsia="宋体"/>
                <w:color w:val="auto"/>
                <w:sz w:val="24"/>
                <w:szCs w:val="22"/>
              </w:rPr>
            </w:pPr>
            <w:r>
              <w:rPr>
                <w:rFonts w:hint="eastAsia" w:eastAsia="宋体"/>
                <w:color w:val="auto"/>
                <w:sz w:val="24"/>
                <w:szCs w:val="24"/>
              </w:rPr>
              <w:t>（投标文件中提供相关证书原件的扫描件，未提供不得分，原件备查。）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443" w:type="dxa"/>
            <w:gridSpan w:val="2"/>
            <w:noWrap w:val="0"/>
            <w:vAlign w:val="center"/>
          </w:tcPr>
          <w:p>
            <w:pPr>
              <w:rPr>
                <w:color w:val="auto"/>
                <w:sz w:val="24"/>
              </w:rPr>
            </w:pPr>
            <w:r>
              <w:rPr>
                <w:rFonts w:hint="eastAsia"/>
                <w:color w:val="auto"/>
                <w:sz w:val="24"/>
              </w:rPr>
              <w:t>2、设备技术规格要求响应情况（</w:t>
            </w:r>
            <w:r>
              <w:rPr>
                <w:color w:val="auto"/>
                <w:sz w:val="24"/>
              </w:rPr>
              <w:t>20</w:t>
            </w:r>
            <w:r>
              <w:rPr>
                <w:rFonts w:hint="eastAsia"/>
                <w:color w:val="auto"/>
                <w:sz w:val="24"/>
              </w:rPr>
              <w:t>分）</w:t>
            </w:r>
          </w:p>
        </w:tc>
        <w:tc>
          <w:tcPr>
            <w:tcW w:w="7256" w:type="dxa"/>
            <w:noWrap w:val="0"/>
            <w:vAlign w:val="center"/>
          </w:tcPr>
          <w:p>
            <w:pPr>
              <w:rPr>
                <w:color w:val="auto"/>
                <w:sz w:val="24"/>
              </w:rPr>
            </w:pPr>
            <w:r>
              <w:rPr>
                <w:rFonts w:hint="eastAsia"/>
                <w:color w:val="auto"/>
                <w:sz w:val="24"/>
              </w:rPr>
              <w:t>根据投标产品技术规格响应情况进行评定。完全响应招标文件技术要求的，得2</w:t>
            </w:r>
            <w:r>
              <w:rPr>
                <w:color w:val="auto"/>
                <w:sz w:val="24"/>
              </w:rPr>
              <w:t>0</w:t>
            </w:r>
            <w:r>
              <w:rPr>
                <w:rFonts w:hint="eastAsia"/>
                <w:color w:val="auto"/>
                <w:sz w:val="24"/>
              </w:rPr>
              <w:t>分。</w:t>
            </w:r>
            <w:r>
              <w:rPr>
                <w:rFonts w:hint="eastAsia"/>
                <w:color w:val="auto"/>
                <w:sz w:val="24"/>
                <w:lang w:eastAsia="zh-CN"/>
              </w:rPr>
              <w:t>非标“</w:t>
            </w:r>
            <w:r>
              <w:rPr>
                <w:rFonts w:hint="eastAsia" w:ascii="宋体" w:hAnsi="宋体"/>
                <w:b/>
                <w:color w:val="auto"/>
              </w:rPr>
              <w:t>★</w:t>
            </w:r>
            <w:r>
              <w:rPr>
                <w:rFonts w:hint="eastAsia"/>
                <w:color w:val="auto"/>
                <w:sz w:val="24"/>
                <w:lang w:eastAsia="zh-CN"/>
              </w:rPr>
              <w:t>”</w:t>
            </w:r>
            <w:r>
              <w:rPr>
                <w:rFonts w:hint="eastAsia"/>
                <w:color w:val="auto"/>
                <w:sz w:val="24"/>
                <w:szCs w:val="22"/>
                <w:lang w:eastAsia="zh-CN"/>
              </w:rPr>
              <w:t>号的</w:t>
            </w:r>
            <w:r>
              <w:rPr>
                <w:rFonts w:hint="eastAsia"/>
                <w:color w:val="auto"/>
                <w:sz w:val="24"/>
              </w:rPr>
              <w:t>技术指标每一项负偏离扣1分，满分20分，扣完为止。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2443" w:type="dxa"/>
            <w:gridSpan w:val="2"/>
            <w:noWrap w:val="0"/>
            <w:vAlign w:val="center"/>
          </w:tcPr>
          <w:p>
            <w:pPr>
              <w:rPr>
                <w:color w:val="auto"/>
                <w:sz w:val="24"/>
              </w:rPr>
            </w:pPr>
            <w:r>
              <w:rPr>
                <w:rFonts w:hint="eastAsia"/>
                <w:color w:val="auto"/>
                <w:sz w:val="24"/>
              </w:rPr>
              <w:t>3、安装、调试、验收的方案和措施（5分）</w:t>
            </w:r>
          </w:p>
        </w:tc>
        <w:tc>
          <w:tcPr>
            <w:tcW w:w="7256" w:type="dxa"/>
            <w:noWrap w:val="0"/>
            <w:vAlign w:val="center"/>
          </w:tcPr>
          <w:p>
            <w:pPr>
              <w:rPr>
                <w:color w:val="auto"/>
                <w:sz w:val="24"/>
              </w:rPr>
            </w:pPr>
            <w:r>
              <w:rPr>
                <w:rFonts w:hint="eastAsia"/>
                <w:color w:val="auto"/>
                <w:sz w:val="24"/>
              </w:rPr>
              <w:t>根据投标人安装、调试、验收的方案和措施的科学性、合理性、可操作性等情况进行评议。满分5分。</w:t>
            </w:r>
          </w:p>
          <w:p>
            <w:pPr>
              <w:rPr>
                <w:color w:val="auto"/>
                <w:sz w:val="24"/>
              </w:rPr>
            </w:pPr>
            <w:r>
              <w:rPr>
                <w:rFonts w:hint="eastAsia"/>
                <w:color w:val="auto"/>
                <w:sz w:val="24"/>
              </w:rPr>
              <w:t>（</w:t>
            </w:r>
            <w:r>
              <w:rPr>
                <w:rFonts w:hint="eastAsia"/>
                <w:color w:val="auto"/>
                <w:sz w:val="24"/>
                <w:szCs w:val="22"/>
              </w:rPr>
              <w:t>内容齐全、完整，操作性强，科学、合理的得5-3分，内容基本完整、操作性及合理性较为一般的得3-1分，内容不齐全、混乱，不能很好符合项目实际开展的得1-0分。）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04" w:type="dxa"/>
            <w:vMerge w:val="restart"/>
            <w:noWrap w:val="0"/>
            <w:vAlign w:val="center"/>
          </w:tcPr>
          <w:p>
            <w:pPr>
              <w:spacing w:line="360" w:lineRule="auto"/>
              <w:rPr>
                <w:i/>
                <w:iCs/>
                <w:color w:val="auto"/>
                <w:sz w:val="24"/>
              </w:rPr>
            </w:pPr>
            <w:r>
              <w:rPr>
                <w:rFonts w:hint="eastAsia"/>
                <w:i w:val="0"/>
                <w:iCs w:val="0"/>
                <w:color w:val="auto"/>
                <w:sz w:val="24"/>
              </w:rPr>
              <w:t>4、VRF多联机部分</w:t>
            </w:r>
            <w:r>
              <w:rPr>
                <w:rFonts w:hint="eastAsia"/>
                <w:i/>
                <w:iCs/>
                <w:color w:val="auto"/>
                <w:sz w:val="24"/>
              </w:rPr>
              <w:t>（2</w:t>
            </w:r>
            <w:r>
              <w:rPr>
                <w:rFonts w:hint="eastAsia"/>
                <w:i/>
                <w:iCs/>
                <w:color w:val="auto"/>
                <w:sz w:val="24"/>
                <w:lang w:val="en-US" w:eastAsia="zh-CN"/>
              </w:rPr>
              <w:t>5</w:t>
            </w:r>
            <w:r>
              <w:rPr>
                <w:rFonts w:hint="eastAsia"/>
                <w:i/>
                <w:iCs/>
                <w:color w:val="auto"/>
                <w:sz w:val="24"/>
              </w:rPr>
              <w:t>）</w:t>
            </w:r>
          </w:p>
        </w:tc>
        <w:tc>
          <w:tcPr>
            <w:tcW w:w="1339" w:type="dxa"/>
            <w:noWrap w:val="0"/>
            <w:vAlign w:val="center"/>
          </w:tcPr>
          <w:p>
            <w:pPr>
              <w:rPr>
                <w:color w:val="auto"/>
                <w:sz w:val="24"/>
              </w:rPr>
            </w:pPr>
            <w:r>
              <w:rPr>
                <w:rFonts w:hint="eastAsia"/>
                <w:color w:val="auto"/>
                <w:sz w:val="24"/>
              </w:rPr>
              <w:t>多联机性能（5分）</w:t>
            </w:r>
          </w:p>
        </w:tc>
        <w:tc>
          <w:tcPr>
            <w:tcW w:w="7256" w:type="dxa"/>
            <w:noWrap w:val="0"/>
            <w:vAlign w:val="center"/>
          </w:tcPr>
          <w:p>
            <w:pPr>
              <w:autoSpaceDE w:val="0"/>
              <w:autoSpaceDN w:val="0"/>
              <w:adjustRightInd w:val="0"/>
              <w:rPr>
                <w:color w:val="auto"/>
                <w:sz w:val="24"/>
                <w:szCs w:val="22"/>
              </w:rPr>
            </w:pPr>
            <w:r>
              <w:rPr>
                <w:rFonts w:hint="eastAsia"/>
                <w:color w:val="auto"/>
                <w:sz w:val="24"/>
                <w:szCs w:val="22"/>
              </w:rPr>
              <w:t>所投多联机产品低功耗待机、室外机断电记忆、停电再启、火警联动、自动分配地址、故障代码显示、抑制高次谐波及电器噪音、智能化霜、智能节电、防雷击等性能进行评审，投标人可自行提供所投产品室外机的10个最佳性能，提供各类相关参数及性能情况进行介绍说明，</w:t>
            </w:r>
            <w:r>
              <w:rPr>
                <w:rFonts w:hint="eastAsia"/>
                <w:color w:val="auto"/>
                <w:sz w:val="24"/>
                <w:szCs w:val="22"/>
                <w:lang w:eastAsia="zh-CN"/>
              </w:rPr>
              <w:t>提供一个得</w:t>
            </w:r>
            <w:r>
              <w:rPr>
                <w:rFonts w:hint="eastAsia"/>
                <w:color w:val="auto"/>
                <w:sz w:val="24"/>
                <w:szCs w:val="22"/>
                <w:lang w:val="en-US" w:eastAsia="zh-CN"/>
              </w:rPr>
              <w:t>0.5分，</w:t>
            </w:r>
            <w:r>
              <w:rPr>
                <w:rFonts w:hint="eastAsia"/>
                <w:color w:val="auto"/>
                <w:sz w:val="24"/>
                <w:szCs w:val="22"/>
              </w:rPr>
              <w:t>满分5分。</w:t>
            </w:r>
          </w:p>
          <w:p>
            <w:pPr>
              <w:autoSpaceDE w:val="0"/>
              <w:autoSpaceDN w:val="0"/>
              <w:adjustRightInd w:val="0"/>
              <w:rPr>
                <w:color w:val="auto"/>
              </w:rPr>
            </w:pPr>
            <w:r>
              <w:rPr>
                <w:rFonts w:hint="eastAsia"/>
                <w:color w:val="auto"/>
                <w:sz w:val="24"/>
              </w:rPr>
              <w:t>（投标文件中提</w:t>
            </w:r>
            <w:r>
              <w:rPr>
                <w:rFonts w:hint="eastAsia"/>
                <w:color w:val="auto"/>
                <w:sz w:val="24"/>
                <w:szCs w:val="22"/>
              </w:rPr>
              <w:t>供</w:t>
            </w:r>
            <w:r>
              <w:rPr>
                <w:rFonts w:hint="eastAsia"/>
                <w:color w:val="auto"/>
                <w:sz w:val="24"/>
                <w:szCs w:val="22"/>
                <w:lang w:eastAsia="zh-CN"/>
              </w:rPr>
              <w:t>第三方检测报告</w:t>
            </w:r>
            <w:r>
              <w:rPr>
                <w:rFonts w:hint="eastAsia"/>
                <w:color w:val="auto"/>
                <w:sz w:val="24"/>
                <w:lang w:eastAsia="zh-CN"/>
              </w:rPr>
              <w:t>原件（加盖制造商公章）的</w:t>
            </w:r>
            <w:r>
              <w:rPr>
                <w:rFonts w:hint="eastAsia"/>
                <w:color w:val="auto"/>
                <w:sz w:val="24"/>
              </w:rPr>
              <w:t>扫描件，未提供不得分，原件备查。）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04" w:type="dxa"/>
            <w:vMerge w:val="continue"/>
            <w:noWrap w:val="0"/>
            <w:vAlign w:val="center"/>
          </w:tcPr>
          <w:p>
            <w:pPr>
              <w:spacing w:line="360" w:lineRule="auto"/>
              <w:rPr>
                <w:color w:val="auto"/>
                <w:sz w:val="24"/>
              </w:rPr>
            </w:pPr>
          </w:p>
        </w:tc>
        <w:tc>
          <w:tcPr>
            <w:tcW w:w="1339" w:type="dxa"/>
            <w:noWrap w:val="0"/>
            <w:vAlign w:val="center"/>
          </w:tcPr>
          <w:p>
            <w:pPr>
              <w:rPr>
                <w:color w:val="auto"/>
                <w:sz w:val="24"/>
              </w:rPr>
            </w:pPr>
            <w:r>
              <w:rPr>
                <w:rFonts w:hint="eastAsia"/>
                <w:color w:val="auto"/>
                <w:sz w:val="24"/>
              </w:rPr>
              <w:t>室内机性能（4分）</w:t>
            </w:r>
          </w:p>
        </w:tc>
        <w:tc>
          <w:tcPr>
            <w:tcW w:w="7256" w:type="dxa"/>
            <w:noWrap w:val="0"/>
            <w:vAlign w:val="center"/>
          </w:tcPr>
          <w:p>
            <w:pPr>
              <w:pStyle w:val="64"/>
              <w:rPr>
                <w:rFonts w:ascii="Times New Roman" w:hAnsi="Times New Roman" w:cs="Times New Roman"/>
                <w:color w:val="auto"/>
                <w:kern w:val="2"/>
                <w:szCs w:val="22"/>
              </w:rPr>
            </w:pPr>
            <w:r>
              <w:rPr>
                <w:rFonts w:hint="eastAsia" w:ascii="Times New Roman" w:hAnsi="Times New Roman" w:cs="Times New Roman"/>
                <w:color w:val="auto"/>
                <w:kern w:val="2"/>
                <w:szCs w:val="22"/>
              </w:rPr>
              <w:t>由评委对所投产品室内机耗电指标、噪音指标、温度控制能力、智能风量调节能力进行评议。满分</w:t>
            </w:r>
            <w:r>
              <w:rPr>
                <w:rFonts w:ascii="Times New Roman" w:hAnsi="Times New Roman" w:cs="Times New Roman"/>
                <w:color w:val="auto"/>
                <w:kern w:val="2"/>
                <w:szCs w:val="22"/>
              </w:rPr>
              <w:t>4</w:t>
            </w:r>
            <w:r>
              <w:rPr>
                <w:rFonts w:hint="eastAsia" w:ascii="Times New Roman" w:hAnsi="Times New Roman" w:cs="Times New Roman"/>
                <w:color w:val="auto"/>
                <w:kern w:val="2"/>
                <w:szCs w:val="22"/>
              </w:rPr>
              <w:t>分。</w:t>
            </w:r>
          </w:p>
          <w:p>
            <w:pPr>
              <w:pStyle w:val="64"/>
              <w:rPr>
                <w:rFonts w:ascii="Times New Roman" w:hAnsi="Times New Roman" w:cs="Times New Roman"/>
                <w:color w:val="auto"/>
                <w:kern w:val="2"/>
                <w:szCs w:val="22"/>
              </w:rPr>
            </w:pPr>
            <w:r>
              <w:rPr>
                <w:rFonts w:hint="eastAsia"/>
                <w:color w:val="auto"/>
                <w:sz w:val="24"/>
              </w:rPr>
              <w:t>（投标文件中</w:t>
            </w:r>
            <w:r>
              <w:rPr>
                <w:rFonts w:hint="eastAsia"/>
                <w:color w:val="auto"/>
                <w:sz w:val="24"/>
                <w:lang w:eastAsia="zh-CN"/>
              </w:rPr>
              <w:t>同时</w:t>
            </w:r>
            <w:r>
              <w:rPr>
                <w:rFonts w:hint="eastAsia"/>
                <w:color w:val="auto"/>
                <w:sz w:val="24"/>
              </w:rPr>
              <w:t>提</w:t>
            </w:r>
            <w:r>
              <w:rPr>
                <w:rFonts w:hint="eastAsia"/>
                <w:color w:val="auto"/>
                <w:sz w:val="24"/>
                <w:szCs w:val="22"/>
              </w:rPr>
              <w:t>供</w:t>
            </w:r>
            <w:r>
              <w:rPr>
                <w:rFonts w:hint="eastAsia"/>
                <w:color w:val="auto"/>
                <w:sz w:val="24"/>
                <w:szCs w:val="22"/>
                <w:lang w:val="en-US" w:eastAsia="zh-CN"/>
              </w:rPr>
              <w:t>样本原件</w:t>
            </w:r>
            <w:r>
              <w:rPr>
                <w:rFonts w:hint="eastAsia"/>
                <w:color w:val="auto"/>
                <w:sz w:val="24"/>
                <w:lang w:eastAsia="zh-CN"/>
              </w:rPr>
              <w:t>（加盖制造商公章）的</w:t>
            </w:r>
            <w:r>
              <w:rPr>
                <w:rFonts w:hint="eastAsia"/>
                <w:color w:val="auto"/>
                <w:sz w:val="24"/>
              </w:rPr>
              <w:t>扫描件</w:t>
            </w:r>
            <w:r>
              <w:rPr>
                <w:rFonts w:hint="eastAsia"/>
                <w:color w:val="auto"/>
                <w:sz w:val="24"/>
                <w:szCs w:val="22"/>
                <w:lang w:val="en-US" w:eastAsia="zh-CN"/>
              </w:rPr>
              <w:t>和</w:t>
            </w:r>
            <w:r>
              <w:rPr>
                <w:rFonts w:hint="eastAsia"/>
                <w:color w:val="auto"/>
                <w:sz w:val="24"/>
                <w:szCs w:val="22"/>
                <w:lang w:eastAsia="zh-CN"/>
              </w:rPr>
              <w:t>第三方检测报告</w:t>
            </w:r>
            <w:r>
              <w:rPr>
                <w:rFonts w:hint="eastAsia"/>
                <w:color w:val="auto"/>
                <w:sz w:val="24"/>
                <w:lang w:eastAsia="zh-CN"/>
              </w:rPr>
              <w:t>原件（加盖制造商公章）的</w:t>
            </w:r>
            <w:r>
              <w:rPr>
                <w:rFonts w:hint="eastAsia"/>
                <w:color w:val="auto"/>
                <w:sz w:val="24"/>
              </w:rPr>
              <w:t>扫描件，未</w:t>
            </w:r>
            <w:r>
              <w:rPr>
                <w:rFonts w:hint="eastAsia"/>
                <w:color w:val="auto"/>
                <w:sz w:val="24"/>
                <w:lang w:eastAsia="zh-CN"/>
              </w:rPr>
              <w:t>同时</w:t>
            </w:r>
            <w:r>
              <w:rPr>
                <w:rFonts w:hint="eastAsia"/>
                <w:color w:val="auto"/>
                <w:sz w:val="24"/>
              </w:rPr>
              <w:t>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1104" w:type="dxa"/>
            <w:vMerge w:val="continue"/>
            <w:noWrap w:val="0"/>
            <w:vAlign w:val="center"/>
          </w:tcPr>
          <w:p>
            <w:pPr>
              <w:spacing w:line="360" w:lineRule="auto"/>
              <w:rPr>
                <w:color w:val="auto"/>
                <w:sz w:val="24"/>
              </w:rPr>
            </w:pPr>
          </w:p>
        </w:tc>
        <w:tc>
          <w:tcPr>
            <w:tcW w:w="1339" w:type="dxa"/>
            <w:noWrap w:val="0"/>
            <w:vAlign w:val="center"/>
          </w:tcPr>
          <w:p>
            <w:pPr>
              <w:rPr>
                <w:rFonts w:ascii="宋体" w:hAnsi="宋体" w:cs="宋体"/>
                <w:color w:val="auto"/>
              </w:rPr>
            </w:pPr>
            <w:r>
              <w:rPr>
                <w:rFonts w:hint="eastAsia" w:ascii="宋体" w:hAnsi="宋体" w:cs="宋体"/>
                <w:color w:val="auto"/>
              </w:rPr>
              <w:t>制冷综合性能系数（IPLV值）</w:t>
            </w:r>
          </w:p>
          <w:p>
            <w:pPr>
              <w:pStyle w:val="2"/>
              <w:ind w:left="0" w:leftChars="0" w:firstLine="0" w:firstLineChars="0"/>
              <w:rPr>
                <w:rFonts w:ascii="宋体" w:hAnsi="宋体" w:eastAsia="宋体" w:cs="宋体"/>
                <w:color w:val="auto"/>
              </w:rPr>
            </w:pPr>
            <w:r>
              <w:rPr>
                <w:rFonts w:hint="eastAsia" w:ascii="宋体" w:hAnsi="宋体" w:eastAsia="宋体" w:cs="宋体"/>
                <w:color w:val="auto"/>
                <w:sz w:val="24"/>
              </w:rPr>
              <w:t>（4分）</w:t>
            </w:r>
          </w:p>
        </w:tc>
        <w:tc>
          <w:tcPr>
            <w:tcW w:w="7256" w:type="dxa"/>
            <w:noWrap w:val="0"/>
            <w:vAlign w:val="center"/>
          </w:tcPr>
          <w:p>
            <w:pPr>
              <w:pStyle w:val="69"/>
              <w:rPr>
                <w:rFonts w:ascii="宋体" w:hAnsi="宋体" w:cs="宋体"/>
                <w:color w:val="auto"/>
                <w:sz w:val="24"/>
              </w:rPr>
            </w:pPr>
            <w:r>
              <w:rPr>
                <w:rFonts w:hint="eastAsia" w:ascii="宋体" w:hAnsi="宋体" w:cs="宋体"/>
                <w:color w:val="auto"/>
                <w:sz w:val="24"/>
              </w:rPr>
              <w:t>投标产品室外机组合中的单模块机的制冷综合性能系数（IPLV(C)）值均达到国家一级能效的得4分，均达到国家二级能效的得2分，其余不得分。满分4分。</w:t>
            </w:r>
          </w:p>
          <w:p>
            <w:pPr>
              <w:pStyle w:val="69"/>
              <w:rPr>
                <w:rFonts w:ascii="宋体" w:hAnsi="宋体" w:cs="宋体"/>
                <w:color w:val="auto"/>
                <w:szCs w:val="21"/>
              </w:rPr>
            </w:pPr>
            <w:r>
              <w:rPr>
                <w:rFonts w:hint="eastAsia" w:ascii="宋体" w:hAnsi="宋体" w:cs="宋体"/>
                <w:color w:val="auto"/>
                <w:sz w:val="24"/>
              </w:rPr>
              <w:t>（IPLV（C）值以中国能效标识网备案的数据为准，</w:t>
            </w:r>
            <w:r>
              <w:rPr>
                <w:rFonts w:hint="eastAsia"/>
                <w:color w:val="auto"/>
                <w:sz w:val="24"/>
                <w:szCs w:val="24"/>
              </w:rPr>
              <w:t>投标文件中提</w:t>
            </w:r>
            <w:r>
              <w:rPr>
                <w:rFonts w:hint="eastAsia"/>
                <w:color w:val="auto"/>
                <w:sz w:val="24"/>
              </w:rPr>
              <w:t>供</w:t>
            </w:r>
            <w:r>
              <w:rPr>
                <w:rFonts w:hint="eastAsia" w:ascii="宋体" w:hAnsi="宋体" w:cs="宋体"/>
                <w:color w:val="auto"/>
                <w:sz w:val="24"/>
              </w:rPr>
              <w:t>中国能效标识网</w:t>
            </w:r>
            <w:r>
              <w:rPr>
                <w:rFonts w:hint="eastAsia" w:ascii="宋体" w:hAnsi="宋体" w:cs="宋体"/>
                <w:color w:val="auto"/>
                <w:sz w:val="24"/>
                <w:lang w:eastAsia="zh-CN"/>
              </w:rPr>
              <w:t>备案</w:t>
            </w:r>
            <w:r>
              <w:rPr>
                <w:rFonts w:hint="eastAsia"/>
                <w:color w:val="auto"/>
                <w:sz w:val="24"/>
                <w:lang w:eastAsia="zh-CN"/>
              </w:rPr>
              <w:t>页面截图</w:t>
            </w:r>
            <w:r>
              <w:rPr>
                <w:rFonts w:hint="eastAsia"/>
                <w:color w:val="auto"/>
                <w:sz w:val="24"/>
                <w:szCs w:val="22"/>
                <w:lang w:eastAsia="zh-CN"/>
              </w:rPr>
              <w:t>（</w:t>
            </w:r>
            <w:r>
              <w:rPr>
                <w:rFonts w:hint="eastAsia"/>
                <w:color w:val="auto"/>
                <w:sz w:val="24"/>
                <w:szCs w:val="22"/>
              </w:rPr>
              <w:t>加盖制造商公章</w:t>
            </w:r>
            <w:r>
              <w:rPr>
                <w:rFonts w:hint="eastAsia"/>
                <w:color w:val="auto"/>
                <w:sz w:val="24"/>
                <w:lang w:eastAsia="zh-CN"/>
              </w:rPr>
              <w:t>）的原件</w:t>
            </w:r>
            <w:r>
              <w:rPr>
                <w:rFonts w:hint="eastAsia"/>
                <w:color w:val="auto"/>
                <w:sz w:val="24"/>
                <w:szCs w:val="24"/>
              </w:rPr>
              <w:t>扫描件，未提供不得分，原件备查。）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104" w:type="dxa"/>
            <w:vMerge w:val="continue"/>
            <w:noWrap w:val="0"/>
            <w:vAlign w:val="center"/>
          </w:tcPr>
          <w:p>
            <w:pPr>
              <w:spacing w:line="360" w:lineRule="auto"/>
              <w:rPr>
                <w:color w:val="auto"/>
                <w:sz w:val="24"/>
              </w:rPr>
            </w:pPr>
          </w:p>
        </w:tc>
        <w:tc>
          <w:tcPr>
            <w:tcW w:w="1339" w:type="dxa"/>
            <w:noWrap w:val="0"/>
            <w:vAlign w:val="center"/>
          </w:tcPr>
          <w:p>
            <w:pPr>
              <w:rPr>
                <w:rFonts w:ascii="宋体" w:hAnsi="宋体" w:cs="宋体"/>
                <w:color w:val="auto"/>
                <w:sz w:val="24"/>
              </w:rPr>
            </w:pPr>
            <w:r>
              <w:rPr>
                <w:rFonts w:hint="eastAsia" w:ascii="宋体" w:hAnsi="宋体" w:cs="宋体"/>
                <w:color w:val="auto"/>
                <w:sz w:val="24"/>
              </w:rPr>
              <w:t>产品运行稳定性（4分）</w:t>
            </w:r>
          </w:p>
        </w:tc>
        <w:tc>
          <w:tcPr>
            <w:tcW w:w="7256" w:type="dxa"/>
            <w:noWrap w:val="0"/>
            <w:vAlign w:val="center"/>
          </w:tcPr>
          <w:p>
            <w:pPr>
              <w:pStyle w:val="69"/>
              <w:rPr>
                <w:rFonts w:ascii="宋体" w:hAnsi="宋体" w:cs="宋体"/>
                <w:color w:val="auto"/>
                <w:sz w:val="24"/>
              </w:rPr>
            </w:pPr>
            <w:r>
              <w:rPr>
                <w:rFonts w:hint="eastAsia" w:ascii="宋体" w:hAnsi="宋体" w:cs="宋体"/>
                <w:color w:val="auto"/>
                <w:sz w:val="24"/>
              </w:rPr>
              <w:t>由评委对产品运行稳定性进行评议，所投设备制造商每提供一个变频中央空调可靠运行15年以上案例报告的得2分。满分4分。</w:t>
            </w:r>
          </w:p>
          <w:p>
            <w:pPr>
              <w:pStyle w:val="69"/>
              <w:rPr>
                <w:rFonts w:hint="eastAsia"/>
                <w:color w:val="auto"/>
                <w:sz w:val="24"/>
              </w:rPr>
            </w:pPr>
            <w:r>
              <w:rPr>
                <w:rFonts w:hint="eastAsia"/>
                <w:color w:val="auto"/>
                <w:sz w:val="24"/>
              </w:rPr>
              <w:t>（投标文件中提</w:t>
            </w:r>
            <w:r>
              <w:rPr>
                <w:rFonts w:hint="eastAsia"/>
                <w:color w:val="auto"/>
                <w:sz w:val="24"/>
                <w:szCs w:val="22"/>
              </w:rPr>
              <w:t>供</w:t>
            </w:r>
            <w:r>
              <w:rPr>
                <w:rFonts w:hint="eastAsia"/>
                <w:color w:val="auto"/>
                <w:sz w:val="24"/>
                <w:szCs w:val="22"/>
                <w:lang w:eastAsia="zh-CN"/>
              </w:rPr>
              <w:t>第三方检测报告</w:t>
            </w:r>
            <w:r>
              <w:rPr>
                <w:rFonts w:hint="eastAsia"/>
                <w:color w:val="auto"/>
                <w:sz w:val="24"/>
                <w:lang w:eastAsia="zh-CN"/>
              </w:rPr>
              <w:t>原件（加盖制造商公章）的</w:t>
            </w:r>
            <w:r>
              <w:rPr>
                <w:rFonts w:hint="eastAsia"/>
                <w:color w:val="auto"/>
                <w:sz w:val="24"/>
              </w:rPr>
              <w:t>扫描件，未提供不得分，原件备查。）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104" w:type="dxa"/>
            <w:vMerge w:val="continue"/>
            <w:noWrap w:val="0"/>
            <w:vAlign w:val="center"/>
          </w:tcPr>
          <w:p>
            <w:pPr>
              <w:spacing w:line="360" w:lineRule="auto"/>
              <w:rPr>
                <w:color w:val="auto"/>
                <w:sz w:val="24"/>
              </w:rPr>
            </w:pPr>
          </w:p>
        </w:tc>
        <w:tc>
          <w:tcPr>
            <w:tcW w:w="1339" w:type="dxa"/>
            <w:noWrap w:val="0"/>
            <w:vAlign w:val="center"/>
          </w:tcPr>
          <w:p>
            <w:pPr>
              <w:rPr>
                <w:rFonts w:ascii="宋体" w:hAnsi="宋体" w:cs="宋体"/>
                <w:color w:val="auto"/>
                <w:sz w:val="24"/>
              </w:rPr>
            </w:pPr>
            <w:r>
              <w:rPr>
                <w:rFonts w:hint="eastAsia" w:ascii="宋体" w:hAnsi="宋体" w:cs="宋体"/>
                <w:color w:val="auto"/>
                <w:sz w:val="24"/>
              </w:rPr>
              <w:t>投标所选安装材料的优越性</w:t>
            </w:r>
            <w:r>
              <w:rPr>
                <w:rFonts w:hint="eastAsia" w:ascii="宋体" w:hAnsi="宋体" w:cs="宋体"/>
                <w:color w:val="auto"/>
                <w:sz w:val="24"/>
              </w:rPr>
              <w:br w:type="textWrapping"/>
            </w:r>
            <w:r>
              <w:rPr>
                <w:rFonts w:hint="eastAsia" w:ascii="宋体" w:hAnsi="宋体" w:cs="宋体"/>
                <w:color w:val="auto"/>
                <w:sz w:val="24"/>
              </w:rPr>
              <w:t>（3分）</w:t>
            </w:r>
          </w:p>
        </w:tc>
        <w:tc>
          <w:tcPr>
            <w:tcW w:w="7256" w:type="dxa"/>
            <w:noWrap w:val="0"/>
            <w:vAlign w:val="center"/>
          </w:tcPr>
          <w:p>
            <w:pPr>
              <w:pStyle w:val="69"/>
              <w:rPr>
                <w:rFonts w:ascii="宋体" w:hAnsi="宋体" w:cs="宋体"/>
                <w:color w:val="auto"/>
                <w:sz w:val="24"/>
              </w:rPr>
            </w:pPr>
            <w:r>
              <w:rPr>
                <w:rFonts w:hint="eastAsia" w:ascii="宋体" w:hAnsi="宋体" w:cs="宋体"/>
                <w:color w:val="auto"/>
                <w:sz w:val="24"/>
              </w:rPr>
              <w:t>安装材料、辅助材料（如保温材料、水管、信号线、电缆线等）品质性能的比较，材料的先进性、安全性，由评委综合比较后独立给分。满分3分。</w:t>
            </w:r>
          </w:p>
          <w:p>
            <w:pPr>
              <w:pStyle w:val="69"/>
              <w:rPr>
                <w:rFonts w:ascii="宋体" w:hAnsi="宋体" w:cs="宋体"/>
                <w:color w:val="auto"/>
                <w:sz w:val="24"/>
              </w:rPr>
            </w:pPr>
            <w:r>
              <w:rPr>
                <w:rFonts w:hint="eastAsia" w:ascii="宋体" w:hAnsi="宋体" w:cs="宋体"/>
                <w:color w:val="auto"/>
                <w:sz w:val="24"/>
              </w:rPr>
              <w:t>（投标文件提供所使用材料清单，包括品牌、规格及报价的</w:t>
            </w:r>
            <w:r>
              <w:rPr>
                <w:rFonts w:hint="eastAsia"/>
                <w:color w:val="auto"/>
                <w:sz w:val="24"/>
              </w:rPr>
              <w:t>明细</w:t>
            </w:r>
            <w:r>
              <w:rPr>
                <w:rFonts w:hint="eastAsia"/>
                <w:color w:val="auto"/>
                <w:sz w:val="24"/>
                <w:szCs w:val="22"/>
                <w:lang w:eastAsia="zh-CN"/>
              </w:rPr>
              <w:t>（</w:t>
            </w:r>
            <w:r>
              <w:rPr>
                <w:rFonts w:hint="eastAsia"/>
                <w:color w:val="auto"/>
                <w:sz w:val="24"/>
                <w:szCs w:val="22"/>
              </w:rPr>
              <w:t>加盖制造商公章</w:t>
            </w:r>
            <w:r>
              <w:rPr>
                <w:rFonts w:hint="eastAsia"/>
                <w:color w:val="auto"/>
                <w:sz w:val="24"/>
                <w:lang w:eastAsia="zh-CN"/>
              </w:rPr>
              <w:t>）的原件</w:t>
            </w:r>
            <w:r>
              <w:rPr>
                <w:rFonts w:hint="eastAsia"/>
                <w:color w:val="auto"/>
                <w:sz w:val="24"/>
                <w:szCs w:val="24"/>
              </w:rPr>
              <w:t>扫描件，未提供不得分，原件备查。</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104" w:type="dxa"/>
            <w:vMerge w:val="continue"/>
            <w:noWrap w:val="0"/>
            <w:vAlign w:val="center"/>
          </w:tcPr>
          <w:p>
            <w:pPr>
              <w:spacing w:line="360" w:lineRule="auto"/>
              <w:rPr>
                <w:color w:val="auto"/>
                <w:sz w:val="24"/>
              </w:rPr>
            </w:pPr>
          </w:p>
        </w:tc>
        <w:tc>
          <w:tcPr>
            <w:tcW w:w="1339" w:type="dxa"/>
            <w:noWrap w:val="0"/>
            <w:vAlign w:val="center"/>
          </w:tcPr>
          <w:p>
            <w:pPr>
              <w:rPr>
                <w:rFonts w:ascii="宋体" w:hAnsi="宋体" w:cs="宋体"/>
                <w:color w:val="auto"/>
                <w:sz w:val="24"/>
              </w:rPr>
            </w:pPr>
            <w:r>
              <w:rPr>
                <w:rFonts w:hint="eastAsia" w:ascii="宋体" w:hAnsi="宋体" w:cs="宋体"/>
                <w:color w:val="auto"/>
                <w:sz w:val="24"/>
              </w:rPr>
              <w:t>投标产品控制系统的先进性（5分）</w:t>
            </w:r>
          </w:p>
        </w:tc>
        <w:tc>
          <w:tcPr>
            <w:tcW w:w="7256" w:type="dxa"/>
            <w:noWrap w:val="0"/>
            <w:vAlign w:val="center"/>
          </w:tcPr>
          <w:p>
            <w:pPr>
              <w:pStyle w:val="69"/>
              <w:rPr>
                <w:rFonts w:ascii="宋体" w:hAnsi="宋体" w:cs="宋体"/>
                <w:color w:val="auto"/>
                <w:sz w:val="24"/>
              </w:rPr>
            </w:pPr>
            <w:r>
              <w:rPr>
                <w:rFonts w:hint="eastAsia" w:ascii="宋体" w:hAnsi="宋体" w:cs="宋体"/>
                <w:color w:val="auto"/>
                <w:sz w:val="24"/>
              </w:rPr>
              <w:t>投标产品控制系统的先进性，根据投标产品控制器的风量调节，温度控制精度、具有</w:t>
            </w:r>
            <w:r>
              <w:rPr>
                <w:rFonts w:ascii="宋体" w:hAnsi="宋体" w:cs="宋体"/>
                <w:color w:val="auto"/>
                <w:sz w:val="24"/>
              </w:rPr>
              <w:t>遥控接收功能</w:t>
            </w:r>
            <w:r>
              <w:rPr>
                <w:rFonts w:hint="eastAsia" w:ascii="宋体" w:hAnsi="宋体" w:cs="宋体"/>
                <w:color w:val="auto"/>
                <w:sz w:val="24"/>
              </w:rPr>
              <w:t>、</w:t>
            </w:r>
            <w:r>
              <w:rPr>
                <w:rFonts w:ascii="宋体" w:hAnsi="宋体" w:cs="宋体"/>
                <w:color w:val="auto"/>
                <w:sz w:val="24"/>
              </w:rPr>
              <w:t>运行模式设定功能</w:t>
            </w:r>
            <w:r>
              <w:rPr>
                <w:rFonts w:hint="eastAsia" w:ascii="宋体" w:hAnsi="宋体" w:cs="宋体"/>
                <w:color w:val="auto"/>
                <w:sz w:val="24"/>
              </w:rPr>
              <w:t>、</w:t>
            </w:r>
            <w:r>
              <w:rPr>
                <w:rFonts w:hint="eastAsia"/>
                <w:color w:val="auto"/>
                <w:sz w:val="24"/>
              </w:rPr>
              <w:t>外壳抗老化</w:t>
            </w:r>
            <w:r>
              <w:rPr>
                <w:rFonts w:hint="eastAsia" w:ascii="宋体" w:hAnsi="宋体" w:cs="宋体"/>
                <w:color w:val="auto"/>
                <w:sz w:val="24"/>
              </w:rPr>
              <w:t>的先进性横向比较，酌情打分。满分5分。</w:t>
            </w:r>
          </w:p>
          <w:p>
            <w:pPr>
              <w:pStyle w:val="69"/>
              <w:rPr>
                <w:rFonts w:ascii="宋体" w:hAnsi="宋体" w:cs="宋体"/>
                <w:color w:val="auto"/>
                <w:sz w:val="24"/>
              </w:rPr>
            </w:pPr>
            <w:r>
              <w:rPr>
                <w:rFonts w:hint="eastAsia"/>
                <w:color w:val="auto"/>
                <w:sz w:val="24"/>
              </w:rPr>
              <w:t>（投标文件中</w:t>
            </w:r>
            <w:r>
              <w:rPr>
                <w:rFonts w:hint="eastAsia"/>
                <w:color w:val="auto"/>
                <w:sz w:val="24"/>
                <w:lang w:eastAsia="zh-CN"/>
              </w:rPr>
              <w:t>同时</w:t>
            </w:r>
            <w:r>
              <w:rPr>
                <w:rFonts w:hint="eastAsia"/>
                <w:color w:val="auto"/>
                <w:sz w:val="24"/>
              </w:rPr>
              <w:t>提</w:t>
            </w:r>
            <w:r>
              <w:rPr>
                <w:rFonts w:hint="eastAsia"/>
                <w:color w:val="auto"/>
                <w:sz w:val="24"/>
                <w:szCs w:val="22"/>
              </w:rPr>
              <w:t>供</w:t>
            </w:r>
            <w:r>
              <w:rPr>
                <w:rFonts w:hint="eastAsia"/>
                <w:color w:val="auto"/>
                <w:sz w:val="24"/>
                <w:szCs w:val="22"/>
                <w:lang w:val="en-US" w:eastAsia="zh-CN"/>
              </w:rPr>
              <w:t>样本原件</w:t>
            </w:r>
            <w:r>
              <w:rPr>
                <w:rFonts w:hint="eastAsia"/>
                <w:color w:val="auto"/>
                <w:sz w:val="24"/>
                <w:lang w:eastAsia="zh-CN"/>
              </w:rPr>
              <w:t>（加盖制造商公章）的</w:t>
            </w:r>
            <w:r>
              <w:rPr>
                <w:rFonts w:hint="eastAsia"/>
                <w:color w:val="auto"/>
                <w:sz w:val="24"/>
              </w:rPr>
              <w:t>扫描件</w:t>
            </w:r>
            <w:r>
              <w:rPr>
                <w:rFonts w:hint="eastAsia"/>
                <w:color w:val="auto"/>
                <w:sz w:val="24"/>
                <w:szCs w:val="22"/>
                <w:lang w:val="en-US" w:eastAsia="zh-CN"/>
              </w:rPr>
              <w:t>和</w:t>
            </w:r>
            <w:r>
              <w:rPr>
                <w:rFonts w:hint="eastAsia"/>
                <w:color w:val="auto"/>
                <w:sz w:val="24"/>
                <w:szCs w:val="22"/>
                <w:lang w:eastAsia="zh-CN"/>
              </w:rPr>
              <w:t>第三方检测报告</w:t>
            </w:r>
            <w:r>
              <w:rPr>
                <w:rFonts w:hint="eastAsia"/>
                <w:color w:val="auto"/>
                <w:sz w:val="24"/>
                <w:lang w:eastAsia="zh-CN"/>
              </w:rPr>
              <w:t>原件（加盖制造商公章）的</w:t>
            </w:r>
            <w:r>
              <w:rPr>
                <w:rFonts w:hint="eastAsia"/>
                <w:color w:val="auto"/>
                <w:sz w:val="24"/>
              </w:rPr>
              <w:t>扫描件，</w:t>
            </w:r>
            <w:r>
              <w:rPr>
                <w:rFonts w:hint="eastAsia"/>
                <w:color w:val="auto"/>
                <w:sz w:val="24"/>
                <w:lang w:eastAsia="zh-CN"/>
              </w:rPr>
              <w:t>未同时</w:t>
            </w:r>
            <w:r>
              <w:rPr>
                <w:rFonts w:hint="eastAsia"/>
                <w:color w:val="auto"/>
                <w:sz w:val="24"/>
              </w:rPr>
              <w:t>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443" w:type="dxa"/>
            <w:gridSpan w:val="2"/>
            <w:noWrap w:val="0"/>
            <w:vAlign w:val="center"/>
          </w:tcPr>
          <w:p>
            <w:pPr>
              <w:rPr>
                <w:color w:val="auto"/>
                <w:sz w:val="24"/>
              </w:rPr>
            </w:pPr>
            <w:r>
              <w:rPr>
                <w:rFonts w:hint="eastAsia"/>
                <w:color w:val="auto"/>
                <w:sz w:val="24"/>
              </w:rPr>
              <w:t>5、售后服务保障（5分）</w:t>
            </w:r>
          </w:p>
        </w:tc>
        <w:tc>
          <w:tcPr>
            <w:tcW w:w="7256" w:type="dxa"/>
            <w:noWrap w:val="0"/>
            <w:vAlign w:val="top"/>
          </w:tcPr>
          <w:p>
            <w:pPr>
              <w:rPr>
                <w:color w:val="auto"/>
                <w:sz w:val="24"/>
                <w:szCs w:val="22"/>
              </w:rPr>
            </w:pPr>
            <w:r>
              <w:rPr>
                <w:rFonts w:hint="eastAsia"/>
                <w:color w:val="auto"/>
                <w:sz w:val="24"/>
                <w:szCs w:val="22"/>
              </w:rPr>
              <w:t>评委根据供应商针对本项目的售后团队规模、技术能力、资历经验、货物配送服务、售后优惠承诺等综合评定。</w:t>
            </w:r>
          </w:p>
          <w:p>
            <w:pPr>
              <w:rPr>
                <w:color w:val="auto"/>
                <w:sz w:val="24"/>
              </w:rPr>
            </w:pPr>
            <w:r>
              <w:rPr>
                <w:rFonts w:hint="eastAsia"/>
                <w:color w:val="auto"/>
                <w:sz w:val="24"/>
                <w:szCs w:val="22"/>
              </w:rPr>
              <w:t>（内容齐全、完整，操作性强，科学、合理的得5-4分，内容基本完整、操作性及合理性较为一般的得3-2分，内容不齐全、混乱，不能很好符合项目实际开展的得1-0分。</w:t>
            </w:r>
            <w:r>
              <w:rPr>
                <w:rFonts w:hint="eastAsia"/>
                <w:color w:val="auto"/>
                <w:sz w:val="24"/>
              </w:rPr>
              <w:t>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443" w:type="dxa"/>
            <w:gridSpan w:val="2"/>
            <w:noWrap w:val="0"/>
            <w:vAlign w:val="center"/>
          </w:tcPr>
          <w:p>
            <w:pPr>
              <w:rPr>
                <w:color w:val="auto"/>
                <w:sz w:val="24"/>
              </w:rPr>
            </w:pPr>
            <w:r>
              <w:rPr>
                <w:rFonts w:hint="eastAsia"/>
                <w:color w:val="auto"/>
                <w:sz w:val="24"/>
              </w:rPr>
              <w:t>6、工期安排（3分）</w:t>
            </w:r>
          </w:p>
        </w:tc>
        <w:tc>
          <w:tcPr>
            <w:tcW w:w="7256" w:type="dxa"/>
            <w:noWrap w:val="0"/>
            <w:vAlign w:val="top"/>
          </w:tcPr>
          <w:p>
            <w:pPr>
              <w:pStyle w:val="69"/>
              <w:tabs>
                <w:tab w:val="left" w:pos="4492"/>
              </w:tabs>
              <w:spacing w:line="300" w:lineRule="exact"/>
              <w:jc w:val="left"/>
              <w:rPr>
                <w:color w:val="auto"/>
                <w:sz w:val="24"/>
              </w:rPr>
            </w:pPr>
            <w:r>
              <w:rPr>
                <w:rFonts w:hint="eastAsia"/>
                <w:color w:val="auto"/>
                <w:sz w:val="24"/>
                <w:szCs w:val="24"/>
              </w:rPr>
              <w:t>根据投标人针对本项目工期安排（提供工期安排表）及保障措施的合理性进行评议。</w:t>
            </w:r>
            <w:r>
              <w:rPr>
                <w:rFonts w:hint="eastAsia"/>
                <w:color w:val="auto"/>
                <w:sz w:val="24"/>
              </w:rPr>
              <w:t>满分3分</w:t>
            </w:r>
          </w:p>
          <w:p>
            <w:pPr>
              <w:pStyle w:val="69"/>
              <w:tabs>
                <w:tab w:val="left" w:pos="4492"/>
              </w:tabs>
              <w:spacing w:line="300" w:lineRule="exact"/>
              <w:jc w:val="left"/>
              <w:rPr>
                <w:color w:val="auto"/>
                <w:sz w:val="24"/>
              </w:rPr>
            </w:pPr>
            <w:r>
              <w:rPr>
                <w:rFonts w:hint="eastAsia"/>
                <w:color w:val="auto"/>
                <w:sz w:val="24"/>
              </w:rPr>
              <w:t>（内容齐全、完整，操作性强，科学、合理的得3分，内容基本完整、操作性及合理性较为一般的得2分，内容不齐全、混乱，不能很好符合项目实际开展的得1-0分。）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443" w:type="dxa"/>
            <w:gridSpan w:val="2"/>
            <w:noWrap w:val="0"/>
            <w:vAlign w:val="center"/>
          </w:tcPr>
          <w:p>
            <w:pPr>
              <w:tabs>
                <w:tab w:val="left" w:pos="4492"/>
              </w:tabs>
              <w:spacing w:line="300" w:lineRule="exact"/>
              <w:rPr>
                <w:color w:val="auto"/>
                <w:sz w:val="24"/>
              </w:rPr>
            </w:pPr>
            <w:r>
              <w:rPr>
                <w:rFonts w:hint="eastAsia"/>
                <w:color w:val="auto"/>
                <w:sz w:val="24"/>
              </w:rPr>
              <w:t>7、政策加分（2分）</w:t>
            </w:r>
          </w:p>
        </w:tc>
        <w:tc>
          <w:tcPr>
            <w:tcW w:w="7256" w:type="dxa"/>
            <w:noWrap w:val="0"/>
            <w:vAlign w:val="top"/>
          </w:tcPr>
          <w:p>
            <w:pPr>
              <w:pStyle w:val="69"/>
              <w:tabs>
                <w:tab w:val="left" w:pos="4492"/>
              </w:tabs>
              <w:spacing w:line="300" w:lineRule="exact"/>
              <w:jc w:val="left"/>
              <w:rPr>
                <w:rFonts w:hint="eastAsia"/>
                <w:color w:val="auto"/>
                <w:sz w:val="24"/>
                <w:szCs w:val="24"/>
              </w:rPr>
            </w:pPr>
            <w:r>
              <w:rPr>
                <w:rFonts w:hint="eastAsia"/>
                <w:color w:val="auto"/>
                <w:sz w:val="24"/>
                <w:szCs w:val="24"/>
              </w:rPr>
              <w:t>节能产品得分=（节能产品投标价格合计/投标总价)*1分(保留1位小数)；中国环境标志产品得分=（环境标志产品投标价格合计/投标总价)*1分(保留1位小数)。满分2分。</w:t>
            </w:r>
          </w:p>
          <w:p>
            <w:pPr>
              <w:pStyle w:val="69"/>
              <w:tabs>
                <w:tab w:val="left" w:pos="4492"/>
              </w:tabs>
              <w:spacing w:line="300" w:lineRule="exact"/>
              <w:jc w:val="left"/>
              <w:rPr>
                <w:color w:val="auto"/>
                <w:sz w:val="24"/>
              </w:rPr>
            </w:pPr>
            <w:r>
              <w:rPr>
                <w:rFonts w:hint="eastAsia"/>
                <w:color w:val="auto"/>
                <w:sz w:val="24"/>
                <w:szCs w:val="24"/>
              </w:rPr>
              <w:t>（投标文件中提供认证证书原件的扫描件，未提供不得分，原件备查。）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04" w:type="dxa"/>
            <w:noWrap w:val="0"/>
            <w:vAlign w:val="center"/>
          </w:tcPr>
          <w:p>
            <w:pPr>
              <w:spacing w:line="360" w:lineRule="auto"/>
              <w:rPr>
                <w:color w:val="auto"/>
                <w:sz w:val="24"/>
              </w:rPr>
            </w:pPr>
            <w:r>
              <w:rPr>
                <w:rFonts w:hint="eastAsia"/>
                <w:color w:val="auto"/>
                <w:sz w:val="24"/>
              </w:rPr>
              <w:t>价格分</w:t>
            </w:r>
          </w:p>
          <w:p>
            <w:pPr>
              <w:spacing w:line="360" w:lineRule="auto"/>
              <w:rPr>
                <w:color w:val="auto"/>
                <w:sz w:val="24"/>
              </w:rPr>
            </w:pPr>
            <w:r>
              <w:rPr>
                <w:color w:val="auto"/>
                <w:sz w:val="24"/>
              </w:rPr>
              <w:t>3</w:t>
            </w:r>
            <w:r>
              <w:rPr>
                <w:rFonts w:hint="eastAsia"/>
                <w:color w:val="auto"/>
                <w:sz w:val="24"/>
              </w:rPr>
              <w:t>0分</w:t>
            </w:r>
          </w:p>
        </w:tc>
        <w:tc>
          <w:tcPr>
            <w:tcW w:w="8595" w:type="dxa"/>
            <w:gridSpan w:val="2"/>
            <w:noWrap w:val="0"/>
            <w:vAlign w:val="center"/>
          </w:tcPr>
          <w:p>
            <w:pPr>
              <w:adjustRightInd w:val="0"/>
              <w:snapToGrid w:val="0"/>
              <w:spacing w:line="300" w:lineRule="auto"/>
              <w:jc w:val="left"/>
              <w:rPr>
                <w:color w:val="auto"/>
                <w:sz w:val="24"/>
              </w:rPr>
            </w:pPr>
            <w:r>
              <w:rPr>
                <w:rFonts w:hint="eastAsia"/>
                <w:color w:val="auto"/>
                <w:sz w:val="24"/>
              </w:rPr>
              <w:t>满足招标要求的有效投标报价且参与评审的价格最低为评标基准价30分</w:t>
            </w:r>
          </w:p>
          <w:p>
            <w:pPr>
              <w:adjustRightInd w:val="0"/>
              <w:snapToGrid w:val="0"/>
              <w:spacing w:line="300" w:lineRule="auto"/>
              <w:jc w:val="left"/>
              <w:rPr>
                <w:color w:val="auto"/>
                <w:sz w:val="24"/>
              </w:rPr>
            </w:pPr>
            <w:r>
              <w:rPr>
                <w:rFonts w:hint="eastAsia"/>
                <w:color w:val="auto"/>
                <w:sz w:val="24"/>
              </w:rPr>
              <w:t>其他投标报价得分=（评标基准价/参与评审的价格）×30。</w:t>
            </w:r>
          </w:p>
          <w:p>
            <w:pPr>
              <w:adjustRightInd w:val="0"/>
              <w:snapToGrid w:val="0"/>
              <w:spacing w:line="300" w:lineRule="auto"/>
              <w:jc w:val="left"/>
              <w:rPr>
                <w:color w:val="auto"/>
                <w:sz w:val="24"/>
              </w:rPr>
            </w:pPr>
            <w:r>
              <w:rPr>
                <w:rFonts w:hint="eastAsia"/>
                <w:color w:val="auto"/>
                <w:sz w:val="24"/>
              </w:rPr>
              <w:t>(价格得分以四舍五入方法整合到小数点后两位)</w:t>
            </w:r>
          </w:p>
          <w:p>
            <w:pPr>
              <w:adjustRightInd w:val="0"/>
              <w:snapToGrid w:val="0"/>
              <w:spacing w:line="300" w:lineRule="auto"/>
              <w:jc w:val="left"/>
              <w:rPr>
                <w:color w:val="auto"/>
                <w:sz w:val="24"/>
              </w:rPr>
            </w:pPr>
            <w:r>
              <w:rPr>
                <w:rFonts w:hint="eastAsia"/>
                <w:color w:val="auto"/>
                <w:sz w:val="24"/>
              </w:rPr>
              <w:t>参与评审的价格=投标价-小微企业产品和服务部分的6%；</w:t>
            </w:r>
          </w:p>
          <w:p>
            <w:pPr>
              <w:spacing w:line="360" w:lineRule="auto"/>
              <w:rPr>
                <w:color w:val="auto"/>
                <w:sz w:val="24"/>
              </w:rPr>
            </w:pPr>
            <w:r>
              <w:rPr>
                <w:rFonts w:hint="eastAsia"/>
                <w:color w:val="auto"/>
                <w:sz w:val="24"/>
              </w:rPr>
              <w:t>注：供应商的投标报价超过预算金额或最高限价（不含本数）的（为无效报价）。</w:t>
            </w:r>
          </w:p>
        </w:tc>
      </w:tr>
    </w:tbl>
    <w:p>
      <w:pPr>
        <w:spacing w:line="360" w:lineRule="auto"/>
        <w:rPr>
          <w:rFonts w:ascii="Arial" w:hAnsi="Arial"/>
          <w:b/>
          <w:color w:val="000000"/>
          <w:szCs w:val="21"/>
        </w:rPr>
      </w:pPr>
      <w:r>
        <w:rPr>
          <w:rFonts w:hint="eastAsia" w:ascii="宋体" w:hAnsi="宋体" w:cs="宋体"/>
          <w:color w:val="000000"/>
          <w:szCs w:val="21"/>
        </w:rPr>
        <w:t>注：制造商公章是指产品制造商的公章，非技术章、合同章、业务章等。</w:t>
      </w:r>
    </w:p>
    <w:p>
      <w:pPr>
        <w:ind w:left="420"/>
        <w:rPr>
          <w:rFonts w:hint="eastAsia"/>
          <w:sz w:val="24"/>
        </w:rPr>
      </w:pPr>
    </w:p>
    <w:p>
      <w:pPr>
        <w:ind w:left="420"/>
        <w:rPr>
          <w:rFonts w:hint="eastAsia"/>
          <w:sz w:val="24"/>
        </w:rPr>
      </w:pPr>
      <w:r>
        <w:rPr>
          <w:rFonts w:hint="eastAsia"/>
          <w:sz w:val="24"/>
        </w:rPr>
        <w:t>（二）评分办法</w:t>
      </w:r>
    </w:p>
    <w:p>
      <w:pPr>
        <w:spacing w:line="440" w:lineRule="exact"/>
        <w:ind w:firstLine="480"/>
        <w:rPr>
          <w:rFonts w:hint="eastAsia" w:ascii="宋体" w:hAnsi="宋体"/>
          <w:sz w:val="24"/>
        </w:rPr>
      </w:pPr>
      <w:r>
        <w:rPr>
          <w:rFonts w:hint="eastAsia" w:ascii="宋体" w:hAnsi="宋体"/>
          <w:sz w:val="24"/>
        </w:rPr>
        <w:t>由评委对各投标人的投标文件进行审阅，然后根据需要对投标人进行询标和评议，并按以上指标（除价格部分外）进行记名打分。</w:t>
      </w:r>
    </w:p>
    <w:p>
      <w:pPr>
        <w:spacing w:line="440" w:lineRule="exact"/>
        <w:ind w:firstLine="480"/>
        <w:rPr>
          <w:rFonts w:hint="eastAsia"/>
          <w:sz w:val="24"/>
        </w:rPr>
      </w:pPr>
      <w:r>
        <w:rPr>
          <w:rFonts w:hint="eastAsia"/>
          <w:sz w:val="24"/>
        </w:rPr>
        <w:t>统计、汇总所有评委对每一份投标文件的评分，然后用算术平均法求出每一份投标文件非价格部分的平均得分。</w:t>
      </w:r>
    </w:p>
    <w:p>
      <w:pPr>
        <w:numPr>
          <w:ilvl w:val="0"/>
          <w:numId w:val="9"/>
        </w:numPr>
        <w:spacing w:line="440" w:lineRule="exact"/>
        <w:rPr>
          <w:rFonts w:ascii="宋体" w:hAnsi="宋体"/>
          <w:b/>
          <w:sz w:val="24"/>
        </w:rPr>
      </w:pPr>
      <w:r>
        <w:rPr>
          <w:rFonts w:hint="eastAsia" w:ascii="宋体" w:hAnsi="宋体"/>
          <w:b/>
          <w:sz w:val="24"/>
        </w:rPr>
        <w:t>价格</w:t>
      </w:r>
      <w:r>
        <w:rPr>
          <w:rFonts w:ascii="宋体" w:hAnsi="宋体"/>
          <w:b/>
          <w:sz w:val="24"/>
        </w:rPr>
        <w:t>部分</w:t>
      </w:r>
    </w:p>
    <w:p>
      <w:pPr>
        <w:spacing w:line="440" w:lineRule="exact"/>
        <w:ind w:left="718"/>
        <w:rPr>
          <w:rFonts w:hint="eastAsia" w:ascii="宋体" w:hAnsi="宋体"/>
          <w:sz w:val="24"/>
        </w:rPr>
      </w:pPr>
      <w:r>
        <w:rPr>
          <w:rFonts w:hint="eastAsia" w:ascii="宋体" w:hAnsi="宋体"/>
          <w:sz w:val="24"/>
        </w:rPr>
        <w:t>先由评委会对各投标人的分项报价进行分析。审查投标报价是否符合招标文件的基本要求，有无明显开口、漏项、漏量等情况，在取得基本一致的意见后进行判别计算。对出现漏项、漏量情况的标书由评委会进行调整，得出评估价。</w:t>
      </w:r>
    </w:p>
    <w:p>
      <w:pPr>
        <w:numPr>
          <w:ilvl w:val="0"/>
          <w:numId w:val="9"/>
        </w:numPr>
        <w:spacing w:line="440" w:lineRule="exact"/>
        <w:rPr>
          <w:rFonts w:ascii="宋体" w:hAnsi="宋体"/>
          <w:b/>
          <w:sz w:val="24"/>
        </w:rPr>
      </w:pPr>
      <w:r>
        <w:rPr>
          <w:rFonts w:hint="eastAsia" w:ascii="宋体" w:hAnsi="宋体"/>
          <w:b/>
          <w:sz w:val="24"/>
        </w:rPr>
        <w:t>其他</w:t>
      </w:r>
      <w:r>
        <w:rPr>
          <w:rFonts w:ascii="宋体" w:hAnsi="宋体"/>
          <w:b/>
          <w:sz w:val="24"/>
        </w:rPr>
        <w:t>部分</w:t>
      </w:r>
    </w:p>
    <w:p>
      <w:pPr>
        <w:spacing w:line="440" w:lineRule="exact"/>
        <w:ind w:left="735"/>
        <w:rPr>
          <w:rFonts w:hint="eastAsia" w:ascii="宋体" w:hAnsi="宋体"/>
          <w:sz w:val="24"/>
        </w:rPr>
      </w:pPr>
      <w:r>
        <w:rPr>
          <w:rFonts w:hint="eastAsia" w:ascii="宋体" w:hAnsi="宋体"/>
          <w:sz w:val="24"/>
        </w:rPr>
        <w:t>除明确给出评判标准的项目外，由评委根据投标人情况综合</w:t>
      </w:r>
      <w:r>
        <w:rPr>
          <w:rFonts w:hint="eastAsia"/>
          <w:sz w:val="24"/>
        </w:rPr>
        <w:t>评定，</w:t>
      </w:r>
      <w:r>
        <w:rPr>
          <w:rFonts w:ascii="宋体" w:hAnsi="宋体"/>
          <w:sz w:val="24"/>
        </w:rPr>
        <w:t>各项指标的最小打分单位为0.1分。</w:t>
      </w:r>
    </w:p>
    <w:p>
      <w:pPr>
        <w:numPr>
          <w:ilvl w:val="0"/>
          <w:numId w:val="9"/>
        </w:numPr>
        <w:spacing w:line="440" w:lineRule="exact"/>
        <w:rPr>
          <w:rFonts w:ascii="宋体" w:hAnsi="宋体"/>
          <w:b/>
          <w:sz w:val="24"/>
        </w:rPr>
      </w:pPr>
      <w:r>
        <w:rPr>
          <w:rFonts w:ascii="宋体" w:hAnsi="宋体"/>
          <w:b/>
          <w:sz w:val="24"/>
        </w:rPr>
        <w:t>最终得分与中标人的确定</w:t>
      </w:r>
    </w:p>
    <w:p>
      <w:pPr>
        <w:numPr>
          <w:ilvl w:val="0"/>
          <w:numId w:val="10"/>
        </w:numPr>
        <w:spacing w:line="440" w:lineRule="exact"/>
        <w:rPr>
          <w:rFonts w:hint="eastAsia" w:ascii="宋体" w:hAnsi="宋体"/>
          <w:sz w:val="24"/>
        </w:rPr>
      </w:pPr>
      <w:r>
        <w:rPr>
          <w:rFonts w:hint="eastAsia" w:ascii="宋体" w:hAnsi="宋体"/>
          <w:sz w:val="24"/>
        </w:rPr>
        <w:t>各投标人最终分按以下方法进行计算：最终得分＝价格得分+其他得分；</w:t>
      </w:r>
    </w:p>
    <w:p>
      <w:pPr>
        <w:numPr>
          <w:ilvl w:val="0"/>
          <w:numId w:val="10"/>
        </w:numPr>
        <w:spacing w:line="440" w:lineRule="exact"/>
        <w:rPr>
          <w:rFonts w:hint="eastAsia" w:ascii="宋体" w:hAnsi="宋体"/>
          <w:sz w:val="24"/>
        </w:rPr>
      </w:pPr>
      <w:r>
        <w:rPr>
          <w:rFonts w:hint="eastAsia" w:ascii="宋体" w:hAnsi="宋体"/>
          <w:sz w:val="24"/>
        </w:rPr>
        <w:t>各投标人的最终得分若出现并列分，则由报价低的排列在前，报价也相同的则由技术得分高的排列在前，价格和技术得分均相同的则由</w:t>
      </w:r>
      <w:r>
        <w:rPr>
          <w:rFonts w:hint="eastAsia" w:ascii="宋体" w:hAnsi="宋体" w:cs="宋体"/>
          <w:sz w:val="24"/>
          <w:szCs w:val="24"/>
        </w:rPr>
        <w:t>随机抽取的方式确定</w:t>
      </w:r>
      <w:r>
        <w:rPr>
          <w:rFonts w:hint="eastAsia" w:ascii="宋体" w:hAnsi="宋体"/>
          <w:sz w:val="24"/>
        </w:rPr>
        <w:t>。</w:t>
      </w:r>
    </w:p>
    <w:p>
      <w:pPr>
        <w:pStyle w:val="73"/>
        <w:spacing w:line="440" w:lineRule="exact"/>
        <w:ind w:firstLine="480"/>
        <w:rPr>
          <w:rFonts w:hint="eastAsia" w:eastAsia="黑体"/>
          <w:sz w:val="32"/>
        </w:rPr>
      </w:pPr>
      <w:r>
        <w:rPr>
          <w:rFonts w:hint="eastAsia"/>
        </w:rPr>
        <w:t>评审委员会在审标、询标的基础上根据事先制定的评标办法对各投标人的投标文件进行评定，评出最高得分的投标人为推荐中标人。推荐中标人公示无异议的将被确定为中标人；</w:t>
      </w:r>
      <w:r>
        <w:rPr>
          <w:rFonts w:hint="eastAsia"/>
          <w:b/>
          <w:bCs/>
        </w:rPr>
        <w:t>推荐中标人的投标文件若存在以不真实材料来谋取评审优势的，将失去中标资格，由得分次高的投标人为推荐中标人进行公示（需重新招标的除外）</w:t>
      </w:r>
      <w:r>
        <w:rPr>
          <w:rFonts w:hint="eastAsia"/>
        </w:rPr>
        <w:t>。确定中标人后由招标人向中标人发出中标通知书。</w:t>
      </w:r>
    </w:p>
    <w:p>
      <w:pPr>
        <w:tabs>
          <w:tab w:val="left" w:pos="105"/>
          <w:tab w:val="left" w:pos="735"/>
          <w:tab w:val="left" w:pos="945"/>
          <w:tab w:val="left" w:pos="3360"/>
        </w:tabs>
        <w:spacing w:line="500" w:lineRule="exact"/>
        <w:jc w:val="center"/>
        <w:rPr>
          <w:rFonts w:hint="eastAsia"/>
          <w:b/>
          <w:sz w:val="28"/>
          <w:szCs w:val="28"/>
        </w:rPr>
      </w:pPr>
      <w:r>
        <w:rPr>
          <w:rFonts w:hint="eastAsia"/>
          <w:b/>
          <w:sz w:val="28"/>
          <w:szCs w:val="28"/>
        </w:rPr>
        <w:br w:type="page"/>
      </w:r>
      <w:r>
        <w:rPr>
          <w:rFonts w:hint="eastAsia"/>
          <w:b/>
          <w:sz w:val="28"/>
          <w:szCs w:val="28"/>
        </w:rPr>
        <w:t>第三部分  投标人须知资料表</w:t>
      </w:r>
    </w:p>
    <w:p>
      <w:pPr>
        <w:tabs>
          <w:tab w:val="left" w:pos="105"/>
          <w:tab w:val="left" w:pos="735"/>
          <w:tab w:val="left" w:pos="945"/>
          <w:tab w:val="left" w:pos="3360"/>
        </w:tabs>
        <w:spacing w:line="500" w:lineRule="exact"/>
        <w:jc w:val="center"/>
        <w:rPr>
          <w:rFonts w:hint="eastAsia"/>
          <w:b/>
          <w:sz w:val="28"/>
          <w:szCs w:val="28"/>
        </w:rPr>
      </w:pP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1701"/>
        <w:gridCol w:w="691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88" w:hRule="atLeast"/>
        </w:trPr>
        <w:tc>
          <w:tcPr>
            <w:tcW w:w="675" w:type="dxa"/>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序号</w:t>
            </w:r>
          </w:p>
        </w:tc>
        <w:tc>
          <w:tcPr>
            <w:tcW w:w="1701" w:type="dxa"/>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内  容</w:t>
            </w:r>
          </w:p>
        </w:tc>
        <w:tc>
          <w:tcPr>
            <w:tcW w:w="6911" w:type="dxa"/>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1409"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招标人情况</w:t>
            </w:r>
          </w:p>
        </w:tc>
        <w:tc>
          <w:tcPr>
            <w:tcW w:w="6911" w:type="dxa"/>
            <w:noWrap w:val="0"/>
            <w:vAlign w:val="center"/>
          </w:tcPr>
          <w:p>
            <w:pPr>
              <w:tabs>
                <w:tab w:val="left" w:pos="105"/>
                <w:tab w:val="left" w:pos="735"/>
                <w:tab w:val="left" w:pos="945"/>
                <w:tab w:val="left" w:pos="3360"/>
              </w:tabs>
              <w:rPr>
                <w:rFonts w:hint="eastAsia" w:ascii="宋体" w:hAnsi="宋体" w:eastAsia="宋体"/>
                <w:szCs w:val="21"/>
              </w:rPr>
            </w:pPr>
            <w:r>
              <w:rPr>
                <w:rFonts w:hint="eastAsia" w:ascii="宋体" w:hAnsi="宋体"/>
                <w:szCs w:val="21"/>
              </w:rPr>
              <w:t>招标人名称：宁波国家高新区行政服务中心（宁波国家高新区公共资源交易中心）</w:t>
            </w:r>
          </w:p>
          <w:p>
            <w:pPr>
              <w:tabs>
                <w:tab w:val="left" w:pos="105"/>
                <w:tab w:val="left" w:pos="735"/>
                <w:tab w:val="left" w:pos="945"/>
                <w:tab w:val="left" w:pos="3360"/>
              </w:tabs>
              <w:rPr>
                <w:rFonts w:hint="eastAsia" w:ascii="宋体" w:hAnsi="宋体"/>
                <w:szCs w:val="21"/>
              </w:rPr>
            </w:pPr>
            <w:r>
              <w:rPr>
                <w:rFonts w:hint="eastAsia" w:ascii="宋体" w:hAnsi="宋体"/>
                <w:szCs w:val="21"/>
              </w:rPr>
              <w:t>开户行：中国建设银行股份有限公司宁波国家高新区科技支行</w:t>
            </w:r>
          </w:p>
          <w:p>
            <w:pPr>
              <w:tabs>
                <w:tab w:val="left" w:pos="105"/>
                <w:tab w:val="left" w:pos="735"/>
                <w:tab w:val="left" w:pos="945"/>
                <w:tab w:val="left" w:pos="3360"/>
              </w:tabs>
              <w:rPr>
                <w:rFonts w:hint="eastAsia" w:ascii="宋体" w:hAnsi="宋体"/>
                <w:szCs w:val="21"/>
              </w:rPr>
            </w:pPr>
            <w:r>
              <w:rPr>
                <w:rFonts w:hint="eastAsia" w:ascii="宋体" w:hAnsi="宋体"/>
                <w:szCs w:val="21"/>
              </w:rPr>
              <w:t>银行帐号：33150198513600002242</w:t>
            </w:r>
          </w:p>
          <w:p>
            <w:pPr>
              <w:tabs>
                <w:tab w:val="left" w:pos="105"/>
                <w:tab w:val="left" w:pos="735"/>
                <w:tab w:val="left" w:pos="945"/>
                <w:tab w:val="left" w:pos="3360"/>
              </w:tabs>
              <w:rPr>
                <w:rFonts w:hint="eastAsia" w:ascii="宋体" w:hAnsi="宋体"/>
                <w:szCs w:val="21"/>
              </w:rPr>
            </w:pPr>
            <w:r>
              <w:rPr>
                <w:rFonts w:hint="eastAsia" w:ascii="宋体" w:hAnsi="宋体"/>
                <w:szCs w:val="21"/>
              </w:rPr>
              <w:t>质疑接收：</w:t>
            </w:r>
            <w:r>
              <w:rPr>
                <w:rFonts w:hint="eastAsia" w:ascii="宋体" w:hAnsi="宋体" w:eastAsia="宋体"/>
                <w:szCs w:val="21"/>
              </w:rPr>
              <w:t>马</w:t>
            </w:r>
            <w:r>
              <w:rPr>
                <w:rFonts w:hint="eastAsia" w:ascii="宋体" w:hAnsi="宋体"/>
                <w:szCs w:val="21"/>
              </w:rPr>
              <w:t>老师 TEL：0574-89288917 FAX：89288918</w:t>
            </w:r>
          </w:p>
          <w:p>
            <w:pPr>
              <w:tabs>
                <w:tab w:val="left" w:pos="105"/>
                <w:tab w:val="left" w:pos="735"/>
                <w:tab w:val="left" w:pos="945"/>
                <w:tab w:val="left" w:pos="3360"/>
              </w:tabs>
              <w:rPr>
                <w:rFonts w:hint="eastAsia" w:ascii="宋体" w:hAnsi="宋体"/>
                <w:szCs w:val="21"/>
              </w:rPr>
            </w:pPr>
            <w:r>
              <w:rPr>
                <w:rFonts w:hint="eastAsia" w:ascii="宋体" w:hAnsi="宋体"/>
                <w:szCs w:val="21"/>
              </w:rPr>
              <w:t>地址：宁波市高新区广贤路997号南楼3楼</w:t>
            </w:r>
          </w:p>
          <w:p>
            <w:pPr>
              <w:tabs>
                <w:tab w:val="left" w:pos="105"/>
                <w:tab w:val="left" w:pos="735"/>
                <w:tab w:val="left" w:pos="945"/>
                <w:tab w:val="left" w:pos="3360"/>
              </w:tabs>
              <w:rPr>
                <w:rFonts w:ascii="宋体" w:hAnsi="宋体" w:eastAsia="宋体"/>
                <w:szCs w:val="21"/>
              </w:rPr>
            </w:pPr>
            <w:r>
              <w:rPr>
                <w:rFonts w:hint="eastAsia" w:ascii="宋体" w:hAnsi="宋体"/>
                <w:szCs w:val="21"/>
              </w:rPr>
              <w:t>邮编：315040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5"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2</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采购方式</w:t>
            </w:r>
          </w:p>
        </w:tc>
        <w:tc>
          <w:tcPr>
            <w:tcW w:w="6911"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3</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联合体投标</w:t>
            </w:r>
          </w:p>
        </w:tc>
        <w:tc>
          <w:tcPr>
            <w:tcW w:w="6911" w:type="dxa"/>
            <w:noWrap w:val="0"/>
            <w:vAlign w:val="center"/>
          </w:tcPr>
          <w:p>
            <w:pPr>
              <w:tabs>
                <w:tab w:val="left" w:pos="105"/>
                <w:tab w:val="left" w:pos="735"/>
                <w:tab w:val="left" w:pos="945"/>
                <w:tab w:val="left" w:pos="3360"/>
              </w:tabs>
              <w:rPr>
                <w:rFonts w:hint="eastAsia" w:ascii="宋体" w:hAnsi="宋体" w:eastAsia="宋体"/>
                <w:szCs w:val="21"/>
                <w:u w:val="single"/>
              </w:rPr>
            </w:pPr>
            <w:r>
              <w:rPr>
                <w:rFonts w:hint="eastAsia" w:ascii="宋体" w:hAnsi="宋体" w:eastAsia="宋体"/>
                <w:szCs w:val="21"/>
                <w:bdr w:val="single" w:color="auto" w:sz="4" w:space="0"/>
                <w:lang w:bidi="ar"/>
              </w:rPr>
              <w:t>√</w:t>
            </w:r>
            <w:r>
              <w:rPr>
                <w:rFonts w:hint="eastAsia" w:ascii="宋体" w:hAnsi="宋体" w:eastAsia="宋体"/>
                <w:szCs w:val="21"/>
                <w:lang w:bidi="ar"/>
              </w:rPr>
              <w:t>不接受；</w:t>
            </w:r>
            <w:r>
              <w:rPr>
                <w:rFonts w:hint="eastAsia" w:ascii="宋体" w:hAnsi="宋体"/>
                <w:szCs w:val="21"/>
                <w:bdr w:val="single" w:color="auto" w:sz="4" w:space="0"/>
              </w:rPr>
              <w:t xml:space="preserve">  </w:t>
            </w:r>
            <w:r>
              <w:rPr>
                <w:rFonts w:hint="eastAsia" w:ascii="宋体" w:hAnsi="宋体" w:eastAsia="宋体"/>
                <w:szCs w:val="21"/>
                <w:lang w:bidi="ar"/>
              </w:rPr>
              <w:t>接受，最多</w:t>
            </w:r>
            <w:r>
              <w:rPr>
                <w:rFonts w:hint="eastAsia" w:ascii="宋体" w:hAnsi="宋体" w:eastAsia="宋体"/>
                <w:szCs w:val="21"/>
                <w:u w:val="single"/>
                <w:lang w:bidi="ar"/>
              </w:rPr>
              <w:t xml:space="preserve">  </w:t>
            </w:r>
            <w:r>
              <w:rPr>
                <w:rFonts w:hint="eastAsia" w:ascii="宋体" w:hAnsi="宋体" w:eastAsia="宋体"/>
                <w:szCs w:val="21"/>
                <w:lang w:bidi="ar"/>
              </w:rPr>
              <w:t>家，联合体要求：XXX。</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45"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4</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专门面向中小微企业招标</w:t>
            </w:r>
          </w:p>
        </w:tc>
        <w:tc>
          <w:tcPr>
            <w:tcW w:w="6911"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 xml:space="preserve">  </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5</w:t>
            </w:r>
          </w:p>
        </w:tc>
        <w:tc>
          <w:tcPr>
            <w:tcW w:w="1701" w:type="dxa"/>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集中现场踏勘(答疑)</w:t>
            </w:r>
          </w:p>
        </w:tc>
        <w:tc>
          <w:tcPr>
            <w:tcW w:w="6911"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w:t>
            </w:r>
            <w:r>
              <w:rPr>
                <w:rFonts w:hint="eastAsia" w:ascii="宋体" w:hAnsi="宋体"/>
                <w:szCs w:val="21"/>
              </w:rPr>
              <w:t>无</w:t>
            </w:r>
            <w:r>
              <w:rPr>
                <w:rFonts w:hint="eastAsia" w:ascii="宋体" w:hAnsi="宋体" w:eastAsia="宋体"/>
                <w:szCs w:val="21"/>
              </w:rPr>
              <w:t>；</w:t>
            </w:r>
            <w:r>
              <w:rPr>
                <w:rFonts w:hint="eastAsia" w:ascii="宋体" w:hAnsi="宋体"/>
                <w:szCs w:val="21"/>
                <w:bdr w:val="single" w:color="auto" w:sz="4" w:space="0"/>
              </w:rPr>
              <w:t xml:space="preserve">  </w:t>
            </w:r>
            <w:r>
              <w:rPr>
                <w:rFonts w:hint="eastAsia" w:ascii="宋体" w:hAnsi="宋体"/>
                <w:szCs w:val="21"/>
              </w:rPr>
              <w:t>有。</w:t>
            </w:r>
          </w:p>
          <w:p>
            <w:pPr>
              <w:tabs>
                <w:tab w:val="left" w:pos="105"/>
                <w:tab w:val="left" w:pos="735"/>
                <w:tab w:val="left" w:pos="945"/>
                <w:tab w:val="left" w:pos="3360"/>
              </w:tabs>
              <w:rPr>
                <w:rFonts w:hint="eastAsia" w:ascii="宋体" w:hAnsi="宋体" w:eastAsia="宋体"/>
                <w:szCs w:val="21"/>
              </w:rPr>
            </w:pPr>
            <w:r>
              <w:rPr>
                <w:rFonts w:hint="eastAsia" w:ascii="宋体" w:hAnsi="宋体" w:eastAsia="宋体"/>
                <w:szCs w:val="21"/>
              </w:rPr>
              <w:t>不组织集中踏勘，可自行踏勘。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6</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讲标与演示</w:t>
            </w:r>
          </w:p>
        </w:tc>
        <w:tc>
          <w:tcPr>
            <w:tcW w:w="6911"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w:t>
            </w:r>
            <w:r>
              <w:rPr>
                <w:rFonts w:hint="eastAsia" w:ascii="宋体" w:hAnsi="宋体"/>
                <w:szCs w:val="21"/>
              </w:rPr>
              <w:t>无；</w:t>
            </w:r>
            <w:r>
              <w:rPr>
                <w:rFonts w:hint="eastAsia" w:ascii="宋体" w:hAnsi="宋体"/>
                <w:szCs w:val="21"/>
                <w:bdr w:val="single" w:color="auto" w:sz="4" w:space="0"/>
              </w:rPr>
              <w:t xml:space="preserve">  </w:t>
            </w:r>
            <w:r>
              <w:rPr>
                <w:rFonts w:hint="eastAsia" w:ascii="宋体" w:hAnsi="宋体"/>
                <w:szCs w:val="21"/>
              </w:rPr>
              <w:t>有，具体要求见项目需求说明及评标标准。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639"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7</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备选报价方案</w:t>
            </w:r>
          </w:p>
        </w:tc>
        <w:tc>
          <w:tcPr>
            <w:tcW w:w="6911" w:type="dxa"/>
            <w:noWrap w:val="0"/>
            <w:vAlign w:val="center"/>
          </w:tcPr>
          <w:p>
            <w:pPr>
              <w:tabs>
                <w:tab w:val="left" w:pos="105"/>
                <w:tab w:val="left" w:pos="735"/>
                <w:tab w:val="left" w:pos="945"/>
                <w:tab w:val="left" w:pos="3360"/>
              </w:tabs>
              <w:rPr>
                <w:rFonts w:hint="eastAsia" w:ascii="宋体" w:hAnsi="宋体" w:eastAsia="宋体"/>
                <w:szCs w:val="21"/>
                <w:lang w:bidi="ar"/>
              </w:rPr>
            </w:pPr>
            <w:r>
              <w:rPr>
                <w:rFonts w:hint="eastAsia" w:ascii="宋体" w:hAnsi="宋体" w:eastAsia="宋体"/>
                <w:szCs w:val="21"/>
                <w:bdr w:val="single" w:color="auto" w:sz="4" w:space="0"/>
                <w:lang w:bidi="ar"/>
              </w:rPr>
              <w:t>√</w:t>
            </w:r>
            <w:r>
              <w:rPr>
                <w:rFonts w:hint="eastAsia" w:ascii="宋体" w:hAnsi="宋体" w:eastAsia="宋体"/>
                <w:szCs w:val="21"/>
                <w:lang w:bidi="ar"/>
              </w:rPr>
              <w:t>不接受；</w:t>
            </w:r>
          </w:p>
          <w:p>
            <w:pPr>
              <w:tabs>
                <w:tab w:val="left" w:pos="105"/>
                <w:tab w:val="left" w:pos="735"/>
                <w:tab w:val="left" w:pos="945"/>
                <w:tab w:val="left" w:pos="3360"/>
              </w:tabs>
              <w:rPr>
                <w:rFonts w:hint="eastAsia" w:ascii="宋体" w:hAnsi="宋体"/>
                <w:szCs w:val="21"/>
                <w:bdr w:val="single" w:color="auto" w:sz="4" w:space="0"/>
              </w:rPr>
            </w:pPr>
            <w:r>
              <w:rPr>
                <w:rFonts w:hint="eastAsia" w:ascii="宋体" w:hAnsi="宋体"/>
                <w:szCs w:val="21"/>
                <w:bdr w:val="single" w:color="auto" w:sz="4" w:space="0"/>
              </w:rPr>
              <w:t xml:space="preserve">  </w:t>
            </w:r>
            <w:r>
              <w:rPr>
                <w:rFonts w:hint="eastAsia" w:ascii="宋体" w:hAnsi="宋体" w:eastAsia="宋体"/>
                <w:szCs w:val="21"/>
                <w:lang w:bidi="ar"/>
              </w:rPr>
              <w:t>接受，</w:t>
            </w:r>
            <w:r>
              <w:rPr>
                <w:rFonts w:hint="eastAsia" w:ascii="宋体" w:hAnsi="宋体"/>
                <w:szCs w:val="21"/>
              </w:rPr>
              <w:t>投标文件未明确主备方案的视为无效标。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8</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服务对象及地点</w:t>
            </w:r>
          </w:p>
        </w:tc>
        <w:tc>
          <w:tcPr>
            <w:tcW w:w="6911"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eastAsia="宋体"/>
                <w:szCs w:val="21"/>
              </w:rPr>
              <w:t>采购人指定，详见</w:t>
            </w:r>
            <w:r>
              <w:rPr>
                <w:rFonts w:hint="eastAsia" w:ascii="宋体" w:hAnsi="宋体"/>
                <w:szCs w:val="21"/>
              </w:rPr>
              <w:t>项目需求说明</w:t>
            </w:r>
            <w:r>
              <w:rPr>
                <w:rFonts w:hint="eastAsia" w:ascii="宋体" w:hAnsi="宋体"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9</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投标有效期</w:t>
            </w:r>
          </w:p>
        </w:tc>
        <w:tc>
          <w:tcPr>
            <w:tcW w:w="6911" w:type="dxa"/>
            <w:noWrap w:val="0"/>
            <w:vAlign w:val="center"/>
          </w:tcPr>
          <w:p>
            <w:pPr>
              <w:tabs>
                <w:tab w:val="left" w:pos="105"/>
                <w:tab w:val="left" w:pos="735"/>
                <w:tab w:val="left" w:pos="945"/>
                <w:tab w:val="left" w:pos="3360"/>
              </w:tabs>
              <w:rPr>
                <w:rFonts w:hint="eastAsia" w:ascii="宋体" w:hAnsi="宋体"/>
                <w:b/>
                <w:szCs w:val="21"/>
              </w:rPr>
            </w:pPr>
            <w:r>
              <w:rPr>
                <w:rFonts w:hint="eastAsia" w:ascii="宋体" w:hAnsi="宋体"/>
                <w:b/>
                <w:szCs w:val="21"/>
              </w:rPr>
              <w:t>开标后90天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25"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10</w:t>
            </w:r>
          </w:p>
        </w:tc>
        <w:tc>
          <w:tcPr>
            <w:tcW w:w="1701" w:type="dxa"/>
            <w:noWrap w:val="0"/>
            <w:vAlign w:val="center"/>
          </w:tcPr>
          <w:p>
            <w:pPr>
              <w:tabs>
                <w:tab w:val="left" w:pos="105"/>
                <w:tab w:val="left" w:pos="735"/>
                <w:tab w:val="left" w:pos="945"/>
                <w:tab w:val="left" w:pos="3360"/>
              </w:tabs>
              <w:jc w:val="center"/>
              <w:rPr>
                <w:rFonts w:hint="eastAsia" w:ascii="宋体" w:hAnsi="宋体"/>
                <w:b/>
                <w:szCs w:val="21"/>
              </w:rPr>
            </w:pPr>
            <w:r>
              <w:rPr>
                <w:rFonts w:hint="eastAsia" w:ascii="宋体" w:hAnsi="宋体"/>
                <w:b/>
                <w:szCs w:val="21"/>
              </w:rPr>
              <w:t>招标文件工本费及中标服务费</w:t>
            </w:r>
          </w:p>
        </w:tc>
        <w:tc>
          <w:tcPr>
            <w:tcW w:w="6911" w:type="dxa"/>
            <w:noWrap w:val="0"/>
            <w:vAlign w:val="center"/>
          </w:tcPr>
          <w:p>
            <w:pPr>
              <w:tabs>
                <w:tab w:val="left" w:pos="105"/>
                <w:tab w:val="left" w:pos="735"/>
                <w:tab w:val="left" w:pos="945"/>
                <w:tab w:val="left" w:pos="3360"/>
              </w:tabs>
              <w:rPr>
                <w:rFonts w:hint="eastAsia" w:ascii="宋体" w:hAnsi="宋体"/>
                <w:b/>
                <w:szCs w:val="21"/>
              </w:rPr>
            </w:pPr>
            <w:r>
              <w:rPr>
                <w:rFonts w:hint="eastAsia" w:ascii="宋体" w:hAnsi="宋体"/>
                <w:bCs/>
                <w:szCs w:val="21"/>
              </w:rPr>
              <w:t>不收取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11</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投标保证金</w:t>
            </w:r>
          </w:p>
        </w:tc>
        <w:tc>
          <w:tcPr>
            <w:tcW w:w="6911" w:type="dxa"/>
            <w:noWrap w:val="0"/>
            <w:vAlign w:val="center"/>
          </w:tcPr>
          <w:p>
            <w:pPr>
              <w:tabs>
                <w:tab w:val="left" w:pos="105"/>
                <w:tab w:val="left" w:pos="735"/>
                <w:tab w:val="left" w:pos="945"/>
                <w:tab w:val="left" w:pos="3360"/>
              </w:tabs>
              <w:rPr>
                <w:rFonts w:hint="eastAsia" w:ascii="宋体" w:hAnsi="宋体" w:eastAsia="宋体"/>
                <w:szCs w:val="21"/>
              </w:rPr>
            </w:pPr>
            <w:r>
              <w:rPr>
                <w:rFonts w:hint="eastAsia" w:ascii="宋体" w:hAnsi="宋体"/>
                <w:szCs w:val="21"/>
              </w:rPr>
              <w:t>不收取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233"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12</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履约保证金</w:t>
            </w:r>
          </w:p>
        </w:tc>
        <w:tc>
          <w:tcPr>
            <w:tcW w:w="6911" w:type="dxa"/>
            <w:noWrap w:val="0"/>
            <w:vAlign w:val="center"/>
          </w:tcPr>
          <w:p>
            <w:pPr>
              <w:tabs>
                <w:tab w:val="left" w:pos="105"/>
                <w:tab w:val="left" w:pos="735"/>
                <w:tab w:val="left" w:pos="945"/>
                <w:tab w:val="left" w:pos="3360"/>
              </w:tabs>
              <w:rPr>
                <w:rFonts w:hint="eastAsia" w:ascii="宋体" w:hAnsi="宋体" w:eastAsia="宋体"/>
                <w:szCs w:val="21"/>
              </w:rPr>
            </w:pPr>
            <w:r>
              <w:rPr>
                <w:rFonts w:hint="eastAsia" w:ascii="宋体" w:hAnsi="宋体"/>
                <w:szCs w:val="21"/>
                <w:bdr w:val="single" w:color="auto" w:sz="4" w:space="0"/>
              </w:rPr>
              <w:t xml:space="preserve">  </w:t>
            </w:r>
            <w:r>
              <w:rPr>
                <w:rFonts w:hint="eastAsia" w:ascii="宋体" w:hAnsi="宋体"/>
                <w:szCs w:val="21"/>
              </w:rPr>
              <w:t>不收取；</w:t>
            </w:r>
            <w:r>
              <w:rPr>
                <w:rFonts w:hint="eastAsia" w:ascii="宋体" w:hAnsi="宋体"/>
                <w:szCs w:val="21"/>
                <w:bdr w:val="single" w:color="auto" w:sz="4" w:space="0"/>
              </w:rPr>
              <w:t>√</w:t>
            </w:r>
            <w:r>
              <w:rPr>
                <w:rFonts w:hint="eastAsia" w:ascii="宋体" w:hAnsi="宋体"/>
                <w:szCs w:val="21"/>
              </w:rPr>
              <w:t>收取，</w:t>
            </w:r>
            <w:r>
              <w:rPr>
                <w:rFonts w:hint="eastAsia" w:ascii="宋体" w:hAnsi="宋体" w:eastAsia="宋体"/>
                <w:szCs w:val="21"/>
              </w:rPr>
              <w:t>详见</w:t>
            </w:r>
            <w:r>
              <w:rPr>
                <w:rFonts w:hint="eastAsia" w:ascii="宋体" w:hAnsi="宋体"/>
                <w:szCs w:val="21"/>
              </w:rPr>
              <w:t>项目需求说明。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353" w:hRule="atLeast"/>
        </w:trPr>
        <w:tc>
          <w:tcPr>
            <w:tcW w:w="675"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13</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采购资金支付方式、时间和条件</w:t>
            </w:r>
          </w:p>
        </w:tc>
        <w:tc>
          <w:tcPr>
            <w:tcW w:w="6911" w:type="dxa"/>
            <w:noWrap w:val="0"/>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 xml:space="preserve">  </w:t>
            </w:r>
            <w:r>
              <w:rPr>
                <w:rFonts w:hint="eastAsia" w:ascii="宋体" w:hAnsi="宋体"/>
                <w:szCs w:val="21"/>
              </w:rPr>
              <w:t>一次性支付：验收合格后15日内一次性支付合同金额的100%；</w:t>
            </w:r>
          </w:p>
          <w:p>
            <w:pPr>
              <w:tabs>
                <w:tab w:val="left" w:pos="105"/>
                <w:tab w:val="left" w:pos="735"/>
                <w:tab w:val="left" w:pos="945"/>
                <w:tab w:val="left" w:pos="3360"/>
              </w:tabs>
              <w:rPr>
                <w:rFonts w:hint="eastAsia" w:ascii="宋体" w:hAnsi="宋体"/>
                <w:szCs w:val="21"/>
              </w:rPr>
            </w:pPr>
            <w:r>
              <w:rPr>
                <w:rFonts w:hint="eastAsia" w:ascii="宋体" w:hAnsi="宋体"/>
                <w:szCs w:val="21"/>
                <w:bdr w:val="single" w:color="auto" w:sz="4" w:space="0"/>
              </w:rPr>
              <w:t>√</w:t>
            </w:r>
            <w:r>
              <w:rPr>
                <w:rFonts w:hint="eastAsia" w:ascii="宋体" w:hAnsi="宋体"/>
                <w:szCs w:val="21"/>
              </w:rPr>
              <w:t>分批支付：</w:t>
            </w:r>
            <w:r>
              <w:rPr>
                <w:rFonts w:hint="eastAsia" w:ascii="宋体" w:hAnsi="宋体" w:eastAsia="宋体"/>
                <w:szCs w:val="21"/>
              </w:rPr>
              <w:t>详见</w:t>
            </w:r>
            <w:r>
              <w:rPr>
                <w:rFonts w:hint="eastAsia" w:ascii="宋体" w:hAnsi="宋体"/>
                <w:szCs w:val="21"/>
              </w:rPr>
              <w:t>项目需求说明</w:t>
            </w:r>
            <w:r>
              <w:rPr>
                <w:rFonts w:hint="eastAsia" w:ascii="宋体" w:hAnsi="宋体"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693" w:hRule="atLeast"/>
        </w:trPr>
        <w:tc>
          <w:tcPr>
            <w:tcW w:w="675" w:type="dxa"/>
            <w:noWrap w:val="0"/>
            <w:vAlign w:val="center"/>
          </w:tcPr>
          <w:p>
            <w:pPr>
              <w:tabs>
                <w:tab w:val="left" w:pos="105"/>
                <w:tab w:val="left" w:pos="735"/>
                <w:tab w:val="left" w:pos="945"/>
                <w:tab w:val="left" w:pos="3360"/>
              </w:tabs>
              <w:jc w:val="center"/>
              <w:rPr>
                <w:rFonts w:ascii="宋体" w:hAnsi="宋体"/>
                <w:szCs w:val="21"/>
              </w:rPr>
            </w:pPr>
            <w:r>
              <w:rPr>
                <w:rFonts w:hint="eastAsia" w:ascii="宋体" w:hAnsi="宋体"/>
                <w:szCs w:val="21"/>
              </w:rPr>
              <w:t>14</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投标文件提交方式</w:t>
            </w:r>
          </w:p>
        </w:tc>
        <w:tc>
          <w:tcPr>
            <w:tcW w:w="6911" w:type="dxa"/>
            <w:noWrap w:val="0"/>
            <w:vAlign w:val="center"/>
          </w:tcPr>
          <w:p>
            <w:pPr>
              <w:tabs>
                <w:tab w:val="left" w:pos="105"/>
                <w:tab w:val="left" w:pos="735"/>
                <w:tab w:val="left" w:pos="945"/>
                <w:tab w:val="left" w:pos="3360"/>
              </w:tabs>
              <w:rPr>
                <w:rFonts w:hint="eastAsia" w:ascii="宋体" w:hAnsi="宋体"/>
                <w:b/>
                <w:bCs/>
                <w:szCs w:val="21"/>
              </w:rPr>
            </w:pPr>
            <w:r>
              <w:rPr>
                <w:rFonts w:hint="eastAsia" w:ascii="宋体" w:hAnsi="宋体" w:eastAsia="宋体"/>
                <w:b/>
                <w:bCs/>
                <w:szCs w:val="21"/>
              </w:rPr>
              <w:t>本项目通过政采云平台进行电子投标，投标人须通过浙江政府采购网（zfcg.czt.zj.gov.cn）发布的政采云电子交易客户端（浙江政府采购网首页“下载专区”下载）制作并上传加密电子投标文件，招标人不接受以纸质文件或其他形式提交的投标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493" w:hRule="atLeast"/>
        </w:trPr>
        <w:tc>
          <w:tcPr>
            <w:tcW w:w="675" w:type="dxa"/>
            <w:noWrap w:val="0"/>
            <w:vAlign w:val="center"/>
          </w:tcPr>
          <w:p>
            <w:pPr>
              <w:tabs>
                <w:tab w:val="left" w:pos="105"/>
                <w:tab w:val="left" w:pos="735"/>
                <w:tab w:val="left" w:pos="945"/>
                <w:tab w:val="left" w:pos="3360"/>
              </w:tabs>
              <w:jc w:val="center"/>
              <w:rPr>
                <w:rFonts w:ascii="宋体" w:hAnsi="宋体"/>
                <w:szCs w:val="21"/>
              </w:rPr>
            </w:pPr>
            <w:r>
              <w:rPr>
                <w:rFonts w:hint="eastAsia" w:ascii="宋体" w:hAnsi="宋体"/>
                <w:szCs w:val="21"/>
              </w:rPr>
              <w:t>15</w:t>
            </w:r>
          </w:p>
        </w:tc>
        <w:tc>
          <w:tcPr>
            <w:tcW w:w="1701" w:type="dxa"/>
            <w:noWrap w:val="0"/>
            <w:vAlign w:val="center"/>
          </w:tcPr>
          <w:p>
            <w:pPr>
              <w:tabs>
                <w:tab w:val="left" w:pos="105"/>
                <w:tab w:val="left" w:pos="735"/>
                <w:tab w:val="left" w:pos="945"/>
                <w:tab w:val="left" w:pos="3360"/>
              </w:tabs>
              <w:jc w:val="center"/>
              <w:rPr>
                <w:rFonts w:hint="eastAsia" w:ascii="宋体" w:hAnsi="宋体"/>
                <w:szCs w:val="21"/>
              </w:rPr>
            </w:pPr>
            <w:r>
              <w:rPr>
                <w:rFonts w:hint="eastAsia" w:ascii="宋体" w:hAnsi="宋体"/>
                <w:szCs w:val="21"/>
              </w:rPr>
              <w:t>其他</w:t>
            </w:r>
          </w:p>
        </w:tc>
        <w:tc>
          <w:tcPr>
            <w:tcW w:w="6911" w:type="dxa"/>
            <w:noWrap w:val="0"/>
            <w:vAlign w:val="center"/>
          </w:tcPr>
          <w:p>
            <w:pPr>
              <w:tabs>
                <w:tab w:val="left" w:pos="105"/>
                <w:tab w:val="left" w:pos="735"/>
                <w:tab w:val="left" w:pos="945"/>
                <w:tab w:val="left" w:pos="3360"/>
              </w:tabs>
              <w:rPr>
                <w:rFonts w:hint="eastAsia" w:ascii="宋体" w:hAnsi="宋体" w:eastAsia="宋体"/>
                <w:b/>
                <w:bCs/>
                <w:sz w:val="24"/>
                <w:szCs w:val="24"/>
              </w:rPr>
            </w:pPr>
            <w:r>
              <w:rPr>
                <w:rFonts w:hint="eastAsia" w:ascii="宋体" w:hAnsi="宋体"/>
                <w:b/>
                <w:bCs/>
                <w:sz w:val="24"/>
                <w:szCs w:val="24"/>
              </w:rPr>
              <w:t>无</w:t>
            </w:r>
          </w:p>
        </w:tc>
      </w:tr>
    </w:tbl>
    <w:p>
      <w:pPr>
        <w:spacing w:line="500" w:lineRule="exact"/>
        <w:jc w:val="center"/>
        <w:rPr>
          <w:rFonts w:hint="eastAsia" w:eastAsia="黑体"/>
          <w:b/>
          <w:sz w:val="32"/>
        </w:rPr>
      </w:pPr>
      <w:r>
        <w:rPr>
          <w:rFonts w:eastAsia="黑体"/>
          <w:sz w:val="32"/>
        </w:rPr>
        <w:br w:type="page"/>
      </w:r>
      <w:r>
        <w:rPr>
          <w:rFonts w:hint="eastAsia" w:eastAsia="黑体"/>
          <w:b/>
          <w:sz w:val="32"/>
        </w:rPr>
        <w:t>第四部分    投标人须知</w:t>
      </w:r>
    </w:p>
    <w:p>
      <w:pPr>
        <w:spacing w:line="500" w:lineRule="exact"/>
        <w:jc w:val="center"/>
        <w:rPr>
          <w:rFonts w:ascii="宋体" w:hAnsi="宋体"/>
          <w:b/>
          <w:sz w:val="24"/>
          <w:szCs w:val="24"/>
        </w:rPr>
      </w:pPr>
      <w:r>
        <w:rPr>
          <w:rFonts w:hint="eastAsia" w:ascii="宋体" w:hAnsi="宋体"/>
          <w:b/>
          <w:sz w:val="24"/>
          <w:szCs w:val="24"/>
        </w:rPr>
        <w:t>A 总则</w:t>
      </w:r>
    </w:p>
    <w:p>
      <w:pPr>
        <w:spacing w:line="500" w:lineRule="exact"/>
        <w:rPr>
          <w:rFonts w:hint="eastAsia" w:ascii="宋体" w:hAnsi="宋体"/>
          <w:sz w:val="24"/>
          <w:szCs w:val="24"/>
        </w:rPr>
      </w:pPr>
      <w:r>
        <w:rPr>
          <w:rFonts w:hint="eastAsia" w:ascii="宋体" w:hAnsi="宋体"/>
          <w:sz w:val="24"/>
          <w:szCs w:val="24"/>
        </w:rPr>
        <w:t xml:space="preserve">    1、适用范围</w:t>
      </w:r>
    </w:p>
    <w:p>
      <w:pPr>
        <w:spacing w:line="500" w:lineRule="exact"/>
        <w:ind w:firstLine="480" w:firstLineChars="200"/>
        <w:rPr>
          <w:rFonts w:hint="eastAsia" w:ascii="宋体" w:hAnsi="宋体"/>
          <w:sz w:val="24"/>
          <w:szCs w:val="24"/>
        </w:rPr>
      </w:pPr>
      <w:r>
        <w:rPr>
          <w:rFonts w:hint="eastAsia" w:ascii="宋体" w:hAnsi="宋体"/>
          <w:sz w:val="24"/>
          <w:szCs w:val="24"/>
        </w:rPr>
        <w:t>1．1 本招标文件适用于投标邀请中所述项目的采购。</w:t>
      </w:r>
    </w:p>
    <w:p>
      <w:pPr>
        <w:spacing w:line="500" w:lineRule="exact"/>
        <w:ind w:firstLine="480" w:firstLineChars="200"/>
        <w:rPr>
          <w:rFonts w:hint="eastAsia" w:ascii="宋体" w:hAnsi="宋体"/>
          <w:sz w:val="24"/>
          <w:szCs w:val="24"/>
        </w:rPr>
      </w:pPr>
      <w:r>
        <w:rPr>
          <w:rFonts w:hint="eastAsia" w:ascii="宋体" w:hAnsi="宋体"/>
          <w:sz w:val="24"/>
          <w:szCs w:val="24"/>
        </w:rPr>
        <w:t>2、定义</w:t>
      </w:r>
    </w:p>
    <w:p>
      <w:pPr>
        <w:spacing w:line="500" w:lineRule="exact"/>
        <w:ind w:firstLine="480" w:firstLineChars="200"/>
        <w:rPr>
          <w:rFonts w:hint="eastAsia" w:ascii="宋体" w:hAnsi="宋体"/>
          <w:sz w:val="24"/>
          <w:szCs w:val="24"/>
        </w:rPr>
      </w:pPr>
      <w:r>
        <w:rPr>
          <w:rFonts w:hint="eastAsia" w:ascii="宋体" w:hAnsi="宋体"/>
          <w:sz w:val="24"/>
          <w:szCs w:val="24"/>
        </w:rPr>
        <w:t>2．1 “采购人”系指依法进行政府采购的国家机关、事业单位、团体组织。</w:t>
      </w:r>
    </w:p>
    <w:p>
      <w:pPr>
        <w:spacing w:line="500" w:lineRule="exact"/>
        <w:ind w:firstLine="480" w:firstLineChars="200"/>
        <w:rPr>
          <w:rFonts w:hint="eastAsia" w:ascii="宋体" w:hAnsi="宋体"/>
          <w:sz w:val="24"/>
          <w:szCs w:val="24"/>
        </w:rPr>
      </w:pPr>
      <w:r>
        <w:rPr>
          <w:rFonts w:hint="eastAsia" w:ascii="宋体" w:hAnsi="宋体"/>
          <w:sz w:val="24"/>
          <w:szCs w:val="24"/>
        </w:rPr>
        <w:t>2．2 “集中采购机构”即宁波国家高新区行政服务中心（宁波国家高新区公共资源交易中心），系指统一组织实施纳入政府采购目录项目采购活动的非营利事业法人。</w:t>
      </w:r>
    </w:p>
    <w:p>
      <w:pPr>
        <w:spacing w:line="500" w:lineRule="exact"/>
        <w:ind w:firstLine="480" w:firstLineChars="200"/>
        <w:rPr>
          <w:rFonts w:hint="eastAsia" w:ascii="宋体" w:hAnsi="宋体"/>
          <w:sz w:val="24"/>
          <w:szCs w:val="24"/>
        </w:rPr>
      </w:pPr>
      <w:r>
        <w:rPr>
          <w:rFonts w:hint="eastAsia" w:ascii="宋体" w:hAnsi="宋体"/>
          <w:sz w:val="24"/>
          <w:szCs w:val="24"/>
        </w:rPr>
        <w:t>2．3 “招标人”系指组织本次招标活动的集中采购机构。</w:t>
      </w:r>
    </w:p>
    <w:p>
      <w:pPr>
        <w:spacing w:line="500" w:lineRule="exact"/>
        <w:ind w:firstLine="480" w:firstLineChars="200"/>
        <w:rPr>
          <w:rFonts w:hint="eastAsia" w:ascii="宋体" w:hAnsi="宋体"/>
          <w:sz w:val="24"/>
          <w:szCs w:val="24"/>
        </w:rPr>
      </w:pPr>
      <w:r>
        <w:rPr>
          <w:rFonts w:hint="eastAsia" w:ascii="宋体" w:hAnsi="宋体"/>
          <w:sz w:val="24"/>
          <w:szCs w:val="24"/>
        </w:rPr>
        <w:t>2．4 “投标人”系指参加本次招标活动符合资格条件的供应商。</w:t>
      </w:r>
    </w:p>
    <w:p>
      <w:pPr>
        <w:spacing w:line="500" w:lineRule="exact"/>
        <w:ind w:firstLine="480" w:firstLineChars="200"/>
        <w:rPr>
          <w:rFonts w:hint="eastAsia" w:ascii="宋体" w:hAnsi="宋体"/>
          <w:sz w:val="24"/>
          <w:szCs w:val="24"/>
        </w:rPr>
      </w:pPr>
      <w:r>
        <w:rPr>
          <w:rFonts w:hint="eastAsia" w:ascii="宋体" w:hAnsi="宋体"/>
          <w:sz w:val="24"/>
          <w:szCs w:val="24"/>
        </w:rPr>
        <w:t>2．5 “投标人代理人”系指参加本次投标活动的投标人授权代表。</w:t>
      </w:r>
    </w:p>
    <w:p>
      <w:pPr>
        <w:spacing w:line="500" w:lineRule="exact"/>
        <w:ind w:firstLine="480" w:firstLineChars="200"/>
        <w:rPr>
          <w:rFonts w:hint="eastAsia" w:ascii="宋体" w:hAnsi="宋体"/>
          <w:sz w:val="24"/>
          <w:szCs w:val="24"/>
        </w:rPr>
      </w:pPr>
      <w:r>
        <w:rPr>
          <w:rFonts w:hint="eastAsia" w:ascii="宋体" w:hAnsi="宋体"/>
          <w:sz w:val="24"/>
          <w:szCs w:val="24"/>
        </w:rPr>
        <w:t>3、合格的投标人和投标产品</w:t>
      </w:r>
    </w:p>
    <w:p>
      <w:pPr>
        <w:spacing w:line="500" w:lineRule="exact"/>
        <w:ind w:firstLine="480" w:firstLineChars="200"/>
        <w:rPr>
          <w:rFonts w:hint="eastAsia" w:ascii="宋体" w:hAnsi="宋体"/>
          <w:sz w:val="24"/>
          <w:szCs w:val="24"/>
        </w:rPr>
      </w:pPr>
      <w:r>
        <w:rPr>
          <w:rFonts w:hint="eastAsia" w:ascii="宋体" w:hAnsi="宋体"/>
          <w:sz w:val="24"/>
          <w:szCs w:val="24"/>
        </w:rPr>
        <w:t>3．1合格的投标人应具备以下条件：</w:t>
      </w:r>
    </w:p>
    <w:p>
      <w:pPr>
        <w:spacing w:line="500" w:lineRule="exact"/>
        <w:ind w:firstLine="480" w:firstLineChars="200"/>
        <w:rPr>
          <w:rFonts w:hint="eastAsia" w:ascii="宋体" w:hAnsi="宋体"/>
          <w:sz w:val="24"/>
          <w:szCs w:val="24"/>
        </w:rPr>
      </w:pPr>
      <w:r>
        <w:rPr>
          <w:rFonts w:hint="eastAsia" w:ascii="宋体" w:hAnsi="宋体"/>
          <w:sz w:val="24"/>
          <w:szCs w:val="24"/>
        </w:rPr>
        <w:t>3．1．1 符合《政府采购法》第二十二条第一款规定的关于供应商基本资格条件。</w:t>
      </w:r>
    </w:p>
    <w:p>
      <w:pPr>
        <w:spacing w:line="500" w:lineRule="exact"/>
        <w:ind w:firstLine="480" w:firstLineChars="200"/>
        <w:rPr>
          <w:rFonts w:hint="eastAsia" w:ascii="宋体" w:hAnsi="宋体"/>
          <w:sz w:val="24"/>
          <w:szCs w:val="24"/>
        </w:rPr>
      </w:pPr>
      <w:r>
        <w:rPr>
          <w:rFonts w:hint="eastAsia" w:ascii="宋体" w:hAnsi="宋体"/>
          <w:sz w:val="24"/>
          <w:szCs w:val="24"/>
        </w:rPr>
        <w:t>3．1．2 投标人应遵守中国的有关法律、法规和规章。</w:t>
      </w:r>
    </w:p>
    <w:p>
      <w:pPr>
        <w:spacing w:line="500" w:lineRule="exact"/>
        <w:ind w:firstLine="480" w:firstLineChars="200"/>
        <w:rPr>
          <w:rFonts w:hint="eastAsia" w:ascii="宋体" w:hAnsi="宋体"/>
          <w:color w:val="auto"/>
          <w:sz w:val="24"/>
          <w:szCs w:val="24"/>
        </w:rPr>
      </w:pPr>
      <w:r>
        <w:rPr>
          <w:rFonts w:hint="eastAsia" w:ascii="宋体" w:hAnsi="宋体"/>
          <w:sz w:val="24"/>
          <w:szCs w:val="24"/>
        </w:rPr>
        <w:t>3．1．3 有能力提</w:t>
      </w:r>
      <w:r>
        <w:rPr>
          <w:rFonts w:hint="eastAsia" w:ascii="宋体" w:hAnsi="宋体"/>
          <w:color w:val="auto"/>
          <w:sz w:val="24"/>
          <w:szCs w:val="24"/>
        </w:rPr>
        <w:t>供本次招标产品并符合投标邀请中规定资质要求的合法营销资格的国内企事业单位，均可参加投标（</w:t>
      </w:r>
      <w:r>
        <w:rPr>
          <w:rFonts w:hint="eastAsia" w:ascii="宋体" w:hAnsi="宋体"/>
          <w:b/>
          <w:bCs/>
          <w:color w:val="auto"/>
          <w:sz w:val="24"/>
          <w:szCs w:val="24"/>
        </w:rPr>
        <w:t>电信、银行、保险等行业实行许可证属地经营的本地分公司可直接参加许可证范围内项目的投标，本地分公司参加非许可证范围内项目投标的须提供公司的授权</w:t>
      </w:r>
      <w:r>
        <w:rPr>
          <w:rFonts w:hint="eastAsia" w:ascii="宋体" w:hAnsi="宋体"/>
          <w:color w:val="auto"/>
          <w:sz w:val="24"/>
          <w:szCs w:val="24"/>
        </w:rPr>
        <w:t>）。</w:t>
      </w:r>
    </w:p>
    <w:p>
      <w:pPr>
        <w:spacing w:line="500" w:lineRule="exact"/>
        <w:ind w:firstLine="480" w:firstLineChars="200"/>
        <w:rPr>
          <w:rFonts w:hint="eastAsia" w:ascii="宋体" w:hAnsi="宋体"/>
          <w:sz w:val="24"/>
          <w:szCs w:val="24"/>
        </w:rPr>
      </w:pPr>
      <w:r>
        <w:rPr>
          <w:rFonts w:hint="eastAsia" w:ascii="宋体" w:hAnsi="宋体"/>
          <w:color w:val="auto"/>
          <w:sz w:val="24"/>
          <w:szCs w:val="24"/>
        </w:rPr>
        <w:t xml:space="preserve">3．1．4 </w:t>
      </w:r>
      <w:r>
        <w:rPr>
          <w:rFonts w:ascii="宋体" w:hAnsi="宋体"/>
          <w:color w:val="auto"/>
          <w:sz w:val="24"/>
          <w:szCs w:val="24"/>
        </w:rPr>
        <w:t>投标人与采购人</w:t>
      </w:r>
      <w:r>
        <w:rPr>
          <w:rFonts w:hint="eastAsia" w:ascii="宋体" w:hAnsi="宋体"/>
          <w:color w:val="auto"/>
          <w:sz w:val="24"/>
          <w:szCs w:val="24"/>
        </w:rPr>
        <w:t>一般</w:t>
      </w:r>
      <w:r>
        <w:rPr>
          <w:rFonts w:ascii="宋体" w:hAnsi="宋体"/>
          <w:color w:val="auto"/>
          <w:sz w:val="24"/>
          <w:szCs w:val="24"/>
        </w:rPr>
        <w:t>应无</w:t>
      </w:r>
      <w:r>
        <w:rPr>
          <w:rFonts w:ascii="宋体" w:hAnsi="宋体"/>
          <w:sz w:val="24"/>
          <w:szCs w:val="24"/>
        </w:rPr>
        <w:t>任何直接或间接的关联</w:t>
      </w:r>
      <w:r>
        <w:rPr>
          <w:rFonts w:hint="eastAsia" w:ascii="宋体" w:hAnsi="宋体"/>
          <w:sz w:val="24"/>
          <w:szCs w:val="24"/>
        </w:rPr>
        <w:t>。</w:t>
      </w:r>
      <w:r>
        <w:rPr>
          <w:rFonts w:hint="eastAsia" w:ascii="宋体" w:hAnsi="宋体"/>
          <w:b/>
          <w:bCs/>
          <w:sz w:val="24"/>
          <w:szCs w:val="24"/>
        </w:rPr>
        <w:t>有关联的，投标人应当在投标截止时间3日前告知招标人，在“诚信投标承诺书”中如实说明，并提供关联关系材料。</w:t>
      </w:r>
    </w:p>
    <w:p>
      <w:pPr>
        <w:spacing w:line="500" w:lineRule="exact"/>
        <w:ind w:firstLine="480" w:firstLineChars="200"/>
        <w:rPr>
          <w:rFonts w:hint="eastAsia" w:ascii="宋体" w:hAnsi="宋体"/>
          <w:sz w:val="24"/>
          <w:szCs w:val="24"/>
        </w:rPr>
      </w:pPr>
      <w:r>
        <w:rPr>
          <w:rFonts w:hint="eastAsia" w:ascii="宋体" w:hAnsi="宋体"/>
          <w:sz w:val="24"/>
          <w:szCs w:val="24"/>
        </w:rPr>
        <w:t>3．1．5 投标人存在下列关联关系情形之一的，不得参加同一标包投标：</w:t>
      </w:r>
    </w:p>
    <w:p>
      <w:pPr>
        <w:spacing w:line="500" w:lineRule="exact"/>
        <w:ind w:firstLine="482" w:firstLineChars="200"/>
        <w:rPr>
          <w:rFonts w:hint="eastAsia" w:ascii="宋体" w:hAnsi="宋体"/>
          <w:b/>
          <w:bCs/>
          <w:sz w:val="24"/>
          <w:szCs w:val="24"/>
        </w:rPr>
      </w:pPr>
      <w:r>
        <w:rPr>
          <w:rFonts w:hint="eastAsia" w:ascii="宋体" w:hAnsi="宋体"/>
          <w:b/>
          <w:bCs/>
          <w:sz w:val="24"/>
          <w:szCs w:val="24"/>
        </w:rPr>
        <w:t>（1）单位负责人（含法定代表人、实际控制人）是同一人的供应商；</w:t>
      </w:r>
    </w:p>
    <w:p>
      <w:pPr>
        <w:spacing w:line="500" w:lineRule="exact"/>
        <w:ind w:firstLine="482" w:firstLineChars="200"/>
        <w:rPr>
          <w:rFonts w:hint="eastAsia" w:ascii="宋体" w:hAnsi="宋体"/>
          <w:b/>
          <w:bCs/>
          <w:sz w:val="24"/>
          <w:szCs w:val="24"/>
        </w:rPr>
      </w:pPr>
      <w:r>
        <w:rPr>
          <w:rFonts w:hint="eastAsia" w:ascii="宋体" w:hAnsi="宋体"/>
          <w:b/>
          <w:bCs/>
          <w:sz w:val="24"/>
          <w:szCs w:val="24"/>
        </w:rPr>
        <w:t>（2）母公司、直接或间接控股的被投资公司；</w:t>
      </w:r>
    </w:p>
    <w:p>
      <w:pPr>
        <w:spacing w:line="500" w:lineRule="exact"/>
        <w:ind w:firstLine="482" w:firstLineChars="200"/>
        <w:rPr>
          <w:rFonts w:hint="eastAsia" w:ascii="宋体" w:hAnsi="宋体"/>
          <w:sz w:val="24"/>
          <w:szCs w:val="24"/>
        </w:rPr>
      </w:pPr>
      <w:r>
        <w:rPr>
          <w:rFonts w:hint="eastAsia" w:ascii="宋体" w:hAnsi="宋体"/>
          <w:b/>
          <w:bCs/>
          <w:sz w:val="24"/>
          <w:szCs w:val="24"/>
        </w:rPr>
        <w:t>（3）为项目提供整体设计、规范编制或者项目管理、监理、检测等服务的供应商，不得再参加该项目的其他采购（具体实施）活动。</w:t>
      </w:r>
      <w:r>
        <w:rPr>
          <w:rFonts w:hint="eastAsia" w:ascii="宋体" w:hAnsi="宋体"/>
          <w:sz w:val="24"/>
          <w:szCs w:val="24"/>
        </w:rPr>
        <w:t xml:space="preserve"> </w:t>
      </w:r>
    </w:p>
    <w:p>
      <w:pPr>
        <w:spacing w:line="500" w:lineRule="exact"/>
        <w:ind w:firstLine="480" w:firstLineChars="200"/>
        <w:rPr>
          <w:rFonts w:hint="eastAsia" w:ascii="宋体" w:hAnsi="宋体"/>
          <w:sz w:val="24"/>
          <w:szCs w:val="24"/>
        </w:rPr>
      </w:pPr>
      <w:r>
        <w:rPr>
          <w:rFonts w:hint="eastAsia" w:ascii="宋体" w:hAnsi="宋体"/>
          <w:sz w:val="24"/>
          <w:szCs w:val="24"/>
        </w:rPr>
        <w:t>3．1．6 一个投标人对一个标包只能提交一个投标文件。</w:t>
      </w:r>
    </w:p>
    <w:p>
      <w:pPr>
        <w:spacing w:line="500" w:lineRule="exact"/>
        <w:ind w:firstLine="480" w:firstLineChars="200"/>
        <w:rPr>
          <w:rFonts w:hint="eastAsia" w:ascii="宋体" w:hAnsi="宋体"/>
          <w:sz w:val="24"/>
          <w:szCs w:val="24"/>
        </w:rPr>
      </w:pPr>
      <w:r>
        <w:rPr>
          <w:rFonts w:hint="eastAsia" w:ascii="宋体" w:hAnsi="宋体"/>
          <w:sz w:val="24"/>
          <w:szCs w:val="24"/>
        </w:rPr>
        <w:t>3．1．7 投标人代理人只能接受一个投标人委托参加投标。</w:t>
      </w:r>
    </w:p>
    <w:p>
      <w:pPr>
        <w:spacing w:line="500" w:lineRule="exact"/>
        <w:ind w:firstLine="480" w:firstLineChars="200"/>
        <w:rPr>
          <w:rFonts w:hint="eastAsia" w:ascii="宋体" w:hAnsi="宋体"/>
          <w:sz w:val="24"/>
          <w:szCs w:val="24"/>
        </w:rPr>
      </w:pPr>
      <w:r>
        <w:rPr>
          <w:rFonts w:hint="eastAsia" w:ascii="宋体" w:hAnsi="宋体"/>
          <w:sz w:val="24"/>
          <w:szCs w:val="24"/>
        </w:rPr>
        <w:t>3．1．8 如投标人代理人不是法定代表人，须持有《法定代表人授权书》。</w:t>
      </w:r>
    </w:p>
    <w:p>
      <w:pPr>
        <w:spacing w:line="500" w:lineRule="exact"/>
        <w:ind w:firstLine="480" w:firstLineChars="200"/>
        <w:rPr>
          <w:rFonts w:hint="eastAsia" w:ascii="宋体" w:hAnsi="宋体"/>
          <w:sz w:val="24"/>
          <w:szCs w:val="24"/>
        </w:rPr>
      </w:pPr>
      <w:r>
        <w:rPr>
          <w:rFonts w:hint="eastAsia" w:ascii="宋体" w:hAnsi="宋体"/>
          <w:sz w:val="24"/>
          <w:szCs w:val="24"/>
        </w:rPr>
        <w:t>3．1．9 除招标文件有规定外，两个或两个以上供应商可以组成一个投标联合体，以一个投标人的身份参加投标。</w:t>
      </w:r>
    </w:p>
    <w:p>
      <w:pPr>
        <w:spacing w:line="500" w:lineRule="exact"/>
        <w:ind w:firstLine="480" w:firstLineChars="200"/>
        <w:rPr>
          <w:rFonts w:hint="eastAsia" w:ascii="宋体" w:hAnsi="宋体"/>
          <w:sz w:val="24"/>
          <w:szCs w:val="24"/>
        </w:rPr>
      </w:pPr>
      <w:r>
        <w:rPr>
          <w:rFonts w:hint="eastAsia" w:ascii="宋体" w:hAnsi="宋体"/>
          <w:sz w:val="24"/>
          <w:szCs w:val="24"/>
        </w:rPr>
        <w:t>以联合体形式参加投标的，联合体各方均应符合《政府采购法》第二十二条第一款规定的关于供应商基本资格条件，联合体中至少应当有一方符合招标文件规定的特定条件。</w:t>
      </w:r>
    </w:p>
    <w:p>
      <w:pPr>
        <w:spacing w:line="500" w:lineRule="exact"/>
        <w:ind w:firstLine="480" w:firstLineChars="200"/>
        <w:rPr>
          <w:rFonts w:hint="eastAsia" w:ascii="宋体" w:hAnsi="宋体"/>
          <w:sz w:val="24"/>
          <w:szCs w:val="24"/>
        </w:rPr>
      </w:pPr>
      <w:r>
        <w:rPr>
          <w:rFonts w:hint="eastAsia" w:ascii="宋体" w:hAnsi="宋体"/>
          <w:sz w:val="24"/>
          <w:szCs w:val="24"/>
        </w:rPr>
        <w:t>联合体各方之间应当签订共同投标协议，明确约定联合体各方承担的工作和相应责任，并将共同投标协议连同投标文件一并提交。</w:t>
      </w:r>
    </w:p>
    <w:p>
      <w:pPr>
        <w:spacing w:line="500" w:lineRule="exact"/>
        <w:ind w:firstLine="480" w:firstLineChars="200"/>
        <w:rPr>
          <w:rFonts w:hint="eastAsia" w:ascii="宋体" w:hAnsi="宋体"/>
          <w:sz w:val="24"/>
          <w:szCs w:val="24"/>
        </w:rPr>
      </w:pPr>
      <w:r>
        <w:rPr>
          <w:rFonts w:hint="eastAsia" w:ascii="宋体" w:hAnsi="宋体"/>
          <w:sz w:val="24"/>
          <w:szCs w:val="24"/>
        </w:rPr>
        <w:t>联合体各方不得再以自己名义单独在同一项目中投标，也不得组成新的联合体参加同一项目投标。</w:t>
      </w:r>
    </w:p>
    <w:p>
      <w:pPr>
        <w:spacing w:line="500" w:lineRule="exact"/>
        <w:ind w:firstLine="480" w:firstLineChars="200"/>
        <w:rPr>
          <w:rFonts w:hint="eastAsia" w:ascii="宋体" w:hAnsi="宋体"/>
          <w:sz w:val="24"/>
          <w:szCs w:val="24"/>
        </w:rPr>
      </w:pPr>
      <w:r>
        <w:rPr>
          <w:rFonts w:hint="eastAsia" w:ascii="宋体" w:hAnsi="宋体"/>
          <w:sz w:val="24"/>
          <w:szCs w:val="24"/>
        </w:rPr>
        <w:t>3．2合格的投标产品或服务</w:t>
      </w:r>
    </w:p>
    <w:p>
      <w:pPr>
        <w:spacing w:line="500" w:lineRule="exact"/>
        <w:ind w:firstLine="480" w:firstLineChars="200"/>
        <w:rPr>
          <w:rFonts w:hint="eastAsia" w:ascii="宋体" w:hAnsi="宋体"/>
          <w:sz w:val="24"/>
          <w:szCs w:val="24"/>
        </w:rPr>
      </w:pPr>
      <w:r>
        <w:rPr>
          <w:rFonts w:hint="eastAsia" w:ascii="宋体" w:hAnsi="宋体"/>
          <w:sz w:val="24"/>
          <w:szCs w:val="24"/>
        </w:rPr>
        <w:t>3.2.1应该是中国境内生产的产品或提供的服务。</w:t>
      </w:r>
    </w:p>
    <w:p>
      <w:pPr>
        <w:spacing w:line="500" w:lineRule="exact"/>
        <w:ind w:firstLine="480" w:firstLineChars="200"/>
        <w:rPr>
          <w:rFonts w:hint="eastAsia" w:ascii="宋体" w:hAnsi="宋体"/>
          <w:sz w:val="24"/>
          <w:szCs w:val="24"/>
        </w:rPr>
      </w:pPr>
      <w:r>
        <w:rPr>
          <w:rFonts w:hint="eastAsia" w:ascii="宋体" w:hAnsi="宋体"/>
          <w:sz w:val="24"/>
          <w:szCs w:val="24"/>
        </w:rPr>
        <w:t>若投标产品或服务属于国家实行许可证制度或生产注册证制度的产品或服务，则应具备相应有效的证书。</w:t>
      </w:r>
    </w:p>
    <w:p>
      <w:pPr>
        <w:spacing w:line="500" w:lineRule="exact"/>
        <w:ind w:firstLine="480" w:firstLineChars="200"/>
        <w:rPr>
          <w:rFonts w:hint="eastAsia" w:ascii="宋体" w:hAnsi="宋体"/>
          <w:sz w:val="24"/>
          <w:szCs w:val="24"/>
        </w:rPr>
      </w:pPr>
      <w:r>
        <w:rPr>
          <w:rFonts w:hint="eastAsia" w:ascii="宋体" w:hAnsi="宋体"/>
          <w:sz w:val="24"/>
          <w:szCs w:val="24"/>
        </w:rPr>
        <w:t>若投标产品属于进口产品，则应按照《政府采购进口产品管理办法》（财库[2007]119号）文件和《关于政府采购进口产品管理有关问题的通知》（财办库[2008]248号）文件办理。</w:t>
      </w:r>
    </w:p>
    <w:p>
      <w:pPr>
        <w:spacing w:line="500" w:lineRule="exact"/>
        <w:ind w:firstLine="480" w:firstLineChars="200"/>
        <w:rPr>
          <w:rFonts w:hint="eastAsia" w:ascii="宋体" w:hAnsi="宋体"/>
          <w:sz w:val="24"/>
          <w:szCs w:val="24"/>
        </w:rPr>
      </w:pPr>
      <w:r>
        <w:rPr>
          <w:rFonts w:hint="eastAsia" w:ascii="宋体" w:hAnsi="宋体"/>
          <w:sz w:val="24"/>
          <w:szCs w:val="24"/>
        </w:rPr>
        <w:t>3.2.2投标人应保证所提供的产品或服务免受第三方提出侵犯其知识产权（专利权、商标权、工业设计权及使用权等）的索赔或起诉，否则由此可能产生的一切法律责任和经济责任均由投标人承担。</w:t>
      </w:r>
    </w:p>
    <w:p>
      <w:pPr>
        <w:spacing w:line="500" w:lineRule="exact"/>
        <w:ind w:firstLine="420"/>
        <w:rPr>
          <w:rFonts w:hint="eastAsia" w:ascii="宋体" w:hAnsi="宋体"/>
          <w:sz w:val="24"/>
          <w:szCs w:val="24"/>
        </w:rPr>
      </w:pPr>
      <w:r>
        <w:rPr>
          <w:rFonts w:hint="eastAsia" w:ascii="宋体" w:hAnsi="宋体"/>
          <w:sz w:val="24"/>
          <w:szCs w:val="24"/>
        </w:rPr>
        <w:t xml:space="preserve"> 4、投标费用</w:t>
      </w:r>
    </w:p>
    <w:p>
      <w:pPr>
        <w:spacing w:line="500" w:lineRule="exact"/>
        <w:ind w:firstLine="420"/>
        <w:rPr>
          <w:rFonts w:hint="eastAsia" w:ascii="宋体" w:hAnsi="宋体"/>
          <w:sz w:val="24"/>
          <w:szCs w:val="24"/>
        </w:rPr>
      </w:pPr>
      <w:r>
        <w:rPr>
          <w:rFonts w:hint="eastAsia" w:ascii="宋体" w:hAnsi="宋体"/>
          <w:sz w:val="24"/>
          <w:szCs w:val="24"/>
        </w:rPr>
        <w:t>4．1 无论投标结果如何，投标人自行承担所有与参加投标有关的全部费用。</w:t>
      </w:r>
    </w:p>
    <w:p>
      <w:pPr>
        <w:spacing w:line="500" w:lineRule="exact"/>
        <w:ind w:firstLine="420"/>
        <w:rPr>
          <w:rFonts w:hint="eastAsia" w:ascii="宋体" w:hAnsi="宋体"/>
          <w:sz w:val="24"/>
          <w:szCs w:val="24"/>
        </w:rPr>
      </w:pPr>
      <w:r>
        <w:rPr>
          <w:rFonts w:hint="eastAsia" w:ascii="宋体" w:hAnsi="宋体"/>
          <w:sz w:val="24"/>
          <w:szCs w:val="24"/>
        </w:rPr>
        <w:t>5、信息公告媒体</w:t>
      </w:r>
    </w:p>
    <w:p>
      <w:pPr>
        <w:spacing w:line="500" w:lineRule="exact"/>
        <w:ind w:firstLine="420"/>
        <w:rPr>
          <w:rFonts w:hint="eastAsia" w:ascii="宋体" w:hAnsi="宋体"/>
          <w:sz w:val="24"/>
          <w:szCs w:val="24"/>
        </w:rPr>
      </w:pPr>
      <w:r>
        <w:rPr>
          <w:rFonts w:hint="eastAsia" w:ascii="宋体" w:hAnsi="宋体"/>
          <w:sz w:val="24"/>
          <w:szCs w:val="24"/>
        </w:rPr>
        <w:t xml:space="preserve">5．1 </w:t>
      </w:r>
      <w:r>
        <w:rPr>
          <w:rFonts w:hint="eastAsia" w:ascii="宋体" w:hAnsi="宋体"/>
          <w:sz w:val="24"/>
        </w:rPr>
        <w:t>浙江政府采购网(zfcg.czt.zj.gov.cn)和宁波政府采购网(www.nbzfcg.cn)</w:t>
      </w:r>
      <w:r>
        <w:rPr>
          <w:rFonts w:hint="eastAsia" w:ascii="宋体" w:hAnsi="宋体"/>
          <w:sz w:val="24"/>
          <w:szCs w:val="24"/>
        </w:rPr>
        <w:t>为政府采购监督管理部门指定的政府采购信息发布媒体。本次政府采购活动有关信息均在上述网站上予以公布，公布信息视同送达所有潜在投标人。</w:t>
      </w:r>
    </w:p>
    <w:p>
      <w:pPr>
        <w:spacing w:line="500" w:lineRule="exact"/>
        <w:ind w:firstLine="420"/>
        <w:jc w:val="center"/>
        <w:rPr>
          <w:rFonts w:hint="eastAsia" w:ascii="宋体" w:hAnsi="宋体"/>
          <w:b/>
          <w:sz w:val="24"/>
          <w:szCs w:val="24"/>
        </w:rPr>
      </w:pPr>
    </w:p>
    <w:p>
      <w:pPr>
        <w:spacing w:line="500" w:lineRule="exact"/>
        <w:ind w:firstLine="420"/>
        <w:jc w:val="center"/>
        <w:rPr>
          <w:rFonts w:hint="eastAsia" w:ascii="宋体" w:hAnsi="宋体"/>
          <w:b/>
          <w:sz w:val="24"/>
          <w:szCs w:val="24"/>
        </w:rPr>
      </w:pPr>
      <w:r>
        <w:rPr>
          <w:rFonts w:hint="eastAsia" w:ascii="宋体" w:hAnsi="宋体"/>
          <w:b/>
          <w:sz w:val="24"/>
          <w:szCs w:val="24"/>
        </w:rPr>
        <w:t>B   招标文件</w:t>
      </w:r>
    </w:p>
    <w:p>
      <w:pPr>
        <w:spacing w:line="500" w:lineRule="exact"/>
        <w:ind w:firstLine="420"/>
        <w:rPr>
          <w:rFonts w:hint="eastAsia" w:ascii="宋体" w:hAnsi="宋体"/>
          <w:sz w:val="24"/>
          <w:szCs w:val="24"/>
        </w:rPr>
      </w:pPr>
      <w:r>
        <w:rPr>
          <w:rFonts w:hint="eastAsia" w:ascii="宋体" w:hAnsi="宋体"/>
          <w:sz w:val="24"/>
          <w:szCs w:val="24"/>
        </w:rPr>
        <w:t xml:space="preserve"> 6、招标文件</w:t>
      </w:r>
    </w:p>
    <w:p>
      <w:pPr>
        <w:spacing w:line="500" w:lineRule="exact"/>
        <w:ind w:firstLine="420"/>
        <w:rPr>
          <w:rFonts w:hint="eastAsia" w:ascii="宋体" w:hAnsi="宋体"/>
          <w:sz w:val="24"/>
          <w:szCs w:val="24"/>
        </w:rPr>
      </w:pPr>
      <w:r>
        <w:rPr>
          <w:rFonts w:hint="eastAsia" w:ascii="宋体" w:hAnsi="宋体"/>
          <w:sz w:val="24"/>
          <w:szCs w:val="24"/>
        </w:rPr>
        <w:t xml:space="preserve"> 6．1招标文件由招标文件总目录所列内容组成。</w:t>
      </w:r>
    </w:p>
    <w:p>
      <w:pPr>
        <w:spacing w:line="500" w:lineRule="exact"/>
        <w:ind w:firstLine="420"/>
        <w:rPr>
          <w:rFonts w:hint="eastAsia" w:ascii="宋体" w:hAnsi="宋体"/>
          <w:sz w:val="24"/>
          <w:szCs w:val="24"/>
        </w:rPr>
      </w:pPr>
      <w:r>
        <w:rPr>
          <w:rFonts w:hint="eastAsia" w:ascii="宋体" w:hAnsi="宋体"/>
          <w:sz w:val="24"/>
          <w:szCs w:val="24"/>
        </w:rPr>
        <w:t xml:space="preserve"> 6．2投标人应详细阅读招标文件的全部内容。不按招标文件的要求提供的投标文件和资料，则可能被视为无效标而导致投标被拒绝。</w:t>
      </w:r>
    </w:p>
    <w:p>
      <w:pPr>
        <w:spacing w:line="500" w:lineRule="exact"/>
        <w:ind w:firstLine="420"/>
        <w:rPr>
          <w:rFonts w:hint="eastAsia" w:ascii="宋体" w:hAnsi="宋体"/>
          <w:b/>
          <w:sz w:val="24"/>
          <w:szCs w:val="24"/>
        </w:rPr>
      </w:pPr>
      <w:r>
        <w:rPr>
          <w:rFonts w:hint="eastAsia" w:ascii="宋体" w:hAnsi="宋体"/>
          <w:sz w:val="24"/>
          <w:szCs w:val="24"/>
        </w:rPr>
        <w:t xml:space="preserve"> 6．3为保证招标的公平性，若招标文件的技术指标要求存在排他性或歧视性条款，请投标人核实后，应在公告期限届满之日起7个工作日内，以书面形式（加盖单位公章）向招标人提出质疑请求、理由及事实证据材料。</w:t>
      </w:r>
    </w:p>
    <w:p>
      <w:pPr>
        <w:spacing w:line="500" w:lineRule="exact"/>
        <w:ind w:firstLine="420"/>
        <w:rPr>
          <w:rFonts w:hint="eastAsia" w:ascii="宋体" w:hAnsi="宋体"/>
          <w:sz w:val="24"/>
          <w:szCs w:val="24"/>
        </w:rPr>
      </w:pPr>
      <w:r>
        <w:rPr>
          <w:rFonts w:hint="eastAsia" w:ascii="宋体" w:hAnsi="宋体"/>
          <w:sz w:val="24"/>
          <w:szCs w:val="24"/>
        </w:rPr>
        <w:t>6．4投标人可在投标截止时间5日前，对招标文件如有疑问要求澄清的，可用书面形式通知招标人，招标人应用书面作答（包括网上公告形式）。如有必要，可将答复内容包括原提出的问题（但不标明问题查询的来源），以网上公告形式通告潜在投标人。</w:t>
      </w:r>
    </w:p>
    <w:p>
      <w:pPr>
        <w:spacing w:line="500" w:lineRule="exact"/>
        <w:ind w:firstLine="420"/>
        <w:rPr>
          <w:rFonts w:hint="eastAsia" w:ascii="宋体" w:hAnsi="宋体"/>
          <w:sz w:val="24"/>
          <w:szCs w:val="24"/>
        </w:rPr>
      </w:pPr>
      <w:r>
        <w:rPr>
          <w:rFonts w:hint="eastAsia" w:ascii="宋体" w:hAnsi="宋体"/>
          <w:sz w:val="24"/>
          <w:szCs w:val="24"/>
        </w:rPr>
        <w:t>6．5招标人在投标截止时间前，可对招标文件做必要的澄清或修改，并在指定的政府采购信息发布媒体上发布补充公告。该澄清或者修改的内容为招标文件的组成部分。</w:t>
      </w:r>
    </w:p>
    <w:p>
      <w:pPr>
        <w:spacing w:line="500" w:lineRule="exact"/>
        <w:ind w:firstLine="420"/>
        <w:rPr>
          <w:rFonts w:hint="eastAsia" w:ascii="宋体" w:hAnsi="宋体"/>
          <w:sz w:val="24"/>
          <w:szCs w:val="24"/>
        </w:rPr>
      </w:pPr>
      <w:r>
        <w:rPr>
          <w:rFonts w:hint="eastAsia" w:ascii="宋体" w:hAnsi="宋体"/>
          <w:sz w:val="24"/>
          <w:szCs w:val="24"/>
        </w:rPr>
        <w:t>6．6因6.4条款或6.5条款做出实质性澄清或修改影响投标人编制投标文件的，至投标截止时间不足15日的，应顺延推迟投标截止时间和开标时间，并在指定的政府采购信息发布媒体上发布补充公告。</w:t>
      </w:r>
    </w:p>
    <w:p>
      <w:pPr>
        <w:spacing w:line="500" w:lineRule="exact"/>
        <w:jc w:val="center"/>
        <w:rPr>
          <w:rFonts w:hint="eastAsia" w:ascii="宋体" w:hAnsi="宋体"/>
          <w:b/>
          <w:sz w:val="24"/>
          <w:szCs w:val="24"/>
        </w:rPr>
      </w:pPr>
      <w:r>
        <w:rPr>
          <w:rFonts w:hint="eastAsia" w:ascii="宋体" w:hAnsi="宋体"/>
          <w:b/>
          <w:sz w:val="24"/>
          <w:szCs w:val="24"/>
        </w:rPr>
        <w:t>C  投标文件</w:t>
      </w:r>
    </w:p>
    <w:p>
      <w:pPr>
        <w:spacing w:line="500" w:lineRule="exact"/>
        <w:rPr>
          <w:rFonts w:hint="eastAsia" w:ascii="宋体" w:hAnsi="宋体"/>
          <w:sz w:val="24"/>
          <w:szCs w:val="24"/>
        </w:rPr>
      </w:pPr>
      <w:r>
        <w:rPr>
          <w:rFonts w:hint="eastAsia" w:ascii="宋体" w:hAnsi="宋体"/>
          <w:b/>
          <w:sz w:val="24"/>
          <w:szCs w:val="24"/>
        </w:rPr>
        <w:t xml:space="preserve">    </w:t>
      </w:r>
      <w:r>
        <w:rPr>
          <w:rFonts w:hint="eastAsia" w:ascii="宋体" w:hAnsi="宋体"/>
          <w:sz w:val="24"/>
          <w:szCs w:val="24"/>
        </w:rPr>
        <w:t>7、投标文件语言和计量单位</w:t>
      </w:r>
    </w:p>
    <w:p>
      <w:pPr>
        <w:pStyle w:val="3"/>
        <w:rPr>
          <w:rFonts w:hint="eastAsia" w:ascii="宋体" w:hAnsi="宋体"/>
          <w:sz w:val="24"/>
          <w:szCs w:val="24"/>
        </w:rPr>
      </w:pPr>
      <w:r>
        <w:rPr>
          <w:rFonts w:hint="eastAsia" w:ascii="宋体" w:hAnsi="宋体"/>
          <w:sz w:val="24"/>
          <w:szCs w:val="24"/>
        </w:rPr>
        <w:t xml:space="preserve"> 7．1投标文件应用中文书写。投标文件中所附或所引用的原件不是中文时，应附中文译本。</w:t>
      </w:r>
    </w:p>
    <w:p>
      <w:pPr>
        <w:pStyle w:val="3"/>
        <w:ind w:firstLine="480" w:firstLineChars="200"/>
        <w:rPr>
          <w:rFonts w:hint="eastAsia" w:ascii="宋体" w:hAnsi="宋体"/>
          <w:sz w:val="24"/>
          <w:szCs w:val="24"/>
        </w:rPr>
      </w:pPr>
      <w:r>
        <w:rPr>
          <w:rFonts w:hint="eastAsia" w:ascii="宋体" w:hAnsi="宋体"/>
          <w:sz w:val="24"/>
          <w:szCs w:val="24"/>
        </w:rPr>
        <w:t>7．2投标文件中所使用的计量单位，除招标文件中有特殊要求外，应采用国家法定计量单位。</w:t>
      </w:r>
    </w:p>
    <w:p>
      <w:pPr>
        <w:spacing w:line="500" w:lineRule="exact"/>
        <w:ind w:firstLine="420"/>
        <w:rPr>
          <w:rFonts w:hint="eastAsia" w:ascii="宋体" w:hAnsi="宋体"/>
          <w:sz w:val="24"/>
          <w:szCs w:val="24"/>
        </w:rPr>
      </w:pPr>
      <w:r>
        <w:rPr>
          <w:rFonts w:hint="eastAsia" w:ascii="宋体" w:hAnsi="宋体"/>
          <w:sz w:val="24"/>
          <w:szCs w:val="24"/>
        </w:rPr>
        <w:t xml:space="preserve"> 8、投标文件的制作</w:t>
      </w:r>
    </w:p>
    <w:p>
      <w:pPr>
        <w:pStyle w:val="70"/>
        <w:numPr>
          <w:ilvl w:val="0"/>
          <w:numId w:val="0"/>
        </w:numPr>
        <w:snapToGrid w:val="0"/>
        <w:spacing w:line="400" w:lineRule="exact"/>
        <w:ind w:firstLine="480" w:firstLineChars="200"/>
        <w:rPr>
          <w:rFonts w:hint="eastAsia"/>
          <w:sz w:val="24"/>
          <w:szCs w:val="24"/>
        </w:rPr>
      </w:pPr>
      <w:r>
        <w:rPr>
          <w:rFonts w:hint="eastAsia"/>
          <w:sz w:val="24"/>
          <w:szCs w:val="24"/>
        </w:rPr>
        <w:t>8.1 投标文件规格幅面（A4）应与正文一致，使用宋体五号字，按照招标文件第六部分对投标文件格式部分规定的顺序，统一编目编码并编制目录。由于编排混乱导致投标文件被误读或查找不到，责任应当由投标人承担。</w:t>
      </w:r>
    </w:p>
    <w:p>
      <w:pPr>
        <w:spacing w:line="500" w:lineRule="exact"/>
        <w:ind w:firstLine="425"/>
        <w:rPr>
          <w:rFonts w:hint="eastAsia" w:ascii="宋体" w:hAnsi="宋体"/>
          <w:b/>
          <w:bCs/>
          <w:sz w:val="24"/>
          <w:szCs w:val="24"/>
        </w:rPr>
      </w:pPr>
      <w:r>
        <w:rPr>
          <w:rFonts w:hint="eastAsia" w:ascii="宋体" w:hAnsi="宋体"/>
          <w:b/>
          <w:bCs/>
          <w:sz w:val="24"/>
          <w:szCs w:val="24"/>
        </w:rPr>
        <w:t>8.2 制作电子投标文件的系统配置要求：64位的windows7及以上操作系统。</w:t>
      </w:r>
    </w:p>
    <w:p>
      <w:pPr>
        <w:spacing w:line="500" w:lineRule="exact"/>
        <w:ind w:firstLine="425"/>
        <w:rPr>
          <w:rFonts w:hint="eastAsia" w:ascii="宋体" w:hAnsi="宋体"/>
          <w:sz w:val="24"/>
          <w:szCs w:val="24"/>
        </w:rPr>
      </w:pPr>
      <w:r>
        <w:rPr>
          <w:rFonts w:hint="eastAsia" w:ascii="宋体" w:hAnsi="宋体"/>
          <w:b/>
          <w:bCs/>
          <w:sz w:val="24"/>
          <w:szCs w:val="24"/>
        </w:rPr>
        <w:t>8.3潜在供应商应提前完成供应商注册，成为浙江省政府采购网</w:t>
      </w:r>
      <w:r>
        <w:rPr>
          <w:rFonts w:ascii="宋体" w:hAnsi="宋体"/>
          <w:b/>
          <w:bCs/>
          <w:sz w:val="24"/>
          <w:szCs w:val="24"/>
        </w:rPr>
        <w:t>(zfcg.czt.zj.gov.cn)</w:t>
      </w:r>
      <w:r>
        <w:rPr>
          <w:rFonts w:hint="eastAsia" w:ascii="宋体" w:hAnsi="宋体"/>
          <w:b/>
          <w:bCs/>
          <w:sz w:val="24"/>
          <w:szCs w:val="24"/>
        </w:rPr>
        <w:t>正式供应商，并完成CA数字证书办理（CA驱动和申领流程：浙江政府采购网 &gt; 下载专区 &gt; 电子投标客户端 &gt; CA驱动和申领流程）。因未注册入库、未办理CA数字证书等原因造成无法投标或投标失败等后果由供应商自行承担。</w:t>
      </w:r>
    </w:p>
    <w:p>
      <w:pPr>
        <w:spacing w:line="500" w:lineRule="exact"/>
        <w:ind w:firstLine="425"/>
        <w:rPr>
          <w:rFonts w:hint="eastAsia" w:ascii="宋体" w:hAnsi="宋体"/>
          <w:sz w:val="24"/>
          <w:szCs w:val="24"/>
        </w:rPr>
      </w:pPr>
      <w:r>
        <w:rPr>
          <w:rFonts w:hint="eastAsia" w:ascii="宋体" w:hAnsi="宋体"/>
          <w:sz w:val="24"/>
          <w:szCs w:val="24"/>
        </w:rPr>
        <w:t>8.4供应商通过政采云电子交易客户端（下载位置：浙江政府采购网 &gt; 下载专区 &gt; 电子投标客户端 &gt; 政采云电子交易客户端）制作电子加密投标文件（后缀jmbs），按“供应商-电子交易操作手册.pdf”及本招标文件规定的格式和顺序编制并进行关联定位、加密并在投标截止时间前上传。</w:t>
      </w:r>
    </w:p>
    <w:p>
      <w:pPr>
        <w:spacing w:line="500" w:lineRule="exact"/>
        <w:ind w:firstLine="425"/>
        <w:rPr>
          <w:rFonts w:hint="eastAsia" w:ascii="宋体" w:hAnsi="宋体"/>
          <w:sz w:val="24"/>
          <w:szCs w:val="24"/>
        </w:rPr>
      </w:pPr>
      <w:r>
        <w:rPr>
          <w:rFonts w:hint="eastAsia" w:ascii="宋体" w:hAnsi="宋体"/>
          <w:sz w:val="24"/>
          <w:szCs w:val="24"/>
        </w:rPr>
        <w:t>8.5 供应商在使用电子交易平台进行投标的过程中遇到涉及平台使用的任何问题，可致电政采云平台技术支持热线咨询，联系方式：400-881-7190（服务时间：工作日8：00-20：00）。</w:t>
      </w:r>
    </w:p>
    <w:p>
      <w:pPr>
        <w:tabs>
          <w:tab w:val="left" w:pos="0"/>
        </w:tabs>
        <w:spacing w:line="500" w:lineRule="exact"/>
        <w:ind w:firstLine="420"/>
        <w:rPr>
          <w:rFonts w:hint="eastAsia" w:ascii="宋体" w:hAnsi="宋体"/>
          <w:sz w:val="24"/>
          <w:szCs w:val="24"/>
        </w:rPr>
      </w:pPr>
      <w:r>
        <w:rPr>
          <w:rFonts w:hint="eastAsia" w:ascii="宋体" w:hAnsi="宋体"/>
          <w:sz w:val="24"/>
          <w:szCs w:val="24"/>
        </w:rPr>
        <w:t>9、投标报价</w:t>
      </w:r>
    </w:p>
    <w:p>
      <w:pPr>
        <w:tabs>
          <w:tab w:val="left" w:pos="0"/>
        </w:tabs>
        <w:spacing w:line="500" w:lineRule="exact"/>
        <w:ind w:firstLine="420"/>
        <w:rPr>
          <w:rFonts w:hint="eastAsia" w:ascii="宋体" w:hAnsi="宋体"/>
          <w:sz w:val="24"/>
          <w:szCs w:val="24"/>
        </w:rPr>
      </w:pPr>
      <w:r>
        <w:rPr>
          <w:rFonts w:hint="eastAsia" w:ascii="宋体" w:hAnsi="宋体"/>
          <w:sz w:val="24"/>
          <w:szCs w:val="24"/>
        </w:rPr>
        <w:t>9．1投标人要按投标产品数量、价格表的内容要求完整填写。</w:t>
      </w:r>
    </w:p>
    <w:p>
      <w:pPr>
        <w:tabs>
          <w:tab w:val="left" w:pos="0"/>
        </w:tabs>
        <w:spacing w:line="500" w:lineRule="exact"/>
        <w:ind w:firstLine="420"/>
        <w:rPr>
          <w:rFonts w:hint="eastAsia" w:ascii="宋体" w:hAnsi="宋体"/>
          <w:sz w:val="24"/>
          <w:szCs w:val="24"/>
        </w:rPr>
      </w:pPr>
      <w:r>
        <w:rPr>
          <w:rFonts w:hint="eastAsia" w:ascii="宋体" w:hAnsi="宋体"/>
          <w:sz w:val="24"/>
          <w:szCs w:val="24"/>
        </w:rPr>
        <w:t>9．2对于非标准产品的投标，还应填报报价明细表（报价明细表格式由投标人自行设计）。</w:t>
      </w:r>
    </w:p>
    <w:p>
      <w:pPr>
        <w:tabs>
          <w:tab w:val="left" w:pos="0"/>
        </w:tabs>
        <w:spacing w:line="500" w:lineRule="exact"/>
        <w:ind w:firstLine="420"/>
        <w:rPr>
          <w:rFonts w:hint="eastAsia" w:ascii="宋体" w:hAnsi="宋体"/>
          <w:sz w:val="24"/>
          <w:szCs w:val="24"/>
        </w:rPr>
      </w:pPr>
      <w:r>
        <w:rPr>
          <w:rFonts w:hint="eastAsia" w:ascii="宋体" w:hAnsi="宋体"/>
          <w:sz w:val="24"/>
          <w:szCs w:val="24"/>
        </w:rPr>
        <w:t>9．3所有投标均以人民币报价，投标人如需用外汇购入某些投标产品，须折合人民币计入总报价中，同时提供美金报价、折扣率、与人民币比值。</w:t>
      </w:r>
    </w:p>
    <w:p>
      <w:pPr>
        <w:tabs>
          <w:tab w:val="left" w:pos="0"/>
        </w:tabs>
        <w:spacing w:line="500" w:lineRule="exact"/>
        <w:ind w:firstLine="420"/>
        <w:rPr>
          <w:rFonts w:hint="eastAsia" w:ascii="宋体" w:hAnsi="宋体"/>
          <w:sz w:val="24"/>
          <w:szCs w:val="24"/>
        </w:rPr>
      </w:pPr>
      <w:r>
        <w:rPr>
          <w:rFonts w:hint="eastAsia" w:ascii="宋体" w:hAnsi="宋体"/>
          <w:sz w:val="24"/>
          <w:szCs w:val="24"/>
        </w:rPr>
        <w:t>9．4除招标文件中有特殊规定外，招标人不接受任何选择报价，投标人对每一种产品只允许有一个报价。</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9．5最低报价不能作为中标的保证。</w:t>
      </w:r>
    </w:p>
    <w:p>
      <w:pPr>
        <w:tabs>
          <w:tab w:val="left" w:pos="0"/>
        </w:tabs>
        <w:spacing w:line="500" w:lineRule="exact"/>
        <w:ind w:left="420"/>
        <w:rPr>
          <w:rFonts w:hint="eastAsia" w:ascii="宋体" w:hAnsi="宋体"/>
          <w:sz w:val="24"/>
          <w:szCs w:val="24"/>
        </w:rPr>
      </w:pPr>
      <w:r>
        <w:rPr>
          <w:rFonts w:hint="eastAsia" w:ascii="宋体" w:hAnsi="宋体"/>
          <w:sz w:val="24"/>
          <w:szCs w:val="24"/>
        </w:rPr>
        <w:t>10、投标文件的有效期</w:t>
      </w:r>
    </w:p>
    <w:p>
      <w:pPr>
        <w:tabs>
          <w:tab w:val="left" w:pos="0"/>
        </w:tabs>
        <w:spacing w:line="500" w:lineRule="exact"/>
        <w:ind w:firstLine="420"/>
        <w:rPr>
          <w:rFonts w:hint="eastAsia" w:ascii="宋体" w:hAnsi="宋体"/>
          <w:sz w:val="24"/>
          <w:szCs w:val="24"/>
        </w:rPr>
      </w:pPr>
      <w:r>
        <w:rPr>
          <w:rFonts w:hint="eastAsia" w:ascii="宋体" w:hAnsi="宋体"/>
          <w:sz w:val="24"/>
          <w:szCs w:val="24"/>
        </w:rPr>
        <w:t>10．1在投标有效期内，投标文件应保持有效。</w:t>
      </w:r>
    </w:p>
    <w:p>
      <w:pPr>
        <w:tabs>
          <w:tab w:val="left" w:pos="0"/>
        </w:tabs>
        <w:spacing w:line="500" w:lineRule="exact"/>
        <w:ind w:firstLine="420"/>
        <w:rPr>
          <w:rFonts w:hint="eastAsia" w:ascii="宋体" w:hAnsi="宋体"/>
          <w:sz w:val="24"/>
          <w:szCs w:val="24"/>
        </w:rPr>
      </w:pPr>
      <w:r>
        <w:rPr>
          <w:rFonts w:hint="eastAsia" w:ascii="宋体" w:hAnsi="宋体"/>
          <w:sz w:val="24"/>
          <w:szCs w:val="24"/>
        </w:rPr>
        <w:t>10．2在特殊情况下，招标人可与投标人协商延长投标标书的有效期，这种要求和答复都应以书面的形式进行，同意延长有效期的投标人不能修改投标文件。</w:t>
      </w:r>
    </w:p>
    <w:p>
      <w:pPr>
        <w:tabs>
          <w:tab w:val="left" w:pos="0"/>
        </w:tabs>
        <w:spacing w:line="500" w:lineRule="exact"/>
        <w:rPr>
          <w:rFonts w:hint="eastAsia" w:ascii="宋体" w:hAnsi="宋体"/>
          <w:sz w:val="24"/>
          <w:szCs w:val="24"/>
        </w:rPr>
      </w:pPr>
      <w:r>
        <w:rPr>
          <w:rFonts w:hint="eastAsia" w:ascii="宋体" w:hAnsi="宋体"/>
          <w:sz w:val="24"/>
          <w:szCs w:val="24"/>
        </w:rPr>
        <w:tab/>
      </w:r>
      <w:r>
        <w:rPr>
          <w:rFonts w:hint="eastAsia" w:ascii="宋体" w:hAnsi="宋体"/>
          <w:sz w:val="24"/>
          <w:szCs w:val="24"/>
        </w:rPr>
        <w:t>11、投标文件的签署</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投标文件应按招标文件第</w:t>
      </w:r>
      <w:r>
        <w:rPr>
          <w:rFonts w:hint="eastAsia"/>
          <w:sz w:val="24"/>
          <w:szCs w:val="24"/>
        </w:rPr>
        <w:t>六</w:t>
      </w:r>
      <w:r>
        <w:rPr>
          <w:rFonts w:hint="eastAsia" w:ascii="宋体" w:hAnsi="宋体"/>
          <w:sz w:val="24"/>
          <w:szCs w:val="24"/>
        </w:rPr>
        <w:t>部分对投标文件格式部分规定的要求进行签署。</w:t>
      </w:r>
    </w:p>
    <w:p>
      <w:pPr>
        <w:tabs>
          <w:tab w:val="left" w:pos="0"/>
        </w:tabs>
        <w:spacing w:line="500" w:lineRule="exact"/>
        <w:rPr>
          <w:rFonts w:hint="eastAsia" w:ascii="宋体" w:hAnsi="宋体"/>
          <w:sz w:val="24"/>
          <w:szCs w:val="24"/>
        </w:rPr>
      </w:pPr>
    </w:p>
    <w:p>
      <w:pPr>
        <w:tabs>
          <w:tab w:val="left" w:pos="0"/>
        </w:tabs>
        <w:spacing w:line="500" w:lineRule="exact"/>
        <w:ind w:firstLine="420"/>
        <w:jc w:val="center"/>
        <w:rPr>
          <w:rFonts w:hint="eastAsia" w:ascii="宋体" w:hAnsi="宋体"/>
          <w:b/>
          <w:sz w:val="24"/>
          <w:szCs w:val="24"/>
        </w:rPr>
      </w:pPr>
      <w:r>
        <w:rPr>
          <w:rFonts w:hint="eastAsia" w:ascii="宋体" w:hAnsi="宋体"/>
          <w:b/>
          <w:sz w:val="24"/>
          <w:szCs w:val="24"/>
        </w:rPr>
        <w:t>D投标文件的递交</w:t>
      </w:r>
    </w:p>
    <w:p>
      <w:pPr>
        <w:numPr>
          <w:ilvl w:val="0"/>
          <w:numId w:val="11"/>
        </w:numPr>
        <w:tabs>
          <w:tab w:val="left" w:pos="0"/>
        </w:tabs>
        <w:spacing w:line="500" w:lineRule="exact"/>
        <w:ind w:firstLine="420"/>
        <w:rPr>
          <w:rFonts w:hint="eastAsia" w:ascii="宋体" w:hAnsi="宋体"/>
          <w:sz w:val="24"/>
          <w:szCs w:val="24"/>
        </w:rPr>
      </w:pPr>
      <w:r>
        <w:rPr>
          <w:rFonts w:hint="eastAsia" w:ascii="宋体" w:hAnsi="宋体"/>
          <w:sz w:val="24"/>
          <w:szCs w:val="24"/>
        </w:rPr>
        <w:t>投标截止时间</w:t>
      </w:r>
    </w:p>
    <w:p>
      <w:pPr>
        <w:snapToGrid w:val="0"/>
        <w:ind w:firstLine="420"/>
        <w:rPr>
          <w:rFonts w:ascii="微软雅黑" w:hAnsi="微软雅黑" w:eastAsia="微软雅黑" w:cs="微软雅黑"/>
          <w:szCs w:val="21"/>
        </w:rPr>
      </w:pPr>
      <w:r>
        <w:rPr>
          <w:rFonts w:hint="eastAsia" w:ascii="宋体" w:hAnsi="宋体"/>
          <w:sz w:val="24"/>
          <w:szCs w:val="24"/>
        </w:rPr>
        <w:t>投标文件须按照招标文件规定的投标时间上传。截至投标截止时间，电子投标通道将关闭，投标人未完成电子投标文件上传的，投标将被拒绝。</w:t>
      </w:r>
    </w:p>
    <w:p>
      <w:pPr>
        <w:pStyle w:val="70"/>
        <w:numPr>
          <w:ilvl w:val="0"/>
          <w:numId w:val="0"/>
        </w:numPr>
        <w:spacing w:line="400" w:lineRule="exact"/>
        <w:ind w:firstLine="420"/>
        <w:rPr>
          <w:rFonts w:hint="eastAsia"/>
          <w:sz w:val="24"/>
          <w:szCs w:val="24"/>
        </w:rPr>
      </w:pPr>
      <w:r>
        <w:rPr>
          <w:rFonts w:hint="eastAsia"/>
          <w:sz w:val="24"/>
          <w:szCs w:val="24"/>
        </w:rPr>
        <w:t>13、投标文件的补充、修改和撤回</w:t>
      </w:r>
    </w:p>
    <w:p>
      <w:pPr>
        <w:snapToGrid w:val="0"/>
        <w:ind w:firstLine="420"/>
        <w:rPr>
          <w:rFonts w:hint="eastAsia" w:ascii="宋体" w:hAnsi="宋体"/>
          <w:sz w:val="24"/>
          <w:szCs w:val="24"/>
        </w:rPr>
      </w:pPr>
      <w:r>
        <w:rPr>
          <w:rFonts w:hint="eastAsia" w:ascii="宋体" w:hAnsi="宋体"/>
          <w:sz w:val="24"/>
          <w:szCs w:val="24"/>
        </w:rPr>
        <w:t>13.1 投标人在投标截止时间前，可对其所递交的投标文件进行补充、修改或者撤回。</w:t>
      </w:r>
    </w:p>
    <w:p>
      <w:pPr>
        <w:snapToGrid w:val="0"/>
        <w:ind w:firstLine="420"/>
        <w:rPr>
          <w:rFonts w:hint="eastAsia" w:ascii="宋体" w:hAnsi="宋体"/>
          <w:sz w:val="24"/>
          <w:szCs w:val="24"/>
        </w:rPr>
      </w:pPr>
      <w:r>
        <w:rPr>
          <w:rFonts w:hint="eastAsia" w:ascii="宋体" w:hAnsi="宋体"/>
          <w:sz w:val="24"/>
          <w:szCs w:val="24"/>
        </w:rPr>
        <w:t>13.2 投标人在投标截止时间前需要对投标文件进行补充、修改的，应当使用投标文件制作工具重新制作并上传。</w:t>
      </w:r>
    </w:p>
    <w:p>
      <w:pPr>
        <w:snapToGrid w:val="0"/>
        <w:ind w:firstLine="420"/>
        <w:rPr>
          <w:rFonts w:hint="eastAsia" w:ascii="宋体" w:hAnsi="宋体"/>
          <w:sz w:val="24"/>
          <w:szCs w:val="24"/>
        </w:rPr>
      </w:pPr>
      <w:r>
        <w:rPr>
          <w:rFonts w:hint="eastAsia" w:ascii="宋体" w:hAnsi="宋体"/>
          <w:sz w:val="24"/>
          <w:szCs w:val="24"/>
        </w:rPr>
        <w:t>13.3 在投标截止时间之后，投标人不得撤回投标。</w:t>
      </w:r>
    </w:p>
    <w:p>
      <w:pPr>
        <w:tabs>
          <w:tab w:val="left" w:pos="0"/>
        </w:tabs>
        <w:spacing w:line="500" w:lineRule="exact"/>
        <w:ind w:firstLine="420"/>
        <w:jc w:val="center"/>
        <w:rPr>
          <w:rFonts w:hint="eastAsia" w:ascii="宋体" w:hAnsi="宋体"/>
          <w:b/>
          <w:sz w:val="24"/>
          <w:szCs w:val="24"/>
        </w:rPr>
      </w:pPr>
    </w:p>
    <w:p>
      <w:pPr>
        <w:tabs>
          <w:tab w:val="left" w:pos="0"/>
        </w:tabs>
        <w:spacing w:line="500" w:lineRule="exact"/>
        <w:ind w:firstLine="420"/>
        <w:jc w:val="center"/>
        <w:rPr>
          <w:rFonts w:hint="eastAsia" w:ascii="宋体" w:hAnsi="宋体"/>
          <w:b/>
          <w:sz w:val="24"/>
          <w:szCs w:val="24"/>
        </w:rPr>
      </w:pPr>
      <w:r>
        <w:rPr>
          <w:rFonts w:hint="eastAsia" w:ascii="宋体" w:hAnsi="宋体"/>
          <w:b/>
          <w:sz w:val="24"/>
          <w:szCs w:val="24"/>
        </w:rPr>
        <w:t>E  开标及评标</w:t>
      </w:r>
    </w:p>
    <w:p>
      <w:pPr>
        <w:spacing w:line="500" w:lineRule="exact"/>
        <w:ind w:firstLine="664" w:firstLineChars="277"/>
        <w:rPr>
          <w:rFonts w:hint="eastAsia" w:ascii="宋体" w:hAnsi="宋体"/>
          <w:sz w:val="24"/>
          <w:szCs w:val="24"/>
        </w:rPr>
      </w:pPr>
      <w:r>
        <w:rPr>
          <w:rFonts w:hint="eastAsia" w:ascii="宋体" w:hAnsi="宋体"/>
          <w:sz w:val="24"/>
          <w:szCs w:val="24"/>
        </w:rPr>
        <w:t>14. 开标评标过程中出现以下情形，导致电子交易平台无法正常运行，且无法保证电子交易的公平、公正和安全时，招标人可暂停电子交易活动：</w:t>
      </w:r>
    </w:p>
    <w:p>
      <w:pPr>
        <w:spacing w:line="500" w:lineRule="exact"/>
        <w:ind w:firstLine="664" w:firstLineChars="277"/>
        <w:rPr>
          <w:rFonts w:hint="eastAsia" w:ascii="宋体" w:hAnsi="宋体"/>
          <w:sz w:val="24"/>
          <w:szCs w:val="24"/>
        </w:rPr>
      </w:pPr>
      <w:r>
        <w:rPr>
          <w:rFonts w:hint="eastAsia" w:ascii="宋体" w:hAnsi="宋体"/>
          <w:sz w:val="24"/>
          <w:szCs w:val="24"/>
        </w:rPr>
        <w:t xml:space="preserve">14.1电子交易平台发生故障而无法登录访问的； </w:t>
      </w:r>
    </w:p>
    <w:p>
      <w:pPr>
        <w:spacing w:line="500" w:lineRule="exact"/>
        <w:ind w:firstLine="664" w:firstLineChars="277"/>
        <w:rPr>
          <w:rFonts w:hint="eastAsia" w:ascii="宋体" w:hAnsi="宋体"/>
          <w:sz w:val="24"/>
          <w:szCs w:val="24"/>
        </w:rPr>
      </w:pPr>
      <w:r>
        <w:rPr>
          <w:rFonts w:hint="eastAsia" w:ascii="宋体" w:hAnsi="宋体"/>
          <w:sz w:val="24"/>
          <w:szCs w:val="24"/>
        </w:rPr>
        <w:t>14.2电子交易平台应用或数据库出现错误，不能进行正常操作的；</w:t>
      </w:r>
    </w:p>
    <w:p>
      <w:pPr>
        <w:spacing w:line="500" w:lineRule="exact"/>
        <w:ind w:firstLine="664" w:firstLineChars="277"/>
        <w:rPr>
          <w:rFonts w:hint="eastAsia" w:ascii="宋体" w:hAnsi="宋体"/>
          <w:sz w:val="24"/>
          <w:szCs w:val="24"/>
        </w:rPr>
      </w:pPr>
      <w:r>
        <w:rPr>
          <w:rFonts w:hint="eastAsia" w:ascii="宋体" w:hAnsi="宋体"/>
          <w:sz w:val="24"/>
          <w:szCs w:val="24"/>
        </w:rPr>
        <w:t>14.3电子交易平台发现严重安全漏洞，有潜在泄密危险的；</w:t>
      </w:r>
    </w:p>
    <w:p>
      <w:pPr>
        <w:spacing w:line="500" w:lineRule="exact"/>
        <w:ind w:firstLine="664" w:firstLineChars="277"/>
        <w:rPr>
          <w:rFonts w:hint="eastAsia" w:ascii="宋体" w:hAnsi="宋体"/>
          <w:sz w:val="24"/>
          <w:szCs w:val="24"/>
        </w:rPr>
      </w:pPr>
      <w:r>
        <w:rPr>
          <w:rFonts w:hint="eastAsia" w:ascii="宋体" w:hAnsi="宋体"/>
          <w:sz w:val="24"/>
          <w:szCs w:val="24"/>
        </w:rPr>
        <w:t xml:space="preserve">14.4病毒发作导致不能进行正常操作的； </w:t>
      </w:r>
    </w:p>
    <w:p>
      <w:pPr>
        <w:spacing w:line="500" w:lineRule="exact"/>
        <w:ind w:firstLine="664" w:firstLineChars="277"/>
        <w:rPr>
          <w:rFonts w:hint="eastAsia" w:ascii="宋体" w:hAnsi="宋体"/>
          <w:sz w:val="24"/>
          <w:szCs w:val="24"/>
        </w:rPr>
      </w:pPr>
      <w:r>
        <w:rPr>
          <w:rFonts w:hint="eastAsia" w:ascii="宋体" w:hAnsi="宋体"/>
          <w:sz w:val="24"/>
          <w:szCs w:val="24"/>
        </w:rPr>
        <w:t>14.5其他无法保证电子交易的公平、公正和安全的情况。</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出现前款规定情形，不影响采购公平、公正性的，招标人可以待上述情形消除后继续组织电子交易活动；影响或可能影响采购公平、公正性的，应当重新组织采购。 </w:t>
      </w:r>
    </w:p>
    <w:p>
      <w:pPr>
        <w:tabs>
          <w:tab w:val="left" w:pos="0"/>
        </w:tabs>
        <w:spacing w:line="500" w:lineRule="exact"/>
        <w:ind w:firstLine="420"/>
        <w:rPr>
          <w:rFonts w:hint="eastAsia" w:ascii="宋体" w:hAnsi="宋体"/>
          <w:sz w:val="24"/>
          <w:szCs w:val="24"/>
        </w:rPr>
      </w:pPr>
      <w:r>
        <w:rPr>
          <w:rFonts w:hint="eastAsia" w:ascii="宋体" w:hAnsi="宋体"/>
          <w:sz w:val="24"/>
          <w:szCs w:val="24"/>
        </w:rPr>
        <w:t>15．电子开标</w:t>
      </w:r>
    </w:p>
    <w:p>
      <w:pPr>
        <w:tabs>
          <w:tab w:val="left" w:pos="0"/>
        </w:tabs>
        <w:spacing w:line="500" w:lineRule="exact"/>
        <w:ind w:firstLine="480"/>
        <w:rPr>
          <w:rFonts w:hint="eastAsia" w:ascii="宋体" w:hAnsi="宋体"/>
          <w:sz w:val="24"/>
          <w:szCs w:val="24"/>
        </w:rPr>
      </w:pPr>
      <w:r>
        <w:rPr>
          <w:rFonts w:hint="eastAsia" w:ascii="宋体" w:hAnsi="宋体"/>
          <w:sz w:val="24"/>
          <w:szCs w:val="24"/>
        </w:rPr>
        <w:t>15．1  招标人在政采云平台主持电子开标。</w:t>
      </w:r>
    </w:p>
    <w:p>
      <w:pPr>
        <w:tabs>
          <w:tab w:val="left" w:pos="0"/>
        </w:tabs>
        <w:spacing w:line="500" w:lineRule="exact"/>
        <w:ind w:firstLine="480"/>
        <w:rPr>
          <w:rFonts w:hint="eastAsia" w:ascii="宋体" w:hAnsi="宋体"/>
          <w:sz w:val="24"/>
        </w:rPr>
      </w:pPr>
      <w:r>
        <w:rPr>
          <w:rFonts w:hint="eastAsia" w:ascii="宋体" w:hAnsi="宋体"/>
          <w:sz w:val="24"/>
          <w:szCs w:val="24"/>
        </w:rPr>
        <w:t>15.1.1 投标截止时间</w:t>
      </w:r>
      <w:r>
        <w:rPr>
          <w:rFonts w:hint="eastAsia" w:ascii="宋体" w:hAnsi="宋体"/>
          <w:sz w:val="24"/>
        </w:rPr>
        <w:t>到，投标人不足3家，不进入标书解密开标程序。</w:t>
      </w:r>
    </w:p>
    <w:p>
      <w:pPr>
        <w:tabs>
          <w:tab w:val="left" w:pos="0"/>
        </w:tabs>
        <w:spacing w:line="500" w:lineRule="exact"/>
        <w:ind w:firstLine="480"/>
        <w:rPr>
          <w:rFonts w:hint="eastAsia" w:ascii="宋体" w:hAnsi="宋体"/>
          <w:sz w:val="24"/>
          <w:szCs w:val="24"/>
        </w:rPr>
      </w:pPr>
      <w:r>
        <w:rPr>
          <w:rFonts w:hint="eastAsia" w:ascii="宋体" w:hAnsi="宋体"/>
          <w:sz w:val="24"/>
        </w:rPr>
        <w:t>15.1.2 投标人</w:t>
      </w:r>
      <w:r>
        <w:rPr>
          <w:rFonts w:hint="eastAsia" w:ascii="宋体" w:hAnsi="宋体"/>
          <w:sz w:val="24"/>
          <w:szCs w:val="24"/>
        </w:rPr>
        <w:t>须登录政采云平台在</w:t>
      </w:r>
      <w:r>
        <w:rPr>
          <w:rFonts w:hint="eastAsia" w:ascii="宋体" w:hAnsi="宋体"/>
          <w:b/>
          <w:bCs/>
          <w:sz w:val="24"/>
          <w:szCs w:val="24"/>
        </w:rPr>
        <w:t>投标截止时间后60分钟内</w:t>
      </w:r>
      <w:r>
        <w:rPr>
          <w:rFonts w:hint="eastAsia" w:ascii="宋体" w:hAnsi="宋体"/>
          <w:sz w:val="24"/>
          <w:szCs w:val="24"/>
        </w:rPr>
        <w:t>用制作加密投标文件的数字认证证书（</w:t>
      </w:r>
      <w:r>
        <w:rPr>
          <w:rFonts w:hint="eastAsia" w:ascii="宋体" w:hAnsi="宋体"/>
          <w:b/>
          <w:bCs/>
          <w:sz w:val="24"/>
          <w:szCs w:val="24"/>
        </w:rPr>
        <w:t>同一个CA证书</w:t>
      </w:r>
      <w:r>
        <w:rPr>
          <w:rFonts w:hint="eastAsia" w:ascii="宋体" w:hAnsi="宋体"/>
          <w:sz w:val="24"/>
          <w:szCs w:val="24"/>
        </w:rPr>
        <w:t>）完成投标文件解密工作，公布开标一览表内容。</w:t>
      </w:r>
      <w:r>
        <w:rPr>
          <w:rFonts w:hint="eastAsia" w:ascii="宋体" w:hAnsi="宋体"/>
          <w:b/>
          <w:bCs/>
          <w:sz w:val="24"/>
          <w:szCs w:val="24"/>
        </w:rPr>
        <w:t>解密结束时间后，系统自动关闭解密通道，未解密的投标文件将作为无效投标被拒绝。</w:t>
      </w:r>
      <w:r>
        <w:rPr>
          <w:rFonts w:hint="eastAsia" w:ascii="宋体" w:hAnsi="宋体"/>
          <w:sz w:val="24"/>
          <w:szCs w:val="24"/>
        </w:rPr>
        <w:t>为避免投标工具驱动安装、系统兼容性和网络环境等问题，建议投标人用制作投标文件的电脑进行解密。</w:t>
      </w:r>
    </w:p>
    <w:p>
      <w:pPr>
        <w:tabs>
          <w:tab w:val="left" w:pos="0"/>
        </w:tabs>
        <w:spacing w:line="500" w:lineRule="exact"/>
        <w:ind w:firstLine="480"/>
        <w:rPr>
          <w:rFonts w:hint="eastAsia" w:ascii="宋体" w:hAnsi="宋体"/>
          <w:sz w:val="24"/>
        </w:rPr>
      </w:pPr>
      <w:r>
        <w:rPr>
          <w:rFonts w:hint="eastAsia" w:ascii="宋体" w:hAnsi="宋体"/>
          <w:sz w:val="24"/>
          <w:szCs w:val="24"/>
        </w:rPr>
        <w:t>15．2 需要参加项目现场讲标（答辩）的，授权代表应当参加，并在投标现场提供参加人员名单及身份证明材料。</w:t>
      </w:r>
    </w:p>
    <w:p>
      <w:pPr>
        <w:tabs>
          <w:tab w:val="left" w:pos="0"/>
        </w:tabs>
        <w:spacing w:line="500" w:lineRule="exact"/>
        <w:ind w:firstLine="420"/>
        <w:rPr>
          <w:rFonts w:hint="eastAsia" w:ascii="宋体" w:hAnsi="宋体"/>
          <w:sz w:val="24"/>
          <w:szCs w:val="24"/>
        </w:rPr>
      </w:pPr>
      <w:r>
        <w:rPr>
          <w:rFonts w:hint="eastAsia" w:ascii="宋体" w:hAnsi="宋体"/>
          <w:sz w:val="24"/>
          <w:szCs w:val="24"/>
        </w:rPr>
        <w:t>16．对投标文件的初审</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16．1初审内容为投标文件是否符合招标文件的要求、内容是否完整、有无计算错误，文件签署是否齐全。</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16．2对价格错误，评审委员会按下述原则修正：</w:t>
      </w:r>
    </w:p>
    <w:p>
      <w:pPr>
        <w:numPr>
          <w:ilvl w:val="0"/>
          <w:numId w:val="12"/>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开标一览表与分项报价表等投标文件相应内容不一致的，以开标一览表为准；</w:t>
      </w:r>
    </w:p>
    <w:p>
      <w:pPr>
        <w:numPr>
          <w:ilvl w:val="0"/>
          <w:numId w:val="12"/>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大写金额与小写金额不一致的，以大写金额为准；</w:t>
      </w:r>
    </w:p>
    <w:p>
      <w:pPr>
        <w:numPr>
          <w:ilvl w:val="0"/>
          <w:numId w:val="12"/>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单价金额小数点或者百分比有明显错位的，以开标一览表的总价为准，并修改单价；</w:t>
      </w:r>
    </w:p>
    <w:p>
      <w:pPr>
        <w:numPr>
          <w:ilvl w:val="0"/>
          <w:numId w:val="12"/>
        </w:numPr>
        <w:tabs>
          <w:tab w:val="left" w:pos="0"/>
          <w:tab w:val="clear" w:pos="945"/>
        </w:tabs>
        <w:spacing w:line="500" w:lineRule="exact"/>
        <w:ind w:left="0" w:firstLine="420"/>
        <w:rPr>
          <w:rFonts w:hint="eastAsia" w:ascii="宋体" w:hAnsi="宋体"/>
          <w:sz w:val="24"/>
          <w:szCs w:val="24"/>
        </w:rPr>
      </w:pPr>
      <w:r>
        <w:rPr>
          <w:rFonts w:hint="eastAsia" w:ascii="宋体" w:hAnsi="宋体"/>
          <w:sz w:val="24"/>
          <w:szCs w:val="24"/>
        </w:rPr>
        <w:t>总价金额与按单价汇总金额不一致的，以单价金额计算结果为准；</w:t>
      </w:r>
    </w:p>
    <w:p>
      <w:pPr>
        <w:spacing w:line="500" w:lineRule="exact"/>
        <w:ind w:firstLine="480" w:firstLineChars="200"/>
        <w:rPr>
          <w:rFonts w:hint="eastAsia" w:ascii="宋体" w:hAnsi="宋体"/>
          <w:sz w:val="24"/>
          <w:szCs w:val="24"/>
        </w:rPr>
      </w:pPr>
      <w:r>
        <w:rPr>
          <w:rFonts w:hint="eastAsia" w:ascii="宋体" w:hAnsi="宋体"/>
          <w:sz w:val="24"/>
          <w:szCs w:val="24"/>
        </w:rPr>
        <w:t>同时出现两种以上不一致的，按照前款规定的顺序修正。修正后的报价经投标人确认后产生约束力，投标人不确认的，其投标无效。</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16．3投标文件内容有歧义或不一致的，按不利于投标人作出认定。</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16．4招标人对投标文件的判定，只依据投标内容本身，不依靠开标后的任何外来证明。</w:t>
      </w:r>
    </w:p>
    <w:p>
      <w:pPr>
        <w:tabs>
          <w:tab w:val="left" w:pos="0"/>
        </w:tabs>
        <w:spacing w:line="500" w:lineRule="exact"/>
        <w:ind w:firstLine="540" w:firstLineChars="225"/>
        <w:rPr>
          <w:rFonts w:hint="eastAsia" w:ascii="宋体" w:hAnsi="宋体"/>
          <w:sz w:val="24"/>
          <w:szCs w:val="24"/>
        </w:rPr>
      </w:pPr>
      <w:r>
        <w:rPr>
          <w:rFonts w:hint="eastAsia" w:ascii="宋体" w:hAnsi="宋体"/>
          <w:sz w:val="24"/>
          <w:szCs w:val="24"/>
        </w:rPr>
        <w:t>17．讲标（答辩）及投标的澄清</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17.1需要讲标（答辩）的，招标人工作人员应核对投标人讲标（答辩）人员，依次逐个带领投标人代表进出讲标（答辩）场所。</w:t>
      </w:r>
    </w:p>
    <w:p>
      <w:pPr>
        <w:tabs>
          <w:tab w:val="left" w:pos="0"/>
        </w:tabs>
        <w:spacing w:line="500" w:lineRule="exact"/>
        <w:ind w:firstLine="420"/>
        <w:rPr>
          <w:rFonts w:hint="eastAsia" w:ascii="宋体" w:hAnsi="宋体"/>
          <w:sz w:val="24"/>
          <w:szCs w:val="24"/>
        </w:rPr>
      </w:pPr>
      <w:r>
        <w:rPr>
          <w:rFonts w:hint="eastAsia" w:ascii="宋体" w:hAnsi="宋体"/>
          <w:sz w:val="24"/>
          <w:szCs w:val="24"/>
        </w:rPr>
        <w:t>17．2招标人有权就投标文件中含混之处向投标人提出询问或澄清要求，投标人应当按照招标人通知的时间、地点进行答疑和澄清。</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17．3必要时招标人可要求投标人就澄清的问题作书面回答，该书面回答应有投标全权代表的签章，并将作为投标内容的一部分。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17．4投标人对投标文件的澄清不得改变投标价格及实质内容。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18．比较及评价</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18．1招标人根据招标产品特点组建评审委员会，对具备实质性响应的投标文件进行评估和比较。评审委员会由招标人、产品需求方、技术、经济、法律专家和其他有关方面的代表组成。</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18．2评标标准及评标方法详细见招标文件第二部分。</w:t>
      </w:r>
    </w:p>
    <w:p>
      <w:pPr>
        <w:spacing w:line="500" w:lineRule="exact"/>
        <w:rPr>
          <w:rFonts w:hint="eastAsia" w:ascii="宋体" w:hAnsi="宋体"/>
          <w:sz w:val="24"/>
          <w:szCs w:val="24"/>
        </w:rPr>
      </w:pPr>
      <w:r>
        <w:rPr>
          <w:rFonts w:hint="eastAsia" w:ascii="宋体" w:hAnsi="宋体"/>
          <w:sz w:val="24"/>
          <w:szCs w:val="24"/>
        </w:rPr>
        <w:t xml:space="preserve">     19．评标过程保密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19．1开标之后，直到评标结束，凡是属于审查、澄清、评价和比较投标的有关资料以及授标意向等，均不得向投标人或其他无关的人员透露。</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19．</w:t>
      </w:r>
      <w:r>
        <w:rPr>
          <w:rFonts w:ascii="宋体" w:hAnsi="宋体"/>
          <w:sz w:val="24"/>
          <w:szCs w:val="24"/>
        </w:rPr>
        <w:t xml:space="preserve">2 </w:t>
      </w:r>
      <w:r>
        <w:rPr>
          <w:rFonts w:hint="eastAsia" w:ascii="宋体" w:hAnsi="宋体"/>
          <w:sz w:val="24"/>
          <w:szCs w:val="24"/>
        </w:rPr>
        <w:t>在评标期间，投标人企图影响招标人的任何活动，将导致投标被拒绝，并承担相应法律责任。</w:t>
      </w:r>
    </w:p>
    <w:p>
      <w:pPr>
        <w:tabs>
          <w:tab w:val="left" w:pos="0"/>
          <w:tab w:val="left" w:pos="3321"/>
        </w:tabs>
        <w:spacing w:line="500" w:lineRule="exact"/>
        <w:ind w:firstLine="420"/>
        <w:rPr>
          <w:rFonts w:hint="eastAsia" w:ascii="宋体" w:hAnsi="宋体"/>
          <w:b/>
          <w:sz w:val="24"/>
          <w:szCs w:val="24"/>
        </w:rPr>
      </w:pPr>
      <w:r>
        <w:rPr>
          <w:rFonts w:hint="eastAsia" w:ascii="宋体" w:hAnsi="宋体"/>
          <w:sz w:val="24"/>
          <w:szCs w:val="24"/>
        </w:rPr>
        <w:tab/>
      </w:r>
      <w:r>
        <w:rPr>
          <w:rFonts w:hint="eastAsia" w:ascii="宋体" w:hAnsi="宋体"/>
          <w:b/>
          <w:sz w:val="24"/>
          <w:szCs w:val="24"/>
        </w:rPr>
        <w:t>F  授予合同</w:t>
      </w:r>
    </w:p>
    <w:p>
      <w:pPr>
        <w:tabs>
          <w:tab w:val="left" w:pos="0"/>
        </w:tabs>
        <w:spacing w:line="500" w:lineRule="exact"/>
        <w:rPr>
          <w:rFonts w:hint="eastAsia" w:ascii="宋体" w:hAnsi="宋体"/>
          <w:sz w:val="24"/>
          <w:szCs w:val="24"/>
        </w:rPr>
      </w:pPr>
      <w:r>
        <w:rPr>
          <w:rFonts w:hint="eastAsia" w:ascii="宋体" w:hAnsi="宋体"/>
          <w:sz w:val="24"/>
          <w:szCs w:val="24"/>
        </w:rPr>
        <w:t xml:space="preserve">    20、公示及定标</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20．1评标结果公示。招标人在评标结束后，评标结果在政府采购监督管理部门指定媒体上公示，投标人可询问自身评审综合得分与排序。</w:t>
      </w:r>
    </w:p>
    <w:p>
      <w:pPr>
        <w:tabs>
          <w:tab w:val="left" w:pos="0"/>
        </w:tabs>
        <w:spacing w:line="500" w:lineRule="exact"/>
        <w:ind w:firstLine="480" w:firstLineChars="200"/>
        <w:rPr>
          <w:rFonts w:hint="eastAsia" w:ascii="宋体" w:hAnsi="宋体"/>
          <w:sz w:val="24"/>
          <w:szCs w:val="24"/>
        </w:rPr>
      </w:pPr>
      <w:r>
        <w:rPr>
          <w:rFonts w:hint="eastAsia" w:ascii="宋体" w:hAnsi="宋体"/>
          <w:sz w:val="24"/>
          <w:szCs w:val="24"/>
        </w:rPr>
        <w:t>20．2定标的形式有二种，一种是经采购人授权，由评审委员会直接确定中标方，另一种是由采购人对预中标进行审查确认中标方。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20．3接受最终审查的预中标方，应当予以配合并提供所需的有关资料。</w:t>
      </w:r>
    </w:p>
    <w:p>
      <w:pPr>
        <w:tabs>
          <w:tab w:val="left" w:pos="0"/>
        </w:tabs>
        <w:ind w:firstLine="420"/>
        <w:rPr>
          <w:rFonts w:hint="eastAsia" w:ascii="宋体" w:hAnsi="宋体"/>
          <w:sz w:val="24"/>
          <w:szCs w:val="24"/>
        </w:rPr>
      </w:pPr>
      <w:r>
        <w:rPr>
          <w:rFonts w:hint="eastAsia" w:ascii="宋体" w:hAnsi="宋体"/>
          <w:sz w:val="24"/>
          <w:szCs w:val="24"/>
        </w:rPr>
        <w:t xml:space="preserve"> 21．招标人在授标时有变更数量的权力</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在向投标人授予中标通知书时，招标人有权按有关规定变更数量和服务的内容。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22．中标通知</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22．1在投标有效期内，招标人以书面形式（包括网站公布）通知所选定的中标方。</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22．2中标通知书将是合同的一个组成部分。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23．签订合同</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23．1中标方应按规定的时间、地点与买方签订中标经济合同，否则按开标后撤回投标处理。</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23．2招标文件，中标方的投标文件及评标过程中有关澄清文件均应作为合同附件。</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24．履约保证金</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24．1中标方在收到中标通知书后，应在规定的时间内，向买方提供履约保证金，履约保证金金额不超过合同金额的5%（招标文件第三部分有约定的，从其约定）。</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24．2中标方如未按第23</w:t>
      </w:r>
      <w:r>
        <w:rPr>
          <w:rFonts w:ascii="宋体" w:hAnsi="宋体"/>
          <w:sz w:val="24"/>
          <w:szCs w:val="24"/>
        </w:rPr>
        <w:t>.</w:t>
      </w:r>
      <w:r>
        <w:rPr>
          <w:rFonts w:hint="eastAsia" w:ascii="宋体" w:hAnsi="宋体"/>
          <w:sz w:val="24"/>
          <w:szCs w:val="24"/>
        </w:rPr>
        <w:t>1及24</w:t>
      </w:r>
      <w:r>
        <w:rPr>
          <w:rFonts w:ascii="宋体" w:hAnsi="宋体"/>
          <w:sz w:val="24"/>
          <w:szCs w:val="24"/>
        </w:rPr>
        <w:t>.</w:t>
      </w:r>
      <w:r>
        <w:rPr>
          <w:rFonts w:hint="eastAsia" w:ascii="宋体" w:hAnsi="宋体"/>
          <w:sz w:val="24"/>
          <w:szCs w:val="24"/>
        </w:rPr>
        <w:t>1条的规定办理，招标人有权撤销其中标资格。在这种情况下，招标人可另选中标方或另行招标。</w:t>
      </w:r>
    </w:p>
    <w:p>
      <w:pPr>
        <w:tabs>
          <w:tab w:val="left" w:pos="0"/>
        </w:tabs>
        <w:spacing w:line="500" w:lineRule="exact"/>
        <w:ind w:firstLine="420"/>
        <w:rPr>
          <w:rFonts w:hint="eastAsia" w:ascii="宋体" w:hAnsi="宋体"/>
          <w:sz w:val="24"/>
          <w:szCs w:val="24"/>
        </w:rPr>
      </w:pPr>
      <w:r>
        <w:rPr>
          <w:rFonts w:hint="eastAsia" w:ascii="宋体" w:hAnsi="宋体"/>
          <w:sz w:val="24"/>
          <w:szCs w:val="24"/>
        </w:rPr>
        <w:t xml:space="preserve"> 24．3履约保证金在合同履行完毕后无息退还。</w:t>
      </w:r>
    </w:p>
    <w:p>
      <w:pPr>
        <w:tabs>
          <w:tab w:val="left" w:pos="0"/>
        </w:tabs>
        <w:spacing w:line="500" w:lineRule="exact"/>
        <w:ind w:firstLine="480"/>
        <w:rPr>
          <w:rFonts w:hint="eastAsia" w:ascii="宋体" w:hAnsi="宋体"/>
          <w:sz w:val="24"/>
          <w:szCs w:val="24"/>
        </w:rPr>
      </w:pPr>
      <w:r>
        <w:rPr>
          <w:rFonts w:hint="eastAsia" w:ascii="宋体" w:hAnsi="宋体"/>
          <w:sz w:val="24"/>
          <w:szCs w:val="24"/>
        </w:rPr>
        <w:tab/>
      </w:r>
    </w:p>
    <w:p>
      <w:pPr>
        <w:pStyle w:val="7"/>
        <w:spacing w:before="0" w:after="0" w:line="360" w:lineRule="auto"/>
        <w:jc w:val="center"/>
        <w:rPr>
          <w:rFonts w:hint="eastAsia" w:ascii="宋体" w:hAnsi="宋体"/>
          <w:b w:val="0"/>
          <w:bCs w:val="0"/>
          <w:sz w:val="24"/>
          <w:szCs w:val="24"/>
        </w:rPr>
      </w:pPr>
      <w:bookmarkStart w:id="3" w:name="_Toc518923100"/>
      <w:bookmarkStart w:id="4" w:name="_Toc2583661"/>
      <w:r>
        <w:rPr>
          <w:rFonts w:hint="eastAsia" w:ascii="宋体" w:hAnsi="宋体"/>
          <w:sz w:val="24"/>
          <w:szCs w:val="24"/>
        </w:rPr>
        <w:t>G  风险监督</w:t>
      </w:r>
    </w:p>
    <w:p>
      <w:pPr>
        <w:pStyle w:val="7"/>
        <w:spacing w:before="0" w:after="0" w:line="360" w:lineRule="auto"/>
        <w:rPr>
          <w:rFonts w:hint="eastAsia" w:ascii="宋体" w:hAnsi="宋体"/>
          <w:b w:val="0"/>
          <w:bCs w:val="0"/>
          <w:sz w:val="24"/>
          <w:szCs w:val="24"/>
        </w:rPr>
      </w:pPr>
      <w:r>
        <w:rPr>
          <w:rFonts w:hint="eastAsia" w:ascii="宋体" w:hAnsi="宋体"/>
          <w:b w:val="0"/>
          <w:bCs w:val="0"/>
          <w:sz w:val="24"/>
          <w:szCs w:val="24"/>
        </w:rPr>
        <w:t>25.廉洁自律规定</w:t>
      </w:r>
      <w:bookmarkEnd w:id="3"/>
      <w:bookmarkEnd w:id="4"/>
    </w:p>
    <w:p>
      <w:pPr>
        <w:spacing w:line="360" w:lineRule="auto"/>
        <w:ind w:left="900" w:hanging="900" w:hangingChars="375"/>
        <w:rPr>
          <w:rFonts w:hint="eastAsia" w:ascii="宋体" w:hAnsi="宋体"/>
          <w:sz w:val="24"/>
          <w:szCs w:val="24"/>
        </w:rPr>
      </w:pPr>
      <w:r>
        <w:rPr>
          <w:rFonts w:hint="eastAsia" w:ascii="宋体" w:hAnsi="宋体"/>
          <w:sz w:val="24"/>
          <w:szCs w:val="24"/>
        </w:rPr>
        <w:t>25.1  集中采购机构工作人员不得与采购人、供应商恶意串通。</w:t>
      </w:r>
    </w:p>
    <w:p>
      <w:pPr>
        <w:spacing w:line="360" w:lineRule="auto"/>
        <w:ind w:left="900" w:hanging="900" w:hangingChars="375"/>
        <w:rPr>
          <w:rFonts w:hint="eastAsia" w:ascii="宋体" w:hAnsi="宋体"/>
          <w:sz w:val="24"/>
          <w:szCs w:val="24"/>
        </w:rPr>
      </w:pPr>
      <w:r>
        <w:rPr>
          <w:rFonts w:hint="eastAsia" w:ascii="宋体" w:hAnsi="宋体"/>
          <w:sz w:val="24"/>
          <w:szCs w:val="24"/>
        </w:rPr>
        <w:t>25.2   集中采购机构工作人员不得接受采购人或者供应商组织的宴请、旅游、娱乐，不得收受礼品、现金、有价证券等，不得向采购人或者供应商报销应当由个人承担的费用。</w:t>
      </w:r>
    </w:p>
    <w:p>
      <w:pPr>
        <w:pStyle w:val="7"/>
        <w:spacing w:before="0" w:after="0" w:line="360" w:lineRule="auto"/>
        <w:rPr>
          <w:rFonts w:hint="eastAsia" w:ascii="宋体" w:hAnsi="宋体"/>
          <w:b w:val="0"/>
          <w:bCs w:val="0"/>
          <w:sz w:val="24"/>
          <w:szCs w:val="24"/>
        </w:rPr>
      </w:pPr>
      <w:bookmarkStart w:id="5" w:name="_Toc518923101"/>
      <w:bookmarkStart w:id="6" w:name="_Toc2583662"/>
      <w:r>
        <w:rPr>
          <w:rFonts w:hint="eastAsia" w:ascii="宋体" w:hAnsi="宋体"/>
          <w:b w:val="0"/>
          <w:bCs w:val="0"/>
          <w:sz w:val="24"/>
          <w:szCs w:val="24"/>
        </w:rPr>
        <w:t>26.人员回避</w:t>
      </w:r>
      <w:bookmarkEnd w:id="5"/>
      <w:bookmarkEnd w:id="6"/>
    </w:p>
    <w:p>
      <w:pPr>
        <w:spacing w:line="360" w:lineRule="auto"/>
        <w:ind w:left="900" w:hanging="900" w:hangingChars="375"/>
        <w:rPr>
          <w:rFonts w:hint="eastAsia" w:ascii="宋体" w:hAnsi="宋体"/>
          <w:sz w:val="24"/>
          <w:szCs w:val="24"/>
        </w:rPr>
      </w:pPr>
      <w:r>
        <w:rPr>
          <w:rFonts w:hint="eastAsia" w:ascii="宋体" w:hAnsi="宋体"/>
          <w:sz w:val="24"/>
          <w:szCs w:val="24"/>
        </w:rPr>
        <w:t xml:space="preserve">       潜在投标人认为招标文件使自己的权益受到损害的，投标人认为采购人员及其相关人员有法律法规所列与其他供应商有利害关系的，可以向集中采购机构书面提出回避申请，并说明理由。</w:t>
      </w:r>
    </w:p>
    <w:p>
      <w:pPr>
        <w:pStyle w:val="7"/>
        <w:spacing w:before="0" w:after="0" w:line="360" w:lineRule="auto"/>
        <w:rPr>
          <w:rFonts w:hint="eastAsia" w:ascii="宋体" w:hAnsi="宋体"/>
          <w:b w:val="0"/>
          <w:bCs w:val="0"/>
          <w:sz w:val="24"/>
          <w:szCs w:val="24"/>
        </w:rPr>
      </w:pPr>
      <w:bookmarkStart w:id="7" w:name="_Toc518923102"/>
      <w:bookmarkStart w:id="8" w:name="_Toc2583663"/>
      <w:r>
        <w:rPr>
          <w:rFonts w:hint="eastAsia" w:ascii="宋体" w:hAnsi="宋体"/>
          <w:b w:val="0"/>
          <w:bCs w:val="0"/>
          <w:sz w:val="24"/>
          <w:szCs w:val="24"/>
        </w:rPr>
        <w:t>27.质疑的提出与接收</w:t>
      </w:r>
      <w:bookmarkEnd w:id="7"/>
      <w:bookmarkEnd w:id="8"/>
    </w:p>
    <w:p>
      <w:pPr>
        <w:spacing w:line="360" w:lineRule="auto"/>
        <w:ind w:left="850" w:hanging="849" w:hangingChars="354"/>
        <w:rPr>
          <w:rFonts w:hint="eastAsia" w:ascii="宋体" w:hAnsi="宋体"/>
          <w:sz w:val="24"/>
          <w:szCs w:val="24"/>
        </w:rPr>
      </w:pPr>
      <w:r>
        <w:rPr>
          <w:rFonts w:hint="eastAsia" w:ascii="宋体" w:hAnsi="宋体"/>
          <w:sz w:val="24"/>
          <w:szCs w:val="24"/>
        </w:rPr>
        <w:t>27.1  投标人认为招标文件、招标过程和中标结果使自己的权益受到损害的，可以根据《中华人民共和国政府采购法》、《中华人民共和国政府采购法实施条例》和《政府采购质疑和投诉办法》的有关规定，依法向集中采购机构提出质疑。</w:t>
      </w:r>
    </w:p>
    <w:p>
      <w:pPr>
        <w:spacing w:line="360" w:lineRule="auto"/>
        <w:ind w:left="850" w:hanging="849" w:hangingChars="354"/>
        <w:rPr>
          <w:rFonts w:hint="eastAsia" w:ascii="宋体" w:hAnsi="宋体"/>
          <w:sz w:val="24"/>
          <w:szCs w:val="24"/>
        </w:rPr>
      </w:pPr>
      <w:r>
        <w:rPr>
          <w:rFonts w:hint="eastAsia" w:ascii="宋体" w:hAnsi="宋体"/>
          <w:sz w:val="24"/>
          <w:szCs w:val="24"/>
        </w:rPr>
        <w:t>27.2  质疑供应商应按照财政部制定的《政府采购质疑函范本》格式（可从www.ccgp.gov.cn网站下载）和《政府采购质疑和投诉办法》的要求，在法定质疑期内以书面形式提出质疑，针对同一采购程序环节的质疑应一次性提出。</w:t>
      </w:r>
    </w:p>
    <w:p>
      <w:pPr>
        <w:spacing w:line="360" w:lineRule="auto"/>
        <w:ind w:left="851" w:leftChars="68" w:hanging="708" w:hangingChars="295"/>
        <w:rPr>
          <w:rFonts w:hint="eastAsia" w:ascii="宋体" w:hAnsi="宋体"/>
          <w:sz w:val="24"/>
          <w:szCs w:val="24"/>
        </w:rPr>
      </w:pPr>
      <w:r>
        <w:rPr>
          <w:rFonts w:hint="eastAsia" w:ascii="宋体" w:hAnsi="宋体"/>
          <w:sz w:val="24"/>
          <w:szCs w:val="24"/>
        </w:rPr>
        <w:t xml:space="preserve">      超出法定质疑期提交的质疑将被拒绝。</w:t>
      </w:r>
    </w:p>
    <w:p>
      <w:pPr>
        <w:spacing w:line="360" w:lineRule="auto"/>
        <w:ind w:left="851" w:leftChars="405" w:hanging="1"/>
        <w:rPr>
          <w:rFonts w:hint="eastAsia" w:ascii="宋体" w:hAnsi="宋体"/>
          <w:sz w:val="24"/>
          <w:szCs w:val="24"/>
        </w:rPr>
      </w:pPr>
      <w:r>
        <w:rPr>
          <w:rFonts w:hint="eastAsia" w:ascii="宋体" w:hAnsi="宋体"/>
          <w:sz w:val="24"/>
          <w:szCs w:val="24"/>
        </w:rPr>
        <w:t>重复或分次提出的、内容或形式不符合《政府采购质疑和投诉办法》的，质疑供应商将依法承担不利后果。</w:t>
      </w:r>
    </w:p>
    <w:p>
      <w:pPr>
        <w:spacing w:line="360" w:lineRule="auto"/>
        <w:ind w:left="851" w:leftChars="68" w:hanging="708" w:hangingChars="295"/>
        <w:rPr>
          <w:rFonts w:hint="eastAsia" w:ascii="宋体" w:hAnsi="宋体"/>
          <w:sz w:val="24"/>
          <w:szCs w:val="24"/>
        </w:rPr>
      </w:pPr>
      <w:r>
        <w:rPr>
          <w:rFonts w:hint="eastAsia" w:ascii="宋体" w:hAnsi="宋体"/>
          <w:sz w:val="24"/>
          <w:szCs w:val="24"/>
        </w:rPr>
        <w:t>27.3  质疑函接收联系人、联系电话和通讯地址见《投标人须知资料表》。</w:t>
      </w:r>
    </w:p>
    <w:p>
      <w:pPr>
        <w:spacing w:line="500" w:lineRule="exact"/>
        <w:ind w:firstLine="425"/>
        <w:jc w:val="center"/>
        <w:rPr>
          <w:rFonts w:hint="eastAsia" w:ascii="黑体" w:eastAsia="黑体"/>
          <w:color w:val="FF0000"/>
          <w:sz w:val="32"/>
          <w:szCs w:val="32"/>
        </w:rPr>
      </w:pPr>
      <w:r>
        <w:rPr>
          <w:rFonts w:hint="eastAsia" w:ascii="宋体" w:hAnsi="宋体"/>
          <w:sz w:val="24"/>
          <w:szCs w:val="24"/>
        </w:rPr>
        <w:br w:type="page"/>
      </w:r>
      <w:r>
        <w:rPr>
          <w:rFonts w:hint="eastAsia" w:ascii="黑体" w:eastAsia="黑体"/>
          <w:sz w:val="32"/>
          <w:szCs w:val="32"/>
        </w:rPr>
        <w:t>第五部分 合同格式</w:t>
      </w:r>
    </w:p>
    <w:p>
      <w:pPr>
        <w:spacing w:line="500" w:lineRule="exact"/>
        <w:rPr>
          <w:rFonts w:hint="eastAsia" w:eastAsia="黑体"/>
          <w:sz w:val="32"/>
          <w:u w:val="single"/>
        </w:rPr>
      </w:pPr>
    </w:p>
    <w:p>
      <w:pPr>
        <w:spacing w:line="460" w:lineRule="exact"/>
        <w:jc w:val="center"/>
        <w:rPr>
          <w:rFonts w:hint="eastAsia" w:ascii="宋体"/>
          <w:b/>
          <w:sz w:val="36"/>
        </w:rPr>
      </w:pPr>
      <w:r>
        <w:rPr>
          <w:rFonts w:hint="eastAsia" w:ascii="宋体"/>
          <w:b/>
          <w:sz w:val="36"/>
        </w:rPr>
        <w:t>采购合同（参考格式）</w:t>
      </w:r>
    </w:p>
    <w:p>
      <w:pPr>
        <w:spacing w:line="460" w:lineRule="exact"/>
        <w:jc w:val="center"/>
        <w:rPr>
          <w:rFonts w:hint="eastAsia" w:ascii="宋体"/>
          <w:bCs/>
          <w:i/>
          <w:iCs/>
          <w:sz w:val="28"/>
        </w:rPr>
      </w:pPr>
    </w:p>
    <w:p>
      <w:pPr>
        <w:spacing w:line="460" w:lineRule="exact"/>
        <w:rPr>
          <w:rFonts w:hint="eastAsia" w:ascii="宋体" w:hAnsi="宋体"/>
          <w:sz w:val="24"/>
          <w:szCs w:val="24"/>
        </w:rPr>
      </w:pPr>
      <w:r>
        <w:rPr>
          <w:rFonts w:hint="eastAsia" w:ascii="宋体" w:hAnsi="宋体"/>
          <w:sz w:val="24"/>
          <w:szCs w:val="24"/>
        </w:rPr>
        <w:t>采购编号：                                 签订日期：</w:t>
      </w:r>
    </w:p>
    <w:p>
      <w:pPr>
        <w:spacing w:line="460" w:lineRule="exact"/>
        <w:rPr>
          <w:rFonts w:hint="eastAsia" w:ascii="宋体" w:hAnsi="宋体"/>
          <w:sz w:val="24"/>
          <w:szCs w:val="24"/>
        </w:rPr>
      </w:pPr>
      <w:r>
        <w:rPr>
          <w:rFonts w:hint="eastAsia" w:ascii="宋体" w:hAnsi="宋体"/>
          <w:sz w:val="24"/>
          <w:szCs w:val="24"/>
        </w:rPr>
        <w:t>合同地点：                                 完工日期：</w:t>
      </w:r>
    </w:p>
    <w:p>
      <w:pPr>
        <w:spacing w:line="460" w:lineRule="exact"/>
        <w:rPr>
          <w:rFonts w:hint="eastAsia" w:ascii="宋体" w:hAnsi="宋体"/>
          <w:sz w:val="24"/>
          <w:szCs w:val="24"/>
        </w:rPr>
      </w:pPr>
      <w:r>
        <w:rPr>
          <w:rFonts w:hint="eastAsia" w:ascii="宋体" w:hAnsi="宋体"/>
          <w:sz w:val="24"/>
          <w:szCs w:val="24"/>
        </w:rPr>
        <w:t>采购人（甲方）：</w:t>
      </w:r>
    </w:p>
    <w:p>
      <w:pPr>
        <w:spacing w:line="460" w:lineRule="exact"/>
        <w:rPr>
          <w:rFonts w:hint="eastAsia" w:ascii="宋体" w:hAnsi="宋体"/>
          <w:sz w:val="24"/>
          <w:szCs w:val="24"/>
        </w:rPr>
      </w:pPr>
      <w:r>
        <w:rPr>
          <w:rFonts w:hint="eastAsia" w:ascii="宋体" w:hAnsi="宋体"/>
          <w:sz w:val="24"/>
          <w:szCs w:val="24"/>
        </w:rPr>
        <w:t>供应商（乙方）：</w:t>
      </w:r>
    </w:p>
    <w:p>
      <w:pPr>
        <w:spacing w:line="460" w:lineRule="exact"/>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甲、乙双方根据《中华人民共和国民法典》、《中华人民共和国政府采购法》和宁波市政府采购有关办法，同意按照下述的条款和条件，签署本合同。</w:t>
      </w:r>
    </w:p>
    <w:p>
      <w:pPr>
        <w:pStyle w:val="12"/>
        <w:snapToGrid w:val="0"/>
        <w:spacing w:line="240" w:lineRule="auto"/>
        <w:rPr>
          <w:rFonts w:hAnsi="宋体"/>
          <w:b/>
        </w:rPr>
      </w:pPr>
      <w:r>
        <w:rPr>
          <w:rFonts w:hAnsi="宋体"/>
          <w:b/>
        </w:rPr>
        <w:t>一、</w:t>
      </w:r>
      <w:r>
        <w:rPr>
          <w:rFonts w:hint="eastAsia" w:hAnsi="宋体"/>
          <w:b/>
        </w:rPr>
        <w:t>合同标的</w:t>
      </w:r>
    </w:p>
    <w:p>
      <w:pPr>
        <w:pStyle w:val="12"/>
        <w:snapToGrid w:val="0"/>
        <w:spacing w:line="240" w:lineRule="auto"/>
        <w:rPr>
          <w:rFonts w:hAnsi="宋体"/>
        </w:rPr>
      </w:pPr>
      <w:r>
        <w:rPr>
          <w:rFonts w:hAnsi="宋体"/>
        </w:rPr>
        <w:t xml:space="preserve">1. </w:t>
      </w:r>
      <w:r>
        <w:rPr>
          <w:rFonts w:hint="eastAsia" w:hAnsi="宋体"/>
        </w:rPr>
        <w:t>标的清单</w:t>
      </w:r>
      <w:r>
        <w:rPr>
          <w:rFonts w:hAnsi="宋体"/>
        </w:rPr>
        <w:t>：</w:t>
      </w:r>
    </w:p>
    <w:p>
      <w:pPr>
        <w:pStyle w:val="12"/>
        <w:snapToGrid w:val="0"/>
        <w:spacing w:line="240" w:lineRule="auto"/>
        <w:rPr>
          <w:rFonts w:hAnsi="宋体"/>
          <w:b/>
        </w:rPr>
      </w:pPr>
      <w:r>
        <w:rPr>
          <w:rFonts w:hAnsi="宋体"/>
          <w:b/>
        </w:rPr>
        <w:t>二、合同金额</w:t>
      </w:r>
    </w:p>
    <w:p>
      <w:pPr>
        <w:pStyle w:val="12"/>
        <w:snapToGrid w:val="0"/>
        <w:spacing w:line="240" w:lineRule="auto"/>
        <w:ind w:left="410" w:hanging="410" w:hangingChars="171"/>
        <w:jc w:val="left"/>
        <w:rPr>
          <w:rFonts w:hAnsi="宋体"/>
        </w:rPr>
      </w:pPr>
      <w:r>
        <w:rPr>
          <w:rFonts w:hAnsi="宋体"/>
        </w:rPr>
        <w:t xml:space="preserve"> 本合同金额为（大写）：____________________________________元（￥_______________元）人民币。</w:t>
      </w:r>
    </w:p>
    <w:p>
      <w:pPr>
        <w:pStyle w:val="12"/>
        <w:snapToGrid w:val="0"/>
        <w:spacing w:line="240" w:lineRule="auto"/>
        <w:rPr>
          <w:rFonts w:hAnsi="宋体"/>
          <w:b/>
        </w:rPr>
      </w:pPr>
      <w:r>
        <w:rPr>
          <w:rFonts w:hAnsi="宋体"/>
          <w:b/>
        </w:rPr>
        <w:t>三、技术资料</w:t>
      </w:r>
    </w:p>
    <w:p>
      <w:pPr>
        <w:pStyle w:val="12"/>
        <w:snapToGrid w:val="0"/>
        <w:spacing w:line="240" w:lineRule="auto"/>
        <w:ind w:left="410" w:hanging="410" w:hangingChars="171"/>
        <w:rPr>
          <w:rFonts w:hAnsi="宋体"/>
        </w:rPr>
      </w:pPr>
      <w:r>
        <w:rPr>
          <w:rFonts w:hAnsi="宋体"/>
        </w:rPr>
        <w:t>1</w:t>
      </w:r>
      <w:r>
        <w:rPr>
          <w:rFonts w:hint="eastAsia" w:hAnsi="宋体"/>
        </w:rPr>
        <w:t>.</w:t>
      </w:r>
      <w:r>
        <w:rPr>
          <w:rFonts w:hAnsi="宋体"/>
        </w:rPr>
        <w:t>乙方应按招标文件规定的时间向甲方提供使用</w:t>
      </w:r>
      <w:r>
        <w:rPr>
          <w:rFonts w:hint="eastAsia" w:hAnsi="宋体"/>
        </w:rPr>
        <w:t>标的</w:t>
      </w:r>
      <w:r>
        <w:rPr>
          <w:rFonts w:hAnsi="宋体"/>
        </w:rPr>
        <w:t>有关技术资料。</w:t>
      </w:r>
    </w:p>
    <w:p>
      <w:pPr>
        <w:pStyle w:val="12"/>
        <w:snapToGrid w:val="0"/>
        <w:spacing w:line="240" w:lineRule="auto"/>
        <w:ind w:left="410" w:hanging="410" w:hangingChars="171"/>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line="240" w:lineRule="auto"/>
        <w:ind w:left="412" w:hanging="412" w:hangingChars="171"/>
        <w:rPr>
          <w:rFonts w:hAnsi="宋体"/>
          <w:b/>
        </w:rPr>
      </w:pPr>
      <w:r>
        <w:rPr>
          <w:rFonts w:hAnsi="宋体"/>
          <w:b/>
        </w:rPr>
        <w:t>四、知识产权</w:t>
      </w:r>
    </w:p>
    <w:p>
      <w:pPr>
        <w:pStyle w:val="12"/>
        <w:snapToGrid w:val="0"/>
        <w:spacing w:line="240" w:lineRule="auto"/>
        <w:rPr>
          <w:rFonts w:hAnsi="宋体"/>
          <w:bCs/>
        </w:rPr>
      </w:pPr>
      <w:r>
        <w:rPr>
          <w:rFonts w:hAnsi="宋体"/>
        </w:rPr>
        <w:t>乙方应保证所提供的</w:t>
      </w:r>
      <w:r>
        <w:rPr>
          <w:rFonts w:hint="eastAsia" w:hAnsi="宋体"/>
        </w:rPr>
        <w:t>标的</w:t>
      </w:r>
      <w:r>
        <w:rPr>
          <w:rFonts w:hAnsi="宋体"/>
        </w:rPr>
        <w:t>或其任何一部分均不会侵犯任何第三方的知识产权</w:t>
      </w:r>
      <w:r>
        <w:rPr>
          <w:rFonts w:hAnsi="宋体"/>
          <w:bCs/>
        </w:rPr>
        <w:t>。</w:t>
      </w:r>
    </w:p>
    <w:p>
      <w:pPr>
        <w:pStyle w:val="12"/>
        <w:snapToGrid w:val="0"/>
        <w:spacing w:line="240" w:lineRule="auto"/>
        <w:rPr>
          <w:rFonts w:hAnsi="宋体"/>
          <w:u w:val="single"/>
        </w:rPr>
      </w:pPr>
      <w:r>
        <w:rPr>
          <w:rFonts w:hAnsi="宋体"/>
          <w:b/>
        </w:rPr>
        <w:t>五、产权担保</w:t>
      </w:r>
    </w:p>
    <w:p>
      <w:pPr>
        <w:pStyle w:val="12"/>
        <w:snapToGrid w:val="0"/>
        <w:spacing w:line="240" w:lineRule="auto"/>
        <w:ind w:left="408" w:hanging="408" w:hangingChars="170"/>
        <w:rPr>
          <w:rFonts w:hAnsi="宋体"/>
          <w:u w:val="single"/>
        </w:rPr>
      </w:pPr>
      <w:r>
        <w:rPr>
          <w:rFonts w:hAnsi="宋体"/>
        </w:rPr>
        <w:t>乙方保证所交付的</w:t>
      </w:r>
      <w:r>
        <w:rPr>
          <w:rFonts w:hint="eastAsia" w:hAnsi="宋体"/>
        </w:rPr>
        <w:t>标的</w:t>
      </w:r>
      <w:r>
        <w:rPr>
          <w:rFonts w:hAnsi="宋体"/>
        </w:rPr>
        <w:t>的所有权完全属于乙方且无任何抵押、查封等产权瑕疵。</w:t>
      </w:r>
    </w:p>
    <w:p>
      <w:pPr>
        <w:pStyle w:val="12"/>
        <w:snapToGrid w:val="0"/>
        <w:spacing w:line="240" w:lineRule="auto"/>
        <w:ind w:left="410" w:hanging="410" w:hangingChars="170"/>
        <w:rPr>
          <w:rFonts w:hAnsi="宋体"/>
          <w:b/>
        </w:rPr>
      </w:pPr>
      <w:r>
        <w:rPr>
          <w:rFonts w:hAnsi="宋体"/>
          <w:b/>
        </w:rPr>
        <w:t>六、履约保证金</w:t>
      </w:r>
    </w:p>
    <w:p>
      <w:pPr>
        <w:pStyle w:val="12"/>
        <w:snapToGrid w:val="0"/>
        <w:spacing w:line="240" w:lineRule="auto"/>
        <w:ind w:left="408" w:hanging="408" w:hangingChars="170"/>
        <w:rPr>
          <w:rFonts w:hAnsi="宋体"/>
        </w:rPr>
      </w:pPr>
      <w:r>
        <w:rPr>
          <w:rFonts w:hAnsi="宋体"/>
        </w:rPr>
        <w:t>乙方交纳人民币</w:t>
      </w:r>
      <w:r>
        <w:rPr>
          <w:rFonts w:hint="eastAsia" w:hAnsi="宋体"/>
          <w:b/>
          <w:u w:val="single"/>
        </w:rPr>
        <w:t xml:space="preserve">          </w:t>
      </w:r>
      <w:r>
        <w:rPr>
          <w:rFonts w:hAnsi="宋体"/>
        </w:rPr>
        <w:t>元作为本合同的履约保证金。</w:t>
      </w:r>
    </w:p>
    <w:p>
      <w:pPr>
        <w:pStyle w:val="12"/>
        <w:snapToGrid w:val="0"/>
        <w:spacing w:line="240" w:lineRule="auto"/>
        <w:ind w:left="410" w:hanging="410" w:hangingChars="170"/>
        <w:rPr>
          <w:rFonts w:hAnsi="宋体"/>
          <w:b/>
        </w:rPr>
      </w:pPr>
      <w:r>
        <w:rPr>
          <w:rFonts w:hint="eastAsia" w:hAnsi="宋体"/>
          <w:b/>
        </w:rPr>
        <w:t>七、转包或分包</w:t>
      </w:r>
    </w:p>
    <w:p>
      <w:pPr>
        <w:snapToGrid w:val="0"/>
        <w:spacing w:before="156" w:beforeLines="50" w:after="156" w:afterLines="50"/>
        <w:rPr>
          <w:rFonts w:ascii="宋体" w:hAnsi="宋体"/>
          <w:sz w:val="24"/>
        </w:rPr>
      </w:pPr>
      <w:r>
        <w:rPr>
          <w:rFonts w:ascii="宋体" w:hAnsi="宋体"/>
          <w:sz w:val="24"/>
        </w:rPr>
        <w:t>1</w:t>
      </w:r>
      <w:r>
        <w:rPr>
          <w:rFonts w:hint="eastAsia" w:ascii="宋体" w:hAnsi="宋体"/>
          <w:sz w:val="24"/>
        </w:rPr>
        <w:t>.本合同范围的标的，应由</w:t>
      </w:r>
      <w:r>
        <w:rPr>
          <w:rFonts w:ascii="宋体" w:hAnsi="宋体"/>
          <w:sz w:val="24"/>
        </w:rPr>
        <w:t>乙</w:t>
      </w:r>
      <w:r>
        <w:rPr>
          <w:rFonts w:hint="eastAsia" w:ascii="宋体" w:hAnsi="宋体"/>
          <w:sz w:val="24"/>
        </w:rPr>
        <w:t>方直接供应，不得转让他人供应；</w:t>
      </w:r>
    </w:p>
    <w:p>
      <w:pPr>
        <w:snapToGrid w:val="0"/>
        <w:spacing w:before="156" w:beforeLines="50" w:after="156" w:afterLines="50"/>
        <w:rPr>
          <w:rFonts w:ascii="宋体" w:hAnsi="宋体"/>
          <w:sz w:val="24"/>
        </w:rPr>
      </w:pPr>
      <w:r>
        <w:rPr>
          <w:rFonts w:ascii="宋体" w:hAnsi="宋体"/>
          <w:sz w:val="24"/>
        </w:rPr>
        <w:t>2</w:t>
      </w:r>
      <w:r>
        <w:rPr>
          <w:rFonts w:hint="eastAsia" w:ascii="宋体" w:hAnsi="宋体"/>
          <w:sz w:val="24"/>
        </w:rPr>
        <w:t>.除非得到</w:t>
      </w:r>
      <w:r>
        <w:rPr>
          <w:rFonts w:ascii="宋体" w:hAnsi="宋体"/>
          <w:sz w:val="24"/>
        </w:rPr>
        <w:t>甲</w:t>
      </w:r>
      <w:r>
        <w:rPr>
          <w:rFonts w:hint="eastAsia" w:ascii="宋体" w:hAnsi="宋体"/>
          <w:sz w:val="24"/>
        </w:rPr>
        <w:t>方的书面同意，</w:t>
      </w:r>
      <w:r>
        <w:rPr>
          <w:rFonts w:ascii="宋体" w:hAnsi="宋体"/>
          <w:sz w:val="24"/>
        </w:rPr>
        <w:t>乙</w:t>
      </w:r>
      <w:r>
        <w:rPr>
          <w:rFonts w:hint="eastAsia" w:ascii="宋体" w:hAnsi="宋体"/>
          <w:sz w:val="24"/>
        </w:rPr>
        <w:t>方不得将本合同范围的标的全部或部分分包给他人供应；</w:t>
      </w:r>
    </w:p>
    <w:p>
      <w:pPr>
        <w:snapToGrid w:val="0"/>
        <w:spacing w:before="156" w:beforeLines="50" w:after="156" w:afterLines="50"/>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方有权解除合同，没收履约保证金并追究乙方的违约责任。</w:t>
      </w:r>
    </w:p>
    <w:p>
      <w:pPr>
        <w:pStyle w:val="12"/>
        <w:snapToGrid w:val="0"/>
        <w:spacing w:line="240" w:lineRule="auto"/>
        <w:rPr>
          <w:rFonts w:hAnsi="宋体"/>
          <w:b/>
        </w:rPr>
      </w:pPr>
      <w:r>
        <w:rPr>
          <w:rFonts w:hint="eastAsia" w:hAnsi="宋体"/>
          <w:b/>
        </w:rPr>
        <w:t>八</w:t>
      </w:r>
      <w:r>
        <w:rPr>
          <w:rFonts w:hAnsi="宋体"/>
          <w:b/>
        </w:rPr>
        <w:t>、</w:t>
      </w:r>
      <w:r>
        <w:rPr>
          <w:rFonts w:hint="eastAsia" w:hAnsi="宋体"/>
          <w:b/>
        </w:rPr>
        <w:t>标的履约时间</w:t>
      </w:r>
      <w:r>
        <w:rPr>
          <w:rFonts w:hAnsi="宋体"/>
          <w:b/>
        </w:rPr>
        <w:t>、</w:t>
      </w:r>
      <w:r>
        <w:rPr>
          <w:rFonts w:hint="eastAsia" w:hAnsi="宋体"/>
          <w:b/>
        </w:rPr>
        <w:t>履约</w:t>
      </w:r>
      <w:r>
        <w:rPr>
          <w:rFonts w:hAnsi="宋体"/>
          <w:b/>
        </w:rPr>
        <w:t>方式及</w:t>
      </w:r>
      <w:r>
        <w:rPr>
          <w:rFonts w:hint="eastAsia" w:hAnsi="宋体"/>
          <w:b/>
        </w:rPr>
        <w:t>履约</w:t>
      </w:r>
      <w:r>
        <w:rPr>
          <w:rFonts w:hAnsi="宋体"/>
          <w:b/>
        </w:rPr>
        <w:t>地点</w:t>
      </w:r>
    </w:p>
    <w:p>
      <w:pPr>
        <w:pStyle w:val="12"/>
        <w:snapToGrid w:val="0"/>
        <w:spacing w:line="240" w:lineRule="auto"/>
        <w:rPr>
          <w:rFonts w:hAnsi="宋体"/>
          <w:bCs/>
          <w:color w:val="000000"/>
        </w:rPr>
      </w:pPr>
      <w:r>
        <w:rPr>
          <w:rFonts w:hAnsi="宋体"/>
          <w:bCs/>
        </w:rPr>
        <w:t>1</w:t>
      </w:r>
      <w:r>
        <w:rPr>
          <w:rFonts w:hint="eastAsia" w:hAnsi="宋体"/>
          <w:bCs/>
        </w:rPr>
        <w:t>.</w:t>
      </w:r>
      <w:r>
        <w:rPr>
          <w:rFonts w:hAnsi="宋体"/>
          <w:bCs/>
        </w:rPr>
        <w:t xml:space="preserve"> </w:t>
      </w:r>
      <w:r>
        <w:rPr>
          <w:rFonts w:hint="eastAsia" w:hAnsi="宋体"/>
          <w:bCs/>
        </w:rPr>
        <w:t>履约时间</w:t>
      </w:r>
      <w:r>
        <w:rPr>
          <w:rFonts w:hAnsi="宋体"/>
          <w:bCs/>
        </w:rPr>
        <w:t>：</w:t>
      </w:r>
    </w:p>
    <w:p>
      <w:pPr>
        <w:pStyle w:val="12"/>
        <w:snapToGrid w:val="0"/>
        <w:spacing w:line="240" w:lineRule="auto"/>
        <w:rPr>
          <w:rFonts w:hAnsi="宋体"/>
          <w:bCs/>
          <w:color w:val="000000"/>
        </w:rPr>
      </w:pPr>
      <w:r>
        <w:rPr>
          <w:rFonts w:hAnsi="宋体"/>
          <w:bCs/>
          <w:color w:val="000000"/>
        </w:rPr>
        <w:t>2</w:t>
      </w:r>
      <w:r>
        <w:rPr>
          <w:rFonts w:hint="eastAsia" w:hAnsi="宋体"/>
          <w:bCs/>
          <w:color w:val="000000"/>
        </w:rPr>
        <w:t>.</w:t>
      </w:r>
      <w:r>
        <w:rPr>
          <w:rFonts w:hAnsi="宋体"/>
          <w:bCs/>
          <w:color w:val="000000"/>
        </w:rPr>
        <w:t xml:space="preserve"> </w:t>
      </w:r>
      <w:r>
        <w:rPr>
          <w:rFonts w:hint="eastAsia" w:hAnsi="宋体"/>
          <w:bCs/>
          <w:color w:val="000000"/>
        </w:rPr>
        <w:t>履约</w:t>
      </w:r>
      <w:r>
        <w:rPr>
          <w:rFonts w:hAnsi="宋体"/>
          <w:bCs/>
          <w:color w:val="000000"/>
        </w:rPr>
        <w:t>方式：</w:t>
      </w:r>
    </w:p>
    <w:p>
      <w:pPr>
        <w:pStyle w:val="12"/>
        <w:snapToGrid w:val="0"/>
        <w:spacing w:line="240" w:lineRule="auto"/>
        <w:rPr>
          <w:rFonts w:hAnsi="宋体"/>
          <w:b/>
          <w:color w:val="000000"/>
        </w:rPr>
      </w:pPr>
      <w:r>
        <w:rPr>
          <w:rFonts w:hAnsi="宋体"/>
          <w:bCs/>
          <w:color w:val="000000"/>
        </w:rPr>
        <w:t>3</w:t>
      </w:r>
      <w:r>
        <w:rPr>
          <w:rFonts w:hint="eastAsia" w:hAnsi="宋体"/>
          <w:bCs/>
          <w:color w:val="000000"/>
        </w:rPr>
        <w:t>.</w:t>
      </w:r>
      <w:r>
        <w:rPr>
          <w:rFonts w:hAnsi="宋体"/>
          <w:bCs/>
          <w:color w:val="000000"/>
        </w:rPr>
        <w:t xml:space="preserve"> </w:t>
      </w:r>
      <w:r>
        <w:rPr>
          <w:rFonts w:hint="eastAsia" w:hAnsi="宋体"/>
          <w:bCs/>
          <w:color w:val="000000"/>
        </w:rPr>
        <w:t>履约</w:t>
      </w:r>
      <w:r>
        <w:rPr>
          <w:rFonts w:hAnsi="宋体"/>
          <w:bCs/>
          <w:color w:val="000000"/>
        </w:rPr>
        <w:t>地点：</w:t>
      </w:r>
    </w:p>
    <w:p>
      <w:pPr>
        <w:pStyle w:val="12"/>
        <w:snapToGrid w:val="0"/>
        <w:spacing w:line="240" w:lineRule="auto"/>
        <w:rPr>
          <w:rFonts w:hAnsi="宋体"/>
          <w:b/>
          <w:color w:val="000000"/>
        </w:rPr>
      </w:pPr>
      <w:r>
        <w:rPr>
          <w:rFonts w:hint="eastAsia" w:hAnsi="宋体"/>
          <w:b/>
          <w:color w:val="000000"/>
        </w:rPr>
        <w:t>九</w:t>
      </w:r>
      <w:r>
        <w:rPr>
          <w:rFonts w:hAnsi="宋体"/>
          <w:b/>
          <w:color w:val="000000"/>
        </w:rPr>
        <w:t>、</w:t>
      </w:r>
      <w:r>
        <w:rPr>
          <w:rFonts w:hint="eastAsia" w:hAnsi="宋体"/>
          <w:b/>
          <w:color w:val="000000"/>
        </w:rPr>
        <w:t>合同</w:t>
      </w:r>
      <w:r>
        <w:rPr>
          <w:rFonts w:hAnsi="宋体"/>
          <w:b/>
          <w:color w:val="000000"/>
        </w:rPr>
        <w:t>款支付</w:t>
      </w:r>
    </w:p>
    <w:p>
      <w:pPr>
        <w:pStyle w:val="12"/>
        <w:snapToGrid w:val="0"/>
        <w:spacing w:line="240" w:lineRule="auto"/>
        <w:rPr>
          <w:rFonts w:hAnsi="宋体"/>
          <w:bCs/>
        </w:rPr>
      </w:pPr>
      <w:r>
        <w:rPr>
          <w:rFonts w:hAnsi="宋体"/>
          <w:bCs/>
        </w:rPr>
        <w:t>1</w:t>
      </w:r>
      <w:r>
        <w:rPr>
          <w:rFonts w:hint="eastAsia" w:hAnsi="宋体"/>
          <w:bCs/>
        </w:rPr>
        <w:t>.</w:t>
      </w:r>
      <w:r>
        <w:rPr>
          <w:rFonts w:hAnsi="宋体"/>
          <w:bCs/>
        </w:rPr>
        <w:t xml:space="preserve"> 付款方式：</w:t>
      </w:r>
    </w:p>
    <w:p>
      <w:pPr>
        <w:pStyle w:val="12"/>
        <w:snapToGrid w:val="0"/>
        <w:spacing w:line="240" w:lineRule="auto"/>
        <w:ind w:left="480" w:hanging="480" w:hangingChars="200"/>
        <w:rPr>
          <w:rFonts w:hAnsi="宋体"/>
          <w:bCs/>
        </w:rPr>
      </w:pPr>
      <w:r>
        <w:rPr>
          <w:rFonts w:hAnsi="宋体"/>
          <w:bCs/>
        </w:rPr>
        <w:t>2</w:t>
      </w:r>
      <w:r>
        <w:rPr>
          <w:rFonts w:hint="eastAsia" w:hAnsi="宋体"/>
          <w:bCs/>
        </w:rPr>
        <w:t>.</w:t>
      </w:r>
      <w:r>
        <w:rPr>
          <w:rFonts w:hAnsi="宋体"/>
        </w:rPr>
        <w:t>当采购数量与实际使用数量不一致时，乙</w:t>
      </w:r>
      <w:r>
        <w:rPr>
          <w:rFonts w:hint="eastAsia" w:hAnsi="宋体"/>
        </w:rPr>
        <w:t>方</w:t>
      </w:r>
      <w:r>
        <w:rPr>
          <w:rFonts w:hAnsi="宋体"/>
        </w:rPr>
        <w:t>应根据实际使用量</w:t>
      </w:r>
      <w:r>
        <w:rPr>
          <w:rFonts w:hint="eastAsia" w:hAnsi="宋体"/>
        </w:rPr>
        <w:t>提供</w:t>
      </w:r>
      <w:r>
        <w:rPr>
          <w:rFonts w:hAnsi="宋体"/>
        </w:rPr>
        <w:t>，合同的最终结算金额按实际使用量乘以成交单价进行计算。</w:t>
      </w:r>
    </w:p>
    <w:p>
      <w:pPr>
        <w:snapToGrid w:val="0"/>
        <w:spacing w:before="156" w:beforeLines="50" w:after="156" w:afterLines="50"/>
        <w:rPr>
          <w:rFonts w:ascii="宋体" w:hAnsi="宋体"/>
          <w:b/>
          <w:sz w:val="24"/>
        </w:rPr>
      </w:pPr>
      <w:r>
        <w:rPr>
          <w:rFonts w:hint="eastAsia" w:ascii="宋体" w:hAnsi="宋体"/>
          <w:b/>
          <w:sz w:val="24"/>
        </w:rPr>
        <w:t>十、税费</w:t>
      </w:r>
    </w:p>
    <w:p>
      <w:pPr>
        <w:snapToGrid w:val="0"/>
        <w:spacing w:before="156" w:beforeLines="50" w:after="156" w:afterLines="50"/>
        <w:rPr>
          <w:rFonts w:ascii="宋体" w:hAnsi="宋体"/>
          <w:sz w:val="24"/>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pStyle w:val="12"/>
        <w:snapToGrid w:val="0"/>
        <w:spacing w:line="240" w:lineRule="auto"/>
        <w:ind w:left="412" w:hanging="412" w:hangingChars="171"/>
        <w:rPr>
          <w:rFonts w:hAnsi="宋体"/>
        </w:rPr>
      </w:pPr>
      <w:r>
        <w:rPr>
          <w:rFonts w:hAnsi="宋体"/>
          <w:b/>
        </w:rPr>
        <w:t>十</w:t>
      </w:r>
      <w:r>
        <w:rPr>
          <w:rFonts w:hint="eastAsia" w:hAnsi="宋体"/>
          <w:b/>
        </w:rPr>
        <w:t>一</w:t>
      </w:r>
      <w:r>
        <w:rPr>
          <w:rFonts w:hAnsi="宋体"/>
          <w:b/>
        </w:rPr>
        <w:t>、质量保证及售后服务</w:t>
      </w:r>
    </w:p>
    <w:p>
      <w:pPr>
        <w:pStyle w:val="12"/>
        <w:snapToGrid w:val="0"/>
        <w:spacing w:line="240" w:lineRule="auto"/>
        <w:ind w:left="410" w:hanging="410" w:hangingChars="171"/>
        <w:rPr>
          <w:rFonts w:hAnsi="宋体"/>
        </w:rPr>
      </w:pPr>
      <w:r>
        <w:rPr>
          <w:rFonts w:hAnsi="宋体"/>
        </w:rPr>
        <w:t>1</w:t>
      </w:r>
      <w:r>
        <w:rPr>
          <w:rFonts w:hint="eastAsia" w:hAnsi="宋体"/>
        </w:rPr>
        <w:t>.</w:t>
      </w:r>
      <w:r>
        <w:rPr>
          <w:rFonts w:hAnsi="宋体"/>
        </w:rPr>
        <w:t xml:space="preserve"> 乙方应按招标文件规定的</w:t>
      </w:r>
      <w:r>
        <w:rPr>
          <w:rFonts w:hint="eastAsia" w:hAnsi="宋体"/>
        </w:rPr>
        <w:t>标的</w:t>
      </w:r>
      <w:r>
        <w:rPr>
          <w:rFonts w:hAnsi="宋体"/>
        </w:rPr>
        <w:t>性能、技术要求、质量标准向甲方提供未经使用的全新产品。</w:t>
      </w:r>
    </w:p>
    <w:p>
      <w:pPr>
        <w:pStyle w:val="12"/>
        <w:snapToGrid w:val="0"/>
        <w:spacing w:line="240" w:lineRule="auto"/>
        <w:ind w:left="480" w:hanging="480" w:hangingChars="200"/>
        <w:rPr>
          <w:rFonts w:hAnsi="宋体"/>
        </w:rPr>
      </w:pPr>
      <w:r>
        <w:rPr>
          <w:rFonts w:hAnsi="宋体"/>
        </w:rPr>
        <w:t>2</w:t>
      </w:r>
      <w:r>
        <w:rPr>
          <w:rFonts w:hint="eastAsia" w:hAnsi="宋体"/>
        </w:rPr>
        <w:t>.</w:t>
      </w:r>
      <w:r>
        <w:rPr>
          <w:rFonts w:hAnsi="宋体"/>
        </w:rPr>
        <w:t xml:space="preserve"> 乙方提供的</w:t>
      </w:r>
      <w:r>
        <w:rPr>
          <w:rFonts w:hint="eastAsia" w:hAnsi="宋体"/>
        </w:rPr>
        <w:t>标的</w:t>
      </w:r>
      <w:r>
        <w:rPr>
          <w:rFonts w:hAnsi="宋体"/>
        </w:rPr>
        <w:t>在质</w:t>
      </w:r>
      <w:r>
        <w:rPr>
          <w:rFonts w:hint="eastAsia" w:hAnsi="宋体"/>
        </w:rPr>
        <w:t>保</w:t>
      </w:r>
      <w:r>
        <w:rPr>
          <w:rFonts w:hAnsi="宋体"/>
        </w:rPr>
        <w:t>期内因货物本身的质量问题发生故障，乙方应负责免费更换。对达不到技术要求者，根据实际情况，经双方协商，可按以下办法处理：</w:t>
      </w:r>
    </w:p>
    <w:p>
      <w:pPr>
        <w:pStyle w:val="12"/>
        <w:snapToGrid w:val="0"/>
        <w:spacing w:line="240" w:lineRule="auto"/>
        <w:ind w:firstLine="420"/>
        <w:rPr>
          <w:rFonts w:hAnsi="宋体"/>
        </w:rPr>
      </w:pPr>
      <w:r>
        <w:rPr>
          <w:rFonts w:hAnsi="宋体"/>
        </w:rPr>
        <w:t>⑴更换：由乙方承担所发生的全部费用。</w:t>
      </w:r>
    </w:p>
    <w:p>
      <w:pPr>
        <w:pStyle w:val="12"/>
        <w:snapToGrid w:val="0"/>
        <w:spacing w:line="240" w:lineRule="auto"/>
        <w:ind w:firstLine="420"/>
        <w:rPr>
          <w:rFonts w:hAnsi="宋体"/>
        </w:rPr>
      </w:pPr>
      <w:r>
        <w:rPr>
          <w:rFonts w:hAnsi="宋体"/>
        </w:rPr>
        <w:t>⑵贬值处理：由甲乙双方合议定价。</w:t>
      </w:r>
    </w:p>
    <w:p>
      <w:pPr>
        <w:pStyle w:val="12"/>
        <w:snapToGrid w:val="0"/>
        <w:spacing w:line="240" w:lineRule="auto"/>
        <w:ind w:left="420" w:leftChars="200"/>
        <w:rPr>
          <w:rFonts w:hAnsi="宋体"/>
        </w:rPr>
      </w:pPr>
      <w:r>
        <w:rPr>
          <w:rFonts w:hAnsi="宋体"/>
        </w:rPr>
        <w:t>⑶退货处理：乙方应退还甲方支付的合同款，同时应承担该</w:t>
      </w:r>
      <w:r>
        <w:rPr>
          <w:rFonts w:hint="eastAsia" w:hAnsi="宋体"/>
        </w:rPr>
        <w:t>标的</w:t>
      </w:r>
      <w:r>
        <w:rPr>
          <w:rFonts w:hAnsi="宋体"/>
        </w:rPr>
        <w:t>的直接费用（运输、保险、检验、货款利息及银行手续费等）。</w:t>
      </w:r>
    </w:p>
    <w:p>
      <w:pPr>
        <w:pStyle w:val="12"/>
        <w:snapToGrid w:val="0"/>
        <w:spacing w:line="240" w:lineRule="auto"/>
        <w:rPr>
          <w:rFonts w:hAnsi="宋体"/>
        </w:rPr>
      </w:pPr>
      <w:r>
        <w:rPr>
          <w:rFonts w:hAnsi="宋体"/>
        </w:rPr>
        <w:t>3</w:t>
      </w:r>
      <w:r>
        <w:rPr>
          <w:rFonts w:hint="eastAsia" w:hAnsi="宋体"/>
        </w:rPr>
        <w:t>.</w:t>
      </w:r>
      <w:r>
        <w:rPr>
          <w:rFonts w:hAnsi="宋体"/>
        </w:rPr>
        <w:t xml:space="preserve"> 如在使用过程中发生质量问题，乙方在接到甲方通知后</w:t>
      </w:r>
      <w:r>
        <w:rPr>
          <w:rFonts w:hAnsi="宋体"/>
          <w:color w:val="000000"/>
        </w:rPr>
        <w:t>在</w:t>
      </w:r>
      <w:r>
        <w:rPr>
          <w:rFonts w:hAnsi="宋体"/>
          <w:color w:val="000000"/>
          <w:u w:val="single"/>
        </w:rPr>
        <w:t xml:space="preserve">     </w:t>
      </w:r>
      <w:r>
        <w:rPr>
          <w:rFonts w:hAnsi="宋体"/>
          <w:color w:val="000000"/>
        </w:rPr>
        <w:t>小时</w:t>
      </w:r>
      <w:r>
        <w:rPr>
          <w:rFonts w:hAnsi="宋体"/>
        </w:rPr>
        <w:t>内到达甲方现场。</w:t>
      </w:r>
    </w:p>
    <w:p>
      <w:pPr>
        <w:pStyle w:val="12"/>
        <w:snapToGrid w:val="0"/>
        <w:spacing w:line="240" w:lineRule="auto"/>
        <w:rPr>
          <w:rFonts w:hAnsi="宋体"/>
        </w:rPr>
      </w:pPr>
      <w:r>
        <w:rPr>
          <w:rFonts w:hAnsi="宋体"/>
        </w:rPr>
        <w:t>4</w:t>
      </w:r>
      <w:r>
        <w:rPr>
          <w:rFonts w:hint="eastAsia" w:hAnsi="宋体"/>
        </w:rPr>
        <w:t>.</w:t>
      </w:r>
      <w:r>
        <w:rPr>
          <w:rFonts w:hAnsi="宋体"/>
        </w:rPr>
        <w:t xml:space="preserve"> 在质保期内，乙方应对</w:t>
      </w:r>
      <w:r>
        <w:rPr>
          <w:rFonts w:hint="eastAsia" w:hAnsi="宋体"/>
        </w:rPr>
        <w:t>标的</w:t>
      </w:r>
      <w:r>
        <w:rPr>
          <w:rFonts w:hAnsi="宋体"/>
        </w:rPr>
        <w:t>出现的质量及安全问题负责处理解决并承担一切费用。</w:t>
      </w:r>
    </w:p>
    <w:p>
      <w:pPr>
        <w:pStyle w:val="12"/>
        <w:snapToGrid w:val="0"/>
        <w:spacing w:line="240" w:lineRule="auto"/>
        <w:rPr>
          <w:rFonts w:hAnsi="宋体"/>
          <w:color w:val="000000"/>
        </w:rPr>
      </w:pPr>
      <w:r>
        <w:rPr>
          <w:rFonts w:hAnsi="宋体"/>
        </w:rPr>
        <w:t>5</w:t>
      </w:r>
      <w:r>
        <w:rPr>
          <w:rFonts w:hint="eastAsia" w:hAnsi="宋体"/>
        </w:rPr>
        <w:t>.</w:t>
      </w:r>
      <w:r>
        <w:rPr>
          <w:rFonts w:hAnsi="宋体"/>
          <w:color w:val="000000"/>
        </w:rPr>
        <w:t>上述的</w:t>
      </w:r>
      <w:r>
        <w:rPr>
          <w:rFonts w:hint="eastAsia" w:hAnsi="宋体"/>
        </w:rPr>
        <w:t>标的</w:t>
      </w:r>
      <w:r>
        <w:rPr>
          <w:rFonts w:hAnsi="宋体"/>
          <w:color w:val="000000"/>
        </w:rPr>
        <w:t>免费保修期为</w:t>
      </w:r>
      <w:r>
        <w:rPr>
          <w:rFonts w:hAnsi="宋体"/>
          <w:color w:val="000000"/>
          <w:u w:val="single"/>
        </w:rPr>
        <w:t xml:space="preserve">     </w:t>
      </w:r>
      <w:r>
        <w:rPr>
          <w:rFonts w:hAnsi="宋体"/>
          <w:color w:val="000000"/>
        </w:rPr>
        <w:t>年，因人为因素出现的故障不在免费保修范围内。超过保修期的</w:t>
      </w:r>
      <w:r>
        <w:rPr>
          <w:rFonts w:hint="eastAsia" w:hAnsi="宋体"/>
          <w:color w:val="000000"/>
        </w:rPr>
        <w:t>产品</w:t>
      </w:r>
      <w:r>
        <w:rPr>
          <w:rFonts w:hAnsi="宋体"/>
          <w:color w:val="000000"/>
        </w:rPr>
        <w:t>，终生维修，维修时只收部件成本费。</w:t>
      </w:r>
    </w:p>
    <w:p>
      <w:pPr>
        <w:pStyle w:val="12"/>
        <w:snapToGrid w:val="0"/>
        <w:spacing w:line="240" w:lineRule="auto"/>
        <w:rPr>
          <w:rFonts w:hAnsi="宋体"/>
          <w:b/>
        </w:rPr>
      </w:pPr>
      <w:r>
        <w:rPr>
          <w:rFonts w:hAnsi="宋体"/>
          <w:b/>
        </w:rPr>
        <w:t>十</w:t>
      </w:r>
      <w:r>
        <w:rPr>
          <w:rFonts w:hint="eastAsia" w:hAnsi="宋体"/>
          <w:b/>
        </w:rPr>
        <w:t>二</w:t>
      </w:r>
      <w:r>
        <w:rPr>
          <w:rFonts w:hAnsi="宋体"/>
          <w:b/>
        </w:rPr>
        <w:t>、调试和验收</w:t>
      </w:r>
    </w:p>
    <w:p>
      <w:pPr>
        <w:pStyle w:val="12"/>
        <w:snapToGrid w:val="0"/>
        <w:spacing w:line="240" w:lineRule="auto"/>
        <w:jc w:val="left"/>
        <w:rPr>
          <w:rFonts w:hAnsi="宋体"/>
        </w:rPr>
      </w:pPr>
      <w:r>
        <w:rPr>
          <w:rFonts w:hAnsi="宋体"/>
        </w:rPr>
        <w:t>1</w:t>
      </w:r>
      <w:r>
        <w:rPr>
          <w:rFonts w:hint="eastAsia" w:hAnsi="宋体"/>
        </w:rPr>
        <w:t>.</w:t>
      </w:r>
      <w:r>
        <w:rPr>
          <w:rFonts w:hAnsi="宋体"/>
        </w:rPr>
        <w:t xml:space="preserve"> 甲方对乙方提交的</w:t>
      </w:r>
      <w:r>
        <w:rPr>
          <w:rFonts w:hint="eastAsia" w:hAnsi="宋体"/>
        </w:rPr>
        <w:t>标的</w:t>
      </w:r>
      <w:r>
        <w:rPr>
          <w:rFonts w:hAnsi="宋体"/>
        </w:rPr>
        <w:t>依据招标文件上的技术规格要求和国家有关质量标准进行现场初步验收，外观、说明书符合招标文件技术要求的，给予签收，初步验收不合格的不予签收</w:t>
      </w:r>
      <w:r>
        <w:rPr>
          <w:rFonts w:hint="eastAsia" w:hAnsi="宋体"/>
        </w:rPr>
        <w:t>，</w:t>
      </w:r>
      <w:r>
        <w:rPr>
          <w:rFonts w:hAnsi="宋体"/>
        </w:rPr>
        <w:t>甲方需在五个工作日内验收。</w:t>
      </w:r>
    </w:p>
    <w:p>
      <w:pPr>
        <w:pStyle w:val="12"/>
        <w:snapToGrid w:val="0"/>
        <w:spacing w:line="240" w:lineRule="auto"/>
        <w:rPr>
          <w:rFonts w:hAnsi="宋体"/>
        </w:rPr>
      </w:pPr>
      <w:r>
        <w:rPr>
          <w:rFonts w:hAnsi="宋体"/>
        </w:rPr>
        <w:t>2</w:t>
      </w:r>
      <w:r>
        <w:rPr>
          <w:rFonts w:hint="eastAsia" w:hAnsi="宋体"/>
        </w:rPr>
        <w:t>.</w:t>
      </w:r>
      <w:r>
        <w:rPr>
          <w:rFonts w:hAnsi="宋体"/>
        </w:rPr>
        <w:t xml:space="preserve"> 乙方交</w:t>
      </w:r>
      <w:r>
        <w:rPr>
          <w:rFonts w:hint="eastAsia" w:hAnsi="宋体"/>
        </w:rPr>
        <w:t>付</w:t>
      </w:r>
      <w:r>
        <w:rPr>
          <w:rFonts w:hAnsi="宋体"/>
        </w:rPr>
        <w:t>前应对产品作出全面检查和对验收文件进行整理，并列出清单，作为甲方验收和使用的技术条件依据，检验的结果应随</w:t>
      </w:r>
      <w:r>
        <w:rPr>
          <w:rFonts w:hint="eastAsia" w:hAnsi="宋体"/>
        </w:rPr>
        <w:t>标的</w:t>
      </w:r>
      <w:r>
        <w:rPr>
          <w:rFonts w:hAnsi="宋体"/>
        </w:rPr>
        <w:t>交甲方。</w:t>
      </w:r>
    </w:p>
    <w:p>
      <w:pPr>
        <w:pStyle w:val="12"/>
        <w:snapToGrid w:val="0"/>
        <w:spacing w:line="240" w:lineRule="auto"/>
        <w:rPr>
          <w:rFonts w:hAnsi="宋体"/>
          <w:u w:val="single"/>
        </w:rPr>
      </w:pPr>
      <w:r>
        <w:rPr>
          <w:rFonts w:hAnsi="宋体"/>
        </w:rPr>
        <w:t>3</w:t>
      </w:r>
      <w:r>
        <w:rPr>
          <w:rFonts w:hint="eastAsia" w:hAnsi="宋体"/>
        </w:rPr>
        <w:t>.</w:t>
      </w:r>
      <w:r>
        <w:rPr>
          <w:rFonts w:hAnsi="宋体"/>
        </w:rPr>
        <w:t xml:space="preserve"> 甲方对乙方提供的</w:t>
      </w:r>
      <w:r>
        <w:rPr>
          <w:rFonts w:hint="eastAsia" w:hAnsi="宋体"/>
        </w:rPr>
        <w:t>标的</w:t>
      </w:r>
      <w:r>
        <w:rPr>
          <w:rFonts w:hAnsi="宋体"/>
        </w:rPr>
        <w:t>在使用前进行调试时，乙方需负责安装并培训甲方的使用操作人员，并协助甲方一起调试，直到符合技术要求，甲方才做最终验收。</w:t>
      </w:r>
    </w:p>
    <w:p>
      <w:pPr>
        <w:pStyle w:val="12"/>
        <w:snapToGrid w:val="0"/>
        <w:spacing w:line="240" w:lineRule="auto"/>
        <w:rPr>
          <w:rFonts w:hAnsi="宋体"/>
        </w:rPr>
      </w:pPr>
      <w:r>
        <w:rPr>
          <w:rFonts w:hAnsi="宋体"/>
          <w:color w:val="000000"/>
        </w:rPr>
        <w:t>4</w:t>
      </w:r>
      <w:r>
        <w:rPr>
          <w:rFonts w:hint="eastAsia" w:hAnsi="宋体"/>
          <w:color w:val="000000"/>
        </w:rPr>
        <w:t>.</w:t>
      </w:r>
      <w:r>
        <w:rPr>
          <w:rFonts w:hAnsi="宋体"/>
          <w:color w:val="000000"/>
        </w:rPr>
        <w:t xml:space="preserve"> </w:t>
      </w:r>
      <w:r>
        <w:rPr>
          <w:rFonts w:hAnsi="宋体"/>
        </w:rPr>
        <w:t>对技术复杂的</w:t>
      </w:r>
      <w:r>
        <w:rPr>
          <w:rFonts w:hint="eastAsia" w:hAnsi="宋体"/>
        </w:rPr>
        <w:t>标的</w:t>
      </w:r>
      <w:r>
        <w:rPr>
          <w:rFonts w:hAnsi="宋体"/>
        </w:rPr>
        <w:t>，甲方应请国家认可的专业检测机构参与初步验收及最终验收，并由其出具质量检测报告。</w:t>
      </w:r>
    </w:p>
    <w:p>
      <w:pPr>
        <w:pStyle w:val="12"/>
        <w:snapToGrid w:val="0"/>
        <w:spacing w:line="240" w:lineRule="auto"/>
        <w:rPr>
          <w:rFonts w:hAnsi="宋体"/>
        </w:rPr>
      </w:pPr>
      <w:r>
        <w:rPr>
          <w:rFonts w:hAnsi="宋体"/>
          <w:color w:val="000000"/>
        </w:rPr>
        <w:t>5</w:t>
      </w:r>
      <w:r>
        <w:rPr>
          <w:rFonts w:hint="eastAsia" w:hAnsi="宋体"/>
          <w:color w:val="000000"/>
        </w:rPr>
        <w:t>.</w:t>
      </w:r>
      <w:r>
        <w:rPr>
          <w:rFonts w:hAnsi="宋体"/>
          <w:color w:val="000000"/>
        </w:rPr>
        <w:t xml:space="preserve"> </w:t>
      </w:r>
      <w:r>
        <w:rPr>
          <w:rFonts w:hAnsi="宋体"/>
        </w:rPr>
        <w:t>验收时乙方必须在现场，验收完毕后作出验收结果报告；验收费用由乙方负责。</w:t>
      </w:r>
    </w:p>
    <w:p>
      <w:pPr>
        <w:pStyle w:val="12"/>
        <w:snapToGrid w:val="0"/>
        <w:spacing w:line="240" w:lineRule="auto"/>
        <w:rPr>
          <w:rFonts w:hAnsi="宋体"/>
          <w:b/>
        </w:rPr>
      </w:pPr>
      <w:r>
        <w:rPr>
          <w:rFonts w:hAnsi="宋体"/>
          <w:b/>
        </w:rPr>
        <w:t>十</w:t>
      </w:r>
      <w:r>
        <w:rPr>
          <w:rFonts w:hint="eastAsia" w:hAnsi="宋体"/>
          <w:b/>
        </w:rPr>
        <w:t>三</w:t>
      </w:r>
      <w:r>
        <w:rPr>
          <w:rFonts w:hAnsi="宋体"/>
          <w:b/>
        </w:rPr>
        <w:t>、包装、发运及运输</w:t>
      </w:r>
    </w:p>
    <w:p>
      <w:pPr>
        <w:pStyle w:val="12"/>
        <w:snapToGrid w:val="0"/>
        <w:spacing w:line="240" w:lineRule="auto"/>
        <w:ind w:left="480" w:hanging="480" w:hangingChars="200"/>
        <w:rPr>
          <w:rFonts w:hAnsi="宋体"/>
        </w:rPr>
      </w:pPr>
      <w:r>
        <w:rPr>
          <w:rFonts w:hAnsi="宋体"/>
        </w:rPr>
        <w:t>1</w:t>
      </w:r>
      <w:r>
        <w:rPr>
          <w:rFonts w:hint="eastAsia" w:hAnsi="宋体"/>
        </w:rPr>
        <w:t>.</w:t>
      </w:r>
      <w:r>
        <w:rPr>
          <w:rFonts w:hAnsi="宋体"/>
        </w:rPr>
        <w:t xml:space="preserve"> 乙方应在发运前对其进行满足运输距离、防潮、防震、防锈和防破损装卸等要求包装，以保证安全运达甲方指定地点。</w:t>
      </w:r>
    </w:p>
    <w:p>
      <w:pPr>
        <w:pStyle w:val="12"/>
        <w:snapToGrid w:val="0"/>
        <w:spacing w:line="240" w:lineRule="auto"/>
        <w:ind w:left="480" w:hanging="480" w:hangingChars="200"/>
        <w:rPr>
          <w:rFonts w:hAnsi="宋体"/>
        </w:rPr>
      </w:pPr>
      <w:r>
        <w:rPr>
          <w:rFonts w:hAnsi="宋体"/>
        </w:rPr>
        <w:t>2</w:t>
      </w:r>
      <w:r>
        <w:rPr>
          <w:rFonts w:hint="eastAsia" w:hAnsi="宋体"/>
        </w:rPr>
        <w:t>.</w:t>
      </w:r>
      <w:r>
        <w:rPr>
          <w:rFonts w:hAnsi="宋体"/>
        </w:rPr>
        <w:t xml:space="preserve"> 使用说明书、质量检验证明书、随配附件和工具以及清单一并附于</w:t>
      </w:r>
      <w:r>
        <w:rPr>
          <w:rFonts w:hint="eastAsia" w:hAnsi="宋体"/>
        </w:rPr>
        <w:t>标的</w:t>
      </w:r>
      <w:r>
        <w:rPr>
          <w:rFonts w:hAnsi="宋体"/>
        </w:rPr>
        <w:t>内。</w:t>
      </w:r>
    </w:p>
    <w:p>
      <w:pPr>
        <w:pStyle w:val="12"/>
        <w:snapToGrid w:val="0"/>
        <w:spacing w:line="240" w:lineRule="auto"/>
        <w:ind w:left="480" w:hanging="480" w:hangingChars="200"/>
        <w:rPr>
          <w:rFonts w:hAnsi="宋体"/>
        </w:rPr>
      </w:pPr>
      <w:r>
        <w:rPr>
          <w:rFonts w:hAnsi="宋体"/>
        </w:rPr>
        <w:t>3</w:t>
      </w:r>
      <w:r>
        <w:rPr>
          <w:rFonts w:hint="eastAsia" w:hAnsi="宋体"/>
        </w:rPr>
        <w:t>.</w:t>
      </w:r>
      <w:r>
        <w:rPr>
          <w:rFonts w:hAnsi="宋体"/>
        </w:rPr>
        <w:t xml:space="preserve"> 乙方在发运手续办理完毕后24小时内或到甲方48小时前通知甲方，以准备</w:t>
      </w:r>
      <w:r>
        <w:rPr>
          <w:rFonts w:hint="eastAsia" w:hAnsi="宋体"/>
        </w:rPr>
        <w:t>接收</w:t>
      </w:r>
      <w:r>
        <w:rPr>
          <w:rFonts w:hAnsi="宋体"/>
        </w:rPr>
        <w:t>。</w:t>
      </w:r>
    </w:p>
    <w:p>
      <w:pPr>
        <w:pStyle w:val="12"/>
        <w:snapToGrid w:val="0"/>
        <w:spacing w:line="240" w:lineRule="auto"/>
        <w:ind w:left="480" w:hanging="480" w:hangingChars="200"/>
        <w:rPr>
          <w:rFonts w:hAnsi="宋体"/>
        </w:rPr>
      </w:pPr>
      <w:r>
        <w:rPr>
          <w:rFonts w:hAnsi="宋体"/>
        </w:rPr>
        <w:t>4</w:t>
      </w:r>
      <w:r>
        <w:rPr>
          <w:rFonts w:hint="eastAsia" w:hAnsi="宋体"/>
        </w:rPr>
        <w:t>.</w:t>
      </w:r>
      <w:r>
        <w:rPr>
          <w:rFonts w:hAnsi="宋体"/>
        </w:rPr>
        <w:t xml:space="preserve"> </w:t>
      </w:r>
      <w:r>
        <w:rPr>
          <w:rFonts w:hint="eastAsia" w:hAnsi="宋体"/>
        </w:rPr>
        <w:t>标的</w:t>
      </w:r>
      <w:r>
        <w:rPr>
          <w:rFonts w:hAnsi="宋体"/>
        </w:rPr>
        <w:t>在交付甲方前发生的风险均由乙方负责。</w:t>
      </w:r>
    </w:p>
    <w:p>
      <w:pPr>
        <w:pStyle w:val="12"/>
        <w:snapToGrid w:val="0"/>
        <w:spacing w:beforeLines="0" w:afterLines="0" w:line="240" w:lineRule="auto"/>
        <w:ind w:left="480" w:right="26" w:hanging="480" w:hangingChars="200"/>
        <w:rPr>
          <w:rFonts w:hAnsi="宋体"/>
        </w:rPr>
      </w:pPr>
      <w:r>
        <w:rPr>
          <w:rFonts w:hAnsi="宋体"/>
        </w:rPr>
        <w:t>5</w:t>
      </w:r>
      <w:r>
        <w:rPr>
          <w:rFonts w:hint="eastAsia" w:hAnsi="宋体"/>
        </w:rPr>
        <w:t>.</w:t>
      </w:r>
      <w:r>
        <w:rPr>
          <w:rFonts w:hAnsi="宋体"/>
        </w:rPr>
        <w:t xml:space="preserve"> </w:t>
      </w:r>
      <w:r>
        <w:rPr>
          <w:rFonts w:hint="eastAsia" w:hAnsi="宋体"/>
        </w:rPr>
        <w:t>标的</w:t>
      </w:r>
      <w:r>
        <w:rPr>
          <w:rFonts w:hAnsi="宋体"/>
        </w:rPr>
        <w:t>在规定的交付期限内由乙方送达甲方指定的地点视为交付，乙方同时需通知甲方</w:t>
      </w:r>
      <w:r>
        <w:rPr>
          <w:rFonts w:hint="eastAsia" w:hAnsi="宋体"/>
        </w:rPr>
        <w:t>标的</w:t>
      </w:r>
      <w:r>
        <w:rPr>
          <w:rFonts w:hAnsi="宋体"/>
        </w:rPr>
        <w:t>已送达。</w:t>
      </w:r>
    </w:p>
    <w:p>
      <w:pPr>
        <w:pStyle w:val="12"/>
        <w:snapToGrid w:val="0"/>
        <w:spacing w:line="240" w:lineRule="auto"/>
        <w:rPr>
          <w:rFonts w:hAnsi="宋体"/>
          <w:b/>
        </w:rPr>
      </w:pPr>
      <w:r>
        <w:rPr>
          <w:rFonts w:hAnsi="宋体"/>
          <w:b/>
        </w:rPr>
        <w:t>十</w:t>
      </w:r>
      <w:r>
        <w:rPr>
          <w:rFonts w:hint="eastAsia" w:hAnsi="宋体"/>
          <w:b/>
        </w:rPr>
        <w:t>四</w:t>
      </w:r>
      <w:r>
        <w:rPr>
          <w:rFonts w:hAnsi="宋体"/>
          <w:b/>
        </w:rPr>
        <w:t>、违约责任</w:t>
      </w:r>
    </w:p>
    <w:p>
      <w:pPr>
        <w:pStyle w:val="12"/>
        <w:snapToGrid w:val="0"/>
        <w:spacing w:line="240" w:lineRule="auto"/>
        <w:ind w:left="410" w:hanging="410" w:hangingChars="171"/>
        <w:rPr>
          <w:rFonts w:hAnsi="宋体"/>
        </w:rPr>
      </w:pPr>
      <w:r>
        <w:rPr>
          <w:rFonts w:hAnsi="宋体"/>
        </w:rPr>
        <w:t>1</w:t>
      </w:r>
      <w:r>
        <w:rPr>
          <w:rFonts w:hint="eastAsia" w:hAnsi="宋体"/>
        </w:rPr>
        <w:t>.</w:t>
      </w:r>
      <w:r>
        <w:rPr>
          <w:rFonts w:hAnsi="宋体"/>
        </w:rPr>
        <w:t xml:space="preserve"> 甲方无正当理由拒收的，甲方向乙方偿付拒收</w:t>
      </w:r>
      <w:r>
        <w:rPr>
          <w:rFonts w:hint="eastAsia" w:hAnsi="宋体"/>
        </w:rPr>
        <w:t>合同款</w:t>
      </w:r>
      <w:r>
        <w:rPr>
          <w:rFonts w:hAnsi="宋体"/>
        </w:rPr>
        <w:t>总值的</w:t>
      </w:r>
      <w:r>
        <w:rPr>
          <w:rFonts w:hint="eastAsia" w:hAnsi="宋体"/>
        </w:rPr>
        <w:t>5%</w:t>
      </w:r>
      <w:r>
        <w:rPr>
          <w:rFonts w:hAnsi="宋体"/>
        </w:rPr>
        <w:t>违约金。</w:t>
      </w:r>
    </w:p>
    <w:p>
      <w:pPr>
        <w:pStyle w:val="12"/>
        <w:snapToGrid w:val="0"/>
        <w:spacing w:line="240" w:lineRule="auto"/>
        <w:ind w:left="410" w:hanging="410" w:hangingChars="171"/>
        <w:rPr>
          <w:rFonts w:hAnsi="宋体"/>
        </w:rPr>
      </w:pPr>
      <w:r>
        <w:rPr>
          <w:rFonts w:hAnsi="宋体"/>
        </w:rPr>
        <w:t>2</w:t>
      </w:r>
      <w:r>
        <w:rPr>
          <w:rFonts w:hint="eastAsia" w:hAnsi="宋体"/>
        </w:rPr>
        <w:t>.</w:t>
      </w:r>
      <w:r>
        <w:rPr>
          <w:rFonts w:hAnsi="宋体"/>
        </w:rPr>
        <w:t xml:space="preserve"> 甲方无故逾期验收和办理</w:t>
      </w:r>
      <w:r>
        <w:rPr>
          <w:rFonts w:hint="eastAsia" w:hAnsi="宋体"/>
        </w:rPr>
        <w:t>款项</w:t>
      </w:r>
      <w:r>
        <w:rPr>
          <w:rFonts w:hAnsi="宋体"/>
        </w:rPr>
        <w:t>支付手续的,甲方应按逾期付款总额每日万分之五向乙方支付违约金。</w:t>
      </w:r>
    </w:p>
    <w:p>
      <w:pPr>
        <w:pStyle w:val="12"/>
        <w:snapToGrid w:val="0"/>
        <w:spacing w:line="240" w:lineRule="auto"/>
        <w:ind w:left="410" w:hanging="410" w:hangingChars="171"/>
        <w:rPr>
          <w:rFonts w:hAnsi="宋体"/>
        </w:rPr>
      </w:pPr>
      <w:r>
        <w:rPr>
          <w:rFonts w:hAnsi="宋体"/>
        </w:rPr>
        <w:t>3</w:t>
      </w:r>
      <w:r>
        <w:rPr>
          <w:rFonts w:hint="eastAsia" w:hAnsi="宋体"/>
        </w:rPr>
        <w:t>.</w:t>
      </w:r>
      <w:r>
        <w:rPr>
          <w:rFonts w:hAnsi="宋体"/>
        </w:rPr>
        <w:t xml:space="preserve"> 乙方逾期交付的，乙方应按逾期</w:t>
      </w:r>
      <w:r>
        <w:rPr>
          <w:rFonts w:hint="eastAsia" w:hAnsi="宋体"/>
        </w:rPr>
        <w:t>交付</w:t>
      </w:r>
      <w:r>
        <w:rPr>
          <w:rFonts w:hAnsi="宋体"/>
        </w:rPr>
        <w:t>总额每日万分之五向甲方支付违约金，由甲方从待付货款中扣除。逾期超过约定日期</w:t>
      </w:r>
      <w:r>
        <w:rPr>
          <w:rFonts w:hint="eastAsia" w:hAnsi="宋体"/>
        </w:rPr>
        <w:t>2</w:t>
      </w:r>
      <w:r>
        <w:rPr>
          <w:rFonts w:hAnsi="宋体"/>
        </w:rPr>
        <w:t>0个工作日不能</w:t>
      </w:r>
      <w:r>
        <w:rPr>
          <w:rFonts w:hint="eastAsia" w:hAnsi="宋体"/>
        </w:rPr>
        <w:t>交付</w:t>
      </w:r>
      <w:r>
        <w:rPr>
          <w:rFonts w:hAnsi="宋体"/>
        </w:rPr>
        <w:t>的，甲方可解除本合同。乙方因逾期</w:t>
      </w:r>
      <w:r>
        <w:rPr>
          <w:rFonts w:hint="eastAsia" w:hAnsi="宋体"/>
        </w:rPr>
        <w:t>交付</w:t>
      </w:r>
      <w:r>
        <w:rPr>
          <w:rFonts w:hAnsi="宋体"/>
        </w:rPr>
        <w:t xml:space="preserve">或因其他违约行为导致甲方解除合同的，乙方应向甲方支付合同总值5%的违约金，如造成甲方损失超过违约金的，超出部分由乙方继续承担赔偿责任。 </w:t>
      </w:r>
    </w:p>
    <w:p>
      <w:pPr>
        <w:pStyle w:val="12"/>
        <w:snapToGrid w:val="0"/>
        <w:spacing w:line="240" w:lineRule="auto"/>
        <w:ind w:left="410" w:hanging="410" w:hangingChars="171"/>
        <w:rPr>
          <w:rFonts w:hAnsi="宋体"/>
        </w:rPr>
      </w:pPr>
      <w:r>
        <w:rPr>
          <w:rFonts w:hAnsi="宋体"/>
        </w:rPr>
        <w:t>4</w:t>
      </w:r>
      <w:r>
        <w:rPr>
          <w:rFonts w:hint="eastAsia" w:hAnsi="宋体"/>
        </w:rPr>
        <w:t>.</w:t>
      </w:r>
      <w:r>
        <w:rPr>
          <w:rFonts w:hAnsi="宋体"/>
        </w:rPr>
        <w:t xml:space="preserve"> 乙方所交的</w:t>
      </w:r>
      <w:r>
        <w:rPr>
          <w:rFonts w:hint="eastAsia" w:hAnsi="宋体"/>
        </w:rPr>
        <w:t>标的</w:t>
      </w:r>
      <w:r>
        <w:rPr>
          <w:rFonts w:hAnsi="宋体"/>
        </w:rPr>
        <w:t>品种、型号、规格、技术参数、质量不符合合同规定及招标文件规定标准的，甲方有权拒收，乙方愿意更换但逾期</w:t>
      </w:r>
      <w:r>
        <w:rPr>
          <w:rFonts w:hint="eastAsia" w:hAnsi="宋体"/>
        </w:rPr>
        <w:t>交付</w:t>
      </w:r>
      <w:r>
        <w:rPr>
          <w:rFonts w:hAnsi="宋体"/>
        </w:rPr>
        <w:t>的，按乙方逾期</w:t>
      </w:r>
      <w:r>
        <w:rPr>
          <w:rFonts w:hint="eastAsia" w:hAnsi="宋体"/>
        </w:rPr>
        <w:t>交付</w:t>
      </w:r>
      <w:r>
        <w:rPr>
          <w:rFonts w:hAnsi="宋体"/>
        </w:rPr>
        <w:t>处理。乙方拒绝更换的，甲方可单方面解除合同。</w:t>
      </w:r>
    </w:p>
    <w:p>
      <w:pPr>
        <w:pStyle w:val="12"/>
        <w:snapToGrid w:val="0"/>
        <w:spacing w:line="240" w:lineRule="auto"/>
        <w:rPr>
          <w:rFonts w:hAnsi="宋体"/>
          <w:b/>
        </w:rPr>
      </w:pPr>
      <w:r>
        <w:rPr>
          <w:rFonts w:hAnsi="宋体"/>
          <w:b/>
        </w:rPr>
        <w:t>十</w:t>
      </w:r>
      <w:r>
        <w:rPr>
          <w:rFonts w:hint="eastAsia" w:hAnsi="宋体"/>
          <w:b/>
        </w:rPr>
        <w:t>五</w:t>
      </w:r>
      <w:r>
        <w:rPr>
          <w:rFonts w:hAnsi="宋体"/>
          <w:b/>
        </w:rPr>
        <w:t>、不可抗力事件处理</w:t>
      </w:r>
    </w:p>
    <w:p>
      <w:pPr>
        <w:pStyle w:val="12"/>
        <w:snapToGrid w:val="0"/>
        <w:spacing w:line="24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12"/>
        <w:snapToGrid w:val="0"/>
        <w:spacing w:line="240" w:lineRule="auto"/>
        <w:rPr>
          <w:rFonts w:hAnsi="宋体"/>
        </w:rPr>
      </w:pPr>
      <w:r>
        <w:rPr>
          <w:rFonts w:hAnsi="宋体"/>
        </w:rPr>
        <w:t>2</w:t>
      </w:r>
      <w:r>
        <w:rPr>
          <w:rFonts w:hint="eastAsia" w:hAnsi="宋体"/>
        </w:rPr>
        <w:t>.</w:t>
      </w:r>
      <w:r>
        <w:rPr>
          <w:rFonts w:hAnsi="宋体"/>
        </w:rPr>
        <w:t xml:space="preserve"> 不可抗力事件发生后，应立即通知对方，并寄送有关权威机构出具的证明。</w:t>
      </w:r>
    </w:p>
    <w:p>
      <w:pPr>
        <w:pStyle w:val="12"/>
        <w:snapToGrid w:val="0"/>
        <w:spacing w:line="240" w:lineRule="auto"/>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12"/>
        <w:snapToGrid w:val="0"/>
        <w:spacing w:line="240" w:lineRule="auto"/>
        <w:rPr>
          <w:rFonts w:hAnsi="宋体"/>
          <w:b/>
        </w:rPr>
      </w:pPr>
      <w:r>
        <w:rPr>
          <w:rFonts w:hAnsi="宋体"/>
          <w:b/>
        </w:rPr>
        <w:t>十</w:t>
      </w:r>
      <w:r>
        <w:rPr>
          <w:rFonts w:hint="eastAsia" w:hAnsi="宋体"/>
          <w:b/>
        </w:rPr>
        <w:t>六</w:t>
      </w:r>
      <w:r>
        <w:rPr>
          <w:rFonts w:hAnsi="宋体"/>
          <w:b/>
        </w:rPr>
        <w:t>、诉讼</w:t>
      </w:r>
    </w:p>
    <w:p>
      <w:pPr>
        <w:pStyle w:val="12"/>
        <w:snapToGrid w:val="0"/>
        <w:spacing w:line="240" w:lineRule="auto"/>
        <w:ind w:left="480" w:hanging="480" w:hangingChars="200"/>
        <w:rPr>
          <w:rFonts w:hAnsi="宋体"/>
        </w:rPr>
      </w:pPr>
      <w:r>
        <w:rPr>
          <w:rFonts w:hAnsi="宋体"/>
        </w:rPr>
        <w:t xml:space="preserve"> 双方在执行合同中所发生的一切争议，应通过协商解决。如协商不成，可向</w:t>
      </w:r>
      <w:r>
        <w:rPr>
          <w:rFonts w:hint="eastAsia" w:hAnsi="宋体"/>
        </w:rPr>
        <w:t>甲方所在地提起仲裁或</w:t>
      </w:r>
      <w:r>
        <w:rPr>
          <w:rFonts w:hAnsi="宋体"/>
        </w:rPr>
        <w:t>法院起诉。</w:t>
      </w:r>
    </w:p>
    <w:p>
      <w:pPr>
        <w:pStyle w:val="12"/>
        <w:snapToGrid w:val="0"/>
        <w:spacing w:line="240" w:lineRule="auto"/>
        <w:rPr>
          <w:rFonts w:hAnsi="宋体"/>
          <w:b/>
        </w:rPr>
      </w:pPr>
      <w:r>
        <w:rPr>
          <w:rFonts w:hAnsi="宋体"/>
          <w:b/>
        </w:rPr>
        <w:t>十</w:t>
      </w:r>
      <w:r>
        <w:rPr>
          <w:rFonts w:hint="eastAsia" w:hAnsi="宋体"/>
          <w:b/>
        </w:rPr>
        <w:t>七</w:t>
      </w:r>
      <w:r>
        <w:rPr>
          <w:rFonts w:hAnsi="宋体"/>
          <w:b/>
        </w:rPr>
        <w:t>、合同生效及其它</w:t>
      </w:r>
    </w:p>
    <w:p>
      <w:pPr>
        <w:pStyle w:val="12"/>
        <w:snapToGrid w:val="0"/>
        <w:spacing w:line="240" w:lineRule="auto"/>
        <w:rPr>
          <w:rFonts w:hAnsi="宋体"/>
        </w:rPr>
      </w:pPr>
      <w:r>
        <w:rPr>
          <w:rFonts w:hAnsi="宋体"/>
        </w:rPr>
        <w:t>1</w:t>
      </w:r>
      <w:r>
        <w:rPr>
          <w:rFonts w:hint="eastAsia" w:hAnsi="宋体"/>
        </w:rPr>
        <w:t>.</w:t>
      </w:r>
      <w:r>
        <w:rPr>
          <w:rFonts w:hAnsi="宋体"/>
        </w:rPr>
        <w:t xml:space="preserve"> 合同经双方法定代表人或授权代表签字并盖章后生效。</w:t>
      </w:r>
    </w:p>
    <w:p>
      <w:pPr>
        <w:tabs>
          <w:tab w:val="left" w:pos="2310"/>
        </w:tabs>
        <w:spacing w:line="460" w:lineRule="exact"/>
        <w:rPr>
          <w:rFonts w:ascii="宋体" w:hAnsi="宋体"/>
          <w:sz w:val="24"/>
          <w:szCs w:val="24"/>
        </w:rPr>
      </w:pPr>
      <w:r>
        <w:rPr>
          <w:rFonts w:ascii="宋体" w:hAnsi="宋体"/>
          <w:sz w:val="24"/>
          <w:szCs w:val="24"/>
        </w:rPr>
        <w:t>2</w:t>
      </w:r>
      <w:r>
        <w:rPr>
          <w:rFonts w:hint="eastAsia" w:ascii="宋体" w:hAnsi="宋体"/>
          <w:sz w:val="24"/>
          <w:szCs w:val="24"/>
        </w:rPr>
        <w:t>. 根据《中华人民共和国政府采购法实施条例》第50条之规定，本合同自签订之日起2个工作日内，由甲方在</w:t>
      </w:r>
      <w:r>
        <w:rPr>
          <w:rFonts w:hint="eastAsia" w:ascii="宋体" w:hAnsi="宋体"/>
          <w:sz w:val="24"/>
        </w:rPr>
        <w:t>浙江政府采购网(zfcg.czt.zj.gov.cn)</w:t>
      </w:r>
      <w:r>
        <w:rPr>
          <w:rFonts w:hint="eastAsia" w:ascii="宋体" w:hAnsi="宋体"/>
          <w:sz w:val="24"/>
          <w:szCs w:val="24"/>
        </w:rPr>
        <w:t>上公告。</w:t>
      </w:r>
    </w:p>
    <w:p>
      <w:pPr>
        <w:pStyle w:val="12"/>
        <w:snapToGrid w:val="0"/>
        <w:spacing w:line="240" w:lineRule="auto"/>
        <w:ind w:left="480" w:hanging="480" w:hangingChars="200"/>
        <w:rPr>
          <w:rFonts w:hAnsi="宋体"/>
        </w:rPr>
      </w:pPr>
      <w:r>
        <w:rPr>
          <w:rFonts w:hAnsi="宋体"/>
        </w:rPr>
        <w:t>3</w:t>
      </w:r>
      <w:r>
        <w:rPr>
          <w:rFonts w:hint="eastAsia" w:hAnsi="宋体"/>
        </w:rPr>
        <w:t>.</w:t>
      </w:r>
      <w:r>
        <w:rPr>
          <w:rFonts w:hAnsi="宋体"/>
        </w:rPr>
        <w:t>本合同未尽事宜，遵照《合同法》有关条文执行。</w:t>
      </w:r>
    </w:p>
    <w:p>
      <w:pPr>
        <w:pStyle w:val="12"/>
        <w:snapToGrid w:val="0"/>
        <w:spacing w:line="240" w:lineRule="auto"/>
        <w:ind w:left="480" w:hanging="480" w:hangingChars="200"/>
        <w:rPr>
          <w:rFonts w:hAnsi="宋体"/>
        </w:rPr>
      </w:pPr>
      <w:r>
        <w:rPr>
          <w:rFonts w:hAnsi="宋体"/>
        </w:rPr>
        <w:t>4</w:t>
      </w:r>
      <w:r>
        <w:rPr>
          <w:rFonts w:hint="eastAsia" w:hAnsi="宋体"/>
        </w:rPr>
        <w:t>.</w:t>
      </w:r>
      <w:r>
        <w:rPr>
          <w:rFonts w:hAnsi="宋体"/>
        </w:rPr>
        <w:t>本合同正本一式两份，具有同等法律效力，甲乙双方各执一份；副本</w:t>
      </w:r>
      <w:r>
        <w:rPr>
          <w:rFonts w:hint="eastAsia" w:hAnsi="宋体"/>
          <w:b/>
          <w:u w:val="single"/>
        </w:rPr>
        <w:t xml:space="preserve">   </w:t>
      </w:r>
      <w:r>
        <w:rPr>
          <w:rFonts w:hAnsi="宋体"/>
        </w:rPr>
        <w:t>份，(用途)。</w:t>
      </w:r>
    </w:p>
    <w:p>
      <w:pPr>
        <w:pStyle w:val="12"/>
        <w:snapToGrid w:val="0"/>
        <w:spacing w:line="240" w:lineRule="auto"/>
        <w:ind w:left="480" w:hanging="480" w:hangingChars="200"/>
        <w:rPr>
          <w:rFonts w:hAnsi="宋体"/>
        </w:rPr>
      </w:pPr>
      <w:r>
        <w:rPr>
          <w:rFonts w:hAnsi="宋体"/>
        </w:rPr>
        <w:t xml:space="preserve">  甲方：</w:t>
      </w:r>
      <w:r>
        <w:rPr>
          <w:rFonts w:hint="eastAsia" w:hAnsi="宋体"/>
        </w:rPr>
        <w:t xml:space="preserve">  </w:t>
      </w:r>
      <w:r>
        <w:rPr>
          <w:rFonts w:hAnsi="宋体"/>
        </w:rPr>
        <w:t xml:space="preserve">                                 乙方： </w:t>
      </w:r>
    </w:p>
    <w:p>
      <w:pPr>
        <w:pStyle w:val="12"/>
        <w:snapToGrid w:val="0"/>
        <w:spacing w:line="240" w:lineRule="auto"/>
        <w:rPr>
          <w:rFonts w:hAnsi="宋体"/>
        </w:rPr>
      </w:pPr>
      <w:r>
        <w:rPr>
          <w:rFonts w:hAnsi="宋体"/>
        </w:rPr>
        <w:t xml:space="preserve">  地址：                                   地址： </w:t>
      </w:r>
    </w:p>
    <w:p>
      <w:pPr>
        <w:pStyle w:val="12"/>
        <w:snapToGrid w:val="0"/>
        <w:spacing w:line="240" w:lineRule="auto"/>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12"/>
        <w:snapToGrid w:val="0"/>
        <w:spacing w:line="240" w:lineRule="auto"/>
        <w:rPr>
          <w:rFonts w:hint="eastAsia" w:hAnsi="宋体"/>
        </w:rPr>
      </w:pPr>
      <w:r>
        <w:rPr>
          <w:rFonts w:hAnsi="宋体"/>
        </w:rPr>
        <w:t xml:space="preserve">  </w:t>
      </w:r>
    </w:p>
    <w:p>
      <w:pPr>
        <w:pStyle w:val="12"/>
        <w:snapToGrid w:val="0"/>
        <w:spacing w:line="240" w:lineRule="auto"/>
        <w:rPr>
          <w:rFonts w:hint="eastAsia" w:hAnsi="宋体"/>
        </w:rPr>
      </w:pPr>
      <w:r>
        <w:rPr>
          <w:rFonts w:hAnsi="宋体"/>
        </w:rPr>
        <w:t>签</w:t>
      </w:r>
      <w:r>
        <w:rPr>
          <w:rFonts w:hint="eastAsia" w:hAnsi="宋体"/>
        </w:rPr>
        <w:t>字日期</w:t>
      </w:r>
      <w:r>
        <w:rPr>
          <w:rFonts w:hAnsi="宋体"/>
        </w:rPr>
        <w:t xml:space="preserve">：      年  月  日  </w:t>
      </w:r>
      <w:r>
        <w:rPr>
          <w:rFonts w:hint="eastAsia" w:hAnsi="宋体"/>
        </w:rPr>
        <w:t xml:space="preserve">    </w:t>
      </w:r>
      <w:r>
        <w:rPr>
          <w:rFonts w:hAnsi="宋体"/>
        </w:rPr>
        <w:t xml:space="preserve">     签</w:t>
      </w:r>
      <w:r>
        <w:rPr>
          <w:rFonts w:hint="eastAsia" w:hAnsi="宋体"/>
        </w:rPr>
        <w:t>字</w:t>
      </w:r>
      <w:r>
        <w:rPr>
          <w:rFonts w:hAnsi="宋体"/>
        </w:rPr>
        <w:t>日期：      年  月  日</w:t>
      </w:r>
    </w:p>
    <w:p>
      <w:pPr>
        <w:spacing w:line="360" w:lineRule="auto"/>
        <w:rPr>
          <w:rFonts w:ascii="宋体"/>
        </w:rPr>
      </w:pPr>
    </w:p>
    <w:p>
      <w:pPr>
        <w:pStyle w:val="12"/>
        <w:snapToGrid w:val="0"/>
        <w:spacing w:line="240" w:lineRule="auto"/>
        <w:rPr>
          <w:rFonts w:hint="eastAsia" w:hAnsi="宋体"/>
        </w:rPr>
      </w:pPr>
    </w:p>
    <w:p>
      <w:pPr>
        <w:ind w:firstLine="425"/>
        <w:jc w:val="center"/>
        <w:rPr>
          <w:rFonts w:hint="eastAsia" w:eastAsia="黑体"/>
          <w:sz w:val="32"/>
        </w:rPr>
      </w:pPr>
      <w:r>
        <w:rPr>
          <w:rFonts w:eastAsia="黑体"/>
          <w:sz w:val="32"/>
        </w:rPr>
        <w:br w:type="page"/>
      </w:r>
      <w:r>
        <w:rPr>
          <w:rFonts w:hint="eastAsia" w:eastAsia="黑体"/>
          <w:sz w:val="32"/>
        </w:rPr>
        <w:t>第六部分 投标文件格式</w:t>
      </w:r>
    </w:p>
    <w:p>
      <w:pPr>
        <w:jc w:val="left"/>
        <w:rPr>
          <w:rFonts w:hint="eastAsia" w:eastAsia="黑体"/>
          <w:sz w:val="32"/>
        </w:rPr>
      </w:pPr>
      <w:r>
        <w:rPr>
          <w:rFonts w:hint="eastAsia" w:eastAsia="黑体"/>
          <w:sz w:val="32"/>
        </w:rPr>
        <w:t xml:space="preserve">封面 </w:t>
      </w:r>
    </w:p>
    <w:p>
      <w:pPr>
        <w:jc w:val="left"/>
        <w:rPr>
          <w:rFonts w:hint="eastAsia" w:eastAsia="黑体"/>
          <w:sz w:val="32"/>
        </w:rPr>
      </w:pPr>
    </w:p>
    <w:p>
      <w:pPr>
        <w:jc w:val="left"/>
        <w:rPr>
          <w:rFonts w:hint="eastAsia" w:eastAsia="黑体"/>
          <w:sz w:val="32"/>
        </w:rPr>
      </w:pPr>
    </w:p>
    <w:p>
      <w:pPr>
        <w:rPr>
          <w:rFonts w:hint="eastAsia"/>
        </w:rPr>
      </w:pPr>
    </w:p>
    <w:p>
      <w:pPr>
        <w:spacing w:line="360" w:lineRule="auto"/>
        <w:jc w:val="center"/>
        <w:rPr>
          <w:rFonts w:ascii="宋体" w:hAnsi="宋体"/>
          <w:b/>
          <w:sz w:val="72"/>
          <w:szCs w:val="72"/>
        </w:rPr>
      </w:pPr>
      <w:r>
        <w:rPr>
          <w:rFonts w:hint="eastAsia" w:ascii="宋体" w:hAnsi="宋体"/>
          <w:b/>
          <w:sz w:val="72"/>
          <w:szCs w:val="72"/>
        </w:rPr>
        <w:t>投</w:t>
      </w:r>
    </w:p>
    <w:p>
      <w:pPr>
        <w:spacing w:line="360" w:lineRule="auto"/>
        <w:jc w:val="center"/>
        <w:rPr>
          <w:rFonts w:ascii="宋体" w:hAnsi="宋体"/>
          <w:b/>
          <w:sz w:val="72"/>
          <w:szCs w:val="72"/>
        </w:rPr>
      </w:pPr>
      <w:r>
        <w:rPr>
          <w:rFonts w:hint="eastAsia" w:ascii="宋体" w:hAnsi="宋体"/>
          <w:b/>
          <w:sz w:val="72"/>
          <w:szCs w:val="72"/>
        </w:rPr>
        <w:t>标</w:t>
      </w: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hint="eastAsia" w:ascii="宋体" w:hAnsi="宋体"/>
          <w:b/>
          <w:sz w:val="72"/>
          <w:szCs w:val="72"/>
        </w:rPr>
      </w:pPr>
      <w:r>
        <w:rPr>
          <w:rFonts w:hint="eastAsia" w:ascii="宋体" w:hAnsi="宋体"/>
          <w:b/>
          <w:sz w:val="72"/>
          <w:szCs w:val="72"/>
        </w:rPr>
        <w:t>件</w:t>
      </w:r>
    </w:p>
    <w:p>
      <w:pPr>
        <w:rPr>
          <w:rFonts w:hint="eastAsia"/>
        </w:rPr>
      </w:pPr>
    </w:p>
    <w:p>
      <w:pPr>
        <w:rPr>
          <w:rFonts w:hint="eastAsia"/>
        </w:rPr>
      </w:pPr>
    </w:p>
    <w:p>
      <w:pPr>
        <w:rPr>
          <w:rFonts w:hint="eastAsia"/>
        </w:rPr>
      </w:pPr>
    </w:p>
    <w:p>
      <w:pPr>
        <w:rPr>
          <w:rFonts w:hint="eastAsia"/>
        </w:rPr>
      </w:pPr>
    </w:p>
    <w:p>
      <w:pPr>
        <w:jc w:val="center"/>
        <w:rPr>
          <w:rFonts w:hint="eastAsia" w:ascii="黑体" w:eastAsia="黑体"/>
          <w:sz w:val="36"/>
        </w:rPr>
      </w:pPr>
      <w:r>
        <w:rPr>
          <w:rFonts w:hint="eastAsia" w:ascii="黑体" w:eastAsia="黑体"/>
          <w:sz w:val="36"/>
        </w:rPr>
        <w:t>采购编号:________________________</w:t>
      </w:r>
    </w:p>
    <w:p>
      <w:pPr>
        <w:jc w:val="center"/>
        <w:rPr>
          <w:rFonts w:hint="eastAsia" w:ascii="黑体" w:eastAsia="黑体"/>
          <w:sz w:val="36"/>
        </w:rPr>
      </w:pPr>
      <w:r>
        <w:rPr>
          <w:rFonts w:hint="eastAsia" w:ascii="黑体" w:eastAsia="黑体"/>
          <w:sz w:val="36"/>
        </w:rPr>
        <w:t>项目名称:________________________</w:t>
      </w:r>
    </w:p>
    <w:p>
      <w:pPr>
        <w:jc w:val="center"/>
        <w:rPr>
          <w:rFonts w:hint="eastAsia" w:ascii="黑体" w:eastAsia="黑体"/>
          <w:sz w:val="36"/>
        </w:rPr>
      </w:pPr>
    </w:p>
    <w:p>
      <w:pPr>
        <w:jc w:val="center"/>
        <w:rPr>
          <w:rFonts w:hint="eastAsia" w:ascii="黑体" w:eastAsia="黑体"/>
          <w:sz w:val="36"/>
        </w:rPr>
      </w:pPr>
      <w:r>
        <w:rPr>
          <w:rFonts w:hint="eastAsia" w:ascii="黑体" w:eastAsia="黑体"/>
          <w:sz w:val="36"/>
        </w:rPr>
        <w:t>投 标 人:________________________</w:t>
      </w:r>
    </w:p>
    <w:p>
      <w:pPr>
        <w:jc w:val="center"/>
        <w:rPr>
          <w:rFonts w:hint="eastAsia" w:ascii="黑体" w:eastAsia="黑体"/>
          <w:sz w:val="36"/>
        </w:rPr>
      </w:pPr>
    </w:p>
    <w:p>
      <w:pPr>
        <w:jc w:val="center"/>
        <w:rPr>
          <w:rFonts w:hint="eastAsia" w:ascii="黑体" w:eastAsia="黑体"/>
          <w:sz w:val="32"/>
        </w:rPr>
      </w:pPr>
      <w:r>
        <w:rPr>
          <w:rFonts w:hint="eastAsia" w:ascii="黑体" w:eastAsia="黑体"/>
          <w:sz w:val="32"/>
          <w:u w:val="single"/>
        </w:rPr>
        <w:t xml:space="preserve">   </w:t>
      </w:r>
      <w:r>
        <w:rPr>
          <w:rFonts w:hint="eastAsia" w:ascii="黑体" w:eastAsia="黑体"/>
          <w:sz w:val="32"/>
        </w:rPr>
        <w:t>年</w:t>
      </w:r>
      <w:r>
        <w:rPr>
          <w:rFonts w:hint="eastAsia" w:ascii="黑体" w:eastAsia="黑体"/>
          <w:sz w:val="32"/>
          <w:u w:val="single"/>
        </w:rPr>
        <w:t xml:space="preserve">   </w:t>
      </w:r>
      <w:r>
        <w:rPr>
          <w:rFonts w:hint="eastAsia" w:ascii="黑体" w:eastAsia="黑体"/>
          <w:sz w:val="32"/>
        </w:rPr>
        <w:t>月</w:t>
      </w:r>
      <w:r>
        <w:rPr>
          <w:rFonts w:hint="eastAsia" w:ascii="黑体" w:eastAsia="黑体"/>
          <w:sz w:val="32"/>
          <w:u w:val="single"/>
        </w:rPr>
        <w:t xml:space="preserve">   </w:t>
      </w:r>
      <w:r>
        <w:rPr>
          <w:rFonts w:hint="eastAsia" w:ascii="黑体" w:eastAsia="黑体"/>
          <w:sz w:val="32"/>
        </w:rPr>
        <w:t>日</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cs="宋体"/>
          <w:b/>
          <w:bCs/>
          <w:sz w:val="44"/>
          <w:szCs w:val="44"/>
        </w:rPr>
      </w:pPr>
      <w:r>
        <w:br w:type="page"/>
      </w:r>
      <w:r>
        <w:rPr>
          <w:rFonts w:hint="eastAsia"/>
          <w:b/>
          <w:bCs/>
          <w:sz w:val="24"/>
          <w:szCs w:val="24"/>
        </w:rPr>
        <w:t>投标应答索引表</w:t>
      </w:r>
    </w:p>
    <w:tbl>
      <w:tblPr>
        <w:tblStyle w:val="21"/>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6"/>
        <w:gridCol w:w="3090"/>
        <w:gridCol w:w="2148"/>
        <w:gridCol w:w="1227"/>
        <w:gridCol w:w="2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序号</w:t>
            </w:r>
          </w:p>
        </w:tc>
        <w:tc>
          <w:tcPr>
            <w:tcW w:w="3090"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项目</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投标人应答内容</w:t>
            </w:r>
          </w:p>
        </w:tc>
        <w:tc>
          <w:tcPr>
            <w:tcW w:w="1227" w:type="dxa"/>
            <w:noWrap w:val="0"/>
            <w:vAlign w:val="center"/>
          </w:tcPr>
          <w:p>
            <w:pPr>
              <w:snapToGrid w:val="0"/>
              <w:jc w:val="center"/>
              <w:rPr>
                <w:rFonts w:ascii="微软雅黑" w:hAnsi="微软雅黑" w:eastAsia="微软雅黑" w:cs="微软雅黑"/>
                <w:szCs w:val="21"/>
              </w:rPr>
            </w:pPr>
            <w:r>
              <w:rPr>
                <w:rFonts w:hint="eastAsia" w:ascii="微软雅黑" w:hAnsi="微软雅黑" w:eastAsia="微软雅黑" w:cs="微软雅黑"/>
                <w:szCs w:val="21"/>
              </w:rPr>
              <w:t>在投标文件中页码</w:t>
            </w:r>
          </w:p>
        </w:tc>
        <w:tc>
          <w:tcPr>
            <w:tcW w:w="2220"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一</w:t>
            </w:r>
          </w:p>
        </w:tc>
        <w:tc>
          <w:tcPr>
            <w:tcW w:w="3090"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b/>
                <w:bCs/>
                <w:szCs w:val="21"/>
              </w:rPr>
              <w:t>报价部分</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1227"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2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投标函</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2</w:t>
            </w:r>
          </w:p>
        </w:tc>
        <w:tc>
          <w:tcPr>
            <w:tcW w:w="3090"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4"/>
              </w:rPr>
              <w:t>开标一览表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w:t>
            </w:r>
          </w:p>
        </w:tc>
        <w:tc>
          <w:tcPr>
            <w:tcW w:w="3090"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1"/>
              </w:rPr>
              <w:t>投标分项报价表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4</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小微企业产品分项报价表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节能产品分项报价表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6</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环境标志产品分项报价表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7</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投标成本测算清单</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8</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其他报价资料</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二</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商务技术部分</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1227"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2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技术（商务/服务）规范偏离表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售后服务表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lang w:val="zh-CN"/>
              </w:rPr>
              <w:t>完成的类似项目一览表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4</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lang w:val="zh-CN"/>
              </w:rPr>
              <w:t>实施/技术人员一览表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4"/>
              </w:rPr>
              <w:t>其他商务技术资料</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三</w:t>
            </w:r>
          </w:p>
        </w:tc>
        <w:tc>
          <w:tcPr>
            <w:tcW w:w="3090" w:type="dxa"/>
            <w:noWrap w:val="0"/>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资格响应部分</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1227"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c>
          <w:tcPr>
            <w:tcW w:w="2220"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w:t>
            </w:r>
          </w:p>
        </w:tc>
        <w:tc>
          <w:tcPr>
            <w:tcW w:w="3090" w:type="dxa"/>
            <w:noWrap w:val="0"/>
            <w:vAlign w:val="top"/>
          </w:tcPr>
          <w:p>
            <w:pPr>
              <w:snapToGrid w:val="0"/>
              <w:spacing w:line="400" w:lineRule="exact"/>
              <w:rPr>
                <w:rFonts w:hint="eastAsia" w:ascii="微软雅黑" w:hAnsi="微软雅黑" w:eastAsia="微软雅黑" w:cs="微软雅黑"/>
                <w:szCs w:val="24"/>
                <w:lang w:val="en-US" w:eastAsia="zh-CN"/>
              </w:rPr>
            </w:pPr>
            <w:r>
              <w:rPr>
                <w:rFonts w:hint="eastAsia" w:ascii="微软雅黑" w:hAnsi="微软雅黑" w:eastAsia="微软雅黑" w:cs="微软雅黑"/>
                <w:szCs w:val="24"/>
              </w:rPr>
              <w:t>特定资格条件证明材料</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2</w:t>
            </w:r>
          </w:p>
        </w:tc>
        <w:tc>
          <w:tcPr>
            <w:tcW w:w="3090" w:type="dxa"/>
            <w:noWrap w:val="0"/>
            <w:vAlign w:val="top"/>
          </w:tcPr>
          <w:p>
            <w:pPr>
              <w:snapToGrid w:val="0"/>
              <w:rPr>
                <w:rFonts w:hint="eastAsia" w:ascii="微软雅黑" w:hAnsi="微软雅黑" w:eastAsia="微软雅黑" w:cs="微软雅黑"/>
                <w:szCs w:val="24"/>
                <w:lang w:eastAsia="zh-CN"/>
              </w:rPr>
            </w:pPr>
            <w:r>
              <w:rPr>
                <w:rFonts w:hint="eastAsia" w:ascii="微软雅黑" w:hAnsi="微软雅黑" w:eastAsia="微软雅黑" w:cs="微软雅黑"/>
                <w:szCs w:val="24"/>
              </w:rPr>
              <w:t>营业执照、事业或社团登记证等副本</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w:t>
            </w:r>
          </w:p>
        </w:tc>
        <w:tc>
          <w:tcPr>
            <w:tcW w:w="3090" w:type="dxa"/>
            <w:noWrap w:val="0"/>
            <w:vAlign w:val="center"/>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财务状况表</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4</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纳税、社保材料</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5</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法定代表人授权书</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被授权人身份证明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6</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法定代表</w:t>
            </w:r>
            <w:r>
              <w:rPr>
                <w:rFonts w:hint="eastAsia" w:ascii="微软雅黑" w:hAnsi="微软雅黑" w:eastAsia="微软雅黑" w:cs="微软雅黑"/>
                <w:szCs w:val="24"/>
                <w:lang w:eastAsia="zh-CN"/>
              </w:rPr>
              <w:t>人</w:t>
            </w:r>
            <w:r>
              <w:rPr>
                <w:rFonts w:hint="eastAsia" w:ascii="微软雅黑" w:hAnsi="微软雅黑" w:eastAsia="微软雅黑" w:cs="微软雅黑"/>
                <w:szCs w:val="24"/>
              </w:rPr>
              <w:t>身份证明</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hint="eastAsia" w:ascii="微软雅黑" w:hAnsi="微软雅黑" w:eastAsia="微软雅黑" w:cs="微软雅黑"/>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7</w:t>
            </w:r>
          </w:p>
        </w:tc>
        <w:tc>
          <w:tcPr>
            <w:tcW w:w="3090" w:type="dxa"/>
            <w:noWrap w:val="0"/>
            <w:vAlign w:val="top"/>
          </w:tcPr>
          <w:p>
            <w:pPr>
              <w:snapToGrid w:val="0"/>
              <w:spacing w:line="400" w:lineRule="exact"/>
              <w:rPr>
                <w:rFonts w:hint="eastAsia" w:ascii="微软雅黑" w:hAnsi="微软雅黑" w:eastAsia="微软雅黑" w:cs="微软雅黑"/>
                <w:szCs w:val="24"/>
                <w:lang w:eastAsia="zh-CN"/>
              </w:rPr>
            </w:pPr>
            <w:r>
              <w:rPr>
                <w:rFonts w:hint="eastAsia" w:ascii="微软雅黑" w:hAnsi="微软雅黑" w:eastAsia="微软雅黑" w:cs="微软雅黑"/>
                <w:szCs w:val="24"/>
              </w:rPr>
              <w:t>制造厂商授权函</w:t>
            </w:r>
            <w:r>
              <w:rPr>
                <w:rFonts w:hint="eastAsia" w:ascii="微软雅黑" w:hAnsi="微软雅黑" w:eastAsia="微软雅黑" w:cs="微软雅黑"/>
                <w:szCs w:val="24"/>
                <w:lang w:eastAsia="zh-CN"/>
              </w:rPr>
              <w:t>原件扫描件</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8</w:t>
            </w:r>
          </w:p>
        </w:tc>
        <w:tc>
          <w:tcPr>
            <w:tcW w:w="3090" w:type="dxa"/>
            <w:noWrap w:val="0"/>
            <w:vAlign w:val="top"/>
          </w:tcPr>
          <w:p>
            <w:pPr>
              <w:snapToGrid w:val="0"/>
              <w:rPr>
                <w:rFonts w:hint="eastAsia" w:ascii="微软雅黑" w:hAnsi="微软雅黑" w:eastAsia="微软雅黑" w:cs="微软雅黑"/>
                <w:szCs w:val="24"/>
              </w:rPr>
            </w:pPr>
            <w:r>
              <w:rPr>
                <w:rFonts w:hint="eastAsia" w:ascii="微软雅黑" w:hAnsi="微软雅黑" w:eastAsia="微软雅黑" w:cs="微软雅黑"/>
                <w:szCs w:val="24"/>
              </w:rPr>
              <w:t>联合投标协议及成员方资格材料</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9</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诚信投标承诺书</w:t>
            </w:r>
          </w:p>
        </w:tc>
        <w:tc>
          <w:tcPr>
            <w:tcW w:w="2148" w:type="dxa"/>
            <w:noWrap w:val="0"/>
            <w:vAlign w:val="center"/>
          </w:tcPr>
          <w:p>
            <w:pPr>
              <w:snapToGrid w:val="0"/>
              <w:spacing w:line="40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有</w:t>
            </w: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10</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中小微企业申明函</w:t>
            </w:r>
          </w:p>
        </w:tc>
        <w:tc>
          <w:tcPr>
            <w:tcW w:w="2148" w:type="dxa"/>
            <w:noWrap w:val="0"/>
            <w:vAlign w:val="center"/>
          </w:tcPr>
          <w:p>
            <w:pPr>
              <w:snapToGrid w:val="0"/>
              <w:spacing w:line="400" w:lineRule="exact"/>
              <w:jc w:val="center"/>
              <w:rPr>
                <w:rFonts w:ascii="微软雅黑" w:hAnsi="微软雅黑" w:eastAsia="微软雅黑" w:cs="微软雅黑"/>
                <w:szCs w:val="21"/>
                <w:u w:val="single"/>
              </w:rPr>
            </w:pPr>
            <w:r>
              <w:rPr>
                <w:rFonts w:hint="eastAsia" w:ascii="微软雅黑" w:hAnsi="微软雅黑" w:eastAsia="微软雅黑" w:cs="微软雅黑"/>
                <w:szCs w:val="21"/>
              </w:rPr>
              <w:t>有或没有</w:t>
            </w:r>
          </w:p>
        </w:tc>
        <w:tc>
          <w:tcPr>
            <w:tcW w:w="1227" w:type="dxa"/>
            <w:tcBorders>
              <w:bottom w:val="single" w:color="auto" w:sz="4" w:space="0"/>
            </w:tcBorders>
            <w:noWrap w:val="0"/>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noWrap w:val="0"/>
            <w:vAlign w:val="center"/>
          </w:tcPr>
          <w:p>
            <w:pPr>
              <w:snapToGrid w:val="0"/>
              <w:spacing w:line="400" w:lineRule="exact"/>
              <w:rPr>
                <w:rFonts w:hint="eastAsia"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rPr>
              <w:t>1</w:t>
            </w:r>
            <w:r>
              <w:rPr>
                <w:rFonts w:hint="eastAsia" w:ascii="微软雅黑" w:hAnsi="微软雅黑" w:eastAsia="微软雅黑" w:cs="微软雅黑"/>
                <w:szCs w:val="21"/>
                <w:lang w:val="en-US" w:eastAsia="zh-CN"/>
              </w:rPr>
              <w:t>1</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残疾人福利性单位声明函</w:t>
            </w:r>
          </w:p>
        </w:tc>
        <w:tc>
          <w:tcPr>
            <w:tcW w:w="2148" w:type="dxa"/>
            <w:noWrap w:val="0"/>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227" w:type="dxa"/>
            <w:tcBorders>
              <w:bottom w:val="single" w:color="auto" w:sz="4" w:space="0"/>
            </w:tcBorders>
            <w:noWrap w:val="0"/>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noWrap w:val="0"/>
            <w:vAlign w:val="center"/>
          </w:tcPr>
          <w:p>
            <w:pPr>
              <w:snapToGrid w:val="0"/>
              <w:spacing w:line="400" w:lineRule="exact"/>
              <w:rPr>
                <w:rFonts w:hint="eastAsia"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noWrap w:val="0"/>
            <w:vAlign w:val="center"/>
          </w:tcPr>
          <w:p>
            <w:pPr>
              <w:snapToGrid w:val="0"/>
              <w:spacing w:line="40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1</w:t>
            </w:r>
            <w:r>
              <w:rPr>
                <w:rFonts w:hint="eastAsia" w:ascii="微软雅黑" w:hAnsi="微软雅黑" w:eastAsia="微软雅黑" w:cs="微软雅黑"/>
                <w:szCs w:val="21"/>
                <w:lang w:val="en-US" w:eastAsia="zh-CN"/>
              </w:rPr>
              <w:t>2</w:t>
            </w:r>
          </w:p>
        </w:tc>
        <w:tc>
          <w:tcPr>
            <w:tcW w:w="3090" w:type="dxa"/>
            <w:noWrap w:val="0"/>
            <w:vAlign w:val="top"/>
          </w:tcPr>
          <w:p>
            <w:pPr>
              <w:snapToGrid w:val="0"/>
              <w:spacing w:line="400" w:lineRule="exact"/>
              <w:rPr>
                <w:rFonts w:hint="eastAsia" w:ascii="微软雅黑" w:hAnsi="微软雅黑" w:eastAsia="微软雅黑" w:cs="微软雅黑"/>
                <w:szCs w:val="24"/>
              </w:rPr>
            </w:pPr>
            <w:r>
              <w:rPr>
                <w:rFonts w:hint="eastAsia" w:ascii="微软雅黑" w:hAnsi="微软雅黑" w:eastAsia="微软雅黑" w:cs="微软雅黑"/>
                <w:szCs w:val="24"/>
              </w:rPr>
              <w:t>其他资格证明资料</w:t>
            </w:r>
          </w:p>
        </w:tc>
        <w:tc>
          <w:tcPr>
            <w:tcW w:w="2148" w:type="dxa"/>
            <w:noWrap w:val="0"/>
            <w:vAlign w:val="center"/>
          </w:tcPr>
          <w:p>
            <w:pPr>
              <w:snapToGrid w:val="0"/>
              <w:spacing w:line="400" w:lineRule="exact"/>
              <w:jc w:val="center"/>
              <w:rPr>
                <w:rFonts w:ascii="微软雅黑" w:hAnsi="微软雅黑" w:eastAsia="微软雅黑" w:cs="微软雅黑"/>
                <w:szCs w:val="21"/>
              </w:rPr>
            </w:pPr>
          </w:p>
        </w:tc>
        <w:tc>
          <w:tcPr>
            <w:tcW w:w="1227" w:type="dxa"/>
            <w:noWrap w:val="0"/>
            <w:vAlign w:val="center"/>
          </w:tcPr>
          <w:p>
            <w:pPr>
              <w:snapToGrid w:val="0"/>
              <w:spacing w:line="400" w:lineRule="exact"/>
              <w:rPr>
                <w:rFonts w:ascii="微软雅黑" w:hAnsi="微软雅黑" w:eastAsia="微软雅黑" w:cs="微软雅黑"/>
                <w:szCs w:val="21"/>
              </w:rPr>
            </w:pPr>
          </w:p>
        </w:tc>
        <w:tc>
          <w:tcPr>
            <w:tcW w:w="2220" w:type="dxa"/>
            <w:noWrap w:val="0"/>
            <w:vAlign w:val="center"/>
          </w:tcPr>
          <w:p>
            <w:pPr>
              <w:snapToGrid w:val="0"/>
              <w:spacing w:line="400" w:lineRule="exact"/>
              <w:rPr>
                <w:rFonts w:ascii="微软雅黑" w:hAnsi="微软雅黑" w:eastAsia="微软雅黑" w:cs="微软雅黑"/>
                <w:szCs w:val="21"/>
              </w:rPr>
            </w:pPr>
          </w:p>
        </w:tc>
      </w:tr>
    </w:tbl>
    <w:p>
      <w:pPr>
        <w:pStyle w:val="11"/>
        <w:ind w:left="316" w:hanging="316" w:hangingChars="175"/>
        <w:rPr>
          <w:rFonts w:hint="eastAsia" w:ascii="宋体" w:hAnsi="宋体"/>
          <w:b/>
          <w:szCs w:val="21"/>
        </w:rPr>
      </w:pPr>
    </w:p>
    <w:p>
      <w:pPr>
        <w:pStyle w:val="11"/>
        <w:ind w:left="562" w:hanging="562" w:hangingChars="175"/>
        <w:jc w:val="center"/>
        <w:rPr>
          <w:rFonts w:hint="eastAsia" w:ascii="仿宋_GB2312" w:hAnsi="宋体" w:eastAsia="仿宋_GB2312"/>
          <w:b/>
          <w:i w:val="0"/>
          <w:iCs/>
          <w:sz w:val="32"/>
          <w:szCs w:val="32"/>
        </w:rPr>
      </w:pPr>
      <w:r>
        <w:rPr>
          <w:rFonts w:hint="eastAsia" w:ascii="仿宋_GB2312" w:hAnsi="宋体" w:eastAsia="仿宋_GB2312"/>
          <w:b/>
          <w:i w:val="0"/>
          <w:iCs/>
          <w:sz w:val="32"/>
          <w:szCs w:val="32"/>
        </w:rPr>
        <w:br w:type="page"/>
      </w:r>
      <w:r>
        <w:rPr>
          <w:rFonts w:hint="eastAsia" w:ascii="仿宋_GB2312" w:hAnsi="宋体" w:eastAsia="仿宋_GB2312"/>
          <w:b/>
          <w:i w:val="0"/>
          <w:iCs/>
          <w:sz w:val="32"/>
          <w:szCs w:val="32"/>
        </w:rPr>
        <w:t>一、报价部分</w:t>
      </w:r>
    </w:p>
    <w:p>
      <w:pPr>
        <w:pStyle w:val="11"/>
        <w:ind w:left="562" w:hanging="562" w:hangingChars="175"/>
        <w:jc w:val="center"/>
        <w:rPr>
          <w:rFonts w:hint="eastAsia" w:ascii="仿宋_GB2312" w:hAnsi="宋体" w:eastAsia="仿宋_GB2312"/>
          <w:b/>
          <w:i w:val="0"/>
          <w:iCs/>
          <w:sz w:val="32"/>
          <w:szCs w:val="32"/>
        </w:rPr>
      </w:pPr>
      <w:r>
        <w:rPr>
          <w:rFonts w:hint="eastAsia" w:ascii="仿宋_GB2312" w:hAnsi="宋体" w:eastAsia="仿宋_GB2312"/>
          <w:b/>
          <w:i w:val="0"/>
          <w:iCs/>
          <w:sz w:val="32"/>
          <w:szCs w:val="32"/>
        </w:rPr>
        <w:t>1、投标函</w:t>
      </w:r>
    </w:p>
    <w:p>
      <w:pPr>
        <w:spacing w:line="400" w:lineRule="exact"/>
        <w:rPr>
          <w:rFonts w:hint="eastAsia" w:ascii="宋体" w:hAnsi="宋体"/>
          <w:sz w:val="24"/>
          <w:szCs w:val="24"/>
        </w:rPr>
      </w:pPr>
    </w:p>
    <w:p>
      <w:pPr>
        <w:spacing w:line="400" w:lineRule="exact"/>
        <w:rPr>
          <w:rFonts w:hint="eastAsia" w:ascii="宋体" w:hAnsi="宋体"/>
          <w:sz w:val="24"/>
          <w:szCs w:val="24"/>
        </w:rPr>
      </w:pPr>
      <w:r>
        <w:rPr>
          <w:rFonts w:hint="eastAsia" w:ascii="宋体" w:hAnsi="宋体"/>
          <w:sz w:val="24"/>
          <w:szCs w:val="24"/>
        </w:rPr>
        <w:t>致：</w:t>
      </w:r>
      <w:r>
        <w:rPr>
          <w:rFonts w:hint="eastAsia" w:ascii="宋体" w:hAnsi="宋体"/>
          <w:sz w:val="24"/>
          <w:szCs w:val="24"/>
          <w:u w:val="single"/>
        </w:rPr>
        <w:t>宁波国家高新区行政服务中心（宁波国家高新区公共资源交易中心）</w:t>
      </w:r>
      <w:r>
        <w:rPr>
          <w:rFonts w:hint="eastAsia" w:ascii="宋体" w:hAnsi="宋体"/>
          <w:sz w:val="24"/>
          <w:szCs w:val="24"/>
        </w:rPr>
        <w:t xml:space="preserve">  </w:t>
      </w:r>
    </w:p>
    <w:p>
      <w:pPr>
        <w:spacing w:line="400" w:lineRule="exact"/>
        <w:jc w:val="left"/>
        <w:rPr>
          <w:rFonts w:hint="eastAsia" w:ascii="宋体" w:hAnsi="宋体"/>
          <w:sz w:val="24"/>
          <w:szCs w:val="24"/>
        </w:rPr>
      </w:pPr>
      <w:r>
        <w:rPr>
          <w:rFonts w:hint="eastAsia" w:ascii="宋体" w:hAnsi="宋体"/>
          <w:sz w:val="24"/>
          <w:szCs w:val="24"/>
        </w:rPr>
        <w:t xml:space="preserve">    我方参加贵方组织</w:t>
      </w:r>
      <w:r>
        <w:rPr>
          <w:rFonts w:hint="eastAsia" w:ascii="宋体" w:hAnsi="宋体"/>
          <w:i/>
          <w:iCs/>
          <w:sz w:val="24"/>
          <w:szCs w:val="24"/>
          <w:u w:val="single"/>
        </w:rPr>
        <w:t>项目名称(</w:t>
      </w:r>
      <w:r>
        <w:rPr>
          <w:rFonts w:hint="eastAsia" w:ascii="宋体" w:hAnsi="宋体"/>
          <w:sz w:val="24"/>
          <w:szCs w:val="24"/>
        </w:rPr>
        <w:t>采购编号</w:t>
      </w:r>
      <w:r>
        <w:rPr>
          <w:rFonts w:hint="eastAsia" w:ascii="宋体" w:hAnsi="宋体"/>
          <w:sz w:val="24"/>
          <w:szCs w:val="24"/>
          <w:u w:val="single"/>
        </w:rPr>
        <w:t>XXXXX</w:t>
      </w:r>
      <w:r>
        <w:rPr>
          <w:rFonts w:hint="eastAsia" w:ascii="宋体" w:hAnsi="宋体"/>
          <w:i/>
          <w:iCs/>
          <w:sz w:val="24"/>
          <w:szCs w:val="24"/>
          <w:u w:val="single"/>
        </w:rPr>
        <w:t>)</w:t>
      </w:r>
      <w:r>
        <w:rPr>
          <w:rFonts w:hint="eastAsia" w:ascii="宋体" w:hAnsi="宋体"/>
          <w:sz w:val="24"/>
          <w:szCs w:val="24"/>
        </w:rPr>
        <w:t>招标的有关活动，并进行电子投标。据此函，我方宣布同意如下：</w:t>
      </w:r>
    </w:p>
    <w:p>
      <w:pPr>
        <w:numPr>
          <w:ilvl w:val="0"/>
          <w:numId w:val="13"/>
        </w:numPr>
        <w:spacing w:line="400" w:lineRule="exact"/>
        <w:rPr>
          <w:rFonts w:hint="eastAsia" w:ascii="宋体" w:hAnsi="宋体"/>
          <w:sz w:val="24"/>
          <w:szCs w:val="24"/>
        </w:rPr>
      </w:pPr>
      <w:r>
        <w:rPr>
          <w:rFonts w:hint="eastAsia" w:ascii="宋体" w:hAnsi="宋体"/>
          <w:sz w:val="24"/>
          <w:szCs w:val="24"/>
        </w:rPr>
        <w:t>提供投标须知规定的全部电子投标文件，上传到“政采云”平台。</w:t>
      </w:r>
    </w:p>
    <w:p>
      <w:pPr>
        <w:numPr>
          <w:ilvl w:val="0"/>
          <w:numId w:val="13"/>
        </w:numPr>
        <w:spacing w:line="400" w:lineRule="exact"/>
        <w:rPr>
          <w:rFonts w:hint="eastAsia" w:ascii="宋体" w:hAnsi="宋体"/>
          <w:sz w:val="24"/>
          <w:szCs w:val="24"/>
        </w:rPr>
      </w:pPr>
      <w:r>
        <w:rPr>
          <w:rFonts w:hint="eastAsia" w:ascii="宋体" w:hAnsi="宋体"/>
          <w:sz w:val="24"/>
          <w:szCs w:val="24"/>
        </w:rPr>
        <w:t>投标报价详见开标一览表。</w:t>
      </w:r>
    </w:p>
    <w:p>
      <w:pPr>
        <w:numPr>
          <w:ilvl w:val="0"/>
          <w:numId w:val="13"/>
        </w:numPr>
        <w:tabs>
          <w:tab w:val="clear" w:pos="840"/>
        </w:tabs>
        <w:spacing w:line="400" w:lineRule="exact"/>
        <w:ind w:left="0" w:firstLine="525"/>
        <w:rPr>
          <w:rFonts w:hint="eastAsia" w:ascii="宋体" w:hAnsi="宋体"/>
          <w:sz w:val="24"/>
          <w:szCs w:val="24"/>
        </w:rPr>
      </w:pPr>
      <w:r>
        <w:rPr>
          <w:rFonts w:ascii="宋体" w:hAnsi="宋体"/>
          <w:sz w:val="24"/>
          <w:szCs w:val="24"/>
        </w:rPr>
        <w:t>已详细审查全部招标文件，包括修改文件（如</w:t>
      </w:r>
      <w:r>
        <w:rPr>
          <w:rFonts w:hint="eastAsia" w:ascii="宋体" w:hAnsi="宋体"/>
          <w:sz w:val="24"/>
          <w:szCs w:val="24"/>
        </w:rPr>
        <w:t>有的话</w:t>
      </w:r>
      <w:r>
        <w:rPr>
          <w:rFonts w:ascii="宋体" w:hAnsi="宋体"/>
          <w:sz w:val="24"/>
          <w:szCs w:val="24"/>
        </w:rPr>
        <w:t>）以及全部参考资料和有关附件</w:t>
      </w:r>
      <w:r>
        <w:rPr>
          <w:rFonts w:hint="eastAsia" w:ascii="宋体" w:hAnsi="宋体"/>
          <w:sz w:val="24"/>
          <w:szCs w:val="24"/>
        </w:rPr>
        <w:t>，</w:t>
      </w:r>
      <w:r>
        <w:rPr>
          <w:rFonts w:ascii="宋体" w:hAnsi="宋体"/>
          <w:sz w:val="24"/>
          <w:szCs w:val="24"/>
        </w:rPr>
        <w:t>我</w:t>
      </w:r>
      <w:r>
        <w:rPr>
          <w:rFonts w:hint="eastAsia" w:ascii="宋体" w:hAnsi="宋体"/>
          <w:sz w:val="24"/>
          <w:szCs w:val="24"/>
        </w:rPr>
        <w:t>方</w:t>
      </w:r>
      <w:r>
        <w:rPr>
          <w:rFonts w:ascii="宋体" w:hAnsi="宋体"/>
          <w:sz w:val="24"/>
          <w:szCs w:val="24"/>
        </w:rPr>
        <w:t>完全理解并同意放弃对这方面有不明及误解的权利。</w:t>
      </w:r>
    </w:p>
    <w:p>
      <w:pPr>
        <w:numPr>
          <w:ilvl w:val="0"/>
          <w:numId w:val="13"/>
        </w:numPr>
        <w:tabs>
          <w:tab w:val="left" w:pos="0"/>
          <w:tab w:val="clear" w:pos="840"/>
        </w:tabs>
        <w:spacing w:line="400" w:lineRule="exact"/>
        <w:ind w:left="0" w:firstLine="525"/>
        <w:rPr>
          <w:rFonts w:hint="eastAsia" w:ascii="宋体" w:hAnsi="宋体"/>
          <w:sz w:val="24"/>
          <w:szCs w:val="24"/>
        </w:rPr>
      </w:pPr>
      <w:r>
        <w:rPr>
          <w:rFonts w:hint="eastAsia" w:ascii="宋体" w:hAnsi="宋体"/>
          <w:sz w:val="24"/>
          <w:szCs w:val="24"/>
        </w:rPr>
        <w:t>保证遵守招标文件中的有关规定，承担规定的责任义务</w:t>
      </w:r>
      <w:r>
        <w:rPr>
          <w:rFonts w:ascii="宋体" w:hAnsi="宋体"/>
          <w:sz w:val="24"/>
          <w:szCs w:val="24"/>
        </w:rPr>
        <w:t>。</w:t>
      </w:r>
    </w:p>
    <w:p>
      <w:pPr>
        <w:numPr>
          <w:ilvl w:val="0"/>
          <w:numId w:val="13"/>
        </w:numPr>
        <w:tabs>
          <w:tab w:val="left" w:pos="-315"/>
          <w:tab w:val="clear" w:pos="840"/>
        </w:tabs>
        <w:spacing w:line="400" w:lineRule="exact"/>
        <w:ind w:left="0" w:firstLine="525"/>
        <w:rPr>
          <w:rFonts w:hint="eastAsia" w:ascii="宋体" w:hAnsi="宋体"/>
          <w:sz w:val="24"/>
          <w:szCs w:val="24"/>
        </w:rPr>
      </w:pPr>
      <w:r>
        <w:rPr>
          <w:rFonts w:ascii="宋体" w:hAnsi="宋体"/>
          <w:sz w:val="24"/>
          <w:szCs w:val="24"/>
        </w:rPr>
        <w:t>提供按照贵方可能要求的与其投标有关的一切数据或资料</w:t>
      </w:r>
      <w:r>
        <w:rPr>
          <w:rFonts w:hint="eastAsia" w:ascii="宋体" w:hAnsi="宋体"/>
          <w:sz w:val="24"/>
          <w:szCs w:val="24"/>
        </w:rPr>
        <w:t>，完全理解贵方不一定接受最低价的投标或收到的任何投标</w:t>
      </w:r>
      <w:r>
        <w:rPr>
          <w:rFonts w:ascii="宋体" w:hAnsi="宋体"/>
          <w:sz w:val="24"/>
          <w:szCs w:val="24"/>
        </w:rPr>
        <w:t>。</w:t>
      </w:r>
    </w:p>
    <w:p>
      <w:pPr>
        <w:numPr>
          <w:ilvl w:val="0"/>
          <w:numId w:val="13"/>
        </w:numPr>
        <w:tabs>
          <w:tab w:val="left" w:pos="-315"/>
          <w:tab w:val="clear" w:pos="840"/>
        </w:tabs>
        <w:spacing w:line="400" w:lineRule="exact"/>
        <w:ind w:left="0" w:firstLine="525"/>
        <w:rPr>
          <w:rFonts w:hint="eastAsia" w:ascii="宋体" w:hAnsi="宋体"/>
          <w:sz w:val="24"/>
          <w:szCs w:val="24"/>
        </w:rPr>
      </w:pPr>
      <w:r>
        <w:rPr>
          <w:rFonts w:hint="eastAsia" w:ascii="宋体" w:hAnsi="宋体"/>
          <w:sz w:val="24"/>
          <w:szCs w:val="24"/>
        </w:rPr>
        <w:t>投标文件内容有歧义或不一致的，同意按不利于我方作出解释。</w:t>
      </w:r>
    </w:p>
    <w:p>
      <w:pPr>
        <w:numPr>
          <w:ilvl w:val="0"/>
          <w:numId w:val="13"/>
        </w:numPr>
        <w:spacing w:line="400" w:lineRule="exact"/>
        <w:rPr>
          <w:rFonts w:hint="eastAsia" w:ascii="宋体" w:hAnsi="宋体"/>
          <w:sz w:val="24"/>
          <w:szCs w:val="24"/>
        </w:rPr>
      </w:pPr>
      <w:r>
        <w:rPr>
          <w:rFonts w:hint="eastAsia" w:ascii="宋体" w:hAnsi="宋体"/>
          <w:sz w:val="24"/>
          <w:szCs w:val="24"/>
        </w:rPr>
        <w:t>投标有效期：</w:t>
      </w:r>
      <w:r>
        <w:rPr>
          <w:rFonts w:hint="eastAsia" w:ascii="宋体" w:hAnsi="宋体"/>
          <w:sz w:val="24"/>
          <w:szCs w:val="24"/>
          <w:u w:val="single"/>
        </w:rPr>
        <w:t>90</w:t>
      </w:r>
      <w:r>
        <w:rPr>
          <w:rFonts w:hint="eastAsia" w:ascii="宋体" w:hAnsi="宋体"/>
          <w:sz w:val="24"/>
          <w:szCs w:val="24"/>
        </w:rPr>
        <w:t>天。</w:t>
      </w:r>
    </w:p>
    <w:p>
      <w:pPr>
        <w:spacing w:line="400" w:lineRule="exact"/>
        <w:ind w:left="525"/>
        <w:rPr>
          <w:rFonts w:hint="eastAsia" w:ascii="宋体" w:hAnsi="宋体"/>
          <w:sz w:val="24"/>
          <w:szCs w:val="24"/>
        </w:rPr>
      </w:pPr>
      <w:r>
        <w:rPr>
          <w:rFonts w:hint="eastAsia" w:ascii="宋体" w:hAnsi="宋体"/>
          <w:sz w:val="24"/>
          <w:szCs w:val="24"/>
        </w:rPr>
        <w:t>与本投标有关的一切往来通讯方式：</w:t>
      </w:r>
    </w:p>
    <w:p>
      <w:pPr>
        <w:spacing w:line="400" w:lineRule="exact"/>
        <w:ind w:left="525"/>
        <w:rPr>
          <w:rFonts w:hint="eastAsia" w:ascii="宋体" w:hAnsi="宋体"/>
          <w:sz w:val="24"/>
          <w:szCs w:val="24"/>
        </w:rPr>
      </w:pPr>
      <w:r>
        <w:rPr>
          <w:rFonts w:hint="eastAsia" w:ascii="宋体" w:hAnsi="宋体"/>
          <w:sz w:val="24"/>
          <w:szCs w:val="24"/>
        </w:rPr>
        <w:t>投标单位全称：</w:t>
      </w:r>
      <w:r>
        <w:rPr>
          <w:rFonts w:hint="eastAsia" w:ascii="宋体" w:hAnsi="宋体"/>
          <w:sz w:val="24"/>
          <w:szCs w:val="24"/>
          <w:u w:val="single"/>
        </w:rPr>
        <w:t xml:space="preserve">                                            </w:t>
      </w:r>
    </w:p>
    <w:p>
      <w:pPr>
        <w:spacing w:line="400" w:lineRule="exact"/>
        <w:ind w:left="525"/>
        <w:rPr>
          <w:rFonts w:hint="eastAsia"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邮编： </w:t>
      </w:r>
      <w:r>
        <w:rPr>
          <w:rFonts w:hint="eastAsia" w:ascii="宋体" w:hAnsi="宋体"/>
          <w:sz w:val="24"/>
          <w:szCs w:val="24"/>
          <w:u w:val="single"/>
        </w:rPr>
        <w:t xml:space="preserve">            </w:t>
      </w:r>
      <w:r>
        <w:rPr>
          <w:rFonts w:hint="eastAsia" w:ascii="宋体" w:hAnsi="宋体"/>
          <w:sz w:val="24"/>
          <w:szCs w:val="24"/>
        </w:rPr>
        <w:t xml:space="preserve"> </w:t>
      </w:r>
    </w:p>
    <w:p>
      <w:pPr>
        <w:spacing w:line="400" w:lineRule="exact"/>
        <w:ind w:left="525"/>
        <w:rPr>
          <w:rFonts w:hint="eastAsia" w:ascii="宋体" w:hAnsi="宋体"/>
          <w:sz w:val="24"/>
          <w:szCs w:val="24"/>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 xml:space="preserve">电话： </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r>
        <w:rPr>
          <w:rFonts w:hint="eastAsia" w:ascii="宋体" w:hAnsi="宋体"/>
          <w:sz w:val="24"/>
          <w:szCs w:val="24"/>
        </w:rPr>
        <w:t xml:space="preserve"> </w:t>
      </w:r>
    </w:p>
    <w:p>
      <w:pPr>
        <w:spacing w:line="400" w:lineRule="exact"/>
        <w:ind w:left="525"/>
        <w:rPr>
          <w:rFonts w:hint="eastAsia" w:ascii="宋体" w:hAnsi="宋体"/>
          <w:sz w:val="24"/>
          <w:szCs w:val="24"/>
        </w:rPr>
      </w:pPr>
      <w:r>
        <w:rPr>
          <w:rFonts w:hint="eastAsia" w:ascii="宋体" w:hAnsi="宋体"/>
          <w:sz w:val="24"/>
          <w:szCs w:val="24"/>
        </w:rPr>
        <w:t>移动电话：</w:t>
      </w:r>
      <w:r>
        <w:rPr>
          <w:rFonts w:hint="eastAsia" w:ascii="宋体" w:hAnsi="宋体"/>
          <w:sz w:val="24"/>
          <w:szCs w:val="24"/>
          <w:u w:val="single"/>
        </w:rPr>
        <w:t xml:space="preserve">             </w:t>
      </w:r>
      <w:r>
        <w:rPr>
          <w:rFonts w:hint="eastAsia" w:ascii="宋体" w:hAnsi="宋体"/>
          <w:sz w:val="24"/>
          <w:szCs w:val="24"/>
        </w:rPr>
        <w:t>电子邮件：</w:t>
      </w:r>
      <w:r>
        <w:rPr>
          <w:rFonts w:hint="eastAsia" w:ascii="宋体" w:hAnsi="宋体"/>
          <w:sz w:val="24"/>
          <w:szCs w:val="24"/>
          <w:u w:val="single"/>
        </w:rPr>
        <w:t xml:space="preserve">             </w:t>
      </w: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r>
        <w:rPr>
          <w:rFonts w:hint="eastAsia" w:ascii="宋体" w:hAnsi="宋体"/>
          <w:sz w:val="24"/>
          <w:szCs w:val="24"/>
        </w:rPr>
        <w:t>投标单位（盖标准公章）：</w:t>
      </w: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p>
    <w:p>
      <w:pPr>
        <w:spacing w:line="400" w:lineRule="exact"/>
        <w:ind w:left="525"/>
        <w:rPr>
          <w:rFonts w:hint="eastAsia" w:ascii="宋体" w:hAnsi="宋体"/>
          <w:sz w:val="24"/>
          <w:szCs w:val="24"/>
        </w:rPr>
      </w:pPr>
      <w:r>
        <w:rPr>
          <w:rFonts w:hint="eastAsia" w:ascii="宋体" w:hAnsi="宋体"/>
          <w:sz w:val="24"/>
          <w:szCs w:val="24"/>
        </w:rPr>
        <w:t>法定代表人或其委托代理人（签字或签章）：</w:t>
      </w:r>
    </w:p>
    <w:p>
      <w:pPr>
        <w:spacing w:line="400" w:lineRule="exact"/>
        <w:ind w:left="525"/>
        <w:rPr>
          <w:rFonts w:hint="eastAsia" w:ascii="宋体" w:hAnsi="宋体"/>
          <w:sz w:val="24"/>
          <w:szCs w:val="24"/>
        </w:rPr>
      </w:pPr>
    </w:p>
    <w:p>
      <w:pPr>
        <w:spacing w:line="400" w:lineRule="exact"/>
        <w:rPr>
          <w:rFonts w:hint="eastAsia" w:ascii="宋体" w:hAnsi="宋体"/>
          <w:sz w:val="24"/>
          <w:szCs w:val="24"/>
        </w:rPr>
      </w:pPr>
      <w:r>
        <w:rPr>
          <w:rFonts w:hint="eastAsia" w:ascii="宋体" w:hAnsi="宋体"/>
          <w:sz w:val="24"/>
          <w:szCs w:val="24"/>
        </w:rPr>
        <w:t xml:space="preserve">    </w:t>
      </w:r>
    </w:p>
    <w:p>
      <w:pPr>
        <w:spacing w:line="400" w:lineRule="exact"/>
        <w:ind w:firstLine="480"/>
        <w:rPr>
          <w:rFonts w:hint="eastAsia" w:ascii="宋体" w:hAnsi="宋体"/>
          <w:sz w:val="24"/>
          <w:szCs w:val="24"/>
        </w:rPr>
      </w:pPr>
      <w:r>
        <w:rPr>
          <w:rFonts w:hint="eastAsia" w:ascii="宋体" w:hAnsi="宋体"/>
          <w:sz w:val="24"/>
          <w:szCs w:val="24"/>
        </w:rPr>
        <w:t>日期：</w:t>
      </w:r>
    </w:p>
    <w:p>
      <w:pPr>
        <w:spacing w:line="400" w:lineRule="exact"/>
        <w:ind w:firstLine="480"/>
        <w:rPr>
          <w:rFonts w:hint="eastAsia" w:ascii="宋体" w:hAnsi="宋体"/>
          <w:b/>
          <w:i/>
          <w:iCs/>
          <w:sz w:val="24"/>
          <w:szCs w:val="24"/>
        </w:rPr>
      </w:pPr>
    </w:p>
    <w:p>
      <w:pPr>
        <w:spacing w:line="400" w:lineRule="exact"/>
        <w:ind w:firstLine="480"/>
        <w:rPr>
          <w:rFonts w:hint="eastAsia" w:ascii="宋体" w:hAnsi="宋体"/>
          <w:i/>
          <w:iCs/>
          <w:sz w:val="24"/>
          <w:szCs w:val="24"/>
        </w:rPr>
      </w:pPr>
      <w:r>
        <w:rPr>
          <w:rFonts w:hint="eastAsia" w:ascii="宋体" w:hAnsi="宋体"/>
          <w:b/>
          <w:i/>
          <w:iCs/>
          <w:szCs w:val="21"/>
        </w:rPr>
        <w:t>特别提醒：为确保电子投标文件的合法性、有效性和完整性，本投标函填写完成后须先进行纸质打印，加盖标准公章、代表签字或签章后，以彩色扫描件形式提交，否则视为无效投标。</w:t>
      </w:r>
    </w:p>
    <w:p>
      <w:pPr>
        <w:spacing w:line="400" w:lineRule="exact"/>
        <w:ind w:firstLine="480"/>
        <w:rPr>
          <w:rFonts w:hint="eastAsia" w:ascii="宋体" w:hAnsi="宋体"/>
          <w:sz w:val="24"/>
          <w:szCs w:val="24"/>
        </w:rPr>
      </w:pPr>
    </w:p>
    <w:p>
      <w:pPr>
        <w:spacing w:line="400" w:lineRule="exact"/>
        <w:jc w:val="center"/>
        <w:rPr>
          <w:rFonts w:hint="eastAsia" w:ascii="仿宋_GB2312" w:eastAsia="仿宋_GB2312"/>
          <w:b/>
          <w:sz w:val="32"/>
        </w:rPr>
      </w:pPr>
      <w:r>
        <w:rPr>
          <w:rFonts w:hint="eastAsia" w:ascii="仿宋_GB2312" w:eastAsia="仿宋_GB2312"/>
          <w:b/>
          <w:sz w:val="32"/>
        </w:rPr>
        <w:br w:type="page"/>
      </w:r>
      <w:r>
        <w:rPr>
          <w:rFonts w:hint="eastAsia" w:ascii="仿宋_GB2312" w:eastAsia="仿宋_GB2312"/>
          <w:b/>
          <w:sz w:val="32"/>
        </w:rPr>
        <w:t>2、开标一览表</w:t>
      </w:r>
    </w:p>
    <w:p>
      <w:pPr>
        <w:rPr>
          <w:rFonts w:hint="eastAsia"/>
        </w:rPr>
      </w:pPr>
    </w:p>
    <w:p>
      <w:pPr>
        <w:rPr>
          <w:rFonts w:hint="eastAsia"/>
        </w:rPr>
      </w:pPr>
    </w:p>
    <w:p>
      <w:pPr>
        <w:rPr>
          <w:rFonts w:hint="eastAsia"/>
        </w:rPr>
      </w:pPr>
    </w:p>
    <w:p>
      <w:pPr>
        <w:spacing w:line="400" w:lineRule="exact"/>
        <w:rPr>
          <w:rFonts w:hint="eastAsia"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XXXX</w:t>
      </w:r>
      <w:r>
        <w:rPr>
          <w:rFonts w:hint="eastAsia" w:ascii="宋体" w:hAnsi="宋体" w:cs="宋体"/>
          <w:sz w:val="24"/>
          <w:szCs w:val="24"/>
        </w:rPr>
        <w:t xml:space="preserve"> 采购编号：</w:t>
      </w:r>
      <w:r>
        <w:rPr>
          <w:rFonts w:hint="eastAsia" w:ascii="宋体" w:hAnsi="宋体" w:cs="宋体"/>
          <w:sz w:val="24"/>
          <w:szCs w:val="24"/>
          <w:u w:val="single"/>
        </w:rPr>
        <w:t>XXX</w:t>
      </w:r>
      <w:r>
        <w:rPr>
          <w:rFonts w:hint="eastAsia" w:ascii="宋体" w:hAnsi="宋体" w:cs="宋体"/>
          <w:color w:val="auto"/>
          <w:sz w:val="24"/>
          <w:szCs w:val="24"/>
          <w:u w:val="single"/>
        </w:rPr>
        <w:t>X</w:t>
      </w:r>
      <w:r>
        <w:rPr>
          <w:rFonts w:hint="eastAsia" w:ascii="宋体" w:hAnsi="宋体" w:cs="宋体"/>
          <w:color w:val="auto"/>
          <w:sz w:val="24"/>
          <w:szCs w:val="24"/>
        </w:rPr>
        <w:t xml:space="preserve"> 标包号</w:t>
      </w:r>
      <w:r>
        <w:rPr>
          <w:rFonts w:hint="eastAsia" w:ascii="宋体" w:hAnsi="宋体" w:cs="宋体"/>
          <w:color w:val="auto"/>
          <w:sz w:val="24"/>
          <w:szCs w:val="24"/>
          <w:u w:val="single"/>
        </w:rPr>
        <w:t xml:space="preserve">：XX </w:t>
      </w:r>
    </w:p>
    <w:p>
      <w:pPr>
        <w:spacing w:line="400" w:lineRule="exact"/>
        <w:rPr>
          <w:rFonts w:hint="eastAsia"/>
          <w:u w:val="single"/>
        </w:rPr>
      </w:pPr>
    </w:p>
    <w:tbl>
      <w:tblPr>
        <w:tblStyle w:val="21"/>
        <w:tblpPr w:leftFromText="180" w:rightFromText="180" w:vertAnchor="text" w:horzAnchor="page" w:tblpX="1230" w:tblpY="4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8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trPr>
        <w:tc>
          <w:tcPr>
            <w:tcW w:w="9550" w:type="dxa"/>
            <w:gridSpan w:val="2"/>
            <w:noWrap w:val="0"/>
            <w:vAlign w:val="center"/>
          </w:tcPr>
          <w:p>
            <w:pPr>
              <w:spacing w:line="400" w:lineRule="exact"/>
              <w:rPr>
                <w:rFonts w:hint="eastAsia"/>
              </w:rPr>
            </w:pPr>
            <w:r>
              <w:rPr>
                <w:rFonts w:hint="eastAsia"/>
              </w:rPr>
              <w:t>投标总价合计人民币（小写）：￥</w:t>
            </w:r>
          </w:p>
          <w:p>
            <w:pPr>
              <w:spacing w:line="400" w:lineRule="exact"/>
              <w:rPr>
                <w:rFonts w:hint="eastAsia"/>
              </w:rPr>
            </w:pPr>
            <w:r>
              <w:rPr>
                <w:rFonts w:hint="eastAsia"/>
              </w:rPr>
              <w:t>投标总价合计人民币（大写）：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9550" w:type="dxa"/>
            <w:gridSpan w:val="2"/>
            <w:noWrap w:val="0"/>
            <w:vAlign w:val="center"/>
          </w:tcPr>
          <w:p>
            <w:pPr>
              <w:widowControl/>
              <w:rPr>
                <w:rFonts w:hint="eastAsia"/>
              </w:rPr>
            </w:pPr>
            <w:r>
              <w:rPr>
                <w:rFonts w:hint="eastAsia"/>
              </w:rPr>
              <w:t xml:space="preserve">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6" w:type="dxa"/>
            <w:noWrap w:val="0"/>
            <w:vAlign w:val="top"/>
          </w:tcPr>
          <w:p>
            <w:pPr>
              <w:spacing w:line="400" w:lineRule="exact"/>
              <w:jc w:val="center"/>
              <w:rPr>
                <w:rFonts w:hint="eastAsia" w:ascii="宋体" w:hAnsi="宋体"/>
                <w:szCs w:val="21"/>
              </w:rPr>
            </w:pPr>
            <w:r>
              <w:rPr>
                <w:rFonts w:hint="eastAsia" w:ascii="宋体" w:hAnsi="宋体"/>
                <w:szCs w:val="21"/>
              </w:rPr>
              <w:t>投</w:t>
            </w:r>
          </w:p>
          <w:p>
            <w:pPr>
              <w:spacing w:line="400" w:lineRule="exact"/>
              <w:jc w:val="center"/>
              <w:rPr>
                <w:rFonts w:hint="eastAsia" w:ascii="宋体" w:hAnsi="宋体"/>
                <w:szCs w:val="21"/>
              </w:rPr>
            </w:pPr>
            <w:r>
              <w:rPr>
                <w:rFonts w:hint="eastAsia" w:ascii="宋体" w:hAnsi="宋体"/>
                <w:szCs w:val="21"/>
              </w:rPr>
              <w:t>标</w:t>
            </w:r>
          </w:p>
          <w:p>
            <w:pPr>
              <w:spacing w:line="400" w:lineRule="exact"/>
              <w:jc w:val="center"/>
              <w:rPr>
                <w:rFonts w:hint="eastAsia" w:ascii="宋体" w:hAnsi="宋体"/>
                <w:szCs w:val="21"/>
              </w:rPr>
            </w:pPr>
            <w:r>
              <w:rPr>
                <w:rFonts w:hint="eastAsia" w:ascii="宋体" w:hAnsi="宋体"/>
                <w:szCs w:val="21"/>
              </w:rPr>
              <w:t>人</w:t>
            </w:r>
          </w:p>
          <w:p>
            <w:pPr>
              <w:spacing w:line="400" w:lineRule="exact"/>
              <w:jc w:val="center"/>
              <w:rPr>
                <w:rFonts w:hint="eastAsia" w:ascii="宋体" w:hAnsi="宋体"/>
                <w:szCs w:val="21"/>
              </w:rPr>
            </w:pPr>
            <w:r>
              <w:rPr>
                <w:rFonts w:hint="eastAsia" w:ascii="宋体" w:hAnsi="宋体"/>
                <w:szCs w:val="21"/>
              </w:rPr>
              <w:t>申</w:t>
            </w:r>
          </w:p>
          <w:p>
            <w:pPr>
              <w:spacing w:line="400" w:lineRule="exact"/>
              <w:jc w:val="center"/>
              <w:rPr>
                <w:rFonts w:hint="eastAsia"/>
              </w:rPr>
            </w:pPr>
            <w:r>
              <w:rPr>
                <w:rFonts w:hint="eastAsia" w:ascii="宋体" w:hAnsi="宋体"/>
                <w:szCs w:val="21"/>
              </w:rPr>
              <w:t>明</w:t>
            </w:r>
          </w:p>
        </w:tc>
        <w:tc>
          <w:tcPr>
            <w:tcW w:w="8814" w:type="dxa"/>
            <w:noWrap w:val="0"/>
            <w:vAlign w:val="top"/>
          </w:tcPr>
          <w:p>
            <w:pPr>
              <w:widowControl/>
              <w:jc w:val="left"/>
            </w:pPr>
          </w:p>
          <w:p>
            <w:pPr>
              <w:widowControl/>
              <w:jc w:val="left"/>
            </w:pPr>
          </w:p>
          <w:p>
            <w:pPr>
              <w:widowControl/>
              <w:jc w:val="left"/>
            </w:pPr>
          </w:p>
          <w:p>
            <w:pPr>
              <w:widowControl/>
              <w:jc w:val="left"/>
            </w:pPr>
          </w:p>
          <w:p>
            <w:pPr>
              <w:spacing w:line="400" w:lineRule="exact"/>
              <w:jc w:val="left"/>
              <w:rPr>
                <w:rFonts w:hint="eastAsia"/>
              </w:rPr>
            </w:pPr>
          </w:p>
        </w:tc>
      </w:tr>
    </w:tbl>
    <w:p>
      <w:pPr>
        <w:rPr>
          <w:rFonts w:hint="eastAsia" w:ascii="宋体" w:hAnsi="宋体"/>
          <w:sz w:val="24"/>
          <w:szCs w:val="24"/>
        </w:rPr>
      </w:pPr>
    </w:p>
    <w:p>
      <w:pPr>
        <w:rPr>
          <w:rFonts w:hint="eastAsia" w:ascii="宋体" w:hAnsi="宋体"/>
          <w:sz w:val="24"/>
          <w:szCs w:val="24"/>
        </w:rPr>
      </w:pPr>
    </w:p>
    <w:p>
      <w:pPr>
        <w:rPr>
          <w:rFonts w:hint="eastAsia" w:ascii="楷体_GB2312" w:eastAsia="楷体_GB2312"/>
          <w:b/>
          <w:i/>
          <w:iCs/>
          <w:szCs w:val="21"/>
        </w:rPr>
      </w:pPr>
    </w:p>
    <w:p>
      <w:pPr>
        <w:rPr>
          <w:rFonts w:hint="eastAsia" w:ascii="楷体_GB2312" w:eastAsia="楷体_GB2312"/>
          <w:b/>
          <w:i/>
          <w:iCs/>
          <w:szCs w:val="21"/>
        </w:rPr>
      </w:pPr>
    </w:p>
    <w:p>
      <w:pPr>
        <w:rPr>
          <w:rFonts w:hint="eastAsia" w:ascii="宋体" w:hAnsi="宋体"/>
          <w:i/>
          <w:iCs/>
          <w:szCs w:val="21"/>
        </w:rPr>
      </w:pPr>
      <w:r>
        <w:rPr>
          <w:rFonts w:hint="eastAsia" w:ascii="宋体" w:hAnsi="宋体"/>
          <w:i/>
          <w:iCs/>
          <w:szCs w:val="21"/>
        </w:rPr>
        <w:t>注：1、本表应按标包号分别填制；2、有关投标价优惠折扣、招标文件允许的备选方案均应在投标人申明中载明。</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rPr>
          <w:rFonts w:hint="eastAsia" w:ascii="楷体_GB2312" w:eastAsia="楷体_GB2312"/>
          <w:b/>
          <w:i/>
          <w:iCs/>
          <w:szCs w:val="21"/>
        </w:rPr>
      </w:pPr>
    </w:p>
    <w:p>
      <w:pPr>
        <w:rPr>
          <w:rFonts w:hint="eastAsia" w:ascii="楷体_GB2312" w:eastAsia="楷体_GB2312"/>
          <w:b/>
          <w:i/>
          <w:iCs/>
          <w:szCs w:val="21"/>
        </w:rPr>
      </w:pPr>
    </w:p>
    <w:p>
      <w:pPr>
        <w:rPr>
          <w:rFonts w:hint="eastAsia" w:ascii="楷体_GB2312" w:eastAsia="楷体_GB2312"/>
          <w:b/>
          <w:i/>
          <w:iCs/>
          <w:szCs w:val="21"/>
        </w:rPr>
      </w:pPr>
    </w:p>
    <w:p>
      <w:pPr>
        <w:spacing w:line="400" w:lineRule="exact"/>
        <w:rPr>
          <w:rFonts w:ascii="宋体"/>
          <w:sz w:val="30"/>
        </w:rPr>
      </w:pPr>
    </w:p>
    <w:p>
      <w:pPr>
        <w:pStyle w:val="2"/>
        <w:ind w:left="420"/>
        <w:sectPr>
          <w:headerReference r:id="rId3" w:type="default"/>
          <w:footerReference r:id="rId4" w:type="default"/>
          <w:footerReference r:id="rId5" w:type="even"/>
          <w:type w:val="oddPage"/>
          <w:pgSz w:w="11907" w:h="16840"/>
          <w:pgMar w:top="1418" w:right="1418" w:bottom="1418" w:left="1418" w:header="851" w:footer="851" w:gutter="0"/>
          <w:pgBorders>
            <w:top w:val="none" w:sz="0" w:space="0"/>
            <w:left w:val="none" w:sz="0" w:space="0"/>
            <w:bottom w:val="none" w:sz="0" w:space="0"/>
            <w:right w:val="none" w:sz="0" w:space="0"/>
          </w:pgBorders>
          <w:cols w:space="720" w:num="1"/>
          <w:docGrid w:type="lines" w:linePitch="312" w:charSpace="0"/>
        </w:sectPr>
      </w:pPr>
    </w:p>
    <w:p>
      <w:pPr>
        <w:spacing w:line="400" w:lineRule="exact"/>
        <w:jc w:val="center"/>
        <w:rPr>
          <w:rFonts w:hint="eastAsia" w:ascii="仿宋_GB2312" w:eastAsia="仿宋_GB2312"/>
          <w:b/>
          <w:sz w:val="32"/>
        </w:rPr>
      </w:pPr>
      <w:r>
        <w:rPr>
          <w:rFonts w:hint="eastAsia" w:ascii="仿宋_GB2312" w:eastAsia="仿宋_GB2312"/>
          <w:b/>
          <w:sz w:val="32"/>
        </w:rPr>
        <w:t>3、投标分项报价表</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w:t>
      </w:r>
      <w:r>
        <w:rPr>
          <w:rFonts w:hint="eastAsia" w:ascii="宋体" w:hAnsi="宋体"/>
          <w:color w:val="auto"/>
          <w:sz w:val="24"/>
          <w:szCs w:val="24"/>
          <w:u w:val="single"/>
        </w:rPr>
        <w:t xml:space="preserve">X  </w:t>
      </w:r>
      <w:r>
        <w:rPr>
          <w:rFonts w:hint="eastAsia" w:ascii="宋体" w:hAnsi="宋体"/>
          <w:color w:val="auto"/>
          <w:sz w:val="24"/>
          <w:szCs w:val="24"/>
        </w:rPr>
        <w:t>标包号：</w:t>
      </w:r>
      <w:r>
        <w:rPr>
          <w:rFonts w:hint="eastAsia" w:ascii="宋体" w:hAnsi="宋体"/>
          <w:color w:val="auto"/>
          <w:sz w:val="24"/>
          <w:szCs w:val="24"/>
          <w:u w:val="single"/>
        </w:rPr>
        <w:t>XX</w:t>
      </w:r>
      <w:r>
        <w:rPr>
          <w:rFonts w:hint="eastAsia" w:ascii="宋体" w:hAnsi="宋体"/>
          <w:color w:val="auto"/>
          <w:sz w:val="24"/>
          <w:szCs w:val="24"/>
        </w:rPr>
        <w:t xml:space="preserve"> </w:t>
      </w:r>
      <w:r>
        <w:rPr>
          <w:rFonts w:ascii="宋体" w:hAnsi="宋体"/>
          <w:color w:val="auto"/>
          <w:sz w:val="24"/>
          <w:szCs w:val="24"/>
        </w:rPr>
        <w:t>（</w:t>
      </w:r>
      <w:r>
        <w:rPr>
          <w:rFonts w:hint="eastAsia" w:ascii="宋体" w:hAnsi="宋体"/>
          <w:color w:val="auto"/>
          <w:sz w:val="24"/>
          <w:szCs w:val="24"/>
        </w:rPr>
        <w:t>人</w:t>
      </w:r>
      <w:r>
        <w:rPr>
          <w:rFonts w:hint="eastAsia" w:ascii="宋体" w:hAnsi="宋体"/>
          <w:sz w:val="24"/>
          <w:szCs w:val="24"/>
        </w:rPr>
        <w:t>民币：元）</w:t>
      </w:r>
    </w:p>
    <w:p>
      <w:pPr>
        <w:spacing w:line="460" w:lineRule="exact"/>
        <w:rPr>
          <w:rFonts w:hint="eastAsia" w:ascii="仿宋_GB2312" w:eastAsia="仿宋_GB2312"/>
          <w:sz w:val="30"/>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263"/>
        <w:gridCol w:w="3150"/>
        <w:gridCol w:w="1260"/>
        <w:gridCol w:w="1026"/>
        <w:gridCol w:w="1026"/>
        <w:gridCol w:w="1260"/>
        <w:gridCol w:w="1260"/>
        <w:gridCol w:w="130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263" w:type="dxa"/>
            <w:noWrap w:val="0"/>
            <w:vAlign w:val="center"/>
          </w:tcPr>
          <w:p>
            <w:pPr>
              <w:spacing w:line="460" w:lineRule="exact"/>
              <w:jc w:val="center"/>
              <w:rPr>
                <w:rFonts w:hint="eastAsia" w:ascii="宋体" w:hAnsi="宋体"/>
                <w:szCs w:val="21"/>
              </w:rPr>
            </w:pPr>
            <w:r>
              <w:rPr>
                <w:rFonts w:hint="eastAsia" w:ascii="宋体" w:hAnsi="宋体"/>
                <w:szCs w:val="21"/>
              </w:rPr>
              <w:t>品牌（生产/服务商）</w:t>
            </w:r>
          </w:p>
        </w:tc>
        <w:tc>
          <w:tcPr>
            <w:tcW w:w="3150" w:type="dxa"/>
            <w:noWrap w:val="0"/>
            <w:vAlign w:val="center"/>
          </w:tcPr>
          <w:p>
            <w:pPr>
              <w:spacing w:line="460" w:lineRule="exact"/>
              <w:jc w:val="center"/>
              <w:rPr>
                <w:rFonts w:hint="eastAsia" w:ascii="宋体" w:hAnsi="宋体"/>
                <w:szCs w:val="21"/>
              </w:rPr>
            </w:pPr>
            <w:r>
              <w:rPr>
                <w:rFonts w:hint="eastAsia" w:ascii="宋体" w:hAnsi="宋体"/>
                <w:szCs w:val="21"/>
              </w:rPr>
              <w:t>规格型号及配置（或服务内容）</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产地</w:t>
            </w:r>
          </w:p>
        </w:tc>
        <w:tc>
          <w:tcPr>
            <w:tcW w:w="1026"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026" w:type="dxa"/>
            <w:noWrap w:val="0"/>
            <w:vAlign w:val="center"/>
          </w:tcPr>
          <w:p>
            <w:pPr>
              <w:spacing w:line="460" w:lineRule="exact"/>
              <w:jc w:val="center"/>
              <w:rPr>
                <w:rFonts w:hint="eastAsia" w:ascii="宋体" w:hAnsi="宋体"/>
                <w:szCs w:val="21"/>
              </w:rPr>
            </w:pPr>
            <w:r>
              <w:rPr>
                <w:rFonts w:hint="eastAsia" w:ascii="宋体" w:hAnsi="宋体"/>
                <w:szCs w:val="21"/>
              </w:rPr>
              <w:t>数量</w:t>
            </w:r>
          </w:p>
          <w:p>
            <w:pPr>
              <w:spacing w:line="460" w:lineRule="exact"/>
              <w:jc w:val="center"/>
              <w:rPr>
                <w:rFonts w:hint="eastAsia" w:ascii="宋体" w:hAnsi="宋体"/>
                <w:szCs w:val="21"/>
              </w:rPr>
            </w:pPr>
            <w:r>
              <w:rPr>
                <w:rFonts w:hint="eastAsia" w:ascii="宋体" w:hAnsi="宋体"/>
                <w:szCs w:val="21"/>
              </w:rPr>
              <w:t>单位</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市场平均单价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308"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945" w:type="dxa"/>
            <w:noWrap w:val="0"/>
            <w:vAlign w:val="center"/>
          </w:tcPr>
          <w:p>
            <w:pPr>
              <w:spacing w:line="46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3" w:type="dxa"/>
            <w:noWrap w:val="0"/>
            <w:vAlign w:val="center"/>
          </w:tcPr>
          <w:p>
            <w:pPr>
              <w:spacing w:line="460" w:lineRule="exact"/>
              <w:jc w:val="center"/>
              <w:rPr>
                <w:rFonts w:hint="eastAsia" w:ascii="宋体" w:hAnsi="宋体"/>
                <w:szCs w:val="21"/>
              </w:rPr>
            </w:pPr>
          </w:p>
        </w:tc>
        <w:tc>
          <w:tcPr>
            <w:tcW w:w="315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3"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315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26" w:type="dxa"/>
            <w:noWrap w:val="0"/>
            <w:vAlign w:val="top"/>
          </w:tcPr>
          <w:p>
            <w:pPr>
              <w:spacing w:line="460" w:lineRule="exact"/>
              <w:jc w:val="center"/>
              <w:rPr>
                <w:rFonts w:hint="eastAsia" w:ascii="宋体" w:hAnsi="宋体"/>
                <w:szCs w:val="21"/>
              </w:rPr>
            </w:pPr>
          </w:p>
        </w:tc>
        <w:tc>
          <w:tcPr>
            <w:tcW w:w="1026"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308" w:type="dxa"/>
            <w:noWrap w:val="0"/>
            <w:vAlign w:val="center"/>
          </w:tcPr>
          <w:p>
            <w:pPr>
              <w:spacing w:line="460" w:lineRule="exact"/>
              <w:jc w:val="center"/>
              <w:rPr>
                <w:rFonts w:hint="eastAsia" w:ascii="宋体" w:hAnsi="宋体"/>
                <w:szCs w:val="21"/>
              </w:rPr>
            </w:pPr>
          </w:p>
        </w:tc>
        <w:tc>
          <w:tcPr>
            <w:tcW w:w="945" w:type="dxa"/>
            <w:noWrap w:val="0"/>
            <w:vAlign w:val="center"/>
          </w:tcPr>
          <w:p>
            <w:pPr>
              <w:spacing w:line="460" w:lineRule="exact"/>
              <w:jc w:val="center"/>
              <w:rPr>
                <w:rFonts w:hint="eastAsia" w:ascii="宋体" w:hAnsi="宋体"/>
                <w:szCs w:val="21"/>
              </w:rPr>
            </w:pPr>
          </w:p>
        </w:tc>
      </w:tr>
    </w:tbl>
    <w:p>
      <w:pPr>
        <w:spacing w:line="440" w:lineRule="exact"/>
        <w:rPr>
          <w:rFonts w:hint="eastAsia" w:ascii="仿宋_GB2312" w:eastAsia="仿宋_GB2312"/>
          <w:i/>
          <w:iCs/>
          <w:sz w:val="24"/>
          <w:szCs w:val="24"/>
        </w:rPr>
      </w:pPr>
    </w:p>
    <w:p>
      <w:pPr>
        <w:spacing w:line="440" w:lineRule="exact"/>
        <w:rPr>
          <w:rFonts w:hint="eastAsia" w:ascii="仿宋_GB2312" w:eastAsia="仿宋_GB2312"/>
          <w:i/>
          <w:iCs/>
          <w:szCs w:val="21"/>
        </w:rPr>
      </w:pPr>
      <w:r>
        <w:rPr>
          <w:rFonts w:hint="eastAsia" w:ascii="仿宋_GB2312" w:eastAsia="仿宋_GB2312"/>
          <w:i/>
          <w:iCs/>
          <w:szCs w:val="21"/>
        </w:rPr>
        <w:t>说明：  1、产地为境内的请填写设区市、地市级地区名称，允许进口产品投标的境外产品方可填写国家或地区名称（含港澳台地区）；工程和服务的产地是指生产商所在地，货物的产地是指整机（非零部件）最终生产地点。</w:t>
      </w:r>
    </w:p>
    <w:p>
      <w:pPr>
        <w:spacing w:line="440" w:lineRule="exact"/>
        <w:ind w:firstLine="425"/>
        <w:rPr>
          <w:rFonts w:hint="eastAsia" w:ascii="仿宋_GB2312" w:eastAsia="仿宋_GB2312"/>
          <w:sz w:val="24"/>
          <w:szCs w:val="24"/>
        </w:rPr>
      </w:pPr>
      <w:r>
        <w:rPr>
          <w:rFonts w:hint="eastAsia" w:ascii="仿宋_GB2312" w:eastAsia="仿宋_GB2312"/>
          <w:i/>
          <w:iCs/>
          <w:szCs w:val="21"/>
        </w:rPr>
        <w:t>2、市场平均单价是指该同等配置产品在近期国内市场实际销售的平均价格，投标单价不得高于市场平均单价。</w:t>
      </w:r>
    </w:p>
    <w:p>
      <w:pPr>
        <w:pStyle w:val="2"/>
        <w:ind w:left="420"/>
        <w:rPr>
          <w:rFonts w:hint="eastAsia"/>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spacing w:line="400" w:lineRule="exact"/>
        <w:jc w:val="center"/>
        <w:rPr>
          <w:rFonts w:ascii="仿宋_GB2312" w:eastAsia="仿宋_GB2312"/>
          <w:b/>
          <w:sz w:val="32"/>
        </w:rPr>
      </w:pPr>
    </w:p>
    <w:p>
      <w:pPr>
        <w:spacing w:line="460" w:lineRule="exact"/>
        <w:sectPr>
          <w:pgSz w:w="16840" w:h="11907" w:orient="landscape"/>
          <w:pgMar w:top="1134" w:right="1418" w:bottom="1134" w:left="1418" w:header="851" w:footer="851" w:gutter="0"/>
          <w:pgBorders>
            <w:top w:val="none" w:sz="0" w:space="0"/>
            <w:left w:val="none" w:sz="0" w:space="0"/>
            <w:bottom w:val="none" w:sz="0" w:space="0"/>
            <w:right w:val="none" w:sz="0" w:space="0"/>
          </w:pgBorders>
          <w:cols w:space="720" w:num="1"/>
          <w:docGrid w:type="lines" w:linePitch="312" w:charSpace="0"/>
        </w:sectPr>
      </w:pPr>
    </w:p>
    <w:p>
      <w:pPr>
        <w:spacing w:line="400" w:lineRule="exact"/>
        <w:jc w:val="center"/>
        <w:rPr>
          <w:rFonts w:hint="eastAsia" w:ascii="仿宋_GB2312" w:eastAsia="仿宋_GB2312"/>
          <w:b/>
          <w:sz w:val="32"/>
        </w:rPr>
      </w:pPr>
      <w:r>
        <w:rPr>
          <w:rFonts w:hint="eastAsia" w:ascii="仿宋_GB2312" w:eastAsia="仿宋_GB2312"/>
          <w:b/>
          <w:sz w:val="32"/>
        </w:rPr>
        <w:t>4、小微企业产品分项报价表（若有的提供）</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color w:val="auto"/>
          <w:sz w:val="24"/>
          <w:szCs w:val="24"/>
          <w:u w:val="single"/>
        </w:rPr>
        <w:t>XXXX</w:t>
      </w:r>
      <w:r>
        <w:rPr>
          <w:rFonts w:hint="eastAsia" w:ascii="宋体" w:hAnsi="宋体"/>
          <w:color w:val="auto"/>
          <w:sz w:val="24"/>
          <w:szCs w:val="24"/>
        </w:rPr>
        <w:t>标包号：</w:t>
      </w:r>
      <w:r>
        <w:rPr>
          <w:rFonts w:hint="eastAsia" w:ascii="宋体" w:hAnsi="宋体"/>
          <w:color w:val="auto"/>
          <w:sz w:val="24"/>
          <w:szCs w:val="24"/>
          <w:u w:val="single"/>
        </w:rPr>
        <w:t>XX</w:t>
      </w:r>
      <w:r>
        <w:rPr>
          <w:rFonts w:hint="eastAsia" w:ascii="宋体" w:hAnsi="宋体"/>
          <w:color w:val="auto"/>
          <w:sz w:val="24"/>
          <w:szCs w:val="24"/>
        </w:rPr>
        <w:t xml:space="preserve"> </w:t>
      </w:r>
      <w:r>
        <w:rPr>
          <w:rFonts w:ascii="宋体" w:hAnsi="宋体"/>
          <w:color w:val="auto"/>
          <w:sz w:val="24"/>
          <w:szCs w:val="24"/>
        </w:rPr>
        <w:t>（</w:t>
      </w:r>
      <w:r>
        <w:rPr>
          <w:rFonts w:hint="eastAsia" w:ascii="宋体" w:hAnsi="宋体"/>
          <w:color w:val="auto"/>
          <w:sz w:val="24"/>
          <w:szCs w:val="24"/>
        </w:rPr>
        <w:t>人民</w:t>
      </w:r>
      <w:r>
        <w:rPr>
          <w:rFonts w:hint="eastAsia" w:ascii="宋体" w:hAnsi="宋体"/>
          <w:sz w:val="24"/>
          <w:szCs w:val="24"/>
        </w:rPr>
        <w:t>币：元）</w:t>
      </w:r>
    </w:p>
    <w:p>
      <w:pPr>
        <w:spacing w:line="460" w:lineRule="exact"/>
        <w:rPr>
          <w:rFonts w:hint="eastAsia" w:ascii="仿宋_GB2312" w:eastAsia="仿宋_GB2312"/>
          <w:sz w:val="30"/>
        </w:rPr>
      </w:pPr>
    </w:p>
    <w:tbl>
      <w:tblPr>
        <w:tblStyle w:val="21"/>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890"/>
        <w:gridCol w:w="1890"/>
        <w:gridCol w:w="1125"/>
        <w:gridCol w:w="1785"/>
        <w:gridCol w:w="915"/>
        <w:gridCol w:w="903"/>
        <w:gridCol w:w="1155"/>
        <w:gridCol w:w="123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品牌、规格型号</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生产商名称</w:t>
            </w:r>
          </w:p>
        </w:tc>
        <w:tc>
          <w:tcPr>
            <w:tcW w:w="1125" w:type="dxa"/>
            <w:noWrap w:val="0"/>
            <w:vAlign w:val="center"/>
          </w:tcPr>
          <w:p>
            <w:pPr>
              <w:spacing w:line="460" w:lineRule="exact"/>
              <w:jc w:val="center"/>
              <w:rPr>
                <w:rFonts w:hint="eastAsia" w:ascii="宋体" w:hAnsi="宋体"/>
                <w:szCs w:val="21"/>
              </w:rPr>
            </w:pPr>
            <w:r>
              <w:rPr>
                <w:rFonts w:hint="eastAsia" w:ascii="宋体" w:hAnsi="宋体"/>
                <w:szCs w:val="21"/>
              </w:rPr>
              <w:t>所属行业</w:t>
            </w:r>
          </w:p>
        </w:tc>
        <w:tc>
          <w:tcPr>
            <w:tcW w:w="1785" w:type="dxa"/>
            <w:noWrap w:val="0"/>
            <w:vAlign w:val="center"/>
          </w:tcPr>
          <w:p>
            <w:pPr>
              <w:spacing w:line="460" w:lineRule="exact"/>
              <w:rPr>
                <w:rFonts w:hint="eastAsia" w:ascii="宋体" w:hAnsi="宋体"/>
                <w:szCs w:val="21"/>
              </w:rPr>
            </w:pPr>
            <w:r>
              <w:rPr>
                <w:rFonts w:hint="eastAsia" w:ascii="宋体" w:hAnsi="宋体"/>
                <w:szCs w:val="21"/>
              </w:rPr>
              <w:t>生产商上年从业人员X人、营业收入X万元、资产总额X万元</w:t>
            </w:r>
          </w:p>
        </w:tc>
        <w:tc>
          <w:tcPr>
            <w:tcW w:w="915" w:type="dxa"/>
            <w:noWrap w:val="0"/>
            <w:vAlign w:val="center"/>
          </w:tcPr>
          <w:p>
            <w:pPr>
              <w:spacing w:line="460" w:lineRule="exact"/>
              <w:jc w:val="center"/>
              <w:rPr>
                <w:rFonts w:hint="eastAsia" w:ascii="宋体" w:hAnsi="宋体"/>
                <w:szCs w:val="21"/>
              </w:rPr>
            </w:pPr>
            <w:r>
              <w:rPr>
                <w:rFonts w:hint="eastAsia" w:ascii="宋体" w:hAnsi="宋体"/>
                <w:szCs w:val="21"/>
              </w:rPr>
              <w:t>小型/微型</w:t>
            </w:r>
          </w:p>
        </w:tc>
        <w:tc>
          <w:tcPr>
            <w:tcW w:w="903"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155"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236"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1050" w:type="dxa"/>
            <w:noWrap w:val="0"/>
            <w:vAlign w:val="center"/>
          </w:tcPr>
          <w:p>
            <w:pPr>
              <w:spacing w:line="46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890" w:type="dxa"/>
            <w:noWrap w:val="0"/>
            <w:vAlign w:val="center"/>
          </w:tcPr>
          <w:p>
            <w:pPr>
              <w:spacing w:line="460" w:lineRule="exact"/>
              <w:jc w:val="center"/>
              <w:rPr>
                <w:rFonts w:hint="eastAsia" w:ascii="宋体" w:hAnsi="宋体"/>
                <w:szCs w:val="21"/>
              </w:rPr>
            </w:pPr>
          </w:p>
        </w:tc>
        <w:tc>
          <w:tcPr>
            <w:tcW w:w="1125" w:type="dxa"/>
            <w:noWrap w:val="0"/>
            <w:vAlign w:val="center"/>
          </w:tcPr>
          <w:p>
            <w:pPr>
              <w:spacing w:line="460" w:lineRule="exact"/>
              <w:jc w:val="center"/>
              <w:rPr>
                <w:rFonts w:hint="eastAsia" w:ascii="宋体" w:hAnsi="宋体"/>
                <w:szCs w:val="21"/>
              </w:rPr>
            </w:pPr>
          </w:p>
        </w:tc>
        <w:tc>
          <w:tcPr>
            <w:tcW w:w="1785" w:type="dxa"/>
            <w:noWrap w:val="0"/>
            <w:vAlign w:val="top"/>
          </w:tcPr>
          <w:p>
            <w:pPr>
              <w:spacing w:line="460" w:lineRule="exact"/>
              <w:jc w:val="center"/>
              <w:rPr>
                <w:rFonts w:hint="eastAsia" w:ascii="宋体" w:hAnsi="宋体"/>
                <w:szCs w:val="21"/>
              </w:rPr>
            </w:pPr>
          </w:p>
        </w:tc>
        <w:tc>
          <w:tcPr>
            <w:tcW w:w="915" w:type="dxa"/>
            <w:noWrap w:val="0"/>
            <w:vAlign w:val="center"/>
          </w:tcPr>
          <w:p>
            <w:pPr>
              <w:spacing w:line="460" w:lineRule="exact"/>
              <w:jc w:val="center"/>
              <w:rPr>
                <w:rFonts w:hint="eastAsia" w:ascii="宋体" w:hAnsi="宋体"/>
                <w:szCs w:val="21"/>
              </w:rPr>
            </w:pPr>
          </w:p>
        </w:tc>
        <w:tc>
          <w:tcPr>
            <w:tcW w:w="903" w:type="dxa"/>
            <w:noWrap w:val="0"/>
            <w:vAlign w:val="center"/>
          </w:tcPr>
          <w:p>
            <w:pPr>
              <w:spacing w:line="460" w:lineRule="exact"/>
              <w:jc w:val="center"/>
              <w:rPr>
                <w:rFonts w:hint="eastAsia" w:ascii="宋体" w:hAnsi="宋体"/>
                <w:szCs w:val="21"/>
              </w:rPr>
            </w:pPr>
          </w:p>
        </w:tc>
        <w:tc>
          <w:tcPr>
            <w:tcW w:w="1155" w:type="dxa"/>
            <w:noWrap w:val="0"/>
            <w:vAlign w:val="center"/>
          </w:tcPr>
          <w:p>
            <w:pPr>
              <w:spacing w:line="460" w:lineRule="exact"/>
              <w:jc w:val="center"/>
              <w:rPr>
                <w:rFonts w:hint="eastAsia" w:ascii="宋体" w:hAnsi="宋体"/>
                <w:szCs w:val="21"/>
              </w:rPr>
            </w:pP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89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12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785" w:type="dxa"/>
            <w:noWrap w:val="0"/>
            <w:vAlign w:val="top"/>
          </w:tcPr>
          <w:p>
            <w:pPr>
              <w:spacing w:line="460" w:lineRule="exact"/>
              <w:jc w:val="center"/>
              <w:rPr>
                <w:rFonts w:hint="eastAsia" w:ascii="宋体" w:hAnsi="宋体"/>
                <w:szCs w:val="21"/>
              </w:rPr>
            </w:pPr>
            <w:r>
              <w:rPr>
                <w:rFonts w:hint="eastAsia" w:ascii="宋体" w:hAnsi="宋体"/>
                <w:szCs w:val="21"/>
              </w:rPr>
              <w:t>/</w:t>
            </w:r>
          </w:p>
        </w:tc>
        <w:tc>
          <w:tcPr>
            <w:tcW w:w="91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903"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15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36" w:type="dxa"/>
            <w:noWrap w:val="0"/>
            <w:vAlign w:val="center"/>
          </w:tcPr>
          <w:p>
            <w:pPr>
              <w:spacing w:line="460" w:lineRule="exact"/>
              <w:jc w:val="center"/>
              <w:rPr>
                <w:rFonts w:hint="eastAsia" w:ascii="宋体" w:hAnsi="宋体"/>
                <w:szCs w:val="21"/>
              </w:rPr>
            </w:pPr>
          </w:p>
        </w:tc>
        <w:tc>
          <w:tcPr>
            <w:tcW w:w="1050" w:type="dxa"/>
            <w:noWrap w:val="0"/>
            <w:vAlign w:val="center"/>
          </w:tcPr>
          <w:p>
            <w:pPr>
              <w:spacing w:line="460" w:lineRule="exact"/>
              <w:jc w:val="center"/>
              <w:rPr>
                <w:rFonts w:hint="eastAsia" w:ascii="宋体" w:hAnsi="宋体"/>
                <w:szCs w:val="21"/>
              </w:rPr>
            </w:pPr>
          </w:p>
        </w:tc>
      </w:tr>
    </w:tbl>
    <w:p>
      <w:pPr>
        <w:spacing w:line="440" w:lineRule="exact"/>
        <w:rPr>
          <w:rFonts w:hint="eastAsia" w:ascii="仿宋_GB2312" w:eastAsia="仿宋_GB2312"/>
          <w:i/>
          <w:iCs/>
          <w:szCs w:val="21"/>
        </w:rPr>
      </w:pPr>
      <w:r>
        <w:rPr>
          <w:rFonts w:hint="eastAsia" w:ascii="仿宋_GB2312" w:eastAsia="仿宋_GB2312"/>
          <w:i/>
          <w:iCs/>
          <w:szCs w:val="21"/>
        </w:rPr>
        <w:t>特别提醒：  1、本表专用于小微企业产品的评审价格扣除，若中标的，中标价格按投标价格执行。</w:t>
      </w:r>
    </w:p>
    <w:p>
      <w:pPr>
        <w:spacing w:line="440" w:lineRule="exact"/>
        <w:ind w:left="540" w:firstLine="735" w:firstLineChars="350"/>
        <w:rPr>
          <w:rFonts w:hint="eastAsia" w:ascii="仿宋_GB2312" w:eastAsia="仿宋_GB2312"/>
          <w:i/>
          <w:iCs/>
          <w:szCs w:val="21"/>
        </w:rPr>
      </w:pPr>
      <w:r>
        <w:rPr>
          <w:rFonts w:hint="eastAsia" w:ascii="仿宋_GB2312" w:eastAsia="仿宋_GB2312"/>
          <w:i/>
          <w:iCs/>
          <w:szCs w:val="21"/>
        </w:rPr>
        <w:t>2、生产商划型是指根据</w:t>
      </w:r>
      <w:r>
        <w:rPr>
          <w:rFonts w:ascii="仿宋_GB2312" w:eastAsia="仿宋_GB2312"/>
          <w:i/>
          <w:iCs/>
          <w:szCs w:val="21"/>
        </w:rPr>
        <w:t>工信部联企业[2011]300号</w:t>
      </w:r>
      <w:r>
        <w:rPr>
          <w:rFonts w:hint="eastAsia" w:ascii="仿宋_GB2312" w:eastAsia="仿宋_GB2312"/>
          <w:i/>
          <w:iCs/>
          <w:szCs w:val="21"/>
        </w:rPr>
        <w:t>文件规定，具体划型标准见“中小企业声明函”的说明。</w:t>
      </w:r>
    </w:p>
    <w:p>
      <w:pPr>
        <w:spacing w:line="460" w:lineRule="exact"/>
        <w:rPr>
          <w:rFonts w:hint="eastAsia" w:ascii="仿宋_GB2312" w:eastAsia="仿宋_GB2312"/>
          <w:sz w:val="24"/>
          <w:szCs w:val="24"/>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spacing w:line="400" w:lineRule="exact"/>
        <w:jc w:val="center"/>
        <w:rPr>
          <w:rFonts w:hint="eastAsia" w:ascii="仿宋_GB2312" w:eastAsia="仿宋_GB2312"/>
          <w:b/>
          <w:sz w:val="32"/>
        </w:rPr>
      </w:pPr>
      <w:r>
        <w:rPr>
          <w:rFonts w:ascii="仿宋_GB2312" w:eastAsia="仿宋_GB2312"/>
          <w:b/>
          <w:sz w:val="32"/>
        </w:rPr>
        <w:br w:type="page"/>
      </w:r>
      <w:r>
        <w:rPr>
          <w:rFonts w:hint="eastAsia" w:ascii="仿宋_GB2312" w:eastAsia="仿宋_GB2312"/>
          <w:b/>
          <w:sz w:val="32"/>
        </w:rPr>
        <w:t>5、节能产品分项报价表（若有的提供）</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w:t>
      </w:r>
      <w:r>
        <w:rPr>
          <w:rFonts w:hint="eastAsia" w:ascii="宋体" w:hAnsi="宋体"/>
          <w:color w:val="auto"/>
          <w:sz w:val="24"/>
          <w:szCs w:val="24"/>
          <w:u w:val="single"/>
        </w:rPr>
        <w:t>XX</w:t>
      </w:r>
      <w:r>
        <w:rPr>
          <w:rFonts w:hint="eastAsia" w:ascii="宋体" w:hAnsi="宋体"/>
          <w:color w:val="auto"/>
          <w:sz w:val="24"/>
          <w:szCs w:val="24"/>
        </w:rPr>
        <w:t>标包号：</w:t>
      </w:r>
      <w:r>
        <w:rPr>
          <w:rFonts w:hint="eastAsia" w:ascii="宋体" w:hAnsi="宋体"/>
          <w:color w:val="auto"/>
          <w:sz w:val="24"/>
          <w:szCs w:val="24"/>
          <w:u w:val="single"/>
        </w:rPr>
        <w:t>XX</w:t>
      </w:r>
      <w:r>
        <w:rPr>
          <w:rFonts w:hint="eastAsia" w:ascii="宋体" w:hAnsi="宋体"/>
          <w:color w:val="auto"/>
          <w:sz w:val="24"/>
          <w:szCs w:val="24"/>
        </w:rPr>
        <w:t xml:space="preserve"> </w:t>
      </w:r>
      <w:r>
        <w:rPr>
          <w:rFonts w:ascii="宋体" w:hAnsi="宋体"/>
          <w:color w:val="auto"/>
          <w:sz w:val="24"/>
          <w:szCs w:val="24"/>
        </w:rPr>
        <w:t>（</w:t>
      </w:r>
      <w:r>
        <w:rPr>
          <w:rFonts w:hint="eastAsia" w:ascii="宋体" w:hAnsi="宋体"/>
          <w:color w:val="auto"/>
          <w:sz w:val="24"/>
          <w:szCs w:val="24"/>
        </w:rPr>
        <w:t>人</w:t>
      </w:r>
      <w:r>
        <w:rPr>
          <w:rFonts w:hint="eastAsia" w:ascii="宋体" w:hAnsi="宋体"/>
          <w:sz w:val="24"/>
          <w:szCs w:val="24"/>
        </w:rPr>
        <w:t>民币：元）</w:t>
      </w:r>
    </w:p>
    <w:p>
      <w:pPr>
        <w:spacing w:line="460" w:lineRule="exact"/>
        <w:rPr>
          <w:rFonts w:hint="eastAsia" w:ascii="仿宋_GB2312" w:eastAsia="仿宋_GB2312"/>
          <w:sz w:val="30"/>
        </w:rPr>
      </w:pPr>
    </w:p>
    <w:tbl>
      <w:tblPr>
        <w:tblStyle w:val="21"/>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685"/>
        <w:gridCol w:w="1470"/>
        <w:gridCol w:w="130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品牌、规格型号</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生产商名称</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1685" w:type="dxa"/>
            <w:noWrap w:val="0"/>
            <w:vAlign w:val="center"/>
          </w:tcPr>
          <w:p>
            <w:pPr>
              <w:spacing w:line="460" w:lineRule="exact"/>
              <w:jc w:val="center"/>
              <w:rPr>
                <w:rFonts w:hint="eastAsia" w:ascii="宋体" w:hAnsi="宋体"/>
                <w:szCs w:val="21"/>
              </w:rPr>
            </w:pPr>
            <w:r>
              <w:rPr>
                <w:rFonts w:hint="eastAsia" w:ascii="宋体" w:hAnsi="宋体"/>
                <w:szCs w:val="21"/>
              </w:rPr>
              <w:t>节能产品认证证书编号</w:t>
            </w:r>
          </w:p>
        </w:tc>
        <w:tc>
          <w:tcPr>
            <w:tcW w:w="1470" w:type="dxa"/>
            <w:noWrap w:val="0"/>
            <w:vAlign w:val="center"/>
          </w:tcPr>
          <w:p>
            <w:pPr>
              <w:spacing w:line="460" w:lineRule="exact"/>
              <w:jc w:val="center"/>
              <w:rPr>
                <w:rFonts w:hint="eastAsia" w:ascii="宋体" w:hAnsi="宋体" w:eastAsia="宋体"/>
                <w:szCs w:val="21"/>
              </w:rPr>
            </w:pPr>
            <w:r>
              <w:rPr>
                <w:rFonts w:hint="eastAsia" w:ascii="宋体" w:hAnsi="宋体"/>
                <w:szCs w:val="21"/>
              </w:rPr>
              <w:t>证书颁发机构</w:t>
            </w:r>
          </w:p>
        </w:tc>
        <w:tc>
          <w:tcPr>
            <w:tcW w:w="1305" w:type="dxa"/>
            <w:noWrap w:val="0"/>
            <w:vAlign w:val="center"/>
          </w:tcPr>
          <w:p>
            <w:pPr>
              <w:spacing w:line="460" w:lineRule="exact"/>
              <w:jc w:val="center"/>
              <w:rPr>
                <w:rFonts w:hint="eastAsia" w:ascii="宋体" w:hAnsi="宋体"/>
                <w:szCs w:val="21"/>
              </w:rPr>
            </w:pPr>
            <w:r>
              <w:rPr>
                <w:rFonts w:hint="eastAsia" w:ascii="宋体" w:hAnsi="宋体"/>
                <w:szCs w:val="21"/>
              </w:rPr>
              <w:t>证书有效</w:t>
            </w:r>
          </w:p>
          <w:p>
            <w:pPr>
              <w:spacing w:line="460" w:lineRule="exact"/>
              <w:jc w:val="center"/>
              <w:rPr>
                <w:rFonts w:hint="eastAsia" w:ascii="宋体" w:hAnsi="宋体" w:eastAsia="宋体"/>
                <w:szCs w:val="21"/>
              </w:rPr>
            </w:pPr>
            <w:r>
              <w:rPr>
                <w:rFonts w:hint="eastAsia" w:ascii="宋体" w:hAnsi="宋体"/>
                <w:szCs w:val="21"/>
              </w:rPr>
              <w:t>截止日期</w:t>
            </w:r>
          </w:p>
        </w:tc>
        <w:tc>
          <w:tcPr>
            <w:tcW w:w="1761" w:type="dxa"/>
            <w:noWrap w:val="0"/>
            <w:vAlign w:val="center"/>
          </w:tcPr>
          <w:p>
            <w:pPr>
              <w:spacing w:line="460" w:lineRule="exact"/>
              <w:jc w:val="center"/>
              <w:rPr>
                <w:rFonts w:hint="eastAsia" w:ascii="宋体" w:hAnsi="宋体"/>
                <w:szCs w:val="21"/>
              </w:rPr>
            </w:pPr>
            <w:r>
              <w:rPr>
                <w:rFonts w:hint="eastAsia" w:ascii="宋体" w:hAnsi="宋体"/>
                <w:szCs w:val="21"/>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761" w:type="dxa"/>
            <w:noWrap w:val="0"/>
            <w:vAlign w:val="center"/>
          </w:tcPr>
          <w:p>
            <w:pPr>
              <w:spacing w:line="460" w:lineRule="exact"/>
              <w:jc w:val="center"/>
              <w:rPr>
                <w:rFonts w:hint="eastAsia" w:ascii="宋体" w:hAnsi="宋体"/>
                <w:szCs w:val="21"/>
              </w:rPr>
            </w:pPr>
            <w:r>
              <w:rPr>
                <w:rFonts w:hint="eastAsia" w:ascii="宋体" w:hAnsi="宋体"/>
                <w:szCs w:val="21"/>
              </w:rPr>
              <w:t>/</w:t>
            </w:r>
          </w:p>
        </w:tc>
      </w:tr>
    </w:tbl>
    <w:p>
      <w:pPr>
        <w:spacing w:line="440" w:lineRule="exact"/>
        <w:rPr>
          <w:rFonts w:hint="eastAsia" w:ascii="仿宋_GB2312" w:eastAsia="仿宋_GB2312"/>
          <w:i/>
          <w:iCs/>
          <w:sz w:val="24"/>
          <w:szCs w:val="24"/>
        </w:rPr>
      </w:pPr>
    </w:p>
    <w:p>
      <w:pPr>
        <w:spacing w:line="440" w:lineRule="exact"/>
        <w:ind w:firstLine="735" w:firstLineChars="350"/>
        <w:rPr>
          <w:rFonts w:hint="eastAsia" w:ascii="仿宋_GB2312" w:eastAsia="仿宋_GB2312"/>
          <w:i/>
          <w:iCs/>
          <w:szCs w:val="21"/>
        </w:rPr>
      </w:pPr>
      <w:r>
        <w:rPr>
          <w:rFonts w:hint="eastAsia" w:ascii="仿宋_GB2312" w:eastAsia="仿宋_GB2312"/>
          <w:i/>
          <w:iCs/>
          <w:szCs w:val="21"/>
        </w:rPr>
        <w:t>特别提醒：节能产品是指根据财政部、国家发改委、生态环境部、市场监管总局等四部委发布的“财库[2019]9号”文件规定，由国家认可认证机构认证在投标截止日尚在有效期内的同型号产品</w:t>
      </w:r>
      <w:r>
        <w:rPr>
          <w:rFonts w:hint="eastAsia" w:ascii="仿宋_GB2312" w:eastAsia="仿宋_GB2312"/>
          <w:i/>
          <w:iCs/>
          <w:sz w:val="24"/>
          <w:szCs w:val="24"/>
        </w:rPr>
        <w:t>。</w:t>
      </w:r>
    </w:p>
    <w:p>
      <w:pPr>
        <w:spacing w:line="460" w:lineRule="exact"/>
        <w:rPr>
          <w:rFonts w:hint="eastAsia" w:ascii="仿宋_GB2312" w:eastAsia="仿宋_GB2312"/>
          <w:sz w:val="24"/>
          <w:szCs w:val="24"/>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spacing w:line="460" w:lineRule="exact"/>
        <w:rPr>
          <w:rFonts w:hint="eastAsia" w:ascii="宋体" w:hAnsi="宋体"/>
          <w:sz w:val="24"/>
          <w:szCs w:val="24"/>
        </w:rPr>
      </w:pPr>
    </w:p>
    <w:p>
      <w:pPr>
        <w:spacing w:line="400" w:lineRule="exact"/>
        <w:jc w:val="center"/>
        <w:rPr>
          <w:rFonts w:hint="eastAsia" w:ascii="仿宋_GB2312" w:eastAsia="仿宋_GB2312"/>
          <w:b/>
          <w:sz w:val="32"/>
        </w:rPr>
      </w:pPr>
      <w:r>
        <w:br w:type="page"/>
      </w:r>
      <w:r>
        <w:rPr>
          <w:rFonts w:hint="eastAsia"/>
          <w:b/>
          <w:bCs/>
          <w:sz w:val="32"/>
          <w:szCs w:val="32"/>
        </w:rPr>
        <w:t>6、</w:t>
      </w:r>
      <w:r>
        <w:rPr>
          <w:rFonts w:hint="eastAsia" w:ascii="仿宋_GB2312" w:eastAsia="仿宋_GB2312"/>
          <w:b/>
          <w:sz w:val="32"/>
        </w:rPr>
        <w:t>环境标志产品分项报价表（若有的提供）</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w:t>
      </w:r>
      <w:r>
        <w:rPr>
          <w:rFonts w:hint="eastAsia" w:ascii="宋体" w:hAnsi="宋体"/>
          <w:color w:val="auto"/>
          <w:sz w:val="24"/>
          <w:szCs w:val="24"/>
          <w:u w:val="single"/>
        </w:rPr>
        <w:t>XX</w:t>
      </w:r>
      <w:r>
        <w:rPr>
          <w:rFonts w:hint="eastAsia" w:ascii="宋体" w:hAnsi="宋体"/>
          <w:color w:val="auto"/>
          <w:sz w:val="24"/>
          <w:szCs w:val="24"/>
        </w:rPr>
        <w:t>标包号：</w:t>
      </w:r>
      <w:r>
        <w:rPr>
          <w:rFonts w:hint="eastAsia" w:ascii="宋体" w:hAnsi="宋体"/>
          <w:color w:val="auto"/>
          <w:sz w:val="24"/>
          <w:szCs w:val="24"/>
          <w:u w:val="single"/>
        </w:rPr>
        <w:t>XX</w:t>
      </w:r>
      <w:r>
        <w:rPr>
          <w:rFonts w:hint="eastAsia" w:ascii="宋体" w:hAnsi="宋体"/>
          <w:color w:val="auto"/>
          <w:sz w:val="24"/>
          <w:szCs w:val="24"/>
        </w:rPr>
        <w:t xml:space="preserve"> </w:t>
      </w:r>
      <w:r>
        <w:rPr>
          <w:rFonts w:ascii="宋体" w:hAnsi="宋体"/>
          <w:color w:val="auto"/>
          <w:sz w:val="24"/>
          <w:szCs w:val="24"/>
        </w:rPr>
        <w:t>（</w:t>
      </w:r>
      <w:r>
        <w:rPr>
          <w:rFonts w:hint="eastAsia" w:ascii="宋体" w:hAnsi="宋体"/>
          <w:color w:val="auto"/>
          <w:sz w:val="24"/>
          <w:szCs w:val="24"/>
        </w:rPr>
        <w:t>人</w:t>
      </w:r>
      <w:r>
        <w:rPr>
          <w:rFonts w:hint="eastAsia" w:ascii="宋体" w:hAnsi="宋体"/>
          <w:sz w:val="24"/>
          <w:szCs w:val="24"/>
        </w:rPr>
        <w:t>民币：元）</w:t>
      </w:r>
    </w:p>
    <w:p>
      <w:pPr>
        <w:spacing w:line="460" w:lineRule="exact"/>
        <w:rPr>
          <w:rFonts w:hint="eastAsia" w:ascii="宋体" w:hAnsi="宋体"/>
          <w:sz w:val="24"/>
          <w:szCs w:val="24"/>
        </w:rPr>
      </w:pPr>
    </w:p>
    <w:tbl>
      <w:tblPr>
        <w:tblStyle w:val="21"/>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452"/>
        <w:gridCol w:w="1478"/>
        <w:gridCol w:w="141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品牌、规格型号</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生产商名称</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1452" w:type="dxa"/>
            <w:noWrap w:val="0"/>
            <w:vAlign w:val="center"/>
          </w:tcPr>
          <w:p>
            <w:pPr>
              <w:spacing w:line="460" w:lineRule="exact"/>
              <w:jc w:val="center"/>
              <w:rPr>
                <w:rFonts w:hint="eastAsia" w:ascii="宋体" w:hAnsi="宋体"/>
                <w:szCs w:val="21"/>
              </w:rPr>
            </w:pPr>
            <w:r>
              <w:rPr>
                <w:rFonts w:hint="eastAsia" w:ascii="宋体" w:hAnsi="宋体"/>
                <w:szCs w:val="21"/>
              </w:rPr>
              <w:t>环境标志产品证书编号</w:t>
            </w:r>
          </w:p>
        </w:tc>
        <w:tc>
          <w:tcPr>
            <w:tcW w:w="1478" w:type="dxa"/>
            <w:noWrap w:val="0"/>
            <w:vAlign w:val="center"/>
          </w:tcPr>
          <w:p>
            <w:pPr>
              <w:spacing w:line="460" w:lineRule="exact"/>
              <w:jc w:val="center"/>
              <w:rPr>
                <w:rFonts w:hint="eastAsia" w:ascii="宋体" w:hAnsi="宋体"/>
                <w:szCs w:val="21"/>
              </w:rPr>
            </w:pPr>
            <w:r>
              <w:rPr>
                <w:rFonts w:hint="eastAsia" w:ascii="宋体" w:hAnsi="宋体"/>
                <w:szCs w:val="21"/>
              </w:rPr>
              <w:t>证书颁发机构</w:t>
            </w:r>
          </w:p>
        </w:tc>
        <w:tc>
          <w:tcPr>
            <w:tcW w:w="1410" w:type="dxa"/>
            <w:noWrap w:val="0"/>
            <w:vAlign w:val="center"/>
          </w:tcPr>
          <w:p>
            <w:pPr>
              <w:spacing w:line="460" w:lineRule="exact"/>
              <w:jc w:val="center"/>
              <w:rPr>
                <w:rFonts w:hint="eastAsia" w:ascii="宋体" w:hAnsi="宋体"/>
                <w:szCs w:val="21"/>
              </w:rPr>
            </w:pPr>
            <w:r>
              <w:rPr>
                <w:rFonts w:hint="eastAsia" w:ascii="宋体" w:hAnsi="宋体"/>
                <w:szCs w:val="21"/>
              </w:rPr>
              <w:t>证书有效</w:t>
            </w:r>
          </w:p>
          <w:p>
            <w:pPr>
              <w:spacing w:line="460" w:lineRule="exact"/>
              <w:jc w:val="center"/>
              <w:rPr>
                <w:rFonts w:hint="eastAsia" w:ascii="宋体" w:hAnsi="宋体"/>
                <w:szCs w:val="21"/>
              </w:rPr>
            </w:pPr>
            <w:r>
              <w:rPr>
                <w:rFonts w:hint="eastAsia" w:ascii="宋体" w:hAnsi="宋体"/>
                <w:szCs w:val="21"/>
              </w:rPr>
              <w:t>截止日期</w:t>
            </w:r>
          </w:p>
        </w:tc>
        <w:tc>
          <w:tcPr>
            <w:tcW w:w="1881" w:type="dxa"/>
            <w:noWrap w:val="0"/>
            <w:vAlign w:val="center"/>
          </w:tcPr>
          <w:p>
            <w:pPr>
              <w:spacing w:line="460" w:lineRule="exact"/>
              <w:jc w:val="center"/>
              <w:rPr>
                <w:rFonts w:hint="eastAsia" w:ascii="宋体" w:hAnsi="宋体"/>
                <w:szCs w:val="21"/>
              </w:rPr>
            </w:pPr>
            <w:r>
              <w:rPr>
                <w:rFonts w:hint="eastAsia" w:ascii="宋体" w:hAnsi="宋体"/>
                <w:szCs w:val="21"/>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452" w:type="dxa"/>
            <w:noWrap w:val="0"/>
            <w:vAlign w:val="center"/>
          </w:tcPr>
          <w:p>
            <w:pPr>
              <w:spacing w:line="460" w:lineRule="exact"/>
              <w:jc w:val="center"/>
              <w:rPr>
                <w:rFonts w:hint="eastAsia" w:ascii="宋体" w:hAnsi="宋体"/>
                <w:szCs w:val="21"/>
              </w:rPr>
            </w:pP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p>
        </w:tc>
        <w:tc>
          <w:tcPr>
            <w:tcW w:w="188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452"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478" w:type="dxa"/>
            <w:noWrap w:val="0"/>
            <w:vAlign w:val="center"/>
          </w:tcPr>
          <w:p>
            <w:pPr>
              <w:spacing w:line="460" w:lineRule="exact"/>
              <w:jc w:val="center"/>
              <w:rPr>
                <w:rFonts w:hint="eastAsia" w:ascii="宋体" w:hAnsi="宋体"/>
                <w:szCs w:val="21"/>
              </w:rPr>
            </w:pPr>
          </w:p>
        </w:tc>
        <w:tc>
          <w:tcPr>
            <w:tcW w:w="141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881" w:type="dxa"/>
            <w:noWrap w:val="0"/>
            <w:vAlign w:val="center"/>
          </w:tcPr>
          <w:p>
            <w:pPr>
              <w:spacing w:line="460" w:lineRule="exact"/>
              <w:jc w:val="center"/>
              <w:rPr>
                <w:rFonts w:hint="eastAsia" w:ascii="宋体" w:hAnsi="宋体"/>
                <w:szCs w:val="21"/>
              </w:rPr>
            </w:pPr>
            <w:r>
              <w:rPr>
                <w:rFonts w:hint="eastAsia" w:ascii="宋体" w:hAnsi="宋体"/>
                <w:szCs w:val="21"/>
              </w:rPr>
              <w:t>/</w:t>
            </w:r>
          </w:p>
        </w:tc>
      </w:tr>
    </w:tbl>
    <w:p>
      <w:pPr>
        <w:spacing w:line="440" w:lineRule="exact"/>
        <w:rPr>
          <w:rFonts w:hint="eastAsia" w:ascii="仿宋_GB2312" w:eastAsia="仿宋_GB2312"/>
          <w:i/>
          <w:iCs/>
          <w:szCs w:val="21"/>
        </w:rPr>
      </w:pPr>
    </w:p>
    <w:p>
      <w:pPr>
        <w:spacing w:line="440" w:lineRule="exact"/>
        <w:rPr>
          <w:rFonts w:hint="eastAsia" w:ascii="仿宋_GB2312" w:eastAsia="仿宋_GB2312"/>
          <w:i/>
          <w:iCs/>
          <w:szCs w:val="21"/>
        </w:rPr>
      </w:pPr>
    </w:p>
    <w:p>
      <w:pPr>
        <w:spacing w:line="440" w:lineRule="exact"/>
        <w:ind w:firstLine="735" w:firstLineChars="350"/>
        <w:rPr>
          <w:rFonts w:hint="eastAsia" w:ascii="仿宋_GB2312" w:eastAsia="仿宋_GB2312"/>
          <w:i/>
          <w:iCs/>
          <w:szCs w:val="21"/>
        </w:rPr>
      </w:pPr>
      <w:r>
        <w:rPr>
          <w:rFonts w:hint="eastAsia" w:ascii="仿宋_GB2312" w:eastAsia="仿宋_GB2312"/>
          <w:i/>
          <w:iCs/>
          <w:szCs w:val="21"/>
        </w:rPr>
        <w:t>特别提醒：环境标志产品是指根据财政部、国家发改委、生态环境部、市场监管总局等四部委发布的“财库[2019]9号”文件规定，由国家认可认证机构认证在投标截止日尚在有效期内的同型号产品</w:t>
      </w:r>
      <w:r>
        <w:rPr>
          <w:rFonts w:hint="eastAsia" w:ascii="仿宋_GB2312" w:eastAsia="仿宋_GB2312"/>
          <w:i/>
          <w:iCs/>
          <w:sz w:val="24"/>
          <w:szCs w:val="24"/>
        </w:rPr>
        <w:t>。</w:t>
      </w:r>
    </w:p>
    <w:p>
      <w:pPr>
        <w:spacing w:line="460" w:lineRule="exact"/>
        <w:rPr>
          <w:rFonts w:hint="eastAsia" w:ascii="仿宋_GB2312" w:eastAsia="仿宋_GB2312"/>
          <w:sz w:val="24"/>
          <w:szCs w:val="24"/>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spacing w:line="460" w:lineRule="exact"/>
        <w:sectPr>
          <w:pgSz w:w="16840" w:h="11907" w:orient="landscape"/>
          <w:pgMar w:top="1134" w:right="1418" w:bottom="1134" w:left="1418" w:header="851" w:footer="851"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仿宋_GB2312" w:eastAsia="仿宋_GB2312"/>
          <w:b/>
          <w:color w:val="auto"/>
          <w:sz w:val="32"/>
          <w:szCs w:val="32"/>
        </w:rPr>
      </w:pPr>
      <w:r>
        <w:rPr>
          <w:rFonts w:hint="eastAsia" w:ascii="仿宋_GB2312" w:eastAsia="仿宋_GB2312"/>
          <w:b/>
          <w:color w:val="auto"/>
          <w:sz w:val="32"/>
          <w:szCs w:val="32"/>
        </w:rPr>
        <w:t>7、投标成本测算清单</w:t>
      </w:r>
    </w:p>
    <w:p>
      <w:pPr>
        <w:jc w:val="center"/>
        <w:rPr>
          <w:rFonts w:hint="eastAsia" w:ascii="仿宋_GB2312" w:eastAsia="仿宋_GB2312"/>
          <w:b/>
          <w:color w:val="auto"/>
          <w:sz w:val="32"/>
          <w:szCs w:val="32"/>
        </w:rPr>
      </w:pPr>
    </w:p>
    <w:p>
      <w:pPr>
        <w:numPr>
          <w:ilvl w:val="0"/>
          <w:numId w:val="14"/>
        </w:numPr>
        <w:rPr>
          <w:rFonts w:hint="eastAsia" w:ascii="仿宋_GB2312" w:eastAsia="仿宋_GB2312"/>
          <w:bCs/>
          <w:color w:val="auto"/>
          <w:sz w:val="28"/>
          <w:szCs w:val="28"/>
        </w:rPr>
      </w:pPr>
      <w:r>
        <w:rPr>
          <w:rFonts w:hint="eastAsia" w:ascii="仿宋_GB2312" w:eastAsia="仿宋_GB2312"/>
          <w:bCs/>
          <w:color w:val="auto"/>
          <w:sz w:val="28"/>
          <w:szCs w:val="28"/>
        </w:rPr>
        <w:t>投标人提供自己制造的产品：应按单个产品提供原材料及零配件的数量、购入单价、购入供应商，加工制造所需的工时、人工费，以及汇总合计价格。原材料及零配件已购入的应在投标文件中提供购入发票原件扫描件，拟购入的应在交货时向采购人提供进货发票复印件（原件备查）。</w:t>
      </w:r>
    </w:p>
    <w:p>
      <w:pPr>
        <w:numPr>
          <w:ilvl w:val="0"/>
          <w:numId w:val="14"/>
        </w:numPr>
        <w:rPr>
          <w:rFonts w:hint="eastAsia" w:ascii="仿宋_GB2312" w:eastAsia="仿宋_GB2312"/>
          <w:bCs/>
          <w:color w:val="auto"/>
          <w:sz w:val="28"/>
          <w:szCs w:val="28"/>
        </w:rPr>
      </w:pPr>
      <w:r>
        <w:rPr>
          <w:rFonts w:hint="eastAsia" w:ascii="仿宋_GB2312" w:eastAsia="仿宋_GB2312"/>
          <w:bCs/>
          <w:color w:val="auto"/>
          <w:sz w:val="28"/>
          <w:szCs w:val="28"/>
        </w:rPr>
        <w:t>投标人提供其他供应商制造的产品：应提供购入价格和供应商清单。购入供应商是中间商的，须在投标文件中提供直至产品原厂商的全部销售渠道证明材料原件扫描件。已购入货物的应在投标文件中提供进货发票原件扫描件，拟购入货物的应在交货时向采购人提供进货发票复印件（原件备查）。</w:t>
      </w:r>
    </w:p>
    <w:p>
      <w:pPr>
        <w:numPr>
          <w:ilvl w:val="0"/>
          <w:numId w:val="14"/>
        </w:numPr>
        <w:rPr>
          <w:rFonts w:hint="eastAsia" w:ascii="仿宋_GB2312" w:eastAsia="仿宋_GB2312"/>
          <w:bCs/>
          <w:color w:val="auto"/>
          <w:sz w:val="28"/>
          <w:szCs w:val="28"/>
        </w:rPr>
      </w:pPr>
      <w:r>
        <w:rPr>
          <w:rFonts w:hint="eastAsia" w:ascii="仿宋_GB2312" w:eastAsia="仿宋_GB2312"/>
          <w:bCs/>
          <w:color w:val="auto"/>
          <w:sz w:val="28"/>
          <w:szCs w:val="28"/>
        </w:rPr>
        <w:t>投标人涉及的人工服务费用：应提供参与项目员工的名单、工作量、年度收入及费用清单（原件扫描件编入投标文件）（包括但不限于应发月工资奖金、投标人单位应缴纳的社保费及公积金，年度加班费及奖金等明细清单及合计），并提供上述员工最近社保缴纳清单（原件扫描件编入投标文件）。</w:t>
      </w:r>
    </w:p>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br w:type="page"/>
      </w:r>
      <w:r>
        <w:rPr>
          <w:rFonts w:hint="eastAsia" w:ascii="仿宋_GB2312" w:eastAsia="仿宋_GB2312"/>
          <w:b/>
          <w:sz w:val="32"/>
          <w:szCs w:val="32"/>
        </w:rPr>
        <w:t>8、其他报价资料</w:t>
      </w:r>
    </w:p>
    <w:p>
      <w:pPr>
        <w:jc w:val="center"/>
        <w:rPr>
          <w:rFonts w:hint="eastAsia" w:ascii="仿宋_GB2312" w:eastAsia="仿宋_GB2312"/>
          <w:b/>
          <w:sz w:val="32"/>
          <w:szCs w:val="32"/>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sz w:val="32"/>
          <w:szCs w:val="32"/>
        </w:rPr>
        <w:br w:type="page"/>
      </w:r>
      <w:r>
        <w:rPr>
          <w:rFonts w:hint="eastAsia" w:ascii="仿宋_GB2312" w:eastAsia="仿宋_GB2312"/>
          <w:b/>
          <w:sz w:val="32"/>
          <w:szCs w:val="32"/>
        </w:rPr>
        <w:t>二、商务技术部分</w:t>
      </w:r>
    </w:p>
    <w:p>
      <w:pPr>
        <w:jc w:val="center"/>
        <w:rPr>
          <w:rFonts w:hint="eastAsia" w:ascii="仿宋_GB2312" w:eastAsia="仿宋_GB2312"/>
          <w:b/>
          <w:sz w:val="32"/>
          <w:szCs w:val="32"/>
        </w:rPr>
      </w:pPr>
      <w:r>
        <w:rPr>
          <w:rFonts w:hint="eastAsia" w:ascii="仿宋_GB2312" w:eastAsia="仿宋_GB2312"/>
          <w:b/>
          <w:sz w:val="32"/>
          <w:szCs w:val="32"/>
        </w:rPr>
        <w:t>1、技术（商务/服务）偏离表</w:t>
      </w:r>
    </w:p>
    <w:p>
      <w:pPr>
        <w:spacing w:line="400" w:lineRule="exact"/>
        <w:rPr>
          <w:rFonts w:hint="eastAsia"/>
        </w:rPr>
      </w:pPr>
    </w:p>
    <w:p>
      <w:pPr>
        <w:spacing w:line="400" w:lineRule="exact"/>
        <w:rPr>
          <w:rFonts w:hint="eastAsia"/>
          <w:sz w:val="28"/>
        </w:rPr>
      </w:pPr>
      <w:r>
        <w:rPr>
          <w:rFonts w:hint="eastAsia"/>
        </w:rPr>
        <w:t xml:space="preserve">项目名称：                   采购编号：  </w:t>
      </w:r>
      <w:r>
        <w:rPr>
          <w:rFonts w:hint="eastAsia"/>
          <w:color w:val="auto"/>
        </w:rPr>
        <w:t xml:space="preserve">               标包号：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36"/>
        <w:gridCol w:w="2100"/>
        <w:gridCol w:w="3069"/>
        <w:gridCol w:w="115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center"/>
          </w:tcPr>
          <w:p>
            <w:pPr>
              <w:spacing w:line="500" w:lineRule="exact"/>
              <w:jc w:val="center"/>
              <w:rPr>
                <w:rFonts w:hint="eastAsia"/>
              </w:rPr>
            </w:pPr>
            <w:r>
              <w:rPr>
                <w:rFonts w:hint="eastAsia"/>
              </w:rPr>
              <w:t>序号</w:t>
            </w:r>
          </w:p>
        </w:tc>
        <w:tc>
          <w:tcPr>
            <w:tcW w:w="1236" w:type="dxa"/>
            <w:noWrap w:val="0"/>
            <w:vAlign w:val="center"/>
          </w:tcPr>
          <w:p>
            <w:pPr>
              <w:spacing w:line="500" w:lineRule="exact"/>
              <w:jc w:val="center"/>
              <w:rPr>
                <w:rFonts w:hint="eastAsia" w:eastAsia="宋体"/>
              </w:rPr>
            </w:pPr>
            <w:r>
              <w:rPr>
                <w:rFonts w:hint="eastAsia"/>
              </w:rPr>
              <w:t>品目/内容</w:t>
            </w:r>
          </w:p>
        </w:tc>
        <w:tc>
          <w:tcPr>
            <w:tcW w:w="2100" w:type="dxa"/>
            <w:noWrap w:val="0"/>
            <w:vAlign w:val="center"/>
          </w:tcPr>
          <w:p>
            <w:pPr>
              <w:spacing w:line="500" w:lineRule="exact"/>
              <w:jc w:val="center"/>
              <w:rPr>
                <w:rFonts w:hint="eastAsia"/>
              </w:rPr>
            </w:pPr>
            <w:r>
              <w:rPr>
                <w:rFonts w:hint="eastAsia"/>
              </w:rPr>
              <w:t>招标要求</w:t>
            </w:r>
          </w:p>
        </w:tc>
        <w:tc>
          <w:tcPr>
            <w:tcW w:w="3069" w:type="dxa"/>
            <w:noWrap w:val="0"/>
            <w:vAlign w:val="center"/>
          </w:tcPr>
          <w:p>
            <w:pPr>
              <w:spacing w:line="500" w:lineRule="exact"/>
              <w:ind w:left="102" w:hanging="315"/>
              <w:jc w:val="center"/>
              <w:rPr>
                <w:rFonts w:hint="eastAsia"/>
              </w:rPr>
            </w:pPr>
            <w:r>
              <w:rPr>
                <w:rFonts w:hint="eastAsia"/>
              </w:rPr>
              <w:t xml:space="preserve">  投标响应</w:t>
            </w:r>
          </w:p>
        </w:tc>
        <w:tc>
          <w:tcPr>
            <w:tcW w:w="1155" w:type="dxa"/>
            <w:noWrap w:val="0"/>
            <w:vAlign w:val="top"/>
          </w:tcPr>
          <w:p>
            <w:pPr>
              <w:spacing w:line="500" w:lineRule="exact"/>
              <w:jc w:val="center"/>
              <w:rPr>
                <w:rFonts w:hint="eastAsia"/>
              </w:rPr>
            </w:pPr>
            <w:r>
              <w:rPr>
                <w:rFonts w:hint="eastAsia"/>
              </w:rPr>
              <w:t>对应页码</w:t>
            </w:r>
          </w:p>
        </w:tc>
        <w:tc>
          <w:tcPr>
            <w:tcW w:w="1107" w:type="dxa"/>
            <w:noWrap w:val="0"/>
            <w:vAlign w:val="center"/>
          </w:tcPr>
          <w:p>
            <w:pPr>
              <w:spacing w:line="500" w:lineRule="exact"/>
              <w:jc w:val="center"/>
              <w:rPr>
                <w:rFonts w:hint="eastAsia"/>
              </w:rPr>
            </w:pPr>
            <w:r>
              <w:rPr>
                <w:rFonts w:hint="eastAsia"/>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8" w:type="dxa"/>
            <w:noWrap w:val="0"/>
            <w:vAlign w:val="top"/>
          </w:tcPr>
          <w:p>
            <w:pPr>
              <w:spacing w:line="500" w:lineRule="exact"/>
              <w:rPr>
                <w:rFonts w:hint="eastAsia"/>
              </w:rPr>
            </w:pPr>
          </w:p>
        </w:tc>
        <w:tc>
          <w:tcPr>
            <w:tcW w:w="1236" w:type="dxa"/>
            <w:noWrap w:val="0"/>
            <w:vAlign w:val="top"/>
          </w:tcPr>
          <w:p>
            <w:pPr>
              <w:spacing w:line="500" w:lineRule="exact"/>
              <w:rPr>
                <w:rFonts w:hint="eastAsia"/>
              </w:rPr>
            </w:pPr>
          </w:p>
        </w:tc>
        <w:tc>
          <w:tcPr>
            <w:tcW w:w="2100" w:type="dxa"/>
            <w:noWrap w:val="0"/>
            <w:vAlign w:val="top"/>
          </w:tcPr>
          <w:p>
            <w:pPr>
              <w:spacing w:line="500" w:lineRule="exact"/>
              <w:rPr>
                <w:rFonts w:hint="eastAsia"/>
              </w:rPr>
            </w:pPr>
          </w:p>
        </w:tc>
        <w:tc>
          <w:tcPr>
            <w:tcW w:w="3069" w:type="dxa"/>
            <w:noWrap w:val="0"/>
            <w:vAlign w:val="top"/>
          </w:tcPr>
          <w:p>
            <w:pPr>
              <w:spacing w:line="500" w:lineRule="exact"/>
              <w:rPr>
                <w:rFonts w:hint="eastAsia"/>
              </w:rPr>
            </w:pPr>
          </w:p>
        </w:tc>
        <w:tc>
          <w:tcPr>
            <w:tcW w:w="1155" w:type="dxa"/>
            <w:noWrap w:val="0"/>
            <w:vAlign w:val="top"/>
          </w:tcPr>
          <w:p>
            <w:pPr>
              <w:spacing w:line="500" w:lineRule="exact"/>
              <w:rPr>
                <w:rFonts w:hint="eastAsia"/>
              </w:rPr>
            </w:pPr>
          </w:p>
        </w:tc>
        <w:tc>
          <w:tcPr>
            <w:tcW w:w="1107" w:type="dxa"/>
            <w:noWrap w:val="0"/>
            <w:vAlign w:val="top"/>
          </w:tcPr>
          <w:p>
            <w:pPr>
              <w:spacing w:line="500" w:lineRule="exact"/>
              <w:rPr>
                <w:rFonts w:hint="eastAsia"/>
              </w:rPr>
            </w:pPr>
          </w:p>
        </w:tc>
      </w:tr>
    </w:tbl>
    <w:p>
      <w:pPr>
        <w:spacing w:line="500" w:lineRule="exact"/>
        <w:rPr>
          <w:rFonts w:hint="eastAsia" w:ascii="Arial" w:hAnsi="Arial" w:eastAsia="仿宋_GB2312"/>
          <w:b/>
          <w:szCs w:val="21"/>
        </w:rPr>
      </w:pPr>
      <w:r>
        <w:rPr>
          <w:rFonts w:hint="eastAsia" w:ascii="Arial" w:hAnsi="Arial" w:eastAsia="仿宋_GB2312"/>
          <w:b/>
          <w:szCs w:val="21"/>
        </w:rPr>
        <w:t>特别说明：技术偏离不得笼统提供，必须按招标文件要求逐条填报，并按要求提供技术支持证明资料所对应页码，偏离情况应当如实分别填写“无偏离”、“正偏离”或“负偏离”。</w:t>
      </w:r>
    </w:p>
    <w:p>
      <w:pPr>
        <w:spacing w:line="500" w:lineRule="exact"/>
        <w:rPr>
          <w:rFonts w:hint="eastAsia" w:ascii="Arial" w:hAnsi="Arial" w:eastAsia="仿宋_GB2312"/>
          <w:b/>
          <w:szCs w:val="21"/>
        </w:rPr>
      </w:pPr>
    </w:p>
    <w:p>
      <w:pPr>
        <w:spacing w:line="500" w:lineRule="exact"/>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spacing w:line="200" w:lineRule="atLeast"/>
        <w:ind w:left="-720" w:right="-965"/>
        <w:jc w:val="center"/>
        <w:rPr>
          <w:rFonts w:ascii="仿宋_GB2312" w:hAnsi="宋体" w:eastAsia="仿宋_GB2312"/>
          <w:b/>
          <w:bCs/>
          <w:spacing w:val="30"/>
          <w:sz w:val="32"/>
        </w:rPr>
      </w:pPr>
      <w:r>
        <w:rPr>
          <w:rFonts w:hint="eastAsia" w:ascii="仿宋_GB2312" w:eastAsia="仿宋_GB2312"/>
          <w:b/>
          <w:sz w:val="32"/>
          <w:szCs w:val="32"/>
        </w:rPr>
        <w:br w:type="page"/>
      </w:r>
      <w:bookmarkStart w:id="9" w:name="_Toc70748069"/>
      <w:bookmarkStart w:id="10" w:name="_Toc100052472"/>
      <w:bookmarkStart w:id="11" w:name="_Toc71860061"/>
      <w:bookmarkStart w:id="12" w:name="_Toc73517709"/>
      <w:bookmarkStart w:id="13" w:name="_Toc73518187"/>
      <w:bookmarkStart w:id="14" w:name="_Toc73521617"/>
      <w:bookmarkStart w:id="15" w:name="_Toc73521705"/>
      <w:bookmarkStart w:id="16" w:name="_Toc101074902"/>
      <w:r>
        <w:rPr>
          <w:rFonts w:hint="eastAsia" w:ascii="仿宋_GB2312" w:eastAsia="仿宋_GB2312"/>
          <w:b/>
          <w:sz w:val="32"/>
          <w:szCs w:val="32"/>
        </w:rPr>
        <w:t>2、</w:t>
      </w:r>
      <w:r>
        <w:rPr>
          <w:rFonts w:hint="eastAsia" w:ascii="仿宋_GB2312" w:hAnsi="宋体" w:eastAsia="仿宋_GB2312"/>
          <w:b/>
          <w:bCs/>
          <w:spacing w:val="30"/>
          <w:sz w:val="32"/>
        </w:rPr>
        <w:t>售后服务表</w:t>
      </w:r>
    </w:p>
    <w:p>
      <w:pPr>
        <w:spacing w:line="240" w:lineRule="exact"/>
        <w:ind w:left="-720" w:right="-965"/>
        <w:rPr>
          <w:rFonts w:ascii="仿宋_GB2312" w:hAnsi="宋体" w:eastAsia="仿宋_GB2312"/>
          <w:spacing w:val="4"/>
          <w:sz w:val="28"/>
        </w:rPr>
      </w:pPr>
    </w:p>
    <w:p>
      <w:pPr>
        <w:spacing w:line="400" w:lineRule="exact"/>
        <w:rPr>
          <w:rFonts w:hint="eastAsia"/>
          <w:sz w:val="28"/>
        </w:rPr>
      </w:pPr>
      <w:r>
        <w:rPr>
          <w:rFonts w:hint="eastAsia"/>
        </w:rPr>
        <w:t xml:space="preserve">项目名称：                   采购编号：           </w:t>
      </w:r>
      <w:r>
        <w:rPr>
          <w:rFonts w:hint="eastAsia"/>
          <w:color w:val="auto"/>
        </w:rPr>
        <w:t xml:space="preserve">      标包号：</w:t>
      </w:r>
    </w:p>
    <w:tbl>
      <w:tblPr>
        <w:tblStyle w:val="21"/>
        <w:tblpPr w:leftFromText="180" w:rightFromText="180" w:vertAnchor="text" w:horzAnchor="page" w:tblpX="1265" w:tblpY="173"/>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00"/>
        <w:gridCol w:w="87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45" w:hRule="atLeast"/>
        </w:trPr>
        <w:tc>
          <w:tcPr>
            <w:tcW w:w="600" w:type="dxa"/>
            <w:noWrap w:val="0"/>
            <w:vAlign w:val="top"/>
          </w:tcPr>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r>
              <w:rPr>
                <w:rFonts w:hint="eastAsia" w:ascii="宋体" w:hAnsi="宋体"/>
                <w:spacing w:val="4"/>
                <w:sz w:val="24"/>
                <w:szCs w:val="24"/>
              </w:rPr>
              <w:t>售</w:t>
            </w:r>
          </w:p>
          <w:p>
            <w:pPr>
              <w:spacing w:line="320" w:lineRule="exact"/>
              <w:jc w:val="center"/>
              <w:rPr>
                <w:rFonts w:ascii="宋体" w:hAnsi="宋体"/>
                <w:spacing w:val="4"/>
                <w:sz w:val="24"/>
                <w:szCs w:val="24"/>
              </w:rPr>
            </w:pPr>
            <w:r>
              <w:rPr>
                <w:rFonts w:hint="eastAsia" w:ascii="宋体" w:hAnsi="宋体"/>
                <w:spacing w:val="4"/>
                <w:sz w:val="24"/>
                <w:szCs w:val="24"/>
              </w:rPr>
              <w:t>后</w:t>
            </w:r>
          </w:p>
          <w:p>
            <w:pPr>
              <w:spacing w:line="320" w:lineRule="exact"/>
              <w:jc w:val="center"/>
              <w:rPr>
                <w:rFonts w:ascii="宋体" w:hAnsi="宋体"/>
                <w:spacing w:val="4"/>
                <w:sz w:val="24"/>
                <w:szCs w:val="24"/>
              </w:rPr>
            </w:pPr>
            <w:r>
              <w:rPr>
                <w:rFonts w:hint="eastAsia" w:ascii="宋体" w:hAnsi="宋体"/>
                <w:spacing w:val="4"/>
                <w:sz w:val="24"/>
                <w:szCs w:val="24"/>
              </w:rPr>
              <w:t>服</w:t>
            </w:r>
          </w:p>
          <w:p>
            <w:pPr>
              <w:spacing w:line="320" w:lineRule="exact"/>
              <w:jc w:val="center"/>
              <w:rPr>
                <w:rFonts w:ascii="宋体" w:hAnsi="宋体"/>
                <w:spacing w:val="4"/>
                <w:sz w:val="24"/>
                <w:szCs w:val="24"/>
              </w:rPr>
            </w:pPr>
            <w:r>
              <w:rPr>
                <w:rFonts w:hint="eastAsia" w:ascii="宋体" w:hAnsi="宋体"/>
                <w:spacing w:val="4"/>
                <w:sz w:val="24"/>
                <w:szCs w:val="24"/>
              </w:rPr>
              <w:t>务</w:t>
            </w:r>
          </w:p>
          <w:p>
            <w:pPr>
              <w:spacing w:line="320" w:lineRule="exact"/>
              <w:jc w:val="center"/>
              <w:rPr>
                <w:rFonts w:hint="eastAsia" w:ascii="宋体" w:hAnsi="宋体"/>
                <w:spacing w:val="4"/>
                <w:sz w:val="24"/>
                <w:szCs w:val="24"/>
              </w:rPr>
            </w:pPr>
            <w:r>
              <w:rPr>
                <w:rFonts w:hint="eastAsia" w:ascii="宋体" w:hAnsi="宋体"/>
                <w:spacing w:val="4"/>
                <w:sz w:val="24"/>
                <w:szCs w:val="24"/>
              </w:rPr>
              <w:t>内</w:t>
            </w:r>
          </w:p>
          <w:p>
            <w:pPr>
              <w:spacing w:line="320" w:lineRule="exact"/>
              <w:jc w:val="center"/>
              <w:rPr>
                <w:rFonts w:hint="eastAsia" w:ascii="宋体" w:hAnsi="宋体" w:eastAsia="宋体"/>
                <w:spacing w:val="4"/>
                <w:sz w:val="24"/>
                <w:szCs w:val="24"/>
              </w:rPr>
            </w:pPr>
            <w:r>
              <w:rPr>
                <w:rFonts w:hint="eastAsia" w:ascii="宋体" w:hAnsi="宋体"/>
                <w:spacing w:val="4"/>
                <w:sz w:val="24"/>
                <w:szCs w:val="24"/>
              </w:rPr>
              <w:t>容</w:t>
            </w: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tc>
        <w:tc>
          <w:tcPr>
            <w:tcW w:w="8758" w:type="dxa"/>
            <w:noWrap w:val="0"/>
            <w:vAlign w:val="top"/>
          </w:tcPr>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1.</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2.</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3.</w:t>
            </w:r>
          </w:p>
          <w:p>
            <w:pPr>
              <w:spacing w:line="320" w:lineRule="exact"/>
              <w:rPr>
                <w:rFonts w:ascii="宋体" w:hAnsi="宋体"/>
                <w:spacing w:val="4"/>
                <w:sz w:val="24"/>
                <w:szCs w:val="24"/>
              </w:rPr>
            </w:pPr>
          </w:p>
          <w:p>
            <w:pPr>
              <w:spacing w:line="320" w:lineRule="exact"/>
              <w:rPr>
                <w:rFonts w:ascii="宋体" w:hAnsi="宋体"/>
                <w:spacing w:val="4"/>
                <w:sz w:val="24"/>
                <w:szCs w:val="24"/>
              </w:rPr>
            </w:pPr>
          </w:p>
        </w:tc>
      </w:tr>
    </w:tbl>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bookmarkEnd w:id="9"/>
    <w:bookmarkEnd w:id="10"/>
    <w:bookmarkEnd w:id="11"/>
    <w:bookmarkEnd w:id="12"/>
    <w:bookmarkEnd w:id="13"/>
    <w:bookmarkEnd w:id="14"/>
    <w:bookmarkEnd w:id="15"/>
    <w:bookmarkEnd w:id="16"/>
    <w:p>
      <w:pPr>
        <w:pStyle w:val="6"/>
        <w:keepNext/>
        <w:keepLines/>
        <w:spacing w:before="260" w:after="260" w:line="360" w:lineRule="auto"/>
        <w:jc w:val="center"/>
        <w:rPr>
          <w:rFonts w:hint="eastAsia" w:ascii="仿宋_GB2312" w:eastAsia="仿宋_GB2312"/>
          <w:b/>
          <w:bCs/>
          <w:color w:val="000000"/>
          <w:kern w:val="2"/>
          <w:sz w:val="32"/>
          <w:szCs w:val="32"/>
        </w:rPr>
      </w:pPr>
      <w:r>
        <w:rPr>
          <w:rFonts w:hint="eastAsia" w:ascii="仿宋_GB2312" w:eastAsia="仿宋_GB2312"/>
          <w:b/>
          <w:bCs/>
          <w:color w:val="000000"/>
          <w:kern w:val="2"/>
          <w:sz w:val="32"/>
          <w:szCs w:val="32"/>
        </w:rPr>
        <w:t>3、</w:t>
      </w:r>
      <w:r>
        <w:rPr>
          <w:rFonts w:hint="eastAsia" w:ascii="仿宋_GB2312" w:eastAsia="仿宋_GB2312"/>
          <w:b/>
          <w:bCs/>
          <w:color w:val="000000"/>
          <w:kern w:val="2"/>
          <w:sz w:val="32"/>
          <w:szCs w:val="32"/>
          <w:lang w:val="zh-CN"/>
        </w:rPr>
        <w:t>完成的类似项目一览表</w:t>
      </w:r>
    </w:p>
    <w:p>
      <w:pPr>
        <w:spacing w:line="400" w:lineRule="exact"/>
        <w:ind w:firstLine="840" w:firstLineChars="400"/>
        <w:rPr>
          <w:rFonts w:ascii="宋体"/>
          <w:b/>
          <w:bCs/>
          <w:color w:val="000000"/>
          <w:sz w:val="24"/>
          <w:lang w:val="zh-CN"/>
        </w:rPr>
      </w:pPr>
      <w:r>
        <w:rPr>
          <w:rFonts w:hint="eastAsia"/>
        </w:rPr>
        <w:t xml:space="preserve">项目名称：                   采购编号：             </w:t>
      </w:r>
      <w:r>
        <w:rPr>
          <w:rFonts w:hint="eastAsia"/>
          <w:color w:val="auto"/>
        </w:rPr>
        <w:t xml:space="preserve">    标包号：</w:t>
      </w:r>
    </w:p>
    <w:tbl>
      <w:tblPr>
        <w:tblStyle w:val="2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273"/>
        <w:gridCol w:w="2145"/>
        <w:gridCol w:w="1575"/>
        <w:gridCol w:w="1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项目名称</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项目时间</w:t>
            </w:r>
          </w:p>
          <w:p>
            <w:pPr>
              <w:spacing w:line="360" w:lineRule="auto"/>
              <w:jc w:val="center"/>
              <w:rPr>
                <w:rFonts w:eastAsia="隶书"/>
                <w:color w:val="000000"/>
                <w:sz w:val="24"/>
              </w:rPr>
            </w:pPr>
            <w:r>
              <w:rPr>
                <w:rFonts w:hint="eastAsia" w:ascii="隶书" w:eastAsia="隶书"/>
                <w:color w:val="000000"/>
                <w:sz w:val="24"/>
                <w:lang w:val="zh-CN"/>
              </w:rPr>
              <w:t>年</w:t>
            </w:r>
            <w:r>
              <w:rPr>
                <w:rFonts w:ascii="隶书" w:eastAsia="隶书"/>
                <w:color w:val="000000"/>
                <w:sz w:val="24"/>
                <w:lang w:val="zh-CN"/>
              </w:rPr>
              <w:t>/</w:t>
            </w:r>
            <w:r>
              <w:rPr>
                <w:rFonts w:hint="eastAsia" w:ascii="隶书" w:eastAsia="隶书"/>
                <w:color w:val="000000"/>
                <w:sz w:val="24"/>
                <w:lang w:val="zh-CN"/>
              </w:rPr>
              <w:t>月</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使用单位名称、地址及联系方式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项目合同金额（单位：万元）</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hint="eastAsia" w:eastAsia="隶书"/>
                <w:color w:val="000000"/>
                <w:sz w:val="24"/>
              </w:rPr>
            </w:pPr>
            <w:r>
              <w:rPr>
                <w:rFonts w:hint="eastAsia" w:eastAsia="隶书"/>
                <w:color w:val="000000"/>
                <w:sz w:val="24"/>
              </w:rPr>
              <w:t>证明材料对应页码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bl>
    <w:p>
      <w:pPr>
        <w:spacing w:line="240" w:lineRule="atLeast"/>
        <w:ind w:left="-720" w:right="-960" w:firstLine="1240" w:firstLineChars="500"/>
        <w:rPr>
          <w:rFonts w:hint="eastAsia" w:ascii="宋体" w:hAnsi="宋体"/>
          <w:spacing w:val="4"/>
          <w:sz w:val="24"/>
          <w:szCs w:val="24"/>
        </w:rPr>
      </w:pPr>
    </w:p>
    <w:p>
      <w:pPr>
        <w:spacing w:line="360" w:lineRule="auto"/>
        <w:rPr>
          <w:rFonts w:eastAsia="隶书"/>
          <w:color w:val="000000"/>
          <w:szCs w:val="21"/>
        </w:rPr>
      </w:pPr>
    </w:p>
    <w:p>
      <w:pPr>
        <w:spacing w:line="240" w:lineRule="atLeast"/>
        <w:ind w:left="-720" w:right="-960"/>
        <w:rPr>
          <w:rFonts w:hint="eastAsia" w:ascii="仿宋_GB2312" w:hAnsi="宋体" w:eastAsia="仿宋_GB2312"/>
          <w:spacing w:val="4"/>
          <w:sz w:val="28"/>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pStyle w:val="6"/>
        <w:keepNext/>
        <w:keepLines/>
        <w:spacing w:before="260" w:after="260" w:line="360" w:lineRule="auto"/>
        <w:jc w:val="center"/>
        <w:rPr>
          <w:rFonts w:hint="eastAsia" w:ascii="仿宋_GB2312" w:eastAsia="仿宋_GB2312"/>
          <w:b/>
          <w:bCs/>
          <w:color w:val="000000"/>
          <w:kern w:val="2"/>
          <w:sz w:val="32"/>
          <w:szCs w:val="32"/>
        </w:rPr>
      </w:pPr>
      <w:r>
        <w:rPr>
          <w:b/>
          <w:bCs/>
          <w:color w:val="000000"/>
          <w:kern w:val="2"/>
          <w:sz w:val="32"/>
          <w:szCs w:val="32"/>
        </w:rPr>
        <w:br w:type="page"/>
      </w:r>
      <w:bookmarkStart w:id="17" w:name="_Toc188943147"/>
      <w:bookmarkStart w:id="18" w:name="_Toc189033156"/>
      <w:bookmarkStart w:id="19" w:name="_Toc188842693"/>
      <w:r>
        <w:rPr>
          <w:rFonts w:hint="eastAsia"/>
          <w:b/>
          <w:bCs/>
          <w:color w:val="000000"/>
          <w:kern w:val="2"/>
          <w:sz w:val="32"/>
          <w:szCs w:val="32"/>
        </w:rPr>
        <w:t>4、</w:t>
      </w:r>
      <w:r>
        <w:rPr>
          <w:rFonts w:hint="eastAsia" w:ascii="仿宋_GB2312" w:eastAsia="仿宋_GB2312"/>
          <w:b/>
          <w:bCs/>
          <w:color w:val="000000"/>
          <w:kern w:val="2"/>
          <w:sz w:val="32"/>
          <w:szCs w:val="32"/>
          <w:lang w:val="zh-CN"/>
        </w:rPr>
        <w:t>实施/技术人员一览表</w:t>
      </w:r>
      <w:bookmarkEnd w:id="17"/>
      <w:bookmarkEnd w:id="18"/>
      <w:bookmarkEnd w:id="19"/>
    </w:p>
    <w:p>
      <w:pPr>
        <w:spacing w:line="400" w:lineRule="exact"/>
        <w:ind w:firstLine="840" w:firstLineChars="400"/>
        <w:rPr>
          <w:rFonts w:hint="eastAsia"/>
        </w:rPr>
      </w:pPr>
      <w:r>
        <w:rPr>
          <w:rFonts w:hint="eastAsia"/>
        </w:rPr>
        <w:t xml:space="preserve">项目名称：                   采购编号：            </w:t>
      </w:r>
      <w:r>
        <w:rPr>
          <w:rFonts w:hint="eastAsia"/>
          <w:color w:val="auto"/>
        </w:rPr>
        <w:t xml:space="preserve">     标包号：</w:t>
      </w:r>
    </w:p>
    <w:p>
      <w:pPr>
        <w:spacing w:line="400" w:lineRule="exact"/>
        <w:ind w:firstLine="964" w:firstLineChars="400"/>
        <w:rPr>
          <w:rFonts w:ascii="宋体"/>
          <w:b/>
          <w:bCs/>
          <w:color w:val="000000"/>
          <w:sz w:val="24"/>
          <w:lang w:val="zh-CN"/>
        </w:rPr>
      </w:pPr>
    </w:p>
    <w:tbl>
      <w:tblPr>
        <w:tblStyle w:val="2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011"/>
        <w:gridCol w:w="1509"/>
        <w:gridCol w:w="3296"/>
        <w:gridCol w:w="2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序号</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隶书" w:eastAsia="隶书"/>
                <w:color w:val="000000"/>
                <w:sz w:val="24"/>
                <w:lang w:val="zh-CN"/>
              </w:rPr>
            </w:pPr>
            <w:r>
              <w:rPr>
                <w:rFonts w:hint="eastAsia" w:ascii="隶书" w:eastAsia="隶书"/>
                <w:color w:val="000000"/>
                <w:sz w:val="24"/>
                <w:lang w:val="zh-CN"/>
              </w:rPr>
              <w:t>姓名</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eastAsia="隶书"/>
                <w:color w:val="000000"/>
                <w:sz w:val="24"/>
              </w:rPr>
            </w:pPr>
            <w:r>
              <w:rPr>
                <w:rFonts w:hint="eastAsia" w:eastAsia="隶书"/>
                <w:color w:val="000000"/>
                <w:sz w:val="24"/>
              </w:rPr>
              <w:t>身份证号</w:t>
            </w:r>
          </w:p>
        </w:tc>
        <w:tc>
          <w:tcPr>
            <w:tcW w:w="3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隶书"/>
                <w:color w:val="000000"/>
                <w:sz w:val="24"/>
              </w:rPr>
            </w:pPr>
            <w:r>
              <w:rPr>
                <w:rFonts w:hint="eastAsia" w:ascii="隶书" w:eastAsia="隶书"/>
                <w:color w:val="000000"/>
                <w:sz w:val="24"/>
                <w:lang w:val="zh-CN"/>
              </w:rPr>
              <w:t>同类项目工作经历</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eastAsia="隶书"/>
                <w:color w:val="000000"/>
                <w:sz w:val="24"/>
              </w:rPr>
            </w:pPr>
            <w:r>
              <w:rPr>
                <w:rFonts w:hint="eastAsia" w:eastAsia="隶书"/>
                <w:color w:val="000000"/>
                <w:sz w:val="24"/>
              </w:rPr>
              <w:t>证明材料对应页码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1</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2</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3</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4</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5</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6</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7</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8</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隶书"/>
                <w:color w:val="000000"/>
                <w:sz w:val="24"/>
              </w:rPr>
            </w:pPr>
            <w:r>
              <w:rPr>
                <w:rFonts w:eastAsia="隶书"/>
                <w:color w:val="000000"/>
                <w:sz w:val="24"/>
              </w:rPr>
              <w:t>9</w:t>
            </w:r>
          </w:p>
        </w:tc>
        <w:tc>
          <w:tcPr>
            <w:tcW w:w="10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15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329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c>
          <w:tcPr>
            <w:tcW w:w="22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eastAsia="隶书"/>
                <w:color w:val="000000"/>
                <w:sz w:val="24"/>
              </w:rPr>
            </w:pPr>
          </w:p>
        </w:tc>
      </w:tr>
    </w:tbl>
    <w:p>
      <w:pPr>
        <w:spacing w:line="360" w:lineRule="auto"/>
        <w:rPr>
          <w:rFonts w:eastAsia="隶书"/>
          <w:color w:val="000000"/>
          <w:szCs w:val="21"/>
        </w:rPr>
      </w:pPr>
    </w:p>
    <w:p>
      <w:pPr>
        <w:spacing w:line="240" w:lineRule="atLeast"/>
        <w:ind w:left="-720" w:right="-960"/>
        <w:rPr>
          <w:rFonts w:hint="eastAsia" w:ascii="仿宋_GB2312" w:hAnsi="宋体" w:eastAsia="仿宋_GB2312"/>
          <w:spacing w:val="4"/>
          <w:sz w:val="28"/>
        </w:rPr>
      </w:pPr>
    </w:p>
    <w:p>
      <w:pPr>
        <w:rPr>
          <w:rFonts w:hint="eastAsia" w:ascii="宋体" w:hAnsi="宋体"/>
          <w:b/>
          <w:sz w:val="24"/>
          <w:szCs w:val="24"/>
        </w:rPr>
      </w:pPr>
      <w:r>
        <w:rPr>
          <w:rFonts w:hint="eastAsia" w:ascii="宋体" w:hAnsi="宋体"/>
          <w:b/>
          <w:sz w:val="24"/>
          <w:szCs w:val="24"/>
        </w:rPr>
        <w:t>投标单位名称：</w:t>
      </w:r>
      <w:r>
        <w:rPr>
          <w:rFonts w:hint="eastAsia" w:ascii="宋体" w:hAnsi="宋体"/>
          <w:b/>
          <w:sz w:val="24"/>
          <w:szCs w:val="24"/>
          <w:u w:val="single"/>
        </w:rPr>
        <w:t xml:space="preserve">                            </w:t>
      </w:r>
      <w:r>
        <w:rPr>
          <w:rFonts w:hint="eastAsia" w:ascii="宋体" w:hAnsi="宋体"/>
          <w:b/>
          <w:sz w:val="24"/>
          <w:szCs w:val="24"/>
        </w:rPr>
        <w:t>（盖CA章）</w:t>
      </w:r>
    </w:p>
    <w:p>
      <w:pPr>
        <w:rPr>
          <w:rFonts w:hint="eastAsia" w:ascii="宋体" w:hAnsi="宋体"/>
          <w:sz w:val="24"/>
          <w:szCs w:val="24"/>
        </w:rPr>
      </w:pPr>
    </w:p>
    <w:p>
      <w:pPr>
        <w:rPr>
          <w:rFonts w:hint="eastAsia" w:ascii="宋体" w:hAnsi="宋体"/>
          <w:sz w:val="24"/>
          <w:szCs w:val="24"/>
        </w:rPr>
      </w:pPr>
    </w:p>
    <w:p>
      <w:pPr>
        <w:rPr>
          <w:rFonts w:hint="eastAsia" w:ascii="宋体" w:hAnsi="宋体"/>
          <w:b/>
          <w:sz w:val="24"/>
          <w:szCs w:val="24"/>
        </w:rPr>
      </w:pPr>
      <w:r>
        <w:rPr>
          <w:rFonts w:hint="eastAsia" w:ascii="宋体" w:hAnsi="宋体"/>
          <w:b/>
          <w:sz w:val="24"/>
          <w:szCs w:val="24"/>
        </w:rPr>
        <w:t>日        期：</w:t>
      </w:r>
      <w:r>
        <w:rPr>
          <w:rFonts w:hint="eastAsia" w:ascii="宋体" w:hAnsi="宋体"/>
          <w:b/>
          <w:sz w:val="24"/>
          <w:szCs w:val="24"/>
          <w:u w:val="single"/>
        </w:rPr>
        <w:t xml:space="preserve">      </w:t>
      </w:r>
      <w:r>
        <w:rPr>
          <w:rFonts w:hint="eastAsia" w:ascii="宋体" w:hAnsi="宋体"/>
          <w:b/>
          <w:sz w:val="24"/>
          <w:szCs w:val="24"/>
        </w:rPr>
        <w:t xml:space="preserve"> 年</w:t>
      </w:r>
      <w:r>
        <w:rPr>
          <w:rFonts w:hint="eastAsia" w:ascii="宋体" w:hAnsi="宋体"/>
          <w:b/>
          <w:sz w:val="24"/>
          <w:szCs w:val="24"/>
          <w:u w:val="single"/>
        </w:rPr>
        <w:t xml:space="preserve">      </w:t>
      </w:r>
      <w:r>
        <w:rPr>
          <w:rFonts w:hint="eastAsia" w:ascii="宋体" w:hAnsi="宋体"/>
          <w:b/>
          <w:sz w:val="24"/>
          <w:szCs w:val="24"/>
        </w:rPr>
        <w:t xml:space="preserve"> 月</w:t>
      </w:r>
      <w:r>
        <w:rPr>
          <w:rFonts w:hint="eastAsia" w:ascii="宋体" w:hAnsi="宋体"/>
          <w:b/>
          <w:sz w:val="24"/>
          <w:szCs w:val="24"/>
          <w:u w:val="single"/>
        </w:rPr>
        <w:t xml:space="preserve">      </w:t>
      </w:r>
      <w:r>
        <w:rPr>
          <w:rFonts w:hint="eastAsia" w:ascii="宋体" w:hAnsi="宋体"/>
          <w:b/>
          <w:sz w:val="24"/>
          <w:szCs w:val="24"/>
        </w:rPr>
        <w:t xml:space="preserve"> 日</w:t>
      </w:r>
    </w:p>
    <w:p>
      <w:pPr>
        <w:jc w:val="center"/>
        <w:rPr>
          <w:rFonts w:hint="eastAsia" w:ascii="仿宋_GB2312" w:eastAsia="仿宋_GB2312"/>
          <w:b/>
          <w:sz w:val="32"/>
          <w:szCs w:val="32"/>
        </w:rPr>
      </w:pPr>
      <w:r>
        <w:rPr>
          <w:rFonts w:ascii="Arial" w:hAnsi="Arial" w:eastAsia="仿宋_GB2312"/>
          <w:sz w:val="28"/>
        </w:rPr>
        <w:br w:type="page"/>
      </w:r>
      <w:r>
        <w:rPr>
          <w:rFonts w:hint="eastAsia" w:ascii="Arial" w:hAnsi="Arial" w:eastAsia="仿宋_GB2312"/>
          <w:sz w:val="28"/>
        </w:rPr>
        <w:t>5、</w:t>
      </w:r>
      <w:r>
        <w:rPr>
          <w:rFonts w:hint="eastAsia" w:ascii="仿宋_GB2312" w:eastAsia="仿宋_GB2312"/>
          <w:b/>
          <w:sz w:val="32"/>
          <w:szCs w:val="32"/>
        </w:rPr>
        <w:t>其他商务技术资料</w:t>
      </w:r>
    </w:p>
    <w:p>
      <w:pPr>
        <w:jc w:val="center"/>
        <w:rPr>
          <w:rFonts w:hint="eastAsia" w:ascii="宋体" w:hAnsi="宋体"/>
          <w:b/>
          <w:bCs/>
          <w:sz w:val="32"/>
          <w:szCs w:val="32"/>
        </w:rPr>
      </w:pPr>
      <w:r>
        <w:rPr>
          <w:rFonts w:hint="eastAsia" w:ascii="仿宋_GB2312" w:eastAsia="仿宋_GB2312"/>
          <w:b/>
          <w:i/>
          <w:iCs/>
          <w:sz w:val="32"/>
          <w:szCs w:val="32"/>
        </w:rPr>
        <w:t>投标人可结合招标文件及自身情况提供其他认为必要的资料.</w:t>
      </w:r>
      <w:r>
        <w:rPr>
          <w:rFonts w:ascii="Arial" w:hAnsi="Arial" w:eastAsia="仿宋_GB2312"/>
          <w:sz w:val="28"/>
        </w:rPr>
        <w:br w:type="page"/>
      </w:r>
      <w:r>
        <w:rPr>
          <w:rFonts w:hint="eastAsia" w:ascii="宋体" w:hAnsi="宋体"/>
          <w:b/>
          <w:bCs/>
          <w:sz w:val="32"/>
          <w:szCs w:val="32"/>
        </w:rPr>
        <w:t>三、资格响应部分</w:t>
      </w:r>
    </w:p>
    <w:p>
      <w:pPr>
        <w:jc w:val="center"/>
        <w:rPr>
          <w:rFonts w:hint="eastAsia" w:ascii="宋体" w:hAnsi="宋体"/>
          <w:b/>
          <w:bCs/>
          <w:sz w:val="32"/>
          <w:szCs w:val="32"/>
        </w:rPr>
      </w:pPr>
    </w:p>
    <w:p>
      <w:pPr>
        <w:jc w:val="center"/>
        <w:rPr>
          <w:rFonts w:hint="eastAsia" w:ascii="宋体" w:hAnsi="宋体"/>
          <w:b/>
          <w:bCs/>
          <w:sz w:val="32"/>
          <w:szCs w:val="32"/>
        </w:rPr>
      </w:pPr>
    </w:p>
    <w:p>
      <w:pPr>
        <w:numPr>
          <w:ilvl w:val="0"/>
          <w:numId w:val="15"/>
        </w:num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特定资格条件证明材料</w:t>
      </w:r>
    </w:p>
    <w:p>
      <w:pPr>
        <w:jc w:val="center"/>
        <w:rPr>
          <w:rFonts w:hint="eastAsia" w:ascii="仿宋_GB2312" w:eastAsia="仿宋_GB2312"/>
          <w:sz w:val="30"/>
          <w:szCs w:val="30"/>
        </w:rPr>
      </w:pPr>
      <w:r>
        <w:rPr>
          <w:rFonts w:hint="eastAsia" w:ascii="仿宋_GB2312" w:eastAsia="仿宋_GB2312"/>
          <w:sz w:val="30"/>
          <w:szCs w:val="30"/>
        </w:rPr>
        <w:t>投标人可结合招标文件及自身情况提供必要的资料。</w:t>
      </w:r>
    </w:p>
    <w:p>
      <w:pPr>
        <w:jc w:val="center"/>
        <w:rPr>
          <w:rFonts w:hint="eastAsia" w:ascii="仿宋_GB2312" w:eastAsia="仿宋_GB2312"/>
          <w:sz w:val="30"/>
          <w:szCs w:val="30"/>
        </w:rPr>
      </w:pPr>
    </w:p>
    <w:p>
      <w:pPr>
        <w:jc w:val="center"/>
        <w:rPr>
          <w:rFonts w:ascii="仿宋_GB2312" w:eastAsia="仿宋_GB2312"/>
          <w:sz w:val="30"/>
          <w:szCs w:val="30"/>
        </w:rPr>
      </w:pPr>
      <w:r>
        <w:rPr>
          <w:rFonts w:hint="eastAsia" w:ascii="仿宋_GB2312" w:eastAsia="仿宋_GB2312"/>
          <w:sz w:val="30"/>
          <w:szCs w:val="30"/>
        </w:rPr>
        <w:t>2、</w:t>
      </w:r>
      <w:r>
        <w:rPr>
          <w:rFonts w:hint="eastAsia" w:ascii="仿宋_GB2312" w:hAnsi="仿宋_GB2312" w:eastAsia="仿宋_GB2312" w:cs="仿宋_GB2312"/>
          <w:sz w:val="30"/>
          <w:szCs w:val="30"/>
        </w:rPr>
        <w:t>营业执照、事业单位、社团组织、民办非企业等登记证副本彩色扫描件</w:t>
      </w: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i/>
          <w:iCs/>
          <w:sz w:val="30"/>
          <w:szCs w:val="30"/>
        </w:rPr>
      </w:pPr>
    </w:p>
    <w:p>
      <w:pPr>
        <w:tabs>
          <w:tab w:val="left" w:pos="1575"/>
        </w:tabs>
        <w:spacing w:line="500" w:lineRule="exact"/>
        <w:jc w:val="center"/>
        <w:rPr>
          <w:rFonts w:ascii="仿宋_GB2312" w:eastAsia="仿宋_GB2312"/>
          <w:sz w:val="32"/>
        </w:rPr>
      </w:pPr>
      <w:r>
        <w:rPr>
          <w:rFonts w:hint="eastAsia" w:ascii="仿宋_GB2312" w:hAnsi="仿宋_GB2312" w:eastAsia="仿宋_GB2312" w:cs="仿宋_GB2312"/>
          <w:sz w:val="30"/>
          <w:szCs w:val="30"/>
        </w:rPr>
        <w:t>3、</w:t>
      </w:r>
      <w:r>
        <w:rPr>
          <w:rFonts w:hint="eastAsia" w:ascii="仿宋_GB2312" w:eastAsia="仿宋_GB2312"/>
          <w:sz w:val="32"/>
        </w:rPr>
        <w:t>财务状况表</w:t>
      </w:r>
    </w:p>
    <w:p>
      <w:pPr>
        <w:jc w:val="center"/>
        <w:rPr>
          <w:rFonts w:hint="eastAsia" w:ascii="仿宋_GB2312" w:eastAsia="仿宋_GB2312"/>
          <w:sz w:val="32"/>
          <w:szCs w:val="22"/>
        </w:rPr>
      </w:pPr>
      <w:r>
        <w:rPr>
          <w:rFonts w:hint="eastAsia" w:ascii="仿宋_GB2312" w:eastAsia="仿宋_GB2312"/>
          <w:sz w:val="32"/>
        </w:rPr>
        <w:t>提供最近1个年度财务报表，不足1年的提供最近月度财务报表，</w:t>
      </w:r>
      <w:r>
        <w:rPr>
          <w:rFonts w:hint="eastAsia" w:ascii="仿宋_GB2312" w:eastAsia="仿宋_GB2312"/>
          <w:sz w:val="32"/>
          <w:szCs w:val="22"/>
        </w:rPr>
        <w:t>包括资产负债表、现金流量表、利润表等</w:t>
      </w:r>
      <w:r>
        <w:rPr>
          <w:rFonts w:hint="eastAsia" w:ascii="仿宋_GB2312" w:hAnsi="仿宋_GB2312" w:eastAsia="仿宋_GB2312" w:cs="仿宋_GB2312"/>
          <w:sz w:val="30"/>
          <w:szCs w:val="30"/>
        </w:rPr>
        <w:t>扫描件</w:t>
      </w:r>
      <w:r>
        <w:rPr>
          <w:rFonts w:hint="eastAsia" w:ascii="仿宋_GB2312" w:eastAsia="仿宋_GB2312"/>
          <w:sz w:val="32"/>
          <w:szCs w:val="22"/>
        </w:rPr>
        <w:t>。</w:t>
      </w:r>
    </w:p>
    <w:p>
      <w:pPr>
        <w:pStyle w:val="12"/>
        <w:rPr>
          <w:rFonts w:hint="eastAsia" w:ascii="仿宋_GB2312" w:eastAsia="仿宋_GB2312"/>
          <w:sz w:val="32"/>
          <w:szCs w:val="22"/>
        </w:rPr>
      </w:pPr>
    </w:p>
    <w:p>
      <w:pPr>
        <w:jc w:val="center"/>
        <w:rPr>
          <w:rFonts w:hint="eastAsia" w:ascii="仿宋_GB2312" w:eastAsia="仿宋_GB2312"/>
          <w:b/>
          <w:bCs/>
          <w:color w:val="auto"/>
          <w:sz w:val="32"/>
          <w:szCs w:val="22"/>
        </w:rPr>
      </w:pPr>
      <w:r>
        <w:rPr>
          <w:rFonts w:hint="eastAsia" w:ascii="仿宋_GB2312" w:eastAsia="仿宋_GB2312"/>
          <w:b/>
          <w:bCs/>
          <w:color w:val="auto"/>
          <w:sz w:val="32"/>
          <w:szCs w:val="22"/>
        </w:rPr>
        <w:t>4、依法缴纳税收和社会保障资金的相关材料</w:t>
      </w:r>
    </w:p>
    <w:p>
      <w:pPr>
        <w:jc w:val="center"/>
        <w:rPr>
          <w:rFonts w:hint="eastAsia" w:ascii="仿宋_GB2312" w:eastAsia="仿宋_GB2312"/>
          <w:b/>
          <w:bCs/>
          <w:color w:val="auto"/>
          <w:sz w:val="32"/>
          <w:szCs w:val="22"/>
        </w:rPr>
      </w:pPr>
      <w:r>
        <w:rPr>
          <w:rFonts w:hint="eastAsia" w:ascii="仿宋_GB2312" w:eastAsia="仿宋_GB2312"/>
          <w:b/>
          <w:bCs/>
          <w:color w:val="auto"/>
          <w:sz w:val="32"/>
          <w:szCs w:val="22"/>
        </w:rPr>
        <w:t>投标人依法缴纳近半年内任意一个月税收的相关凭证及投标人依法缴纳近半年内任意一个月社会保险的相关凭证扫描件。</w:t>
      </w:r>
    </w:p>
    <w:p>
      <w:pPr>
        <w:pStyle w:val="12"/>
        <w:rPr>
          <w:rFonts w:hint="eastAsia" w:ascii="仿宋_GB2312" w:eastAsia="仿宋_GB2312"/>
          <w:sz w:val="32"/>
          <w:szCs w:val="22"/>
        </w:rPr>
      </w:pPr>
    </w:p>
    <w:p>
      <w:pPr>
        <w:jc w:val="center"/>
        <w:rPr>
          <w:rFonts w:hint="eastAsia" w:ascii="仿宋_GB2312" w:eastAsia="仿宋_GB2312"/>
          <w:sz w:val="32"/>
          <w:szCs w:val="22"/>
        </w:rPr>
      </w:pPr>
    </w:p>
    <w:p>
      <w:pPr>
        <w:jc w:val="center"/>
        <w:rPr>
          <w:rFonts w:hint="eastAsia" w:ascii="仿宋_GB2312" w:eastAsia="仿宋_GB2312"/>
          <w:b/>
          <w:bCs/>
          <w:sz w:val="32"/>
          <w:szCs w:val="22"/>
        </w:rPr>
      </w:pPr>
    </w:p>
    <w:p>
      <w:pPr>
        <w:tabs>
          <w:tab w:val="left" w:pos="1575"/>
        </w:tabs>
        <w:spacing w:line="500" w:lineRule="exact"/>
        <w:jc w:val="center"/>
        <w:rPr>
          <w:rFonts w:hint="eastAsia" w:ascii="仿宋_GB2312" w:eastAsia="仿宋_GB2312"/>
          <w:b/>
          <w:sz w:val="32"/>
        </w:rPr>
      </w:pPr>
      <w:r>
        <w:rPr>
          <w:rFonts w:hint="eastAsia" w:ascii="宋体" w:hAnsi="宋体"/>
          <w:b/>
          <w:bCs/>
          <w:sz w:val="30"/>
          <w:szCs w:val="30"/>
        </w:rPr>
        <w:br w:type="page"/>
      </w:r>
      <w:r>
        <w:rPr>
          <w:rFonts w:hint="eastAsia" w:ascii="仿宋_GB2312" w:eastAsia="仿宋_GB2312"/>
          <w:b/>
          <w:bCs/>
          <w:sz w:val="32"/>
        </w:rPr>
        <w:t>5、</w:t>
      </w:r>
      <w:r>
        <w:rPr>
          <w:rFonts w:hint="eastAsia" w:ascii="仿宋_GB2312" w:eastAsia="仿宋_GB2312"/>
          <w:b/>
          <w:sz w:val="32"/>
        </w:rPr>
        <w:t>法定代表人授权书</w:t>
      </w:r>
    </w:p>
    <w:p>
      <w:pPr>
        <w:tabs>
          <w:tab w:val="left" w:pos="1575"/>
        </w:tabs>
        <w:spacing w:line="500" w:lineRule="exact"/>
        <w:jc w:val="center"/>
        <w:rPr>
          <w:rFonts w:hint="eastAsia" w:ascii="仿宋_GB2312" w:eastAsia="仿宋_GB2312"/>
          <w:sz w:val="32"/>
        </w:rPr>
      </w:pPr>
    </w:p>
    <w:p>
      <w:pPr>
        <w:spacing w:line="500" w:lineRule="exact"/>
        <w:jc w:val="left"/>
        <w:rPr>
          <w:rFonts w:hint="eastAsia" w:ascii="宋体" w:hAnsi="宋体"/>
          <w:sz w:val="24"/>
          <w:szCs w:val="24"/>
          <w:u w:val="single"/>
        </w:rPr>
      </w:pPr>
      <w:r>
        <w:rPr>
          <w:rFonts w:hint="eastAsia" w:ascii="宋体" w:hAnsi="宋体"/>
          <w:sz w:val="24"/>
          <w:szCs w:val="24"/>
        </w:rPr>
        <w:t>致：</w:t>
      </w:r>
      <w:r>
        <w:rPr>
          <w:rFonts w:hint="eastAsia" w:ascii="宋体" w:hAnsi="宋体"/>
          <w:sz w:val="24"/>
          <w:szCs w:val="24"/>
          <w:u w:val="single"/>
        </w:rPr>
        <w:t>宁波国家高新区行政服务中心（宁波国家高新区公共资源交易中心）</w:t>
      </w:r>
    </w:p>
    <w:p>
      <w:pPr>
        <w:spacing w:line="500" w:lineRule="exact"/>
        <w:jc w:val="lef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u w:val="single"/>
        </w:rPr>
        <w:t>XXXXX</w:t>
      </w:r>
      <w:r>
        <w:rPr>
          <w:rFonts w:hint="eastAsia" w:ascii="宋体" w:hAnsi="宋体"/>
          <w:sz w:val="24"/>
          <w:szCs w:val="24"/>
        </w:rPr>
        <w:t>（投标单位全称）法定代表人</w:t>
      </w:r>
      <w:r>
        <w:rPr>
          <w:rFonts w:hint="eastAsia" w:ascii="宋体" w:hAnsi="宋体"/>
          <w:sz w:val="24"/>
          <w:szCs w:val="24"/>
          <w:u w:val="single"/>
        </w:rPr>
        <w:t xml:space="preserve">XXX </w:t>
      </w:r>
      <w:r>
        <w:rPr>
          <w:rFonts w:hint="eastAsia" w:ascii="宋体" w:hAnsi="宋体"/>
          <w:sz w:val="24"/>
          <w:szCs w:val="24"/>
        </w:rPr>
        <w:t>（姓名）</w:t>
      </w:r>
      <w:r>
        <w:rPr>
          <w:rFonts w:hint="eastAsia" w:ascii="宋体" w:hAnsi="宋体"/>
          <w:sz w:val="24"/>
          <w:szCs w:val="24"/>
          <w:u w:val="single"/>
        </w:rPr>
        <w:t>XXXXX</w:t>
      </w:r>
      <w:r>
        <w:rPr>
          <w:rFonts w:hint="eastAsia" w:ascii="宋体" w:hAnsi="宋体"/>
          <w:sz w:val="24"/>
          <w:szCs w:val="24"/>
        </w:rPr>
        <w:t>（身份证件号码）授权</w:t>
      </w:r>
      <w:r>
        <w:rPr>
          <w:rFonts w:hint="eastAsia" w:ascii="宋体" w:hAnsi="宋体"/>
          <w:sz w:val="24"/>
          <w:szCs w:val="24"/>
          <w:u w:val="single"/>
        </w:rPr>
        <w:t>XXX</w:t>
      </w:r>
      <w:r>
        <w:rPr>
          <w:rFonts w:hint="eastAsia" w:ascii="宋体" w:hAnsi="宋体"/>
          <w:sz w:val="24"/>
          <w:szCs w:val="24"/>
        </w:rPr>
        <w:t>（姓名、职务）</w:t>
      </w:r>
      <w:r>
        <w:rPr>
          <w:rFonts w:hint="eastAsia" w:ascii="宋体" w:hAnsi="宋体"/>
          <w:sz w:val="24"/>
          <w:szCs w:val="24"/>
          <w:u w:val="single"/>
        </w:rPr>
        <w:t>XXXXX</w:t>
      </w:r>
      <w:r>
        <w:rPr>
          <w:rFonts w:hint="eastAsia" w:ascii="宋体" w:hAnsi="宋体"/>
          <w:sz w:val="24"/>
          <w:szCs w:val="24"/>
        </w:rPr>
        <w:t xml:space="preserve">（身份证件号码）为委托代理人，参加贵方组织的 </w:t>
      </w:r>
      <w:r>
        <w:rPr>
          <w:rFonts w:hint="eastAsia" w:ascii="宋体" w:hAnsi="宋体"/>
          <w:sz w:val="24"/>
          <w:szCs w:val="24"/>
          <w:u w:val="single"/>
        </w:rPr>
        <w:t xml:space="preserve">XXXX </w:t>
      </w:r>
      <w:r>
        <w:rPr>
          <w:rFonts w:hint="eastAsia" w:ascii="宋体" w:hAnsi="宋体"/>
          <w:sz w:val="24"/>
          <w:szCs w:val="24"/>
        </w:rPr>
        <w:t>项目（采购编号</w:t>
      </w:r>
      <w:r>
        <w:rPr>
          <w:rFonts w:hint="eastAsia" w:ascii="宋体" w:hAnsi="宋体"/>
          <w:sz w:val="24"/>
          <w:szCs w:val="24"/>
          <w:u w:val="single"/>
        </w:rPr>
        <w:t>XXXXX</w:t>
      </w:r>
      <w:r>
        <w:rPr>
          <w:rFonts w:hint="eastAsia" w:ascii="宋体" w:hAnsi="宋体"/>
          <w:sz w:val="24"/>
          <w:szCs w:val="24"/>
        </w:rPr>
        <w:t>）政府采购活动，全权处理政府采购活动中的一切事宜。</w:t>
      </w:r>
    </w:p>
    <w:p>
      <w:pPr>
        <w:spacing w:line="500" w:lineRule="exact"/>
        <w:jc w:val="left"/>
        <w:rPr>
          <w:rFonts w:hint="eastAsia" w:ascii="宋体" w:hAnsi="宋体"/>
          <w:sz w:val="24"/>
          <w:szCs w:val="24"/>
        </w:rPr>
      </w:pPr>
      <w:r>
        <w:rPr>
          <w:rFonts w:hint="eastAsia" w:ascii="宋体" w:hAnsi="宋体"/>
          <w:sz w:val="24"/>
          <w:szCs w:val="24"/>
        </w:rPr>
        <w:t xml:space="preserve">    本授权书于</w:t>
      </w:r>
      <w:r>
        <w:rPr>
          <w:rFonts w:hint="eastAsia" w:ascii="宋体" w:hAnsi="宋体"/>
          <w:sz w:val="24"/>
          <w:szCs w:val="24"/>
          <w:u w:val="single"/>
        </w:rPr>
        <w:t>XXXX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日签署生效，特此声明。</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投标单位全称（盖标准公章）：</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法定代表人（签字或签章）：</w:t>
      </w:r>
    </w:p>
    <w:p>
      <w:pPr>
        <w:spacing w:line="500" w:lineRule="exact"/>
        <w:jc w:val="left"/>
        <w:rPr>
          <w:rFonts w:hint="eastAsia" w:ascii="宋体" w:hAnsi="宋体"/>
          <w:sz w:val="24"/>
          <w:szCs w:val="24"/>
        </w:rPr>
      </w:pPr>
    </w:p>
    <w:p>
      <w:pPr>
        <w:spacing w:line="500" w:lineRule="exact"/>
        <w:jc w:val="left"/>
        <w:rPr>
          <w:rFonts w:hint="eastAsia" w:ascii="宋体" w:hAnsi="宋体"/>
          <w:sz w:val="24"/>
          <w:szCs w:val="24"/>
        </w:rPr>
      </w:pPr>
      <w:r>
        <w:rPr>
          <w:rFonts w:hint="eastAsia" w:ascii="宋体" w:hAnsi="宋体"/>
          <w:sz w:val="24"/>
          <w:szCs w:val="24"/>
        </w:rPr>
        <w:t>日期：</w:t>
      </w:r>
    </w:p>
    <w:p>
      <w:pPr>
        <w:spacing w:line="500" w:lineRule="exact"/>
        <w:rPr>
          <w:rFonts w:hint="eastAsia" w:ascii="宋体" w:hAnsi="宋体"/>
          <w:sz w:val="24"/>
          <w:szCs w:val="24"/>
        </w:rPr>
      </w:pPr>
      <w:r>
        <w:rPr>
          <w:rFonts w:hint="eastAsia" w:ascii="宋体" w:hAnsi="宋体"/>
          <w:sz w:val="24"/>
          <w:szCs w:val="24"/>
        </w:rPr>
        <w:t xml:space="preserve"> </w:t>
      </w:r>
    </w:p>
    <w:p>
      <w:pPr>
        <w:spacing w:line="500" w:lineRule="exact"/>
        <w:rPr>
          <w:rFonts w:hint="eastAsia" w:ascii="宋体" w:hAnsi="宋体"/>
          <w:sz w:val="24"/>
          <w:szCs w:val="24"/>
        </w:rPr>
      </w:pPr>
      <w:r>
        <w:rPr>
          <w:rFonts w:hint="eastAsia" w:ascii="宋体" w:hAnsi="宋体"/>
          <w:sz w:val="24"/>
          <w:szCs w:val="24"/>
        </w:rPr>
        <w:t xml:space="preserve"> </w:t>
      </w: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360" w:lineRule="auto"/>
        <w:ind w:firstLine="480"/>
        <w:rPr>
          <w:rFonts w:hint="eastAsia" w:ascii="仿宋_GB2312" w:hAnsi="宋体" w:eastAsia="仿宋_GB2312"/>
          <w:b/>
          <w:i/>
          <w:iCs/>
          <w:color w:val="auto"/>
          <w:sz w:val="24"/>
        </w:rPr>
      </w:pPr>
      <w:r>
        <w:rPr>
          <w:rFonts w:hint="eastAsia" w:ascii="仿宋_GB2312" w:hAnsi="宋体" w:eastAsia="仿宋_GB2312"/>
          <w:b/>
          <w:i/>
          <w:iCs/>
          <w:sz w:val="24"/>
        </w:rPr>
        <w:t>注：1.法定代表人作为投标授权代表的，本表</w:t>
      </w:r>
      <w:r>
        <w:rPr>
          <w:rFonts w:hint="eastAsia" w:ascii="仿宋_GB2312" w:hAnsi="宋体" w:eastAsia="仿宋_GB2312"/>
          <w:b/>
          <w:i/>
          <w:iCs/>
          <w:color w:val="auto"/>
          <w:sz w:val="24"/>
        </w:rPr>
        <w:t>无需提供。2.电信、银行、保险等实行许可证属地经营的本地分公司可以直接参加许可证范围内项目投标，法定代表人可改为分公司营业执照上登记的分公司负责人签字或签章；本地分公司参加非许可证范围内项目投标的，本表必须由公司加盖公章，公司法定代表人签署授权，否则视为无效授权。</w:t>
      </w:r>
    </w:p>
    <w:p>
      <w:pPr>
        <w:spacing w:line="360" w:lineRule="auto"/>
        <w:ind w:firstLine="480"/>
        <w:rPr>
          <w:rFonts w:ascii="仿宋_GB2312" w:hAnsi="宋体" w:eastAsia="仿宋_GB2312"/>
          <w:b/>
          <w:i/>
          <w:iCs/>
          <w:sz w:val="24"/>
        </w:rPr>
      </w:pPr>
      <w:r>
        <w:rPr>
          <w:rFonts w:hint="eastAsia" w:ascii="仿宋_GB2312" w:hAnsi="宋体" w:eastAsia="仿宋_GB2312"/>
          <w:b/>
          <w:i/>
          <w:iCs/>
          <w:color w:val="auto"/>
          <w:sz w:val="24"/>
        </w:rPr>
        <w:t>3、</w:t>
      </w:r>
      <w:r>
        <w:rPr>
          <w:rFonts w:hint="eastAsia" w:ascii="宋体" w:hAnsi="宋体"/>
          <w:b/>
          <w:i/>
          <w:iCs/>
          <w:color w:val="auto"/>
          <w:sz w:val="24"/>
          <w:szCs w:val="24"/>
        </w:rPr>
        <w:t>为确保电子投标文件的合法性、有效性和完整性，本授权书填写完成后须先进</w:t>
      </w:r>
      <w:r>
        <w:rPr>
          <w:rFonts w:hint="eastAsia" w:ascii="宋体" w:hAnsi="宋体"/>
          <w:b/>
          <w:i/>
          <w:iCs/>
          <w:sz w:val="24"/>
          <w:szCs w:val="24"/>
        </w:rPr>
        <w:t>行纸质打印，加盖标准公章、法定代表人签字或签章后，以彩色扫描件形式提交上传，否则视为无效投标。</w:t>
      </w:r>
    </w:p>
    <w:p>
      <w:pPr>
        <w:tabs>
          <w:tab w:val="left" w:pos="1575"/>
        </w:tabs>
        <w:spacing w:line="500" w:lineRule="exact"/>
        <w:jc w:val="center"/>
        <w:rPr>
          <w:rFonts w:hint="eastAsia" w:ascii="仿宋_GB2312" w:eastAsia="仿宋_GB2312"/>
          <w:b/>
          <w:bCs/>
          <w:sz w:val="32"/>
        </w:rPr>
      </w:pPr>
      <w:r>
        <w:rPr>
          <w:rFonts w:hint="eastAsia" w:ascii="仿宋_GB2312" w:eastAsia="仿宋_GB2312"/>
          <w:b/>
          <w:bCs/>
          <w:sz w:val="32"/>
        </w:rPr>
        <w:br w:type="page"/>
      </w:r>
      <w:r>
        <w:rPr>
          <w:rFonts w:hint="eastAsia" w:ascii="仿宋_GB2312" w:eastAsia="仿宋_GB2312"/>
          <w:b/>
          <w:bCs/>
          <w:sz w:val="32"/>
        </w:rPr>
        <w:t>法定代表人、被授权人身份证明扫描件</w:t>
      </w:r>
    </w:p>
    <w:p>
      <w:pPr>
        <w:tabs>
          <w:tab w:val="left" w:pos="1575"/>
        </w:tabs>
        <w:spacing w:line="500" w:lineRule="exact"/>
        <w:jc w:val="center"/>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eastAsia="仿宋_GB2312"/>
          <w:b/>
          <w:bCs/>
          <w:sz w:val="32"/>
        </w:rPr>
      </w:pPr>
    </w:p>
    <w:p>
      <w:pPr>
        <w:tabs>
          <w:tab w:val="left" w:pos="1575"/>
        </w:tabs>
        <w:spacing w:line="500" w:lineRule="exact"/>
        <w:rPr>
          <w:rFonts w:hint="eastAsia" w:ascii="仿宋_GB2312" w:hAnsi="宋体" w:eastAsia="仿宋_GB2312"/>
          <w:b/>
          <w:i/>
          <w:iCs/>
          <w:sz w:val="24"/>
        </w:rPr>
      </w:pPr>
      <w:r>
        <w:rPr>
          <w:rFonts w:hint="eastAsia" w:ascii="仿宋_GB2312" w:hAnsi="宋体" w:eastAsia="仿宋_GB2312"/>
          <w:b/>
          <w:i/>
          <w:iCs/>
          <w:sz w:val="24"/>
        </w:rPr>
        <w:t>注：（1）法定代表人为投标授权代表的只需提供法定代表人身份证明；</w:t>
      </w:r>
    </w:p>
    <w:p>
      <w:pPr>
        <w:spacing w:line="360" w:lineRule="auto"/>
        <w:ind w:firstLine="480"/>
        <w:rPr>
          <w:rFonts w:hint="eastAsia" w:ascii="仿宋_GB2312" w:hAnsi="宋体" w:eastAsia="仿宋_GB2312"/>
          <w:i/>
          <w:iCs/>
          <w:sz w:val="24"/>
        </w:rPr>
      </w:pPr>
      <w:r>
        <w:rPr>
          <w:rFonts w:hint="eastAsia" w:ascii="仿宋_GB2312" w:hAnsi="宋体" w:eastAsia="仿宋_GB2312"/>
          <w:b/>
          <w:i/>
          <w:iCs/>
          <w:sz w:val="24"/>
        </w:rPr>
        <w:t>（2）身份证明请提供身份证原件正反面扫描件或其他证件原件扫描件。</w:t>
      </w:r>
    </w:p>
    <w:p>
      <w:pPr>
        <w:pStyle w:val="3"/>
        <w:spacing w:line="520" w:lineRule="exact"/>
        <w:ind w:firstLine="0"/>
        <w:rPr>
          <w:rFonts w:hint="eastAsia"/>
          <w:i/>
          <w:iCs/>
          <w:sz w:val="32"/>
        </w:rPr>
      </w:pPr>
    </w:p>
    <w:p>
      <w:pPr>
        <w:pStyle w:val="3"/>
        <w:spacing w:line="520" w:lineRule="exact"/>
        <w:ind w:firstLine="0"/>
        <w:jc w:val="center"/>
        <w:rPr>
          <w:rFonts w:ascii="仿宋" w:hAnsi="仿宋" w:eastAsia="仿宋"/>
          <w:sz w:val="24"/>
        </w:rPr>
      </w:pPr>
    </w:p>
    <w:p>
      <w:pPr>
        <w:wordWrap w:val="0"/>
        <w:spacing w:line="400" w:lineRule="exact"/>
        <w:jc w:val="right"/>
        <w:rPr>
          <w:rFonts w:hint="eastAsia" w:ascii="仿宋" w:hAnsi="仿宋" w:eastAsia="仿宋"/>
          <w:sz w:val="24"/>
        </w:rPr>
      </w:pPr>
      <w:r>
        <w:rPr>
          <w:rFonts w:hint="eastAsia" w:ascii="仿宋" w:hAnsi="仿宋" w:eastAsia="仿宋"/>
          <w:sz w:val="24"/>
        </w:rPr>
        <w:t xml:space="preserve">    </w:t>
      </w:r>
    </w:p>
    <w:p>
      <w:pPr>
        <w:pStyle w:val="3"/>
        <w:spacing w:line="520" w:lineRule="exact"/>
        <w:ind w:firstLine="0"/>
        <w:jc w:val="center"/>
        <w:rPr>
          <w:rFonts w:hint="eastAsia" w:ascii="仿宋_GB2312" w:eastAsia="仿宋_GB2312"/>
          <w:b/>
          <w:sz w:val="32"/>
        </w:rPr>
      </w:pPr>
      <w:r>
        <w:rPr>
          <w:rFonts w:ascii="Arial" w:hAnsi="Arial" w:eastAsia="仿宋_GB2312"/>
          <w:sz w:val="28"/>
        </w:rPr>
        <w:br w:type="page"/>
      </w:r>
      <w:r>
        <w:rPr>
          <w:rFonts w:hint="eastAsia" w:ascii="仿宋_GB2312" w:eastAsia="仿宋_GB2312"/>
          <w:b/>
          <w:sz w:val="32"/>
        </w:rPr>
        <w:t>6、制造厂商授权函（若有，参考格式）</w:t>
      </w:r>
    </w:p>
    <w:p>
      <w:pPr>
        <w:pStyle w:val="3"/>
        <w:spacing w:line="520" w:lineRule="exact"/>
        <w:ind w:firstLine="0"/>
        <w:rPr>
          <w:rFonts w:hint="eastAsia" w:ascii="宋体"/>
        </w:rPr>
      </w:pPr>
    </w:p>
    <w:p>
      <w:pPr>
        <w:pStyle w:val="3"/>
        <w:spacing w:after="120" w:line="520" w:lineRule="exact"/>
        <w:ind w:firstLine="0"/>
        <w:rPr>
          <w:rFonts w:hint="eastAsia" w:ascii="宋体" w:hAnsi="宋体"/>
          <w:sz w:val="24"/>
          <w:szCs w:val="24"/>
        </w:rPr>
      </w:pPr>
      <w:r>
        <w:rPr>
          <w:rFonts w:hint="eastAsia" w:ascii="宋体" w:hAnsi="宋体"/>
          <w:sz w:val="24"/>
          <w:szCs w:val="24"/>
        </w:rPr>
        <w:t>致：</w:t>
      </w:r>
      <w:r>
        <w:rPr>
          <w:rFonts w:hint="eastAsia" w:ascii="宋体" w:hAnsi="宋体"/>
          <w:sz w:val="24"/>
          <w:u w:val="single"/>
        </w:rPr>
        <w:t>宁波国家高新区行政服务中心（宁波国家高新区公共资源交易中心）</w:t>
      </w:r>
    </w:p>
    <w:p>
      <w:pPr>
        <w:pStyle w:val="3"/>
        <w:spacing w:line="520" w:lineRule="exact"/>
        <w:rPr>
          <w:rFonts w:hint="eastAsia" w:ascii="宋体" w:hAnsi="宋体"/>
          <w:sz w:val="24"/>
          <w:szCs w:val="24"/>
        </w:rPr>
      </w:pPr>
      <w:r>
        <w:rPr>
          <w:rFonts w:hint="eastAsia" w:ascii="宋体" w:hAnsi="宋体"/>
          <w:sz w:val="24"/>
          <w:szCs w:val="24"/>
        </w:rPr>
        <w:t>我们</w:t>
      </w:r>
      <w:r>
        <w:rPr>
          <w:rFonts w:hint="eastAsia" w:ascii="宋体" w:hAnsi="宋体"/>
          <w:i/>
          <w:sz w:val="24"/>
          <w:szCs w:val="24"/>
          <w:u w:val="single"/>
        </w:rPr>
        <w:t>（制造商名称）</w:t>
      </w:r>
      <w:r>
        <w:rPr>
          <w:rFonts w:hint="eastAsia" w:ascii="宋体" w:hAnsi="宋体"/>
          <w:sz w:val="24"/>
          <w:szCs w:val="24"/>
        </w:rPr>
        <w:t>是按</w:t>
      </w:r>
      <w:r>
        <w:rPr>
          <w:rFonts w:hint="eastAsia" w:ascii="宋体" w:hAnsi="宋体"/>
          <w:i/>
          <w:iCs/>
          <w:sz w:val="24"/>
          <w:szCs w:val="24"/>
          <w:u w:val="single"/>
        </w:rPr>
        <w:t>中华人民共和国</w:t>
      </w:r>
      <w:r>
        <w:rPr>
          <w:rFonts w:hint="eastAsia" w:ascii="宋体" w:hAnsi="宋体"/>
          <w:sz w:val="24"/>
          <w:szCs w:val="24"/>
        </w:rPr>
        <w:t>法律成立的一家制造商，主要营业地点设在</w:t>
      </w:r>
      <w:r>
        <w:rPr>
          <w:rFonts w:hint="eastAsia" w:ascii="宋体" w:hAnsi="宋体"/>
          <w:i/>
          <w:sz w:val="24"/>
          <w:szCs w:val="24"/>
          <w:u w:val="single"/>
        </w:rPr>
        <w:t>（制造商地址）</w:t>
      </w:r>
      <w:r>
        <w:rPr>
          <w:rFonts w:hint="eastAsia" w:ascii="宋体" w:hAnsi="宋体"/>
          <w:sz w:val="24"/>
          <w:szCs w:val="24"/>
        </w:rPr>
        <w:t>。兹指派按中华人民共和国法律正式成立的，主要营业地点设在</w:t>
      </w:r>
      <w:r>
        <w:rPr>
          <w:rFonts w:hint="eastAsia" w:ascii="宋体" w:hAnsi="宋体"/>
          <w:i/>
          <w:sz w:val="24"/>
          <w:szCs w:val="24"/>
          <w:u w:val="single"/>
        </w:rPr>
        <w:t>（投标人地址）</w:t>
      </w:r>
      <w:r>
        <w:rPr>
          <w:rFonts w:hint="eastAsia" w:ascii="宋体" w:hAnsi="宋体"/>
          <w:sz w:val="24"/>
          <w:szCs w:val="24"/>
        </w:rPr>
        <w:t>的</w:t>
      </w:r>
      <w:r>
        <w:rPr>
          <w:rFonts w:hint="eastAsia" w:ascii="宋体" w:hAnsi="宋体"/>
          <w:i/>
          <w:sz w:val="24"/>
          <w:szCs w:val="24"/>
          <w:u w:val="single"/>
        </w:rPr>
        <w:t>（投标人名称）</w:t>
      </w:r>
      <w:r>
        <w:rPr>
          <w:rFonts w:hint="eastAsia" w:ascii="宋体" w:hAnsi="宋体"/>
          <w:sz w:val="24"/>
          <w:szCs w:val="24"/>
        </w:rPr>
        <w:t>作为我方真正的和合法的代理人进行下列有效的活动：</w:t>
      </w:r>
    </w:p>
    <w:p>
      <w:pPr>
        <w:pStyle w:val="3"/>
        <w:numPr>
          <w:ilvl w:val="0"/>
          <w:numId w:val="16"/>
        </w:numPr>
        <w:spacing w:after="120" w:line="520" w:lineRule="exact"/>
        <w:rPr>
          <w:rFonts w:hint="eastAsia" w:ascii="宋体" w:hAnsi="宋体"/>
          <w:sz w:val="24"/>
          <w:szCs w:val="24"/>
        </w:rPr>
      </w:pPr>
      <w:r>
        <w:rPr>
          <w:rFonts w:hint="eastAsia" w:ascii="宋体" w:hAnsi="宋体"/>
          <w:sz w:val="24"/>
          <w:szCs w:val="24"/>
        </w:rPr>
        <w:t>代表我方办理贵方</w:t>
      </w:r>
      <w:r>
        <w:rPr>
          <w:rFonts w:hint="eastAsia" w:ascii="宋体" w:hAnsi="宋体"/>
          <w:i/>
          <w:sz w:val="24"/>
          <w:szCs w:val="24"/>
          <w:u w:val="single"/>
        </w:rPr>
        <w:t>（采购编号）</w:t>
      </w:r>
      <w:r>
        <w:rPr>
          <w:rFonts w:hint="eastAsia" w:ascii="宋体" w:hAnsi="宋体"/>
          <w:sz w:val="24"/>
          <w:szCs w:val="24"/>
        </w:rPr>
        <w:t>招标项目的投标邀请要求提供的由我方制造的产品的有关事宜，并对我方具有约束力。</w:t>
      </w:r>
    </w:p>
    <w:p>
      <w:pPr>
        <w:pStyle w:val="3"/>
        <w:numPr>
          <w:ilvl w:val="0"/>
          <w:numId w:val="16"/>
        </w:numPr>
        <w:spacing w:after="120" w:line="520" w:lineRule="exact"/>
        <w:rPr>
          <w:rFonts w:hint="eastAsia" w:ascii="宋体" w:hAnsi="宋体"/>
          <w:sz w:val="24"/>
          <w:szCs w:val="24"/>
        </w:rPr>
      </w:pPr>
      <w:r>
        <w:rPr>
          <w:rFonts w:hint="eastAsia" w:ascii="宋体" w:hAnsi="宋体"/>
          <w:sz w:val="24"/>
          <w:szCs w:val="24"/>
        </w:rPr>
        <w:t>作为制造商，我方保证以投标合作者来约束自己，并对该投标共同和分别承担招标文件中所规定的义务。</w:t>
      </w:r>
    </w:p>
    <w:p>
      <w:pPr>
        <w:pStyle w:val="3"/>
        <w:numPr>
          <w:ilvl w:val="0"/>
          <w:numId w:val="16"/>
        </w:numPr>
        <w:spacing w:after="120" w:line="520" w:lineRule="exact"/>
        <w:rPr>
          <w:rFonts w:hint="eastAsia" w:ascii="宋体" w:hAnsi="宋体"/>
          <w:sz w:val="24"/>
          <w:szCs w:val="24"/>
        </w:rPr>
      </w:pPr>
      <w:r>
        <w:rPr>
          <w:rFonts w:hint="eastAsia" w:ascii="宋体" w:hAnsi="宋体"/>
          <w:sz w:val="24"/>
          <w:szCs w:val="24"/>
        </w:rPr>
        <w:t>我方兹授予</w:t>
      </w:r>
      <w:r>
        <w:rPr>
          <w:rFonts w:hint="eastAsia" w:ascii="宋体" w:hAnsi="宋体"/>
          <w:i/>
          <w:sz w:val="24"/>
          <w:szCs w:val="24"/>
          <w:u w:val="single"/>
        </w:rPr>
        <w:t>（投标人名称）</w:t>
      </w:r>
      <w:r>
        <w:rPr>
          <w:rFonts w:hint="eastAsia" w:ascii="宋体" w:hAnsi="宋体"/>
          <w:sz w:val="24"/>
          <w:szCs w:val="24"/>
        </w:rPr>
        <w:t>全权办理和履行上述我方为完成上述各点所必须的事宜，具有替换或撤销的全权。兹确认</w:t>
      </w:r>
      <w:r>
        <w:rPr>
          <w:rFonts w:hint="eastAsia" w:ascii="宋体" w:hAnsi="宋体"/>
          <w:i/>
          <w:sz w:val="24"/>
          <w:szCs w:val="24"/>
          <w:u w:val="single"/>
        </w:rPr>
        <w:t>（投标人名称）</w:t>
      </w:r>
      <w:r>
        <w:rPr>
          <w:rFonts w:hint="eastAsia" w:ascii="宋体" w:hAnsi="宋体"/>
          <w:sz w:val="24"/>
          <w:szCs w:val="24"/>
        </w:rPr>
        <w:t>或其正式被授权代表依此合法地办理一切事宜。</w:t>
      </w:r>
    </w:p>
    <w:p>
      <w:pPr>
        <w:pStyle w:val="3"/>
        <w:spacing w:line="520" w:lineRule="exact"/>
        <w:rPr>
          <w:rFonts w:hint="eastAsia" w:ascii="宋体" w:hAnsi="宋体"/>
          <w:sz w:val="24"/>
          <w:szCs w:val="24"/>
        </w:rPr>
      </w:pPr>
    </w:p>
    <w:p>
      <w:pPr>
        <w:pStyle w:val="3"/>
        <w:spacing w:line="520" w:lineRule="exact"/>
        <w:ind w:firstLine="0"/>
        <w:rPr>
          <w:rFonts w:hint="eastAsia" w:ascii="宋体" w:hAnsi="宋体"/>
          <w:sz w:val="24"/>
          <w:szCs w:val="24"/>
        </w:rPr>
      </w:pPr>
    </w:p>
    <w:p>
      <w:pPr>
        <w:pStyle w:val="3"/>
        <w:spacing w:after="120" w:line="520" w:lineRule="exact"/>
        <w:ind w:firstLine="0"/>
        <w:rPr>
          <w:rFonts w:hint="eastAsia" w:ascii="宋体" w:hAnsi="宋体"/>
          <w:sz w:val="24"/>
          <w:szCs w:val="24"/>
        </w:rPr>
      </w:pPr>
      <w:r>
        <w:rPr>
          <w:rFonts w:hint="eastAsia" w:ascii="宋体" w:hAnsi="宋体"/>
          <w:sz w:val="24"/>
          <w:szCs w:val="24"/>
        </w:rPr>
        <w:t>制造商（公章）：</w:t>
      </w:r>
    </w:p>
    <w:p>
      <w:pPr>
        <w:pStyle w:val="3"/>
        <w:spacing w:after="120" w:line="520" w:lineRule="exact"/>
        <w:ind w:firstLine="0"/>
        <w:rPr>
          <w:rFonts w:hint="eastAsia" w:ascii="宋体" w:hAnsi="宋体"/>
          <w:sz w:val="24"/>
          <w:szCs w:val="24"/>
        </w:rPr>
      </w:pPr>
      <w:r>
        <w:rPr>
          <w:rFonts w:hint="eastAsia" w:ascii="宋体" w:hAnsi="宋体"/>
          <w:sz w:val="24"/>
          <w:szCs w:val="24"/>
        </w:rPr>
        <w:t xml:space="preserve">   </w:t>
      </w:r>
    </w:p>
    <w:p>
      <w:pPr>
        <w:pStyle w:val="3"/>
        <w:spacing w:after="120" w:line="520" w:lineRule="exact"/>
        <w:ind w:firstLine="0"/>
        <w:rPr>
          <w:rFonts w:hint="eastAsia" w:ascii="宋体" w:hAnsi="宋体"/>
          <w:sz w:val="24"/>
          <w:szCs w:val="24"/>
        </w:rPr>
      </w:pPr>
      <w:r>
        <w:rPr>
          <w:rFonts w:hint="eastAsia" w:ascii="宋体" w:hAnsi="宋体"/>
          <w:sz w:val="24"/>
          <w:szCs w:val="24"/>
        </w:rPr>
        <w:t>签字人姓名及职务：</w:t>
      </w:r>
    </w:p>
    <w:p>
      <w:pPr>
        <w:pStyle w:val="3"/>
        <w:spacing w:after="120" w:line="520" w:lineRule="exact"/>
        <w:ind w:firstLine="0"/>
        <w:rPr>
          <w:rFonts w:hint="eastAsia" w:ascii="宋体" w:hAnsi="宋体"/>
          <w:sz w:val="24"/>
          <w:szCs w:val="24"/>
        </w:rPr>
      </w:pPr>
      <w:r>
        <w:rPr>
          <w:rFonts w:hint="eastAsia" w:ascii="宋体" w:hAnsi="宋体"/>
          <w:sz w:val="24"/>
          <w:szCs w:val="24"/>
        </w:rPr>
        <w:t xml:space="preserve">         </w:t>
      </w:r>
    </w:p>
    <w:p>
      <w:pPr>
        <w:pStyle w:val="3"/>
        <w:spacing w:after="120" w:line="520" w:lineRule="exact"/>
        <w:ind w:firstLine="0"/>
        <w:rPr>
          <w:rFonts w:hint="eastAsia" w:ascii="宋体" w:hAnsi="宋体"/>
          <w:sz w:val="24"/>
          <w:szCs w:val="24"/>
        </w:rPr>
      </w:pPr>
      <w:r>
        <w:rPr>
          <w:rFonts w:hint="eastAsia" w:ascii="宋体" w:hAnsi="宋体"/>
          <w:sz w:val="24"/>
          <w:szCs w:val="24"/>
        </w:rPr>
        <w:t>签字人（签名）：</w:t>
      </w:r>
    </w:p>
    <w:p>
      <w:pPr>
        <w:spacing w:line="360" w:lineRule="auto"/>
        <w:ind w:firstLine="480"/>
        <w:rPr>
          <w:rFonts w:hint="eastAsia" w:ascii="仿宋_GB2312" w:hAnsi="宋体" w:eastAsia="仿宋_GB2312"/>
          <w:b/>
          <w:i/>
          <w:iCs/>
          <w:color w:val="auto"/>
          <w:sz w:val="24"/>
        </w:rPr>
      </w:pPr>
    </w:p>
    <w:p>
      <w:pPr>
        <w:spacing w:line="360" w:lineRule="auto"/>
        <w:ind w:firstLine="480"/>
        <w:rPr>
          <w:rFonts w:hint="eastAsia" w:ascii="仿宋_GB2312" w:hAnsi="宋体"/>
          <w:b/>
          <w:i/>
          <w:iCs/>
          <w:color w:val="auto"/>
          <w:sz w:val="24"/>
        </w:rPr>
      </w:pPr>
      <w:r>
        <w:rPr>
          <w:rFonts w:hint="eastAsia" w:ascii="仿宋_GB2312" w:hAnsi="宋体" w:eastAsia="仿宋_GB2312"/>
          <w:b/>
          <w:i/>
          <w:iCs/>
          <w:color w:val="auto"/>
          <w:sz w:val="24"/>
        </w:rPr>
        <w:t>1、</w:t>
      </w:r>
      <w:r>
        <w:rPr>
          <w:rFonts w:hint="eastAsia" w:ascii="宋体" w:hAnsi="宋体"/>
          <w:b/>
          <w:i/>
          <w:iCs/>
          <w:color w:val="auto"/>
          <w:sz w:val="24"/>
          <w:szCs w:val="24"/>
        </w:rPr>
        <w:t>本授权函填写完成后须先进行纸质打印，加盖标准公章、签字人签字或签章后，以彩色扫描件形式提交上传。</w:t>
      </w:r>
    </w:p>
    <w:p>
      <w:pPr>
        <w:pStyle w:val="3"/>
        <w:spacing w:line="520" w:lineRule="exact"/>
        <w:ind w:firstLine="0"/>
        <w:rPr>
          <w:rFonts w:hint="eastAsia"/>
          <w:i/>
          <w:iCs/>
          <w:sz w:val="32"/>
        </w:rPr>
      </w:pPr>
      <w:r>
        <w:rPr>
          <w:rFonts w:ascii="宋体"/>
          <w:color w:val="auto"/>
          <w:sz w:val="24"/>
        </w:rPr>
        <w:br w:type="page"/>
      </w:r>
    </w:p>
    <w:p>
      <w:pPr>
        <w:jc w:val="center"/>
        <w:rPr>
          <w:rFonts w:hint="eastAsia" w:ascii="宋体" w:hAnsi="宋体"/>
          <w:b/>
          <w:bCs/>
          <w:sz w:val="30"/>
          <w:szCs w:val="30"/>
        </w:rPr>
      </w:pPr>
      <w:r>
        <w:rPr>
          <w:rFonts w:hint="eastAsia" w:ascii="宋体" w:hAnsi="宋体"/>
          <w:b/>
          <w:bCs/>
          <w:sz w:val="30"/>
          <w:szCs w:val="30"/>
        </w:rPr>
        <w:t>7、诚信投标承诺书</w:t>
      </w:r>
    </w:p>
    <w:p>
      <w:pPr>
        <w:rPr>
          <w:rFonts w:hint="eastAsia" w:ascii="宋体" w:hAnsi="宋体"/>
          <w:sz w:val="24"/>
        </w:rPr>
      </w:pPr>
    </w:p>
    <w:p>
      <w:pPr>
        <w:rPr>
          <w:rFonts w:hint="eastAsia" w:ascii="宋体" w:hAnsi="宋体"/>
          <w:sz w:val="24"/>
        </w:rPr>
      </w:pPr>
      <w:r>
        <w:rPr>
          <w:rFonts w:hint="eastAsia" w:ascii="宋体" w:hAnsi="宋体"/>
          <w:sz w:val="24"/>
        </w:rPr>
        <w:t>宁波国家高新区行政服务中心（宁波国家高新区公共资源交易中心）：</w:t>
      </w:r>
    </w:p>
    <w:p>
      <w:pPr>
        <w:spacing w:line="560" w:lineRule="exact"/>
        <w:ind w:firstLine="601"/>
        <w:rPr>
          <w:rFonts w:hint="eastAsia" w:ascii="宋体" w:hAnsi="宋体"/>
          <w:sz w:val="24"/>
        </w:rPr>
      </w:pPr>
      <w:r>
        <w:rPr>
          <w:rFonts w:hint="eastAsia" w:ascii="宋体" w:hAnsi="宋体"/>
          <w:sz w:val="24"/>
        </w:rPr>
        <w:t>我方愿意参与“</w:t>
      </w:r>
      <w:r>
        <w:rPr>
          <w:rFonts w:hint="eastAsia" w:ascii="宋体" w:hAnsi="宋体"/>
          <w:sz w:val="24"/>
          <w:u w:val="single"/>
        </w:rPr>
        <w:t>XXX</w:t>
      </w:r>
      <w:r>
        <w:rPr>
          <w:rFonts w:ascii="宋体" w:hAnsi="宋体"/>
          <w:sz w:val="24"/>
        </w:rPr>
        <w:t>项目</w:t>
      </w:r>
      <w:r>
        <w:rPr>
          <w:rFonts w:hint="eastAsia" w:ascii="宋体" w:hAnsi="宋体"/>
          <w:sz w:val="24"/>
        </w:rPr>
        <w:t>（采购编号：</w:t>
      </w:r>
      <w:r>
        <w:rPr>
          <w:rFonts w:hint="eastAsia" w:ascii="宋体" w:hAnsi="宋体"/>
          <w:sz w:val="24"/>
          <w:u w:val="single"/>
        </w:rPr>
        <w:t>XXX</w:t>
      </w:r>
      <w:r>
        <w:rPr>
          <w:rFonts w:hint="eastAsia" w:ascii="宋体" w:hAnsi="宋体"/>
          <w:sz w:val="24"/>
        </w:rPr>
        <w:t>）”的投标，并作出如下承诺：</w:t>
      </w:r>
    </w:p>
    <w:p>
      <w:pPr>
        <w:numPr>
          <w:ilvl w:val="0"/>
          <w:numId w:val="17"/>
        </w:numPr>
        <w:spacing w:line="560" w:lineRule="exact"/>
        <w:rPr>
          <w:rFonts w:hint="eastAsia" w:ascii="宋体" w:hAnsi="宋体"/>
          <w:sz w:val="24"/>
        </w:rPr>
      </w:pPr>
      <w:r>
        <w:rPr>
          <w:rFonts w:hint="eastAsia" w:ascii="宋体" w:hAnsi="宋体"/>
          <w:sz w:val="24"/>
        </w:rPr>
        <w:t>我方符合政府采购法第二十二条规定条件，且</w:t>
      </w:r>
      <w:r>
        <w:rPr>
          <w:rFonts w:hint="eastAsia" w:ascii="宋体" w:hAnsi="宋体" w:cs="宋体"/>
          <w:kern w:val="0"/>
          <w:sz w:val="24"/>
          <w:szCs w:val="24"/>
        </w:rPr>
        <w:t>在本项目公告日前3年内没有因违法经营受到刑事处罚或者责令停产停业、吊销许可证或者执照、需经听证程序的较大数额罚款等行政处罚的重大违法记录。</w:t>
      </w:r>
    </w:p>
    <w:p>
      <w:pPr>
        <w:numPr>
          <w:ilvl w:val="0"/>
          <w:numId w:val="17"/>
        </w:numPr>
        <w:spacing w:line="560" w:lineRule="exact"/>
        <w:rPr>
          <w:rFonts w:hint="eastAsia" w:ascii="宋体" w:hAnsi="宋体"/>
          <w:sz w:val="24"/>
        </w:rPr>
      </w:pPr>
      <w:r>
        <w:rPr>
          <w:rFonts w:hint="eastAsia" w:ascii="宋体" w:hAnsi="宋体"/>
          <w:sz w:val="24"/>
        </w:rPr>
        <w:t>与采购人</w:t>
      </w:r>
      <w:r>
        <w:rPr>
          <w:rFonts w:hint="eastAsia" w:ascii="宋体" w:hAnsi="宋体"/>
          <w:sz w:val="24"/>
          <w:u w:val="single"/>
        </w:rPr>
        <w:t>XXX</w:t>
      </w:r>
      <w:r>
        <w:rPr>
          <w:rFonts w:hint="eastAsia" w:ascii="宋体" w:hAnsi="宋体"/>
          <w:sz w:val="24"/>
        </w:rPr>
        <w:t>（填“有/无”）关联，没有采取任何影响公平投标的行为。</w:t>
      </w:r>
    </w:p>
    <w:p>
      <w:pPr>
        <w:numPr>
          <w:ilvl w:val="0"/>
          <w:numId w:val="17"/>
        </w:numPr>
        <w:spacing w:line="560" w:lineRule="exact"/>
        <w:rPr>
          <w:rFonts w:hint="eastAsia" w:ascii="宋体" w:hAnsi="宋体"/>
          <w:sz w:val="24"/>
        </w:rPr>
      </w:pPr>
      <w:r>
        <w:rPr>
          <w:rFonts w:hint="eastAsia" w:ascii="宋体" w:hAnsi="宋体"/>
          <w:sz w:val="24"/>
        </w:rPr>
        <w:t>在招投标过程中，不做以下任何事项：</w:t>
      </w:r>
    </w:p>
    <w:p>
      <w:pPr>
        <w:spacing w:line="560" w:lineRule="exact"/>
        <w:ind w:left="601"/>
        <w:rPr>
          <w:rFonts w:hint="eastAsia" w:ascii="宋体" w:hAnsi="宋体"/>
          <w:sz w:val="24"/>
        </w:rPr>
      </w:pPr>
      <w:r>
        <w:rPr>
          <w:rFonts w:hint="eastAsia" w:ascii="宋体" w:hAnsi="宋体"/>
          <w:sz w:val="24"/>
        </w:rPr>
        <w:t>（1）投标截止时间后撤回投标（包括开标后拒绝应当进行的讲标演示）；</w:t>
      </w:r>
    </w:p>
    <w:p>
      <w:pPr>
        <w:spacing w:line="560" w:lineRule="exact"/>
        <w:ind w:left="601"/>
        <w:rPr>
          <w:rFonts w:hint="eastAsia" w:ascii="宋体" w:hAnsi="宋体"/>
          <w:sz w:val="24"/>
        </w:rPr>
      </w:pPr>
      <w:r>
        <w:rPr>
          <w:rFonts w:hint="eastAsia" w:ascii="宋体" w:hAnsi="宋体"/>
          <w:sz w:val="24"/>
        </w:rPr>
        <w:t>（2）投标文件中提供虚假材料或不实材料；</w:t>
      </w:r>
    </w:p>
    <w:p>
      <w:pPr>
        <w:spacing w:line="560" w:lineRule="exact"/>
        <w:ind w:left="601"/>
        <w:rPr>
          <w:rFonts w:hint="eastAsia" w:ascii="宋体" w:hAnsi="宋体"/>
          <w:sz w:val="24"/>
        </w:rPr>
      </w:pPr>
      <w:r>
        <w:rPr>
          <w:rFonts w:hint="eastAsia" w:ascii="宋体" w:hAnsi="宋体"/>
          <w:sz w:val="24"/>
        </w:rPr>
        <w:t>（3）与其他投标人达成可能限制竞争的协议；</w:t>
      </w:r>
    </w:p>
    <w:p>
      <w:pPr>
        <w:spacing w:line="560" w:lineRule="exact"/>
        <w:ind w:left="601"/>
        <w:rPr>
          <w:rFonts w:hint="eastAsia" w:ascii="宋体" w:hAnsi="宋体"/>
          <w:sz w:val="24"/>
        </w:rPr>
      </w:pPr>
      <w:r>
        <w:rPr>
          <w:rFonts w:hint="eastAsia" w:ascii="宋体" w:hAnsi="宋体"/>
          <w:sz w:val="24"/>
        </w:rPr>
        <w:t>（4）为影响投标而向有关招标当事人提供金钱、物质及服务；</w:t>
      </w:r>
    </w:p>
    <w:p>
      <w:pPr>
        <w:spacing w:line="560" w:lineRule="exact"/>
        <w:ind w:left="601"/>
        <w:rPr>
          <w:rFonts w:hint="eastAsia" w:ascii="宋体" w:hAnsi="宋体"/>
          <w:sz w:val="24"/>
        </w:rPr>
      </w:pPr>
      <w:r>
        <w:rPr>
          <w:rFonts w:hint="eastAsia" w:ascii="宋体" w:hAnsi="宋体"/>
          <w:sz w:val="24"/>
        </w:rPr>
        <w:t>（5）与其他投标人围标、陪标；</w:t>
      </w:r>
    </w:p>
    <w:p>
      <w:pPr>
        <w:spacing w:line="560" w:lineRule="exact"/>
        <w:ind w:left="601"/>
        <w:rPr>
          <w:rFonts w:hint="eastAsia" w:ascii="宋体" w:hAnsi="宋体"/>
          <w:sz w:val="24"/>
        </w:rPr>
      </w:pPr>
      <w:r>
        <w:rPr>
          <w:rFonts w:hint="eastAsia" w:ascii="宋体" w:hAnsi="宋体"/>
          <w:sz w:val="24"/>
        </w:rPr>
        <w:t>（6）其他任何串通投标行为。</w:t>
      </w:r>
    </w:p>
    <w:p>
      <w:pPr>
        <w:tabs>
          <w:tab w:val="left" w:pos="720"/>
        </w:tabs>
        <w:spacing w:line="560" w:lineRule="exact"/>
        <w:ind w:firstLine="600" w:firstLineChars="250"/>
        <w:rPr>
          <w:rFonts w:hint="eastAsia" w:ascii="宋体" w:hAnsi="宋体"/>
          <w:sz w:val="24"/>
        </w:rPr>
      </w:pPr>
      <w:r>
        <w:rPr>
          <w:rFonts w:hint="eastAsia" w:ascii="宋体" w:hAnsi="宋体"/>
          <w:sz w:val="24"/>
        </w:rPr>
        <w:t>3、保证所投产品来自合法的供货渠道。</w:t>
      </w:r>
    </w:p>
    <w:p>
      <w:pPr>
        <w:tabs>
          <w:tab w:val="left" w:pos="720"/>
        </w:tabs>
        <w:spacing w:line="560" w:lineRule="exact"/>
        <w:ind w:firstLine="600" w:firstLineChars="250"/>
        <w:rPr>
          <w:rFonts w:hint="eastAsia" w:ascii="宋体" w:hAnsi="宋体"/>
          <w:sz w:val="24"/>
        </w:rPr>
      </w:pPr>
      <w:r>
        <w:rPr>
          <w:rFonts w:hint="eastAsia" w:ascii="宋体" w:hAnsi="宋体"/>
          <w:sz w:val="24"/>
        </w:rPr>
        <w:t>4、若中标后，保证按照投标承诺及时签订合同并履约。</w:t>
      </w:r>
    </w:p>
    <w:p>
      <w:pPr>
        <w:tabs>
          <w:tab w:val="left" w:pos="720"/>
        </w:tabs>
        <w:spacing w:line="560" w:lineRule="exact"/>
        <w:ind w:firstLine="600" w:firstLineChars="250"/>
        <w:rPr>
          <w:rFonts w:hint="eastAsia" w:ascii="宋体" w:hAnsi="宋体"/>
          <w:sz w:val="24"/>
        </w:rPr>
      </w:pPr>
      <w:r>
        <w:rPr>
          <w:rFonts w:hint="eastAsia" w:ascii="宋体" w:hAnsi="宋体"/>
          <w:sz w:val="24"/>
        </w:rPr>
        <w:t>我方若违背以上承诺，接受在政府采购指定媒体上公告曝光处理，同时承担依据国家法律法规追究的其他责任。</w:t>
      </w:r>
    </w:p>
    <w:p>
      <w:pPr>
        <w:spacing w:line="240" w:lineRule="atLeast"/>
        <w:ind w:left="-720" w:leftChars="-343" w:right="-960" w:firstLine="480" w:firstLineChars="200"/>
        <w:rPr>
          <w:rFonts w:hint="eastAsia" w:ascii="宋体" w:hAnsi="宋体"/>
          <w:sz w:val="24"/>
          <w:szCs w:val="24"/>
        </w:rPr>
      </w:pPr>
    </w:p>
    <w:p>
      <w:pPr>
        <w:spacing w:line="240" w:lineRule="atLeast"/>
        <w:ind w:left="-720" w:leftChars="-343" w:right="-960" w:firstLine="480" w:firstLineChars="200"/>
        <w:rPr>
          <w:rFonts w:hint="eastAsia" w:ascii="宋体" w:hAnsi="宋体"/>
          <w:sz w:val="24"/>
          <w:szCs w:val="24"/>
        </w:rPr>
      </w:pPr>
    </w:p>
    <w:p>
      <w:pPr>
        <w:spacing w:line="240" w:lineRule="atLeast"/>
        <w:ind w:left="-720" w:leftChars="-343" w:right="-960" w:firstLine="480" w:firstLineChars="200"/>
        <w:rPr>
          <w:rFonts w:hint="eastAsia" w:ascii="宋体" w:hAnsi="宋体"/>
          <w:sz w:val="24"/>
          <w:szCs w:val="24"/>
        </w:rPr>
      </w:pPr>
      <w:r>
        <w:rPr>
          <w:rFonts w:hint="eastAsia" w:ascii="宋体" w:hAnsi="宋体"/>
          <w:sz w:val="24"/>
          <w:szCs w:val="24"/>
        </w:rPr>
        <w:t xml:space="preserve">                         投标单位（盖CA章）：</w:t>
      </w:r>
    </w:p>
    <w:p>
      <w:pPr>
        <w:spacing w:line="240" w:lineRule="atLeast"/>
        <w:ind w:left="-720" w:right="-960"/>
        <w:rPr>
          <w:rFonts w:hint="eastAsia" w:ascii="宋体" w:hAnsi="宋体"/>
          <w:sz w:val="24"/>
          <w:szCs w:val="24"/>
        </w:rPr>
      </w:pPr>
    </w:p>
    <w:p>
      <w:pPr>
        <w:spacing w:line="240" w:lineRule="atLeast"/>
        <w:ind w:left="-720" w:right="-960"/>
        <w:rPr>
          <w:rFonts w:hint="eastAsia" w:ascii="宋体" w:hAnsi="宋体"/>
          <w:sz w:val="24"/>
          <w:szCs w:val="24"/>
        </w:rPr>
      </w:pPr>
    </w:p>
    <w:p>
      <w:pPr>
        <w:tabs>
          <w:tab w:val="left" w:pos="845"/>
        </w:tabs>
        <w:spacing w:line="360" w:lineRule="auto"/>
        <w:rPr>
          <w:rFonts w:hint="eastAsia" w:ascii="宋体" w:hAnsi="宋体"/>
          <w:sz w:val="24"/>
          <w:szCs w:val="24"/>
        </w:rPr>
      </w:pPr>
    </w:p>
    <w:p>
      <w:pPr>
        <w:tabs>
          <w:tab w:val="left" w:pos="845"/>
        </w:tabs>
        <w:spacing w:line="360" w:lineRule="auto"/>
        <w:jc w:val="center"/>
        <w:rPr>
          <w:rFonts w:hint="eastAsia" w:ascii="宋体" w:hAnsi="宋体"/>
          <w:sz w:val="24"/>
          <w:szCs w:val="24"/>
        </w:rPr>
      </w:pPr>
      <w:r>
        <w:rPr>
          <w:rFonts w:hint="eastAsia" w:ascii="宋体" w:hAnsi="宋体"/>
          <w:sz w:val="24"/>
          <w:szCs w:val="24"/>
        </w:rPr>
        <w:t>日  期：</w:t>
      </w:r>
    </w:p>
    <w:p>
      <w:pPr>
        <w:tabs>
          <w:tab w:val="left" w:pos="845"/>
        </w:tabs>
        <w:spacing w:line="360" w:lineRule="auto"/>
        <w:rPr>
          <w:rFonts w:hint="eastAsia" w:ascii="宋体" w:hAnsi="宋体"/>
          <w:b/>
          <w:bCs/>
          <w:sz w:val="24"/>
          <w:szCs w:val="24"/>
        </w:rPr>
      </w:pPr>
    </w:p>
    <w:p>
      <w:pPr>
        <w:tabs>
          <w:tab w:val="left" w:pos="845"/>
        </w:tabs>
        <w:spacing w:line="360" w:lineRule="auto"/>
        <w:rPr>
          <w:rFonts w:hint="eastAsia" w:ascii="宋体" w:hAnsi="宋体"/>
          <w:b/>
          <w:bCs/>
          <w:sz w:val="24"/>
          <w:szCs w:val="24"/>
        </w:rPr>
      </w:pPr>
      <w:r>
        <w:rPr>
          <w:rFonts w:hint="eastAsia" w:ascii="宋体" w:hAnsi="宋体"/>
          <w:b/>
          <w:bCs/>
          <w:sz w:val="24"/>
          <w:szCs w:val="24"/>
        </w:rPr>
        <w:t>特别说明：本承诺书不得实质性改动，否则视为无效标。</w:t>
      </w:r>
    </w:p>
    <w:p>
      <w:pPr>
        <w:tabs>
          <w:tab w:val="left" w:pos="845"/>
        </w:tabs>
        <w:spacing w:line="360" w:lineRule="auto"/>
        <w:jc w:val="center"/>
        <w:rPr>
          <w:rFonts w:hint="eastAsia"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rPr>
        <w:t>8、中小微企业</w:t>
      </w:r>
      <w:r>
        <w:rPr>
          <w:rFonts w:ascii="黑体" w:hAnsi="宋体" w:eastAsia="黑体"/>
          <w:b/>
          <w:bCs/>
          <w:sz w:val="28"/>
          <w:szCs w:val="28"/>
        </w:rPr>
        <w:t>声明函</w:t>
      </w:r>
    </w:p>
    <w:p>
      <w:pPr>
        <w:widowControl/>
        <w:spacing w:before="100" w:beforeAutospacing="1" w:after="100" w:afterAutospacing="1" w:line="432" w:lineRule="auto"/>
        <w:jc w:val="left"/>
        <w:rPr>
          <w:rFonts w:hint="eastAsia" w:ascii="宋体" w:hAnsi="宋体" w:cs="宋体"/>
          <w:kern w:val="0"/>
          <w:sz w:val="24"/>
          <w:szCs w:val="24"/>
        </w:rPr>
      </w:pPr>
      <w:r>
        <w:rPr>
          <w:rFonts w:ascii="ˎ̥" w:hAnsi="ˎ̥" w:cs="宋体"/>
          <w:kern w:val="0"/>
          <w:sz w:val="24"/>
          <w:szCs w:val="24"/>
        </w:rPr>
        <w:t> 　　</w:t>
      </w:r>
      <w:r>
        <w:rPr>
          <w:rFonts w:hint="eastAsia" w:ascii="宋体" w:hAnsi="宋体" w:cs="宋体"/>
          <w:kern w:val="0"/>
          <w:sz w:val="24"/>
          <w:szCs w:val="24"/>
        </w:rPr>
        <w:t>根据《政府采购法实施条例》、</w:t>
      </w:r>
      <w:r>
        <w:rPr>
          <w:rFonts w:hint="eastAsia" w:ascii="宋体" w:hAnsi="宋体" w:cs="宋体"/>
          <w:color w:val="000000"/>
          <w:kern w:val="0"/>
          <w:sz w:val="24"/>
          <w:szCs w:val="24"/>
        </w:rPr>
        <w:t>《政府采购促进中小企业发展管理办法》（财库[2020]46号）</w:t>
      </w:r>
      <w:r>
        <w:rPr>
          <w:rFonts w:hint="eastAsia" w:ascii="宋体" w:hAnsi="宋体" w:cs="宋体"/>
          <w:kern w:val="0"/>
          <w:sz w:val="24"/>
          <w:szCs w:val="24"/>
        </w:rPr>
        <w:t>、宁波市财政局《关于政府采购促进中小企业发展若干问题的通知》（甬采购办[2012]1427号）的规定，本单位郑重声明：</w:t>
      </w:r>
    </w:p>
    <w:p>
      <w:pPr>
        <w:widowControl/>
        <w:numPr>
          <w:ilvl w:val="0"/>
          <w:numId w:val="18"/>
        </w:numPr>
        <w:spacing w:before="100" w:beforeAutospacing="1" w:after="100" w:afterAutospacing="1" w:line="432" w:lineRule="auto"/>
        <w:ind w:firstLine="480"/>
        <w:jc w:val="left"/>
        <w:rPr>
          <w:rFonts w:hint="eastAsia" w:ascii="宋体" w:hAnsi="宋体" w:cs="宋体"/>
          <w:kern w:val="0"/>
          <w:sz w:val="24"/>
          <w:szCs w:val="24"/>
        </w:rPr>
      </w:pPr>
      <w:r>
        <w:rPr>
          <w:rFonts w:hint="eastAsia" w:ascii="宋体" w:hAnsi="宋体" w:cs="宋体"/>
          <w:kern w:val="0"/>
          <w:sz w:val="24"/>
          <w:szCs w:val="24"/>
        </w:rPr>
        <w:t>依据工业和信息化部、国家统计局、国家发展和改革委员会、财政部《关于印发中小企业划型标准规定的通知》（工信部联企业[2011]300号）规定的划分标准，本单位为</w:t>
      </w:r>
      <w:r>
        <w:rPr>
          <w:rFonts w:hint="eastAsia" w:ascii="宋体" w:hAnsi="宋体" w:cs="宋体"/>
          <w:kern w:val="0"/>
          <w:sz w:val="24"/>
          <w:szCs w:val="24"/>
          <w:u w:val="single"/>
        </w:rPr>
        <w:t>XXX</w:t>
      </w:r>
      <w:r>
        <w:rPr>
          <w:rFonts w:hint="eastAsia" w:ascii="宋体" w:hAnsi="宋体" w:cs="宋体"/>
          <w:kern w:val="0"/>
          <w:sz w:val="24"/>
          <w:szCs w:val="24"/>
        </w:rPr>
        <w:t>（中型、小型、微型）企业，所属行业为</w:t>
      </w:r>
      <w:r>
        <w:rPr>
          <w:rFonts w:hint="eastAsia" w:ascii="宋体" w:hAnsi="宋体" w:cs="宋体"/>
          <w:kern w:val="0"/>
          <w:sz w:val="24"/>
          <w:szCs w:val="24"/>
          <w:u w:val="single"/>
        </w:rPr>
        <w:t>XXXXX</w:t>
      </w:r>
      <w:r>
        <w:rPr>
          <w:rFonts w:hint="eastAsia" w:ascii="宋体" w:hAnsi="宋体" w:cs="宋体"/>
          <w:kern w:val="0"/>
          <w:sz w:val="24"/>
          <w:szCs w:val="24"/>
        </w:rPr>
        <w:t>、上年末从业人员</w:t>
      </w:r>
      <w:r>
        <w:rPr>
          <w:rFonts w:hint="eastAsia" w:ascii="宋体" w:hAnsi="宋体" w:cs="宋体"/>
          <w:kern w:val="0"/>
          <w:sz w:val="24"/>
          <w:szCs w:val="24"/>
          <w:u w:val="single"/>
        </w:rPr>
        <w:t>XXX</w:t>
      </w:r>
      <w:r>
        <w:rPr>
          <w:rFonts w:hint="eastAsia" w:ascii="宋体" w:hAnsi="宋体" w:cs="宋体"/>
          <w:kern w:val="0"/>
          <w:sz w:val="24"/>
          <w:szCs w:val="24"/>
        </w:rPr>
        <w:t>人、上年营业收入</w:t>
      </w:r>
      <w:r>
        <w:rPr>
          <w:rFonts w:hint="eastAsia" w:ascii="宋体" w:hAnsi="宋体" w:cs="宋体"/>
          <w:kern w:val="0"/>
          <w:sz w:val="24"/>
          <w:szCs w:val="24"/>
          <w:u w:val="single"/>
        </w:rPr>
        <w:t>XXX</w:t>
      </w:r>
      <w:r>
        <w:rPr>
          <w:rFonts w:hint="eastAsia" w:ascii="宋体" w:hAnsi="宋体" w:cs="宋体"/>
          <w:kern w:val="0"/>
          <w:sz w:val="24"/>
          <w:szCs w:val="24"/>
        </w:rPr>
        <w:t>万元、上年资产总额</w:t>
      </w:r>
      <w:r>
        <w:rPr>
          <w:rFonts w:hint="eastAsia" w:ascii="宋体" w:hAnsi="宋体" w:cs="宋体"/>
          <w:kern w:val="0"/>
          <w:sz w:val="24"/>
          <w:szCs w:val="24"/>
          <w:u w:val="single"/>
        </w:rPr>
        <w:t>XXX</w:t>
      </w:r>
      <w:r>
        <w:rPr>
          <w:rFonts w:hint="eastAsia" w:ascii="宋体" w:hAnsi="宋体" w:cs="宋体"/>
          <w:kern w:val="0"/>
          <w:sz w:val="24"/>
          <w:szCs w:val="24"/>
        </w:rPr>
        <w:t>万元。</w:t>
      </w:r>
    </w:p>
    <w:p>
      <w:pPr>
        <w:widowControl/>
        <w:numPr>
          <w:ilvl w:val="0"/>
          <w:numId w:val="18"/>
        </w:numPr>
        <w:spacing w:before="100" w:beforeAutospacing="1" w:after="100" w:afterAutospacing="1" w:line="432" w:lineRule="auto"/>
        <w:ind w:firstLine="480"/>
        <w:jc w:val="left"/>
        <w:rPr>
          <w:rFonts w:hint="eastAsia" w:ascii="宋体" w:hAnsi="宋体" w:cs="宋体"/>
          <w:b/>
          <w:bCs/>
          <w:kern w:val="0"/>
          <w:sz w:val="24"/>
          <w:szCs w:val="24"/>
        </w:rPr>
      </w:pPr>
      <w:r>
        <w:rPr>
          <w:rFonts w:hint="eastAsia" w:ascii="宋体" w:hAnsi="宋体" w:cs="宋体"/>
          <w:kern w:val="0"/>
          <w:sz w:val="24"/>
          <w:szCs w:val="24"/>
        </w:rPr>
        <w:t>本单位参加</w:t>
      </w:r>
      <w:r>
        <w:rPr>
          <w:rFonts w:hint="eastAsia" w:ascii="宋体" w:hAnsi="宋体" w:cs="宋体"/>
          <w:kern w:val="0"/>
          <w:sz w:val="24"/>
          <w:szCs w:val="24"/>
          <w:u w:val="single"/>
        </w:rPr>
        <w:t>XXXXXX</w:t>
      </w:r>
      <w:r>
        <w:rPr>
          <w:rFonts w:hint="eastAsia" w:ascii="宋体" w:hAnsi="宋体" w:cs="宋体"/>
          <w:kern w:val="0"/>
          <w:sz w:val="24"/>
          <w:szCs w:val="24"/>
        </w:rPr>
        <w:t>项目（采购编号</w:t>
      </w:r>
      <w:r>
        <w:rPr>
          <w:rFonts w:hint="eastAsia" w:ascii="宋体" w:hAnsi="宋体" w:cs="宋体"/>
          <w:kern w:val="0"/>
          <w:sz w:val="24"/>
          <w:szCs w:val="24"/>
          <w:u w:val="single"/>
        </w:rPr>
        <w:t>XXXX</w:t>
      </w:r>
      <w:r>
        <w:rPr>
          <w:rFonts w:hint="eastAsia" w:ascii="宋体" w:hAnsi="宋体" w:cs="宋体"/>
          <w:kern w:val="0"/>
          <w:sz w:val="24"/>
          <w:szCs w:val="24"/>
        </w:rPr>
        <w:t>标段/包</w:t>
      </w:r>
      <w:r>
        <w:rPr>
          <w:rFonts w:hint="eastAsia" w:ascii="宋体" w:hAnsi="宋体" w:cs="宋体"/>
          <w:kern w:val="0"/>
          <w:sz w:val="24"/>
          <w:szCs w:val="24"/>
          <w:u w:val="single"/>
        </w:rPr>
        <w:t>X</w:t>
      </w:r>
      <w:r>
        <w:rPr>
          <w:rFonts w:hint="eastAsia" w:ascii="宋体" w:hAnsi="宋体" w:cs="宋体"/>
          <w:kern w:val="0"/>
          <w:sz w:val="24"/>
          <w:szCs w:val="24"/>
        </w:rPr>
        <w:t>）采购活动，其中：由本单位承担工程金额为</w:t>
      </w:r>
      <w:r>
        <w:rPr>
          <w:rFonts w:hint="eastAsia" w:ascii="宋体" w:hAnsi="宋体" w:cs="宋体"/>
          <w:kern w:val="0"/>
          <w:sz w:val="24"/>
          <w:szCs w:val="24"/>
          <w:u w:val="single"/>
        </w:rPr>
        <w:t>XXX</w:t>
      </w:r>
      <w:r>
        <w:rPr>
          <w:rFonts w:hint="eastAsia" w:ascii="宋体" w:hAnsi="宋体" w:cs="宋体"/>
          <w:kern w:val="0"/>
          <w:sz w:val="24"/>
          <w:szCs w:val="24"/>
        </w:rPr>
        <w:t>万元、本单位提供服务金额为</w:t>
      </w:r>
      <w:r>
        <w:rPr>
          <w:rFonts w:hint="eastAsia" w:ascii="宋体" w:hAnsi="宋体" w:cs="宋体"/>
          <w:kern w:val="0"/>
          <w:sz w:val="24"/>
          <w:szCs w:val="24"/>
          <w:u w:val="single"/>
        </w:rPr>
        <w:t>XXX</w:t>
      </w:r>
      <w:r>
        <w:rPr>
          <w:rFonts w:hint="eastAsia" w:ascii="宋体" w:hAnsi="宋体" w:cs="宋体"/>
          <w:kern w:val="0"/>
          <w:sz w:val="24"/>
          <w:szCs w:val="24"/>
        </w:rPr>
        <w:t>万元、本单位制造的货物金额为</w:t>
      </w:r>
      <w:r>
        <w:rPr>
          <w:rFonts w:hint="eastAsia" w:ascii="宋体" w:hAnsi="宋体" w:cs="宋体"/>
          <w:kern w:val="0"/>
          <w:sz w:val="24"/>
          <w:szCs w:val="24"/>
          <w:u w:val="single"/>
        </w:rPr>
        <w:t>XXX</w:t>
      </w:r>
      <w:r>
        <w:rPr>
          <w:rFonts w:hint="eastAsia" w:ascii="宋体" w:hAnsi="宋体" w:cs="宋体"/>
          <w:kern w:val="0"/>
          <w:sz w:val="24"/>
          <w:szCs w:val="24"/>
        </w:rPr>
        <w:t>万元，或者提供其他中型企业制造的货物金额为</w:t>
      </w:r>
      <w:r>
        <w:rPr>
          <w:rFonts w:hint="eastAsia" w:ascii="宋体" w:hAnsi="宋体" w:cs="宋体"/>
          <w:kern w:val="0"/>
          <w:sz w:val="24"/>
          <w:szCs w:val="24"/>
          <w:u w:val="single"/>
        </w:rPr>
        <w:t>XXX</w:t>
      </w:r>
      <w:r>
        <w:rPr>
          <w:rFonts w:hint="eastAsia" w:ascii="宋体" w:hAnsi="宋体" w:cs="宋体"/>
          <w:kern w:val="0"/>
          <w:sz w:val="24"/>
          <w:szCs w:val="24"/>
        </w:rPr>
        <w:t>万元、其他小型企业制造的货物金额为</w:t>
      </w:r>
      <w:r>
        <w:rPr>
          <w:rFonts w:hint="eastAsia" w:ascii="宋体" w:hAnsi="宋体" w:cs="宋体"/>
          <w:kern w:val="0"/>
          <w:sz w:val="24"/>
          <w:szCs w:val="24"/>
          <w:u w:val="single"/>
        </w:rPr>
        <w:t>XXX</w:t>
      </w:r>
      <w:r>
        <w:rPr>
          <w:rFonts w:hint="eastAsia" w:ascii="宋体" w:hAnsi="宋体" w:cs="宋体"/>
          <w:kern w:val="0"/>
          <w:sz w:val="24"/>
          <w:szCs w:val="24"/>
        </w:rPr>
        <w:t>万元、其他微型企业制造的货物金额为</w:t>
      </w:r>
      <w:r>
        <w:rPr>
          <w:rFonts w:hint="eastAsia" w:ascii="宋体" w:hAnsi="宋体" w:cs="宋体"/>
          <w:kern w:val="0"/>
          <w:sz w:val="24"/>
          <w:szCs w:val="24"/>
          <w:u w:val="single"/>
        </w:rPr>
        <w:t>XXX</w:t>
      </w:r>
      <w:r>
        <w:rPr>
          <w:rFonts w:hint="eastAsia" w:ascii="宋体" w:hAnsi="宋体" w:cs="宋体"/>
          <w:kern w:val="0"/>
          <w:sz w:val="24"/>
          <w:szCs w:val="24"/>
        </w:rPr>
        <w:t>万元。</w:t>
      </w:r>
      <w:r>
        <w:rPr>
          <w:rFonts w:hint="eastAsia" w:ascii="宋体" w:hAnsi="宋体"/>
          <w:b/>
          <w:bCs/>
          <w:sz w:val="24"/>
          <w:szCs w:val="24"/>
        </w:rPr>
        <w:t>本条所称货物不包括使用大型企业注册商标的货物。</w:t>
      </w:r>
    </w:p>
    <w:p>
      <w:pPr>
        <w:widowControl/>
        <w:spacing w:before="100" w:beforeAutospacing="1" w:after="100" w:afterAutospacing="1" w:line="432" w:lineRule="auto"/>
        <w:jc w:val="left"/>
        <w:rPr>
          <w:rFonts w:hint="eastAsia" w:ascii="宋体" w:hAnsi="宋体" w:cs="宋体"/>
          <w:kern w:val="0"/>
          <w:sz w:val="24"/>
          <w:szCs w:val="24"/>
        </w:rPr>
      </w:pPr>
      <w:r>
        <w:rPr>
          <w:rFonts w:hint="eastAsia" w:ascii="宋体" w:hAnsi="宋体" w:cs="宋体"/>
          <w:kern w:val="0"/>
          <w:sz w:val="24"/>
          <w:szCs w:val="24"/>
        </w:rPr>
        <w:t>　　本单位对上述声明的真实性负责，如有虚假，依法承担相应责任。</w:t>
      </w:r>
    </w:p>
    <w:p>
      <w:pPr>
        <w:widowControl/>
        <w:spacing w:before="100" w:beforeAutospacing="1" w:after="100" w:afterAutospacing="1" w:line="432" w:lineRule="auto"/>
        <w:jc w:val="left"/>
        <w:rPr>
          <w:rFonts w:hint="eastAsia" w:ascii="宋体" w:hAnsi="宋体" w:cs="宋体"/>
          <w:kern w:val="0"/>
          <w:sz w:val="24"/>
          <w:szCs w:val="24"/>
        </w:rPr>
      </w:pPr>
      <w:r>
        <w:rPr>
          <w:rFonts w:hint="eastAsia" w:ascii="宋体" w:hAnsi="宋体" w:cs="宋体"/>
          <w:kern w:val="0"/>
          <w:sz w:val="24"/>
          <w:szCs w:val="24"/>
        </w:rPr>
        <w:t> 　　投标单位名称（盖CA章）：</w:t>
      </w:r>
    </w:p>
    <w:p>
      <w:pPr>
        <w:widowControl/>
        <w:spacing w:before="100" w:beforeAutospacing="1" w:after="100" w:afterAutospacing="1" w:line="432" w:lineRule="auto"/>
        <w:jc w:val="left"/>
        <w:rPr>
          <w:rFonts w:hint="eastAsia" w:ascii="宋体" w:hAnsi="宋体" w:cs="宋体"/>
          <w:kern w:val="0"/>
          <w:sz w:val="24"/>
          <w:szCs w:val="24"/>
        </w:rPr>
      </w:pPr>
      <w:r>
        <w:rPr>
          <w:rFonts w:hint="eastAsia" w:ascii="宋体" w:hAnsi="宋体" w:cs="宋体"/>
          <w:kern w:val="0"/>
          <w:sz w:val="24"/>
          <w:szCs w:val="24"/>
        </w:rPr>
        <w:t> 　　日  期：</w:t>
      </w:r>
    </w:p>
    <w:p>
      <w:pPr>
        <w:pStyle w:val="3"/>
        <w:spacing w:line="520" w:lineRule="exact"/>
        <w:ind w:firstLine="0"/>
        <w:rPr>
          <w:rFonts w:hint="eastAsia"/>
        </w:rPr>
      </w:pPr>
    </w:p>
    <w:p>
      <w:pPr>
        <w:pStyle w:val="3"/>
        <w:spacing w:line="520" w:lineRule="exact"/>
        <w:ind w:firstLine="0"/>
        <w:rPr>
          <w:rFonts w:hint="eastAsia"/>
        </w:rPr>
      </w:pPr>
      <w:r>
        <w:rPr>
          <w:rFonts w:hint="eastAsia"/>
        </w:rPr>
        <w:br w:type="page"/>
      </w:r>
      <w:r>
        <w:rPr>
          <w:rFonts w:hint="eastAsia"/>
        </w:rPr>
        <w:t>填写说明：</w:t>
      </w:r>
    </w:p>
    <w:p>
      <w:pPr>
        <w:pStyle w:val="3"/>
        <w:spacing w:line="520" w:lineRule="exact"/>
        <w:ind w:firstLine="0"/>
        <w:rPr>
          <w:rFonts w:hint="eastAsia" w:ascii="ˎ̥" w:hAnsi="ˎ̥" w:cs="宋体"/>
          <w:kern w:val="0"/>
          <w:szCs w:val="21"/>
        </w:rPr>
      </w:pPr>
      <w:r>
        <w:rPr>
          <w:rFonts w:hint="eastAsia" w:ascii="ˎ̥" w:hAnsi="ˎ̥" w:cs="宋体"/>
          <w:kern w:val="0"/>
          <w:szCs w:val="21"/>
        </w:rPr>
        <w:t>1、根据</w:t>
      </w:r>
      <w:r>
        <w:rPr>
          <w:rFonts w:ascii="ˎ̥" w:hAnsi="ˎ̥" w:cs="宋体"/>
          <w:kern w:val="0"/>
          <w:szCs w:val="21"/>
        </w:rPr>
        <w:t>工信部联企业[2011]300号</w:t>
      </w:r>
      <w:r>
        <w:rPr>
          <w:rFonts w:hint="eastAsia" w:ascii="ˎ̥" w:hAnsi="ˎ̥" w:cs="宋体"/>
          <w:kern w:val="0"/>
          <w:szCs w:val="21"/>
        </w:rPr>
        <w:t>文件规定，具体企业行业分为：</w:t>
      </w:r>
      <w:r>
        <w:rPr>
          <w:rFonts w:ascii="ˎ̥" w:hAnsi="ˎ̥" w:cs="宋体"/>
          <w:kern w:val="0"/>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ˎ̥" w:hAnsi="ˎ̥" w:cs="宋体"/>
          <w:kern w:val="0"/>
          <w:szCs w:val="21"/>
        </w:rPr>
        <w:t>一般研发、生产、加工型企业填写工业，销售、贸易型企业填写批发业，具体行业划分依据国家统计局网站公布的</w:t>
      </w:r>
      <w:r>
        <w:rPr>
          <w:rFonts w:ascii="ˎ̥" w:hAnsi="ˎ̥" w:cs="宋体"/>
          <w:kern w:val="0"/>
          <w:szCs w:val="21"/>
        </w:rPr>
        <w:t>《国民经济行业分类》</w:t>
      </w:r>
      <w:r>
        <w:rPr>
          <w:rFonts w:hint="eastAsia" w:ascii="ˎ̥" w:hAnsi="ˎ̥" w:cs="宋体"/>
          <w:kern w:val="0"/>
          <w:szCs w:val="21"/>
        </w:rPr>
        <w:t>标准规定。</w:t>
      </w:r>
    </w:p>
    <w:p>
      <w:pPr>
        <w:pStyle w:val="3"/>
        <w:spacing w:line="520" w:lineRule="exact"/>
        <w:ind w:firstLine="0"/>
        <w:rPr>
          <w:rFonts w:hint="eastAsia" w:ascii="ˎ̥" w:hAnsi="ˎ̥" w:cs="宋体"/>
          <w:kern w:val="0"/>
          <w:szCs w:val="21"/>
        </w:rPr>
      </w:pPr>
      <w:r>
        <w:rPr>
          <w:rFonts w:hint="eastAsia" w:ascii="ˎ̥" w:hAnsi="ˎ̥" w:cs="宋体"/>
          <w:kern w:val="0"/>
          <w:szCs w:val="21"/>
        </w:rPr>
        <w:t>各行业企业划型标准：</w:t>
      </w:r>
    </w:p>
    <w:p>
      <w:pPr>
        <w:widowControl/>
        <w:spacing w:line="300" w:lineRule="atLeast"/>
        <w:ind w:firstLine="425"/>
        <w:jc w:val="left"/>
        <w:rPr>
          <w:rFonts w:ascii="ˎ̥" w:hAnsi="ˎ̥" w:cs="宋体"/>
          <w:kern w:val="0"/>
          <w:sz w:val="18"/>
          <w:szCs w:val="18"/>
        </w:rPr>
      </w:pPr>
      <w:r>
        <w:rPr>
          <w:rFonts w:ascii="ˎ̥" w:hAnsi="ˎ̥" w:cs="宋体"/>
          <w:kern w:val="0"/>
          <w:sz w:val="18"/>
          <w:szCs w:val="18"/>
        </w:rPr>
        <w:t>（</w:t>
      </w:r>
      <w:r>
        <w:rPr>
          <w:rFonts w:hint="eastAsia" w:ascii="ˎ̥" w:hAnsi="ˎ̥" w:cs="宋体"/>
          <w:kern w:val="0"/>
          <w:sz w:val="18"/>
          <w:szCs w:val="18"/>
        </w:rPr>
        <w:t>1</w:t>
      </w:r>
      <w:r>
        <w:rPr>
          <w:rFonts w:ascii="ˎ̥" w:hAnsi="ˎ̥" w:cs="宋体"/>
          <w:kern w:val="0"/>
          <w:sz w:val="18"/>
          <w:szCs w:val="18"/>
        </w:rPr>
        <w:t>）农、林、牧、渔业。营业收入20000万元以下的为中小微型企业。其中，营业收入500万元及以上的为中型企业，营业收入50万元及以上的为小型企业，营业收入50万元以下的为微型企业。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2</w:t>
      </w:r>
      <w:r>
        <w:rPr>
          <w:rFonts w:ascii="ˎ̥" w:hAnsi="ˎ̥" w:cs="宋体"/>
          <w:kern w:val="0"/>
          <w:sz w:val="18"/>
          <w:szCs w:val="18"/>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3</w:t>
      </w:r>
      <w:r>
        <w:rPr>
          <w:rFonts w:ascii="ˎ̥" w:hAnsi="ˎ̥" w:cs="宋体"/>
          <w:kern w:val="0"/>
          <w:sz w:val="18"/>
          <w:szCs w:val="18"/>
        </w:rPr>
        <w:t>）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4</w:t>
      </w:r>
      <w:r>
        <w:rPr>
          <w:rFonts w:ascii="ˎ̥" w:hAnsi="ˎ̥" w:cs="宋体"/>
          <w:kern w:val="0"/>
          <w:sz w:val="18"/>
          <w:szCs w:val="18"/>
        </w:rPr>
        <w:t>）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5</w:t>
      </w:r>
      <w:r>
        <w:rPr>
          <w:rFonts w:ascii="ˎ̥" w:hAnsi="ˎ̥" w:cs="宋体"/>
          <w:kern w:val="0"/>
          <w:sz w:val="18"/>
          <w:szCs w:val="18"/>
        </w:rPr>
        <w:t>）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6</w:t>
      </w:r>
      <w:r>
        <w:rPr>
          <w:rFonts w:ascii="ˎ̥" w:hAnsi="ˎ̥" w:cs="宋体"/>
          <w:kern w:val="0"/>
          <w:sz w:val="18"/>
          <w:szCs w:val="18"/>
        </w:rPr>
        <w:t>）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7</w:t>
      </w:r>
      <w:r>
        <w:rPr>
          <w:rFonts w:ascii="ˎ̥" w:hAnsi="ˎ̥" w:cs="宋体"/>
          <w:kern w:val="0"/>
          <w:sz w:val="18"/>
          <w:szCs w:val="18"/>
        </w:rPr>
        <w:t>）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8</w:t>
      </w:r>
      <w:r>
        <w:rPr>
          <w:rFonts w:ascii="ˎ̥" w:hAnsi="ˎ̥" w:cs="宋体"/>
          <w:kern w:val="0"/>
          <w:sz w:val="18"/>
          <w:szCs w:val="18"/>
        </w:rPr>
        <w:t>）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9</w:t>
      </w:r>
      <w:r>
        <w:rPr>
          <w:rFonts w:ascii="ˎ̥" w:hAnsi="ˎ̥" w:cs="宋体"/>
          <w:kern w:val="0"/>
          <w:sz w:val="18"/>
          <w:szCs w:val="18"/>
        </w:rPr>
        <w:t>）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10</w:t>
      </w:r>
      <w:r>
        <w:rPr>
          <w:rFonts w:ascii="ˎ̥" w:hAnsi="ˎ̥" w:cs="宋体"/>
          <w:kern w:val="0"/>
          <w:sz w:val="18"/>
          <w:szCs w:val="18"/>
        </w:rPr>
        <w:t>）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11</w:t>
      </w:r>
      <w:r>
        <w:rPr>
          <w:rFonts w:ascii="ˎ̥" w:hAnsi="ˎ̥" w:cs="宋体"/>
          <w:kern w:val="0"/>
          <w:sz w:val="18"/>
          <w:szCs w:val="18"/>
        </w:rPr>
        <w:t>）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12</w:t>
      </w:r>
      <w:r>
        <w:rPr>
          <w:rFonts w:ascii="ˎ̥" w:hAnsi="ˎ̥" w:cs="宋体"/>
          <w:kern w:val="0"/>
          <w:sz w:val="18"/>
          <w:szCs w:val="18"/>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13</w:t>
      </w:r>
      <w:r>
        <w:rPr>
          <w:rFonts w:ascii="ˎ̥" w:hAnsi="ˎ̥" w:cs="宋体"/>
          <w:kern w:val="0"/>
          <w:sz w:val="18"/>
          <w:szCs w:val="18"/>
        </w:rPr>
        <w:t>）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14</w:t>
      </w:r>
      <w:r>
        <w:rPr>
          <w:rFonts w:ascii="ˎ̥" w:hAnsi="ˎ̥" w:cs="宋体"/>
          <w:kern w:val="0"/>
          <w:sz w:val="18"/>
          <w:szCs w:val="18"/>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15</w:t>
      </w:r>
      <w:r>
        <w:rPr>
          <w:rFonts w:ascii="ˎ̥" w:hAnsi="ˎ̥" w:cs="宋体"/>
          <w:kern w:val="0"/>
          <w:sz w:val="18"/>
          <w:szCs w:val="18"/>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spacing w:line="300" w:lineRule="atLeast"/>
        <w:jc w:val="left"/>
        <w:rPr>
          <w:rFonts w:ascii="ˎ̥" w:hAnsi="ˎ̥" w:cs="宋体"/>
          <w:kern w:val="0"/>
          <w:sz w:val="18"/>
          <w:szCs w:val="18"/>
        </w:rPr>
      </w:pPr>
      <w:r>
        <w:rPr>
          <w:rFonts w:ascii="ˎ̥" w:hAnsi="ˎ̥" w:cs="宋体"/>
          <w:kern w:val="0"/>
          <w:sz w:val="18"/>
          <w:szCs w:val="18"/>
        </w:rPr>
        <w:t>　　（</w:t>
      </w:r>
      <w:r>
        <w:rPr>
          <w:rFonts w:hint="eastAsia" w:ascii="ˎ̥" w:hAnsi="ˎ̥" w:cs="宋体"/>
          <w:kern w:val="0"/>
          <w:sz w:val="18"/>
          <w:szCs w:val="18"/>
        </w:rPr>
        <w:t>16</w:t>
      </w:r>
      <w:r>
        <w:rPr>
          <w:rFonts w:ascii="ˎ̥" w:hAnsi="ˎ̥" w:cs="宋体"/>
          <w:kern w:val="0"/>
          <w:sz w:val="18"/>
          <w:szCs w:val="18"/>
        </w:rPr>
        <w:t>）其他未列明行业。从业人员300人以下的为中小微型企业。其中，从业人员100人及以上的为中型企业；从业人员10人及以上的为小型企业；从业人员10人以下的为微型企业。</w:t>
      </w:r>
    </w:p>
    <w:p>
      <w:pPr>
        <w:pStyle w:val="3"/>
        <w:spacing w:line="520" w:lineRule="exact"/>
        <w:ind w:firstLine="425"/>
        <w:rPr>
          <w:rFonts w:hint="eastAsia" w:ascii="ˎ̥" w:hAnsi="ˎ̥" w:cs="宋体"/>
          <w:kern w:val="0"/>
          <w:szCs w:val="21"/>
        </w:rPr>
      </w:pPr>
      <w:r>
        <w:rPr>
          <w:rFonts w:ascii="ˎ̥" w:hAnsi="ˎ̥" w:cs="宋体"/>
          <w:kern w:val="0"/>
          <w:szCs w:val="21"/>
        </w:rPr>
        <w:t>中型企业标准上限即为大型企业标准的下限</w:t>
      </w:r>
      <w:r>
        <w:rPr>
          <w:rFonts w:hint="eastAsia" w:ascii="ˎ̥" w:hAnsi="ˎ̥" w:cs="宋体"/>
          <w:kern w:val="0"/>
          <w:szCs w:val="21"/>
        </w:rPr>
        <w:t>。</w:t>
      </w:r>
    </w:p>
    <w:p>
      <w:pPr>
        <w:pStyle w:val="3"/>
        <w:spacing w:line="520" w:lineRule="exact"/>
        <w:ind w:firstLine="425"/>
        <w:rPr>
          <w:rFonts w:hint="eastAsia"/>
        </w:rPr>
      </w:pPr>
      <w:r>
        <w:rPr>
          <w:rFonts w:hint="eastAsia"/>
        </w:rPr>
        <w:t>新成立企业暂以当前实际数据填报，事业社团其他类型供应商参照执行。</w:t>
      </w:r>
    </w:p>
    <w:p>
      <w:pPr>
        <w:pStyle w:val="19"/>
        <w:spacing w:line="360" w:lineRule="atLeast"/>
        <w:rPr>
          <w:rStyle w:val="24"/>
          <w:rFonts w:hint="eastAsia" w:ascii="Arial" w:hAnsi="Arial" w:cs="Arial"/>
          <w:color w:val="auto"/>
          <w:sz w:val="21"/>
          <w:szCs w:val="21"/>
        </w:rPr>
      </w:pPr>
      <w:r>
        <w:rPr>
          <w:rStyle w:val="24"/>
          <w:rFonts w:ascii="Arial" w:hAnsi="Arial" w:eastAsia="Arial" w:cs="Arial"/>
          <w:color w:val="auto"/>
          <w:sz w:val="21"/>
          <w:szCs w:val="21"/>
        </w:rPr>
        <w:t>从业人数包括与企业建立劳动关系的职工人数和企业接受的劳务派遣用工人数</w:t>
      </w:r>
      <w:r>
        <w:rPr>
          <w:rStyle w:val="24"/>
          <w:rFonts w:hint="eastAsia" w:ascii="Arial" w:hAnsi="Arial" w:cs="Arial"/>
          <w:color w:val="auto"/>
          <w:sz w:val="21"/>
          <w:szCs w:val="21"/>
        </w:rPr>
        <w:t>。</w:t>
      </w:r>
    </w:p>
    <w:p>
      <w:pPr>
        <w:pStyle w:val="19"/>
        <w:spacing w:line="360" w:lineRule="atLeast"/>
        <w:rPr>
          <w:rFonts w:hint="eastAsia"/>
          <w:b/>
          <w:color w:val="auto"/>
          <w:sz w:val="21"/>
          <w:szCs w:val="21"/>
        </w:rPr>
      </w:pPr>
      <w:r>
        <w:rPr>
          <w:rFonts w:hint="eastAsia"/>
          <w:b/>
          <w:color w:val="auto"/>
          <w:sz w:val="21"/>
          <w:szCs w:val="21"/>
        </w:rPr>
        <w:t>以分公司投标的，须填写法人公司的企业划型。</w:t>
      </w:r>
    </w:p>
    <w:p>
      <w:pPr>
        <w:pStyle w:val="3"/>
        <w:spacing w:line="520" w:lineRule="exact"/>
        <w:ind w:left="480" w:firstLine="0"/>
        <w:rPr>
          <w:rFonts w:hint="eastAsia"/>
        </w:rPr>
      </w:pPr>
      <w:r>
        <w:rPr>
          <w:rFonts w:hint="eastAsia"/>
        </w:rPr>
        <w:t>2、联合体投标的，由联合体各方按照分工金额分别提供本表。</w:t>
      </w:r>
    </w:p>
    <w:p>
      <w:pPr>
        <w:pStyle w:val="3"/>
        <w:numPr>
          <w:ilvl w:val="0"/>
          <w:numId w:val="18"/>
        </w:numPr>
        <w:spacing w:line="520" w:lineRule="exact"/>
        <w:ind w:firstLine="480"/>
        <w:rPr>
          <w:rFonts w:hint="eastAsia"/>
        </w:rPr>
      </w:pPr>
      <w:r>
        <w:rPr>
          <w:rFonts w:hint="eastAsia" w:ascii="宋体" w:hAnsi="宋体"/>
          <w:szCs w:val="21"/>
        </w:rPr>
        <w:t>如供应商是代理商，提供其他企业制造的货物，请如实填写其他企业的划分类型并对其真实性负责。</w:t>
      </w:r>
    </w:p>
    <w:p>
      <w:pPr>
        <w:pStyle w:val="3"/>
        <w:numPr>
          <w:ilvl w:val="0"/>
          <w:numId w:val="18"/>
        </w:numPr>
        <w:spacing w:line="520" w:lineRule="exact"/>
        <w:ind w:firstLine="480"/>
        <w:rPr>
          <w:rFonts w:hint="eastAsia"/>
        </w:rPr>
      </w:pPr>
      <w:r>
        <w:rPr>
          <w:rFonts w:hint="eastAsia" w:ascii="宋体" w:hAnsi="宋体"/>
          <w:szCs w:val="21"/>
        </w:rPr>
        <w:t>小型、微型企业提供中型企业制造的货物时视同中型企业，因此，只有小微企业提供自己的货物或者小微企业提供其他小微企业的货物时，才能享受评标标准里的价格扣除优惠。</w:t>
      </w:r>
    </w:p>
    <w:p>
      <w:pPr>
        <w:pStyle w:val="3"/>
        <w:numPr>
          <w:ilvl w:val="0"/>
          <w:numId w:val="18"/>
        </w:numPr>
        <w:spacing w:line="520" w:lineRule="exact"/>
        <w:ind w:firstLine="480"/>
        <w:rPr>
          <w:rFonts w:hint="eastAsia" w:ascii="宋体" w:hAnsi="宋体"/>
          <w:szCs w:val="21"/>
        </w:rPr>
      </w:pPr>
      <w:r>
        <w:rPr>
          <w:rFonts w:hint="eastAsia" w:ascii="宋体" w:hAnsi="宋体"/>
          <w:szCs w:val="21"/>
        </w:rPr>
        <w:t>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微型企业。</w:t>
      </w:r>
    </w:p>
    <w:p>
      <w:pPr>
        <w:pStyle w:val="3"/>
        <w:spacing w:line="520" w:lineRule="exact"/>
        <w:ind w:firstLine="0"/>
        <w:rPr>
          <w:rFonts w:hint="eastAsia"/>
        </w:rPr>
      </w:pPr>
    </w:p>
    <w:p>
      <w:pPr>
        <w:rPr>
          <w:rFonts w:hint="eastAsia" w:ascii="ˎ̥" w:hAnsi="ˎ̥"/>
          <w:i/>
          <w:szCs w:val="21"/>
        </w:rPr>
      </w:pPr>
    </w:p>
    <w:p>
      <w:pPr>
        <w:spacing w:line="588" w:lineRule="exact"/>
        <w:jc w:val="center"/>
        <w:rPr>
          <w:rFonts w:ascii="仿宋_GB2312" w:eastAsia="仿宋_GB2312"/>
          <w:b/>
          <w:spacing w:val="6"/>
          <w:sz w:val="32"/>
          <w:szCs w:val="32"/>
        </w:rPr>
      </w:pPr>
      <w:r>
        <w:rPr>
          <w:rFonts w:ascii="仿宋_GB2312" w:eastAsia="仿宋_GB2312"/>
          <w:sz w:val="32"/>
        </w:rPr>
        <w:br w:type="page"/>
      </w:r>
      <w:bookmarkStart w:id="20" w:name="OLE_LINK14"/>
      <w:bookmarkStart w:id="21" w:name="OLE_LINK13"/>
      <w:r>
        <w:rPr>
          <w:rFonts w:hint="eastAsia" w:ascii="仿宋_GB2312" w:eastAsia="仿宋_GB2312"/>
          <w:sz w:val="32"/>
        </w:rPr>
        <w:t>9、</w:t>
      </w:r>
      <w:r>
        <w:rPr>
          <w:rFonts w:hint="eastAsia" w:ascii="仿宋_GB2312" w:eastAsia="仿宋_GB2312"/>
          <w:b/>
          <w:spacing w:val="6"/>
          <w:sz w:val="32"/>
          <w:szCs w:val="32"/>
        </w:rPr>
        <w:t>残疾人福利性单位声明函</w:t>
      </w:r>
    </w:p>
    <w:bookmarkEnd w:id="20"/>
    <w:bookmarkEnd w:id="21"/>
    <w:p>
      <w:pPr>
        <w:spacing w:line="588" w:lineRule="exact"/>
        <w:rPr>
          <w:rFonts w:ascii="仿宋_GB2312" w:eastAsia="仿宋_GB2312"/>
          <w:b/>
          <w:spacing w:val="6"/>
          <w:sz w:val="30"/>
          <w:szCs w:val="30"/>
        </w:rPr>
      </w:pP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〔2017〕141</w:t>
      </w:r>
      <w:r>
        <w:rPr>
          <w:rFonts w:hint="eastAsia" w:ascii="宋体" w:hAnsi="宋体" w:cs="宋体"/>
          <w:spacing w:val="6"/>
          <w:sz w:val="24"/>
          <w:szCs w:val="24"/>
        </w:rPr>
        <w:t>号）的规定，本单位为符合条件的残疾人福利性单位，且本单位参加</w:t>
      </w:r>
      <w:r>
        <w:rPr>
          <w:rFonts w:hint="eastAsia" w:ascii="宋体" w:hAnsi="宋体" w:cs="宋体"/>
          <w:sz w:val="24"/>
          <w:szCs w:val="24"/>
        </w:rPr>
        <w:t>“</w:t>
      </w:r>
      <w:r>
        <w:rPr>
          <w:rFonts w:hint="eastAsia" w:ascii="宋体" w:hAnsi="宋体" w:cs="宋体"/>
          <w:sz w:val="24"/>
          <w:szCs w:val="24"/>
          <w:u w:val="single"/>
        </w:rPr>
        <w:t>XXXX</w:t>
      </w:r>
      <w:r>
        <w:rPr>
          <w:rFonts w:hint="eastAsia" w:ascii="宋体" w:hAnsi="宋体" w:cs="宋体"/>
          <w:sz w:val="24"/>
          <w:szCs w:val="24"/>
        </w:rPr>
        <w:t>项目（采购编号：</w:t>
      </w:r>
      <w:r>
        <w:rPr>
          <w:rFonts w:hint="eastAsia" w:ascii="宋体" w:hAnsi="宋体" w:cs="宋体"/>
          <w:sz w:val="24"/>
          <w:szCs w:val="24"/>
          <w:u w:val="single"/>
        </w:rPr>
        <w:t>XXXX</w:t>
      </w:r>
      <w:r>
        <w:rPr>
          <w:rFonts w:hint="eastAsia" w:ascii="宋体" w:hAnsi="宋体" w:cs="宋体"/>
          <w:sz w:val="24"/>
          <w:szCs w:val="24"/>
        </w:rPr>
        <w:t>）”</w:t>
      </w:r>
      <w:r>
        <w:rPr>
          <w:rFonts w:hint="eastAsia" w:ascii="宋体" w:hAnsi="宋体" w:cs="宋体"/>
          <w:spacing w:val="6"/>
          <w:sz w:val="24"/>
          <w:szCs w:val="24"/>
        </w:rPr>
        <w:t>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hint="eastAsia" w:ascii="宋体" w:hAnsi="宋体" w:cs="宋体"/>
          <w:spacing w:val="6"/>
          <w:sz w:val="24"/>
          <w:szCs w:val="24"/>
        </w:rPr>
      </w:pPr>
    </w:p>
    <w:p>
      <w:pPr>
        <w:spacing w:line="588" w:lineRule="exact"/>
        <w:ind w:firstLine="504" w:firstLineChars="200"/>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r>
        <w:rPr>
          <w:rFonts w:hint="eastAsia" w:ascii="宋体" w:hAnsi="宋体" w:cs="宋体"/>
          <w:spacing w:val="6"/>
          <w:sz w:val="24"/>
          <w:szCs w:val="24"/>
        </w:rPr>
        <w:t xml:space="preserve">               投标单位名称（盖CA章）：</w:t>
      </w: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r>
        <w:rPr>
          <w:rFonts w:hint="eastAsia" w:ascii="宋体" w:hAnsi="宋体" w:cs="宋体"/>
          <w:spacing w:val="6"/>
          <w:sz w:val="24"/>
          <w:szCs w:val="24"/>
        </w:rPr>
        <w:t xml:space="preserve">       日  期：</w:t>
      </w:r>
    </w:p>
    <w:p>
      <w:pPr>
        <w:tabs>
          <w:tab w:val="left" w:pos="4860"/>
        </w:tabs>
        <w:spacing w:line="588" w:lineRule="exact"/>
        <w:ind w:right="1560" w:firstLine="504" w:firstLineChars="200"/>
        <w:jc w:val="left"/>
        <w:rPr>
          <w:rFonts w:hint="eastAsia" w:ascii="宋体" w:hAnsi="宋体" w:cs="宋体"/>
          <w:spacing w:val="6"/>
          <w:szCs w:val="21"/>
        </w:rPr>
      </w:pPr>
      <w:r>
        <w:rPr>
          <w:rFonts w:hint="eastAsia" w:ascii="宋体" w:hAnsi="宋体" w:cs="宋体"/>
          <w:spacing w:val="6"/>
          <w:sz w:val="24"/>
          <w:szCs w:val="24"/>
        </w:rPr>
        <w:br w:type="page"/>
      </w:r>
      <w:r>
        <w:rPr>
          <w:rFonts w:hint="eastAsia" w:ascii="宋体" w:hAnsi="宋体" w:cs="宋体"/>
          <w:spacing w:val="6"/>
          <w:szCs w:val="21"/>
        </w:rPr>
        <w:t>填写说明：</w:t>
      </w:r>
    </w:p>
    <w:p>
      <w:pPr>
        <w:numPr>
          <w:ilvl w:val="0"/>
          <w:numId w:val="19"/>
        </w:numPr>
        <w:tabs>
          <w:tab w:val="left" w:pos="4860"/>
        </w:tabs>
        <w:spacing w:line="588" w:lineRule="exact"/>
        <w:ind w:right="1560" w:firstLine="444" w:firstLineChars="200"/>
        <w:jc w:val="left"/>
        <w:rPr>
          <w:rFonts w:hint="eastAsia" w:ascii="宋体" w:hAnsi="宋体" w:cs="宋体"/>
          <w:szCs w:val="21"/>
        </w:rPr>
      </w:pPr>
      <w:r>
        <w:rPr>
          <w:rFonts w:hint="eastAsia" w:ascii="宋体" w:hAnsi="宋体" w:cs="宋体"/>
          <w:spacing w:val="6"/>
          <w:szCs w:val="21"/>
        </w:rPr>
        <w:t>本声明是残疾人福利性单位的提供，其他单位无需提供。</w:t>
      </w:r>
    </w:p>
    <w:p>
      <w:pPr>
        <w:numPr>
          <w:ilvl w:val="0"/>
          <w:numId w:val="19"/>
        </w:numPr>
        <w:tabs>
          <w:tab w:val="left" w:pos="4860"/>
        </w:tabs>
        <w:spacing w:line="588" w:lineRule="exact"/>
        <w:ind w:right="251" w:firstLine="420" w:firstLineChars="200"/>
        <w:jc w:val="left"/>
        <w:rPr>
          <w:rFonts w:hint="eastAsia" w:ascii="宋体" w:hAnsi="宋体" w:cs="宋体"/>
          <w:szCs w:val="21"/>
        </w:rPr>
      </w:pPr>
      <w:r>
        <w:rPr>
          <w:rFonts w:hint="eastAsia" w:ascii="宋体" w:hAnsi="宋体" w:cs="宋体"/>
          <w:szCs w:val="21"/>
        </w:rPr>
        <w:t>享受政府采购支持政策的残疾人福利性单位应当同时满足以下条件：</w:t>
      </w:r>
    </w:p>
    <w:p>
      <w:pPr>
        <w:pStyle w:val="19"/>
        <w:spacing w:line="450" w:lineRule="atLeast"/>
        <w:jc w:val="both"/>
        <w:rPr>
          <w:rFonts w:hint="eastAsia"/>
          <w:color w:val="auto"/>
          <w:sz w:val="21"/>
          <w:szCs w:val="21"/>
        </w:rPr>
      </w:pPr>
      <w:r>
        <w:rPr>
          <w:rFonts w:hint="eastAsia"/>
          <w:color w:val="auto"/>
          <w:sz w:val="21"/>
          <w:szCs w:val="21"/>
        </w:rPr>
        <w:t>　　（1）安置的残疾人占本单位在职职工人数的比例不低于25%（含25%），并且安置的残疾人人数不少于10人（含10人）；</w:t>
      </w:r>
    </w:p>
    <w:p>
      <w:pPr>
        <w:pStyle w:val="19"/>
        <w:spacing w:line="450" w:lineRule="atLeast"/>
        <w:jc w:val="both"/>
        <w:rPr>
          <w:rFonts w:hint="eastAsia"/>
          <w:color w:val="auto"/>
          <w:sz w:val="21"/>
          <w:szCs w:val="21"/>
        </w:rPr>
      </w:pPr>
      <w:r>
        <w:rPr>
          <w:rFonts w:hint="eastAsia"/>
          <w:color w:val="auto"/>
          <w:sz w:val="21"/>
          <w:szCs w:val="21"/>
        </w:rPr>
        <w:t>　　（2）依法与安置的每位残疾人签订了一年以上（含一年）的劳动合同或服务协议；</w:t>
      </w:r>
    </w:p>
    <w:p>
      <w:pPr>
        <w:pStyle w:val="19"/>
        <w:spacing w:line="450" w:lineRule="atLeast"/>
        <w:jc w:val="both"/>
        <w:rPr>
          <w:rFonts w:hint="eastAsia"/>
          <w:color w:val="auto"/>
          <w:sz w:val="21"/>
          <w:szCs w:val="21"/>
        </w:rPr>
      </w:pPr>
      <w:r>
        <w:rPr>
          <w:rFonts w:hint="eastAsia"/>
          <w:color w:val="auto"/>
          <w:sz w:val="21"/>
          <w:szCs w:val="21"/>
        </w:rPr>
        <w:t>　　（3）为安置的每位残疾人按月足额缴纳了基本养老保险、基本医疗保险、失业保险、工伤保险和生育保险等社会保险费；</w:t>
      </w:r>
    </w:p>
    <w:p>
      <w:pPr>
        <w:pStyle w:val="19"/>
        <w:spacing w:line="450" w:lineRule="atLeast"/>
        <w:jc w:val="both"/>
        <w:rPr>
          <w:rFonts w:hint="eastAsia"/>
          <w:color w:val="auto"/>
          <w:sz w:val="21"/>
          <w:szCs w:val="21"/>
        </w:rPr>
      </w:pPr>
      <w:r>
        <w:rPr>
          <w:rFonts w:hint="eastAsia"/>
          <w:color w:val="auto"/>
          <w:sz w:val="21"/>
          <w:szCs w:val="21"/>
        </w:rPr>
        <w:t>　　（4）通过银行等金融机构向安置的每位残疾人，按月支付了不低于单位所在区县适用的经省级人民政府批准的月最低工资标准的工资；</w:t>
      </w:r>
    </w:p>
    <w:p>
      <w:pPr>
        <w:pStyle w:val="19"/>
        <w:spacing w:line="450" w:lineRule="atLeast"/>
        <w:jc w:val="both"/>
        <w:rPr>
          <w:rFonts w:hint="eastAsia"/>
          <w:color w:val="auto"/>
          <w:sz w:val="21"/>
          <w:szCs w:val="21"/>
        </w:rPr>
      </w:pPr>
      <w:r>
        <w:rPr>
          <w:rFonts w:hint="eastAsia"/>
          <w:color w:val="auto"/>
          <w:sz w:val="21"/>
          <w:szCs w:val="21"/>
        </w:rPr>
        <w:t>　　（5）提供本单位制造的货物、承担的工程或者服务（以下简称产品），或者提供其他残疾人福利性单位制造的货物（不包括使用非残疾人福利性单位注册商标的货物）。</w:t>
      </w:r>
    </w:p>
    <w:p>
      <w:pPr>
        <w:pStyle w:val="19"/>
        <w:spacing w:line="450" w:lineRule="atLeast"/>
        <w:jc w:val="both"/>
        <w:rPr>
          <w:rFonts w:hint="eastAsia"/>
          <w:color w:val="auto"/>
          <w:sz w:val="21"/>
          <w:szCs w:val="21"/>
        </w:rPr>
      </w:pPr>
      <w:r>
        <w:rPr>
          <w:rFonts w:hint="eastAsia"/>
          <w:color w:val="auto"/>
          <w:sz w:val="21"/>
          <w:szCs w:val="21"/>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4860"/>
        </w:tabs>
        <w:spacing w:line="588" w:lineRule="exact"/>
        <w:ind w:right="1560"/>
        <w:jc w:val="left"/>
        <w:rPr>
          <w:rFonts w:hint="eastAsia" w:ascii="宋体" w:hAnsi="宋体" w:cs="宋体"/>
          <w:spacing w:val="6"/>
          <w:sz w:val="24"/>
          <w:szCs w:val="24"/>
        </w:rPr>
      </w:pPr>
    </w:p>
    <w:p>
      <w:pPr>
        <w:tabs>
          <w:tab w:val="left" w:pos="4860"/>
        </w:tabs>
        <w:spacing w:line="588" w:lineRule="exact"/>
        <w:ind w:right="1560" w:firstLine="504" w:firstLineChars="200"/>
        <w:jc w:val="left"/>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tabs>
          <w:tab w:val="left" w:pos="4860"/>
        </w:tabs>
        <w:spacing w:line="588" w:lineRule="exact"/>
        <w:ind w:right="1560" w:firstLine="504" w:firstLineChars="200"/>
        <w:jc w:val="center"/>
        <w:rPr>
          <w:rFonts w:hint="eastAsia" w:ascii="宋体" w:hAnsi="宋体" w:cs="宋体"/>
          <w:spacing w:val="6"/>
          <w:sz w:val="24"/>
          <w:szCs w:val="24"/>
        </w:rPr>
      </w:pPr>
    </w:p>
    <w:p>
      <w:pPr>
        <w:pStyle w:val="3"/>
        <w:spacing w:line="520" w:lineRule="exact"/>
        <w:ind w:firstLine="0"/>
        <w:jc w:val="center"/>
        <w:rPr>
          <w:rFonts w:hint="eastAsia"/>
          <w:b/>
          <w:sz w:val="28"/>
          <w:szCs w:val="28"/>
        </w:rPr>
      </w:pPr>
      <w:r>
        <w:rPr>
          <w:rFonts w:hint="eastAsia" w:ascii="仿宋_GB2312" w:eastAsia="仿宋_GB2312"/>
          <w:b/>
          <w:sz w:val="32"/>
        </w:rPr>
        <w:t>10</w:t>
      </w:r>
      <w:r>
        <w:rPr>
          <w:rFonts w:hint="eastAsia"/>
          <w:b/>
          <w:sz w:val="28"/>
          <w:szCs w:val="28"/>
        </w:rPr>
        <w:t>、联合投标协议书（若有，彩色扫描件）</w:t>
      </w:r>
    </w:p>
    <w:p>
      <w:pPr>
        <w:spacing w:line="400" w:lineRule="exact"/>
        <w:rPr>
          <w:rFonts w:hint="eastAsia" w:ascii="仿宋" w:hAnsi="仿宋" w:eastAsia="仿宋"/>
          <w:sz w:val="24"/>
        </w:rPr>
      </w:pPr>
    </w:p>
    <w:p>
      <w:pPr>
        <w:spacing w:line="400" w:lineRule="exact"/>
        <w:rPr>
          <w:rFonts w:hint="eastAsia" w:ascii="仿宋" w:hAnsi="仿宋" w:eastAsia="仿宋"/>
          <w:sz w:val="24"/>
          <w:szCs w:val="24"/>
        </w:rPr>
      </w:pPr>
      <w:r>
        <w:rPr>
          <w:rFonts w:hint="eastAsia" w:ascii="仿宋" w:hAnsi="仿宋" w:eastAsia="仿宋"/>
          <w:sz w:val="24"/>
          <w:szCs w:val="24"/>
        </w:rPr>
        <w:t>牵头人名称：</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pacing w:val="15"/>
          <w:kern w:val="0"/>
          <w:sz w:val="24"/>
          <w:szCs w:val="24"/>
        </w:rPr>
        <w:t>法定住</w:t>
      </w:r>
      <w:r>
        <w:rPr>
          <w:rFonts w:hint="eastAsia" w:ascii="仿宋" w:hAnsi="仿宋" w:eastAsia="仿宋"/>
          <w:kern w:val="0"/>
          <w:sz w:val="24"/>
          <w:szCs w:val="24"/>
        </w:rPr>
        <w:t>所</w:t>
      </w:r>
      <w:r>
        <w:rPr>
          <w:rFonts w:hint="eastAsia" w:ascii="仿宋" w:hAnsi="仿宋" w:eastAsia="仿宋"/>
          <w:sz w:val="24"/>
          <w:szCs w:val="24"/>
        </w:rPr>
        <w:t>：</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p>
    <w:p>
      <w:pPr>
        <w:spacing w:line="400" w:lineRule="exact"/>
        <w:rPr>
          <w:rFonts w:hint="eastAsia" w:ascii="仿宋" w:hAnsi="仿宋" w:eastAsia="仿宋"/>
          <w:sz w:val="24"/>
          <w:szCs w:val="24"/>
        </w:rPr>
      </w:pPr>
      <w:r>
        <w:rPr>
          <w:rFonts w:hint="eastAsia" w:ascii="仿宋" w:hAnsi="仿宋" w:eastAsia="仿宋"/>
          <w:sz w:val="24"/>
          <w:szCs w:val="24"/>
        </w:rPr>
        <w:t>成员1名称：</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p>
    <w:p>
      <w:pPr>
        <w:spacing w:line="400" w:lineRule="exact"/>
        <w:rPr>
          <w:rFonts w:hint="eastAsia" w:ascii="仿宋" w:hAnsi="仿宋" w:eastAsia="仿宋"/>
          <w:sz w:val="24"/>
          <w:szCs w:val="24"/>
        </w:rPr>
      </w:pPr>
      <w:r>
        <w:rPr>
          <w:rFonts w:hint="eastAsia" w:ascii="仿宋" w:hAnsi="仿宋" w:eastAsia="仿宋"/>
          <w:spacing w:val="15"/>
          <w:kern w:val="0"/>
          <w:sz w:val="24"/>
          <w:szCs w:val="24"/>
        </w:rPr>
        <w:t>法定住</w:t>
      </w:r>
      <w:r>
        <w:rPr>
          <w:rFonts w:hint="eastAsia" w:ascii="仿宋" w:hAnsi="仿宋" w:eastAsia="仿宋"/>
          <w:kern w:val="0"/>
          <w:sz w:val="24"/>
          <w:szCs w:val="24"/>
        </w:rPr>
        <w:t>所</w:t>
      </w:r>
      <w:r>
        <w:rPr>
          <w:rFonts w:hint="eastAsia" w:ascii="仿宋" w:hAnsi="仿宋" w:eastAsia="仿宋"/>
          <w:sz w:val="24"/>
          <w:szCs w:val="24"/>
        </w:rPr>
        <w:t>：</w:t>
      </w:r>
      <w:r>
        <w:rPr>
          <w:rFonts w:hint="eastAsia" w:ascii="仿宋" w:hAnsi="仿宋" w:eastAsia="仿宋"/>
          <w:sz w:val="24"/>
          <w:szCs w:val="24"/>
          <w:u w:val="single"/>
        </w:rPr>
        <w:t xml:space="preserve">                                                        </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鉴于上述各成员单位经过友好协商，自愿组成</w:t>
      </w:r>
      <w:r>
        <w:rPr>
          <w:rFonts w:hint="eastAsia" w:ascii="仿宋" w:hAnsi="仿宋" w:eastAsia="仿宋"/>
          <w:sz w:val="24"/>
          <w:szCs w:val="24"/>
          <w:u w:val="single"/>
        </w:rPr>
        <w:t xml:space="preserve"> XXX </w:t>
      </w:r>
      <w:r>
        <w:rPr>
          <w:rFonts w:hint="eastAsia" w:ascii="仿宋" w:hAnsi="仿宋" w:eastAsia="仿宋"/>
          <w:sz w:val="24"/>
          <w:szCs w:val="24"/>
        </w:rPr>
        <w:t>（联合体名称）联合体，共同参加</w:t>
      </w:r>
      <w:r>
        <w:rPr>
          <w:rFonts w:hint="eastAsia" w:ascii="仿宋" w:hAnsi="仿宋" w:eastAsia="仿宋"/>
          <w:sz w:val="24"/>
          <w:szCs w:val="24"/>
          <w:u w:val="single"/>
        </w:rPr>
        <w:t>宁波国家高新区行政服务中心（宁波国家高新区公共资源交易中心）</w:t>
      </w:r>
      <w:r>
        <w:rPr>
          <w:rFonts w:hint="eastAsia" w:ascii="仿宋" w:hAnsi="仿宋" w:eastAsia="仿宋"/>
          <w:sz w:val="24"/>
          <w:szCs w:val="24"/>
        </w:rPr>
        <w:t>（以下简称招标人）</w:t>
      </w:r>
      <w:r>
        <w:rPr>
          <w:rFonts w:hint="eastAsia" w:ascii="仿宋" w:hAnsi="仿宋" w:eastAsia="仿宋"/>
          <w:sz w:val="24"/>
          <w:szCs w:val="24"/>
          <w:u w:val="single"/>
        </w:rPr>
        <w:t>XXX</w:t>
      </w:r>
      <w:r>
        <w:rPr>
          <w:rFonts w:hint="eastAsia" w:ascii="仿宋" w:hAnsi="仿宋" w:eastAsia="仿宋"/>
          <w:sz w:val="24"/>
          <w:szCs w:val="24"/>
        </w:rPr>
        <w:t>（项目名称）</w:t>
      </w:r>
      <w:r>
        <w:rPr>
          <w:rFonts w:hint="eastAsia" w:ascii="仿宋" w:hAnsi="仿宋" w:eastAsia="仿宋"/>
          <w:sz w:val="24"/>
          <w:szCs w:val="24"/>
          <w:u w:val="single"/>
        </w:rPr>
        <w:t>XX</w:t>
      </w:r>
      <w:r>
        <w:rPr>
          <w:rFonts w:hint="eastAsia" w:ascii="仿宋" w:hAnsi="仿宋" w:eastAsia="仿宋"/>
          <w:sz w:val="24"/>
          <w:szCs w:val="24"/>
        </w:rPr>
        <w:t>标包（以下简称合同）。现就联合体投标事宜订立如下协议：</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u w:val="single"/>
        </w:rPr>
        <w:t>XXX</w:t>
      </w:r>
      <w:r>
        <w:rPr>
          <w:rFonts w:hint="eastAsia" w:ascii="仿宋" w:hAnsi="仿宋" w:eastAsia="仿宋"/>
          <w:sz w:val="24"/>
          <w:szCs w:val="24"/>
        </w:rPr>
        <w:t>（某成员单位名称）为</w:t>
      </w:r>
      <w:r>
        <w:rPr>
          <w:rFonts w:hint="eastAsia" w:ascii="仿宋" w:hAnsi="仿宋" w:eastAsia="仿宋"/>
          <w:sz w:val="24"/>
          <w:szCs w:val="24"/>
          <w:u w:val="single"/>
        </w:rPr>
        <w:t>XXX</w:t>
      </w:r>
      <w:r>
        <w:rPr>
          <w:rFonts w:hint="eastAsia" w:ascii="仿宋" w:hAnsi="仿宋" w:eastAsia="仿宋"/>
          <w:sz w:val="24"/>
          <w:szCs w:val="24"/>
        </w:rPr>
        <w:t>（联合体名称）牵头人。</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2、在本项目投标阶段，联合体牵头人合法代表联合体各成员负责本项目资格预审申请文件和投标文件编制活动，代表联合体提交和接收相关的资料、信息及指示，并处理与资格预审、投标和中标有关的一切事务；联合体中标后，联合体牵头人负责合同订立和合同实施阶段的主办、组织和协调工作。</w:t>
      </w:r>
    </w:p>
    <w:p>
      <w:pPr>
        <w:spacing w:line="400" w:lineRule="exact"/>
        <w:ind w:firstLine="410" w:firstLineChars="171"/>
        <w:rPr>
          <w:rFonts w:hint="eastAsia" w:ascii="仿宋" w:hAnsi="仿宋" w:eastAsia="仿宋"/>
          <w:sz w:val="24"/>
          <w:szCs w:val="24"/>
        </w:rPr>
      </w:pPr>
      <w:r>
        <w:rPr>
          <w:rFonts w:hint="eastAsia" w:ascii="仿宋" w:hAnsi="仿宋" w:eastAsia="仿宋"/>
          <w:sz w:val="24"/>
          <w:szCs w:val="24"/>
        </w:rPr>
        <w:t>3、联合体将严格按照资格预审文件和招标文件的各项要求，递交资格预审申请文件和投标文件，履行投标义务和中标后的合同，共同承担合同规定的一切义务和责任，联合体各成员单位按照内部职责的划分，承担各自所负的责任和风险，并向招标人承担连带责任。</w:t>
      </w:r>
    </w:p>
    <w:p>
      <w:pPr>
        <w:spacing w:line="400" w:lineRule="exact"/>
        <w:rPr>
          <w:rFonts w:hint="eastAsia" w:ascii="仿宋" w:hAnsi="仿宋" w:eastAsia="仿宋"/>
          <w:sz w:val="24"/>
          <w:szCs w:val="24"/>
        </w:rPr>
      </w:pPr>
      <w:r>
        <w:rPr>
          <w:rFonts w:hint="eastAsia" w:ascii="仿宋" w:hAnsi="仿宋" w:eastAsia="仿宋"/>
          <w:sz w:val="24"/>
          <w:szCs w:val="24"/>
        </w:rPr>
        <w:t>4、联合体各成员单位内部的职责分工如下：</w:t>
      </w:r>
      <w:r>
        <w:rPr>
          <w:rFonts w:hint="eastAsia" w:ascii="仿宋" w:hAnsi="仿宋" w:eastAsia="仿宋"/>
          <w:sz w:val="24"/>
          <w:szCs w:val="24"/>
          <w:u w:val="single"/>
        </w:rPr>
        <w:t>XXXX</w:t>
      </w:r>
      <w:r>
        <w:rPr>
          <w:rFonts w:hint="eastAsia" w:ascii="仿宋" w:hAnsi="仿宋" w:eastAsia="仿宋"/>
          <w:sz w:val="24"/>
          <w:szCs w:val="24"/>
        </w:rPr>
        <w:t>。</w:t>
      </w:r>
    </w:p>
    <w:p>
      <w:pPr>
        <w:spacing w:line="400" w:lineRule="exact"/>
        <w:rPr>
          <w:rFonts w:hint="eastAsia" w:ascii="仿宋" w:hAnsi="仿宋" w:eastAsia="仿宋"/>
          <w:sz w:val="24"/>
          <w:szCs w:val="24"/>
        </w:rPr>
      </w:pPr>
      <w:r>
        <w:rPr>
          <w:rFonts w:hint="eastAsia" w:ascii="仿宋" w:hAnsi="仿宋" w:eastAsia="仿宋"/>
          <w:sz w:val="24"/>
          <w:szCs w:val="24"/>
        </w:rPr>
        <w:t>按照本条上述分工，联合体成员单位各自所承担的合同工作量比例如下：</w:t>
      </w:r>
      <w:r>
        <w:rPr>
          <w:rFonts w:hint="eastAsia" w:ascii="仿宋" w:hAnsi="仿宋" w:eastAsia="仿宋"/>
          <w:sz w:val="24"/>
          <w:szCs w:val="24"/>
          <w:u w:val="single"/>
        </w:rPr>
        <w:t>XXX</w:t>
      </w:r>
      <w:r>
        <w:rPr>
          <w:rFonts w:hint="eastAsia" w:ascii="仿宋" w:hAnsi="仿宋" w:eastAsia="仿宋"/>
          <w:sz w:val="24"/>
          <w:szCs w:val="24"/>
        </w:rPr>
        <w:t>。</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5、资格预审和投标工作以及联合体在中标后项目实施过程中的有关费用按各自承担的工作量分摊。</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6、联合体中标后，本联合体协议是合同的附件，对联合体各成员单位有合同约束力。</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7、本协议书自签署之日起生效，联合体未通过资格预审、未中标或者中标时合同履行完毕后自动失效。</w:t>
      </w:r>
    </w:p>
    <w:p>
      <w:pPr>
        <w:spacing w:line="400" w:lineRule="exact"/>
        <w:ind w:firstLine="384" w:firstLineChars="160"/>
        <w:rPr>
          <w:rFonts w:hint="eastAsia" w:ascii="仿宋" w:hAnsi="仿宋" w:eastAsia="仿宋"/>
          <w:sz w:val="24"/>
          <w:szCs w:val="24"/>
        </w:rPr>
      </w:pPr>
      <w:r>
        <w:rPr>
          <w:rFonts w:hint="eastAsia" w:ascii="仿宋" w:hAnsi="仿宋" w:eastAsia="仿宋"/>
          <w:sz w:val="24"/>
          <w:szCs w:val="24"/>
        </w:rPr>
        <w:t>8、本协议书一式</w:t>
      </w:r>
      <w:r>
        <w:rPr>
          <w:rFonts w:hint="eastAsia" w:ascii="仿宋" w:hAnsi="仿宋" w:eastAsia="仿宋"/>
          <w:sz w:val="24"/>
          <w:szCs w:val="24"/>
          <w:u w:val="single"/>
        </w:rPr>
        <w:t>XXX</w:t>
      </w:r>
      <w:r>
        <w:rPr>
          <w:rFonts w:hint="eastAsia" w:ascii="仿宋" w:hAnsi="仿宋" w:eastAsia="仿宋"/>
          <w:sz w:val="24"/>
          <w:szCs w:val="24"/>
        </w:rPr>
        <w:t>份，联合体成员和招标人各执一份。</w:t>
      </w:r>
    </w:p>
    <w:p>
      <w:pPr>
        <w:spacing w:line="400" w:lineRule="exact"/>
        <w:ind w:firstLine="3038" w:firstLineChars="1266"/>
        <w:rPr>
          <w:rFonts w:hint="eastAsia" w:ascii="仿宋" w:hAnsi="仿宋" w:eastAsia="仿宋"/>
          <w:sz w:val="24"/>
          <w:szCs w:val="24"/>
        </w:rPr>
      </w:pPr>
      <w:r>
        <w:rPr>
          <w:rFonts w:hint="eastAsia" w:ascii="仿宋" w:hAnsi="仿宋" w:eastAsia="仿宋"/>
          <w:sz w:val="24"/>
          <w:szCs w:val="24"/>
        </w:rPr>
        <w:t>牵头人名称：</w:t>
      </w:r>
      <w:r>
        <w:rPr>
          <w:rFonts w:hint="eastAsia" w:ascii="仿宋" w:hAnsi="仿宋" w:eastAsia="仿宋"/>
          <w:sz w:val="24"/>
          <w:szCs w:val="24"/>
          <w:u w:val="single"/>
        </w:rPr>
        <w:t xml:space="preserve">                  </w:t>
      </w:r>
      <w:r>
        <w:rPr>
          <w:rFonts w:hint="eastAsia" w:ascii="仿宋" w:hAnsi="仿宋" w:eastAsia="仿宋"/>
          <w:sz w:val="24"/>
          <w:szCs w:val="24"/>
        </w:rPr>
        <w:t>（盖单位章）</w:t>
      </w:r>
    </w:p>
    <w:p>
      <w:pPr>
        <w:spacing w:line="400" w:lineRule="exact"/>
        <w:ind w:firstLine="3038" w:firstLineChars="1266"/>
        <w:rPr>
          <w:rFonts w:hint="eastAsia" w:ascii="仿宋" w:hAnsi="仿宋" w:eastAsia="仿宋"/>
          <w:sz w:val="24"/>
          <w:szCs w:val="24"/>
        </w:rPr>
      </w:pPr>
      <w:r>
        <w:rPr>
          <w:rFonts w:hint="eastAsia" w:ascii="仿宋" w:hAnsi="仿宋" w:eastAsia="仿宋"/>
          <w:sz w:val="24"/>
          <w:szCs w:val="24"/>
        </w:rPr>
        <w:t>成员1名称：</w:t>
      </w:r>
      <w:r>
        <w:rPr>
          <w:rFonts w:hint="eastAsia" w:ascii="仿宋" w:hAnsi="仿宋" w:eastAsia="仿宋"/>
          <w:sz w:val="24"/>
          <w:szCs w:val="24"/>
          <w:u w:val="single"/>
        </w:rPr>
        <w:t xml:space="preserve">                  </w:t>
      </w:r>
      <w:r>
        <w:rPr>
          <w:rFonts w:hint="eastAsia" w:ascii="仿宋" w:hAnsi="仿宋" w:eastAsia="仿宋"/>
          <w:sz w:val="24"/>
          <w:szCs w:val="24"/>
        </w:rPr>
        <w:t>（盖单位章）</w:t>
      </w:r>
    </w:p>
    <w:p>
      <w:pPr>
        <w:spacing w:line="400" w:lineRule="exact"/>
        <w:ind w:firstLine="3038" w:firstLineChars="1266"/>
        <w:rPr>
          <w:rFonts w:hint="eastAsia" w:ascii="仿宋" w:hAnsi="仿宋" w:eastAsia="仿宋"/>
          <w:sz w:val="24"/>
          <w:szCs w:val="24"/>
        </w:rPr>
      </w:pPr>
      <w:r>
        <w:rPr>
          <w:rFonts w:hint="eastAsia" w:ascii="仿宋" w:hAnsi="仿宋" w:eastAsia="仿宋"/>
          <w:sz w:val="24"/>
          <w:szCs w:val="24"/>
        </w:rPr>
        <w:t>……</w:t>
      </w:r>
    </w:p>
    <w:p>
      <w:pPr>
        <w:spacing w:line="500" w:lineRule="exact"/>
        <w:jc w:val="center"/>
        <w:rPr>
          <w:rFonts w:hint="eastAsia" w:ascii="仿宋_GB2312" w:eastAsia="仿宋_GB2312"/>
          <w:b/>
          <w:sz w:val="32"/>
          <w:szCs w:val="32"/>
        </w:rPr>
      </w:pP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 xml:space="preserve">日    </w:t>
      </w:r>
      <w:r>
        <w:rPr>
          <w:rFonts w:hint="eastAsia" w:ascii="仿宋" w:hAnsi="仿宋" w:eastAsia="仿宋"/>
          <w:sz w:val="24"/>
        </w:rPr>
        <w:t xml:space="preserve">       </w:t>
      </w:r>
      <w:r>
        <w:rPr>
          <w:rFonts w:ascii="仿宋_GB2312" w:eastAsia="仿宋_GB2312"/>
          <w:sz w:val="32"/>
        </w:rPr>
        <w:br w:type="page"/>
      </w:r>
      <w:r>
        <w:rPr>
          <w:rFonts w:hint="eastAsia" w:ascii="仿宋_GB2312" w:eastAsia="仿宋_GB2312"/>
          <w:b/>
          <w:sz w:val="32"/>
          <w:szCs w:val="32"/>
        </w:rPr>
        <w:t>11、其他资格证明资料</w:t>
      </w:r>
    </w:p>
    <w:p>
      <w:pPr>
        <w:spacing w:line="400" w:lineRule="exact"/>
        <w:jc w:val="center"/>
        <w:rPr>
          <w:rFonts w:hint="eastAsia" w:eastAsia="仿宋_GB2312"/>
          <w:b/>
          <w:bCs/>
          <w:sz w:val="32"/>
          <w:szCs w:val="32"/>
          <w:lang w:val="zh-CN"/>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i/>
          <w:iCs/>
          <w:sz w:val="32"/>
          <w:szCs w:val="32"/>
        </w:rPr>
        <w:br w:type="page"/>
      </w:r>
      <w:r>
        <w:rPr>
          <w:rFonts w:hint="eastAsia"/>
          <w:b/>
          <w:sz w:val="32"/>
          <w:szCs w:val="32"/>
        </w:rPr>
        <w:t>第七部分 其他文件格式</w:t>
      </w:r>
    </w:p>
    <w:p>
      <w:pPr>
        <w:spacing w:line="500" w:lineRule="exact"/>
        <w:jc w:val="center"/>
        <w:rPr>
          <w:rFonts w:hint="eastAsia" w:ascii="仿宋_GB2312" w:eastAsia="仿宋_GB2312"/>
          <w:b/>
          <w:sz w:val="32"/>
          <w:szCs w:val="32"/>
        </w:rPr>
      </w:pPr>
      <w:r>
        <w:rPr>
          <w:rFonts w:hint="eastAsia" w:ascii="仿宋_GB2312" w:eastAsia="仿宋_GB2312"/>
          <w:b/>
          <w:sz w:val="32"/>
          <w:szCs w:val="32"/>
        </w:rPr>
        <w:t>履约保证金保函</w:t>
      </w:r>
    </w:p>
    <w:p>
      <w:pPr>
        <w:spacing w:line="500" w:lineRule="exact"/>
        <w:jc w:val="center"/>
        <w:rPr>
          <w:rFonts w:hint="eastAsia" w:eastAsia="楷体_GB2312"/>
          <w:b/>
        </w:rPr>
      </w:pPr>
      <w:r>
        <w:rPr>
          <w:rFonts w:hint="eastAsia" w:eastAsia="楷体_GB2312"/>
          <w:b/>
        </w:rPr>
        <w:t>（若采用保函的，在中标后开具提交采购人）</w:t>
      </w:r>
    </w:p>
    <w:p>
      <w:pPr>
        <w:spacing w:line="500" w:lineRule="exact"/>
        <w:rPr>
          <w:rFonts w:hint="eastAsia"/>
        </w:rPr>
      </w:pPr>
    </w:p>
    <w:p>
      <w:pPr>
        <w:spacing w:line="500" w:lineRule="exact"/>
        <w:rPr>
          <w:rFonts w:hint="default" w:ascii="宋体" w:hAnsi="宋体" w:eastAsia="宋体"/>
          <w:sz w:val="24"/>
          <w:szCs w:val="24"/>
          <w:lang w:val="en-US" w:eastAsia="zh-CN"/>
        </w:rPr>
      </w:pPr>
      <w:r>
        <w:rPr>
          <w:rFonts w:hint="eastAsia" w:ascii="宋体" w:hAnsi="宋体"/>
          <w:sz w:val="24"/>
          <w:szCs w:val="24"/>
        </w:rPr>
        <w:t>致：</w:t>
      </w:r>
      <w:r>
        <w:rPr>
          <w:rFonts w:hint="eastAsia" w:ascii="宋体" w:hAnsi="宋体"/>
          <w:sz w:val="24"/>
          <w:szCs w:val="24"/>
          <w:u w:val="single"/>
          <w:lang w:val="en-US" w:eastAsia="zh-CN"/>
        </w:rPr>
        <w:t xml:space="preserve">                                                   </w:t>
      </w:r>
    </w:p>
    <w:p>
      <w:pPr>
        <w:spacing w:line="500" w:lineRule="exact"/>
        <w:ind w:firstLine="630"/>
        <w:rPr>
          <w:rFonts w:hint="eastAsia" w:ascii="宋体" w:hAnsi="宋体"/>
          <w:sz w:val="24"/>
          <w:szCs w:val="24"/>
        </w:rPr>
      </w:pPr>
      <w:r>
        <w:rPr>
          <w:rFonts w:hint="eastAsia" w:ascii="宋体" w:hAnsi="宋体"/>
          <w:sz w:val="24"/>
          <w:szCs w:val="24"/>
        </w:rPr>
        <w:t>本保函是我行（</w:t>
      </w:r>
      <w:r>
        <w:rPr>
          <w:rFonts w:hint="eastAsia" w:ascii="宋体" w:hAnsi="宋体"/>
          <w:sz w:val="24"/>
          <w:szCs w:val="24"/>
          <w:u w:val="single"/>
        </w:rPr>
        <w:t xml:space="preserve">                                         </w:t>
      </w:r>
      <w:r>
        <w:rPr>
          <w:rFonts w:hint="eastAsia" w:ascii="宋体" w:hAnsi="宋体"/>
          <w:sz w:val="24"/>
          <w:szCs w:val="24"/>
        </w:rPr>
        <w:t>[银行全称]）为</w:t>
      </w:r>
    </w:p>
    <w:p>
      <w:pPr>
        <w:spacing w:line="500" w:lineRule="exact"/>
        <w:rPr>
          <w:rFonts w:hint="eastAsia" w:ascii="宋体" w:hAnsi="宋体"/>
          <w:sz w:val="24"/>
          <w:szCs w:val="24"/>
        </w:rPr>
      </w:pP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（以下简称卖方）根据贵处组织的</w:t>
      </w:r>
    </w:p>
    <w:p>
      <w:pPr>
        <w:spacing w:line="500" w:lineRule="exact"/>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项目（采购编号）招标结果，将与</w:t>
      </w:r>
    </w:p>
    <w:p>
      <w:pPr>
        <w:spacing w:line="500" w:lineRule="exact"/>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（以下简称买方）签订的经济合同及执行合同提供的担保。保证金金额为（大写人民币）</w:t>
      </w:r>
      <w:r>
        <w:rPr>
          <w:rFonts w:hint="eastAsia" w:ascii="宋体" w:hAnsi="宋体"/>
          <w:sz w:val="24"/>
          <w:szCs w:val="24"/>
          <w:u w:val="single"/>
        </w:rPr>
        <w:t xml:space="preserve">                      </w:t>
      </w:r>
      <w:r>
        <w:rPr>
          <w:rFonts w:hint="eastAsia" w:ascii="宋体" w:hAnsi="宋体"/>
          <w:sz w:val="24"/>
          <w:szCs w:val="24"/>
        </w:rPr>
        <w:t>元。</w:t>
      </w:r>
    </w:p>
    <w:p>
      <w:pPr>
        <w:spacing w:line="500" w:lineRule="exact"/>
        <w:ind w:firstLine="630"/>
        <w:rPr>
          <w:rFonts w:hint="eastAsia" w:ascii="宋体" w:hAnsi="宋体"/>
          <w:sz w:val="24"/>
          <w:szCs w:val="24"/>
        </w:rPr>
      </w:pPr>
      <w:r>
        <w:rPr>
          <w:rFonts w:hint="eastAsia" w:ascii="宋体" w:hAnsi="宋体"/>
          <w:sz w:val="24"/>
          <w:szCs w:val="24"/>
        </w:rPr>
        <w:t>当我行在收到贵处说明卖方违约的书面通知后，在20天内按通知要求金额无条件地支付给买方。</w:t>
      </w:r>
    </w:p>
    <w:p>
      <w:pPr>
        <w:spacing w:line="500" w:lineRule="exact"/>
        <w:ind w:firstLine="630"/>
        <w:rPr>
          <w:rFonts w:hint="eastAsia" w:ascii="宋体" w:hAnsi="宋体"/>
          <w:sz w:val="24"/>
          <w:szCs w:val="24"/>
        </w:rPr>
      </w:pPr>
      <w:r>
        <w:rPr>
          <w:rFonts w:hint="eastAsia" w:ascii="宋体" w:hAnsi="宋体"/>
          <w:sz w:val="24"/>
          <w:szCs w:val="24"/>
        </w:rPr>
        <w:t>本保函的有效期为自开出之日起，至合同履约结束之日止。</w:t>
      </w:r>
    </w:p>
    <w:p>
      <w:pPr>
        <w:spacing w:line="500" w:lineRule="exact"/>
        <w:rPr>
          <w:rFonts w:hint="eastAsia" w:ascii="宋体" w:hAnsi="宋体"/>
          <w:sz w:val="24"/>
          <w:szCs w:val="24"/>
        </w:rPr>
      </w:pP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 xml:space="preserve">银行全称： </w:t>
      </w:r>
    </w:p>
    <w:p>
      <w:pPr>
        <w:spacing w:line="500" w:lineRule="exact"/>
        <w:rPr>
          <w:rFonts w:hint="eastAsia" w:ascii="宋体" w:hAnsi="宋体"/>
          <w:sz w:val="24"/>
          <w:szCs w:val="24"/>
        </w:rPr>
      </w:pPr>
      <w:r>
        <w:rPr>
          <w:rFonts w:hint="eastAsia" w:ascii="宋体" w:hAnsi="宋体"/>
          <w:sz w:val="24"/>
          <w:szCs w:val="24"/>
        </w:rPr>
        <w:t xml:space="preserve">（盖章） </w:t>
      </w:r>
    </w:p>
    <w:p>
      <w:pPr>
        <w:spacing w:line="500" w:lineRule="exact"/>
        <w:rPr>
          <w:rFonts w:hint="eastAsia" w:ascii="宋体" w:hAnsi="宋体"/>
          <w:sz w:val="24"/>
          <w:szCs w:val="24"/>
        </w:rPr>
      </w:pPr>
    </w:p>
    <w:p>
      <w:pPr>
        <w:spacing w:line="500" w:lineRule="exact"/>
        <w:rPr>
          <w:rFonts w:hint="eastAsia" w:ascii="宋体" w:hAnsi="宋体"/>
          <w:sz w:val="24"/>
          <w:szCs w:val="24"/>
        </w:rPr>
      </w:pPr>
      <w:r>
        <w:rPr>
          <w:rFonts w:hint="eastAsia" w:ascii="宋体" w:hAnsi="宋体"/>
          <w:sz w:val="24"/>
          <w:szCs w:val="24"/>
        </w:rPr>
        <w:t xml:space="preserve">开具人（签字）： </w:t>
      </w:r>
    </w:p>
    <w:p>
      <w:pPr>
        <w:spacing w:line="500" w:lineRule="exact"/>
        <w:rPr>
          <w:rFonts w:hint="eastAsia" w:ascii="宋体" w:hAnsi="宋体"/>
          <w:sz w:val="24"/>
          <w:szCs w:val="24"/>
        </w:rPr>
      </w:pPr>
      <w:r>
        <w:rPr>
          <w:rFonts w:hint="eastAsia" w:ascii="宋体" w:hAnsi="宋体"/>
          <w:sz w:val="24"/>
          <w:szCs w:val="24"/>
        </w:rPr>
        <w:t xml:space="preserve">职务： </w:t>
      </w:r>
    </w:p>
    <w:p>
      <w:pPr>
        <w:spacing w:line="500" w:lineRule="exact"/>
        <w:rPr>
          <w:rFonts w:hint="eastAsia" w:ascii="宋体" w:hAnsi="宋体"/>
          <w:sz w:val="24"/>
          <w:szCs w:val="24"/>
        </w:rPr>
      </w:pPr>
      <w:r>
        <w:rPr>
          <w:rFonts w:hint="eastAsia" w:ascii="宋体" w:hAnsi="宋体"/>
          <w:sz w:val="24"/>
          <w:szCs w:val="24"/>
        </w:rPr>
        <w:t>日期：</w:t>
      </w:r>
    </w:p>
    <w:p>
      <w:pPr>
        <w:autoSpaceDE w:val="0"/>
        <w:autoSpaceDN w:val="0"/>
        <w:adjustRightInd w:val="0"/>
        <w:spacing w:line="360" w:lineRule="auto"/>
        <w:jc w:val="center"/>
        <w:rPr>
          <w:rFonts w:hint="eastAsia" w:eastAsia="仿宋_GB2312"/>
          <w:b/>
          <w:bCs/>
          <w:sz w:val="32"/>
          <w:lang w:val="zh-CN"/>
        </w:rPr>
      </w:pPr>
      <w:r>
        <w:br w:type="page"/>
      </w:r>
      <w:r>
        <w:rPr>
          <w:rFonts w:hint="eastAsia" w:eastAsia="仿宋_GB2312"/>
          <w:b/>
          <w:bCs/>
          <w:sz w:val="32"/>
          <w:lang w:val="zh-CN"/>
        </w:rPr>
        <w:t>供应商参加开标（答辩）人员名单</w:t>
      </w:r>
    </w:p>
    <w:p>
      <w:pPr>
        <w:autoSpaceDE w:val="0"/>
        <w:autoSpaceDN w:val="0"/>
        <w:adjustRightInd w:val="0"/>
        <w:spacing w:line="360" w:lineRule="auto"/>
        <w:jc w:val="left"/>
        <w:rPr>
          <w:rFonts w:hint="eastAsia"/>
          <w:lang w:val="zh-CN"/>
        </w:rPr>
      </w:pPr>
    </w:p>
    <w:p>
      <w:pPr>
        <w:autoSpaceDE w:val="0"/>
        <w:autoSpaceDN w:val="0"/>
        <w:adjustRightInd w:val="0"/>
        <w:spacing w:line="360" w:lineRule="auto"/>
        <w:jc w:val="left"/>
        <w:rPr>
          <w:rFonts w:hint="eastAsia"/>
          <w:sz w:val="28"/>
          <w:lang w:val="zh-CN"/>
        </w:rPr>
      </w:pPr>
    </w:p>
    <w:tbl>
      <w:tblPr>
        <w:tblStyle w:val="21"/>
        <w:tblW w:w="0" w:type="auto"/>
        <w:tblInd w:w="0" w:type="dxa"/>
        <w:tblLayout w:type="fixed"/>
        <w:tblCellMar>
          <w:top w:w="0" w:type="dxa"/>
          <w:left w:w="0" w:type="dxa"/>
          <w:bottom w:w="0" w:type="dxa"/>
          <w:right w:w="0" w:type="dxa"/>
        </w:tblCellMar>
      </w:tblPr>
      <w:tblGrid>
        <w:gridCol w:w="1710"/>
        <w:gridCol w:w="3280"/>
        <w:gridCol w:w="1580"/>
        <w:gridCol w:w="2860"/>
      </w:tblGrid>
      <w:tr>
        <w:tblPrEx>
          <w:tblCellMar>
            <w:top w:w="0" w:type="dxa"/>
            <w:left w:w="0" w:type="dxa"/>
            <w:bottom w:w="0" w:type="dxa"/>
            <w:right w:w="0" w:type="dxa"/>
          </w:tblCellMar>
        </w:tblPrEx>
        <w:trPr>
          <w:wBefore w:w="0" w:type="dxa"/>
          <w:wAfter w:w="0" w:type="dxa"/>
          <w:trHeight w:val="810" w:hRule="atLeast"/>
        </w:trPr>
        <w:tc>
          <w:tcPr>
            <w:tcW w:w="171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采购编号</w:t>
            </w:r>
          </w:p>
        </w:tc>
        <w:tc>
          <w:tcPr>
            <w:tcW w:w="32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sz w:val="28"/>
                <w:szCs w:val="28"/>
              </w:rPr>
            </w:pPr>
          </w:p>
        </w:tc>
        <w:tc>
          <w:tcPr>
            <w:tcW w:w="158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标包</w:t>
            </w:r>
          </w:p>
        </w:tc>
        <w:tc>
          <w:tcPr>
            <w:tcW w:w="286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r>
              <w:rPr>
                <w:rFonts w:hint="eastAsia" w:ascii="宋体" w:hAnsi="宋体"/>
                <w:sz w:val="28"/>
                <w:szCs w:val="28"/>
              </w:rPr>
              <w:t>项目名称</w:t>
            </w:r>
          </w:p>
        </w:tc>
        <w:tc>
          <w:tcPr>
            <w:tcW w:w="7720"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投标商名称</w:t>
            </w:r>
          </w:p>
        </w:tc>
        <w:tc>
          <w:tcPr>
            <w:tcW w:w="7720" w:type="dxa"/>
            <w:gridSpan w:val="3"/>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授权代表姓名</w:t>
            </w:r>
          </w:p>
        </w:tc>
        <w:tc>
          <w:tcPr>
            <w:tcW w:w="3280" w:type="dxa"/>
            <w:tcBorders>
              <w:top w:val="nil"/>
              <w:left w:val="nil"/>
              <w:bottom w:val="single" w:color="auto" w:sz="4" w:space="0"/>
              <w:right w:val="nil"/>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c>
          <w:tcPr>
            <w:tcW w:w="158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sz w:val="28"/>
                <w:szCs w:val="28"/>
              </w:rPr>
            </w:pPr>
            <w:r>
              <w:rPr>
                <w:rFonts w:hint="eastAsia" w:ascii="宋体" w:hAnsi="宋体"/>
                <w:sz w:val="28"/>
                <w:szCs w:val="28"/>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其他人员姓名</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cs="Arial Unicode MS"/>
                <w:sz w:val="28"/>
                <w:szCs w:val="28"/>
              </w:rPr>
              <w:t>其他人员姓名</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cs="Arial Unicode MS"/>
                <w:sz w:val="28"/>
                <w:szCs w:val="28"/>
              </w:rPr>
            </w:pPr>
            <w:r>
              <w:rPr>
                <w:rFonts w:hint="eastAsia" w:ascii="宋体" w:hAnsi="宋体" w:cs="Arial Unicode MS"/>
                <w:sz w:val="28"/>
                <w:szCs w:val="28"/>
              </w:rPr>
              <w:t>职务</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宋体" w:hAnsi="宋体"/>
                <w:sz w:val="28"/>
                <w:szCs w:val="28"/>
              </w:rPr>
            </w:pPr>
          </w:p>
        </w:tc>
      </w:tr>
      <w:tr>
        <w:tblPrEx>
          <w:tblCellMar>
            <w:top w:w="0" w:type="dxa"/>
            <w:left w:w="0" w:type="dxa"/>
            <w:bottom w:w="0" w:type="dxa"/>
            <w:right w:w="0" w:type="dxa"/>
          </w:tblCellMar>
        </w:tblPrEx>
        <w:trPr>
          <w:wBefore w:w="0" w:type="dxa"/>
          <w:wAfter w:w="0" w:type="dxa"/>
          <w:trHeight w:val="810" w:hRule="atLeast"/>
        </w:trPr>
        <w:tc>
          <w:tcPr>
            <w:tcW w:w="171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手机</w:t>
            </w:r>
          </w:p>
        </w:tc>
        <w:tc>
          <w:tcPr>
            <w:tcW w:w="32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c>
          <w:tcPr>
            <w:tcW w:w="15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身份证号</w:t>
            </w:r>
          </w:p>
        </w:tc>
        <w:tc>
          <w:tcPr>
            <w:tcW w:w="28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宋体" w:hAnsi="宋体" w:cs="Arial Unicode MS"/>
                <w:sz w:val="28"/>
                <w:szCs w:val="28"/>
              </w:rPr>
            </w:pPr>
            <w:r>
              <w:rPr>
                <w:rFonts w:hint="eastAsia" w:ascii="宋体" w:hAnsi="宋体"/>
                <w:sz w:val="28"/>
                <w:szCs w:val="28"/>
              </w:rPr>
              <w:t>　</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pStyle w:val="3"/>
        <w:spacing w:after="120" w:line="520" w:lineRule="exact"/>
        <w:ind w:firstLine="0"/>
        <w:jc w:val="left"/>
        <w:rPr>
          <w:rFonts w:hint="eastAsia" w:ascii="宋体"/>
          <w:sz w:val="28"/>
        </w:rPr>
      </w:pPr>
      <w:r>
        <w:rPr>
          <w:rFonts w:hint="eastAsia" w:ascii="宋体"/>
          <w:sz w:val="28"/>
        </w:rPr>
        <w:t>投标单位全称（公章）：</w:t>
      </w:r>
    </w:p>
    <w:p>
      <w:pPr>
        <w:pStyle w:val="3"/>
        <w:spacing w:after="120" w:line="520" w:lineRule="exact"/>
        <w:ind w:firstLine="0"/>
        <w:jc w:val="left"/>
        <w:rPr>
          <w:rFonts w:hint="eastAsia" w:ascii="宋体"/>
          <w:sz w:val="28"/>
        </w:rPr>
      </w:pPr>
    </w:p>
    <w:p>
      <w:pPr>
        <w:pStyle w:val="3"/>
        <w:spacing w:after="120" w:line="520" w:lineRule="exact"/>
        <w:ind w:firstLine="0"/>
        <w:jc w:val="left"/>
        <w:rPr>
          <w:rFonts w:hint="eastAsia" w:ascii="宋体"/>
          <w:sz w:val="24"/>
        </w:rPr>
      </w:pPr>
      <w:r>
        <w:rPr>
          <w:rFonts w:hint="eastAsia" w:ascii="宋体"/>
          <w:sz w:val="28"/>
        </w:rPr>
        <w:t>日期：</w:t>
      </w:r>
    </w:p>
    <w:p>
      <w:pPr>
        <w:rPr>
          <w:rFonts w:hint="eastAsia"/>
        </w:rPr>
      </w:pPr>
    </w:p>
    <w:p>
      <w:pPr>
        <w:rPr>
          <w:rFonts w:hint="eastAsia"/>
        </w:rPr>
      </w:pPr>
    </w:p>
    <w:p>
      <w:pPr>
        <w:rPr>
          <w:rFonts w:hint="eastAsia"/>
        </w:rPr>
      </w:pPr>
      <w:r>
        <w:rPr>
          <w:rFonts w:hint="eastAsia"/>
        </w:rPr>
        <w:t>说明：供应商参加现场开标（答辩）的，本表在投标时提交工作人员。</w:t>
      </w:r>
    </w:p>
    <w:p>
      <w:pPr>
        <w:pStyle w:val="6"/>
        <w:jc w:val="center"/>
        <w:rPr>
          <w:b/>
          <w:kern w:val="2"/>
          <w:sz w:val="32"/>
          <w:szCs w:val="32"/>
        </w:rPr>
      </w:pPr>
      <w:r>
        <w:rPr>
          <w:i/>
          <w:iCs/>
          <w:sz w:val="32"/>
        </w:rPr>
        <w:br w:type="page"/>
      </w:r>
      <w:r>
        <w:rPr>
          <w:rFonts w:hint="eastAsia"/>
          <w:b/>
          <w:kern w:val="2"/>
          <w:sz w:val="32"/>
          <w:szCs w:val="32"/>
        </w:rPr>
        <w:t>政府采购履约情况反馈表</w:t>
      </w:r>
    </w:p>
    <w:p>
      <w:pPr>
        <w:spacing w:line="240" w:lineRule="atLeast"/>
        <w:rPr>
          <w:rFonts w:hint="eastAsia" w:ascii="宋体" w:hAnsi="宋体"/>
          <w:b/>
          <w:szCs w:val="21"/>
        </w:rPr>
      </w:pPr>
      <w:r>
        <w:rPr>
          <w:rFonts w:hint="eastAsia" w:ascii="宋体" w:hAnsi="宋体"/>
          <w:b/>
          <w:szCs w:val="21"/>
        </w:rPr>
        <w:t>采购人名称：                       联系人及电话：</w:t>
      </w:r>
    </w:p>
    <w:p>
      <w:pPr>
        <w:spacing w:line="60" w:lineRule="exact"/>
        <w:rPr>
          <w:rFonts w:hint="eastAsia" w:ascii="宋体" w:hAnsi="宋体"/>
          <w:b/>
          <w:szCs w:val="21"/>
        </w:rPr>
      </w:pP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0"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采购项目名称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项目编号</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61"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中标供应商名称</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供应商</w:t>
            </w:r>
          </w:p>
          <w:p>
            <w:pPr>
              <w:spacing w:line="240" w:lineRule="atLeast"/>
              <w:jc w:val="center"/>
              <w:rPr>
                <w:rFonts w:hint="eastAsia" w:ascii="宋体" w:hAnsi="宋体"/>
                <w:szCs w:val="21"/>
              </w:rPr>
            </w:pPr>
            <w:r>
              <w:rPr>
                <w:rFonts w:hint="eastAsia" w:ascii="宋体" w:hAnsi="宋体"/>
                <w:szCs w:val="21"/>
              </w:rPr>
              <w:t>联系人及电话</w:t>
            </w:r>
          </w:p>
        </w:tc>
        <w:tc>
          <w:tcPr>
            <w:tcW w:w="2135" w:type="dxa"/>
            <w:noWrap w:val="0"/>
            <w:vAlign w:val="center"/>
          </w:tcPr>
          <w:p>
            <w:pPr>
              <w:spacing w:line="240" w:lineRule="atLeast"/>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38" w:hRule="atLeast"/>
          <w:jc w:val="center"/>
        </w:trPr>
        <w:tc>
          <w:tcPr>
            <w:tcW w:w="2282" w:type="dxa"/>
            <w:gridSpan w:val="3"/>
            <w:noWrap w:val="0"/>
            <w:vAlign w:val="center"/>
          </w:tcPr>
          <w:p>
            <w:pPr>
              <w:spacing w:line="240" w:lineRule="atLeast"/>
              <w:jc w:val="center"/>
              <w:rPr>
                <w:rFonts w:hint="eastAsia" w:ascii="宋体" w:hAnsi="宋体"/>
                <w:szCs w:val="21"/>
              </w:rPr>
            </w:pPr>
            <w:r>
              <w:rPr>
                <w:rFonts w:hint="eastAsia" w:ascii="宋体" w:hAnsi="宋体"/>
                <w:szCs w:val="21"/>
              </w:rPr>
              <w:t>中标金额</w:t>
            </w:r>
          </w:p>
        </w:tc>
        <w:tc>
          <w:tcPr>
            <w:tcW w:w="2520" w:type="dxa"/>
            <w:noWrap w:val="0"/>
            <w:vAlign w:val="center"/>
          </w:tcPr>
          <w:p>
            <w:pPr>
              <w:spacing w:line="240" w:lineRule="atLeast"/>
              <w:jc w:val="center"/>
              <w:rPr>
                <w:rFonts w:hint="eastAsia" w:ascii="宋体" w:hAnsi="宋体"/>
                <w:szCs w:val="21"/>
              </w:rPr>
            </w:pPr>
          </w:p>
        </w:tc>
        <w:tc>
          <w:tcPr>
            <w:tcW w:w="1980" w:type="dxa"/>
            <w:noWrap w:val="0"/>
            <w:vAlign w:val="center"/>
          </w:tcPr>
          <w:p>
            <w:pPr>
              <w:spacing w:line="240" w:lineRule="atLeast"/>
              <w:jc w:val="center"/>
              <w:rPr>
                <w:rFonts w:hint="eastAsia" w:ascii="宋体" w:hAnsi="宋体"/>
                <w:szCs w:val="21"/>
              </w:rPr>
            </w:pPr>
            <w:r>
              <w:rPr>
                <w:rFonts w:hint="eastAsia" w:ascii="宋体" w:hAnsi="宋体"/>
                <w:szCs w:val="21"/>
              </w:rPr>
              <w:t>合同履约时间</w:t>
            </w:r>
          </w:p>
        </w:tc>
        <w:tc>
          <w:tcPr>
            <w:tcW w:w="2135" w:type="dxa"/>
            <w:noWrap w:val="0"/>
            <w:vAlign w:val="center"/>
          </w:tcPr>
          <w:p>
            <w:pPr>
              <w:spacing w:line="240" w:lineRule="atLeast"/>
              <w:rPr>
                <w:rFonts w:hint="eastAsia"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44" w:hRule="atLeast"/>
          <w:jc w:val="center"/>
        </w:trPr>
        <w:tc>
          <w:tcPr>
            <w:tcW w:w="842" w:type="dxa"/>
            <w:vMerge w:val="restart"/>
            <w:noWrap w:val="0"/>
            <w:vAlign w:val="center"/>
          </w:tcPr>
          <w:p>
            <w:pPr>
              <w:spacing w:line="240" w:lineRule="atLeast"/>
              <w:jc w:val="center"/>
              <w:rPr>
                <w:rFonts w:hint="eastAsia" w:ascii="宋体" w:hAnsi="宋体"/>
                <w:b/>
                <w:szCs w:val="21"/>
              </w:rPr>
            </w:pPr>
            <w:r>
              <w:rPr>
                <w:rFonts w:hint="eastAsia" w:ascii="宋体" w:hAnsi="宋体"/>
                <w:b/>
                <w:szCs w:val="21"/>
              </w:rPr>
              <w:t>履约情况评价</w:t>
            </w:r>
          </w:p>
        </w:tc>
        <w:tc>
          <w:tcPr>
            <w:tcW w:w="1440" w:type="dxa"/>
            <w:gridSpan w:val="2"/>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总体评价</w:t>
            </w:r>
          </w:p>
        </w:tc>
        <w:tc>
          <w:tcPr>
            <w:tcW w:w="6635" w:type="dxa"/>
            <w:gridSpan w:val="3"/>
            <w:tcBorders>
              <w:left w:val="single" w:color="auto" w:sz="4" w:space="0"/>
            </w:tcBorders>
            <w:noWrap w:val="0"/>
            <w:vAlign w:val="center"/>
          </w:tcPr>
          <w:p>
            <w:pPr>
              <w:spacing w:line="240" w:lineRule="atLeast"/>
              <w:ind w:firstLine="105" w:firstLineChars="50"/>
              <w:jc w:val="center"/>
              <w:rPr>
                <w:rFonts w:hint="eastAsia"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restart"/>
            <w:tcBorders>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质量方面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价格方面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服务方面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时间方面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8"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环境保护</w:t>
            </w:r>
          </w:p>
        </w:tc>
        <w:tc>
          <w:tcPr>
            <w:tcW w:w="6635" w:type="dxa"/>
            <w:gridSpan w:val="3"/>
            <w:tcBorders>
              <w:lef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27" w:hRule="atLeast"/>
          <w:jc w:val="center"/>
        </w:trPr>
        <w:tc>
          <w:tcPr>
            <w:tcW w:w="842" w:type="dxa"/>
            <w:vMerge w:val="continue"/>
            <w:noWrap w:val="0"/>
            <w:vAlign w:val="center"/>
          </w:tcPr>
          <w:p>
            <w:pPr>
              <w:spacing w:line="240" w:lineRule="atLeast"/>
              <w:jc w:val="center"/>
              <w:rPr>
                <w:rFonts w:hint="eastAsia"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其他</w:t>
            </w:r>
          </w:p>
        </w:tc>
        <w:tc>
          <w:tcPr>
            <w:tcW w:w="6635" w:type="dxa"/>
            <w:gridSpan w:val="3"/>
            <w:tcBorders>
              <w:left w:val="single" w:color="auto" w:sz="4" w:space="0"/>
            </w:tcBorders>
            <w:noWrap w:val="0"/>
            <w:vAlign w:val="center"/>
          </w:tcPr>
          <w:p>
            <w:pPr>
              <w:spacing w:before="156" w:beforeLines="50" w:after="156" w:afterLines="50" w:line="240" w:lineRule="atLeast"/>
              <w:rPr>
                <w:rFonts w:hint="eastAsia"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56" w:beforeLines="50" w:after="156" w:afterLines="50" w:line="240" w:lineRule="atLeast"/>
              <w:rPr>
                <w:rFonts w:hint="eastAsia"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616"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具体情况说明</w:t>
            </w:r>
          </w:p>
        </w:tc>
        <w:tc>
          <w:tcPr>
            <w:tcW w:w="7355" w:type="dxa"/>
            <w:gridSpan w:val="4"/>
            <w:noWrap w:val="0"/>
            <w:vAlign w:val="top"/>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210" w:hRule="atLeast"/>
          <w:jc w:val="center"/>
        </w:trPr>
        <w:tc>
          <w:tcPr>
            <w:tcW w:w="1562" w:type="dxa"/>
            <w:gridSpan w:val="2"/>
            <w:noWrap w:val="0"/>
            <w:vAlign w:val="center"/>
          </w:tcPr>
          <w:p>
            <w:pPr>
              <w:spacing w:line="240" w:lineRule="atLeast"/>
              <w:jc w:val="center"/>
              <w:rPr>
                <w:rFonts w:hint="eastAsia" w:ascii="宋体" w:hAnsi="宋体"/>
                <w:szCs w:val="21"/>
              </w:rPr>
            </w:pPr>
            <w:r>
              <w:rPr>
                <w:rFonts w:hint="eastAsia" w:ascii="宋体" w:hAnsi="宋体"/>
                <w:szCs w:val="21"/>
              </w:rPr>
              <w:t>采购人意见</w:t>
            </w:r>
          </w:p>
          <w:p>
            <w:pPr>
              <w:spacing w:line="240" w:lineRule="atLeast"/>
              <w:jc w:val="center"/>
              <w:rPr>
                <w:rFonts w:hint="eastAsia" w:ascii="宋体" w:hAnsi="宋体"/>
                <w:szCs w:val="21"/>
              </w:rPr>
            </w:pPr>
            <w:r>
              <w:rPr>
                <w:rFonts w:hint="eastAsia" w:ascii="宋体" w:hAnsi="宋体"/>
                <w:szCs w:val="21"/>
              </w:rPr>
              <w:t>（公章）</w:t>
            </w:r>
          </w:p>
        </w:tc>
        <w:tc>
          <w:tcPr>
            <w:tcW w:w="7355" w:type="dxa"/>
            <w:gridSpan w:val="4"/>
            <w:noWrap w:val="0"/>
            <w:vAlign w:val="center"/>
          </w:tcPr>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r>
              <w:rPr>
                <w:rFonts w:hint="eastAsia" w:ascii="宋体" w:hAnsi="宋体"/>
                <w:szCs w:val="21"/>
              </w:rPr>
              <w:t xml:space="preserve">                                        </w:t>
            </w:r>
          </w:p>
          <w:p>
            <w:pPr>
              <w:spacing w:line="240" w:lineRule="atLeast"/>
              <w:ind w:firstLine="3780" w:firstLineChars="1800"/>
              <w:rPr>
                <w:rFonts w:hint="eastAsia" w:ascii="宋体" w:hAnsi="宋体"/>
                <w:szCs w:val="21"/>
              </w:rPr>
            </w:pPr>
          </w:p>
          <w:p>
            <w:pPr>
              <w:spacing w:line="240" w:lineRule="atLeast"/>
              <w:ind w:firstLine="3780" w:firstLineChars="1800"/>
              <w:rPr>
                <w:rFonts w:hint="eastAsia" w:ascii="宋体" w:hAnsi="宋体"/>
                <w:szCs w:val="21"/>
              </w:rPr>
            </w:pPr>
            <w:r>
              <w:rPr>
                <w:rFonts w:hint="eastAsia" w:ascii="宋体" w:hAnsi="宋体"/>
                <w:szCs w:val="21"/>
              </w:rPr>
              <w:t>日期：   年   月   日</w:t>
            </w:r>
          </w:p>
        </w:tc>
      </w:tr>
    </w:tbl>
    <w:p>
      <w:pPr>
        <w:spacing w:line="240" w:lineRule="atLeast"/>
        <w:rPr>
          <w:rFonts w:hint="eastAsia" w:ascii="宋体" w:hAnsi="宋体"/>
          <w:szCs w:val="21"/>
        </w:rPr>
      </w:pPr>
      <w:r>
        <w:rPr>
          <w:rFonts w:hint="eastAsia" w:ascii="宋体" w:hAnsi="宋体"/>
          <w:szCs w:val="21"/>
        </w:rPr>
        <w:t>说明：</w:t>
      </w:r>
    </w:p>
    <w:p>
      <w:pPr>
        <w:spacing w:line="240" w:lineRule="atLeast"/>
        <w:rPr>
          <w:rFonts w:hint="eastAsia" w:ascii="宋体" w:hAnsi="宋体"/>
          <w:szCs w:val="21"/>
        </w:rPr>
      </w:pPr>
      <w:r>
        <w:rPr>
          <w:rFonts w:hint="eastAsia" w:ascii="宋体" w:hAnsi="宋体"/>
          <w:szCs w:val="21"/>
        </w:rPr>
        <w:t>1、本表为采购人向宁波国家高新区行政服务中心（宁波国家高新区公共资源交易中心）反映政府采购项目履约情况时所用；</w:t>
      </w:r>
    </w:p>
    <w:p>
      <w:pPr>
        <w:autoSpaceDE w:val="0"/>
        <w:autoSpaceDN w:val="0"/>
        <w:adjustRightInd w:val="0"/>
        <w:spacing w:line="360" w:lineRule="auto"/>
        <w:rPr>
          <w:rFonts w:hint="eastAsia"/>
          <w:i/>
          <w:iCs/>
          <w:sz w:val="32"/>
        </w:rPr>
      </w:pPr>
      <w:r>
        <w:rPr>
          <w:rFonts w:hint="eastAsia" w:ascii="宋体" w:hAnsi="宋体"/>
          <w:szCs w:val="21"/>
        </w:rPr>
        <w:t>2、履约情况评价分为优、良、中、差四个等级，请在对应的框前打“√”，然后在“具体情况说明”一栏详细说明有关情况。</w:t>
      </w:r>
    </w:p>
    <w:sectPr>
      <w:headerReference r:id="rId6" w:type="default"/>
      <w:footerReference r:id="rId7" w:type="default"/>
      <w:pgSz w:w="11907" w:h="16840"/>
      <w:pgMar w:top="1134" w:right="1418" w:bottom="1134" w:left="1418" w:header="851" w:footer="85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separate"/>
    </w:r>
    <w:r>
      <w:rPr>
        <w:rStyle w:val="25"/>
        <w:lang/>
      </w:rPr>
      <w:t>49</w:t>
    </w:r>
    <w:r>
      <w:fldChar w:fldCharType="end"/>
    </w:r>
  </w:p>
  <w:p>
    <w:pPr>
      <w:pStyle w:val="16"/>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separate"/>
    </w:r>
    <w:r>
      <w:rPr>
        <w:rStyle w:val="25"/>
        <w:lang/>
      </w:rPr>
      <w:t>57</w:t>
    </w:r>
    <w:r>
      <w:fldChar w:fldCharType="end"/>
    </w:r>
  </w:p>
  <w:p>
    <w:pPr>
      <w:pStyle w:val="16"/>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sz w:val="21"/>
      </w:rPr>
    </w:pPr>
    <w:r>
      <w:rPr>
        <w:rFonts w:hint="eastAsia"/>
        <w:sz w:val="21"/>
      </w:rPr>
      <w:t xml:space="preserve">招标文件2020版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招标文件2020版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F5D15"/>
    <w:multiLevelType w:val="singleLevel"/>
    <w:tmpl w:val="CC9F5D15"/>
    <w:lvl w:ilvl="0" w:tentative="0">
      <w:start w:val="12"/>
      <w:numFmt w:val="decimal"/>
      <w:suff w:val="nothing"/>
      <w:lvlText w:val="%1、"/>
      <w:lvlJc w:val="left"/>
    </w:lvl>
  </w:abstractNum>
  <w:abstractNum w:abstractNumId="1">
    <w:nsid w:val="EC7E169D"/>
    <w:multiLevelType w:val="singleLevel"/>
    <w:tmpl w:val="EC7E169D"/>
    <w:lvl w:ilvl="0" w:tentative="0">
      <w:start w:val="3"/>
      <w:numFmt w:val="chineseCounting"/>
      <w:suff w:val="nothing"/>
      <w:lvlText w:val="%1、"/>
      <w:lvlJc w:val="left"/>
      <w:rPr>
        <w:rFonts w:hint="eastAsia"/>
      </w:rPr>
    </w:lvl>
  </w:abstractNum>
  <w:abstractNum w:abstractNumId="2">
    <w:nsid w:val="0000001A"/>
    <w:multiLevelType w:val="multilevel"/>
    <w:tmpl w:val="0000001A"/>
    <w:lvl w:ilvl="0" w:tentative="0">
      <w:start w:val="1"/>
      <w:numFmt w:val="decimal"/>
      <w:pStyle w:val="7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ED47B7B"/>
    <w:multiLevelType w:val="multilevel"/>
    <w:tmpl w:val="0ED47B7B"/>
    <w:lvl w:ilvl="0" w:tentative="0">
      <w:start w:val="1"/>
      <w:numFmt w:val="decimal"/>
      <w:pStyle w:val="74"/>
      <w:suff w:val="space"/>
      <w:lvlText w:val="%1."/>
      <w:lvlJc w:val="left"/>
      <w:pPr>
        <w:ind w:left="5535" w:hanging="432"/>
      </w:pPr>
      <w:rPr>
        <w:rFonts w:hint="eastAsia"/>
      </w:rPr>
    </w:lvl>
    <w:lvl w:ilvl="1" w:tentative="0">
      <w:start w:val="1"/>
      <w:numFmt w:val="decimal"/>
      <w:pStyle w:val="46"/>
      <w:suff w:val="space"/>
      <w:lvlText w:val="%1.%2."/>
      <w:lvlJc w:val="left"/>
      <w:pPr>
        <w:ind w:left="576" w:hanging="576"/>
      </w:pPr>
      <w:rPr>
        <w:rFonts w:hint="eastAsia"/>
      </w:rPr>
    </w:lvl>
    <w:lvl w:ilvl="2" w:tentative="0">
      <w:start w:val="1"/>
      <w:numFmt w:val="decimal"/>
      <w:pStyle w:val="45"/>
      <w:suff w:val="space"/>
      <w:lvlText w:val="%1.%2.%3."/>
      <w:lvlJc w:val="left"/>
      <w:pPr>
        <w:ind w:left="720" w:hanging="720"/>
      </w:pPr>
      <w:rPr>
        <w:rFonts w:hint="eastAsia"/>
      </w:rPr>
    </w:lvl>
    <w:lvl w:ilvl="3" w:tentative="0">
      <w:start w:val="1"/>
      <w:numFmt w:val="decimal"/>
      <w:pStyle w:val="63"/>
      <w:suff w:val="space"/>
      <w:lvlText w:val="%1.%2.%3.%4."/>
      <w:lvlJc w:val="left"/>
      <w:pPr>
        <w:ind w:left="864" w:hanging="864"/>
      </w:pPr>
      <w:rPr>
        <w:rFonts w:hint="eastAsia"/>
      </w:rPr>
    </w:lvl>
    <w:lvl w:ilvl="4" w:tentative="0">
      <w:start w:val="1"/>
      <w:numFmt w:val="decimal"/>
      <w:pStyle w:val="76"/>
      <w:suff w:val="space"/>
      <w:lvlText w:val="%1.%2.%3.%4.%5."/>
      <w:lvlJc w:val="left"/>
      <w:pPr>
        <w:ind w:left="1008" w:hanging="1008"/>
      </w:pPr>
      <w:rPr>
        <w:rFonts w:hint="eastAsia"/>
      </w:rPr>
    </w:lvl>
    <w:lvl w:ilvl="5" w:tentative="0">
      <w:start w:val="1"/>
      <w:numFmt w:val="decimal"/>
      <w:pStyle w:val="57"/>
      <w:suff w:val="space"/>
      <w:lvlText w:val="%1.%2.%3.%4.%5.%6."/>
      <w:lvlJc w:val="left"/>
      <w:pPr>
        <w:ind w:left="1152" w:hanging="1152"/>
      </w:pPr>
      <w:rPr>
        <w:rFonts w:hint="eastAsia"/>
      </w:rPr>
    </w:lvl>
    <w:lvl w:ilvl="6" w:tentative="0">
      <w:start w:val="1"/>
      <w:numFmt w:val="decimal"/>
      <w:pStyle w:val="75"/>
      <w:suff w:val="space"/>
      <w:lvlText w:val="%1.%2.%3.%4.%5.%6.%7."/>
      <w:lvlJc w:val="left"/>
      <w:pPr>
        <w:ind w:left="1296" w:hanging="1296"/>
      </w:pPr>
      <w:rPr>
        <w:rFonts w:hint="eastAsia"/>
      </w:rPr>
    </w:lvl>
    <w:lvl w:ilvl="7" w:tentative="0">
      <w:start w:val="1"/>
      <w:numFmt w:val="decimal"/>
      <w:pStyle w:val="58"/>
      <w:suff w:val="space"/>
      <w:lvlText w:val="%1.%2.%3.%4.%5.%6.%7.%8."/>
      <w:lvlJc w:val="left"/>
      <w:pPr>
        <w:ind w:left="1440" w:hanging="1440"/>
      </w:pPr>
      <w:rPr>
        <w:rFonts w:hint="eastAsia"/>
      </w:rPr>
    </w:lvl>
    <w:lvl w:ilvl="8" w:tentative="0">
      <w:start w:val="1"/>
      <w:numFmt w:val="decimal"/>
      <w:pStyle w:val="67"/>
      <w:suff w:val="space"/>
      <w:lvlText w:val="%1.%2.%3.%4.%5.%6.%7.%8.%9."/>
      <w:lvlJc w:val="left"/>
      <w:pPr>
        <w:ind w:left="1584" w:hanging="1584"/>
      </w:pPr>
      <w:rPr>
        <w:rFonts w:hint="eastAsia"/>
      </w:rPr>
    </w:lvl>
  </w:abstractNum>
  <w:abstractNum w:abstractNumId="4">
    <w:nsid w:val="19E21CCE"/>
    <w:multiLevelType w:val="singleLevel"/>
    <w:tmpl w:val="19E21CCE"/>
    <w:lvl w:ilvl="0" w:tentative="0">
      <w:start w:val="1"/>
      <w:numFmt w:val="decimal"/>
      <w:lvlText w:val="（%1）"/>
      <w:lvlJc w:val="left"/>
      <w:pPr>
        <w:tabs>
          <w:tab w:val="left" w:pos="945"/>
        </w:tabs>
        <w:ind w:left="945" w:hanging="525"/>
      </w:pPr>
      <w:rPr>
        <w:rFonts w:hint="eastAsia"/>
      </w:rPr>
    </w:lvl>
  </w:abstractNum>
  <w:abstractNum w:abstractNumId="5">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6">
    <w:nsid w:val="57BFE25A"/>
    <w:multiLevelType w:val="singleLevel"/>
    <w:tmpl w:val="57BFE25A"/>
    <w:lvl w:ilvl="0" w:tentative="0">
      <w:start w:val="1"/>
      <w:numFmt w:val="decimal"/>
      <w:suff w:val="nothing"/>
      <w:lvlText w:val="%1、"/>
      <w:lvlJc w:val="left"/>
    </w:lvl>
  </w:abstractNum>
  <w:abstractNum w:abstractNumId="7">
    <w:nsid w:val="5805C4F9"/>
    <w:multiLevelType w:val="singleLevel"/>
    <w:tmpl w:val="5805C4F9"/>
    <w:lvl w:ilvl="0" w:tentative="0">
      <w:start w:val="1"/>
      <w:numFmt w:val="decimal"/>
      <w:suff w:val="nothing"/>
      <w:lvlText w:val="%1、"/>
      <w:lvlJc w:val="left"/>
    </w:lvl>
  </w:abstractNum>
  <w:abstractNum w:abstractNumId="8">
    <w:nsid w:val="58DB1FFA"/>
    <w:multiLevelType w:val="singleLevel"/>
    <w:tmpl w:val="58DB1FFA"/>
    <w:lvl w:ilvl="0" w:tentative="0">
      <w:start w:val="1"/>
      <w:numFmt w:val="decimal"/>
      <w:suff w:val="nothing"/>
      <w:lvlText w:val="%1、"/>
      <w:lvlJc w:val="left"/>
    </w:lvl>
  </w:abstractNum>
  <w:abstractNum w:abstractNumId="9">
    <w:nsid w:val="5982E4E7"/>
    <w:multiLevelType w:val="singleLevel"/>
    <w:tmpl w:val="5982E4E7"/>
    <w:lvl w:ilvl="0" w:tentative="0">
      <w:start w:val="1"/>
      <w:numFmt w:val="decimal"/>
      <w:suff w:val="nothing"/>
      <w:lvlText w:val="（%1）"/>
      <w:lvlJc w:val="left"/>
    </w:lvl>
  </w:abstractNum>
  <w:abstractNum w:abstractNumId="10">
    <w:nsid w:val="5983D080"/>
    <w:multiLevelType w:val="singleLevel"/>
    <w:tmpl w:val="5983D080"/>
    <w:lvl w:ilvl="0" w:tentative="0">
      <w:start w:val="1"/>
      <w:numFmt w:val="decimal"/>
      <w:suff w:val="nothing"/>
      <w:lvlText w:val="（%1）"/>
      <w:lvlJc w:val="left"/>
    </w:lvl>
  </w:abstractNum>
  <w:abstractNum w:abstractNumId="11">
    <w:nsid w:val="59ACBEE7"/>
    <w:multiLevelType w:val="singleLevel"/>
    <w:tmpl w:val="59ACBEE7"/>
    <w:lvl w:ilvl="0" w:tentative="0">
      <w:start w:val="1"/>
      <w:numFmt w:val="decimal"/>
      <w:suff w:val="nothing"/>
      <w:lvlText w:val="%1、"/>
      <w:lvlJc w:val="left"/>
    </w:lvl>
  </w:abstractNum>
  <w:abstractNum w:abstractNumId="12">
    <w:nsid w:val="5DBC3D0C"/>
    <w:multiLevelType w:val="multilevel"/>
    <w:tmpl w:val="5DBC3D0C"/>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13">
    <w:nsid w:val="5DDB721A"/>
    <w:multiLevelType w:val="multilevel"/>
    <w:tmpl w:val="5DDB721A"/>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675"/>
        </w:tabs>
        <w:ind w:left="675" w:hanging="420"/>
      </w:pPr>
    </w:lvl>
    <w:lvl w:ilvl="2" w:tentative="0">
      <w:start w:val="1"/>
      <w:numFmt w:val="decimal"/>
      <w:lvlText w:val="(%3)"/>
      <w:lvlJc w:val="left"/>
      <w:pPr>
        <w:tabs>
          <w:tab w:val="left" w:pos="1155"/>
        </w:tabs>
        <w:ind w:left="1155" w:hanging="480"/>
      </w:pPr>
      <w:rPr>
        <w:rFonts w:hint="default"/>
      </w:rPr>
    </w:lvl>
    <w:lvl w:ilvl="3" w:tentative="0">
      <w:start w:val="1"/>
      <w:numFmt w:val="decimal"/>
      <w:lvlText w:val="%4."/>
      <w:lvlJc w:val="left"/>
      <w:pPr>
        <w:tabs>
          <w:tab w:val="left" w:pos="1515"/>
        </w:tabs>
        <w:ind w:left="1515" w:hanging="420"/>
      </w:pPr>
    </w:lvl>
    <w:lvl w:ilvl="4" w:tentative="0">
      <w:start w:val="1"/>
      <w:numFmt w:val="lowerLetter"/>
      <w:lvlText w:val="%5)"/>
      <w:lvlJc w:val="left"/>
      <w:pPr>
        <w:tabs>
          <w:tab w:val="left" w:pos="1935"/>
        </w:tabs>
        <w:ind w:left="1935" w:hanging="420"/>
      </w:pPr>
    </w:lvl>
    <w:lvl w:ilvl="5" w:tentative="0">
      <w:start w:val="1"/>
      <w:numFmt w:val="lowerRoman"/>
      <w:lvlText w:val="%6."/>
      <w:lvlJc w:val="right"/>
      <w:pPr>
        <w:tabs>
          <w:tab w:val="left" w:pos="2355"/>
        </w:tabs>
        <w:ind w:left="2355" w:hanging="420"/>
      </w:pPr>
    </w:lvl>
    <w:lvl w:ilvl="6" w:tentative="0">
      <w:start w:val="1"/>
      <w:numFmt w:val="decimal"/>
      <w:lvlText w:val="%7."/>
      <w:lvlJc w:val="left"/>
      <w:pPr>
        <w:tabs>
          <w:tab w:val="left" w:pos="2775"/>
        </w:tabs>
        <w:ind w:left="2775" w:hanging="420"/>
      </w:pPr>
    </w:lvl>
    <w:lvl w:ilvl="7" w:tentative="0">
      <w:start w:val="1"/>
      <w:numFmt w:val="lowerLetter"/>
      <w:lvlText w:val="%8)"/>
      <w:lvlJc w:val="left"/>
      <w:pPr>
        <w:tabs>
          <w:tab w:val="left" w:pos="3195"/>
        </w:tabs>
        <w:ind w:left="3195" w:hanging="420"/>
      </w:pPr>
    </w:lvl>
    <w:lvl w:ilvl="8" w:tentative="0">
      <w:start w:val="1"/>
      <w:numFmt w:val="lowerRoman"/>
      <w:lvlText w:val="%9."/>
      <w:lvlJc w:val="right"/>
      <w:pPr>
        <w:tabs>
          <w:tab w:val="left" w:pos="3615"/>
        </w:tabs>
        <w:ind w:left="3615" w:hanging="420"/>
      </w:pPr>
    </w:lvl>
  </w:abstractNum>
  <w:abstractNum w:abstractNumId="14">
    <w:nsid w:val="5E036473"/>
    <w:multiLevelType w:val="multilevel"/>
    <w:tmpl w:val="5E036473"/>
    <w:lvl w:ilvl="0" w:tentative="0">
      <w:start w:val="2"/>
      <w:numFmt w:val="decimal"/>
      <w:lvlText w:val="%1）"/>
      <w:lvlJc w:val="left"/>
      <w:pPr>
        <w:ind w:left="840" w:hanging="360"/>
      </w:pPr>
      <w:rPr>
        <w:rFonts w:hint="default"/>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676C73AA"/>
    <w:multiLevelType w:val="singleLevel"/>
    <w:tmpl w:val="676C73AA"/>
    <w:lvl w:ilvl="0" w:tentative="0">
      <w:start w:val="1"/>
      <w:numFmt w:val="decimal"/>
      <w:suff w:val="nothing"/>
      <w:lvlText w:val="%1、"/>
      <w:lvlJc w:val="left"/>
    </w:lvl>
  </w:abstractNum>
  <w:abstractNum w:abstractNumId="16">
    <w:nsid w:val="720B5377"/>
    <w:multiLevelType w:val="multilevel"/>
    <w:tmpl w:val="720B5377"/>
    <w:lvl w:ilvl="0" w:tentative="0">
      <w:start w:val="1"/>
      <w:numFmt w:val="decimal"/>
      <w:lvlText w:val="%1、"/>
      <w:lvlJc w:val="left"/>
      <w:pPr>
        <w:tabs>
          <w:tab w:val="left" w:pos="961"/>
        </w:tabs>
        <w:ind w:left="961" w:hanging="360"/>
      </w:pPr>
      <w:rPr>
        <w:rFonts w:hint="default"/>
      </w:rPr>
    </w:lvl>
    <w:lvl w:ilvl="1" w:tentative="0">
      <w:start w:val="6"/>
      <w:numFmt w:val="decimal"/>
      <w:lvlText w:val="（%2）"/>
      <w:lvlJc w:val="left"/>
      <w:pPr>
        <w:tabs>
          <w:tab w:val="left" w:pos="1741"/>
        </w:tabs>
        <w:ind w:left="1741" w:hanging="720"/>
      </w:pPr>
      <w:rPr>
        <w:rFonts w:hint="default"/>
      </w:r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abstractNum w:abstractNumId="17">
    <w:nsid w:val="766D792A"/>
    <w:multiLevelType w:val="singleLevel"/>
    <w:tmpl w:val="766D792A"/>
    <w:lvl w:ilvl="0" w:tentative="0">
      <w:start w:val="1"/>
      <w:numFmt w:val="decimal"/>
      <w:lvlText w:val="(%1)"/>
      <w:lvlJc w:val="left"/>
      <w:pPr>
        <w:tabs>
          <w:tab w:val="left" w:pos="700"/>
        </w:tabs>
        <w:ind w:left="0" w:firstLine="340"/>
      </w:pPr>
      <w:rPr>
        <w:rFonts w:hint="eastAsia"/>
      </w:rPr>
    </w:lvl>
  </w:abstractNum>
  <w:abstractNum w:abstractNumId="18">
    <w:nsid w:val="7DD94275"/>
    <w:multiLevelType w:val="multilevel"/>
    <w:tmpl w:val="7DD94275"/>
    <w:lvl w:ilvl="0" w:tentative="0">
      <w:start w:val="1"/>
      <w:numFmt w:val="decimal"/>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2"/>
  </w:num>
  <w:num w:numId="3">
    <w:abstractNumId w:val="7"/>
  </w:num>
  <w:num w:numId="4">
    <w:abstractNumId w:val="1"/>
  </w:num>
  <w:num w:numId="5">
    <w:abstractNumId w:val="14"/>
  </w:num>
  <w:num w:numId="6">
    <w:abstractNumId w:val="18"/>
  </w:num>
  <w:num w:numId="7">
    <w:abstractNumId w:val="10"/>
  </w:num>
  <w:num w:numId="8">
    <w:abstractNumId w:val="9"/>
  </w:num>
  <w:num w:numId="9">
    <w:abstractNumId w:val="13"/>
  </w:num>
  <w:num w:numId="10">
    <w:abstractNumId w:val="12"/>
  </w:num>
  <w:num w:numId="11">
    <w:abstractNumId w:val="0"/>
  </w:num>
  <w:num w:numId="12">
    <w:abstractNumId w:val="4"/>
  </w:num>
  <w:num w:numId="13">
    <w:abstractNumId w:val="5"/>
  </w:num>
  <w:num w:numId="14">
    <w:abstractNumId w:val="8"/>
  </w:num>
  <w:num w:numId="15">
    <w:abstractNumId w:val="15"/>
  </w:num>
  <w:num w:numId="16">
    <w:abstractNumId w:val="17"/>
  </w:num>
  <w:num w:numId="17">
    <w:abstractNumId w:val="16"/>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2D"/>
    <w:rsid w:val="000047D3"/>
    <w:rsid w:val="000059A4"/>
    <w:rsid w:val="00007868"/>
    <w:rsid w:val="000102F9"/>
    <w:rsid w:val="00012528"/>
    <w:rsid w:val="00013441"/>
    <w:rsid w:val="00014A9A"/>
    <w:rsid w:val="00014B80"/>
    <w:rsid w:val="00021FB1"/>
    <w:rsid w:val="00022345"/>
    <w:rsid w:val="00024C24"/>
    <w:rsid w:val="000250B0"/>
    <w:rsid w:val="00026B63"/>
    <w:rsid w:val="00026D88"/>
    <w:rsid w:val="00031DC2"/>
    <w:rsid w:val="0003495E"/>
    <w:rsid w:val="00037F0E"/>
    <w:rsid w:val="000407CE"/>
    <w:rsid w:val="0004211B"/>
    <w:rsid w:val="0004534C"/>
    <w:rsid w:val="0004576F"/>
    <w:rsid w:val="000463A9"/>
    <w:rsid w:val="00053CAE"/>
    <w:rsid w:val="000606AD"/>
    <w:rsid w:val="00061ADF"/>
    <w:rsid w:val="00066C1D"/>
    <w:rsid w:val="00070D0C"/>
    <w:rsid w:val="00072705"/>
    <w:rsid w:val="00072CB0"/>
    <w:rsid w:val="00074CEC"/>
    <w:rsid w:val="00076D33"/>
    <w:rsid w:val="00077731"/>
    <w:rsid w:val="0008053B"/>
    <w:rsid w:val="000805FB"/>
    <w:rsid w:val="000820C4"/>
    <w:rsid w:val="00082B2B"/>
    <w:rsid w:val="00084B2C"/>
    <w:rsid w:val="00085037"/>
    <w:rsid w:val="00086A1A"/>
    <w:rsid w:val="0008743B"/>
    <w:rsid w:val="00087510"/>
    <w:rsid w:val="00090A24"/>
    <w:rsid w:val="00094B5A"/>
    <w:rsid w:val="000961F3"/>
    <w:rsid w:val="00096CC2"/>
    <w:rsid w:val="000A032D"/>
    <w:rsid w:val="000A073C"/>
    <w:rsid w:val="000A45C5"/>
    <w:rsid w:val="000A7147"/>
    <w:rsid w:val="000B00E2"/>
    <w:rsid w:val="000B1ADB"/>
    <w:rsid w:val="000B2F91"/>
    <w:rsid w:val="000B35BB"/>
    <w:rsid w:val="000B446D"/>
    <w:rsid w:val="000B6209"/>
    <w:rsid w:val="000C257D"/>
    <w:rsid w:val="000C5E67"/>
    <w:rsid w:val="000D0B65"/>
    <w:rsid w:val="000D3EF2"/>
    <w:rsid w:val="000D642E"/>
    <w:rsid w:val="000D7AD6"/>
    <w:rsid w:val="000E0493"/>
    <w:rsid w:val="000E20AD"/>
    <w:rsid w:val="000E2989"/>
    <w:rsid w:val="000E7259"/>
    <w:rsid w:val="000F1182"/>
    <w:rsid w:val="000F179C"/>
    <w:rsid w:val="000F1C9A"/>
    <w:rsid w:val="000F3B14"/>
    <w:rsid w:val="000F60C6"/>
    <w:rsid w:val="00104476"/>
    <w:rsid w:val="0010498F"/>
    <w:rsid w:val="001064A9"/>
    <w:rsid w:val="00111627"/>
    <w:rsid w:val="00112913"/>
    <w:rsid w:val="00115425"/>
    <w:rsid w:val="00123CB5"/>
    <w:rsid w:val="001264A0"/>
    <w:rsid w:val="00131AC0"/>
    <w:rsid w:val="001324DF"/>
    <w:rsid w:val="001338A6"/>
    <w:rsid w:val="00133AB3"/>
    <w:rsid w:val="001429CB"/>
    <w:rsid w:val="00146CFE"/>
    <w:rsid w:val="001470D3"/>
    <w:rsid w:val="001510DF"/>
    <w:rsid w:val="0015297F"/>
    <w:rsid w:val="00152F4F"/>
    <w:rsid w:val="00154E35"/>
    <w:rsid w:val="00155A03"/>
    <w:rsid w:val="001566C3"/>
    <w:rsid w:val="00157BAD"/>
    <w:rsid w:val="00165A87"/>
    <w:rsid w:val="00165BD9"/>
    <w:rsid w:val="001701E3"/>
    <w:rsid w:val="0017145F"/>
    <w:rsid w:val="00172B75"/>
    <w:rsid w:val="00174E07"/>
    <w:rsid w:val="001834B9"/>
    <w:rsid w:val="00184083"/>
    <w:rsid w:val="00194CD0"/>
    <w:rsid w:val="001A01E6"/>
    <w:rsid w:val="001A3B1D"/>
    <w:rsid w:val="001B3B12"/>
    <w:rsid w:val="001B67C2"/>
    <w:rsid w:val="001B6A34"/>
    <w:rsid w:val="001C3ED2"/>
    <w:rsid w:val="001D003E"/>
    <w:rsid w:val="001D074A"/>
    <w:rsid w:val="001D0C0E"/>
    <w:rsid w:val="001D21D0"/>
    <w:rsid w:val="001D2776"/>
    <w:rsid w:val="001D4E4A"/>
    <w:rsid w:val="001D54FC"/>
    <w:rsid w:val="001D608F"/>
    <w:rsid w:val="001E01A5"/>
    <w:rsid w:val="001E17B3"/>
    <w:rsid w:val="001E1827"/>
    <w:rsid w:val="001E2FA7"/>
    <w:rsid w:val="001E3918"/>
    <w:rsid w:val="001E65F7"/>
    <w:rsid w:val="001E70ED"/>
    <w:rsid w:val="001F18AB"/>
    <w:rsid w:val="001F2F60"/>
    <w:rsid w:val="001F36D5"/>
    <w:rsid w:val="001F3B4E"/>
    <w:rsid w:val="001F422B"/>
    <w:rsid w:val="002046A5"/>
    <w:rsid w:val="0020470F"/>
    <w:rsid w:val="00207D95"/>
    <w:rsid w:val="00211334"/>
    <w:rsid w:val="00213FB6"/>
    <w:rsid w:val="0021731C"/>
    <w:rsid w:val="0021746E"/>
    <w:rsid w:val="0022402A"/>
    <w:rsid w:val="00230223"/>
    <w:rsid w:val="0023535F"/>
    <w:rsid w:val="00235A00"/>
    <w:rsid w:val="002371E4"/>
    <w:rsid w:val="002378BB"/>
    <w:rsid w:val="00240252"/>
    <w:rsid w:val="002409D4"/>
    <w:rsid w:val="00245F5B"/>
    <w:rsid w:val="00245FA7"/>
    <w:rsid w:val="0025350C"/>
    <w:rsid w:val="002537D5"/>
    <w:rsid w:val="00254E54"/>
    <w:rsid w:val="00256D78"/>
    <w:rsid w:val="00257B92"/>
    <w:rsid w:val="00264E8D"/>
    <w:rsid w:val="0026745F"/>
    <w:rsid w:val="00267E83"/>
    <w:rsid w:val="0027184F"/>
    <w:rsid w:val="00274149"/>
    <w:rsid w:val="00276091"/>
    <w:rsid w:val="0027699F"/>
    <w:rsid w:val="0028133F"/>
    <w:rsid w:val="0028274D"/>
    <w:rsid w:val="002909CA"/>
    <w:rsid w:val="00291393"/>
    <w:rsid w:val="002A4953"/>
    <w:rsid w:val="002A71AA"/>
    <w:rsid w:val="002B4876"/>
    <w:rsid w:val="002C01DA"/>
    <w:rsid w:val="002C212A"/>
    <w:rsid w:val="002C2597"/>
    <w:rsid w:val="002C73CE"/>
    <w:rsid w:val="002D113C"/>
    <w:rsid w:val="002D5955"/>
    <w:rsid w:val="002D7889"/>
    <w:rsid w:val="002E1531"/>
    <w:rsid w:val="002E4B3E"/>
    <w:rsid w:val="002E68B0"/>
    <w:rsid w:val="002E7025"/>
    <w:rsid w:val="002E7594"/>
    <w:rsid w:val="00307753"/>
    <w:rsid w:val="00311CB1"/>
    <w:rsid w:val="00313EC9"/>
    <w:rsid w:val="003152BD"/>
    <w:rsid w:val="00315814"/>
    <w:rsid w:val="00315A5F"/>
    <w:rsid w:val="0032018F"/>
    <w:rsid w:val="00321F93"/>
    <w:rsid w:val="00322D6C"/>
    <w:rsid w:val="00325A0E"/>
    <w:rsid w:val="00326700"/>
    <w:rsid w:val="003307EA"/>
    <w:rsid w:val="003369E5"/>
    <w:rsid w:val="00345CDA"/>
    <w:rsid w:val="00346DB2"/>
    <w:rsid w:val="00353462"/>
    <w:rsid w:val="00354776"/>
    <w:rsid w:val="00356108"/>
    <w:rsid w:val="00360D6A"/>
    <w:rsid w:val="0036680C"/>
    <w:rsid w:val="0036686B"/>
    <w:rsid w:val="003735E0"/>
    <w:rsid w:val="003870C3"/>
    <w:rsid w:val="00390974"/>
    <w:rsid w:val="003929C0"/>
    <w:rsid w:val="00392E3D"/>
    <w:rsid w:val="003951A9"/>
    <w:rsid w:val="00396022"/>
    <w:rsid w:val="00396D8D"/>
    <w:rsid w:val="003A23F7"/>
    <w:rsid w:val="003A51B1"/>
    <w:rsid w:val="003A74AE"/>
    <w:rsid w:val="003B05B0"/>
    <w:rsid w:val="003B5334"/>
    <w:rsid w:val="003B7407"/>
    <w:rsid w:val="003C2F4E"/>
    <w:rsid w:val="003C310C"/>
    <w:rsid w:val="003D0D99"/>
    <w:rsid w:val="003D2D60"/>
    <w:rsid w:val="003D383C"/>
    <w:rsid w:val="003E1CCA"/>
    <w:rsid w:val="003E5C66"/>
    <w:rsid w:val="003E7AF3"/>
    <w:rsid w:val="003F1B0F"/>
    <w:rsid w:val="003F4C8C"/>
    <w:rsid w:val="00401D0D"/>
    <w:rsid w:val="00403512"/>
    <w:rsid w:val="004050FA"/>
    <w:rsid w:val="00405905"/>
    <w:rsid w:val="00405C5E"/>
    <w:rsid w:val="004102AA"/>
    <w:rsid w:val="004120D2"/>
    <w:rsid w:val="004152E4"/>
    <w:rsid w:val="0042381A"/>
    <w:rsid w:val="00425F49"/>
    <w:rsid w:val="0043385B"/>
    <w:rsid w:val="00434A96"/>
    <w:rsid w:val="004353E0"/>
    <w:rsid w:val="004354A9"/>
    <w:rsid w:val="0043702D"/>
    <w:rsid w:val="00442FC1"/>
    <w:rsid w:val="0044433C"/>
    <w:rsid w:val="0044460C"/>
    <w:rsid w:val="00452325"/>
    <w:rsid w:val="00453177"/>
    <w:rsid w:val="0045345F"/>
    <w:rsid w:val="00455D48"/>
    <w:rsid w:val="00461CAA"/>
    <w:rsid w:val="00462FD8"/>
    <w:rsid w:val="00464CC2"/>
    <w:rsid w:val="00465724"/>
    <w:rsid w:val="004657E0"/>
    <w:rsid w:val="00466498"/>
    <w:rsid w:val="00466A57"/>
    <w:rsid w:val="00470C2E"/>
    <w:rsid w:val="004717A6"/>
    <w:rsid w:val="00471D2C"/>
    <w:rsid w:val="004721F8"/>
    <w:rsid w:val="004723AF"/>
    <w:rsid w:val="00476012"/>
    <w:rsid w:val="00482A79"/>
    <w:rsid w:val="00482AA5"/>
    <w:rsid w:val="00482F42"/>
    <w:rsid w:val="00482FB4"/>
    <w:rsid w:val="0048327F"/>
    <w:rsid w:val="00484E44"/>
    <w:rsid w:val="00486353"/>
    <w:rsid w:val="004874FE"/>
    <w:rsid w:val="0049147F"/>
    <w:rsid w:val="004949BD"/>
    <w:rsid w:val="004950C5"/>
    <w:rsid w:val="004968CC"/>
    <w:rsid w:val="004978B6"/>
    <w:rsid w:val="004A0B63"/>
    <w:rsid w:val="004A3355"/>
    <w:rsid w:val="004A3967"/>
    <w:rsid w:val="004A66D9"/>
    <w:rsid w:val="004A7F66"/>
    <w:rsid w:val="004B3383"/>
    <w:rsid w:val="004B46DD"/>
    <w:rsid w:val="004B510C"/>
    <w:rsid w:val="004B5778"/>
    <w:rsid w:val="004B72FC"/>
    <w:rsid w:val="004C2D48"/>
    <w:rsid w:val="004C2E15"/>
    <w:rsid w:val="004C3DE2"/>
    <w:rsid w:val="004E3D0C"/>
    <w:rsid w:val="004F26BE"/>
    <w:rsid w:val="004F494E"/>
    <w:rsid w:val="004F589D"/>
    <w:rsid w:val="00511024"/>
    <w:rsid w:val="0051541A"/>
    <w:rsid w:val="00515B9B"/>
    <w:rsid w:val="00527E67"/>
    <w:rsid w:val="0053012C"/>
    <w:rsid w:val="005329F8"/>
    <w:rsid w:val="00532E52"/>
    <w:rsid w:val="00535FE9"/>
    <w:rsid w:val="00540B82"/>
    <w:rsid w:val="005415C1"/>
    <w:rsid w:val="00542047"/>
    <w:rsid w:val="00545057"/>
    <w:rsid w:val="005541F4"/>
    <w:rsid w:val="00554CF1"/>
    <w:rsid w:val="0056152B"/>
    <w:rsid w:val="00561A85"/>
    <w:rsid w:val="0056475E"/>
    <w:rsid w:val="0056479B"/>
    <w:rsid w:val="005649E3"/>
    <w:rsid w:val="00566F1E"/>
    <w:rsid w:val="005704E2"/>
    <w:rsid w:val="00571BF0"/>
    <w:rsid w:val="00572867"/>
    <w:rsid w:val="00572D63"/>
    <w:rsid w:val="0057736E"/>
    <w:rsid w:val="00582CD6"/>
    <w:rsid w:val="00590A9D"/>
    <w:rsid w:val="00590D36"/>
    <w:rsid w:val="0059639E"/>
    <w:rsid w:val="005A388D"/>
    <w:rsid w:val="005A5912"/>
    <w:rsid w:val="005B2CD3"/>
    <w:rsid w:val="005B3347"/>
    <w:rsid w:val="005B3A02"/>
    <w:rsid w:val="005B3BC7"/>
    <w:rsid w:val="005B78AF"/>
    <w:rsid w:val="005C26B6"/>
    <w:rsid w:val="005C3B1C"/>
    <w:rsid w:val="005C60B2"/>
    <w:rsid w:val="005D0596"/>
    <w:rsid w:val="005D22ED"/>
    <w:rsid w:val="005D2B50"/>
    <w:rsid w:val="005D422F"/>
    <w:rsid w:val="005D5FB8"/>
    <w:rsid w:val="005D671D"/>
    <w:rsid w:val="005E4668"/>
    <w:rsid w:val="005E547A"/>
    <w:rsid w:val="005F7759"/>
    <w:rsid w:val="00601531"/>
    <w:rsid w:val="006055BF"/>
    <w:rsid w:val="006118AE"/>
    <w:rsid w:val="00611F60"/>
    <w:rsid w:val="006153E9"/>
    <w:rsid w:val="00616A32"/>
    <w:rsid w:val="006204EA"/>
    <w:rsid w:val="00622BEA"/>
    <w:rsid w:val="00622F44"/>
    <w:rsid w:val="00624584"/>
    <w:rsid w:val="00631F11"/>
    <w:rsid w:val="00632222"/>
    <w:rsid w:val="00632BE5"/>
    <w:rsid w:val="00633E07"/>
    <w:rsid w:val="006348F9"/>
    <w:rsid w:val="00640422"/>
    <w:rsid w:val="00644092"/>
    <w:rsid w:val="00644740"/>
    <w:rsid w:val="00645C9C"/>
    <w:rsid w:val="00650C5E"/>
    <w:rsid w:val="006510CC"/>
    <w:rsid w:val="006517BB"/>
    <w:rsid w:val="00652830"/>
    <w:rsid w:val="00653382"/>
    <w:rsid w:val="00671286"/>
    <w:rsid w:val="00672D96"/>
    <w:rsid w:val="006743F7"/>
    <w:rsid w:val="0067656E"/>
    <w:rsid w:val="0067723A"/>
    <w:rsid w:val="006872EC"/>
    <w:rsid w:val="00687A0E"/>
    <w:rsid w:val="006904FB"/>
    <w:rsid w:val="00692F97"/>
    <w:rsid w:val="00694F6E"/>
    <w:rsid w:val="006A124E"/>
    <w:rsid w:val="006A1DF2"/>
    <w:rsid w:val="006A4502"/>
    <w:rsid w:val="006A4E10"/>
    <w:rsid w:val="006A5D5F"/>
    <w:rsid w:val="006A7103"/>
    <w:rsid w:val="006B2585"/>
    <w:rsid w:val="006B5A5A"/>
    <w:rsid w:val="006C15D2"/>
    <w:rsid w:val="006C4BE9"/>
    <w:rsid w:val="006D4E29"/>
    <w:rsid w:val="006D503E"/>
    <w:rsid w:val="006D7564"/>
    <w:rsid w:val="006E2615"/>
    <w:rsid w:val="006E4F57"/>
    <w:rsid w:val="006E68ED"/>
    <w:rsid w:val="006E6D93"/>
    <w:rsid w:val="006F3F07"/>
    <w:rsid w:val="00712AE3"/>
    <w:rsid w:val="00713324"/>
    <w:rsid w:val="00713E81"/>
    <w:rsid w:val="00714313"/>
    <w:rsid w:val="007176C4"/>
    <w:rsid w:val="00720506"/>
    <w:rsid w:val="00723AE4"/>
    <w:rsid w:val="0072649C"/>
    <w:rsid w:val="007317D6"/>
    <w:rsid w:val="00731801"/>
    <w:rsid w:val="007368FF"/>
    <w:rsid w:val="007445DE"/>
    <w:rsid w:val="00744CBC"/>
    <w:rsid w:val="00745B56"/>
    <w:rsid w:val="00747BBB"/>
    <w:rsid w:val="0075078E"/>
    <w:rsid w:val="00751ABF"/>
    <w:rsid w:val="00752F5C"/>
    <w:rsid w:val="00754DFB"/>
    <w:rsid w:val="00757BA0"/>
    <w:rsid w:val="00760F53"/>
    <w:rsid w:val="007610C2"/>
    <w:rsid w:val="007720B1"/>
    <w:rsid w:val="00772DBE"/>
    <w:rsid w:val="007745D8"/>
    <w:rsid w:val="0077485A"/>
    <w:rsid w:val="00774FF1"/>
    <w:rsid w:val="00780BE0"/>
    <w:rsid w:val="007830D8"/>
    <w:rsid w:val="007838DD"/>
    <w:rsid w:val="007839E8"/>
    <w:rsid w:val="00784A21"/>
    <w:rsid w:val="00790B5F"/>
    <w:rsid w:val="00791273"/>
    <w:rsid w:val="00791F9F"/>
    <w:rsid w:val="007922CD"/>
    <w:rsid w:val="00795447"/>
    <w:rsid w:val="007A04BD"/>
    <w:rsid w:val="007A0B69"/>
    <w:rsid w:val="007A41BC"/>
    <w:rsid w:val="007A7DAB"/>
    <w:rsid w:val="007B0C44"/>
    <w:rsid w:val="007B6191"/>
    <w:rsid w:val="007C1730"/>
    <w:rsid w:val="007C17FD"/>
    <w:rsid w:val="007C4AB7"/>
    <w:rsid w:val="007C54BA"/>
    <w:rsid w:val="007C694A"/>
    <w:rsid w:val="007D1DA1"/>
    <w:rsid w:val="007D4361"/>
    <w:rsid w:val="007E01FC"/>
    <w:rsid w:val="007E0625"/>
    <w:rsid w:val="007E1255"/>
    <w:rsid w:val="007E1F40"/>
    <w:rsid w:val="007E5CAF"/>
    <w:rsid w:val="007F0646"/>
    <w:rsid w:val="007F38FC"/>
    <w:rsid w:val="007F4508"/>
    <w:rsid w:val="007F4B2B"/>
    <w:rsid w:val="007F5EFF"/>
    <w:rsid w:val="0080220E"/>
    <w:rsid w:val="00804EFA"/>
    <w:rsid w:val="00806738"/>
    <w:rsid w:val="00807301"/>
    <w:rsid w:val="008117FB"/>
    <w:rsid w:val="0081346B"/>
    <w:rsid w:val="00816721"/>
    <w:rsid w:val="00821EBF"/>
    <w:rsid w:val="00825F9B"/>
    <w:rsid w:val="00827053"/>
    <w:rsid w:val="008279AC"/>
    <w:rsid w:val="008316C6"/>
    <w:rsid w:val="008333E6"/>
    <w:rsid w:val="00833DC6"/>
    <w:rsid w:val="00834A77"/>
    <w:rsid w:val="0083629E"/>
    <w:rsid w:val="00837F6F"/>
    <w:rsid w:val="00844F81"/>
    <w:rsid w:val="00850DBD"/>
    <w:rsid w:val="008566CF"/>
    <w:rsid w:val="00861021"/>
    <w:rsid w:val="00861459"/>
    <w:rsid w:val="00865345"/>
    <w:rsid w:val="008727E5"/>
    <w:rsid w:val="00873B4E"/>
    <w:rsid w:val="00877AF1"/>
    <w:rsid w:val="0088125E"/>
    <w:rsid w:val="00882D37"/>
    <w:rsid w:val="00885CC3"/>
    <w:rsid w:val="0089395F"/>
    <w:rsid w:val="00893E43"/>
    <w:rsid w:val="0089588D"/>
    <w:rsid w:val="00896DBF"/>
    <w:rsid w:val="008A1DDC"/>
    <w:rsid w:val="008A4CB0"/>
    <w:rsid w:val="008B01E2"/>
    <w:rsid w:val="008B4D48"/>
    <w:rsid w:val="008B62C6"/>
    <w:rsid w:val="008C44E9"/>
    <w:rsid w:val="008C5C2D"/>
    <w:rsid w:val="008D3A59"/>
    <w:rsid w:val="008E2AF0"/>
    <w:rsid w:val="008E3F73"/>
    <w:rsid w:val="008E7432"/>
    <w:rsid w:val="008F22BF"/>
    <w:rsid w:val="008F2B1F"/>
    <w:rsid w:val="008F2D97"/>
    <w:rsid w:val="008F3678"/>
    <w:rsid w:val="008F4528"/>
    <w:rsid w:val="008F4C3D"/>
    <w:rsid w:val="008F50F0"/>
    <w:rsid w:val="008F5311"/>
    <w:rsid w:val="008F6218"/>
    <w:rsid w:val="008F6461"/>
    <w:rsid w:val="009003DD"/>
    <w:rsid w:val="00900E79"/>
    <w:rsid w:val="009013E9"/>
    <w:rsid w:val="00903981"/>
    <w:rsid w:val="00906045"/>
    <w:rsid w:val="00913491"/>
    <w:rsid w:val="009143F1"/>
    <w:rsid w:val="009214D1"/>
    <w:rsid w:val="0092586D"/>
    <w:rsid w:val="00925F90"/>
    <w:rsid w:val="00926804"/>
    <w:rsid w:val="00943DBE"/>
    <w:rsid w:val="00947EB1"/>
    <w:rsid w:val="00955828"/>
    <w:rsid w:val="0095606E"/>
    <w:rsid w:val="00956210"/>
    <w:rsid w:val="00961A0D"/>
    <w:rsid w:val="00965C98"/>
    <w:rsid w:val="00971253"/>
    <w:rsid w:val="00972337"/>
    <w:rsid w:val="009739D8"/>
    <w:rsid w:val="009749D8"/>
    <w:rsid w:val="00974BAA"/>
    <w:rsid w:val="0097522C"/>
    <w:rsid w:val="0097770C"/>
    <w:rsid w:val="00985F7B"/>
    <w:rsid w:val="00986AC3"/>
    <w:rsid w:val="009930CD"/>
    <w:rsid w:val="00994F44"/>
    <w:rsid w:val="00996134"/>
    <w:rsid w:val="009A0DE4"/>
    <w:rsid w:val="009A2A39"/>
    <w:rsid w:val="009A5A7B"/>
    <w:rsid w:val="009A761A"/>
    <w:rsid w:val="009B1874"/>
    <w:rsid w:val="009B1E3E"/>
    <w:rsid w:val="009B48AD"/>
    <w:rsid w:val="009B76E6"/>
    <w:rsid w:val="009C3DD3"/>
    <w:rsid w:val="009C656F"/>
    <w:rsid w:val="009C74F1"/>
    <w:rsid w:val="009D1797"/>
    <w:rsid w:val="009D761E"/>
    <w:rsid w:val="009D79E9"/>
    <w:rsid w:val="009E592D"/>
    <w:rsid w:val="009F0534"/>
    <w:rsid w:val="009F2A99"/>
    <w:rsid w:val="009F4E30"/>
    <w:rsid w:val="009F723E"/>
    <w:rsid w:val="00A0375B"/>
    <w:rsid w:val="00A05150"/>
    <w:rsid w:val="00A06A78"/>
    <w:rsid w:val="00A101BD"/>
    <w:rsid w:val="00A10806"/>
    <w:rsid w:val="00A11B3A"/>
    <w:rsid w:val="00A13518"/>
    <w:rsid w:val="00A16A82"/>
    <w:rsid w:val="00A17787"/>
    <w:rsid w:val="00A23F69"/>
    <w:rsid w:val="00A26054"/>
    <w:rsid w:val="00A26262"/>
    <w:rsid w:val="00A26325"/>
    <w:rsid w:val="00A2665B"/>
    <w:rsid w:val="00A269B0"/>
    <w:rsid w:val="00A30961"/>
    <w:rsid w:val="00A34FF8"/>
    <w:rsid w:val="00A42C45"/>
    <w:rsid w:val="00A433D0"/>
    <w:rsid w:val="00A43CA6"/>
    <w:rsid w:val="00A51015"/>
    <w:rsid w:val="00A62544"/>
    <w:rsid w:val="00A63CB5"/>
    <w:rsid w:val="00A63E22"/>
    <w:rsid w:val="00A651EB"/>
    <w:rsid w:val="00A657A0"/>
    <w:rsid w:val="00A71F7E"/>
    <w:rsid w:val="00A84AF5"/>
    <w:rsid w:val="00A859BE"/>
    <w:rsid w:val="00A85E9C"/>
    <w:rsid w:val="00A86BCF"/>
    <w:rsid w:val="00A9222A"/>
    <w:rsid w:val="00A92586"/>
    <w:rsid w:val="00A927F7"/>
    <w:rsid w:val="00A947D6"/>
    <w:rsid w:val="00AA0285"/>
    <w:rsid w:val="00AA5F6D"/>
    <w:rsid w:val="00AA62F3"/>
    <w:rsid w:val="00AB4FCA"/>
    <w:rsid w:val="00AB5E60"/>
    <w:rsid w:val="00AB6371"/>
    <w:rsid w:val="00AC6FF9"/>
    <w:rsid w:val="00AC7241"/>
    <w:rsid w:val="00AD25B6"/>
    <w:rsid w:val="00AD4DB9"/>
    <w:rsid w:val="00AE4086"/>
    <w:rsid w:val="00AE5855"/>
    <w:rsid w:val="00AE6DCD"/>
    <w:rsid w:val="00AF1B78"/>
    <w:rsid w:val="00AF2BF3"/>
    <w:rsid w:val="00AF561A"/>
    <w:rsid w:val="00AF65F0"/>
    <w:rsid w:val="00B0252F"/>
    <w:rsid w:val="00B0626B"/>
    <w:rsid w:val="00B07973"/>
    <w:rsid w:val="00B10BB7"/>
    <w:rsid w:val="00B2414D"/>
    <w:rsid w:val="00B26B35"/>
    <w:rsid w:val="00B33B5A"/>
    <w:rsid w:val="00B36225"/>
    <w:rsid w:val="00B36EE8"/>
    <w:rsid w:val="00B37170"/>
    <w:rsid w:val="00B42742"/>
    <w:rsid w:val="00B43B03"/>
    <w:rsid w:val="00B450CB"/>
    <w:rsid w:val="00B51297"/>
    <w:rsid w:val="00B529F7"/>
    <w:rsid w:val="00B55253"/>
    <w:rsid w:val="00B553CF"/>
    <w:rsid w:val="00B60550"/>
    <w:rsid w:val="00B609AC"/>
    <w:rsid w:val="00B619E6"/>
    <w:rsid w:val="00B61F3A"/>
    <w:rsid w:val="00B6377D"/>
    <w:rsid w:val="00B643AA"/>
    <w:rsid w:val="00B66F9D"/>
    <w:rsid w:val="00B7015A"/>
    <w:rsid w:val="00B77BA1"/>
    <w:rsid w:val="00B802A0"/>
    <w:rsid w:val="00B836E3"/>
    <w:rsid w:val="00B905E9"/>
    <w:rsid w:val="00B97D95"/>
    <w:rsid w:val="00BA04B1"/>
    <w:rsid w:val="00BA4220"/>
    <w:rsid w:val="00BA7C27"/>
    <w:rsid w:val="00BB3E1F"/>
    <w:rsid w:val="00BB4642"/>
    <w:rsid w:val="00BC04D7"/>
    <w:rsid w:val="00BC37AC"/>
    <w:rsid w:val="00BC4132"/>
    <w:rsid w:val="00BD246A"/>
    <w:rsid w:val="00BD7770"/>
    <w:rsid w:val="00BE109A"/>
    <w:rsid w:val="00BE48DB"/>
    <w:rsid w:val="00BE7225"/>
    <w:rsid w:val="00BF05A1"/>
    <w:rsid w:val="00BF2FBE"/>
    <w:rsid w:val="00BF4289"/>
    <w:rsid w:val="00BF76C9"/>
    <w:rsid w:val="00C045D6"/>
    <w:rsid w:val="00C05ADB"/>
    <w:rsid w:val="00C12630"/>
    <w:rsid w:val="00C13CF4"/>
    <w:rsid w:val="00C147C8"/>
    <w:rsid w:val="00C1594B"/>
    <w:rsid w:val="00C22640"/>
    <w:rsid w:val="00C231BC"/>
    <w:rsid w:val="00C24B89"/>
    <w:rsid w:val="00C26261"/>
    <w:rsid w:val="00C30625"/>
    <w:rsid w:val="00C31436"/>
    <w:rsid w:val="00C32646"/>
    <w:rsid w:val="00C34DB9"/>
    <w:rsid w:val="00C358D5"/>
    <w:rsid w:val="00C42B22"/>
    <w:rsid w:val="00C5044E"/>
    <w:rsid w:val="00C512F0"/>
    <w:rsid w:val="00C63CE1"/>
    <w:rsid w:val="00C65573"/>
    <w:rsid w:val="00C72576"/>
    <w:rsid w:val="00C74320"/>
    <w:rsid w:val="00C744C4"/>
    <w:rsid w:val="00C773C4"/>
    <w:rsid w:val="00C77D55"/>
    <w:rsid w:val="00C86DD3"/>
    <w:rsid w:val="00C877B3"/>
    <w:rsid w:val="00C87A87"/>
    <w:rsid w:val="00C96BD9"/>
    <w:rsid w:val="00C97B05"/>
    <w:rsid w:val="00CA0878"/>
    <w:rsid w:val="00CA2163"/>
    <w:rsid w:val="00CA407A"/>
    <w:rsid w:val="00CA5C1F"/>
    <w:rsid w:val="00CA6576"/>
    <w:rsid w:val="00CB2381"/>
    <w:rsid w:val="00CB5B67"/>
    <w:rsid w:val="00CB720D"/>
    <w:rsid w:val="00CC59A1"/>
    <w:rsid w:val="00CD26D5"/>
    <w:rsid w:val="00CE0BED"/>
    <w:rsid w:val="00CE0D77"/>
    <w:rsid w:val="00CE3CEB"/>
    <w:rsid w:val="00CE583A"/>
    <w:rsid w:val="00CE6321"/>
    <w:rsid w:val="00CE67CB"/>
    <w:rsid w:val="00CF2000"/>
    <w:rsid w:val="00CF3604"/>
    <w:rsid w:val="00CF441C"/>
    <w:rsid w:val="00CF5F13"/>
    <w:rsid w:val="00CF63A7"/>
    <w:rsid w:val="00D00543"/>
    <w:rsid w:val="00D00F7A"/>
    <w:rsid w:val="00D052EC"/>
    <w:rsid w:val="00D06637"/>
    <w:rsid w:val="00D06761"/>
    <w:rsid w:val="00D157BC"/>
    <w:rsid w:val="00D166F5"/>
    <w:rsid w:val="00D16715"/>
    <w:rsid w:val="00D169EE"/>
    <w:rsid w:val="00D16D87"/>
    <w:rsid w:val="00D23783"/>
    <w:rsid w:val="00D25106"/>
    <w:rsid w:val="00D252B9"/>
    <w:rsid w:val="00D32114"/>
    <w:rsid w:val="00D33DCC"/>
    <w:rsid w:val="00D346B5"/>
    <w:rsid w:val="00D43E8A"/>
    <w:rsid w:val="00D4460D"/>
    <w:rsid w:val="00D5177A"/>
    <w:rsid w:val="00D51987"/>
    <w:rsid w:val="00D52E65"/>
    <w:rsid w:val="00D56492"/>
    <w:rsid w:val="00D60614"/>
    <w:rsid w:val="00D669B6"/>
    <w:rsid w:val="00D70323"/>
    <w:rsid w:val="00D70524"/>
    <w:rsid w:val="00D81A3F"/>
    <w:rsid w:val="00D81AFA"/>
    <w:rsid w:val="00D850A2"/>
    <w:rsid w:val="00D929D7"/>
    <w:rsid w:val="00D97B7B"/>
    <w:rsid w:val="00DA031F"/>
    <w:rsid w:val="00DA1CD4"/>
    <w:rsid w:val="00DB0D31"/>
    <w:rsid w:val="00DB4F6E"/>
    <w:rsid w:val="00DB50DC"/>
    <w:rsid w:val="00DB748C"/>
    <w:rsid w:val="00DC15B9"/>
    <w:rsid w:val="00DC3EEF"/>
    <w:rsid w:val="00DC5253"/>
    <w:rsid w:val="00DC6D4A"/>
    <w:rsid w:val="00DD0CF0"/>
    <w:rsid w:val="00DD12B2"/>
    <w:rsid w:val="00DD1ABD"/>
    <w:rsid w:val="00DD368E"/>
    <w:rsid w:val="00DE0AF9"/>
    <w:rsid w:val="00DE2911"/>
    <w:rsid w:val="00DE31BA"/>
    <w:rsid w:val="00DF1210"/>
    <w:rsid w:val="00DF1260"/>
    <w:rsid w:val="00DF261E"/>
    <w:rsid w:val="00DF5564"/>
    <w:rsid w:val="00E02E8D"/>
    <w:rsid w:val="00E04744"/>
    <w:rsid w:val="00E0629E"/>
    <w:rsid w:val="00E07654"/>
    <w:rsid w:val="00E07E9B"/>
    <w:rsid w:val="00E1263C"/>
    <w:rsid w:val="00E12CD5"/>
    <w:rsid w:val="00E154BA"/>
    <w:rsid w:val="00E15F87"/>
    <w:rsid w:val="00E16C7E"/>
    <w:rsid w:val="00E21C6B"/>
    <w:rsid w:val="00E2553E"/>
    <w:rsid w:val="00E3177C"/>
    <w:rsid w:val="00E3182C"/>
    <w:rsid w:val="00E35305"/>
    <w:rsid w:val="00E451CC"/>
    <w:rsid w:val="00E5581E"/>
    <w:rsid w:val="00E62D07"/>
    <w:rsid w:val="00E63F09"/>
    <w:rsid w:val="00E6696E"/>
    <w:rsid w:val="00E67189"/>
    <w:rsid w:val="00E673C9"/>
    <w:rsid w:val="00E67785"/>
    <w:rsid w:val="00E739CE"/>
    <w:rsid w:val="00E75A80"/>
    <w:rsid w:val="00E75B4C"/>
    <w:rsid w:val="00E812D7"/>
    <w:rsid w:val="00E81F83"/>
    <w:rsid w:val="00E842B0"/>
    <w:rsid w:val="00E85879"/>
    <w:rsid w:val="00E85DCE"/>
    <w:rsid w:val="00E86DA3"/>
    <w:rsid w:val="00E940E6"/>
    <w:rsid w:val="00E94F92"/>
    <w:rsid w:val="00EA33AE"/>
    <w:rsid w:val="00EA361E"/>
    <w:rsid w:val="00EA4AC5"/>
    <w:rsid w:val="00EB0570"/>
    <w:rsid w:val="00EB1030"/>
    <w:rsid w:val="00EB3964"/>
    <w:rsid w:val="00EB67CD"/>
    <w:rsid w:val="00EC160E"/>
    <w:rsid w:val="00EC4C79"/>
    <w:rsid w:val="00EC6721"/>
    <w:rsid w:val="00EC6778"/>
    <w:rsid w:val="00EC70A7"/>
    <w:rsid w:val="00EC753F"/>
    <w:rsid w:val="00ED00EF"/>
    <w:rsid w:val="00ED081C"/>
    <w:rsid w:val="00ED34F2"/>
    <w:rsid w:val="00ED6A35"/>
    <w:rsid w:val="00EE0CAD"/>
    <w:rsid w:val="00EE654C"/>
    <w:rsid w:val="00EE68C7"/>
    <w:rsid w:val="00EE6A14"/>
    <w:rsid w:val="00EF237E"/>
    <w:rsid w:val="00EF544F"/>
    <w:rsid w:val="00EF6844"/>
    <w:rsid w:val="00F01744"/>
    <w:rsid w:val="00F0347F"/>
    <w:rsid w:val="00F046FD"/>
    <w:rsid w:val="00F13D09"/>
    <w:rsid w:val="00F17104"/>
    <w:rsid w:val="00F2078E"/>
    <w:rsid w:val="00F227B5"/>
    <w:rsid w:val="00F22D89"/>
    <w:rsid w:val="00F25358"/>
    <w:rsid w:val="00F27637"/>
    <w:rsid w:val="00F27A8A"/>
    <w:rsid w:val="00F27DCA"/>
    <w:rsid w:val="00F31BE5"/>
    <w:rsid w:val="00F354FF"/>
    <w:rsid w:val="00F35D62"/>
    <w:rsid w:val="00F3780C"/>
    <w:rsid w:val="00F559D1"/>
    <w:rsid w:val="00F55FC2"/>
    <w:rsid w:val="00F579DB"/>
    <w:rsid w:val="00F57FD4"/>
    <w:rsid w:val="00F62926"/>
    <w:rsid w:val="00F651C5"/>
    <w:rsid w:val="00F72591"/>
    <w:rsid w:val="00F74450"/>
    <w:rsid w:val="00F7505B"/>
    <w:rsid w:val="00F766A0"/>
    <w:rsid w:val="00F848F7"/>
    <w:rsid w:val="00F87D43"/>
    <w:rsid w:val="00F9250A"/>
    <w:rsid w:val="00F925B3"/>
    <w:rsid w:val="00F94E14"/>
    <w:rsid w:val="00FA2D52"/>
    <w:rsid w:val="00FB0731"/>
    <w:rsid w:val="00FB4518"/>
    <w:rsid w:val="00FB533E"/>
    <w:rsid w:val="00FB534F"/>
    <w:rsid w:val="00FB7F8B"/>
    <w:rsid w:val="00FC0B96"/>
    <w:rsid w:val="00FC3CFF"/>
    <w:rsid w:val="00FC6AEA"/>
    <w:rsid w:val="00FD3D84"/>
    <w:rsid w:val="00FD3EE6"/>
    <w:rsid w:val="00FD6AD7"/>
    <w:rsid w:val="00FD7309"/>
    <w:rsid w:val="00FE4E3D"/>
    <w:rsid w:val="00FE60E7"/>
    <w:rsid w:val="00FE7772"/>
    <w:rsid w:val="00FF242A"/>
    <w:rsid w:val="00FF2B15"/>
    <w:rsid w:val="00FF33DE"/>
    <w:rsid w:val="01377B9D"/>
    <w:rsid w:val="01B72C95"/>
    <w:rsid w:val="01D35132"/>
    <w:rsid w:val="01F637FB"/>
    <w:rsid w:val="028D16D5"/>
    <w:rsid w:val="02AE2370"/>
    <w:rsid w:val="02CC716D"/>
    <w:rsid w:val="02D01BA7"/>
    <w:rsid w:val="03142241"/>
    <w:rsid w:val="031B6B7F"/>
    <w:rsid w:val="031E7B7B"/>
    <w:rsid w:val="032A79D1"/>
    <w:rsid w:val="035B0462"/>
    <w:rsid w:val="036924DB"/>
    <w:rsid w:val="03A82C7E"/>
    <w:rsid w:val="03CE6A70"/>
    <w:rsid w:val="03D35490"/>
    <w:rsid w:val="03D436D9"/>
    <w:rsid w:val="0404413A"/>
    <w:rsid w:val="043D69E1"/>
    <w:rsid w:val="043E570B"/>
    <w:rsid w:val="04E00365"/>
    <w:rsid w:val="04E854F5"/>
    <w:rsid w:val="05011932"/>
    <w:rsid w:val="052A5A3F"/>
    <w:rsid w:val="0554711E"/>
    <w:rsid w:val="05C21322"/>
    <w:rsid w:val="05E30C6F"/>
    <w:rsid w:val="067E6F27"/>
    <w:rsid w:val="06970968"/>
    <w:rsid w:val="06D51BAA"/>
    <w:rsid w:val="06EC567E"/>
    <w:rsid w:val="073D5508"/>
    <w:rsid w:val="07413377"/>
    <w:rsid w:val="079C1191"/>
    <w:rsid w:val="07AC1DDA"/>
    <w:rsid w:val="07B05FB4"/>
    <w:rsid w:val="07D24B26"/>
    <w:rsid w:val="07D55F4A"/>
    <w:rsid w:val="081E6F45"/>
    <w:rsid w:val="082314D5"/>
    <w:rsid w:val="083C50D8"/>
    <w:rsid w:val="088D1D6E"/>
    <w:rsid w:val="088F1091"/>
    <w:rsid w:val="08A74315"/>
    <w:rsid w:val="08B56D56"/>
    <w:rsid w:val="09375D7F"/>
    <w:rsid w:val="09533288"/>
    <w:rsid w:val="09940816"/>
    <w:rsid w:val="09C50658"/>
    <w:rsid w:val="09DB6EA8"/>
    <w:rsid w:val="09E656F3"/>
    <w:rsid w:val="09EA30F8"/>
    <w:rsid w:val="09F417AF"/>
    <w:rsid w:val="09F978E2"/>
    <w:rsid w:val="0A080979"/>
    <w:rsid w:val="0A5E18FC"/>
    <w:rsid w:val="0A6C7801"/>
    <w:rsid w:val="0ACF123B"/>
    <w:rsid w:val="0B084AF7"/>
    <w:rsid w:val="0B900AFD"/>
    <w:rsid w:val="0BC47BAF"/>
    <w:rsid w:val="0BD2051C"/>
    <w:rsid w:val="0C1A31C8"/>
    <w:rsid w:val="0C3D7323"/>
    <w:rsid w:val="0C7B7D18"/>
    <w:rsid w:val="0CEE267A"/>
    <w:rsid w:val="0D183586"/>
    <w:rsid w:val="0D1C56D7"/>
    <w:rsid w:val="0D4412D1"/>
    <w:rsid w:val="0D461EB9"/>
    <w:rsid w:val="0D815D13"/>
    <w:rsid w:val="0DFC087A"/>
    <w:rsid w:val="0E916EE3"/>
    <w:rsid w:val="0EB37DCF"/>
    <w:rsid w:val="0EC15C02"/>
    <w:rsid w:val="0EEC499C"/>
    <w:rsid w:val="0F1B4F96"/>
    <w:rsid w:val="0F5420ED"/>
    <w:rsid w:val="0F610317"/>
    <w:rsid w:val="0F6B0FEF"/>
    <w:rsid w:val="0F6E2FA7"/>
    <w:rsid w:val="103E5B2A"/>
    <w:rsid w:val="10704177"/>
    <w:rsid w:val="10BF77BD"/>
    <w:rsid w:val="10D63E68"/>
    <w:rsid w:val="115505B8"/>
    <w:rsid w:val="11A847BC"/>
    <w:rsid w:val="11AE53BA"/>
    <w:rsid w:val="11B529CE"/>
    <w:rsid w:val="11E953BA"/>
    <w:rsid w:val="12176588"/>
    <w:rsid w:val="121D0FEF"/>
    <w:rsid w:val="123116B1"/>
    <w:rsid w:val="12567615"/>
    <w:rsid w:val="12987635"/>
    <w:rsid w:val="12A13996"/>
    <w:rsid w:val="12C82CA4"/>
    <w:rsid w:val="12CE3CA2"/>
    <w:rsid w:val="12EC16AA"/>
    <w:rsid w:val="12EC1DC7"/>
    <w:rsid w:val="12EE7D82"/>
    <w:rsid w:val="130C4CDB"/>
    <w:rsid w:val="1334486A"/>
    <w:rsid w:val="134128D2"/>
    <w:rsid w:val="139E7CC1"/>
    <w:rsid w:val="13BE6AAB"/>
    <w:rsid w:val="13CC125A"/>
    <w:rsid w:val="13ED1293"/>
    <w:rsid w:val="140A12D4"/>
    <w:rsid w:val="14192A31"/>
    <w:rsid w:val="143A2C60"/>
    <w:rsid w:val="144A20C6"/>
    <w:rsid w:val="14844C7F"/>
    <w:rsid w:val="148B3AF2"/>
    <w:rsid w:val="14A32643"/>
    <w:rsid w:val="14BE38CC"/>
    <w:rsid w:val="14F77F59"/>
    <w:rsid w:val="15270859"/>
    <w:rsid w:val="152E0F37"/>
    <w:rsid w:val="154911CD"/>
    <w:rsid w:val="157D53D2"/>
    <w:rsid w:val="15BE0144"/>
    <w:rsid w:val="15D90D46"/>
    <w:rsid w:val="161A14EB"/>
    <w:rsid w:val="16292E07"/>
    <w:rsid w:val="16296E4A"/>
    <w:rsid w:val="164A0F19"/>
    <w:rsid w:val="165C6742"/>
    <w:rsid w:val="16704936"/>
    <w:rsid w:val="16B40158"/>
    <w:rsid w:val="170C20FD"/>
    <w:rsid w:val="176E25A4"/>
    <w:rsid w:val="17820D43"/>
    <w:rsid w:val="17885987"/>
    <w:rsid w:val="179C724C"/>
    <w:rsid w:val="17A34855"/>
    <w:rsid w:val="17DB0778"/>
    <w:rsid w:val="17F074AB"/>
    <w:rsid w:val="17F925C0"/>
    <w:rsid w:val="180B370A"/>
    <w:rsid w:val="183C59DA"/>
    <w:rsid w:val="183E15A9"/>
    <w:rsid w:val="184575BD"/>
    <w:rsid w:val="18627B4D"/>
    <w:rsid w:val="186C1E69"/>
    <w:rsid w:val="187D305F"/>
    <w:rsid w:val="18B27877"/>
    <w:rsid w:val="18CA5080"/>
    <w:rsid w:val="18E2028C"/>
    <w:rsid w:val="18FC5BD0"/>
    <w:rsid w:val="1965085B"/>
    <w:rsid w:val="196D2E42"/>
    <w:rsid w:val="198602E3"/>
    <w:rsid w:val="19971F45"/>
    <w:rsid w:val="19EB1817"/>
    <w:rsid w:val="1A082747"/>
    <w:rsid w:val="1A096F0C"/>
    <w:rsid w:val="1A102387"/>
    <w:rsid w:val="1A2D4715"/>
    <w:rsid w:val="1A554A52"/>
    <w:rsid w:val="1AB07B31"/>
    <w:rsid w:val="1AE86287"/>
    <w:rsid w:val="1B2726BC"/>
    <w:rsid w:val="1B2B7382"/>
    <w:rsid w:val="1B4730B5"/>
    <w:rsid w:val="1B592A5A"/>
    <w:rsid w:val="1B9A04EF"/>
    <w:rsid w:val="1BA81C64"/>
    <w:rsid w:val="1BE7320B"/>
    <w:rsid w:val="1BE974A7"/>
    <w:rsid w:val="1C0E077A"/>
    <w:rsid w:val="1C132B6F"/>
    <w:rsid w:val="1C4C3BCF"/>
    <w:rsid w:val="1CF840CE"/>
    <w:rsid w:val="1D1F0CC8"/>
    <w:rsid w:val="1D201767"/>
    <w:rsid w:val="1D6D33D9"/>
    <w:rsid w:val="1DF20632"/>
    <w:rsid w:val="1E0E1394"/>
    <w:rsid w:val="1E1A5E8E"/>
    <w:rsid w:val="1EA471F4"/>
    <w:rsid w:val="1EB05819"/>
    <w:rsid w:val="1EBF5AE2"/>
    <w:rsid w:val="1EE74EDE"/>
    <w:rsid w:val="1F4A66CB"/>
    <w:rsid w:val="1F841458"/>
    <w:rsid w:val="1F99634F"/>
    <w:rsid w:val="1FC15204"/>
    <w:rsid w:val="1FC52418"/>
    <w:rsid w:val="1FDC6146"/>
    <w:rsid w:val="1FDD15EA"/>
    <w:rsid w:val="1FEA332F"/>
    <w:rsid w:val="203408A9"/>
    <w:rsid w:val="203A2849"/>
    <w:rsid w:val="20582817"/>
    <w:rsid w:val="20951352"/>
    <w:rsid w:val="209D7F94"/>
    <w:rsid w:val="20B04949"/>
    <w:rsid w:val="20F66CBA"/>
    <w:rsid w:val="20FF0C42"/>
    <w:rsid w:val="21163D3F"/>
    <w:rsid w:val="21C34ACD"/>
    <w:rsid w:val="222759DD"/>
    <w:rsid w:val="222F4B99"/>
    <w:rsid w:val="22312A3E"/>
    <w:rsid w:val="22616744"/>
    <w:rsid w:val="22814516"/>
    <w:rsid w:val="228C1A86"/>
    <w:rsid w:val="22DE2C86"/>
    <w:rsid w:val="232A1E72"/>
    <w:rsid w:val="23663399"/>
    <w:rsid w:val="2375423A"/>
    <w:rsid w:val="23A72329"/>
    <w:rsid w:val="23B75F74"/>
    <w:rsid w:val="23F8402A"/>
    <w:rsid w:val="24281053"/>
    <w:rsid w:val="24476392"/>
    <w:rsid w:val="245A45C2"/>
    <w:rsid w:val="24A11AF9"/>
    <w:rsid w:val="24A35BD5"/>
    <w:rsid w:val="24A604CC"/>
    <w:rsid w:val="24AA60B7"/>
    <w:rsid w:val="24CC1412"/>
    <w:rsid w:val="24E608A5"/>
    <w:rsid w:val="24EA7F6E"/>
    <w:rsid w:val="24F17FF1"/>
    <w:rsid w:val="256B4D22"/>
    <w:rsid w:val="25826AB6"/>
    <w:rsid w:val="258D36BB"/>
    <w:rsid w:val="25A81AC8"/>
    <w:rsid w:val="25F22E44"/>
    <w:rsid w:val="25F7500B"/>
    <w:rsid w:val="26020916"/>
    <w:rsid w:val="26165ED1"/>
    <w:rsid w:val="261B4D97"/>
    <w:rsid w:val="26616E06"/>
    <w:rsid w:val="267355D9"/>
    <w:rsid w:val="268153EF"/>
    <w:rsid w:val="26A863BA"/>
    <w:rsid w:val="26B720E4"/>
    <w:rsid w:val="26D838D7"/>
    <w:rsid w:val="26FA635D"/>
    <w:rsid w:val="2735710D"/>
    <w:rsid w:val="27766DC3"/>
    <w:rsid w:val="278E7E49"/>
    <w:rsid w:val="27DF1D5F"/>
    <w:rsid w:val="27F71305"/>
    <w:rsid w:val="282A223D"/>
    <w:rsid w:val="2832442B"/>
    <w:rsid w:val="28642EB0"/>
    <w:rsid w:val="286E5EF6"/>
    <w:rsid w:val="28786659"/>
    <w:rsid w:val="288C0C93"/>
    <w:rsid w:val="289D02A1"/>
    <w:rsid w:val="28E87769"/>
    <w:rsid w:val="29061987"/>
    <w:rsid w:val="293C4A01"/>
    <w:rsid w:val="294C27FE"/>
    <w:rsid w:val="29AB0D33"/>
    <w:rsid w:val="29EE68C6"/>
    <w:rsid w:val="2A1C1BA8"/>
    <w:rsid w:val="2A842385"/>
    <w:rsid w:val="2B5461D3"/>
    <w:rsid w:val="2B560E1B"/>
    <w:rsid w:val="2B917E0C"/>
    <w:rsid w:val="2BD64431"/>
    <w:rsid w:val="2C5D38CE"/>
    <w:rsid w:val="2C913ADD"/>
    <w:rsid w:val="2CB07280"/>
    <w:rsid w:val="2CBB6BE1"/>
    <w:rsid w:val="2CBE7A70"/>
    <w:rsid w:val="2CDF763D"/>
    <w:rsid w:val="2CEA7054"/>
    <w:rsid w:val="2CF90E25"/>
    <w:rsid w:val="2D0F236C"/>
    <w:rsid w:val="2D881B2D"/>
    <w:rsid w:val="2D8A4B55"/>
    <w:rsid w:val="2D933319"/>
    <w:rsid w:val="2D9B763C"/>
    <w:rsid w:val="2DC96C13"/>
    <w:rsid w:val="2DF32732"/>
    <w:rsid w:val="2E2D6938"/>
    <w:rsid w:val="2E775F2D"/>
    <w:rsid w:val="2EB265AC"/>
    <w:rsid w:val="2ED60013"/>
    <w:rsid w:val="2F094E4F"/>
    <w:rsid w:val="2F34648A"/>
    <w:rsid w:val="2F68036A"/>
    <w:rsid w:val="2F7F2540"/>
    <w:rsid w:val="2F96641B"/>
    <w:rsid w:val="2F9C0D1A"/>
    <w:rsid w:val="2FB836C9"/>
    <w:rsid w:val="2FC92E14"/>
    <w:rsid w:val="3012724A"/>
    <w:rsid w:val="30334291"/>
    <w:rsid w:val="305F2AEA"/>
    <w:rsid w:val="30A048D2"/>
    <w:rsid w:val="30AC3C25"/>
    <w:rsid w:val="315B31EF"/>
    <w:rsid w:val="31CE629F"/>
    <w:rsid w:val="32566E0C"/>
    <w:rsid w:val="328D0142"/>
    <w:rsid w:val="32A04F1C"/>
    <w:rsid w:val="32C51B54"/>
    <w:rsid w:val="32C522FC"/>
    <w:rsid w:val="330C7F63"/>
    <w:rsid w:val="33DD6EF7"/>
    <w:rsid w:val="33E246A2"/>
    <w:rsid w:val="33F56453"/>
    <w:rsid w:val="34251F16"/>
    <w:rsid w:val="34552A82"/>
    <w:rsid w:val="34790579"/>
    <w:rsid w:val="349E65D6"/>
    <w:rsid w:val="354E1367"/>
    <w:rsid w:val="35B427CB"/>
    <w:rsid w:val="35B805D4"/>
    <w:rsid w:val="35BD7216"/>
    <w:rsid w:val="35BF5C8C"/>
    <w:rsid w:val="35FB7409"/>
    <w:rsid w:val="360901C7"/>
    <w:rsid w:val="362722AB"/>
    <w:rsid w:val="376B7C44"/>
    <w:rsid w:val="37796BEA"/>
    <w:rsid w:val="37A71561"/>
    <w:rsid w:val="38137EAB"/>
    <w:rsid w:val="38462B7D"/>
    <w:rsid w:val="38706E0B"/>
    <w:rsid w:val="38934559"/>
    <w:rsid w:val="38C94DCC"/>
    <w:rsid w:val="391B3B67"/>
    <w:rsid w:val="391C2993"/>
    <w:rsid w:val="398B3310"/>
    <w:rsid w:val="399549BE"/>
    <w:rsid w:val="3A2A0747"/>
    <w:rsid w:val="3A3E785D"/>
    <w:rsid w:val="3B653504"/>
    <w:rsid w:val="3B7C4C07"/>
    <w:rsid w:val="3BB328D7"/>
    <w:rsid w:val="3BE62689"/>
    <w:rsid w:val="3C010F64"/>
    <w:rsid w:val="3C085C60"/>
    <w:rsid w:val="3C222B9B"/>
    <w:rsid w:val="3C2D060F"/>
    <w:rsid w:val="3C6954AF"/>
    <w:rsid w:val="3CAF3BA6"/>
    <w:rsid w:val="3CBB206E"/>
    <w:rsid w:val="3CBF0F32"/>
    <w:rsid w:val="3CE810B7"/>
    <w:rsid w:val="3CEC1036"/>
    <w:rsid w:val="3D015F84"/>
    <w:rsid w:val="3D3A5414"/>
    <w:rsid w:val="3DC53272"/>
    <w:rsid w:val="3E1D259F"/>
    <w:rsid w:val="3E3E4CB3"/>
    <w:rsid w:val="3E723DCF"/>
    <w:rsid w:val="3E920EA0"/>
    <w:rsid w:val="3F7961C1"/>
    <w:rsid w:val="3F841505"/>
    <w:rsid w:val="3F93524C"/>
    <w:rsid w:val="3FC75BFF"/>
    <w:rsid w:val="3FDA5299"/>
    <w:rsid w:val="401D5EC1"/>
    <w:rsid w:val="40507859"/>
    <w:rsid w:val="406E7586"/>
    <w:rsid w:val="408D6B37"/>
    <w:rsid w:val="40966E0C"/>
    <w:rsid w:val="40C76EF8"/>
    <w:rsid w:val="40D20001"/>
    <w:rsid w:val="410E7C07"/>
    <w:rsid w:val="412C68AB"/>
    <w:rsid w:val="41322DDD"/>
    <w:rsid w:val="414E1EAE"/>
    <w:rsid w:val="41744FE4"/>
    <w:rsid w:val="418A788F"/>
    <w:rsid w:val="418E5414"/>
    <w:rsid w:val="41BB25FB"/>
    <w:rsid w:val="41FC265A"/>
    <w:rsid w:val="421A0ECB"/>
    <w:rsid w:val="421E7D41"/>
    <w:rsid w:val="427412DB"/>
    <w:rsid w:val="42AF172B"/>
    <w:rsid w:val="42C61F64"/>
    <w:rsid w:val="42CB30E1"/>
    <w:rsid w:val="42CC49FA"/>
    <w:rsid w:val="42D23D16"/>
    <w:rsid w:val="42E24E7E"/>
    <w:rsid w:val="42FD2AAE"/>
    <w:rsid w:val="430C2D0E"/>
    <w:rsid w:val="43227BBF"/>
    <w:rsid w:val="43422D0B"/>
    <w:rsid w:val="434C0EB3"/>
    <w:rsid w:val="43997FDD"/>
    <w:rsid w:val="439B73D3"/>
    <w:rsid w:val="43D474DA"/>
    <w:rsid w:val="43F931E4"/>
    <w:rsid w:val="43FC3973"/>
    <w:rsid w:val="441200AF"/>
    <w:rsid w:val="445D0BCE"/>
    <w:rsid w:val="445E6A4A"/>
    <w:rsid w:val="446D4740"/>
    <w:rsid w:val="449F1150"/>
    <w:rsid w:val="44AB3817"/>
    <w:rsid w:val="451945FF"/>
    <w:rsid w:val="451D3402"/>
    <w:rsid w:val="452F4B04"/>
    <w:rsid w:val="454A4C2F"/>
    <w:rsid w:val="45674E2D"/>
    <w:rsid w:val="458211C6"/>
    <w:rsid w:val="459869BB"/>
    <w:rsid w:val="459B20B4"/>
    <w:rsid w:val="45A162CD"/>
    <w:rsid w:val="45D9140B"/>
    <w:rsid w:val="4662428C"/>
    <w:rsid w:val="466E3A1D"/>
    <w:rsid w:val="46931FE0"/>
    <w:rsid w:val="46AA1991"/>
    <w:rsid w:val="46C37D04"/>
    <w:rsid w:val="470810D1"/>
    <w:rsid w:val="479B78C0"/>
    <w:rsid w:val="483C4DB9"/>
    <w:rsid w:val="486F0354"/>
    <w:rsid w:val="489E4288"/>
    <w:rsid w:val="48AD32ED"/>
    <w:rsid w:val="490A2F27"/>
    <w:rsid w:val="490A3996"/>
    <w:rsid w:val="49917223"/>
    <w:rsid w:val="4A3E1BCF"/>
    <w:rsid w:val="4A7D3EFD"/>
    <w:rsid w:val="4AD75345"/>
    <w:rsid w:val="4B893904"/>
    <w:rsid w:val="4BCD40C8"/>
    <w:rsid w:val="4BD46A11"/>
    <w:rsid w:val="4C05326E"/>
    <w:rsid w:val="4C0566AC"/>
    <w:rsid w:val="4C683EE3"/>
    <w:rsid w:val="4CBA1AAC"/>
    <w:rsid w:val="4CC76748"/>
    <w:rsid w:val="4CF54CA7"/>
    <w:rsid w:val="4D4D7BE0"/>
    <w:rsid w:val="4D506A5A"/>
    <w:rsid w:val="4D7E3606"/>
    <w:rsid w:val="4DC06D21"/>
    <w:rsid w:val="4DCD4CBA"/>
    <w:rsid w:val="4E002D6A"/>
    <w:rsid w:val="4E1C0744"/>
    <w:rsid w:val="4E5A20A0"/>
    <w:rsid w:val="4E6D3241"/>
    <w:rsid w:val="4E94131C"/>
    <w:rsid w:val="4EC432C6"/>
    <w:rsid w:val="4ED70066"/>
    <w:rsid w:val="4EE77D5F"/>
    <w:rsid w:val="4F2534E5"/>
    <w:rsid w:val="4F467D0E"/>
    <w:rsid w:val="4FB82040"/>
    <w:rsid w:val="50237E6A"/>
    <w:rsid w:val="50DB3569"/>
    <w:rsid w:val="5133101C"/>
    <w:rsid w:val="519E0114"/>
    <w:rsid w:val="51BC2DA9"/>
    <w:rsid w:val="51CE5C6C"/>
    <w:rsid w:val="51E746DB"/>
    <w:rsid w:val="520143D1"/>
    <w:rsid w:val="522516F3"/>
    <w:rsid w:val="522F0851"/>
    <w:rsid w:val="52407136"/>
    <w:rsid w:val="529C1530"/>
    <w:rsid w:val="53466C72"/>
    <w:rsid w:val="53B7441A"/>
    <w:rsid w:val="53BE7F4C"/>
    <w:rsid w:val="53EA7915"/>
    <w:rsid w:val="541115BE"/>
    <w:rsid w:val="54713FE9"/>
    <w:rsid w:val="54877304"/>
    <w:rsid w:val="54B321EB"/>
    <w:rsid w:val="54D74153"/>
    <w:rsid w:val="54D84760"/>
    <w:rsid w:val="550F5D13"/>
    <w:rsid w:val="55294508"/>
    <w:rsid w:val="554B2046"/>
    <w:rsid w:val="55663F0B"/>
    <w:rsid w:val="55761A69"/>
    <w:rsid w:val="5590236E"/>
    <w:rsid w:val="55A4262D"/>
    <w:rsid w:val="55C44BBE"/>
    <w:rsid w:val="55FE129E"/>
    <w:rsid w:val="56745ACE"/>
    <w:rsid w:val="568C5DF4"/>
    <w:rsid w:val="568E29FB"/>
    <w:rsid w:val="56984696"/>
    <w:rsid w:val="56A859F1"/>
    <w:rsid w:val="56B129E1"/>
    <w:rsid w:val="573D0BB6"/>
    <w:rsid w:val="57491C26"/>
    <w:rsid w:val="57847D5C"/>
    <w:rsid w:val="580A3A52"/>
    <w:rsid w:val="5841705A"/>
    <w:rsid w:val="58C8039D"/>
    <w:rsid w:val="58ED6A9D"/>
    <w:rsid w:val="590A7F26"/>
    <w:rsid w:val="592242BA"/>
    <w:rsid w:val="592D5508"/>
    <w:rsid w:val="597410D3"/>
    <w:rsid w:val="59AF5CC2"/>
    <w:rsid w:val="59BA29BB"/>
    <w:rsid w:val="59EB7134"/>
    <w:rsid w:val="5A017AA3"/>
    <w:rsid w:val="5A1D3F88"/>
    <w:rsid w:val="5AAA1BFB"/>
    <w:rsid w:val="5B145358"/>
    <w:rsid w:val="5B1C3E0D"/>
    <w:rsid w:val="5B2477AE"/>
    <w:rsid w:val="5B3A652A"/>
    <w:rsid w:val="5B47572D"/>
    <w:rsid w:val="5B5C137E"/>
    <w:rsid w:val="5B8C4E25"/>
    <w:rsid w:val="5B8D2C20"/>
    <w:rsid w:val="5BCA2F03"/>
    <w:rsid w:val="5BEF1909"/>
    <w:rsid w:val="5C0058B8"/>
    <w:rsid w:val="5C077DA4"/>
    <w:rsid w:val="5C151C80"/>
    <w:rsid w:val="5C1E34DF"/>
    <w:rsid w:val="5C1E5968"/>
    <w:rsid w:val="5C4323D0"/>
    <w:rsid w:val="5C466E0F"/>
    <w:rsid w:val="5C4C6FFF"/>
    <w:rsid w:val="5CA20A3D"/>
    <w:rsid w:val="5D472FDD"/>
    <w:rsid w:val="5D7C12E6"/>
    <w:rsid w:val="5D941486"/>
    <w:rsid w:val="5D9D4BCD"/>
    <w:rsid w:val="5DF70CC3"/>
    <w:rsid w:val="5E0D2AAE"/>
    <w:rsid w:val="5E4D5C45"/>
    <w:rsid w:val="5E4D6012"/>
    <w:rsid w:val="5E50032A"/>
    <w:rsid w:val="5E501647"/>
    <w:rsid w:val="5E6B27BE"/>
    <w:rsid w:val="5EA42BA9"/>
    <w:rsid w:val="5EC802B3"/>
    <w:rsid w:val="5ED52CB7"/>
    <w:rsid w:val="5F3C4A7A"/>
    <w:rsid w:val="5F781FA8"/>
    <w:rsid w:val="5FFF5AA0"/>
    <w:rsid w:val="5FFF7696"/>
    <w:rsid w:val="600F7DB2"/>
    <w:rsid w:val="60574AA1"/>
    <w:rsid w:val="605919A4"/>
    <w:rsid w:val="60606B1B"/>
    <w:rsid w:val="606F7B30"/>
    <w:rsid w:val="611B3E9F"/>
    <w:rsid w:val="614F2CD2"/>
    <w:rsid w:val="615C4DB3"/>
    <w:rsid w:val="61665302"/>
    <w:rsid w:val="61A86D2F"/>
    <w:rsid w:val="61D260B1"/>
    <w:rsid w:val="61D6243B"/>
    <w:rsid w:val="61F5115E"/>
    <w:rsid w:val="621718EB"/>
    <w:rsid w:val="62311F87"/>
    <w:rsid w:val="623E0358"/>
    <w:rsid w:val="624A02CE"/>
    <w:rsid w:val="62716736"/>
    <w:rsid w:val="62981AEF"/>
    <w:rsid w:val="62E220E0"/>
    <w:rsid w:val="62E37631"/>
    <w:rsid w:val="62EA078C"/>
    <w:rsid w:val="63237BAB"/>
    <w:rsid w:val="63392E56"/>
    <w:rsid w:val="634808EB"/>
    <w:rsid w:val="63974AB3"/>
    <w:rsid w:val="63C80989"/>
    <w:rsid w:val="63FD3C94"/>
    <w:rsid w:val="640D41B6"/>
    <w:rsid w:val="642A1F5E"/>
    <w:rsid w:val="64383CB0"/>
    <w:rsid w:val="645F2D74"/>
    <w:rsid w:val="64B2415B"/>
    <w:rsid w:val="64BC1BBD"/>
    <w:rsid w:val="64FF04F8"/>
    <w:rsid w:val="657F2D42"/>
    <w:rsid w:val="65963936"/>
    <w:rsid w:val="65993834"/>
    <w:rsid w:val="65A23EDB"/>
    <w:rsid w:val="65C7194E"/>
    <w:rsid w:val="65DD5C2C"/>
    <w:rsid w:val="660424BB"/>
    <w:rsid w:val="669B5377"/>
    <w:rsid w:val="66BE37AB"/>
    <w:rsid w:val="66D9035C"/>
    <w:rsid w:val="66FD4C82"/>
    <w:rsid w:val="673D732A"/>
    <w:rsid w:val="678577BC"/>
    <w:rsid w:val="67B2125E"/>
    <w:rsid w:val="67B96ACB"/>
    <w:rsid w:val="67F151D3"/>
    <w:rsid w:val="67FC669A"/>
    <w:rsid w:val="68146D9B"/>
    <w:rsid w:val="6847086A"/>
    <w:rsid w:val="68686C9A"/>
    <w:rsid w:val="68DE4AAD"/>
    <w:rsid w:val="690304FE"/>
    <w:rsid w:val="692F3AE4"/>
    <w:rsid w:val="6944478D"/>
    <w:rsid w:val="696A58BD"/>
    <w:rsid w:val="699827BC"/>
    <w:rsid w:val="69F546C4"/>
    <w:rsid w:val="6A274FA9"/>
    <w:rsid w:val="6A4F291B"/>
    <w:rsid w:val="6A876E8C"/>
    <w:rsid w:val="6AC1042B"/>
    <w:rsid w:val="6B3C2C71"/>
    <w:rsid w:val="6B6C388F"/>
    <w:rsid w:val="6B7602AE"/>
    <w:rsid w:val="6B8A0EFA"/>
    <w:rsid w:val="6B923DED"/>
    <w:rsid w:val="6BC50CDD"/>
    <w:rsid w:val="6BF64224"/>
    <w:rsid w:val="6C2459E5"/>
    <w:rsid w:val="6C27202E"/>
    <w:rsid w:val="6C386D56"/>
    <w:rsid w:val="6C4D5602"/>
    <w:rsid w:val="6C9A7C1F"/>
    <w:rsid w:val="6CCA0F71"/>
    <w:rsid w:val="6CDC486E"/>
    <w:rsid w:val="6D091252"/>
    <w:rsid w:val="6D820732"/>
    <w:rsid w:val="6E2711F5"/>
    <w:rsid w:val="6E565E8F"/>
    <w:rsid w:val="6E6F3CED"/>
    <w:rsid w:val="6EAE3FED"/>
    <w:rsid w:val="6F0A61C2"/>
    <w:rsid w:val="6F222748"/>
    <w:rsid w:val="6F6143DB"/>
    <w:rsid w:val="6F6E001A"/>
    <w:rsid w:val="6F8140F2"/>
    <w:rsid w:val="6F8F3A02"/>
    <w:rsid w:val="702F1FB0"/>
    <w:rsid w:val="703300FF"/>
    <w:rsid w:val="707C542F"/>
    <w:rsid w:val="709F1957"/>
    <w:rsid w:val="70B62E00"/>
    <w:rsid w:val="70FF32FC"/>
    <w:rsid w:val="719862FC"/>
    <w:rsid w:val="71A40BC2"/>
    <w:rsid w:val="71B16911"/>
    <w:rsid w:val="71E65828"/>
    <w:rsid w:val="72450A64"/>
    <w:rsid w:val="7282422A"/>
    <w:rsid w:val="72880799"/>
    <w:rsid w:val="72BC7192"/>
    <w:rsid w:val="72F24535"/>
    <w:rsid w:val="731A2304"/>
    <w:rsid w:val="731D45F4"/>
    <w:rsid w:val="73401EDE"/>
    <w:rsid w:val="73431101"/>
    <w:rsid w:val="73443517"/>
    <w:rsid w:val="73480C28"/>
    <w:rsid w:val="738B4618"/>
    <w:rsid w:val="73FE62D8"/>
    <w:rsid w:val="74117110"/>
    <w:rsid w:val="7443561D"/>
    <w:rsid w:val="745A74E0"/>
    <w:rsid w:val="746133DD"/>
    <w:rsid w:val="746755A2"/>
    <w:rsid w:val="7480130A"/>
    <w:rsid w:val="74913A48"/>
    <w:rsid w:val="74C57A14"/>
    <w:rsid w:val="7514126D"/>
    <w:rsid w:val="752426D0"/>
    <w:rsid w:val="75295C02"/>
    <w:rsid w:val="753B0F54"/>
    <w:rsid w:val="7543746B"/>
    <w:rsid w:val="75464C9E"/>
    <w:rsid w:val="75894347"/>
    <w:rsid w:val="759952E6"/>
    <w:rsid w:val="75ED663B"/>
    <w:rsid w:val="75FB1A3C"/>
    <w:rsid w:val="76587081"/>
    <w:rsid w:val="765C11B9"/>
    <w:rsid w:val="76A1005E"/>
    <w:rsid w:val="76FD3704"/>
    <w:rsid w:val="77640B50"/>
    <w:rsid w:val="77993211"/>
    <w:rsid w:val="786411CA"/>
    <w:rsid w:val="789A6E3D"/>
    <w:rsid w:val="78EE3408"/>
    <w:rsid w:val="7925489F"/>
    <w:rsid w:val="79264919"/>
    <w:rsid w:val="793F2E71"/>
    <w:rsid w:val="794033FC"/>
    <w:rsid w:val="794C59BE"/>
    <w:rsid w:val="79646598"/>
    <w:rsid w:val="79696BE7"/>
    <w:rsid w:val="79713E6D"/>
    <w:rsid w:val="799B16BB"/>
    <w:rsid w:val="79EC0ABA"/>
    <w:rsid w:val="79F65A42"/>
    <w:rsid w:val="7A2C73B0"/>
    <w:rsid w:val="7A2D02E4"/>
    <w:rsid w:val="7A331D84"/>
    <w:rsid w:val="7AD7638A"/>
    <w:rsid w:val="7ADC323E"/>
    <w:rsid w:val="7AF73778"/>
    <w:rsid w:val="7B0D668C"/>
    <w:rsid w:val="7B126991"/>
    <w:rsid w:val="7B733FFE"/>
    <w:rsid w:val="7C1447C8"/>
    <w:rsid w:val="7C646E2F"/>
    <w:rsid w:val="7C74029E"/>
    <w:rsid w:val="7C94681C"/>
    <w:rsid w:val="7CA817D8"/>
    <w:rsid w:val="7CE601BF"/>
    <w:rsid w:val="7CF34F06"/>
    <w:rsid w:val="7D343F0C"/>
    <w:rsid w:val="7D491640"/>
    <w:rsid w:val="7DAC4B31"/>
    <w:rsid w:val="7E594CD6"/>
    <w:rsid w:val="7E601733"/>
    <w:rsid w:val="7EAD7292"/>
    <w:rsid w:val="7EC743E3"/>
    <w:rsid w:val="7ED25A0D"/>
    <w:rsid w:val="7EE46858"/>
    <w:rsid w:val="7F311EFB"/>
    <w:rsid w:val="7F912BD9"/>
    <w:rsid w:val="7FC700BE"/>
    <w:rsid w:val="7FD63C1B"/>
    <w:rsid w:val="BA7B23C6"/>
    <w:rsid w:val="BEFD3B7D"/>
    <w:rsid w:val="EFABB798"/>
    <w:rsid w:val="FFFF30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5">
    <w:name w:val="heading 1"/>
    <w:basedOn w:val="1"/>
    <w:next w:val="1"/>
    <w:qFormat/>
    <w:uiPriority w:val="0"/>
    <w:pPr>
      <w:autoSpaceDE w:val="0"/>
      <w:autoSpaceDN w:val="0"/>
      <w:adjustRightInd w:val="0"/>
      <w:jc w:val="left"/>
      <w:outlineLvl w:val="0"/>
    </w:pPr>
    <w:rPr>
      <w:kern w:val="0"/>
      <w:sz w:val="20"/>
      <w:szCs w:val="24"/>
    </w:rPr>
  </w:style>
  <w:style w:type="paragraph" w:styleId="6">
    <w:name w:val="heading 2"/>
    <w:basedOn w:val="1"/>
    <w:next w:val="1"/>
    <w:qFormat/>
    <w:uiPriority w:val="0"/>
    <w:pPr>
      <w:autoSpaceDE w:val="0"/>
      <w:autoSpaceDN w:val="0"/>
      <w:adjustRightInd w:val="0"/>
      <w:jc w:val="left"/>
      <w:outlineLvl w:val="1"/>
    </w:pPr>
    <w:rPr>
      <w:kern w:val="0"/>
      <w:sz w:val="20"/>
      <w:szCs w:val="24"/>
    </w:rPr>
  </w:style>
  <w:style w:type="paragraph" w:styleId="7">
    <w:name w:val="heading 3"/>
    <w:basedOn w:val="1"/>
    <w:next w:val="8"/>
    <w:qFormat/>
    <w:uiPriority w:val="0"/>
    <w:pPr>
      <w:keepNext/>
      <w:keepLines/>
      <w:spacing w:before="260" w:after="260" w:line="416" w:lineRule="auto"/>
      <w:outlineLvl w:val="2"/>
    </w:pPr>
    <w:rPr>
      <w:b/>
      <w:bCs/>
      <w:sz w:val="32"/>
      <w:szCs w:val="32"/>
    </w:rPr>
  </w:style>
  <w:style w:type="character" w:default="1" w:styleId="23">
    <w:name w:val="Default Paragraph Font"/>
    <w:semiHidden/>
    <w:uiPriority w:val="0"/>
  </w:style>
  <w:style w:type="table" w:default="1" w:styleId="21">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21"/>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ind w:left="200" w:leftChars="200" w:firstLine="420"/>
      <w:jc w:val="both"/>
    </w:pPr>
    <w:rPr>
      <w:rFonts w:ascii="Times New Roman" w:hAnsi="Times New Roman" w:eastAsia="宋体" w:cs="Times New Roman"/>
      <w:kern w:val="2"/>
      <w:sz w:val="21"/>
      <w:lang w:val="en-US" w:eastAsia="zh-CN" w:bidi="ar-SA"/>
    </w:rPr>
  </w:style>
  <w:style w:type="paragraph" w:styleId="3">
    <w:name w:val="Body Text Indent"/>
    <w:basedOn w:val="1"/>
    <w:uiPriority w:val="0"/>
    <w:pPr>
      <w:spacing w:line="500" w:lineRule="exact"/>
      <w:ind w:firstLine="420"/>
    </w:pPr>
  </w:style>
  <w:style w:type="paragraph" w:styleId="4">
    <w:name w:val="toa heading"/>
    <w:basedOn w:val="1"/>
    <w:next w:val="1"/>
    <w:qFormat/>
    <w:uiPriority w:val="0"/>
    <w:pPr>
      <w:spacing w:before="120"/>
    </w:pPr>
    <w:rPr>
      <w:rFonts w:ascii="Arial" w:hAnsi="Arial"/>
      <w:sz w:val="24"/>
    </w:rPr>
  </w:style>
  <w:style w:type="paragraph" w:styleId="8">
    <w:name w:val="Normal Indent"/>
    <w:basedOn w:val="1"/>
    <w:uiPriority w:val="0"/>
    <w:pPr>
      <w:adjustRightInd w:val="0"/>
      <w:spacing w:line="360" w:lineRule="atLeast"/>
      <w:ind w:firstLine="420" w:firstLineChars="200"/>
      <w:jc w:val="left"/>
      <w:textAlignment w:val="baseline"/>
    </w:pPr>
    <w:rPr>
      <w:kern w:val="0"/>
      <w:sz w:val="24"/>
    </w:rPr>
  </w:style>
  <w:style w:type="paragraph" w:styleId="9">
    <w:name w:val="caption"/>
    <w:basedOn w:val="1"/>
    <w:next w:val="1"/>
    <w:qFormat/>
    <w:uiPriority w:val="0"/>
    <w:pPr>
      <w:spacing w:before="152" w:after="160"/>
    </w:pPr>
    <w:rPr>
      <w:rFonts w:ascii="Arial" w:hAnsi="Arial" w:eastAsia="黑体"/>
    </w:rPr>
  </w:style>
  <w:style w:type="paragraph" w:styleId="10">
    <w:name w:val="annotation text"/>
    <w:basedOn w:val="1"/>
    <w:link w:val="42"/>
    <w:uiPriority w:val="0"/>
    <w:pPr>
      <w:jc w:val="left"/>
    </w:pPr>
  </w:style>
  <w:style w:type="paragraph" w:styleId="11">
    <w:name w:val="Body Text"/>
    <w:basedOn w:val="1"/>
    <w:uiPriority w:val="0"/>
    <w:rPr>
      <w:i/>
      <w:sz w:val="18"/>
    </w:rPr>
  </w:style>
  <w:style w:type="paragraph" w:styleId="12">
    <w:name w:val="Plain Text"/>
    <w:basedOn w:val="1"/>
    <w:uiPriority w:val="0"/>
    <w:pPr>
      <w:spacing w:before="156" w:beforeLines="50" w:after="156" w:afterLines="50" w:line="400" w:lineRule="exact"/>
    </w:pPr>
    <w:rPr>
      <w:rFonts w:ascii="宋体" w:hAnsi="Courier New"/>
      <w:sz w:val="24"/>
      <w:szCs w:val="24"/>
    </w:rPr>
  </w:style>
  <w:style w:type="paragraph" w:styleId="13">
    <w:name w:val="Date"/>
    <w:basedOn w:val="1"/>
    <w:next w:val="1"/>
    <w:uiPriority w:val="0"/>
  </w:style>
  <w:style w:type="paragraph" w:styleId="14">
    <w:name w:val="Body Text Indent 2"/>
    <w:basedOn w:val="1"/>
    <w:link w:val="37"/>
    <w:uiPriority w:val="0"/>
    <w:pPr>
      <w:spacing w:after="120" w:line="480" w:lineRule="auto"/>
      <w:ind w:left="420" w:leftChars="200"/>
    </w:pPr>
  </w:style>
  <w:style w:type="paragraph" w:styleId="15">
    <w:name w:val="Balloon Text"/>
    <w:basedOn w:val="1"/>
    <w:link w:val="50"/>
    <w:uiPriority w:val="0"/>
    <w:rPr>
      <w:sz w:val="18"/>
      <w:szCs w:val="18"/>
    </w:rPr>
  </w:style>
  <w:style w:type="paragraph" w:styleId="16">
    <w:name w:val="footer"/>
    <w:basedOn w:val="1"/>
    <w:uiPriority w:val="0"/>
    <w:pPr>
      <w:tabs>
        <w:tab w:val="center" w:pos="4153"/>
        <w:tab w:val="right" w:pos="8306"/>
      </w:tabs>
      <w:snapToGrid w:val="0"/>
      <w:jc w:val="left"/>
    </w:pPr>
    <w:rPr>
      <w:sz w:val="18"/>
    </w:rPr>
  </w:style>
  <w:style w:type="paragraph" w:styleId="17">
    <w:name w:val="header"/>
    <w:basedOn w:val="1"/>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0"/>
    <w:pPr>
      <w:widowControl w:val="0"/>
      <w:spacing w:before="120" w:after="120"/>
      <w:ind w:left="0" w:right="0"/>
      <w:jc w:val="left"/>
    </w:pPr>
    <w:rPr>
      <w:rFonts w:ascii="Times New Roman" w:hAnsi="Times New Roman" w:eastAsia="宋体" w:cs="Times New Roman"/>
      <w:b/>
      <w:bCs/>
      <w:caps/>
      <w:kern w:val="2"/>
      <w:sz w:val="21"/>
      <w:szCs w:val="20"/>
      <w:lang w:val="en-US" w:eastAsia="zh-CN" w:bidi="ar-SA"/>
    </w:rPr>
  </w:style>
  <w:style w:type="paragraph" w:styleId="19">
    <w:name w:val="Normal (Web)"/>
    <w:basedOn w:val="1"/>
    <w:uiPriority w:val="0"/>
    <w:pPr>
      <w:widowControl/>
      <w:spacing w:before="100" w:beforeAutospacing="1" w:after="100" w:afterAutospacing="1"/>
      <w:jc w:val="left"/>
    </w:pPr>
    <w:rPr>
      <w:rFonts w:ascii="宋体" w:hAnsi="宋体" w:cs="宋体"/>
      <w:color w:val="000000"/>
      <w:kern w:val="0"/>
      <w:sz w:val="24"/>
      <w:szCs w:val="24"/>
    </w:rPr>
  </w:style>
  <w:style w:type="paragraph" w:styleId="20">
    <w:name w:val="annotation subject"/>
    <w:basedOn w:val="10"/>
    <w:next w:val="10"/>
    <w:link w:val="36"/>
    <w:uiPriority w:val="0"/>
    <w:rPr>
      <w:b/>
      <w:bCs/>
    </w:rPr>
  </w:style>
  <w:style w:type="table" w:styleId="22">
    <w:name w:val="Table Grid"/>
    <w:basedOn w:val="21"/>
    <w:unhideWhenUsed/>
    <w:qFormat/>
    <w:uiPriority w:val="39"/>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rPr>
  </w:style>
  <w:style w:type="character" w:styleId="25">
    <w:name w:val="page number"/>
    <w:basedOn w:val="23"/>
    <w:uiPriority w:val="0"/>
  </w:style>
  <w:style w:type="character" w:styleId="26">
    <w:name w:val="FollowedHyperlink"/>
    <w:uiPriority w:val="0"/>
    <w:rPr>
      <w:color w:val="3F88BF"/>
      <w:u w:val="none"/>
    </w:rPr>
  </w:style>
  <w:style w:type="character" w:styleId="27">
    <w:name w:val="Emphasis"/>
    <w:qFormat/>
    <w:uiPriority w:val="0"/>
  </w:style>
  <w:style w:type="character" w:styleId="28">
    <w:name w:val="HTML Definition"/>
    <w:uiPriority w:val="0"/>
  </w:style>
  <w:style w:type="character" w:styleId="29">
    <w:name w:val="HTML Variable"/>
    <w:uiPriority w:val="0"/>
  </w:style>
  <w:style w:type="character" w:styleId="30">
    <w:name w:val="Hyperlink"/>
    <w:uiPriority w:val="0"/>
    <w:rPr>
      <w:color w:val="3F88BF"/>
      <w:u w:val="none"/>
    </w:rPr>
  </w:style>
  <w:style w:type="character" w:styleId="31">
    <w:name w:val="HTML Code"/>
    <w:uiPriority w:val="0"/>
    <w:rPr>
      <w:rFonts w:hint="default" w:ascii="Arial" w:hAnsi="Arial" w:eastAsia="Arial" w:cs="Arial"/>
      <w:sz w:val="20"/>
    </w:rPr>
  </w:style>
  <w:style w:type="character" w:styleId="32">
    <w:name w:val="annotation reference"/>
    <w:uiPriority w:val="99"/>
    <w:rPr>
      <w:sz w:val="21"/>
      <w:szCs w:val="21"/>
    </w:rPr>
  </w:style>
  <w:style w:type="character" w:styleId="33">
    <w:name w:val="HTML Cite"/>
    <w:uiPriority w:val="0"/>
  </w:style>
  <w:style w:type="character" w:styleId="34">
    <w:name w:val="HTML Keyboard"/>
    <w:uiPriority w:val="0"/>
    <w:rPr>
      <w:rFonts w:hint="default" w:ascii="Arial" w:hAnsi="Arial" w:eastAsia="Arial" w:cs="Arial"/>
      <w:sz w:val="20"/>
    </w:rPr>
  </w:style>
  <w:style w:type="character" w:styleId="35">
    <w:name w:val="HTML Sample"/>
    <w:uiPriority w:val="0"/>
    <w:rPr>
      <w:rFonts w:hint="eastAsia" w:ascii="Arial" w:hAnsi="Arial" w:eastAsia="Arial" w:cs="Arial"/>
    </w:rPr>
  </w:style>
  <w:style w:type="character" w:customStyle="1" w:styleId="36">
    <w:name w:val="批注主题 Char"/>
    <w:link w:val="20"/>
    <w:uiPriority w:val="0"/>
    <w:rPr>
      <w:b/>
      <w:bCs/>
      <w:kern w:val="2"/>
      <w:sz w:val="21"/>
    </w:rPr>
  </w:style>
  <w:style w:type="character" w:customStyle="1" w:styleId="37">
    <w:name w:val="正文文本缩进 2 Char"/>
    <w:link w:val="14"/>
    <w:uiPriority w:val="0"/>
    <w:rPr>
      <w:kern w:val="2"/>
      <w:sz w:val="21"/>
    </w:rPr>
  </w:style>
  <w:style w:type="character" w:customStyle="1" w:styleId="38">
    <w:name w:val="列出段落 Char"/>
    <w:link w:val="39"/>
    <w:qFormat/>
    <w:uiPriority w:val="34"/>
    <w:rPr>
      <w:rFonts w:ascii="Calibri" w:hAnsi="Calibri"/>
      <w:kern w:val="2"/>
      <w:sz w:val="21"/>
      <w:szCs w:val="21"/>
    </w:rPr>
  </w:style>
  <w:style w:type="paragraph" w:styleId="39">
    <w:name w:val="List Paragraph"/>
    <w:basedOn w:val="1"/>
    <w:link w:val="38"/>
    <w:qFormat/>
    <w:uiPriority w:val="34"/>
    <w:pPr>
      <w:spacing w:before="100" w:beforeAutospacing="1"/>
      <w:ind w:firstLine="420" w:firstLineChars="200"/>
    </w:pPr>
    <w:rPr>
      <w:rFonts w:ascii="Calibri" w:hAnsi="Calibri"/>
      <w:szCs w:val="21"/>
    </w:rPr>
  </w:style>
  <w:style w:type="character" w:customStyle="1" w:styleId="40">
    <w:name w:val="num"/>
    <w:uiPriority w:val="0"/>
    <w:rPr>
      <w:b/>
      <w:color w:val="FF7800"/>
    </w:rPr>
  </w:style>
  <w:style w:type="character" w:customStyle="1" w:styleId="41">
    <w:name w:val="release-day"/>
    <w:uiPriority w:val="0"/>
    <w:rPr>
      <w:bdr w:val="single" w:color="BDEBB0" w:sz="6" w:space="0"/>
      <w:shd w:val="clear" w:color="auto" w:fill="F5FFF1"/>
    </w:rPr>
  </w:style>
  <w:style w:type="character" w:customStyle="1" w:styleId="42">
    <w:name w:val="批注文字 Char"/>
    <w:link w:val="10"/>
    <w:uiPriority w:val="0"/>
    <w:rPr>
      <w:kern w:val="2"/>
      <w:sz w:val="21"/>
    </w:rPr>
  </w:style>
  <w:style w:type="character" w:customStyle="1" w:styleId="43">
    <w:name w:val="gpa"/>
    <w:uiPriority w:val="0"/>
    <w:rPr>
      <w:rFonts w:ascii="Arial" w:hAnsi="Arial" w:cs="Arial"/>
      <w:sz w:val="15"/>
      <w:szCs w:val="15"/>
    </w:rPr>
  </w:style>
  <w:style w:type="character" w:customStyle="1" w:styleId="44">
    <w:name w:val="fa标题3 Char"/>
    <w:link w:val="45"/>
    <w:qFormat/>
    <w:locked/>
    <w:uiPriority w:val="0"/>
    <w:rPr>
      <w:rFonts w:ascii="黑体" w:hAnsi="宋体" w:eastAsia="黑体"/>
      <w:b/>
      <w:color w:val="000000"/>
      <w:kern w:val="2"/>
      <w:sz w:val="28"/>
      <w:szCs w:val="30"/>
    </w:rPr>
  </w:style>
  <w:style w:type="paragraph" w:customStyle="1" w:styleId="45">
    <w:name w:val="fa标题3"/>
    <w:basedOn w:val="46"/>
    <w:next w:val="1"/>
    <w:link w:val="44"/>
    <w:qFormat/>
    <w:uiPriority w:val="0"/>
    <w:pPr>
      <w:numPr>
        <w:ilvl w:val="2"/>
        <w:numId w:val="1"/>
      </w:numPr>
      <w:outlineLvl w:val="2"/>
    </w:pPr>
    <w:rPr>
      <w:sz w:val="28"/>
    </w:rPr>
  </w:style>
  <w:style w:type="paragraph" w:customStyle="1" w:styleId="46">
    <w:name w:val="fa标题2"/>
    <w:next w:val="1"/>
    <w:qFormat/>
    <w:uiPriority w:val="0"/>
    <w:pPr>
      <w:widowControl w:val="0"/>
      <w:numPr>
        <w:ilvl w:val="1"/>
        <w:numId w:val="1"/>
      </w:numPr>
      <w:spacing w:line="360" w:lineRule="auto"/>
      <w:outlineLvl w:val="1"/>
    </w:pPr>
    <w:rPr>
      <w:rFonts w:ascii="黑体" w:hAnsi="宋体" w:eastAsia="黑体"/>
      <w:b/>
      <w:color w:val="000000"/>
      <w:kern w:val="2"/>
      <w:sz w:val="30"/>
      <w:szCs w:val="30"/>
      <w:lang w:val="en-US" w:eastAsia="zh-CN" w:bidi="ar-SA"/>
    </w:rPr>
  </w:style>
  <w:style w:type="character" w:customStyle="1" w:styleId="47">
    <w:name w:val="selected"/>
    <w:uiPriority w:val="0"/>
    <w:rPr>
      <w:shd w:val="clear" w:color="auto" w:fill="B00006"/>
    </w:rPr>
  </w:style>
  <w:style w:type="character" w:customStyle="1" w:styleId="48">
    <w:name w:val="NormalCharacter"/>
    <w:qFormat/>
    <w:uiPriority w:val="0"/>
  </w:style>
  <w:style w:type="character" w:customStyle="1" w:styleId="49">
    <w:name w:val="displayarti"/>
    <w:uiPriority w:val="0"/>
    <w:rPr>
      <w:color w:val="FFFFFF"/>
      <w:shd w:val="clear" w:color="auto" w:fill="A00000"/>
    </w:rPr>
  </w:style>
  <w:style w:type="character" w:customStyle="1" w:styleId="50">
    <w:name w:val="批注框文本 Char"/>
    <w:link w:val="15"/>
    <w:uiPriority w:val="0"/>
    <w:rPr>
      <w:kern w:val="2"/>
      <w:sz w:val="18"/>
      <w:szCs w:val="18"/>
    </w:rPr>
  </w:style>
  <w:style w:type="character" w:customStyle="1" w:styleId="51">
    <w:name w:val="**正文 Char"/>
    <w:link w:val="52"/>
    <w:qFormat/>
    <w:locked/>
    <w:uiPriority w:val="0"/>
    <w:rPr>
      <w:rFonts w:ascii="宋体" w:hAnsi="宋体"/>
      <w:sz w:val="24"/>
      <w:szCs w:val="24"/>
    </w:rPr>
  </w:style>
  <w:style w:type="paragraph" w:customStyle="1" w:styleId="52">
    <w:name w:val="**正文"/>
    <w:basedOn w:val="1"/>
    <w:link w:val="51"/>
    <w:qFormat/>
    <w:uiPriority w:val="0"/>
    <w:pPr>
      <w:spacing w:line="360" w:lineRule="auto"/>
      <w:ind w:firstLine="482"/>
    </w:pPr>
    <w:rPr>
      <w:rFonts w:ascii="宋体" w:hAnsi="宋体"/>
      <w:kern w:val="0"/>
      <w:sz w:val="24"/>
      <w:szCs w:val="24"/>
    </w:rPr>
  </w:style>
  <w:style w:type="character" w:customStyle="1" w:styleId="53">
    <w:name w:val="answer-title10"/>
    <w:basedOn w:val="23"/>
    <w:uiPriority w:val="0"/>
  </w:style>
  <w:style w:type="character" w:customStyle="1" w:styleId="54">
    <w:name w:val="批注文字 Char1"/>
    <w:uiPriority w:val="0"/>
    <w:rPr>
      <w:rFonts w:ascii="Tahoma" w:hAnsi="Tahoma" w:eastAsia="宋体" w:cs="Times New Roman"/>
      <w:sz w:val="22"/>
      <w:szCs w:val="22"/>
    </w:rPr>
  </w:style>
  <w:style w:type="paragraph" w:customStyle="1" w:styleId="55">
    <w:name w:val="Char Char Char1 Char"/>
    <w:basedOn w:val="1"/>
    <w:semiHidden/>
    <w:uiPriority w:val="0"/>
    <w:pPr>
      <w:spacing w:line="360" w:lineRule="auto"/>
      <w:ind w:firstLine="200" w:firstLineChars="200"/>
    </w:pPr>
    <w:rPr>
      <w:rFonts w:ascii="宋体" w:hAnsi="宋体" w:cs="宋体"/>
      <w:sz w:val="24"/>
      <w:szCs w:val="24"/>
    </w:rPr>
  </w:style>
  <w:style w:type="paragraph" w:customStyle="1" w:styleId="56">
    <w:name w:val="样式3"/>
    <w:basedOn w:val="12"/>
    <w:uiPriority w:val="0"/>
  </w:style>
  <w:style w:type="paragraph" w:customStyle="1" w:styleId="57">
    <w:name w:val="HIK-标题6"/>
    <w:qFormat/>
    <w:uiPriority w:val="0"/>
    <w:pPr>
      <w:numPr>
        <w:ilvl w:val="5"/>
        <w:numId w:val="1"/>
      </w:numPr>
    </w:pPr>
    <w:rPr>
      <w:rFonts w:ascii="黑体" w:hAnsi="黑体" w:eastAsia="黑体" w:cs="宋体"/>
      <w:kern w:val="2"/>
      <w:sz w:val="28"/>
      <w:szCs w:val="28"/>
      <w:lang w:val="en-US" w:eastAsia="zh-CN" w:bidi="ar-SA"/>
    </w:rPr>
  </w:style>
  <w:style w:type="paragraph" w:customStyle="1" w:styleId="58">
    <w:name w:val="HIK-标题8"/>
    <w:qFormat/>
    <w:uiPriority w:val="0"/>
    <w:pPr>
      <w:numPr>
        <w:ilvl w:val="7"/>
        <w:numId w:val="1"/>
      </w:numPr>
    </w:pPr>
    <w:rPr>
      <w:rFonts w:ascii="黑体" w:hAnsi="黑体" w:eastAsia="黑体" w:cs="宋体"/>
      <w:kern w:val="2"/>
      <w:sz w:val="28"/>
      <w:szCs w:val="28"/>
      <w:lang w:val="en-US" w:eastAsia="zh-CN" w:bidi="ar-SA"/>
    </w:rPr>
  </w:style>
  <w:style w:type="paragraph" w:customStyle="1" w:styleId="59">
    <w:name w:val=" Char Char Char Char"/>
    <w:basedOn w:val="1"/>
    <w:uiPriority w:val="0"/>
    <w:rPr>
      <w:rFonts w:ascii="仿宋_GB2312" w:eastAsia="仿宋_GB2312"/>
      <w:b/>
      <w:sz w:val="32"/>
      <w:szCs w:val="32"/>
    </w:rPr>
  </w:style>
  <w:style w:type="paragraph" w:customStyle="1" w:styleId="60">
    <w:name w:val=" Char Char Char Char1 Char Char Char Char"/>
    <w:basedOn w:val="1"/>
    <w:uiPriority w:val="0"/>
    <w:pPr>
      <w:widowControl/>
      <w:spacing w:after="160" w:line="240" w:lineRule="exact"/>
      <w:jc w:val="left"/>
    </w:pPr>
  </w:style>
  <w:style w:type="paragraph" w:customStyle="1" w:styleId="61">
    <w:name w:val="默认段落字体 Para Char Char Char Char"/>
    <w:basedOn w:val="1"/>
    <w:uiPriority w:val="0"/>
    <w:pPr>
      <w:adjustRightInd w:val="0"/>
      <w:spacing w:line="360" w:lineRule="auto"/>
    </w:pPr>
    <w:rPr>
      <w:kern w:val="0"/>
      <w:sz w:val="24"/>
    </w:rPr>
  </w:style>
  <w:style w:type="paragraph" w:customStyle="1" w:styleId="62">
    <w:name w:val="列出段落1"/>
    <w:basedOn w:val="1"/>
    <w:uiPriority w:val="0"/>
    <w:pPr>
      <w:ind w:firstLine="200" w:firstLineChars="200"/>
    </w:pPr>
    <w:rPr>
      <w:rFonts w:ascii="Calibri" w:hAnsi="Calibri" w:cs="Arial"/>
      <w:szCs w:val="21"/>
    </w:rPr>
  </w:style>
  <w:style w:type="paragraph" w:customStyle="1" w:styleId="63">
    <w:name w:val="fa标题4"/>
    <w:next w:val="1"/>
    <w:qFormat/>
    <w:uiPriority w:val="0"/>
    <w:pPr>
      <w:widowControl w:val="0"/>
      <w:numPr>
        <w:ilvl w:val="3"/>
        <w:numId w:val="1"/>
      </w:numPr>
      <w:spacing w:line="360" w:lineRule="auto"/>
      <w:outlineLvl w:val="3"/>
    </w:pPr>
    <w:rPr>
      <w:rFonts w:ascii="黑体" w:hAnsi="宋体" w:eastAsia="黑体"/>
      <w:b/>
      <w:kern w:val="2"/>
      <w:sz w:val="24"/>
      <w:szCs w:val="28"/>
      <w:lang w:val="en-US" w:eastAsia="zh-CN" w:bidi="ar-SA"/>
    </w:rPr>
  </w:style>
  <w:style w:type="paragraph" w:customStyle="1" w:styleId="6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5">
    <w:name w:val="Char Char Char Char Char Char Char"/>
    <w:basedOn w:val="1"/>
    <w:uiPriority w:val="0"/>
    <w:pPr>
      <w:widowControl/>
      <w:spacing w:after="160" w:line="240" w:lineRule="exact"/>
      <w:jc w:val="left"/>
    </w:pPr>
    <w:rPr>
      <w:rFonts w:ascii="宋体" w:hAnsi="宋体"/>
      <w:b/>
      <w:sz w:val="24"/>
    </w:rPr>
  </w:style>
  <w:style w:type="paragraph" w:customStyle="1" w:styleId="66">
    <w:name w:val=" Char"/>
    <w:basedOn w:val="1"/>
    <w:uiPriority w:val="0"/>
    <w:rPr>
      <w:rFonts w:ascii="Tahoma" w:hAnsi="Tahoma"/>
      <w:sz w:val="24"/>
    </w:rPr>
  </w:style>
  <w:style w:type="paragraph" w:customStyle="1" w:styleId="67">
    <w:name w:val="HIK-标题9"/>
    <w:qFormat/>
    <w:uiPriority w:val="0"/>
    <w:pPr>
      <w:numPr>
        <w:ilvl w:val="8"/>
        <w:numId w:val="1"/>
      </w:numPr>
    </w:pPr>
    <w:rPr>
      <w:rFonts w:ascii="黑体" w:hAnsi="黑体" w:eastAsia="黑体" w:cs="宋体"/>
      <w:kern w:val="2"/>
      <w:sz w:val="28"/>
      <w:szCs w:val="28"/>
      <w:lang w:val="en-US" w:eastAsia="zh-CN" w:bidi="ar-SA"/>
    </w:rPr>
  </w:style>
  <w:style w:type="paragraph" w:customStyle="1" w:styleId="68">
    <w:name w:val="表格"/>
    <w:basedOn w:val="1"/>
    <w:qFormat/>
    <w:uiPriority w:val="0"/>
    <w:pPr>
      <w:ind w:firstLine="0" w:firstLineChars="0"/>
      <w:jc w:val="center"/>
    </w:pPr>
    <w:rPr>
      <w:rFonts w:ascii="宋体" w:hAnsi="宋体" w:cs="宋体"/>
      <w:snapToGrid w:val="0"/>
      <w:color w:val="000000"/>
      <w:spacing w:val="-4"/>
      <w:kern w:val="0"/>
      <w:szCs w:val="21"/>
    </w:rPr>
  </w:style>
  <w:style w:type="paragraph" w:customStyle="1" w:styleId="69">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样式1"/>
    <w:basedOn w:val="1"/>
    <w:qFormat/>
    <w:uiPriority w:val="0"/>
    <w:pPr>
      <w:numPr>
        <w:ilvl w:val="0"/>
        <w:numId w:val="2"/>
      </w:numPr>
      <w:spacing w:line="240" w:lineRule="auto"/>
      <w:jc w:val="both"/>
    </w:pPr>
    <w:rPr>
      <w:rFonts w:ascii="宋体" w:hAnsi="宋体"/>
      <w:sz w:val="21"/>
      <w:szCs w:val="21"/>
    </w:rPr>
  </w:style>
  <w:style w:type="paragraph" w:styleId="71">
    <w:name w:val=""/>
    <w:unhideWhenUsed/>
    <w:uiPriority w:val="99"/>
    <w:rPr>
      <w:kern w:val="2"/>
      <w:sz w:val="21"/>
      <w:lang w:val="en-US" w:eastAsia="zh-CN" w:bidi="ar-SA"/>
    </w:rPr>
  </w:style>
  <w:style w:type="paragraph" w:customStyle="1" w:styleId="72">
    <w:name w:val="样式 表格正文 + 两端对齐"/>
    <w:basedOn w:val="1"/>
    <w:uiPriority w:val="0"/>
    <w:pPr>
      <w:spacing w:line="300" w:lineRule="auto"/>
    </w:pPr>
    <w:rPr>
      <w:sz w:val="24"/>
    </w:rPr>
  </w:style>
  <w:style w:type="paragraph" w:customStyle="1" w:styleId="73">
    <w:name w:val="此正文"/>
    <w:basedOn w:val="1"/>
    <w:qFormat/>
    <w:uiPriority w:val="0"/>
    <w:pPr>
      <w:spacing w:line="360" w:lineRule="auto"/>
      <w:ind w:firstLine="200" w:firstLineChars="200"/>
    </w:pPr>
    <w:rPr>
      <w:sz w:val="24"/>
      <w:szCs w:val="24"/>
    </w:rPr>
  </w:style>
  <w:style w:type="paragraph" w:customStyle="1" w:styleId="74">
    <w:name w:val="fa标题1"/>
    <w:next w:val="1"/>
    <w:qFormat/>
    <w:uiPriority w:val="0"/>
    <w:pPr>
      <w:widowControl w:val="0"/>
      <w:numPr>
        <w:ilvl w:val="0"/>
        <w:numId w:val="1"/>
      </w:numPr>
      <w:spacing w:line="360" w:lineRule="auto"/>
      <w:outlineLvl w:val="0"/>
    </w:pPr>
    <w:rPr>
      <w:rFonts w:ascii="黑体" w:hAnsi="宋体" w:eastAsia="黑体"/>
      <w:b/>
      <w:kern w:val="2"/>
      <w:sz w:val="32"/>
      <w:szCs w:val="30"/>
      <w:lang w:val="en-US" w:eastAsia="zh-CN" w:bidi="ar-SA"/>
    </w:rPr>
  </w:style>
  <w:style w:type="paragraph" w:customStyle="1" w:styleId="75">
    <w:name w:val="HIK-标题7"/>
    <w:qFormat/>
    <w:uiPriority w:val="0"/>
    <w:pPr>
      <w:numPr>
        <w:ilvl w:val="6"/>
        <w:numId w:val="1"/>
      </w:numPr>
    </w:pPr>
    <w:rPr>
      <w:rFonts w:ascii="黑体" w:hAnsi="黑体" w:eastAsia="黑体" w:cs="宋体"/>
      <w:kern w:val="2"/>
      <w:sz w:val="28"/>
      <w:szCs w:val="28"/>
      <w:lang w:val="en-US" w:eastAsia="zh-CN" w:bidi="ar-SA"/>
    </w:rPr>
  </w:style>
  <w:style w:type="paragraph" w:customStyle="1" w:styleId="76">
    <w:name w:val="fa标题5"/>
    <w:basedOn w:val="1"/>
    <w:next w:val="1"/>
    <w:qFormat/>
    <w:uiPriority w:val="0"/>
    <w:pPr>
      <w:numPr>
        <w:ilvl w:val="4"/>
        <w:numId w:val="1"/>
      </w:numPr>
      <w:spacing w:line="360" w:lineRule="auto"/>
      <w:ind w:firstLine="0"/>
      <w:jc w:val="left"/>
      <w:outlineLvl w:val="4"/>
    </w:pPr>
    <w:rPr>
      <w:rFonts w:ascii="宋体" w:hAnsi="黑体" w:cs="宋体"/>
      <w:b/>
      <w:sz w:val="24"/>
      <w:szCs w:val="2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theme/theme1.xml" Type="http://schemas.openxmlformats.org/officeDocument/2006/relationships/theme"/><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74</Pages>
  <Words>7298</Words>
  <Characters>41601</Characters>
  <Lines>346</Lines>
  <Paragraphs>97</Paragraphs>
  <TotalTime>1</TotalTime>
  <ScaleCrop>false</ScaleCrop>
  <LinksUpToDate>false</LinksUpToDate>
  <CharactersWithSpaces>48802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2021-09-17T00:10:00Z</dcterms:created>
  <dc:creator>guest</dc:creator>
  <cp:lastModifiedBy>WPS_1701756769</cp:lastModifiedBy>
  <cp:lastPrinted>2021-10-29T06:14:11Z</cp:lastPrinted>
  <dcterms:modified xsi:type="dcterms:W3CDTF">2024-02-23T06:15:36Z</dcterms:modified>
  <cp:revision>9</cp:revision>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DA1E1E259CE14D0B865A9B8A302D776A_13</vt:lpwstr>
  </property>
</Properties>
</file>