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lang w:eastAsia="zh-CN"/>
        </w:rPr>
        <w:t>宁海县桃源街道其他垃圾收运服务项目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CBZJ-20246028G</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lang w:eastAsia="zh-CN"/>
        </w:rPr>
        <w:t>宁海县人民政府桃源街道办事处</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浙江中基正采管理咨询有限公司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宁海县桃源街道其他垃圾收运服务项目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lang w:val="en-US" w:eastAsia="zh-CN"/>
        </w:rPr>
        <w:t>月</w:t>
      </w:r>
      <w:r>
        <w:rPr>
          <w:rStyle w:val="76"/>
          <w:rFonts w:hint="eastAsia" w:ascii="宋体" w:hAnsi="宋体" w:cs="宋体"/>
          <w:snapToGrid/>
          <w:color w:val="auto"/>
          <w:kern w:val="2"/>
          <w:sz w:val="24"/>
          <w:szCs w:val="24"/>
          <w:highlight w:val="none"/>
          <w:lang w:val="en-US" w:eastAsia="zh-CN"/>
        </w:rPr>
        <w:t>18</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13</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30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CBZJ-20246028G</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宁海县桃源街道其他垃圾收运服务项目</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highlight w:val="none"/>
          <w:lang w:val="en-US" w:eastAsia="zh-CN"/>
        </w:rPr>
        <w:t>5096600.00</w:t>
      </w:r>
      <w:r>
        <w:rPr>
          <w:rFonts w:hint="eastAsia" w:ascii="宋体" w:hAnsi="宋体" w:eastAsia="宋体" w:cs="宋体"/>
          <w:color w:val="auto"/>
          <w:sz w:val="24"/>
          <w:highlight w:val="none"/>
          <w:lang w:val="en-US" w:eastAsia="zh-CN"/>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highlight w:val="none"/>
          <w:lang w:val="en-US" w:eastAsia="zh-CN"/>
        </w:rPr>
        <w:t>5096600.00</w:t>
      </w:r>
      <w:r>
        <w:rPr>
          <w:rFonts w:ascii="宋体" w:hAnsi="宋体" w:cs="宋体"/>
          <w:color w:val="auto"/>
          <w:sz w:val="24"/>
          <w:highlight w:val="none"/>
        </w:rPr>
        <w:t xml:space="preserve"> </w:t>
      </w:r>
    </w:p>
    <w:p>
      <w:pPr>
        <w:pStyle w:val="5"/>
        <w:spacing w:line="360" w:lineRule="auto"/>
        <w:ind w:firstLine="480"/>
        <w:rPr>
          <w:rFonts w:hint="eastAsia" w:hAnsi="宋体" w:cs="宋体"/>
          <w:b/>
          <w:color w:val="auto"/>
          <w:sz w:val="24"/>
          <w:highlight w:val="none"/>
        </w:rPr>
      </w:pPr>
      <w:r>
        <w:rPr>
          <w:rFonts w:hint="eastAsia" w:hAnsi="宋体" w:cs="宋体"/>
          <w:b/>
          <w:color w:val="auto"/>
          <w:sz w:val="24"/>
          <w:highlight w:val="none"/>
        </w:rPr>
        <w:t>采购需求：</w:t>
      </w:r>
    </w:p>
    <w:p>
      <w:pPr>
        <w:pStyle w:val="5"/>
        <w:spacing w:line="360" w:lineRule="auto"/>
        <w:ind w:firstLine="480"/>
        <w:rPr>
          <w:rFonts w:hint="eastAsia" w:ascii="宋体" w:hAnsi="宋体" w:cs="宋体"/>
          <w:color w:val="auto"/>
          <w:sz w:val="24"/>
          <w:highlight w:val="none"/>
          <w:lang w:eastAsia="zh-CN"/>
        </w:rPr>
      </w:pPr>
      <w:r>
        <w:rPr>
          <w:rFonts w:hint="eastAsia" w:hAnsi="宋体" w:cs="宋体"/>
          <w:bCs/>
          <w:snapToGrid/>
          <w:color w:val="auto"/>
          <w:kern w:val="2"/>
          <w:sz w:val="24"/>
          <w:szCs w:val="24"/>
          <w:highlight w:val="none"/>
          <w:lang w:eastAsia="zh-CN"/>
        </w:rPr>
        <w:t>标项名称：</w:t>
      </w:r>
      <w:r>
        <w:rPr>
          <w:rFonts w:hint="eastAsia" w:ascii="宋体" w:hAnsi="宋体" w:cs="宋体"/>
          <w:color w:val="auto"/>
          <w:sz w:val="24"/>
          <w:highlight w:val="none"/>
          <w:lang w:eastAsia="zh-CN"/>
        </w:rPr>
        <w:t>宁海县桃源街道其他垃圾收运服务</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数量：</w:t>
      </w:r>
      <w:r>
        <w:rPr>
          <w:rFonts w:hint="eastAsia" w:hAnsi="宋体" w:cs="宋体"/>
          <w:bCs/>
          <w:snapToGrid/>
          <w:color w:val="auto"/>
          <w:kern w:val="2"/>
          <w:sz w:val="24"/>
          <w:szCs w:val="24"/>
          <w:highlight w:val="none"/>
          <w:lang w:val="en-US" w:eastAsia="zh-CN"/>
        </w:rPr>
        <w:t>2</w:t>
      </w:r>
      <w:r>
        <w:rPr>
          <w:rFonts w:hint="eastAsia" w:hAnsi="宋体" w:cs="宋体"/>
          <w:bCs/>
          <w:snapToGrid/>
          <w:color w:val="auto"/>
          <w:kern w:val="2"/>
          <w:sz w:val="24"/>
          <w:szCs w:val="24"/>
          <w:highlight w:val="none"/>
          <w:lang w:eastAsia="zh-CN"/>
        </w:rPr>
        <w:t>年</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预算金额（元）:</w:t>
      </w:r>
      <w:r>
        <w:rPr>
          <w:rFonts w:hint="eastAsia" w:hAnsi="宋体" w:cs="宋体"/>
          <w:bCs/>
          <w:snapToGrid/>
          <w:color w:val="auto"/>
          <w:kern w:val="2"/>
          <w:sz w:val="24"/>
          <w:szCs w:val="24"/>
          <w:highlight w:val="none"/>
          <w:lang w:val="en-US" w:eastAsia="zh-CN"/>
        </w:rPr>
        <w:t>5096600.00</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简要规格描述或项目基本概况介绍、用途：宁海县桃源街道其他垃圾收运服务；具体以招标文件第三部分采购</w:t>
      </w:r>
      <w:r>
        <w:rPr>
          <w:rFonts w:hint="eastAsia" w:hAnsi="宋体" w:cs="宋体"/>
          <w:bCs/>
          <w:snapToGrid/>
          <w:color w:val="auto"/>
          <w:kern w:val="2"/>
          <w:sz w:val="24"/>
          <w:szCs w:val="24"/>
          <w:highlight w:val="none"/>
          <w:lang w:val="en-US" w:eastAsia="zh-CN"/>
        </w:rPr>
        <w:tab/>
      </w:r>
      <w:r>
        <w:rPr>
          <w:rFonts w:hint="eastAsia" w:hAnsi="宋体" w:cs="宋体"/>
          <w:bCs/>
          <w:snapToGrid/>
          <w:color w:val="auto"/>
          <w:kern w:val="2"/>
          <w:sz w:val="24"/>
          <w:szCs w:val="24"/>
          <w:highlight w:val="none"/>
          <w:lang w:eastAsia="zh-CN"/>
        </w:rPr>
        <w:t>需求为准，供应商可点击本公告下方“浏览采购文件”查看采购需求。</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备注：（1）</w:t>
      </w:r>
      <w:r>
        <w:rPr>
          <w:rFonts w:hint="eastAsia" w:hAnsi="宋体" w:cs="宋体"/>
          <w:bCs/>
          <w:snapToGrid/>
          <w:color w:val="auto"/>
          <w:kern w:val="2"/>
          <w:sz w:val="24"/>
          <w:szCs w:val="24"/>
          <w:highlight w:val="none"/>
          <w:lang w:val="en-US" w:eastAsia="zh-CN"/>
        </w:rPr>
        <w:t>年度最高限价2548300.00元</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lang w:val="en-US" w:eastAsia="zh-CN"/>
        </w:rPr>
        <w:t>2</w:t>
      </w:r>
      <w:r>
        <w:rPr>
          <w:rFonts w:hint="eastAsia" w:hAnsi="宋体" w:cs="宋体"/>
          <w:bCs/>
          <w:snapToGrid/>
          <w:color w:val="auto"/>
          <w:kern w:val="2"/>
          <w:sz w:val="24"/>
          <w:szCs w:val="24"/>
          <w:highlight w:val="none"/>
          <w:lang w:eastAsia="zh-CN"/>
        </w:rPr>
        <w:t>）压缩车清运</w:t>
      </w:r>
      <w:r>
        <w:rPr>
          <w:rFonts w:hint="eastAsia" w:hAnsi="宋体" w:cs="宋体"/>
          <w:bCs/>
          <w:snapToGrid/>
          <w:color w:val="auto"/>
          <w:kern w:val="2"/>
          <w:sz w:val="24"/>
          <w:szCs w:val="24"/>
          <w:highlight w:val="none"/>
          <w:lang w:val="en-US" w:eastAsia="zh-CN"/>
        </w:rPr>
        <w:t>方式（自卸式后吊车清运）垃圾桶综合单价最高限价为：1773.33元/桶·年；“以桶换桶”清运方式垃圾桶综合单价最高限价为：2796.08元/桶·年；沿街垃圾上门收集方式垃圾桶综合单价最高限价为：3176.33元/桶·年。</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）组成联合体的成员（含联合体牵头人）数量不超过2个。</w:t>
      </w:r>
    </w:p>
    <w:p>
      <w:pPr>
        <w:pStyle w:val="130"/>
        <w:ind w:firstLine="482"/>
        <w:outlineLvl w:val="2"/>
        <w:rPr>
          <w:rFonts w:hint="eastAsia" w:ascii="宋体" w:hAnsi="宋体" w:eastAsia="宋体" w:cs="宋体"/>
          <w:bCs/>
          <w:snapToGrid/>
          <w:color w:val="auto"/>
          <w:kern w:val="2"/>
          <w:sz w:val="24"/>
          <w:szCs w:val="24"/>
          <w:highlight w:val="none"/>
          <w:lang w:val="en-US" w:eastAsia="zh-CN" w:bidi="ar-SA"/>
        </w:rPr>
      </w:pPr>
      <w:r>
        <w:rPr>
          <w:rFonts w:hint="eastAsia" w:ascii="宋体" w:hAnsi="宋体" w:cs="宋体"/>
          <w:b/>
          <w:color w:val="auto"/>
          <w:highlight w:val="none"/>
        </w:rPr>
        <w:t>合同履约期限：</w:t>
      </w:r>
      <w:r>
        <w:rPr>
          <w:rFonts w:hint="eastAsia" w:ascii="宋体" w:hAnsi="宋体" w:eastAsia="宋体" w:cs="宋体"/>
          <w:bCs/>
          <w:snapToGrid/>
          <w:color w:val="auto"/>
          <w:kern w:val="2"/>
          <w:sz w:val="24"/>
          <w:szCs w:val="24"/>
          <w:highlight w:val="none"/>
          <w:lang w:val="en-US" w:eastAsia="zh-CN" w:bidi="ar-SA"/>
        </w:rPr>
        <w:t>自合同签订之日起</w:t>
      </w:r>
      <w:r>
        <w:rPr>
          <w:rFonts w:hint="eastAsia" w:ascii="宋体" w:hAnsi="宋体" w:cs="宋体"/>
          <w:bCs/>
          <w:snapToGrid/>
          <w:color w:val="auto"/>
          <w:kern w:val="2"/>
          <w:sz w:val="24"/>
          <w:szCs w:val="24"/>
          <w:highlight w:val="none"/>
          <w:lang w:val="en-US" w:eastAsia="zh-CN" w:bidi="ar-SA"/>
        </w:rPr>
        <w:t>二</w:t>
      </w:r>
      <w:r>
        <w:rPr>
          <w:rFonts w:hint="eastAsia" w:ascii="宋体" w:hAnsi="宋体" w:eastAsia="宋体" w:cs="宋体"/>
          <w:bCs/>
          <w:snapToGrid/>
          <w:color w:val="auto"/>
          <w:kern w:val="2"/>
          <w:sz w:val="24"/>
          <w:szCs w:val="24"/>
          <w:highlight w:val="none"/>
          <w:lang w:val="en-US" w:eastAsia="zh-CN" w:bidi="ar-SA"/>
        </w:rPr>
        <w:t>年，合同必须为一年一签。合同应符合政府采购预算安排要求，经批准，并经采购人考核验收通过，双方同意后，方可续签订下一年度的合同。</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val="en-US"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4年4月7</w:t>
      </w:r>
      <w:r>
        <w:rPr>
          <w:rFonts w:hint="eastAsia" w:ascii="宋体" w:hAnsi="宋体" w:cs="宋体"/>
          <w:color w:val="auto"/>
          <w:sz w:val="24"/>
          <w:highlight w:val="none"/>
        </w:rPr>
        <w:t>日，每天上午00:00至12:00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4年4月18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4年4月18日13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本招标公告中二、申请人的资格要求：第一条中的“重大税收违法案件当事人名单”即为“重大税收违法失信主体”。</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址：宁波市宁海县科二路189号</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 xml:space="preserve">刘老师 </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项目联系方式（询问）：0574-</w:t>
      </w:r>
      <w:r>
        <w:rPr>
          <w:rFonts w:hint="eastAsia" w:ascii="宋体" w:hAnsi="宋体" w:cs="宋体"/>
          <w:color w:val="auto"/>
          <w:sz w:val="24"/>
          <w:highlight w:val="none"/>
          <w:lang w:val="en-US" w:eastAsia="zh-CN"/>
        </w:rPr>
        <w:t>82539650</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 xml:space="preserve">蔡老师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质疑联系方式：0574-</w:t>
      </w:r>
      <w:r>
        <w:rPr>
          <w:rFonts w:hint="eastAsia" w:ascii="宋体" w:hAnsi="宋体" w:cs="宋体"/>
          <w:color w:val="auto"/>
          <w:sz w:val="24"/>
          <w:highlight w:val="none"/>
          <w:lang w:val="en-US" w:eastAsia="zh-CN"/>
        </w:rPr>
        <w:t>65336012</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称：浙江中基正采管理咨询有限公司</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址：宁波市鄞州区天童南路666号中基大厦19楼</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真：0574-87425373</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谢工</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项目联系方式（询问）：0574-8742</w:t>
      </w:r>
      <w:r>
        <w:rPr>
          <w:rFonts w:hint="eastAsia" w:ascii="宋体" w:hAnsi="宋体" w:cs="宋体"/>
          <w:color w:val="auto"/>
          <w:sz w:val="24"/>
          <w:highlight w:val="none"/>
          <w:lang w:val="en-US" w:eastAsia="zh-CN"/>
        </w:rPr>
        <w:t>5371</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王近娜</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质疑联系方式：0574-8742</w:t>
      </w:r>
      <w:r>
        <w:rPr>
          <w:rFonts w:hint="eastAsia" w:ascii="宋体" w:hAnsi="宋体" w:cs="宋体"/>
          <w:color w:val="auto"/>
          <w:sz w:val="24"/>
          <w:highlight w:val="none"/>
          <w:lang w:val="en-US" w:eastAsia="zh-CN"/>
        </w:rPr>
        <w:t>5583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称：宁海县政府采购管理办公室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    址：宁海县跃龙街道桃源中路218号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真：0574-65265612</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：王老师</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监督投诉电话：0574-65265668</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lang w:eastAsia="zh-CN"/>
              </w:rPr>
              <w:t>宁海县桃源街道其他垃圾收运服务</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其他未列明</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投标文件中价格全部采用人民币报价。招标文件未列明，而投标人认为必需的费用也需列入报价。供应商须报出一年</w:t>
            </w:r>
            <w:r>
              <w:rPr>
                <w:rFonts w:hint="eastAsia" w:ascii="宋体" w:hAnsi="宋体" w:cs="宋体"/>
                <w:color w:val="auto"/>
                <w:kern w:val="0"/>
                <w:sz w:val="24"/>
                <w:highlight w:val="none"/>
                <w:lang w:val="zh-CN" w:eastAsia="zh-CN"/>
              </w:rPr>
              <w:t>报价</w:t>
            </w:r>
            <w:r>
              <w:rPr>
                <w:rFonts w:hint="eastAsia" w:ascii="宋体" w:hAnsi="宋体" w:cs="宋体"/>
                <w:color w:val="auto"/>
                <w:kern w:val="0"/>
                <w:sz w:val="24"/>
                <w:highlight w:val="none"/>
                <w:lang w:val="zh-CN"/>
              </w:rPr>
              <w:t>及</w:t>
            </w:r>
            <w:r>
              <w:rPr>
                <w:rFonts w:hint="eastAsia" w:ascii="宋体" w:hAnsi="宋体" w:cs="宋体"/>
                <w:color w:val="auto"/>
                <w:kern w:val="0"/>
                <w:sz w:val="24"/>
                <w:highlight w:val="none"/>
                <w:lang w:val="en-US" w:eastAsia="zh-CN"/>
              </w:rPr>
              <w:t>二</w:t>
            </w:r>
            <w:r>
              <w:rPr>
                <w:rFonts w:hint="eastAsia" w:ascii="宋体" w:hAnsi="宋体" w:cs="宋体"/>
                <w:color w:val="auto"/>
                <w:kern w:val="0"/>
                <w:sz w:val="24"/>
                <w:highlight w:val="none"/>
                <w:lang w:val="zh-CN" w:eastAsia="zh-CN"/>
              </w:rPr>
              <w:t>年</w:t>
            </w:r>
            <w:r>
              <w:rPr>
                <w:rFonts w:hint="eastAsia" w:ascii="宋体" w:hAnsi="宋体" w:cs="宋体"/>
                <w:color w:val="auto"/>
                <w:kern w:val="0"/>
                <w:sz w:val="24"/>
                <w:highlight w:val="none"/>
                <w:lang w:val="zh-CN"/>
              </w:rPr>
              <w:t>的投标总价，投标报价为供应商正确地完全履行采购内容及要求的价格体现，应包含工人费、材料费、机械费、措施费、安全生产专项管理经费、利润、企业管理费及规费、税金等完成合同所需的不可或缺的所有工作开支、政策性文件规定及合同包含的所有风险、责任等各项全部费用。</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备份投标文件送达</w:t>
            </w:r>
            <w:r>
              <w:rPr>
                <w:rFonts w:hint="eastAsia" w:ascii="宋体" w:hAnsi="宋体" w:cs="宋体"/>
                <w:b/>
                <w:color w:val="auto"/>
                <w:sz w:val="24"/>
                <w:highlight w:val="none"/>
                <w:lang w:val="en-US" w:eastAsia="zh-CN"/>
              </w:rPr>
              <w:t>时间、</w:t>
            </w:r>
            <w:r>
              <w:rPr>
                <w:rFonts w:hint="eastAsia" w:ascii="宋体" w:hAnsi="宋体" w:cs="宋体"/>
                <w:b/>
                <w:color w:val="auto"/>
                <w:sz w:val="24"/>
                <w:highlight w:val="none"/>
              </w:rPr>
              <w:t>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adjustRightInd w:val="0"/>
              <w:spacing w:line="360" w:lineRule="auto"/>
              <w:jc w:val="both"/>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w:t>
            </w:r>
            <w:r>
              <w:rPr>
                <w:rFonts w:hint="eastAsia" w:ascii="宋体" w:hAnsi="宋体" w:eastAsia="宋体" w:cs="宋体"/>
                <w:snapToGrid w:val="0"/>
                <w:color w:val="auto"/>
                <w:kern w:val="2"/>
                <w:sz w:val="24"/>
                <w:szCs w:val="24"/>
                <w:highlight w:val="none"/>
                <w:lang w:val="en-US" w:eastAsia="zh-CN" w:bidi="ar-SA"/>
              </w:rPr>
              <w:t>直接提交备份投标文件的：</w:t>
            </w:r>
          </w:p>
          <w:p>
            <w:pPr>
              <w:widowControl w:val="0"/>
              <w:adjustRightInd w:val="0"/>
              <w:spacing w:line="360" w:lineRule="auto"/>
              <w:jc w:val="both"/>
              <w:rPr>
                <w:rFonts w:hint="default"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备份投标文件送达地点：</w:t>
            </w:r>
            <w:r>
              <w:rPr>
                <w:rFonts w:hint="eastAsia" w:ascii="宋体" w:hAnsi="宋体" w:cs="宋体"/>
                <w:snapToGrid w:val="0"/>
                <w:color w:val="auto"/>
                <w:kern w:val="28"/>
                <w:sz w:val="24"/>
                <w:szCs w:val="24"/>
                <w:highlight w:val="none"/>
                <w:u w:val="single"/>
                <w:lang w:val="en-US" w:eastAsia="zh-CN" w:bidi="ar-SA"/>
              </w:rPr>
              <w:t>宁海县公共资源交易中心五楼</w:t>
            </w:r>
            <w:r>
              <w:rPr>
                <w:rFonts w:hint="eastAsia" w:ascii="宋体" w:hAnsi="宋体" w:eastAsia="宋体" w:cs="宋体"/>
                <w:snapToGrid w:val="0"/>
                <w:color w:val="auto"/>
                <w:kern w:val="28"/>
                <w:sz w:val="24"/>
                <w:szCs w:val="24"/>
                <w:highlight w:val="none"/>
                <w:u w:val="single"/>
                <w:lang w:val="en-US" w:eastAsia="zh-CN" w:bidi="ar-SA"/>
              </w:rPr>
              <w:t>【具体受理场所详见当日电子指示屏】。</w:t>
            </w:r>
          </w:p>
          <w:p>
            <w:pPr>
              <w:widowControl w:val="0"/>
              <w:adjustRightInd w:val="0"/>
              <w:spacing w:line="360" w:lineRule="auto"/>
              <w:jc w:val="both"/>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（2）</w:t>
            </w:r>
            <w:r>
              <w:rPr>
                <w:rFonts w:hint="eastAsia" w:ascii="宋体" w:hAnsi="宋体" w:eastAsia="宋体" w:cs="宋体"/>
                <w:snapToGrid w:val="0"/>
                <w:color w:val="auto"/>
                <w:kern w:val="2"/>
                <w:sz w:val="24"/>
                <w:szCs w:val="24"/>
                <w:highlight w:val="none"/>
                <w:lang w:val="en-US" w:eastAsia="zh-CN" w:bidi="ar-SA"/>
              </w:rPr>
              <w:t>以邮政快递方式递交备份投标文件的：</w:t>
            </w:r>
          </w:p>
          <w:p>
            <w:pPr>
              <w:widowControl w:val="0"/>
              <w:adjustRightInd w:val="0"/>
              <w:spacing w:line="360" w:lineRule="auto"/>
              <w:jc w:val="both"/>
              <w:rPr>
                <w:rFonts w:hint="default"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备份投标文件送达</w:t>
            </w:r>
            <w:r>
              <w:rPr>
                <w:rFonts w:hint="eastAsia" w:ascii="宋体" w:hAnsi="宋体" w:eastAsia="宋体" w:cs="宋体"/>
                <w:snapToGrid w:val="0"/>
                <w:color w:val="auto"/>
                <w:kern w:val="2"/>
                <w:sz w:val="24"/>
                <w:szCs w:val="24"/>
                <w:highlight w:val="none"/>
                <w:lang w:val="en-US" w:eastAsia="zh-CN" w:bidi="ar-SA"/>
              </w:rPr>
              <w:t>截止时间：</w:t>
            </w:r>
            <w:r>
              <w:rPr>
                <w:rFonts w:hint="eastAsia" w:ascii="宋体" w:hAnsi="宋体" w:eastAsia="宋体" w:cs="宋体"/>
                <w:snapToGrid w:val="0"/>
                <w:color w:val="auto"/>
                <w:kern w:val="2"/>
                <w:sz w:val="24"/>
                <w:szCs w:val="24"/>
                <w:highlight w:val="none"/>
                <w:u w:val="single"/>
                <w:lang w:val="en-US" w:eastAsia="zh-CN" w:bidi="ar-SA"/>
              </w:rPr>
              <w:t>开标</w:t>
            </w:r>
            <w:r>
              <w:rPr>
                <w:rFonts w:hint="eastAsia" w:ascii="宋体" w:hAnsi="宋体" w:cs="宋体"/>
                <w:snapToGrid w:val="0"/>
                <w:color w:val="auto"/>
                <w:kern w:val="2"/>
                <w:sz w:val="24"/>
                <w:szCs w:val="24"/>
                <w:highlight w:val="none"/>
                <w:u w:val="single"/>
                <w:lang w:val="en-US" w:eastAsia="zh-CN" w:bidi="ar-SA"/>
              </w:rPr>
              <w:t>时间前一个工作日的</w:t>
            </w:r>
            <w:r>
              <w:rPr>
                <w:rFonts w:hint="eastAsia" w:ascii="宋体" w:hAnsi="宋体" w:eastAsia="宋体" w:cs="宋体"/>
                <w:snapToGrid w:val="0"/>
                <w:color w:val="auto"/>
                <w:kern w:val="2"/>
                <w:sz w:val="24"/>
                <w:szCs w:val="24"/>
                <w:highlight w:val="none"/>
                <w:u w:val="single"/>
                <w:lang w:val="en-US" w:eastAsia="zh-CN" w:bidi="ar-SA"/>
              </w:rPr>
              <w:t>16:00止。</w:t>
            </w:r>
          </w:p>
          <w:p>
            <w:pPr>
              <w:pStyle w:val="32"/>
              <w:spacing w:line="360" w:lineRule="auto"/>
              <w:rPr>
                <w:rFonts w:hAnsi="宋体" w:cs="宋体"/>
                <w:color w:val="auto"/>
                <w:kern w:val="28"/>
                <w:sz w:val="24"/>
                <w:highlight w:val="none"/>
              </w:rPr>
            </w:pPr>
            <w:r>
              <w:rPr>
                <w:rFonts w:hint="eastAsia" w:ascii="宋体" w:hAnsi="宋体" w:eastAsia="宋体" w:cs="宋体"/>
                <w:snapToGrid w:val="0"/>
                <w:color w:val="auto"/>
                <w:kern w:val="28"/>
                <w:sz w:val="24"/>
                <w:szCs w:val="24"/>
                <w:highlight w:val="none"/>
                <w:lang w:val="en-US" w:eastAsia="zh-CN" w:bidi="ar-SA"/>
              </w:rPr>
              <w:t>备份投标文件送达地点：</w:t>
            </w:r>
            <w:r>
              <w:rPr>
                <w:rFonts w:hint="eastAsia" w:ascii="宋体" w:hAnsi="宋体" w:eastAsia="宋体" w:cs="宋体"/>
                <w:snapToGrid w:val="0"/>
                <w:color w:val="auto"/>
                <w:kern w:val="2"/>
                <w:sz w:val="24"/>
                <w:szCs w:val="21"/>
                <w:highlight w:val="none"/>
                <w:u w:val="single"/>
                <w:lang w:val="en-US" w:eastAsia="zh-CN" w:bidi="ar-SA"/>
              </w:rPr>
              <w:t xml:space="preserve"> 宁波市鄞州区天童南路666号中基大厦19楼业务六部 </w:t>
            </w:r>
            <w:r>
              <w:rPr>
                <w:rFonts w:hint="eastAsia" w:ascii="宋体" w:hAnsi="宋体" w:eastAsia="宋体" w:cs="宋体"/>
                <w:snapToGrid w:val="0"/>
                <w:color w:val="auto"/>
                <w:kern w:val="28"/>
                <w:sz w:val="24"/>
                <w:szCs w:val="24"/>
                <w:highlight w:val="none"/>
                <w:lang w:val="en-US" w:eastAsia="zh-CN" w:bidi="ar-SA"/>
              </w:rPr>
              <w:t>；备份投标文件签收人员联系电话：</w:t>
            </w:r>
            <w:r>
              <w:rPr>
                <w:rFonts w:hint="eastAsia" w:ascii="宋体" w:hAnsi="宋体" w:eastAsia="宋体" w:cs="宋体"/>
                <w:snapToGrid w:val="0"/>
                <w:color w:val="auto"/>
                <w:kern w:val="2"/>
                <w:sz w:val="24"/>
                <w:szCs w:val="21"/>
                <w:highlight w:val="none"/>
                <w:u w:val="single"/>
                <w:lang w:val="en-US" w:eastAsia="zh-CN" w:bidi="ar-SA"/>
              </w:rPr>
              <w:t xml:space="preserve"> 0574-87425</w:t>
            </w:r>
            <w:r>
              <w:rPr>
                <w:rFonts w:hint="eastAsia" w:hAnsi="宋体" w:cs="宋体"/>
                <w:snapToGrid w:val="0"/>
                <w:color w:val="auto"/>
                <w:kern w:val="2"/>
                <w:sz w:val="24"/>
                <w:szCs w:val="21"/>
                <w:highlight w:val="none"/>
                <w:u w:val="single"/>
                <w:lang w:val="en-US" w:eastAsia="zh-CN" w:bidi="ar-SA"/>
              </w:rPr>
              <w:t>371</w:t>
            </w:r>
            <w:r>
              <w:rPr>
                <w:rFonts w:hint="eastAsia" w:ascii="宋体" w:hAnsi="宋体" w:eastAsia="宋体" w:cs="宋体"/>
                <w:snapToGrid w:val="0"/>
                <w:color w:val="auto"/>
                <w:kern w:val="2"/>
                <w:sz w:val="24"/>
                <w:szCs w:val="21"/>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w:t>
            </w:r>
            <w:r>
              <w:rPr>
                <w:rFonts w:hint="eastAsia" w:ascii="宋体" w:hAnsi="宋体" w:eastAsia="宋体" w:cs="宋体"/>
                <w:b/>
                <w:snapToGrid w:val="0"/>
                <w:color w:val="auto"/>
                <w:kern w:val="2"/>
                <w:sz w:val="24"/>
                <w:szCs w:val="24"/>
                <w:highlight w:val="none"/>
                <w:lang w:val="en-US" w:eastAsia="zh-CN" w:bidi="ar-SA"/>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中标服务费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lang w:val="en-US" w:eastAsia="zh-CN"/>
              </w:rPr>
            </w:pPr>
            <w:r>
              <w:rPr>
                <w:rFonts w:hint="eastAsia" w:cs="Arial" w:asciiTheme="minorEastAsia" w:hAnsiTheme="minorEastAsia" w:eastAsiaTheme="minorEastAsia"/>
                <w:color w:val="auto"/>
                <w:kern w:val="0"/>
                <w:sz w:val="24"/>
                <w:highlight w:val="none"/>
                <w:lang w:val="en-US" w:eastAsia="zh-CN"/>
              </w:rPr>
              <w:t>采购代理按下表中服务招标标准（按差额定率累进法计算），根据预算金额，向中标人收取中标服务费。</w:t>
            </w:r>
          </w:p>
          <w:tbl>
            <w:tblPr>
              <w:tblStyle w:val="62"/>
              <w:tblW w:w="5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00"/>
              <w:gridCol w:w="832"/>
              <w:gridCol w:w="859"/>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atLeast"/>
                <w:jc w:val="center"/>
              </w:trPr>
              <w:tc>
                <w:tcPr>
                  <w:tcW w:w="3300"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30000" to="15200">
                          <wpsCustomData:border w:val="single" w:color="auto" w:sz="4" w:space="0"/>
                        </wpsCustomData:diagonal>
                        <wpsCustomData:diagonal from="10000" to="30000">
                          <wpsCustomData:border w:val="single" w:color="auto" w:sz="4" w:space="0"/>
                        </wpsCustomData:diagonal>
                      </wpsCustomData:diagonals>
                    </mc:Choice>
                  </mc:AlternateContent>
                </w:tcPr>
                <w:p>
                  <w:pPr>
                    <w:spacing w:line="360" w:lineRule="auto"/>
                    <w:rPr>
                      <w:rFonts w:hint="eastAsia" w:cs="Arial" w:asciiTheme="minorEastAsia" w:hAnsiTheme="minorEastAsia" w:eastAsiaTheme="minorEastAsia"/>
                      <w:color w:val="auto"/>
                      <w:kern w:val="0"/>
                      <w:sz w:val="21"/>
                      <w:szCs w:val="21"/>
                      <w:highlight w:val="none"/>
                    </w:rPr>
                  </w:pPr>
                </w:p>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金额</w:t>
                  </w:r>
                </w:p>
                <w:p>
                  <w:pPr>
                    <w:spacing w:line="360" w:lineRule="auto"/>
                    <mc:AlternateContent>
                      <mc:Choice Requires="wpsCustomData">
                        <wpsCustomData:diagonalParaType/>
                      </mc:Choice>
                    </mc:AlternateContent>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（万元）</w:t>
                  </w:r>
                </w:p>
                <w:p>
                  <w:pPr>
                    <w:spacing w:line="360" w:lineRule="auto"/>
                    <mc:AlternateContent>
                      <mc:Choice Requires="wpsCustomData">
                        <wpsCustomData:diagonalParaType/>
                      </mc:Choice>
                    </mc:AlternateContent>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费率</w:t>
                  </w:r>
                </w:p>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服务类型</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货物</w:t>
                  </w:r>
                </w:p>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招标</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服务</w:t>
                  </w:r>
                </w:p>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招标</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工程</w:t>
                  </w:r>
                </w:p>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100以下</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1.5%</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1.5%</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100-500</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1.1%</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0.8%</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500-1000</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0.8%</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0.45%</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1000-5000</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0.5%</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0.25%</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5000-10000</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0.25%</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0.1%</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3300"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1亿～5亿</w:t>
                  </w:r>
                </w:p>
              </w:tc>
              <w:tc>
                <w:tcPr>
                  <w:tcW w:w="832"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0.05%</w:t>
                  </w:r>
                </w:p>
              </w:tc>
              <w:tc>
                <w:tcPr>
                  <w:tcW w:w="859"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0.05%</w:t>
                  </w:r>
                </w:p>
              </w:tc>
              <w:tc>
                <w:tcPr>
                  <w:tcW w:w="838" w:type="dxa"/>
                  <w:noWrap w:val="0"/>
                  <w:tcMar>
                    <w:top w:w="30" w:type="dxa"/>
                    <w:left w:w="150" w:type="dxa"/>
                    <w:bottom w:w="30" w:type="dxa"/>
                    <w:right w:w="150" w:type="dxa"/>
                  </w:tcMar>
                  <w:vAlign w:val="center"/>
                </w:tcPr>
                <w:p>
                  <w:pPr>
                    <w:spacing w:line="360" w:lineRule="auto"/>
                    <w:rPr>
                      <w:rFonts w:hint="eastAsia"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0.05%</w:t>
                  </w:r>
                </w:p>
              </w:tc>
            </w:tr>
          </w:tbl>
          <w:p>
            <w:pPr>
              <w:spacing w:line="360" w:lineRule="auto"/>
              <w:rPr>
                <w:rFonts w:hint="default" w:ascii="宋体" w:hAnsi="宋体" w:eastAsia="宋体" w:cs="宋体"/>
                <w:snapToGrid w:val="0"/>
                <w:color w:val="auto"/>
                <w:kern w:val="28"/>
                <w:sz w:val="24"/>
                <w:highlight w:val="none"/>
                <w:lang w:val="en-US" w:eastAsia="zh-CN"/>
              </w:rPr>
            </w:pPr>
            <w:r>
              <w:rPr>
                <w:rFonts w:hint="default" w:ascii="宋体" w:hAnsi="宋体" w:eastAsia="宋体" w:cs="宋体"/>
                <w:snapToGrid w:val="0"/>
                <w:color w:val="auto"/>
                <w:kern w:val="28"/>
                <w:sz w:val="24"/>
                <w:highlight w:val="none"/>
                <w:lang w:val="en-US" w:eastAsia="zh-CN"/>
              </w:rPr>
              <w:t>中标服务费只收现金、银行票汇款、电汇款。汇入以下账户：</w:t>
            </w:r>
          </w:p>
          <w:p>
            <w:pPr>
              <w:spacing w:line="360" w:lineRule="auto"/>
              <w:rPr>
                <w:rFonts w:hint="default" w:ascii="宋体" w:hAnsi="宋体" w:eastAsia="宋体" w:cs="宋体"/>
                <w:snapToGrid w:val="0"/>
                <w:color w:val="auto"/>
                <w:kern w:val="28"/>
                <w:sz w:val="24"/>
                <w:highlight w:val="none"/>
                <w:lang w:val="en-US" w:eastAsia="zh-CN"/>
              </w:rPr>
            </w:pPr>
            <w:r>
              <w:rPr>
                <w:rFonts w:hint="default" w:ascii="宋体" w:hAnsi="宋体" w:eastAsia="宋体" w:cs="宋体"/>
                <w:snapToGrid w:val="0"/>
                <w:color w:val="auto"/>
                <w:kern w:val="28"/>
                <w:sz w:val="24"/>
                <w:highlight w:val="none"/>
                <w:lang w:val="en-US" w:eastAsia="zh-CN"/>
              </w:rPr>
              <w:t>开户银行：宁波银行股份有限公司鄞州中心区支行</w:t>
            </w:r>
          </w:p>
          <w:p>
            <w:pPr>
              <w:spacing w:line="360" w:lineRule="auto"/>
              <w:rPr>
                <w:rFonts w:hint="default" w:ascii="宋体" w:hAnsi="宋体" w:eastAsia="宋体" w:cs="宋体"/>
                <w:snapToGrid w:val="0"/>
                <w:color w:val="auto"/>
                <w:kern w:val="28"/>
                <w:sz w:val="24"/>
                <w:highlight w:val="none"/>
                <w:lang w:val="en-US" w:eastAsia="zh-CN"/>
              </w:rPr>
            </w:pPr>
            <w:r>
              <w:rPr>
                <w:rFonts w:hint="default" w:ascii="宋体" w:hAnsi="宋体" w:eastAsia="宋体" w:cs="宋体"/>
                <w:snapToGrid w:val="0"/>
                <w:color w:val="auto"/>
                <w:kern w:val="28"/>
                <w:sz w:val="24"/>
                <w:highlight w:val="none"/>
                <w:lang w:val="en-US" w:eastAsia="zh-CN"/>
              </w:rPr>
              <w:t>账    号：30010122001229488</w:t>
            </w:r>
          </w:p>
          <w:p>
            <w:pPr>
              <w:spacing w:line="360" w:lineRule="auto"/>
              <w:rPr>
                <w:rFonts w:hint="default" w:ascii="宋体" w:hAnsi="宋体" w:eastAsia="宋体" w:cs="宋体"/>
                <w:snapToGrid w:val="0"/>
                <w:color w:val="auto"/>
                <w:kern w:val="28"/>
                <w:sz w:val="24"/>
                <w:highlight w:val="none"/>
                <w:lang w:val="en-US" w:eastAsia="zh-CN"/>
              </w:rPr>
            </w:pPr>
            <w:r>
              <w:rPr>
                <w:rFonts w:hint="default" w:ascii="宋体" w:hAnsi="宋体" w:eastAsia="宋体" w:cs="宋体"/>
                <w:snapToGrid w:val="0"/>
                <w:color w:val="auto"/>
                <w:kern w:val="28"/>
                <w:sz w:val="24"/>
                <w:highlight w:val="none"/>
                <w:lang w:val="en-US" w:eastAsia="zh-CN"/>
              </w:rPr>
              <w:t>户    名：浙江中基正采管理咨询有限公司</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4.4.5投诉材料可寄送至</w:t>
      </w:r>
      <w:r>
        <w:rPr>
          <w:rFonts w:hint="eastAsia"/>
          <w:color w:val="auto"/>
          <w:highlight w:val="none"/>
          <w:lang w:eastAsia="zh-CN"/>
        </w:rPr>
        <w:t>：</w:t>
      </w:r>
      <w:r>
        <w:rPr>
          <w:rFonts w:hint="eastAsia" w:ascii="宋体" w:hAnsi="宋体" w:cs="宋体"/>
          <w:color w:val="auto"/>
          <w:sz w:val="24"/>
          <w:highlight w:val="none"/>
        </w:rPr>
        <w:t>宁海县政府采购管理办公室</w:t>
      </w:r>
      <w:r>
        <w:rPr>
          <w:rFonts w:hint="eastAsia"/>
          <w:color w:val="auto"/>
          <w:highlight w:val="none"/>
        </w:rPr>
        <w:t>，地址：</w:t>
      </w:r>
      <w:r>
        <w:rPr>
          <w:rFonts w:hint="eastAsia" w:ascii="宋体" w:hAnsi="宋体" w:cs="宋体"/>
          <w:color w:val="auto"/>
          <w:sz w:val="24"/>
          <w:highlight w:val="none"/>
        </w:rPr>
        <w:t>宁海县跃龙街道桃源中路218号</w:t>
      </w:r>
      <w:r>
        <w:rPr>
          <w:rFonts w:hint="eastAsia"/>
          <w:color w:val="auto"/>
          <w:highlight w:val="none"/>
        </w:rPr>
        <w:t>，收件人：</w:t>
      </w:r>
      <w:r>
        <w:rPr>
          <w:rFonts w:hint="eastAsia" w:ascii="宋体" w:hAnsi="宋体" w:cs="宋体"/>
          <w:color w:val="auto"/>
          <w:sz w:val="24"/>
          <w:highlight w:val="none"/>
        </w:rPr>
        <w:t>王老师</w:t>
      </w:r>
      <w:r>
        <w:rPr>
          <w:rFonts w:hint="eastAsia"/>
          <w:color w:val="auto"/>
          <w:highlight w:val="none"/>
        </w:rPr>
        <w:t>，电话</w:t>
      </w:r>
      <w:r>
        <w:rPr>
          <w:rFonts w:hint="eastAsia"/>
          <w:color w:val="auto"/>
          <w:highlight w:val="none"/>
          <w:lang w:val="en-US" w:eastAsia="zh-CN"/>
        </w:rPr>
        <w:t>：</w:t>
      </w:r>
      <w:r>
        <w:rPr>
          <w:rFonts w:hint="eastAsia" w:ascii="宋体" w:hAnsi="宋体" w:cs="宋体"/>
          <w:color w:val="auto"/>
          <w:sz w:val="24"/>
          <w:highlight w:val="none"/>
        </w:rPr>
        <w:t>0574-65265668</w:t>
      </w:r>
      <w:r>
        <w:rPr>
          <w:rFonts w:hint="eastAsia"/>
          <w:color w:val="auto"/>
          <w:highlight w:val="none"/>
        </w:rPr>
        <w:t>。</w:t>
      </w:r>
    </w:p>
    <w:p>
      <w:pPr>
        <w:pStyle w:val="888"/>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rPr>
        <w:t>投诉书范本及制作说明详见附件3。</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w:t>
      </w:r>
      <w:r>
        <w:rPr>
          <w:rFonts w:hint="eastAsia" w:ascii="宋体" w:hAnsi="宋体" w:eastAsia="宋体" w:cs="宋体"/>
          <w:color w:val="auto"/>
          <w:sz w:val="24"/>
          <w:highlight w:val="none"/>
        </w:rPr>
        <w:t>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eastAsia="宋体" w:cs="宋体"/>
          <w:color w:val="auto"/>
          <w:sz w:val="24"/>
          <w:highlight w:val="none"/>
        </w:rPr>
        <w:t>1.3.2中小企业声明函</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11.3.3</w:t>
      </w:r>
      <w:r>
        <w:rPr>
          <w:rFonts w:hint="eastAsia" w:ascii="宋体" w:hAnsi="宋体" w:eastAsia="宋体" w:cs="宋体"/>
          <w:color w:val="auto"/>
          <w:sz w:val="24"/>
          <w:highlight w:val="none"/>
        </w:rPr>
        <w:t>投标报价明细表</w:t>
      </w:r>
      <w:r>
        <w:rPr>
          <w:rFonts w:hint="eastAsia" w:ascii="宋体" w:hAnsi="宋体" w:eastAsia="宋体" w:cs="宋体"/>
          <w:color w:val="auto"/>
          <w:sz w:val="24"/>
          <w:highlight w:val="none"/>
          <w:lang w:val="en-US" w:eastAsia="zh-CN"/>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r>
        <w:rPr>
          <w:rFonts w:hint="eastAsia" w:hAnsi="宋体" w:cs="宋体"/>
          <w:b/>
          <w:color w:val="auto"/>
          <w:sz w:val="24"/>
          <w:szCs w:val="24"/>
          <w:highlight w:val="none"/>
          <w:lang w:eastAsia="zh-CN"/>
        </w:rPr>
        <w:t>（文件后缀为：bfbs）</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widowControl w:val="0"/>
        <w:adjustRightInd w:val="0"/>
        <w:spacing w:line="360" w:lineRule="auto"/>
        <w:ind w:firstLine="480" w:firstLineChars="200"/>
        <w:jc w:val="both"/>
        <w:rPr>
          <w:rFonts w:ascii="宋体" w:hAnsi="宋体" w:eastAsia="宋体" w:cs="宋体"/>
          <w:b/>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15.2备份投标文件须在“政采云投标客户端”制作生成，并储存在</w:t>
      </w:r>
      <w:r>
        <w:rPr>
          <w:rFonts w:hint="eastAsia" w:ascii="宋体" w:hAnsi="宋体" w:eastAsia="宋体" w:cs="宋体"/>
          <w:snapToGrid w:val="0"/>
          <w:color w:val="auto"/>
          <w:kern w:val="2"/>
          <w:sz w:val="24"/>
          <w:szCs w:val="21"/>
          <w:highlight w:val="none"/>
          <w:lang w:val="en-US" w:eastAsia="zh-CN" w:bidi="ar-SA"/>
        </w:rPr>
        <w:t>U盘</w:t>
      </w:r>
      <w:r>
        <w:rPr>
          <w:rFonts w:hint="eastAsia" w:ascii="宋体" w:hAnsi="宋体" w:eastAsia="宋体" w:cs="宋体"/>
          <w:snapToGrid w:val="0"/>
          <w:color w:val="auto"/>
          <w:kern w:val="2"/>
          <w:sz w:val="24"/>
          <w:szCs w:val="24"/>
          <w:highlight w:val="none"/>
          <w:lang w:val="en-US" w:eastAsia="zh-CN" w:bidi="ar-SA"/>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napToGrid w:val="0"/>
          <w:color w:val="auto"/>
          <w:kern w:val="2"/>
          <w:sz w:val="24"/>
          <w:szCs w:val="21"/>
          <w:highlight w:val="none"/>
          <w:lang w:val="en-US" w:eastAsia="zh-CN" w:bidi="ar-SA"/>
        </w:rPr>
        <w:t>不符合上述制作、</w:t>
      </w:r>
      <w:r>
        <w:rPr>
          <w:rFonts w:hint="eastAsia" w:ascii="宋体" w:hAnsi="宋体" w:eastAsia="宋体" w:cs="宋体"/>
          <w:b/>
          <w:snapToGrid w:val="0"/>
          <w:color w:val="auto"/>
          <w:kern w:val="2"/>
          <w:sz w:val="24"/>
          <w:szCs w:val="24"/>
          <w:highlight w:val="none"/>
          <w:lang w:val="en-US" w:eastAsia="zh-CN" w:bidi="ar-SA"/>
        </w:rPr>
        <w:t>存储、密封规定的备份投标文件将被视为无效或者被拒绝接收。</w:t>
      </w:r>
    </w:p>
    <w:p>
      <w:pPr>
        <w:widowControl w:val="0"/>
        <w:adjustRightInd w:val="0"/>
        <w:spacing w:line="360" w:lineRule="auto"/>
        <w:ind w:firstLine="480" w:firstLineChars="200"/>
        <w:jc w:val="both"/>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15.3直接提交备份投标文件的，投标人应于投标截止时间前在</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将备份投标文件提交给采购代理机构，采购代理机构将拒绝接受逾期送达的备份投标文件。</w:t>
      </w:r>
    </w:p>
    <w:p>
      <w:pPr>
        <w:widowControl w:val="0"/>
        <w:adjustRightInd w:val="0"/>
        <w:spacing w:line="360" w:lineRule="auto"/>
        <w:ind w:firstLine="480" w:firstLineChars="200"/>
        <w:jc w:val="both"/>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15.4以邮政快递方式递交备份投标文件的，投标人应先将备份投标文件按要求密封和标记，再进行邮政快递包装后邮寄。备份投标文件须在</w:t>
      </w:r>
      <w:r>
        <w:rPr>
          <w:rFonts w:hint="eastAsia" w:ascii="宋体" w:hAnsi="宋体" w:eastAsia="宋体" w:cs="宋体"/>
          <w:snapToGrid/>
          <w:color w:val="auto"/>
          <w:kern w:val="2"/>
          <w:sz w:val="24"/>
          <w:szCs w:val="24"/>
          <w:highlight w:val="none"/>
          <w:lang w:val="en-US" w:eastAsia="zh-CN" w:bidi="ar-SA"/>
        </w:rPr>
        <w:t>第二部分投标人须知前附表规定的备份投标文件送达</w:t>
      </w:r>
      <w:r>
        <w:rPr>
          <w:rFonts w:hint="eastAsia" w:ascii="宋体" w:hAnsi="宋体" w:eastAsia="宋体" w:cs="宋体"/>
          <w:snapToGrid w:val="0"/>
          <w:color w:val="auto"/>
          <w:kern w:val="2"/>
          <w:sz w:val="24"/>
          <w:szCs w:val="24"/>
          <w:highlight w:val="none"/>
          <w:lang w:val="en-US" w:eastAsia="zh-CN" w:bidi="ar-SA"/>
        </w:rPr>
        <w:t>截止时间之前送达</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ascii="宋体" w:hAnsi="宋体" w:eastAsia="宋体" w:cs="宋体"/>
          <w:b/>
          <w:snapToGrid w:val="0"/>
          <w:color w:val="auto"/>
          <w:kern w:val="2"/>
          <w:sz w:val="24"/>
          <w:szCs w:val="24"/>
          <w:highlight w:val="none"/>
          <w:lang w:val="en-US" w:eastAsia="zh-CN" w:bidi="ar-SA"/>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18.2.1具体开标程序：</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第一阶段：</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投标截止时间后，供应商登录政府采购云平台，用“项目采购-开标评标”功能对电子投标文件进行在线解密，在线解密电子投标文件时间为开标时间后30分钟内。</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在政府采购云平台开启已解密供应商的“资格文件、商务技术文件”，并做开标记录；</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第二阶段：</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（1）在政府采购云平台宣告第一阶段评审无效供应商名单及理由；</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（2）公布经第一阶段评审符合招标文件要求的供应商的商务技术得分情况；</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（3）在政府采购云平台开启除第一阶段无效标外的供应商的“报价文件”，并做开标记录；</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（4）在政府采购云平台公布评审结果。</w:t>
      </w:r>
    </w:p>
    <w:p>
      <w:pPr>
        <w:pStyle w:val="556"/>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（5）开标会议结束。</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lang w:val="en-US" w:eastAsia="zh-CN"/>
        </w:rPr>
        <w:t>重大税收违法失信主体</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hint="eastAsia" w:eastAsia="宋体" w:cs="宋体"/>
          <w:b/>
          <w:color w:val="auto"/>
          <w:highlight w:val="none"/>
          <w:lang w:eastAsia="zh-CN"/>
        </w:rPr>
      </w:pPr>
      <w:r>
        <w:rPr>
          <w:rFonts w:hint="eastAsia" w:cs="宋体"/>
          <w:b/>
          <w:color w:val="auto"/>
          <w:highlight w:val="none"/>
        </w:rPr>
        <w:t>22. 确定</w:t>
      </w:r>
      <w:r>
        <w:rPr>
          <w:rFonts w:hint="eastAsia" w:cs="宋体"/>
          <w:b/>
          <w:color w:val="auto"/>
          <w:highlight w:val="none"/>
          <w:lang w:eastAsia="zh-CN"/>
        </w:rPr>
        <w:t>中标人</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的名称、地址、联系方式，项目名称和项目编号，中标人名称、地址和中标金额，主要中标标的的名称、服务范围、服务要求、服务时间、服务标准，开标记录、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hint="eastAsia" w:eastAsia="宋体" w:cs="宋体"/>
          <w:b/>
          <w:color w:val="auto"/>
          <w:highlight w:val="none"/>
          <w:lang w:eastAsia="zh-CN"/>
        </w:rPr>
      </w:pPr>
      <w:r>
        <w:rPr>
          <w:rFonts w:hint="eastAsia" w:cs="宋体"/>
          <w:b/>
          <w:color w:val="auto"/>
          <w:highlight w:val="none"/>
        </w:rPr>
        <w:t>25. 合同的签订</w:t>
      </w:r>
      <w:r>
        <w:rPr>
          <w:rFonts w:hint="eastAsia" w:cs="宋体"/>
          <w:b/>
          <w:color w:val="auto"/>
          <w:highlight w:val="none"/>
          <w:lang w:eastAsia="zh-CN"/>
        </w:rPr>
        <w:t>（</w:t>
      </w:r>
      <w:r>
        <w:rPr>
          <w:rFonts w:hint="eastAsia" w:cs="宋体"/>
          <w:b/>
          <w:color w:val="auto"/>
          <w:highlight w:val="none"/>
          <w:lang w:val="en-US" w:eastAsia="zh-CN"/>
        </w:rPr>
        <w:t>供应商与中标人的标准由省厅文件制定，一般不做更改</w:t>
      </w:r>
      <w:r>
        <w:rPr>
          <w:rFonts w:hint="eastAsia" w:cs="宋体"/>
          <w:b/>
          <w:color w:val="auto"/>
          <w:highlight w:val="none"/>
          <w:lang w:eastAsia="zh-CN"/>
        </w:rPr>
        <w:t>）</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w:t>
      </w:r>
      <w:r>
        <w:rPr>
          <w:rFonts w:hint="eastAsia" w:ascii="宋体" w:hAnsi="宋体" w:cs="宋体"/>
          <w:color w:val="auto"/>
          <w:highlight w:val="none"/>
          <w:lang w:val="en-US" w:eastAsia="zh-CN"/>
        </w:rPr>
        <w:t>采购人</w:t>
      </w:r>
      <w:r>
        <w:rPr>
          <w:rFonts w:hint="eastAsia" w:ascii="宋体" w:hAnsi="宋体" w:cs="宋体"/>
          <w:color w:val="auto"/>
          <w:highlight w:val="none"/>
        </w:rPr>
        <w:t>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w:t>
      </w:r>
      <w:r>
        <w:rPr>
          <w:rFonts w:hint="eastAsia" w:ascii="宋体" w:hAnsi="宋体" w:cs="宋体"/>
          <w:color w:val="auto"/>
          <w:highlight w:val="none"/>
          <w:lang w:eastAsia="zh-CN"/>
        </w:rPr>
        <w:t>中标人</w:t>
      </w:r>
      <w:r>
        <w:rPr>
          <w:rFonts w:hint="eastAsia" w:ascii="宋体" w:hAnsi="宋体" w:cs="宋体"/>
          <w:color w:val="auto"/>
          <w:highlight w:val="none"/>
        </w:rPr>
        <w:t>拒绝与采购人签订合同的，采购人可以按照评审报告推荐的中标或者成交候选人名单排序，确定下一候选人为</w:t>
      </w:r>
      <w:r>
        <w:rPr>
          <w:rFonts w:hint="eastAsia" w:ascii="宋体" w:hAnsi="宋体" w:cs="宋体"/>
          <w:color w:val="auto"/>
          <w:highlight w:val="none"/>
          <w:lang w:eastAsia="zh-CN"/>
        </w:rPr>
        <w:t>中标人</w:t>
      </w:r>
      <w:r>
        <w:rPr>
          <w:rFonts w:hint="eastAsia" w:ascii="宋体" w:hAnsi="宋体" w:cs="宋体"/>
          <w:color w:val="auto"/>
          <w:highlight w:val="none"/>
        </w:rPr>
        <w:t>，也可以重新开展政府采购活动。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w:t>
      </w:r>
      <w:r>
        <w:rPr>
          <w:rFonts w:hint="eastAsia" w:ascii="宋体" w:hAnsi="宋体" w:cs="宋体"/>
          <w:color w:val="auto"/>
          <w:highlight w:val="none"/>
          <w:lang w:eastAsia="zh-CN"/>
        </w:rPr>
        <w:t>中标人</w:t>
      </w:r>
      <w:r>
        <w:rPr>
          <w:rFonts w:hint="eastAsia" w:ascii="宋体" w:hAnsi="宋体" w:cs="宋体"/>
          <w:color w:val="auto"/>
          <w:highlight w:val="none"/>
        </w:rPr>
        <w:t>根据招标文件、投标文件等内容通过政府采购电子交易平台在线签订，自动备案。</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由采购人自行选择线上签订或线下签订</w:t>
      </w:r>
      <w:r>
        <w:rPr>
          <w:rFonts w:hint="eastAsia" w:ascii="宋体" w:hAnsi="宋体" w:cs="宋体"/>
          <w:color w:val="auto"/>
          <w:highlight w:val="none"/>
          <w:lang w:eastAsia="zh-CN"/>
        </w:rPr>
        <w:t>）</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rPr>
        <w:t>拟签订的合同文本要求</w:t>
      </w:r>
      <w:r>
        <w:rPr>
          <w:rFonts w:hint="eastAsia" w:ascii="宋体" w:hAnsi="宋体" w:cs="宋体"/>
          <w:color w:val="auto"/>
          <w:kern w:val="0"/>
          <w:sz w:val="24"/>
          <w:highlight w:val="none"/>
          <w:lang w:eastAsia="zh-CN"/>
        </w:rPr>
        <w:t>中标人</w:t>
      </w:r>
      <w:r>
        <w:rPr>
          <w:rFonts w:hint="eastAsia" w:ascii="宋体" w:hAnsi="宋体" w:cs="宋体"/>
          <w:color w:val="auto"/>
          <w:kern w:val="0"/>
          <w:sz w:val="24"/>
          <w:highlight w:val="none"/>
        </w:rPr>
        <w:t>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rFonts w:hint="eastAsia" w:eastAsia="宋体"/>
          <w:color w:val="auto"/>
          <w:highlight w:val="none"/>
          <w:lang w:eastAsia="zh-CN"/>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eastAsia="zh-CN"/>
        </w:rPr>
        <w:t>7个工作日内</w:t>
      </w:r>
      <w:r>
        <w:rPr>
          <w:rFonts w:ascii="宋体" w:hAnsi="宋体"/>
          <w:color w:val="auto"/>
          <w:sz w:val="24"/>
          <w:highlight w:val="none"/>
        </w:rPr>
        <w:t>支付。</w:t>
      </w:r>
      <w:r>
        <w:rPr>
          <w:rFonts w:hint="eastAsia" w:ascii="宋体" w:hAnsi="宋体"/>
          <w:color w:val="auto"/>
          <w:sz w:val="24"/>
          <w:highlight w:val="none"/>
        </w:rPr>
        <w:t>政府采购工程以及与工程建设有关的货物、服务，采用招标方式采购的，预付款从其相关规定</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本项采购明确无预付款约定，经费</w:t>
      </w:r>
      <w:r>
        <w:rPr>
          <w:rFonts w:ascii="宋体" w:hAnsi="宋体"/>
          <w:color w:val="auto"/>
          <w:sz w:val="24"/>
          <w:highlight w:val="none"/>
        </w:rPr>
        <w:t>按</w:t>
      </w:r>
      <w:r>
        <w:rPr>
          <w:rFonts w:hint="eastAsia" w:ascii="宋体" w:hAnsi="宋体"/>
          <w:color w:val="auto"/>
          <w:sz w:val="24"/>
          <w:highlight w:val="none"/>
          <w:lang w:val="en-US" w:eastAsia="zh-CN"/>
        </w:rPr>
        <w:t>每</w:t>
      </w:r>
      <w:r>
        <w:rPr>
          <w:rFonts w:ascii="宋体" w:hAnsi="宋体"/>
          <w:color w:val="auto"/>
          <w:sz w:val="24"/>
          <w:highlight w:val="none"/>
        </w:rPr>
        <w:t>月</w:t>
      </w:r>
      <w:r>
        <w:rPr>
          <w:rFonts w:hint="eastAsia" w:ascii="宋体" w:hAnsi="宋体"/>
          <w:color w:val="auto"/>
          <w:sz w:val="24"/>
          <w:highlight w:val="none"/>
          <w:lang w:val="en-US" w:eastAsia="zh-CN"/>
        </w:rPr>
        <w:t>考核结算</w:t>
      </w:r>
      <w:r>
        <w:rPr>
          <w:rFonts w:hint="eastAsia" w:ascii="宋体" w:hAnsi="宋体"/>
          <w:color w:val="auto"/>
          <w:sz w:val="24"/>
          <w:highlight w:val="none"/>
        </w:rPr>
        <w:t>。供应商可登录政采云前台大厅选择金融服务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hint="eastAsia"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w:t>
      </w:r>
      <w:r>
        <w:rPr>
          <w:rFonts w:hint="eastAsia" w:ascii="宋体" w:hAnsi="宋体" w:cs="宋体"/>
          <w:color w:val="auto"/>
          <w:kern w:val="0"/>
          <w:sz w:val="24"/>
          <w:highlight w:val="none"/>
          <w:lang w:val="en-US" w:eastAsia="zh-CN"/>
        </w:rPr>
        <w:t>供应商</w:t>
      </w:r>
      <w:r>
        <w:rPr>
          <w:rFonts w:hint="eastAsia" w:ascii="宋体" w:hAnsi="宋体" w:cs="宋体"/>
          <w:color w:val="auto"/>
          <w:kern w:val="0"/>
          <w:sz w:val="24"/>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cs="宋体"/>
          <w:color w:val="auto"/>
          <w:kern w:val="0"/>
          <w:sz w:val="24"/>
          <w:highlight w:val="none"/>
          <w:lang w:val="en-US" w:eastAsia="zh-CN"/>
        </w:rPr>
        <w:t>供应商</w:t>
      </w:r>
      <w:r>
        <w:rPr>
          <w:rFonts w:hint="eastAsia" w:ascii="宋体" w:hAnsi="宋体" w:cs="宋体"/>
          <w:color w:val="auto"/>
          <w:kern w:val="0"/>
          <w:sz w:val="24"/>
          <w:highlight w:val="none"/>
        </w:rPr>
        <w:t>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w:t>
      </w:r>
      <w:r>
        <w:rPr>
          <w:rFonts w:hint="eastAsia" w:ascii="宋体" w:hAnsi="宋体" w:cs="宋体"/>
          <w:color w:val="auto"/>
          <w:kern w:val="0"/>
          <w:sz w:val="24"/>
          <w:highlight w:val="none"/>
          <w:lang w:val="en-US" w:eastAsia="zh-CN"/>
        </w:rPr>
        <w:t>供应商</w:t>
      </w:r>
      <w:r>
        <w:rPr>
          <w:rFonts w:hint="eastAsia" w:ascii="宋体" w:hAnsi="宋体" w:cs="宋体"/>
          <w:color w:val="auto"/>
          <w:kern w:val="0"/>
          <w:sz w:val="24"/>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w:t>
      </w:r>
      <w:r>
        <w:rPr>
          <w:rFonts w:hint="eastAsia" w:ascii="宋体" w:hAnsi="宋体" w:cs="宋体"/>
          <w:color w:val="auto"/>
          <w:kern w:val="0"/>
          <w:sz w:val="24"/>
          <w:highlight w:val="none"/>
          <w:lang w:val="en-US" w:eastAsia="zh-CN"/>
        </w:rPr>
        <w:t>供应商</w:t>
      </w:r>
      <w:r>
        <w:rPr>
          <w:rFonts w:hint="eastAsia" w:ascii="宋体" w:hAnsi="宋体" w:cs="宋体"/>
          <w:color w:val="auto"/>
          <w:kern w:val="0"/>
          <w:sz w:val="24"/>
          <w:highlight w:val="none"/>
        </w:rPr>
        <w:t>支付采购资金、退还履约保证金。验收不合格的项目，采购人将依法及时处理。采购合同的履行、违约责任和解决争议的方式等适用《中华人民共和国民法典》。</w:t>
      </w:r>
      <w:r>
        <w:rPr>
          <w:rFonts w:hint="eastAsia" w:ascii="宋体" w:hAnsi="宋体" w:cs="宋体"/>
          <w:color w:val="auto"/>
          <w:kern w:val="0"/>
          <w:sz w:val="24"/>
          <w:highlight w:val="none"/>
          <w:lang w:val="en-US" w:eastAsia="zh-CN"/>
        </w:rPr>
        <w:t>供应商</w:t>
      </w:r>
      <w:r>
        <w:rPr>
          <w:rFonts w:hint="eastAsia" w:ascii="宋体" w:hAnsi="宋体" w:cs="宋体"/>
          <w:color w:val="auto"/>
          <w:kern w:val="0"/>
          <w:sz w:val="24"/>
          <w:highlight w:val="none"/>
        </w:rPr>
        <w:t>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5236011"/>
      <w:bookmarkEnd w:id="16"/>
      <w:bookmarkStart w:id="17" w:name="_Hlt68073093"/>
      <w:bookmarkEnd w:id="17"/>
      <w:bookmarkStart w:id="18" w:name="_Hlt68403820"/>
      <w:bookmarkEnd w:id="18"/>
      <w:bookmarkStart w:id="19" w:name="_Hlt74730295"/>
      <w:bookmarkEnd w:id="19"/>
      <w:bookmarkStart w:id="20" w:name="_Hlt74729768"/>
      <w:bookmarkEnd w:id="20"/>
      <w:bookmarkStart w:id="21" w:name="_Hlt75236101"/>
      <w:bookmarkEnd w:id="21"/>
      <w:bookmarkStart w:id="22" w:name="_Hlt74714665"/>
      <w:bookmarkEnd w:id="22"/>
      <w:bookmarkStart w:id="23" w:name="_Hlt68072998"/>
      <w:bookmarkEnd w:id="23"/>
      <w:bookmarkStart w:id="24" w:name="_Hlt75236290"/>
      <w:bookmarkEnd w:id="24"/>
      <w:bookmarkStart w:id="25" w:name="_Hlt74707468"/>
      <w:bookmarkEnd w:id="25"/>
      <w:bookmarkStart w:id="26" w:name="_Hlt680729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widowControl/>
        <w:adjustRightInd/>
        <w:spacing w:line="320" w:lineRule="exact"/>
        <w:jc w:val="center"/>
        <w:rPr>
          <w:rFonts w:hint="eastAsia" w:ascii="宋体" w:hAnsi="宋体" w:eastAsia="宋体" w:cs="宋体"/>
          <w:color w:val="auto"/>
          <w:kern w:val="0"/>
          <w:sz w:val="24"/>
          <w:szCs w:val="24"/>
          <w:highlight w:val="none"/>
        </w:rPr>
      </w:pPr>
      <w:bookmarkStart w:id="28" w:name="_Toc24013"/>
      <w:r>
        <w:rPr>
          <w:rFonts w:hint="eastAsia" w:ascii="宋体" w:hAnsi="宋体" w:eastAsia="宋体" w:cs="宋体"/>
          <w:color w:val="auto"/>
          <w:kern w:val="0"/>
          <w:sz w:val="24"/>
          <w:szCs w:val="24"/>
          <w:highlight w:val="none"/>
        </w:rPr>
        <w:t>前附表</w:t>
      </w:r>
      <w:bookmarkEnd w:id="28"/>
    </w:p>
    <w:tbl>
      <w:tblPr>
        <w:tblStyle w:val="62"/>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kern w:val="2"/>
                <w:sz w:val="24"/>
                <w:szCs w:val="24"/>
                <w:highlight w:val="none"/>
              </w:rPr>
            </w:pPr>
            <w:bookmarkStart w:id="29" w:name="_Toc317685548"/>
            <w:bookmarkStart w:id="30" w:name="_Toc329697494"/>
            <w:r>
              <w:rPr>
                <w:rFonts w:hint="eastAsia" w:ascii="宋体" w:hAnsi="宋体" w:eastAsia="宋体" w:cs="宋体"/>
                <w:b/>
                <w:color w:val="auto"/>
                <w:kern w:val="2"/>
                <w:sz w:val="24"/>
                <w:szCs w:val="24"/>
                <w:highlight w:val="none"/>
              </w:rPr>
              <w:t>序号</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项目</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采购内容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bCs/>
                <w:color w:val="auto"/>
                <w:kern w:val="2"/>
                <w:sz w:val="24"/>
                <w:szCs w:val="24"/>
                <w:highlight w:val="none"/>
              </w:rPr>
              <w:t>详见</w:t>
            </w:r>
            <w:r>
              <w:rPr>
                <w:rFonts w:hint="eastAsia" w:ascii="宋体" w:hAnsi="宋体" w:eastAsia="宋体" w:cs="宋体"/>
                <w:color w:val="auto"/>
                <w:kern w:val="2"/>
                <w:sz w:val="24"/>
                <w:szCs w:val="24"/>
                <w:highlight w:val="none"/>
              </w:rPr>
              <w:t>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单位及数量</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bCs/>
                <w:color w:val="auto"/>
                <w:kern w:val="2"/>
                <w:sz w:val="24"/>
                <w:szCs w:val="24"/>
                <w:highlight w:val="none"/>
              </w:rPr>
              <w:t>详见</w:t>
            </w:r>
            <w:r>
              <w:rPr>
                <w:rFonts w:hint="eastAsia" w:ascii="宋体" w:hAnsi="宋体" w:eastAsia="宋体" w:cs="宋体"/>
                <w:color w:val="auto"/>
                <w:kern w:val="2"/>
                <w:sz w:val="24"/>
                <w:szCs w:val="24"/>
                <w:highlight w:val="none"/>
              </w:rPr>
              <w:t>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交付或者实施的时间和地点</w:t>
            </w:r>
          </w:p>
        </w:tc>
        <w:tc>
          <w:tcPr>
            <w:tcW w:w="5191"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rPr>
                <w:rFonts w:hint="eastAsia" w:ascii="宋体" w:hAnsi="宋体" w:eastAsia="宋体" w:cs="宋体"/>
                <w:b w:val="0"/>
                <w:bCs w:val="0"/>
                <w:color w:val="auto"/>
                <w:kern w:val="2"/>
                <w:sz w:val="24"/>
                <w:szCs w:val="24"/>
                <w:highlight w:val="none"/>
              </w:rPr>
            </w:pPr>
            <w:r>
              <w:rPr>
                <w:rFonts w:hint="eastAsia" w:ascii="宋体" w:hAnsi="宋体" w:cs="宋体"/>
                <w:b w:val="0"/>
                <w:bCs w:val="0"/>
                <w:color w:val="auto"/>
                <w:kern w:val="2"/>
                <w:sz w:val="24"/>
                <w:szCs w:val="24"/>
                <w:highlight w:val="none"/>
                <w:lang w:val="en-US" w:eastAsia="zh-CN"/>
              </w:rPr>
              <w:t>合同履约期限</w:t>
            </w:r>
            <w:r>
              <w:rPr>
                <w:rFonts w:hint="eastAsia" w:ascii="宋体" w:hAnsi="宋体" w:eastAsia="宋体" w:cs="宋体"/>
                <w:b w:val="0"/>
                <w:bCs w:val="0"/>
                <w:color w:val="auto"/>
                <w:kern w:val="2"/>
                <w:sz w:val="24"/>
                <w:szCs w:val="24"/>
                <w:highlight w:val="none"/>
              </w:rPr>
              <w:t>：详见第一部分 招标公告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rPr>
              <w:t>实施地点：详见本部分内容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需实现的功能或者目标</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执行的国家相关标准、行业标准、地方标准或者其</w:t>
            </w:r>
            <w:r>
              <w:rPr>
                <w:rFonts w:hint="eastAsia" w:ascii="宋体" w:hAnsi="宋体" w:eastAsia="宋体" w:cs="宋体"/>
                <w:color w:val="auto"/>
                <w:kern w:val="2"/>
                <w:sz w:val="24"/>
                <w:szCs w:val="24"/>
                <w:highlight w:val="none"/>
                <w:lang w:val="en-US" w:eastAsia="zh-CN"/>
              </w:rPr>
              <w:t>他</w:t>
            </w:r>
            <w:r>
              <w:rPr>
                <w:rFonts w:hint="eastAsia" w:ascii="宋体" w:hAnsi="宋体" w:eastAsia="宋体" w:cs="宋体"/>
                <w:color w:val="auto"/>
                <w:kern w:val="2"/>
                <w:sz w:val="24"/>
                <w:szCs w:val="24"/>
                <w:highlight w:val="none"/>
              </w:rPr>
              <w:t>标准、规范</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采购人认可的国家相关标准、行业标准、地方标准或者其他标准规范。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技术规格要求</w:t>
            </w:r>
          </w:p>
        </w:tc>
        <w:tc>
          <w:tcPr>
            <w:tcW w:w="5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物理特性要求</w:t>
            </w:r>
          </w:p>
        </w:tc>
        <w:tc>
          <w:tcPr>
            <w:tcW w:w="5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质量、安全要求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服务标准、期限、效率(培训等）</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验收标准</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11</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现场踏勘</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12</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演示时间及地点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13</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样品要求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14</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本项目的核心产品</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无</w:t>
            </w:r>
          </w:p>
        </w:tc>
      </w:tr>
    </w:tbl>
    <w:p>
      <w:pPr>
        <w:widowControl/>
        <w:adjustRightIn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br w:type="page"/>
      </w:r>
      <w:r>
        <w:rPr>
          <w:rFonts w:hint="eastAsia" w:ascii="宋体" w:hAnsi="宋体" w:cs="宋体"/>
          <w:color w:val="auto"/>
          <w:kern w:val="0"/>
          <w:sz w:val="24"/>
          <w:szCs w:val="24"/>
          <w:highlight w:val="none"/>
          <w:lang w:eastAsia="zh-CN"/>
        </w:rPr>
        <w:t>▲</w:t>
      </w:r>
      <w:r>
        <w:rPr>
          <w:rFonts w:hint="eastAsia" w:ascii="宋体" w:hAnsi="宋体" w:eastAsia="宋体" w:cs="宋体"/>
          <w:b/>
          <w:color w:val="auto"/>
          <w:kern w:val="0"/>
          <w:sz w:val="24"/>
          <w:szCs w:val="24"/>
          <w:highlight w:val="none"/>
        </w:rPr>
        <w:t>一、重要商务要求一览表</w:t>
      </w:r>
    </w:p>
    <w:bookmarkEnd w:id="29"/>
    <w:bookmarkEnd w:id="30"/>
    <w:tbl>
      <w:tblPr>
        <w:tblStyle w:val="62"/>
        <w:tblW w:w="84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50"/>
        <w:gridCol w:w="6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项目</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合同履行期限及地点</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12"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）合同履行期限：详见第一部分 《招标公告》。</w:t>
            </w:r>
          </w:p>
          <w:p>
            <w:pPr>
              <w:shd w:val="clear" w:color="auto" w:fill="auto"/>
              <w:spacing w:line="312" w:lineRule="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）实施地点：采购人指定地点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宁海县</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sz w:val="24"/>
                <w:szCs w:val="24"/>
                <w:highlight w:val="none"/>
              </w:rPr>
              <w:t>2、付款方式</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12" w:lineRule="auto"/>
              <w:rPr>
                <w:rFonts w:hint="eastAsia" w:ascii="宋体" w:hAnsi="宋体" w:eastAsia="宋体" w:cs="宋体"/>
                <w:color w:val="auto"/>
                <w:kern w:val="2"/>
                <w:sz w:val="24"/>
                <w:szCs w:val="24"/>
                <w:highlight w:val="none"/>
                <w:lang w:eastAsia="zh-CN"/>
              </w:rPr>
            </w:pPr>
            <w:r>
              <w:rPr>
                <w:rFonts w:hint="eastAsia" w:ascii="宋体" w:hAnsi="宋体" w:cs="宋体"/>
                <w:color w:val="auto"/>
                <w:sz w:val="24"/>
                <w:szCs w:val="24"/>
                <w:highlight w:val="none"/>
                <w:lang w:val="en-US" w:eastAsia="zh-CN"/>
              </w:rPr>
              <w:t>合同签订并具备实施条件后按月支付，</w:t>
            </w:r>
            <w:r>
              <w:rPr>
                <w:rFonts w:hint="eastAsia" w:ascii="宋体" w:hAnsi="宋体" w:eastAsia="宋体" w:cs="宋体"/>
                <w:color w:val="auto"/>
                <w:sz w:val="24"/>
                <w:szCs w:val="24"/>
                <w:highlight w:val="none"/>
                <w:lang w:val="en-US" w:eastAsia="zh-CN"/>
              </w:rPr>
              <w:t>在确认完成当月工作并通过考核后，</w:t>
            </w:r>
            <w:r>
              <w:rPr>
                <w:rFonts w:hint="eastAsia" w:ascii="宋体" w:hAnsi="宋体" w:cs="宋体"/>
                <w:color w:val="auto"/>
                <w:sz w:val="24"/>
                <w:szCs w:val="24"/>
                <w:highlight w:val="none"/>
                <w:lang w:val="en-US" w:eastAsia="zh-CN"/>
              </w:rPr>
              <w:t>月服务经费</w:t>
            </w:r>
            <w:r>
              <w:rPr>
                <w:rFonts w:hint="eastAsia" w:ascii="宋体" w:hAnsi="宋体" w:eastAsia="宋体" w:cs="宋体"/>
                <w:color w:val="auto"/>
                <w:sz w:val="24"/>
                <w:szCs w:val="24"/>
                <w:highlight w:val="none"/>
                <w:lang w:val="en-US" w:eastAsia="zh-CN"/>
              </w:rPr>
              <w:t>根据考核结果支付给中标人。（月服务经费</w:t>
            </w:r>
            <w:r>
              <w:rPr>
                <w:rFonts w:hint="eastAsia" w:ascii="宋体" w:hAnsi="宋体" w:cs="宋体"/>
                <w:color w:val="auto"/>
                <w:sz w:val="24"/>
                <w:szCs w:val="24"/>
                <w:highlight w:val="none"/>
                <w:lang w:val="en-US" w:eastAsia="zh-CN"/>
              </w:rPr>
              <w:t>=年度服务经费/12-考核扣款</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12" w:lineRule="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3、履约保证金</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12"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履约保证金金额及形式：年度合同金额的</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%；中标人</w:t>
            </w:r>
            <w:r>
              <w:rPr>
                <w:rFonts w:hint="eastAsia" w:ascii="宋体" w:hAnsi="宋体" w:cs="宋体"/>
                <w:color w:val="auto"/>
                <w:sz w:val="24"/>
                <w:szCs w:val="24"/>
                <w:highlight w:val="none"/>
                <w:lang w:val="en-US" w:eastAsia="zh-CN"/>
              </w:rPr>
              <w:t>在合同签订前</w:t>
            </w:r>
            <w:r>
              <w:rPr>
                <w:rFonts w:hint="eastAsia" w:ascii="宋体" w:hAnsi="宋体" w:eastAsia="宋体" w:cs="宋体"/>
                <w:color w:val="auto"/>
                <w:sz w:val="24"/>
                <w:szCs w:val="24"/>
                <w:highlight w:val="none"/>
                <w:lang w:eastAsia="zh-CN"/>
              </w:rPr>
              <w:t>以</w:t>
            </w:r>
            <w:r>
              <w:rPr>
                <w:rFonts w:hint="eastAsia" w:ascii="宋体" w:hAnsi="宋体" w:eastAsia="宋体" w:cs="宋体"/>
                <w:color w:val="auto"/>
                <w:sz w:val="24"/>
                <w:szCs w:val="24"/>
                <w:highlight w:val="none"/>
                <w:lang w:val="en-US" w:eastAsia="zh-CN"/>
              </w:rPr>
              <w:t>银行汇票、转账、电汇、保函等形式缴纳至采购人指定账户。</w:t>
            </w:r>
          </w:p>
          <w:p>
            <w:pPr>
              <w:shd w:val="clear" w:color="auto" w:fill="auto"/>
              <w:spacing w:line="312" w:lineRule="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sz w:val="24"/>
                <w:szCs w:val="24"/>
                <w:highlight w:val="none"/>
                <w:lang w:val="en-US" w:eastAsia="zh-CN"/>
              </w:rPr>
              <w:t>（2）履约保证金在中标人完成合同履约后无息退还（但如中标人未能履行合同规定的任何义务，采购人有权从履约保证金中优先扣除应由中标人承担的违约金、赔偿金以及其他款项）。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tabs>
                <w:tab w:val="left" w:pos="3234"/>
              </w:tabs>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、合同终止</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highlight w:val="none"/>
              </w:rPr>
              <w:t>中标人在合同有效期内，不得</w:t>
            </w:r>
            <w:r>
              <w:rPr>
                <w:rFonts w:hint="eastAsia" w:ascii="宋体" w:hAnsi="宋体" w:eastAsia="宋体" w:cs="宋体"/>
                <w:color w:val="auto"/>
                <w:sz w:val="24"/>
                <w:szCs w:val="24"/>
                <w:highlight w:val="none"/>
                <w:lang w:eastAsia="zh-CN"/>
              </w:rPr>
              <w:t>无</w:t>
            </w:r>
            <w:r>
              <w:rPr>
                <w:rFonts w:hint="eastAsia" w:ascii="宋体" w:hAnsi="宋体" w:eastAsia="宋体" w:cs="宋体"/>
                <w:color w:val="auto"/>
                <w:sz w:val="24"/>
                <w:szCs w:val="24"/>
                <w:highlight w:val="none"/>
              </w:rPr>
              <w:t>理由终止合同，确有特殊情况的，须提前两个月向采购人提出书面申请，经采购人同意后，方可终止合同，同时酌情扣除履约保证金。因中标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不能保证工作质量，</w:t>
            </w:r>
            <w:r>
              <w:rPr>
                <w:rFonts w:hint="eastAsia" w:ascii="宋体" w:hAnsi="宋体" w:eastAsia="宋体" w:cs="宋体"/>
                <w:bCs/>
                <w:color w:val="auto"/>
                <w:sz w:val="24"/>
                <w:szCs w:val="24"/>
                <w:highlight w:val="none"/>
                <w:lang w:val="en-US" w:eastAsia="zh-CN" w:bidi="ar"/>
              </w:rPr>
              <w:t>当月考核</w:t>
            </w:r>
            <w:r>
              <w:rPr>
                <w:rFonts w:hint="eastAsia" w:ascii="宋体" w:hAnsi="宋体" w:cs="宋体"/>
                <w:bCs/>
                <w:color w:val="auto"/>
                <w:sz w:val="24"/>
                <w:szCs w:val="24"/>
                <w:highlight w:val="none"/>
                <w:lang w:val="en-US" w:eastAsia="zh-CN" w:bidi="ar"/>
              </w:rPr>
              <w:t>扣除40分</w:t>
            </w:r>
            <w:r>
              <w:rPr>
                <w:rFonts w:hint="eastAsia" w:ascii="宋体" w:hAnsi="宋体" w:eastAsia="宋体" w:cs="宋体"/>
                <w:color w:val="auto"/>
                <w:sz w:val="24"/>
                <w:szCs w:val="24"/>
                <w:highlight w:val="none"/>
              </w:rPr>
              <w:t>或发生重大差错事故的，采购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可有权终止</w:t>
            </w:r>
            <w:r>
              <w:rPr>
                <w:rFonts w:hint="eastAsia" w:ascii="宋体" w:hAnsi="宋体" w:eastAsia="宋体" w:cs="宋体"/>
                <w:color w:val="auto"/>
                <w:sz w:val="24"/>
                <w:szCs w:val="24"/>
                <w:highlight w:val="none"/>
                <w:lang w:val="en-US" w:eastAsia="zh-CN"/>
              </w:rPr>
              <w:t>合同</w:t>
            </w:r>
            <w:r>
              <w:rPr>
                <w:rFonts w:hint="eastAsia" w:ascii="宋体" w:hAnsi="宋体" w:eastAsia="宋体" w:cs="宋体"/>
                <w:color w:val="auto"/>
                <w:sz w:val="24"/>
                <w:szCs w:val="24"/>
                <w:highlight w:val="none"/>
              </w:rPr>
              <w:t>，中标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tabs>
                <w:tab w:val="left" w:pos="3234"/>
              </w:tabs>
              <w:kinsoku/>
              <w:wordWrap/>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、采购内容进行变更的处理</w:t>
            </w:r>
          </w:p>
        </w:tc>
        <w:tc>
          <w:tcPr>
            <w:tcW w:w="6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对采购内容进行变更的处理：合同期内，中标单价不作调整；如因故致使本合同</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项目面积、设施发生变更的(如因人口数量</w:t>
            </w:r>
            <w:r>
              <w:rPr>
                <w:rFonts w:hint="eastAsia" w:ascii="宋体" w:hAnsi="宋体" w:cs="宋体"/>
                <w:color w:val="auto"/>
                <w:sz w:val="24"/>
                <w:szCs w:val="24"/>
                <w:highlight w:val="none"/>
                <w:lang w:val="en-US" w:eastAsia="zh-CN"/>
              </w:rPr>
              <w:t>变动</w:t>
            </w:r>
            <w:r>
              <w:rPr>
                <w:rFonts w:hint="eastAsia" w:ascii="宋体" w:hAnsi="宋体" w:eastAsia="宋体" w:cs="宋体"/>
                <w:color w:val="auto"/>
                <w:sz w:val="24"/>
                <w:szCs w:val="24"/>
                <w:highlight w:val="none"/>
              </w:rPr>
              <w:t>而导致垃圾桶投放数量需要</w:t>
            </w:r>
            <w:r>
              <w:rPr>
                <w:rFonts w:hint="eastAsia" w:ascii="宋体" w:hAnsi="宋体" w:cs="宋体"/>
                <w:color w:val="auto"/>
                <w:sz w:val="24"/>
                <w:szCs w:val="24"/>
                <w:highlight w:val="none"/>
                <w:lang w:val="en-US" w:eastAsia="zh-CN"/>
              </w:rPr>
              <w:t>增减的</w:t>
            </w:r>
            <w:r>
              <w:rPr>
                <w:rFonts w:hint="eastAsia" w:ascii="宋体" w:hAnsi="宋体" w:eastAsia="宋体" w:cs="宋体"/>
                <w:color w:val="auto"/>
                <w:sz w:val="24"/>
                <w:szCs w:val="24"/>
                <w:highlight w:val="none"/>
              </w:rPr>
              <w:t>)。由甲方根据实际变更量审核确认，垃圾桶增</w:t>
            </w:r>
            <w:r>
              <w:rPr>
                <w:rFonts w:hint="eastAsia" w:ascii="宋体" w:hAnsi="宋体" w:cs="宋体"/>
                <w:color w:val="auto"/>
                <w:sz w:val="24"/>
                <w:szCs w:val="24"/>
                <w:highlight w:val="none"/>
                <w:lang w:val="en-US" w:eastAsia="zh-CN"/>
              </w:rPr>
              <w:t>减</w:t>
            </w:r>
            <w:r>
              <w:rPr>
                <w:rFonts w:hint="eastAsia" w:ascii="宋体" w:hAnsi="宋体" w:eastAsia="宋体" w:cs="宋体"/>
                <w:color w:val="auto"/>
                <w:sz w:val="24"/>
                <w:szCs w:val="24"/>
                <w:highlight w:val="none"/>
              </w:rPr>
              <w:t>数量在30个以内的总费用不变，超出</w:t>
            </w:r>
            <w:r>
              <w:rPr>
                <w:rFonts w:hint="eastAsia" w:ascii="宋体" w:hAnsi="宋体" w:cs="宋体"/>
                <w:color w:val="auto"/>
                <w:sz w:val="24"/>
                <w:szCs w:val="24"/>
                <w:highlight w:val="none"/>
                <w:lang w:val="en-US" w:eastAsia="zh-CN"/>
              </w:rPr>
              <w:t>或减少</w:t>
            </w:r>
            <w:r>
              <w:rPr>
                <w:rFonts w:hint="eastAsia" w:ascii="宋体" w:hAnsi="宋体" w:eastAsia="宋体" w:cs="宋体"/>
                <w:color w:val="auto"/>
                <w:sz w:val="24"/>
                <w:szCs w:val="24"/>
                <w:highlight w:val="none"/>
              </w:rPr>
              <w:t>部分按照中标单价</w:t>
            </w:r>
            <w:r>
              <w:rPr>
                <w:rFonts w:hint="eastAsia" w:ascii="宋体" w:hAnsi="宋体" w:cs="宋体"/>
                <w:color w:val="auto"/>
                <w:sz w:val="24"/>
                <w:szCs w:val="24"/>
                <w:highlight w:val="none"/>
                <w:lang w:val="en-US" w:eastAsia="zh-CN"/>
              </w:rPr>
              <w:t>按实</w:t>
            </w:r>
            <w:r>
              <w:rPr>
                <w:rFonts w:hint="eastAsia" w:ascii="宋体" w:hAnsi="宋体" w:eastAsia="宋体" w:cs="宋体"/>
                <w:color w:val="auto"/>
                <w:sz w:val="24"/>
                <w:szCs w:val="24"/>
                <w:highlight w:val="none"/>
              </w:rPr>
              <w:t>结算，以联系单为准。因工作需要调整</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标准的，按新标准重新测算服务费。</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rPr>
          <w:rFonts w:hint="eastAsia" w:ascii="宋体" w:hAnsi="宋体" w:eastAsia="宋体" w:cs="宋体"/>
          <w:b/>
          <w:bCs/>
          <w:color w:val="auto"/>
          <w:kern w:val="2"/>
          <w:sz w:val="24"/>
          <w:szCs w:val="24"/>
          <w:highlight w:val="none"/>
          <w:lang w:val="en-US" w:eastAsia="zh-CN" w:bidi="ar"/>
        </w:rPr>
      </w:pPr>
      <w:r>
        <w:rPr>
          <w:rFonts w:hint="eastAsia" w:ascii="宋体" w:hAnsi="宋体" w:eastAsia="宋体" w:cs="宋体"/>
          <w:b/>
          <w:bCs/>
          <w:color w:val="auto"/>
          <w:kern w:val="2"/>
          <w:sz w:val="24"/>
          <w:szCs w:val="24"/>
          <w:highlight w:val="none"/>
          <w:lang w:val="en-US" w:eastAsia="zh-CN" w:bidi="ar"/>
        </w:rPr>
        <w:t>二、作业范围及内容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bookmarkStart w:id="31" w:name="_Toc17869"/>
      <w:r>
        <w:rPr>
          <w:rFonts w:hint="eastAsia" w:ascii="宋体" w:hAnsi="宋体" w:eastAsia="宋体" w:cs="宋体"/>
          <w:b/>
          <w:bCs w:val="0"/>
          <w:color w:val="auto"/>
          <w:kern w:val="2"/>
          <w:sz w:val="24"/>
          <w:szCs w:val="24"/>
          <w:highlight w:val="none"/>
          <w:lang w:val="en-US" w:eastAsia="zh-CN"/>
        </w:rPr>
        <w:t>（一）作业范围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default"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具体作业范围共计30个村社：大金村、前黄村、竹口储村、王社村、钱岙村、新西岙村、民主村、后丁村、胜利村、翻身村、建设村、上洋村、后徐村、上山尤村、花山村、南岙村、茶堂村、西洋村、大房村、堂墙村、下洋葛村、后畈王村、横金村、下洋顾村、应家山村、塘溪村、瓦窑头村、杏蒋村、石家岙村、溪旁徐村</w:t>
      </w:r>
      <w:r>
        <w:rPr>
          <w:rFonts w:hint="eastAsia" w:ascii="宋体" w:hAnsi="宋体" w:cs="宋体"/>
          <w:b w:val="0"/>
          <w:bCs/>
          <w:color w:val="auto"/>
          <w:kern w:val="2"/>
          <w:sz w:val="24"/>
          <w:szCs w:val="24"/>
          <w:highlight w:val="none"/>
          <w:lang w:val="en-US" w:eastAsia="zh-CN"/>
        </w:rPr>
        <w:t>以及桃源街道办事处。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（二）作业方案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针对宁海县桃源街道其他垃圾分类收运工作，我们拟采用三种模式进行作业，清运频率均为1天2次：一是压缩车清运，采用3吨压缩车清运的方式将建设村、胜利村、民主村、翻身村、上洋村、后徐村的垃圾清运至物流中转站，采用自卸式后吊车将钱岙村、新西岙村、王社村、竹口储、西洋村、大房村、塘溪村、下洋葛村、下洋顾村、瓦窑头村的垃圾清运至桐山中转站；二是“以桶换桶”作业模式，通过平板运输车将石家岙村、溪旁徐村、后丁村、杏蒋村、横金村、大金村、前黄村的垃圾清运至物流中转站，将应家山村、后畈王村、花山村、南岙村、茶堂村、堂墙村、上山尤村、桃源街道办事处清运至桐山中转站；三是沿街垃圾上门收集，通过电动垃圾收运车对应家山村、西洋村的垃圾进行动态清运至桐山中转站。具体见表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表1：宁海县桃源街道其他垃圾分类收运作业模式</w:t>
      </w:r>
    </w:p>
    <w:tbl>
      <w:tblPr>
        <w:tblStyle w:val="63"/>
        <w:tblW w:w="8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969"/>
        <w:gridCol w:w="913"/>
        <w:gridCol w:w="467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序号</w:t>
            </w:r>
          </w:p>
        </w:tc>
        <w:tc>
          <w:tcPr>
            <w:tcW w:w="18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收运模式</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村庄</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运送地点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1</w:t>
            </w:r>
          </w:p>
        </w:tc>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压缩车清运</w:t>
            </w: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3吨压缩车</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建设村、胜利村、民主村、翻身村、上洋村、后徐村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物流中转站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rPr>
                <w:rFonts w:hint="eastAsia" w:ascii="宋体" w:hAnsi="宋体" w:eastAsia="宋体" w:cs="宋体"/>
                <w:b w:val="0"/>
                <w:bCs/>
                <w:color w:val="auto"/>
                <w:kern w:val="2"/>
                <w:sz w:val="24"/>
                <w:szCs w:val="24"/>
                <w:highlight w:val="none"/>
                <w:lang w:val="en-US" w:eastAsia="zh-CN"/>
              </w:rPr>
            </w:pPr>
          </w:p>
        </w:tc>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自卸式后吊车</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钱岙村、新西岙村、王社村、竹口储、西洋村、大房村、塘溪村、下洋葛村、下洋顾村、瓦窑头村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7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2</w:t>
            </w:r>
          </w:p>
        </w:tc>
        <w:tc>
          <w:tcPr>
            <w:tcW w:w="188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以桶换桶清运</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石家岙村、溪旁徐村、后丁村、杏蒋村、横金村、大金村、前黄村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物流中转站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rPr>
            </w:pPr>
          </w:p>
        </w:tc>
        <w:tc>
          <w:tcPr>
            <w:tcW w:w="18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rPr>
            </w:pP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应家山村、后畈王村、花山村、南岙村、茶堂村、堂墙村、上山尤村、桃源街道办事处</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w:t>
            </w:r>
          </w:p>
        </w:tc>
        <w:tc>
          <w:tcPr>
            <w:tcW w:w="18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沿街垃圾上门收集</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应家山村、西洋村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（三）垃圾桶及各村距就近中转站距离分布</w:t>
      </w:r>
    </w:p>
    <w:tbl>
      <w:tblPr>
        <w:tblStyle w:val="964"/>
        <w:tblW w:w="8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4"/>
        <w:gridCol w:w="2563"/>
        <w:gridCol w:w="1859"/>
        <w:gridCol w:w="26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474" w:type="dxa"/>
            <w:vAlign w:val="top"/>
          </w:tcPr>
          <w:p>
            <w:pPr>
              <w:kinsoku w:val="0"/>
              <w:autoSpaceDE w:val="0"/>
              <w:autoSpaceDN w:val="0"/>
              <w:adjustRightInd w:val="0"/>
              <w:snapToGrid w:val="0"/>
              <w:spacing w:before="122" w:line="217" w:lineRule="auto"/>
              <w:ind w:left="500"/>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4"/>
                <w:kern w:val="0"/>
                <w:sz w:val="24"/>
                <w:szCs w:val="24"/>
                <w:lang w:val="en-US" w:eastAsia="en-US" w:bidi="ar-SA"/>
                <w14:textOutline w14:w="4358" w14:cap="sq" w14:cmpd="sng">
                  <w14:solidFill>
                    <w14:srgbClr w14:val="000000"/>
                  </w14:solidFill>
                  <w14:prstDash w14:val="solid"/>
                  <w14:bevel/>
                </w14:textOutline>
              </w:rPr>
              <w:t>序号</w:t>
            </w:r>
          </w:p>
        </w:tc>
        <w:tc>
          <w:tcPr>
            <w:tcW w:w="2563" w:type="dxa"/>
            <w:vAlign w:val="top"/>
          </w:tcPr>
          <w:p>
            <w:pPr>
              <w:kinsoku w:val="0"/>
              <w:autoSpaceDE w:val="0"/>
              <w:autoSpaceDN w:val="0"/>
              <w:adjustRightInd w:val="0"/>
              <w:snapToGrid w:val="0"/>
              <w:spacing w:before="123" w:line="216" w:lineRule="auto"/>
              <w:ind w:left="744"/>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2"/>
                <w:kern w:val="0"/>
                <w:sz w:val="24"/>
                <w:szCs w:val="24"/>
                <w:lang w:val="en-US" w:eastAsia="en-US" w:bidi="ar-SA"/>
                <w14:textOutline w14:w="4358" w14:cap="sq" w14:cmpd="sng">
                  <w14:solidFill>
                    <w14:srgbClr w14:val="000000"/>
                  </w14:solidFill>
                  <w14:prstDash w14:val="solid"/>
                  <w14:bevel/>
                </w14:textOutline>
              </w:rPr>
              <w:t>村名/地址</w:t>
            </w:r>
          </w:p>
        </w:tc>
        <w:tc>
          <w:tcPr>
            <w:tcW w:w="1859" w:type="dxa"/>
            <w:vAlign w:val="top"/>
          </w:tcPr>
          <w:p>
            <w:pPr>
              <w:kinsoku w:val="0"/>
              <w:autoSpaceDE w:val="0"/>
              <w:autoSpaceDN w:val="0"/>
              <w:adjustRightInd w:val="0"/>
              <w:snapToGrid w:val="0"/>
              <w:spacing w:before="122" w:line="217" w:lineRule="auto"/>
              <w:ind w:left="695"/>
              <w:jc w:val="left"/>
              <w:textAlignment w:val="baseline"/>
              <w:rPr>
                <w:rFonts w:hint="eastAsia" w:asciiTheme="minorEastAsia" w:hAnsiTheme="minorEastAsia" w:eastAsiaTheme="minorEastAsia" w:cstheme="minorEastAsia"/>
                <w:snapToGrid w:val="0"/>
                <w:color w:val="auto"/>
                <w:kern w:val="0"/>
                <w:sz w:val="24"/>
                <w:szCs w:val="24"/>
                <w:lang w:val="en-US" w:eastAsia="zh-CN" w:bidi="ar-SA"/>
              </w:rPr>
            </w:pPr>
            <w:r>
              <w:rPr>
                <w:rFonts w:hint="eastAsia" w:asciiTheme="minorEastAsia" w:hAnsiTheme="minorEastAsia" w:eastAsiaTheme="minorEastAsia" w:cstheme="minorEastAsia"/>
                <w:snapToGrid w:val="0"/>
                <w:color w:val="auto"/>
                <w:spacing w:val="-5"/>
                <w:kern w:val="0"/>
                <w:sz w:val="24"/>
                <w:szCs w:val="24"/>
                <w:lang w:val="en-US" w:eastAsia="en-US" w:bidi="ar-SA"/>
                <w14:textOutline w14:w="4358" w14:cap="sq" w14:cmpd="sng">
                  <w14:solidFill>
                    <w14:srgbClr w14:val="000000"/>
                  </w14:solidFill>
                  <w14:prstDash w14:val="solid"/>
                  <w14:bevel/>
                </w14:textOutline>
              </w:rPr>
              <w:t>桶数</w:t>
            </w:r>
          </w:p>
        </w:tc>
        <w:tc>
          <w:tcPr>
            <w:tcW w:w="2673" w:type="dxa"/>
            <w:vAlign w:val="top"/>
          </w:tcPr>
          <w:p>
            <w:pPr>
              <w:kinsoku w:val="0"/>
              <w:autoSpaceDE w:val="0"/>
              <w:autoSpaceDN w:val="0"/>
              <w:adjustRightInd w:val="0"/>
              <w:snapToGrid w:val="0"/>
              <w:spacing w:before="122" w:line="217"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14:textOutline w14:w="4358" w14:cap="sq" w14:cmpd="sng">
                  <w14:solidFill>
                    <w14:srgbClr w14:val="000000"/>
                  </w14:solidFill>
                  <w14:prstDash w14:val="solid"/>
                  <w14:bevel/>
                </w14:textOutline>
              </w:rPr>
              <w:t>清运方式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474" w:type="dxa"/>
            <w:vAlign w:val="top"/>
          </w:tcPr>
          <w:p>
            <w:pPr>
              <w:kinsoku w:val="0"/>
              <w:autoSpaceDE w:val="0"/>
              <w:autoSpaceDN w:val="0"/>
              <w:adjustRightInd w:val="0"/>
              <w:snapToGrid w:val="0"/>
              <w:spacing w:before="154" w:line="180" w:lineRule="auto"/>
              <w:ind w:left="69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1</w:t>
            </w:r>
          </w:p>
        </w:tc>
        <w:tc>
          <w:tcPr>
            <w:tcW w:w="2563" w:type="dxa"/>
            <w:vAlign w:val="top"/>
          </w:tcPr>
          <w:p>
            <w:pPr>
              <w:kinsoku w:val="0"/>
              <w:autoSpaceDE w:val="0"/>
              <w:autoSpaceDN w:val="0"/>
              <w:adjustRightInd w:val="0"/>
              <w:snapToGrid w:val="0"/>
              <w:spacing w:before="124" w:line="216" w:lineRule="auto"/>
              <w:ind w:left="924"/>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3"/>
                <w:kern w:val="0"/>
                <w:sz w:val="24"/>
                <w:szCs w:val="24"/>
                <w:lang w:val="en-US" w:eastAsia="en-US" w:bidi="ar-SA"/>
              </w:rPr>
              <w:t>建设村</w:t>
            </w:r>
          </w:p>
        </w:tc>
        <w:tc>
          <w:tcPr>
            <w:tcW w:w="1859" w:type="dxa"/>
            <w:vAlign w:val="top"/>
          </w:tcPr>
          <w:p>
            <w:pPr>
              <w:kinsoku w:val="0"/>
              <w:autoSpaceDE w:val="0"/>
              <w:autoSpaceDN w:val="0"/>
              <w:adjustRightInd w:val="0"/>
              <w:snapToGrid w:val="0"/>
              <w:spacing w:before="154" w:line="180" w:lineRule="auto"/>
              <w:ind w:left="824"/>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9"/>
                <w:kern w:val="0"/>
                <w:sz w:val="24"/>
                <w:szCs w:val="24"/>
                <w:lang w:val="en-US" w:eastAsia="en-US" w:bidi="ar-SA"/>
              </w:rPr>
              <w:t>42</w:t>
            </w:r>
          </w:p>
        </w:tc>
        <w:tc>
          <w:tcPr>
            <w:tcW w:w="2673" w:type="dxa"/>
            <w:vMerge w:val="restart"/>
            <w:tcBorders>
              <w:bottom w:val="nil"/>
            </w:tcBorders>
            <w:vAlign w:val="top"/>
          </w:tcPr>
          <w:p>
            <w:pPr>
              <w:widowControl/>
              <w:kinsoku w:val="0"/>
              <w:autoSpaceDE w:val="0"/>
              <w:autoSpaceDN w:val="0"/>
              <w:snapToGrid w:val="0"/>
              <w:spacing w:line="26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6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6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6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kinsoku w:val="0"/>
              <w:autoSpaceDE w:val="0"/>
              <w:autoSpaceDN w:val="0"/>
              <w:adjustRightInd w:val="0"/>
              <w:snapToGrid w:val="0"/>
              <w:spacing w:before="78" w:line="214"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7"/>
                <w:kern w:val="0"/>
                <w:sz w:val="24"/>
                <w:szCs w:val="24"/>
                <w:lang w:val="en-US" w:eastAsia="en-US" w:bidi="ar-SA"/>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snapToGrid w:val="0"/>
                <w:color w:val="auto"/>
                <w:spacing w:val="-36"/>
                <w:kern w:val="0"/>
                <w:sz w:val="24"/>
                <w:szCs w:val="24"/>
                <w:lang w:val="en-US" w:eastAsia="en-US" w:bidi="ar-SA"/>
              </w:rPr>
              <w:t xml:space="preserve"> </w:t>
            </w:r>
            <w:r>
              <w:rPr>
                <w:rFonts w:hint="eastAsia" w:asciiTheme="minorEastAsia" w:hAnsiTheme="minorEastAsia" w:eastAsiaTheme="minorEastAsia" w:cstheme="minorEastAsia"/>
                <w:snapToGrid w:val="0"/>
                <w:color w:val="auto"/>
                <w:spacing w:val="-7"/>
                <w:kern w:val="0"/>
                <w:sz w:val="24"/>
                <w:szCs w:val="24"/>
                <w:lang w:val="en-US" w:eastAsia="en-US" w:bidi="ar-SA"/>
                <w14:textOutline w14:w="4358" w14:cap="sq" w14:cmpd="sng">
                  <w14:solidFill>
                    <w14:srgbClr w14:val="000000"/>
                  </w14:solidFill>
                  <w14:prstDash w14:val="solid"/>
                  <w14:bevel/>
                </w14:textOutline>
              </w:rPr>
              <w:t>吨压缩车清运</w:t>
            </w:r>
          </w:p>
          <w:p>
            <w:pPr>
              <w:kinsoku w:val="0"/>
              <w:autoSpaceDE w:val="0"/>
              <w:autoSpaceDN w:val="0"/>
              <w:adjustRightInd w:val="0"/>
              <w:snapToGrid w:val="0"/>
              <w:spacing w:before="121" w:line="214"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至物流中转站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49" w:line="180" w:lineRule="auto"/>
              <w:ind w:left="69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2</w:t>
            </w:r>
          </w:p>
        </w:tc>
        <w:tc>
          <w:tcPr>
            <w:tcW w:w="2563" w:type="dxa"/>
            <w:vAlign w:val="top"/>
          </w:tcPr>
          <w:p>
            <w:pPr>
              <w:kinsoku w:val="0"/>
              <w:autoSpaceDE w:val="0"/>
              <w:autoSpaceDN w:val="0"/>
              <w:adjustRightInd w:val="0"/>
              <w:snapToGrid w:val="0"/>
              <w:spacing w:before="119" w:line="216" w:lineRule="auto"/>
              <w:ind w:left="9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胜利村</w:t>
            </w:r>
          </w:p>
        </w:tc>
        <w:tc>
          <w:tcPr>
            <w:tcW w:w="1859" w:type="dxa"/>
            <w:vAlign w:val="top"/>
          </w:tcPr>
          <w:p>
            <w:pPr>
              <w:kinsoku w:val="0"/>
              <w:autoSpaceDE w:val="0"/>
              <w:autoSpaceDN w:val="0"/>
              <w:adjustRightInd w:val="0"/>
              <w:snapToGrid w:val="0"/>
              <w:spacing w:before="150" w:line="181" w:lineRule="auto"/>
              <w:ind w:left="82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1"/>
                <w:kern w:val="0"/>
                <w:sz w:val="24"/>
                <w:szCs w:val="24"/>
                <w:lang w:val="en-US" w:eastAsia="en-US" w:bidi="ar-SA"/>
              </w:rPr>
              <w:t>50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51" w:line="181" w:lineRule="auto"/>
              <w:ind w:left="70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3</w:t>
            </w:r>
          </w:p>
        </w:tc>
        <w:tc>
          <w:tcPr>
            <w:tcW w:w="2563" w:type="dxa"/>
            <w:vAlign w:val="top"/>
          </w:tcPr>
          <w:p>
            <w:pPr>
              <w:kinsoku w:val="0"/>
              <w:autoSpaceDE w:val="0"/>
              <w:autoSpaceDN w:val="0"/>
              <w:adjustRightInd w:val="0"/>
              <w:snapToGrid w:val="0"/>
              <w:spacing w:before="120" w:line="216" w:lineRule="auto"/>
              <w:ind w:left="95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民主村</w:t>
            </w:r>
          </w:p>
        </w:tc>
        <w:tc>
          <w:tcPr>
            <w:tcW w:w="1859" w:type="dxa"/>
            <w:vAlign w:val="top"/>
          </w:tcPr>
          <w:p>
            <w:pPr>
              <w:kinsoku w:val="0"/>
              <w:autoSpaceDE w:val="0"/>
              <w:autoSpaceDN w:val="0"/>
              <w:adjustRightInd w:val="0"/>
              <w:snapToGrid w:val="0"/>
              <w:spacing w:before="150" w:line="180" w:lineRule="auto"/>
              <w:ind w:left="82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21</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51" w:line="180" w:lineRule="auto"/>
              <w:ind w:left="692"/>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4</w:t>
            </w:r>
          </w:p>
        </w:tc>
        <w:tc>
          <w:tcPr>
            <w:tcW w:w="2563" w:type="dxa"/>
            <w:vAlign w:val="top"/>
          </w:tcPr>
          <w:p>
            <w:pPr>
              <w:kinsoku w:val="0"/>
              <w:autoSpaceDE w:val="0"/>
              <w:autoSpaceDN w:val="0"/>
              <w:adjustRightInd w:val="0"/>
              <w:snapToGrid w:val="0"/>
              <w:spacing w:before="121" w:line="216" w:lineRule="auto"/>
              <w:ind w:left="92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3"/>
                <w:kern w:val="0"/>
                <w:sz w:val="24"/>
                <w:szCs w:val="24"/>
                <w:lang w:val="en-US" w:eastAsia="en-US" w:bidi="ar-SA"/>
              </w:rPr>
              <w:t>翻身村</w:t>
            </w:r>
          </w:p>
        </w:tc>
        <w:tc>
          <w:tcPr>
            <w:tcW w:w="1859" w:type="dxa"/>
            <w:vAlign w:val="top"/>
          </w:tcPr>
          <w:p>
            <w:pPr>
              <w:kinsoku w:val="0"/>
              <w:autoSpaceDE w:val="0"/>
              <w:autoSpaceDN w:val="0"/>
              <w:adjustRightInd w:val="0"/>
              <w:snapToGrid w:val="0"/>
              <w:spacing w:before="152"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7" w:line="178" w:lineRule="auto"/>
              <w:ind w:left="69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5</w:t>
            </w:r>
          </w:p>
        </w:tc>
        <w:tc>
          <w:tcPr>
            <w:tcW w:w="2563" w:type="dxa"/>
            <w:vAlign w:val="top"/>
          </w:tcPr>
          <w:p>
            <w:pPr>
              <w:kinsoku w:val="0"/>
              <w:autoSpaceDE w:val="0"/>
              <w:autoSpaceDN w:val="0"/>
              <w:adjustRightInd w:val="0"/>
              <w:snapToGrid w:val="0"/>
              <w:spacing w:before="121" w:line="216" w:lineRule="auto"/>
              <w:ind w:left="932"/>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上洋村</w:t>
            </w:r>
          </w:p>
        </w:tc>
        <w:tc>
          <w:tcPr>
            <w:tcW w:w="1859" w:type="dxa"/>
            <w:vAlign w:val="top"/>
          </w:tcPr>
          <w:p>
            <w:pPr>
              <w:kinsoku w:val="0"/>
              <w:autoSpaceDE w:val="0"/>
              <w:autoSpaceDN w:val="0"/>
              <w:adjustRightInd w:val="0"/>
              <w:snapToGrid w:val="0"/>
              <w:spacing w:before="153" w:line="181" w:lineRule="auto"/>
              <w:ind w:left="82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9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6</w:t>
            </w:r>
          </w:p>
        </w:tc>
        <w:tc>
          <w:tcPr>
            <w:tcW w:w="2563" w:type="dxa"/>
            <w:vAlign w:val="top"/>
          </w:tcPr>
          <w:p>
            <w:pPr>
              <w:kinsoku w:val="0"/>
              <w:autoSpaceDE w:val="0"/>
              <w:autoSpaceDN w:val="0"/>
              <w:adjustRightInd w:val="0"/>
              <w:snapToGrid w:val="0"/>
              <w:spacing w:before="122" w:line="216" w:lineRule="auto"/>
              <w:ind w:left="92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后徐村</w:t>
            </w:r>
          </w:p>
        </w:tc>
        <w:tc>
          <w:tcPr>
            <w:tcW w:w="1859" w:type="dxa"/>
            <w:vAlign w:val="top"/>
          </w:tcPr>
          <w:p>
            <w:pPr>
              <w:kinsoku w:val="0"/>
              <w:autoSpaceDE w:val="0"/>
              <w:autoSpaceDN w:val="0"/>
              <w:adjustRightInd w:val="0"/>
              <w:snapToGrid w:val="0"/>
              <w:spacing w:before="153" w:line="181" w:lineRule="auto"/>
              <w:ind w:left="82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28</w:t>
            </w:r>
          </w:p>
        </w:tc>
        <w:tc>
          <w:tcPr>
            <w:tcW w:w="2673" w:type="dxa"/>
            <w:vMerge w:val="continue"/>
            <w:tcBorders>
              <w:top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037" w:type="dxa"/>
            <w:gridSpan w:val="2"/>
            <w:vAlign w:val="top"/>
          </w:tcPr>
          <w:p>
            <w:pPr>
              <w:kinsoku w:val="0"/>
              <w:autoSpaceDE w:val="0"/>
              <w:autoSpaceDN w:val="0"/>
              <w:adjustRightInd w:val="0"/>
              <w:snapToGrid w:val="0"/>
              <w:spacing w:before="122" w:line="217" w:lineRule="auto"/>
              <w:ind w:left="178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14:textOutline w14:w="4358" w14:cap="sq" w14:cmpd="sng">
                  <w14:solidFill>
                    <w14:srgbClr w14:val="000000"/>
                  </w14:solidFill>
                  <w14:prstDash w14:val="solid"/>
                  <w14:bevel/>
                </w14:textOutline>
              </w:rPr>
              <w:t>小计</w:t>
            </w:r>
          </w:p>
        </w:tc>
        <w:tc>
          <w:tcPr>
            <w:tcW w:w="1859" w:type="dxa"/>
            <w:vAlign w:val="top"/>
          </w:tcPr>
          <w:p>
            <w:pPr>
              <w:kinsoku w:val="0"/>
              <w:autoSpaceDE w:val="0"/>
              <w:autoSpaceDN w:val="0"/>
              <w:adjustRightInd w:val="0"/>
              <w:snapToGrid w:val="0"/>
              <w:spacing w:before="153" w:line="181" w:lineRule="auto"/>
              <w:ind w:left="76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8"/>
                <w:kern w:val="0"/>
                <w:sz w:val="24"/>
                <w:szCs w:val="24"/>
                <w:lang w:val="en-US" w:eastAsia="en-US" w:bidi="ar-SA"/>
                <w14:textOutline w14:w="4358" w14:cap="sq" w14:cmpd="sng">
                  <w14:solidFill>
                    <w14:srgbClr w14:val="000000"/>
                  </w14:solidFill>
                  <w14:prstDash w14:val="solid"/>
                  <w14:bevel/>
                </w14:textOutline>
              </w:rPr>
              <w:t>191</w:t>
            </w:r>
          </w:p>
        </w:tc>
        <w:tc>
          <w:tcPr>
            <w:tcW w:w="2673" w:type="dxa"/>
            <w:vAlign w:val="top"/>
          </w:tcPr>
          <w:p>
            <w:pPr>
              <w:kinsoku w:val="0"/>
              <w:autoSpaceDE w:val="0"/>
              <w:autoSpaceDN w:val="0"/>
              <w:adjustRightInd w:val="0"/>
              <w:snapToGrid w:val="0"/>
              <w:spacing w:before="233" w:line="164" w:lineRule="exact"/>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position w:val="-3"/>
                <w:sz w:val="24"/>
                <w:szCs w:val="24"/>
                <w:lang w:val="en-US" w:eastAsia="en-US" w:bidi="ar-SA"/>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7" w:line="178" w:lineRule="auto"/>
              <w:ind w:left="69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7</w:t>
            </w:r>
          </w:p>
        </w:tc>
        <w:tc>
          <w:tcPr>
            <w:tcW w:w="2563" w:type="dxa"/>
            <w:vAlign w:val="top"/>
          </w:tcPr>
          <w:p>
            <w:pPr>
              <w:kinsoku w:val="0"/>
              <w:autoSpaceDE w:val="0"/>
              <w:autoSpaceDN w:val="0"/>
              <w:adjustRightInd w:val="0"/>
              <w:snapToGrid w:val="0"/>
              <w:spacing w:before="122" w:line="216" w:lineRule="auto"/>
              <w:ind w:left="92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3"/>
                <w:kern w:val="0"/>
                <w:sz w:val="24"/>
                <w:szCs w:val="24"/>
                <w:lang w:val="en-US" w:eastAsia="en-US" w:bidi="ar-SA"/>
              </w:rPr>
              <w:t>钱岙村</w:t>
            </w:r>
          </w:p>
        </w:tc>
        <w:tc>
          <w:tcPr>
            <w:tcW w:w="1859" w:type="dxa"/>
            <w:vAlign w:val="top"/>
          </w:tcPr>
          <w:p>
            <w:pPr>
              <w:kinsoku w:val="0"/>
              <w:autoSpaceDE w:val="0"/>
              <w:autoSpaceDN w:val="0"/>
              <w:adjustRightInd w:val="0"/>
              <w:snapToGrid w:val="0"/>
              <w:spacing w:before="153"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30</w:t>
            </w:r>
          </w:p>
        </w:tc>
        <w:tc>
          <w:tcPr>
            <w:tcW w:w="2673" w:type="dxa"/>
            <w:vMerge w:val="restart"/>
            <w:tcBorders>
              <w:bottom w:val="nil"/>
            </w:tcBorders>
            <w:vAlign w:val="top"/>
          </w:tcPr>
          <w:p>
            <w:pPr>
              <w:widowControl/>
              <w:kinsoku w:val="0"/>
              <w:autoSpaceDE w:val="0"/>
              <w:autoSpaceDN w:val="0"/>
              <w:snapToGrid w:val="0"/>
              <w:spacing w:line="248"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8"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9"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kinsoku w:val="0"/>
              <w:autoSpaceDE w:val="0"/>
              <w:autoSpaceDN w:val="0"/>
              <w:adjustRightInd w:val="0"/>
              <w:snapToGrid w:val="0"/>
              <w:spacing w:before="78" w:line="214"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14:textOutline w14:w="4358" w14:cap="sq" w14:cmpd="sng">
                  <w14:solidFill>
                    <w14:srgbClr w14:val="000000"/>
                  </w14:solidFill>
                  <w14:prstDash w14:val="solid"/>
                  <w14:bevel/>
                </w14:textOutline>
              </w:rPr>
              <w:t>自卸式后吊车清运</w:t>
            </w:r>
          </w:p>
          <w:p>
            <w:pPr>
              <w:kinsoku w:val="0"/>
              <w:autoSpaceDE w:val="0"/>
              <w:autoSpaceDN w:val="0"/>
              <w:adjustRightInd w:val="0"/>
              <w:snapToGrid w:val="0"/>
              <w:spacing w:before="121" w:line="214"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至桐山中转站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9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8</w:t>
            </w:r>
          </w:p>
        </w:tc>
        <w:tc>
          <w:tcPr>
            <w:tcW w:w="2563" w:type="dxa"/>
            <w:vAlign w:val="top"/>
          </w:tcPr>
          <w:p>
            <w:pPr>
              <w:kinsoku w:val="0"/>
              <w:autoSpaceDE w:val="0"/>
              <w:autoSpaceDN w:val="0"/>
              <w:adjustRightInd w:val="0"/>
              <w:snapToGrid w:val="0"/>
              <w:spacing w:before="122" w:line="216" w:lineRule="auto"/>
              <w:ind w:left="810"/>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4"/>
                <w:kern w:val="0"/>
                <w:sz w:val="24"/>
                <w:szCs w:val="24"/>
                <w:lang w:val="en-US" w:eastAsia="en-US" w:bidi="ar-SA"/>
              </w:rPr>
              <w:t>新西岙村</w:t>
            </w:r>
          </w:p>
        </w:tc>
        <w:tc>
          <w:tcPr>
            <w:tcW w:w="1859" w:type="dxa"/>
            <w:vAlign w:val="top"/>
          </w:tcPr>
          <w:p>
            <w:pPr>
              <w:kinsoku w:val="0"/>
              <w:autoSpaceDE w:val="0"/>
              <w:autoSpaceDN w:val="0"/>
              <w:adjustRightInd w:val="0"/>
              <w:snapToGrid w:val="0"/>
              <w:spacing w:before="152" w:line="180" w:lineRule="auto"/>
              <w:ind w:left="831"/>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12</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9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9</w:t>
            </w:r>
          </w:p>
        </w:tc>
        <w:tc>
          <w:tcPr>
            <w:tcW w:w="2563" w:type="dxa"/>
            <w:vAlign w:val="top"/>
          </w:tcPr>
          <w:p>
            <w:pPr>
              <w:kinsoku w:val="0"/>
              <w:autoSpaceDE w:val="0"/>
              <w:autoSpaceDN w:val="0"/>
              <w:adjustRightInd w:val="0"/>
              <w:snapToGrid w:val="0"/>
              <w:spacing w:before="122" w:line="216" w:lineRule="auto"/>
              <w:ind w:left="932"/>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王社村</w:t>
            </w:r>
          </w:p>
        </w:tc>
        <w:tc>
          <w:tcPr>
            <w:tcW w:w="1859" w:type="dxa"/>
            <w:vAlign w:val="top"/>
          </w:tcPr>
          <w:p>
            <w:pPr>
              <w:kinsoku w:val="0"/>
              <w:autoSpaceDE w:val="0"/>
              <w:autoSpaceDN w:val="0"/>
              <w:adjustRightInd w:val="0"/>
              <w:snapToGrid w:val="0"/>
              <w:spacing w:before="153"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35</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10</w:t>
            </w:r>
          </w:p>
        </w:tc>
        <w:tc>
          <w:tcPr>
            <w:tcW w:w="2563" w:type="dxa"/>
            <w:vAlign w:val="top"/>
          </w:tcPr>
          <w:p>
            <w:pPr>
              <w:kinsoku w:val="0"/>
              <w:autoSpaceDE w:val="0"/>
              <w:autoSpaceDN w:val="0"/>
              <w:adjustRightInd w:val="0"/>
              <w:snapToGrid w:val="0"/>
              <w:spacing w:before="122" w:line="218" w:lineRule="auto"/>
              <w:ind w:left="927"/>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4"/>
                <w:kern w:val="0"/>
                <w:sz w:val="24"/>
                <w:szCs w:val="24"/>
                <w:lang w:val="en-US" w:eastAsia="en-US" w:bidi="ar-SA"/>
              </w:rPr>
              <w:t>竹口储</w:t>
            </w:r>
          </w:p>
        </w:tc>
        <w:tc>
          <w:tcPr>
            <w:tcW w:w="1859" w:type="dxa"/>
            <w:vAlign w:val="top"/>
          </w:tcPr>
          <w:p>
            <w:pPr>
              <w:kinsoku w:val="0"/>
              <w:autoSpaceDE w:val="0"/>
              <w:autoSpaceDN w:val="0"/>
              <w:adjustRightInd w:val="0"/>
              <w:snapToGrid w:val="0"/>
              <w:spacing w:before="153"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2" w:line="180"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11</w:t>
            </w:r>
          </w:p>
        </w:tc>
        <w:tc>
          <w:tcPr>
            <w:tcW w:w="2563" w:type="dxa"/>
            <w:vAlign w:val="top"/>
          </w:tcPr>
          <w:p>
            <w:pPr>
              <w:kinsoku w:val="0"/>
              <w:autoSpaceDE w:val="0"/>
              <w:autoSpaceDN w:val="0"/>
              <w:adjustRightInd w:val="0"/>
              <w:snapToGrid w:val="0"/>
              <w:spacing w:before="121" w:line="216" w:lineRule="auto"/>
              <w:ind w:left="937"/>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7"/>
                <w:kern w:val="0"/>
                <w:sz w:val="24"/>
                <w:szCs w:val="24"/>
                <w:lang w:val="en-US" w:eastAsia="en-US" w:bidi="ar-SA"/>
              </w:rPr>
              <w:t>西洋村</w:t>
            </w:r>
          </w:p>
        </w:tc>
        <w:tc>
          <w:tcPr>
            <w:tcW w:w="1859" w:type="dxa"/>
            <w:vAlign w:val="top"/>
          </w:tcPr>
          <w:p>
            <w:pPr>
              <w:kinsoku w:val="0"/>
              <w:autoSpaceDE w:val="0"/>
              <w:autoSpaceDN w:val="0"/>
              <w:adjustRightInd w:val="0"/>
              <w:snapToGrid w:val="0"/>
              <w:spacing w:before="153" w:line="181" w:lineRule="auto"/>
              <w:ind w:left="824"/>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9"/>
                <w:kern w:val="0"/>
                <w:sz w:val="24"/>
                <w:szCs w:val="24"/>
                <w:lang w:val="en-US" w:eastAsia="en-US" w:bidi="ar-SA"/>
              </w:rPr>
              <w:t>40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2" w:line="180"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12</w:t>
            </w:r>
          </w:p>
        </w:tc>
        <w:tc>
          <w:tcPr>
            <w:tcW w:w="2563" w:type="dxa"/>
            <w:vAlign w:val="top"/>
          </w:tcPr>
          <w:p>
            <w:pPr>
              <w:kinsoku w:val="0"/>
              <w:autoSpaceDE w:val="0"/>
              <w:autoSpaceDN w:val="0"/>
              <w:adjustRightInd w:val="0"/>
              <w:snapToGrid w:val="0"/>
              <w:spacing w:before="122" w:line="216" w:lineRule="auto"/>
              <w:ind w:left="93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7"/>
                <w:kern w:val="0"/>
                <w:sz w:val="24"/>
                <w:szCs w:val="24"/>
                <w:lang w:val="en-US" w:eastAsia="en-US" w:bidi="ar-SA"/>
              </w:rPr>
              <w:t>大房村</w:t>
            </w:r>
          </w:p>
        </w:tc>
        <w:tc>
          <w:tcPr>
            <w:tcW w:w="1859" w:type="dxa"/>
            <w:vAlign w:val="top"/>
          </w:tcPr>
          <w:p>
            <w:pPr>
              <w:kinsoku w:val="0"/>
              <w:autoSpaceDE w:val="0"/>
              <w:autoSpaceDN w:val="0"/>
              <w:adjustRightInd w:val="0"/>
              <w:snapToGrid w:val="0"/>
              <w:spacing w:before="153" w:line="181" w:lineRule="auto"/>
              <w:ind w:left="82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1"/>
                <w:kern w:val="0"/>
                <w:sz w:val="24"/>
                <w:szCs w:val="24"/>
                <w:lang w:val="en-US" w:eastAsia="en-US" w:bidi="ar-SA"/>
              </w:rPr>
              <w:t>50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13</w:t>
            </w:r>
          </w:p>
        </w:tc>
        <w:tc>
          <w:tcPr>
            <w:tcW w:w="2563" w:type="dxa"/>
            <w:vAlign w:val="top"/>
          </w:tcPr>
          <w:p>
            <w:pPr>
              <w:kinsoku w:val="0"/>
              <w:autoSpaceDE w:val="0"/>
              <w:autoSpaceDN w:val="0"/>
              <w:adjustRightInd w:val="0"/>
              <w:snapToGrid w:val="0"/>
              <w:spacing w:before="122" w:line="216" w:lineRule="auto"/>
              <w:ind w:left="92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塘溪村</w:t>
            </w:r>
          </w:p>
        </w:tc>
        <w:tc>
          <w:tcPr>
            <w:tcW w:w="1859" w:type="dxa"/>
            <w:vAlign w:val="top"/>
          </w:tcPr>
          <w:p>
            <w:pPr>
              <w:kinsoku w:val="0"/>
              <w:autoSpaceDE w:val="0"/>
              <w:autoSpaceDN w:val="0"/>
              <w:adjustRightInd w:val="0"/>
              <w:snapToGrid w:val="0"/>
              <w:spacing w:before="153" w:line="181" w:lineRule="auto"/>
              <w:ind w:left="771"/>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9"/>
                <w:kern w:val="0"/>
                <w:sz w:val="24"/>
                <w:szCs w:val="24"/>
                <w:lang w:val="en-US" w:eastAsia="en-US" w:bidi="ar-SA"/>
              </w:rPr>
              <w:t>125</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2" w:line="180"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14</w:t>
            </w:r>
          </w:p>
        </w:tc>
        <w:tc>
          <w:tcPr>
            <w:tcW w:w="2563" w:type="dxa"/>
            <w:vAlign w:val="top"/>
          </w:tcPr>
          <w:p>
            <w:pPr>
              <w:kinsoku w:val="0"/>
              <w:autoSpaceDE w:val="0"/>
              <w:autoSpaceDN w:val="0"/>
              <w:adjustRightInd w:val="0"/>
              <w:snapToGrid w:val="0"/>
              <w:spacing w:before="121" w:line="216" w:lineRule="auto"/>
              <w:ind w:left="81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下洋葛村</w:t>
            </w:r>
          </w:p>
        </w:tc>
        <w:tc>
          <w:tcPr>
            <w:tcW w:w="1859" w:type="dxa"/>
            <w:vAlign w:val="top"/>
          </w:tcPr>
          <w:p>
            <w:pPr>
              <w:kinsoku w:val="0"/>
              <w:autoSpaceDE w:val="0"/>
              <w:autoSpaceDN w:val="0"/>
              <w:adjustRightInd w:val="0"/>
              <w:snapToGrid w:val="0"/>
              <w:spacing w:before="153"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15</w:t>
            </w:r>
          </w:p>
        </w:tc>
        <w:tc>
          <w:tcPr>
            <w:tcW w:w="2563" w:type="dxa"/>
            <w:vAlign w:val="top"/>
          </w:tcPr>
          <w:p>
            <w:pPr>
              <w:kinsoku w:val="0"/>
              <w:autoSpaceDE w:val="0"/>
              <w:autoSpaceDN w:val="0"/>
              <w:adjustRightInd w:val="0"/>
              <w:snapToGrid w:val="0"/>
              <w:spacing w:before="121" w:line="216" w:lineRule="auto"/>
              <w:ind w:left="81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下洋顾村</w:t>
            </w:r>
          </w:p>
        </w:tc>
        <w:tc>
          <w:tcPr>
            <w:tcW w:w="1859" w:type="dxa"/>
            <w:vAlign w:val="top"/>
          </w:tcPr>
          <w:p>
            <w:pPr>
              <w:kinsoku w:val="0"/>
              <w:autoSpaceDE w:val="0"/>
              <w:autoSpaceDN w:val="0"/>
              <w:adjustRightInd w:val="0"/>
              <w:snapToGrid w:val="0"/>
              <w:spacing w:before="153" w:line="181" w:lineRule="auto"/>
              <w:ind w:left="827"/>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1"/>
                <w:kern w:val="0"/>
                <w:sz w:val="24"/>
                <w:szCs w:val="24"/>
                <w:lang w:val="en-US" w:eastAsia="en-US" w:bidi="ar-SA"/>
              </w:rPr>
              <w:t>65</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16</w:t>
            </w:r>
          </w:p>
        </w:tc>
        <w:tc>
          <w:tcPr>
            <w:tcW w:w="2563" w:type="dxa"/>
            <w:vAlign w:val="top"/>
          </w:tcPr>
          <w:p>
            <w:pPr>
              <w:kinsoku w:val="0"/>
              <w:autoSpaceDE w:val="0"/>
              <w:autoSpaceDN w:val="0"/>
              <w:adjustRightInd w:val="0"/>
              <w:snapToGrid w:val="0"/>
              <w:spacing w:before="122" w:line="216" w:lineRule="auto"/>
              <w:ind w:left="81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瓦窑头村</w:t>
            </w:r>
          </w:p>
        </w:tc>
        <w:tc>
          <w:tcPr>
            <w:tcW w:w="1859" w:type="dxa"/>
            <w:vAlign w:val="top"/>
          </w:tcPr>
          <w:p>
            <w:pPr>
              <w:kinsoku w:val="0"/>
              <w:autoSpaceDE w:val="0"/>
              <w:autoSpaceDN w:val="0"/>
              <w:adjustRightInd w:val="0"/>
              <w:snapToGrid w:val="0"/>
              <w:spacing w:before="153" w:line="181" w:lineRule="auto"/>
              <w:ind w:left="831"/>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10</w:t>
            </w:r>
          </w:p>
        </w:tc>
        <w:tc>
          <w:tcPr>
            <w:tcW w:w="2673" w:type="dxa"/>
            <w:vMerge w:val="continue"/>
            <w:tcBorders>
              <w:top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037" w:type="dxa"/>
            <w:gridSpan w:val="2"/>
            <w:vAlign w:val="top"/>
          </w:tcPr>
          <w:p>
            <w:pPr>
              <w:kinsoku w:val="0"/>
              <w:autoSpaceDE w:val="0"/>
              <w:autoSpaceDN w:val="0"/>
              <w:adjustRightInd w:val="0"/>
              <w:snapToGrid w:val="0"/>
              <w:spacing w:before="122" w:line="217" w:lineRule="auto"/>
              <w:ind w:left="178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14:textOutline w14:w="4358" w14:cap="sq" w14:cmpd="sng">
                  <w14:solidFill>
                    <w14:srgbClr w14:val="000000"/>
                  </w14:solidFill>
                  <w14:prstDash w14:val="solid"/>
                  <w14:bevel/>
                </w14:textOutline>
              </w:rPr>
              <w:t>小计</w:t>
            </w:r>
          </w:p>
        </w:tc>
        <w:tc>
          <w:tcPr>
            <w:tcW w:w="1859" w:type="dxa"/>
            <w:vAlign w:val="top"/>
          </w:tcPr>
          <w:p>
            <w:pPr>
              <w:kinsoku w:val="0"/>
              <w:autoSpaceDE w:val="0"/>
              <w:autoSpaceDN w:val="0"/>
              <w:adjustRightInd w:val="0"/>
              <w:snapToGrid w:val="0"/>
              <w:spacing w:before="153" w:line="181" w:lineRule="auto"/>
              <w:ind w:left="762"/>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14:textOutline w14:w="4358" w14:cap="sq" w14:cmpd="sng">
                  <w14:solidFill>
                    <w14:srgbClr w14:val="000000"/>
                  </w14:solidFill>
                  <w14:prstDash w14:val="solid"/>
                  <w14:bevel/>
                </w14:textOutline>
              </w:rPr>
              <w:t>427</w:t>
            </w:r>
          </w:p>
        </w:tc>
        <w:tc>
          <w:tcPr>
            <w:tcW w:w="2673" w:type="dxa"/>
            <w:vAlign w:val="top"/>
          </w:tcPr>
          <w:p>
            <w:pPr>
              <w:kinsoku w:val="0"/>
              <w:autoSpaceDE w:val="0"/>
              <w:autoSpaceDN w:val="0"/>
              <w:adjustRightInd w:val="0"/>
              <w:snapToGrid w:val="0"/>
              <w:spacing w:before="233" w:line="164" w:lineRule="exact"/>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position w:val="-3"/>
                <w:sz w:val="24"/>
                <w:szCs w:val="24"/>
                <w:lang w:val="en-US" w:eastAsia="en-US" w:bidi="ar-SA"/>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17</w:t>
            </w:r>
          </w:p>
        </w:tc>
        <w:tc>
          <w:tcPr>
            <w:tcW w:w="2563" w:type="dxa"/>
            <w:vAlign w:val="top"/>
          </w:tcPr>
          <w:p>
            <w:pPr>
              <w:kinsoku w:val="0"/>
              <w:autoSpaceDE w:val="0"/>
              <w:autoSpaceDN w:val="0"/>
              <w:adjustRightInd w:val="0"/>
              <w:snapToGrid w:val="0"/>
              <w:spacing w:before="122" w:line="216" w:lineRule="auto"/>
              <w:ind w:left="81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石家岙村</w:t>
            </w:r>
          </w:p>
        </w:tc>
        <w:tc>
          <w:tcPr>
            <w:tcW w:w="1859" w:type="dxa"/>
            <w:vAlign w:val="top"/>
          </w:tcPr>
          <w:p>
            <w:pPr>
              <w:kinsoku w:val="0"/>
              <w:autoSpaceDE w:val="0"/>
              <w:autoSpaceDN w:val="0"/>
              <w:adjustRightInd w:val="0"/>
              <w:snapToGrid w:val="0"/>
              <w:spacing w:before="153" w:line="181" w:lineRule="auto"/>
              <w:ind w:left="831"/>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17</w:t>
            </w:r>
          </w:p>
        </w:tc>
        <w:tc>
          <w:tcPr>
            <w:tcW w:w="2673" w:type="dxa"/>
            <w:vMerge w:val="restart"/>
            <w:tcBorders>
              <w:bottom w:val="nil"/>
            </w:tcBorders>
            <w:vAlign w:val="top"/>
          </w:tcPr>
          <w:p>
            <w:pPr>
              <w:widowControl/>
              <w:kinsoku w:val="0"/>
              <w:autoSpaceDE w:val="0"/>
              <w:autoSpaceDN w:val="0"/>
              <w:snapToGrid w:val="0"/>
              <w:spacing w:line="245"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6"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6"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6"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widowControl/>
              <w:kinsoku w:val="0"/>
              <w:autoSpaceDE w:val="0"/>
              <w:autoSpaceDN w:val="0"/>
              <w:snapToGrid w:val="0"/>
              <w:spacing w:line="246"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p>
            <w:pPr>
              <w:kinsoku w:val="0"/>
              <w:autoSpaceDE w:val="0"/>
              <w:autoSpaceDN w:val="0"/>
              <w:adjustRightInd w:val="0"/>
              <w:snapToGrid w:val="0"/>
              <w:spacing w:before="78" w:line="214" w:lineRule="auto"/>
              <w:jc w:val="center"/>
              <w:textAlignment w:val="baseline"/>
              <w:rPr>
                <w:rFonts w:hint="eastAsia" w:asciiTheme="minorEastAsia" w:hAnsiTheme="minorEastAsia" w:eastAsiaTheme="minorEastAsia" w:cstheme="minorEastAsia"/>
                <w:snapToGrid w:val="0"/>
                <w:color w:val="auto"/>
                <w:spacing w:val="-4"/>
                <w:kern w:val="0"/>
                <w:sz w:val="24"/>
                <w:szCs w:val="24"/>
                <w:lang w:val="en-US" w:eastAsia="en-US" w:bidi="ar-SA"/>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snapToGrid w:val="0"/>
                <w:color w:val="auto"/>
                <w:spacing w:val="-4"/>
                <w:kern w:val="0"/>
                <w:sz w:val="24"/>
                <w:szCs w:val="24"/>
                <w:lang w:val="en-US" w:eastAsia="en-US" w:bidi="ar-SA"/>
                <w14:textOutline w14:w="4358" w14:cap="sq" w14:cmpd="sng">
                  <w14:solidFill>
                    <w14:srgbClr w14:val="000000"/>
                  </w14:solidFill>
                  <w14:prstDash w14:val="solid"/>
                  <w14:bevel/>
                </w14:textOutline>
              </w:rPr>
              <w:t>以桶换桶</w:t>
            </w:r>
          </w:p>
          <w:p>
            <w:pPr>
              <w:kinsoku w:val="0"/>
              <w:autoSpaceDE w:val="0"/>
              <w:autoSpaceDN w:val="0"/>
              <w:adjustRightInd w:val="0"/>
              <w:snapToGrid w:val="0"/>
              <w:spacing w:before="78" w:line="214" w:lineRule="auto"/>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4"/>
                <w:kern w:val="0"/>
                <w:sz w:val="24"/>
                <w:szCs w:val="24"/>
                <w:lang w:val="en-US" w:eastAsia="en-US" w:bidi="ar-SA"/>
              </w:rPr>
              <w:t>运送至物流中转站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18</w:t>
            </w:r>
          </w:p>
        </w:tc>
        <w:tc>
          <w:tcPr>
            <w:tcW w:w="2563" w:type="dxa"/>
            <w:vAlign w:val="top"/>
          </w:tcPr>
          <w:p>
            <w:pPr>
              <w:kinsoku w:val="0"/>
              <w:autoSpaceDE w:val="0"/>
              <w:autoSpaceDN w:val="0"/>
              <w:adjustRightInd w:val="0"/>
              <w:snapToGrid w:val="0"/>
              <w:spacing w:before="122" w:line="216" w:lineRule="auto"/>
              <w:ind w:left="81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5"/>
                <w:kern w:val="0"/>
                <w:sz w:val="24"/>
                <w:szCs w:val="24"/>
                <w:lang w:val="en-US" w:eastAsia="en-US" w:bidi="ar-SA"/>
              </w:rPr>
              <w:t>溪旁徐村</w:t>
            </w:r>
          </w:p>
        </w:tc>
        <w:tc>
          <w:tcPr>
            <w:tcW w:w="1859" w:type="dxa"/>
            <w:vAlign w:val="top"/>
          </w:tcPr>
          <w:p>
            <w:pPr>
              <w:kinsoku w:val="0"/>
              <w:autoSpaceDE w:val="0"/>
              <w:autoSpaceDN w:val="0"/>
              <w:adjustRightInd w:val="0"/>
              <w:snapToGrid w:val="0"/>
              <w:spacing w:before="153" w:line="181" w:lineRule="auto"/>
              <w:ind w:left="831"/>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16</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3"/>
                <w:kern w:val="0"/>
                <w:sz w:val="24"/>
                <w:szCs w:val="24"/>
                <w:lang w:val="en-US" w:eastAsia="en-US" w:bidi="ar-SA"/>
              </w:rPr>
              <w:t>19</w:t>
            </w:r>
          </w:p>
        </w:tc>
        <w:tc>
          <w:tcPr>
            <w:tcW w:w="2563" w:type="dxa"/>
            <w:vAlign w:val="top"/>
          </w:tcPr>
          <w:p>
            <w:pPr>
              <w:kinsoku w:val="0"/>
              <w:autoSpaceDE w:val="0"/>
              <w:autoSpaceDN w:val="0"/>
              <w:adjustRightInd w:val="0"/>
              <w:snapToGrid w:val="0"/>
              <w:spacing w:before="122" w:line="218" w:lineRule="auto"/>
              <w:ind w:left="104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7"/>
                <w:kern w:val="0"/>
                <w:sz w:val="24"/>
                <w:szCs w:val="24"/>
                <w:lang w:val="en-US" w:eastAsia="en-US" w:bidi="ar-SA"/>
              </w:rPr>
              <w:t>后丁</w:t>
            </w:r>
          </w:p>
        </w:tc>
        <w:tc>
          <w:tcPr>
            <w:tcW w:w="1859" w:type="dxa"/>
            <w:vAlign w:val="top"/>
          </w:tcPr>
          <w:p>
            <w:pPr>
              <w:kinsoku w:val="0"/>
              <w:autoSpaceDE w:val="0"/>
              <w:autoSpaceDN w:val="0"/>
              <w:adjustRightInd w:val="0"/>
              <w:snapToGrid w:val="0"/>
              <w:spacing w:before="152" w:line="180" w:lineRule="auto"/>
              <w:ind w:left="884"/>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4</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20</w:t>
            </w:r>
          </w:p>
        </w:tc>
        <w:tc>
          <w:tcPr>
            <w:tcW w:w="2563" w:type="dxa"/>
            <w:vAlign w:val="top"/>
          </w:tcPr>
          <w:p>
            <w:pPr>
              <w:kinsoku w:val="0"/>
              <w:autoSpaceDE w:val="0"/>
              <w:autoSpaceDN w:val="0"/>
              <w:adjustRightInd w:val="0"/>
              <w:snapToGrid w:val="0"/>
              <w:spacing w:before="122" w:line="216" w:lineRule="auto"/>
              <w:ind w:left="92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4"/>
                <w:kern w:val="0"/>
                <w:sz w:val="24"/>
                <w:szCs w:val="24"/>
                <w:lang w:val="en-US" w:eastAsia="en-US" w:bidi="ar-SA"/>
              </w:rPr>
              <w:t>杏蒋村</w:t>
            </w:r>
          </w:p>
        </w:tc>
        <w:tc>
          <w:tcPr>
            <w:tcW w:w="1859" w:type="dxa"/>
            <w:vAlign w:val="top"/>
          </w:tcPr>
          <w:p>
            <w:pPr>
              <w:kinsoku w:val="0"/>
              <w:autoSpaceDE w:val="0"/>
              <w:autoSpaceDN w:val="0"/>
              <w:adjustRightInd w:val="0"/>
              <w:snapToGrid w:val="0"/>
              <w:spacing w:before="153" w:line="181" w:lineRule="auto"/>
              <w:ind w:left="82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1"/>
                <w:kern w:val="0"/>
                <w:sz w:val="24"/>
                <w:szCs w:val="24"/>
                <w:lang w:val="en-US" w:eastAsia="en-US" w:bidi="ar-SA"/>
              </w:rPr>
              <w:t>50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2" w:line="180" w:lineRule="auto"/>
              <w:ind w:left="6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21</w:t>
            </w:r>
          </w:p>
        </w:tc>
        <w:tc>
          <w:tcPr>
            <w:tcW w:w="2563" w:type="dxa"/>
            <w:vAlign w:val="top"/>
          </w:tcPr>
          <w:p>
            <w:pPr>
              <w:kinsoku w:val="0"/>
              <w:autoSpaceDE w:val="0"/>
              <w:autoSpaceDN w:val="0"/>
              <w:adjustRightInd w:val="0"/>
              <w:snapToGrid w:val="0"/>
              <w:spacing w:before="122" w:line="217" w:lineRule="auto"/>
              <w:ind w:left="104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横金</w:t>
            </w:r>
          </w:p>
        </w:tc>
        <w:tc>
          <w:tcPr>
            <w:tcW w:w="1859" w:type="dxa"/>
            <w:vAlign w:val="top"/>
          </w:tcPr>
          <w:p>
            <w:pPr>
              <w:kinsoku w:val="0"/>
              <w:autoSpaceDE w:val="0"/>
              <w:autoSpaceDN w:val="0"/>
              <w:adjustRightInd w:val="0"/>
              <w:snapToGrid w:val="0"/>
              <w:spacing w:before="153" w:line="181" w:lineRule="auto"/>
              <w:ind w:left="89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sz w:val="24"/>
                <w:szCs w:val="24"/>
                <w:lang w:val="en-US" w:eastAsia="en-US" w:bidi="ar-SA"/>
              </w:rPr>
              <w:t>3</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2" w:line="180" w:lineRule="auto"/>
              <w:ind w:left="6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22</w:t>
            </w:r>
          </w:p>
        </w:tc>
        <w:tc>
          <w:tcPr>
            <w:tcW w:w="2563" w:type="dxa"/>
            <w:vAlign w:val="top"/>
          </w:tcPr>
          <w:p>
            <w:pPr>
              <w:kinsoku w:val="0"/>
              <w:autoSpaceDE w:val="0"/>
              <w:autoSpaceDN w:val="0"/>
              <w:adjustRightInd w:val="0"/>
              <w:snapToGrid w:val="0"/>
              <w:spacing w:before="122" w:line="216" w:lineRule="auto"/>
              <w:ind w:left="936"/>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7"/>
                <w:kern w:val="0"/>
                <w:sz w:val="24"/>
                <w:szCs w:val="24"/>
                <w:lang w:val="en-US" w:eastAsia="en-US" w:bidi="ar-SA"/>
              </w:rPr>
              <w:t>大金村</w:t>
            </w:r>
          </w:p>
        </w:tc>
        <w:tc>
          <w:tcPr>
            <w:tcW w:w="1859" w:type="dxa"/>
            <w:vAlign w:val="top"/>
          </w:tcPr>
          <w:p>
            <w:pPr>
              <w:kinsoku w:val="0"/>
              <w:autoSpaceDE w:val="0"/>
              <w:autoSpaceDN w:val="0"/>
              <w:adjustRightInd w:val="0"/>
              <w:snapToGrid w:val="0"/>
              <w:spacing w:before="153" w:line="181" w:lineRule="auto"/>
              <w:ind w:left="827"/>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1"/>
                <w:kern w:val="0"/>
                <w:sz w:val="24"/>
                <w:szCs w:val="24"/>
                <w:lang w:val="en-US" w:eastAsia="en-US" w:bidi="ar-SA"/>
              </w:rPr>
              <w:t>60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0"/>
                <w:kern w:val="0"/>
                <w:sz w:val="24"/>
                <w:szCs w:val="24"/>
                <w:lang w:val="en-US" w:eastAsia="en-US" w:bidi="ar-SA"/>
              </w:rPr>
              <w:t>23</w:t>
            </w:r>
          </w:p>
        </w:tc>
        <w:tc>
          <w:tcPr>
            <w:tcW w:w="2563" w:type="dxa"/>
            <w:vAlign w:val="top"/>
          </w:tcPr>
          <w:p>
            <w:pPr>
              <w:kinsoku w:val="0"/>
              <w:autoSpaceDE w:val="0"/>
              <w:autoSpaceDN w:val="0"/>
              <w:adjustRightInd w:val="0"/>
              <w:snapToGrid w:val="0"/>
              <w:spacing w:before="122" w:line="216" w:lineRule="auto"/>
              <w:ind w:left="933"/>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rPr>
              <w:t>前黄村</w:t>
            </w:r>
          </w:p>
        </w:tc>
        <w:tc>
          <w:tcPr>
            <w:tcW w:w="1859" w:type="dxa"/>
            <w:vAlign w:val="top"/>
          </w:tcPr>
          <w:p>
            <w:pPr>
              <w:kinsoku w:val="0"/>
              <w:autoSpaceDE w:val="0"/>
              <w:autoSpaceDN w:val="0"/>
              <w:adjustRightInd w:val="0"/>
              <w:snapToGrid w:val="0"/>
              <w:spacing w:before="153" w:line="181" w:lineRule="auto"/>
              <w:ind w:left="835"/>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15"/>
                <w:kern w:val="0"/>
                <w:sz w:val="24"/>
                <w:szCs w:val="24"/>
                <w:lang w:val="en-US" w:eastAsia="en-US" w:bidi="ar-SA"/>
              </w:rPr>
              <w:t>36</w:t>
            </w:r>
          </w:p>
        </w:tc>
        <w:tc>
          <w:tcPr>
            <w:tcW w:w="2673" w:type="dxa"/>
            <w:vMerge w:val="continue"/>
            <w:tcBorders>
              <w:top w:val="nil"/>
            </w:tcBorders>
            <w:vAlign w:val="top"/>
          </w:tcPr>
          <w:p>
            <w:pPr>
              <w:widowControl/>
              <w:kinsoku w:val="0"/>
              <w:autoSpaceDE w:val="0"/>
              <w:autoSpaceDN w:val="0"/>
              <w:snapToGrid w:val="0"/>
              <w:spacing w:line="240" w:lineRule="auto"/>
              <w:jc w:val="center"/>
              <w:textAlignment w:val="baseline"/>
              <w:rPr>
                <w:rFonts w:hint="eastAsia" w:asciiTheme="minorEastAsia" w:hAnsiTheme="minorEastAsia" w:eastAsiaTheme="minorEastAsia" w:cstheme="minorEastAsia"/>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4037" w:type="dxa"/>
            <w:gridSpan w:val="2"/>
            <w:vAlign w:val="top"/>
          </w:tcPr>
          <w:p>
            <w:pPr>
              <w:kinsoku w:val="0"/>
              <w:autoSpaceDE w:val="0"/>
              <w:autoSpaceDN w:val="0"/>
              <w:adjustRightInd w:val="0"/>
              <w:snapToGrid w:val="0"/>
              <w:spacing w:before="122" w:line="217" w:lineRule="auto"/>
              <w:ind w:left="1788"/>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6"/>
                <w:kern w:val="0"/>
                <w:sz w:val="24"/>
                <w:szCs w:val="24"/>
                <w:lang w:val="en-US" w:eastAsia="en-US" w:bidi="ar-SA"/>
                <w14:textOutline w14:w="4358" w14:cap="sq" w14:cmpd="sng">
                  <w14:solidFill>
                    <w14:srgbClr w14:val="000000"/>
                  </w14:solidFill>
                  <w14:prstDash w14:val="solid"/>
                  <w14:bevel/>
                </w14:textOutline>
              </w:rPr>
              <w:t>小计</w:t>
            </w:r>
          </w:p>
        </w:tc>
        <w:tc>
          <w:tcPr>
            <w:tcW w:w="1859" w:type="dxa"/>
            <w:vAlign w:val="top"/>
          </w:tcPr>
          <w:p>
            <w:pPr>
              <w:kinsoku w:val="0"/>
              <w:autoSpaceDE w:val="0"/>
              <w:autoSpaceDN w:val="0"/>
              <w:adjustRightInd w:val="0"/>
              <w:snapToGrid w:val="0"/>
              <w:spacing w:before="153" w:line="181" w:lineRule="auto"/>
              <w:ind w:left="769"/>
              <w:jc w:val="left"/>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spacing w:val="-8"/>
                <w:kern w:val="0"/>
                <w:sz w:val="24"/>
                <w:szCs w:val="24"/>
                <w:lang w:val="en-US" w:eastAsia="en-US" w:bidi="ar-SA"/>
                <w14:textOutline w14:w="4358" w14:cap="sq" w14:cmpd="sng">
                  <w14:solidFill>
                    <w14:srgbClr w14:val="000000"/>
                  </w14:solidFill>
                  <w14:prstDash w14:val="solid"/>
                  <w14:bevel/>
                </w14:textOutline>
              </w:rPr>
              <w:t>186</w:t>
            </w:r>
          </w:p>
        </w:tc>
        <w:tc>
          <w:tcPr>
            <w:tcW w:w="2673" w:type="dxa"/>
            <w:vAlign w:val="top"/>
          </w:tcPr>
          <w:p>
            <w:pPr>
              <w:kinsoku w:val="0"/>
              <w:autoSpaceDE w:val="0"/>
              <w:autoSpaceDN w:val="0"/>
              <w:adjustRightInd w:val="0"/>
              <w:snapToGrid w:val="0"/>
              <w:spacing w:before="233" w:line="164" w:lineRule="exact"/>
              <w:jc w:val="center"/>
              <w:textAlignment w:val="baseline"/>
              <w:rPr>
                <w:rFonts w:hint="eastAsia" w:asciiTheme="minorEastAsia" w:hAnsiTheme="minorEastAsia" w:eastAsiaTheme="minorEastAsia" w:cstheme="minorEastAsia"/>
                <w:snapToGrid w:val="0"/>
                <w:color w:val="auto"/>
                <w:kern w:val="0"/>
                <w:sz w:val="24"/>
                <w:szCs w:val="24"/>
                <w:lang w:val="en-US" w:eastAsia="en-US" w:bidi="ar-SA"/>
              </w:rPr>
            </w:pPr>
            <w:r>
              <w:rPr>
                <w:rFonts w:hint="eastAsia" w:asciiTheme="minorEastAsia" w:hAnsiTheme="minorEastAsia" w:eastAsiaTheme="minorEastAsia" w:cstheme="minorEastAsia"/>
                <w:snapToGrid w:val="0"/>
                <w:color w:val="auto"/>
                <w:kern w:val="0"/>
                <w:position w:val="-3"/>
                <w:sz w:val="24"/>
                <w:szCs w:val="24"/>
                <w:lang w:val="en-US" w:eastAsia="en-US" w:bidi="ar-SA"/>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474" w:type="dxa"/>
            <w:vAlign w:val="top"/>
          </w:tcPr>
          <w:p>
            <w:pPr>
              <w:kinsoku w:val="0"/>
              <w:autoSpaceDE w:val="0"/>
              <w:autoSpaceDN w:val="0"/>
              <w:adjustRightInd w:val="0"/>
              <w:snapToGrid w:val="0"/>
              <w:spacing w:before="153" w:line="180"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24</w:t>
            </w:r>
          </w:p>
        </w:tc>
        <w:tc>
          <w:tcPr>
            <w:tcW w:w="2563" w:type="dxa"/>
            <w:vAlign w:val="top"/>
          </w:tcPr>
          <w:p>
            <w:pPr>
              <w:kinsoku w:val="0"/>
              <w:autoSpaceDE w:val="0"/>
              <w:autoSpaceDN w:val="0"/>
              <w:adjustRightInd w:val="0"/>
              <w:snapToGrid w:val="0"/>
              <w:spacing w:before="122" w:line="216" w:lineRule="auto"/>
              <w:ind w:left="812"/>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应家山村</w:t>
            </w:r>
          </w:p>
        </w:tc>
        <w:tc>
          <w:tcPr>
            <w:tcW w:w="1859" w:type="dxa"/>
            <w:vAlign w:val="top"/>
          </w:tcPr>
          <w:p>
            <w:pPr>
              <w:kinsoku w:val="0"/>
              <w:autoSpaceDE w:val="0"/>
              <w:autoSpaceDN w:val="0"/>
              <w:adjustRightInd w:val="0"/>
              <w:snapToGrid w:val="0"/>
              <w:spacing w:before="153" w:line="181" w:lineRule="auto"/>
              <w:ind w:left="771"/>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9"/>
                <w:kern w:val="0"/>
                <w:sz w:val="24"/>
                <w:szCs w:val="24"/>
                <w:lang w:val="en-US" w:eastAsia="en-US" w:bidi="ar-SA"/>
              </w:rPr>
              <w:t>100</w:t>
            </w:r>
          </w:p>
        </w:tc>
        <w:tc>
          <w:tcPr>
            <w:tcW w:w="2673" w:type="dxa"/>
            <w:vMerge w:val="restart"/>
            <w:tcBorders>
              <w:bottom w:val="nil"/>
            </w:tcBorders>
            <w:vAlign w:val="top"/>
          </w:tcPr>
          <w:p>
            <w:pPr>
              <w:widowControl/>
              <w:kinsoku w:val="0"/>
              <w:autoSpaceDE w:val="0"/>
              <w:autoSpaceDN w:val="0"/>
              <w:snapToGrid w:val="0"/>
              <w:spacing w:line="244"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4"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ascii="Arial" w:hAnsi="Arial" w:eastAsia="Arial" w:cs="Arial"/>
                <w:snapToGrid w:val="0"/>
                <w:color w:val="auto"/>
                <w:kern w:val="0"/>
                <w:sz w:val="21"/>
                <w:szCs w:val="21"/>
                <w:lang w:eastAsia="en-US"/>
              </w:rPr>
            </w:pPr>
          </w:p>
          <w:p>
            <w:pPr>
              <w:widowControl/>
              <w:kinsoku w:val="0"/>
              <w:autoSpaceDE w:val="0"/>
              <w:autoSpaceDN w:val="0"/>
              <w:snapToGrid w:val="0"/>
              <w:spacing w:line="245" w:lineRule="auto"/>
              <w:jc w:val="center"/>
              <w:textAlignment w:val="baseline"/>
              <w:rPr>
                <w:rFonts w:ascii="Arial" w:hAnsi="Arial" w:eastAsia="Arial" w:cs="Arial"/>
                <w:snapToGrid w:val="0"/>
                <w:color w:val="auto"/>
                <w:kern w:val="0"/>
                <w:sz w:val="21"/>
                <w:szCs w:val="21"/>
                <w:lang w:eastAsia="en-US"/>
              </w:rPr>
            </w:pPr>
          </w:p>
          <w:p>
            <w:pPr>
              <w:kinsoku w:val="0"/>
              <w:autoSpaceDE w:val="0"/>
              <w:autoSpaceDN w:val="0"/>
              <w:adjustRightInd w:val="0"/>
              <w:snapToGrid w:val="0"/>
              <w:spacing w:before="78" w:line="214" w:lineRule="auto"/>
              <w:jc w:val="center"/>
              <w:textAlignment w:val="baseline"/>
              <w:rPr>
                <w:rFonts w:ascii="仿宋" w:hAnsi="仿宋" w:eastAsia="仿宋" w:cs="仿宋"/>
                <w:snapToGrid w:val="0"/>
                <w:color w:val="auto"/>
                <w:spacing w:val="-4"/>
                <w:kern w:val="0"/>
                <w:sz w:val="24"/>
                <w:szCs w:val="24"/>
                <w:lang w:val="en-US" w:eastAsia="en-US" w:bidi="ar-SA"/>
                <w14:textOutline w14:w="4358" w14:cap="sq" w14:cmpd="sng">
                  <w14:solidFill>
                    <w14:srgbClr w14:val="000000"/>
                  </w14:solidFill>
                  <w14:prstDash w14:val="solid"/>
                  <w14:bevel/>
                </w14:textOutline>
              </w:rPr>
            </w:pPr>
            <w:r>
              <w:rPr>
                <w:rFonts w:ascii="仿宋" w:hAnsi="仿宋" w:eastAsia="仿宋" w:cs="仿宋"/>
                <w:snapToGrid w:val="0"/>
                <w:color w:val="auto"/>
                <w:spacing w:val="-4"/>
                <w:kern w:val="0"/>
                <w:sz w:val="24"/>
                <w:szCs w:val="24"/>
                <w:lang w:val="en-US" w:eastAsia="en-US" w:bidi="ar-SA"/>
                <w14:textOutline w14:w="4358" w14:cap="sq" w14:cmpd="sng">
                  <w14:solidFill>
                    <w14:srgbClr w14:val="000000"/>
                  </w14:solidFill>
                  <w14:prstDash w14:val="solid"/>
                  <w14:bevel/>
                </w14:textOutline>
              </w:rPr>
              <w:t>以桶换桶</w:t>
            </w:r>
          </w:p>
          <w:p>
            <w:pPr>
              <w:kinsoku w:val="0"/>
              <w:autoSpaceDE w:val="0"/>
              <w:autoSpaceDN w:val="0"/>
              <w:adjustRightInd w:val="0"/>
              <w:snapToGrid w:val="0"/>
              <w:spacing w:before="78" w:line="214" w:lineRule="auto"/>
              <w:jc w:val="center"/>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运送至桐山中转站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49" w:line="181"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25</w:t>
            </w:r>
          </w:p>
        </w:tc>
        <w:tc>
          <w:tcPr>
            <w:tcW w:w="2563" w:type="dxa"/>
            <w:vAlign w:val="top"/>
          </w:tcPr>
          <w:p>
            <w:pPr>
              <w:kinsoku w:val="0"/>
              <w:autoSpaceDE w:val="0"/>
              <w:autoSpaceDN w:val="0"/>
              <w:adjustRightInd w:val="0"/>
              <w:snapToGrid w:val="0"/>
              <w:spacing w:before="118" w:line="216" w:lineRule="auto"/>
              <w:ind w:left="809"/>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后畈王村</w:t>
            </w:r>
          </w:p>
        </w:tc>
        <w:tc>
          <w:tcPr>
            <w:tcW w:w="1859" w:type="dxa"/>
            <w:vAlign w:val="top"/>
          </w:tcPr>
          <w:p>
            <w:pPr>
              <w:kinsoku w:val="0"/>
              <w:autoSpaceDE w:val="0"/>
              <w:autoSpaceDN w:val="0"/>
              <w:adjustRightInd w:val="0"/>
              <w:snapToGrid w:val="0"/>
              <w:spacing w:before="149" w:line="181" w:lineRule="auto"/>
              <w:ind w:left="825"/>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50" w:line="181"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26</w:t>
            </w:r>
          </w:p>
        </w:tc>
        <w:tc>
          <w:tcPr>
            <w:tcW w:w="2563" w:type="dxa"/>
            <w:vAlign w:val="top"/>
          </w:tcPr>
          <w:p>
            <w:pPr>
              <w:kinsoku w:val="0"/>
              <w:autoSpaceDE w:val="0"/>
              <w:autoSpaceDN w:val="0"/>
              <w:adjustRightInd w:val="0"/>
              <w:snapToGrid w:val="0"/>
              <w:spacing w:before="119" w:line="215" w:lineRule="auto"/>
              <w:ind w:left="928"/>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花山村</w:t>
            </w:r>
          </w:p>
        </w:tc>
        <w:tc>
          <w:tcPr>
            <w:tcW w:w="1859" w:type="dxa"/>
            <w:vAlign w:val="top"/>
          </w:tcPr>
          <w:p>
            <w:pPr>
              <w:kinsoku w:val="0"/>
              <w:autoSpaceDE w:val="0"/>
              <w:autoSpaceDN w:val="0"/>
              <w:adjustRightInd w:val="0"/>
              <w:snapToGrid w:val="0"/>
              <w:spacing w:before="150" w:line="181" w:lineRule="auto"/>
              <w:ind w:left="828"/>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1"/>
                <w:kern w:val="0"/>
                <w:sz w:val="24"/>
                <w:szCs w:val="24"/>
                <w:lang w:val="en-US" w:eastAsia="en-US" w:bidi="ar-SA"/>
              </w:rPr>
              <w:t>53</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51" w:line="181"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27</w:t>
            </w:r>
          </w:p>
        </w:tc>
        <w:tc>
          <w:tcPr>
            <w:tcW w:w="2563" w:type="dxa"/>
            <w:vAlign w:val="top"/>
          </w:tcPr>
          <w:p>
            <w:pPr>
              <w:kinsoku w:val="0"/>
              <w:autoSpaceDE w:val="0"/>
              <w:autoSpaceDN w:val="0"/>
              <w:adjustRightInd w:val="0"/>
              <w:snapToGrid w:val="0"/>
              <w:spacing w:before="120" w:line="216" w:lineRule="auto"/>
              <w:ind w:left="939"/>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8"/>
                <w:kern w:val="0"/>
                <w:sz w:val="24"/>
                <w:szCs w:val="24"/>
                <w:lang w:val="en-US" w:eastAsia="en-US" w:bidi="ar-SA"/>
              </w:rPr>
              <w:t>南岙村</w:t>
            </w:r>
          </w:p>
        </w:tc>
        <w:tc>
          <w:tcPr>
            <w:tcW w:w="1859" w:type="dxa"/>
            <w:vAlign w:val="top"/>
          </w:tcPr>
          <w:p>
            <w:pPr>
              <w:kinsoku w:val="0"/>
              <w:autoSpaceDE w:val="0"/>
              <w:autoSpaceDN w:val="0"/>
              <w:adjustRightInd w:val="0"/>
              <w:snapToGrid w:val="0"/>
              <w:spacing w:before="151" w:line="181" w:lineRule="auto"/>
              <w:ind w:left="831"/>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3"/>
                <w:kern w:val="0"/>
                <w:sz w:val="24"/>
                <w:szCs w:val="24"/>
                <w:lang w:val="en-US" w:eastAsia="en-US" w:bidi="ar-SA"/>
              </w:rPr>
              <w:t>13</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74" w:type="dxa"/>
            <w:vAlign w:val="top"/>
          </w:tcPr>
          <w:p>
            <w:pPr>
              <w:kinsoku w:val="0"/>
              <w:autoSpaceDE w:val="0"/>
              <w:autoSpaceDN w:val="0"/>
              <w:adjustRightInd w:val="0"/>
              <w:snapToGrid w:val="0"/>
              <w:spacing w:before="152" w:line="181"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28</w:t>
            </w:r>
          </w:p>
        </w:tc>
        <w:tc>
          <w:tcPr>
            <w:tcW w:w="2563" w:type="dxa"/>
            <w:vAlign w:val="top"/>
          </w:tcPr>
          <w:p>
            <w:pPr>
              <w:kinsoku w:val="0"/>
              <w:autoSpaceDE w:val="0"/>
              <w:autoSpaceDN w:val="0"/>
              <w:adjustRightInd w:val="0"/>
              <w:snapToGrid w:val="0"/>
              <w:spacing w:before="121" w:line="216" w:lineRule="auto"/>
              <w:ind w:left="927"/>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茶堂村</w:t>
            </w:r>
          </w:p>
        </w:tc>
        <w:tc>
          <w:tcPr>
            <w:tcW w:w="1859" w:type="dxa"/>
            <w:vAlign w:val="top"/>
          </w:tcPr>
          <w:p>
            <w:pPr>
              <w:kinsoku w:val="0"/>
              <w:autoSpaceDE w:val="0"/>
              <w:autoSpaceDN w:val="0"/>
              <w:adjustRightInd w:val="0"/>
              <w:snapToGrid w:val="0"/>
              <w:spacing w:before="152" w:line="181" w:lineRule="auto"/>
              <w:ind w:left="831"/>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3"/>
                <w:kern w:val="0"/>
                <w:sz w:val="24"/>
                <w:szCs w:val="24"/>
                <w:lang w:val="en-US" w:eastAsia="en-US" w:bidi="ar-SA"/>
              </w:rPr>
              <w:t>10</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3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29</w:t>
            </w:r>
          </w:p>
        </w:tc>
        <w:tc>
          <w:tcPr>
            <w:tcW w:w="2563" w:type="dxa"/>
            <w:vAlign w:val="top"/>
          </w:tcPr>
          <w:p>
            <w:pPr>
              <w:kinsoku w:val="0"/>
              <w:autoSpaceDE w:val="0"/>
              <w:autoSpaceDN w:val="0"/>
              <w:adjustRightInd w:val="0"/>
              <w:snapToGrid w:val="0"/>
              <w:spacing w:before="122" w:line="216" w:lineRule="auto"/>
              <w:ind w:left="944"/>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堂墙村</w:t>
            </w:r>
          </w:p>
        </w:tc>
        <w:tc>
          <w:tcPr>
            <w:tcW w:w="1859" w:type="dxa"/>
            <w:vAlign w:val="top"/>
          </w:tcPr>
          <w:p>
            <w:pPr>
              <w:kinsoku w:val="0"/>
              <w:autoSpaceDE w:val="0"/>
              <w:autoSpaceDN w:val="0"/>
              <w:adjustRightInd w:val="0"/>
              <w:snapToGrid w:val="0"/>
              <w:spacing w:before="153" w:line="181" w:lineRule="auto"/>
              <w:ind w:left="827"/>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1"/>
                <w:kern w:val="0"/>
                <w:sz w:val="24"/>
                <w:szCs w:val="24"/>
                <w:lang w:val="en-US" w:eastAsia="en-US" w:bidi="ar-SA"/>
              </w:rPr>
              <w:t>71</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4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5"/>
                <w:kern w:val="0"/>
                <w:sz w:val="24"/>
                <w:szCs w:val="24"/>
                <w:lang w:val="en-US" w:eastAsia="en-US" w:bidi="ar-SA"/>
              </w:rPr>
              <w:t>30</w:t>
            </w:r>
          </w:p>
        </w:tc>
        <w:tc>
          <w:tcPr>
            <w:tcW w:w="2563" w:type="dxa"/>
            <w:vAlign w:val="top"/>
          </w:tcPr>
          <w:p>
            <w:pPr>
              <w:kinsoku w:val="0"/>
              <w:autoSpaceDE w:val="0"/>
              <w:autoSpaceDN w:val="0"/>
              <w:adjustRightInd w:val="0"/>
              <w:snapToGrid w:val="0"/>
              <w:spacing w:before="122" w:line="216" w:lineRule="auto"/>
              <w:ind w:left="812"/>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4"/>
                <w:kern w:val="0"/>
                <w:sz w:val="24"/>
                <w:szCs w:val="24"/>
                <w:lang w:val="en-US" w:eastAsia="en-US" w:bidi="ar-SA"/>
              </w:rPr>
              <w:t>上山尤村</w:t>
            </w:r>
          </w:p>
        </w:tc>
        <w:tc>
          <w:tcPr>
            <w:tcW w:w="1859" w:type="dxa"/>
            <w:vAlign w:val="top"/>
          </w:tcPr>
          <w:p>
            <w:pPr>
              <w:kinsoku w:val="0"/>
              <w:autoSpaceDE w:val="0"/>
              <w:autoSpaceDN w:val="0"/>
              <w:adjustRightInd w:val="0"/>
              <w:snapToGrid w:val="0"/>
              <w:spacing w:before="153" w:line="181" w:lineRule="auto"/>
              <w:ind w:left="831"/>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3"/>
                <w:kern w:val="0"/>
                <w:sz w:val="24"/>
                <w:szCs w:val="24"/>
                <w:lang w:val="en-US" w:eastAsia="en-US" w:bidi="ar-SA"/>
              </w:rPr>
              <w:t>17</w:t>
            </w:r>
          </w:p>
        </w:tc>
        <w:tc>
          <w:tcPr>
            <w:tcW w:w="2673" w:type="dxa"/>
            <w:vMerge w:val="continue"/>
            <w:tcBorders>
              <w:top w:val="nil"/>
              <w:bottom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1" w:lineRule="auto"/>
              <w:ind w:left="64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5"/>
                <w:kern w:val="0"/>
                <w:sz w:val="24"/>
                <w:szCs w:val="24"/>
                <w:lang w:val="en-US" w:eastAsia="en-US" w:bidi="ar-SA"/>
              </w:rPr>
              <w:t>31</w:t>
            </w:r>
          </w:p>
        </w:tc>
        <w:tc>
          <w:tcPr>
            <w:tcW w:w="2563" w:type="dxa"/>
            <w:vAlign w:val="top"/>
          </w:tcPr>
          <w:p>
            <w:pPr>
              <w:kinsoku w:val="0"/>
              <w:autoSpaceDE w:val="0"/>
              <w:autoSpaceDN w:val="0"/>
              <w:adjustRightInd w:val="0"/>
              <w:snapToGrid w:val="0"/>
              <w:spacing w:before="122" w:line="217" w:lineRule="auto"/>
              <w:ind w:left="44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
                <w:kern w:val="0"/>
                <w:sz w:val="24"/>
                <w:szCs w:val="24"/>
                <w:lang w:val="en-US" w:eastAsia="en-US" w:bidi="ar-SA"/>
              </w:rPr>
              <w:t>桃源街道办事处</w:t>
            </w:r>
          </w:p>
        </w:tc>
        <w:tc>
          <w:tcPr>
            <w:tcW w:w="1859" w:type="dxa"/>
            <w:vAlign w:val="top"/>
          </w:tcPr>
          <w:p>
            <w:pPr>
              <w:kinsoku w:val="0"/>
              <w:autoSpaceDE w:val="0"/>
              <w:autoSpaceDN w:val="0"/>
              <w:adjustRightInd w:val="0"/>
              <w:snapToGrid w:val="0"/>
              <w:spacing w:before="153" w:line="180" w:lineRule="auto"/>
              <w:ind w:left="884"/>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kern w:val="0"/>
                <w:sz w:val="24"/>
                <w:szCs w:val="24"/>
                <w:lang w:val="en-US" w:eastAsia="en-US" w:bidi="ar-SA"/>
              </w:rPr>
              <w:t>4</w:t>
            </w:r>
          </w:p>
        </w:tc>
        <w:tc>
          <w:tcPr>
            <w:tcW w:w="2673" w:type="dxa"/>
            <w:vMerge w:val="continue"/>
            <w:tcBorders>
              <w:top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037" w:type="dxa"/>
            <w:gridSpan w:val="2"/>
            <w:vAlign w:val="top"/>
          </w:tcPr>
          <w:p>
            <w:pPr>
              <w:kinsoku w:val="0"/>
              <w:autoSpaceDE w:val="0"/>
              <w:autoSpaceDN w:val="0"/>
              <w:adjustRightInd w:val="0"/>
              <w:snapToGrid w:val="0"/>
              <w:spacing w:before="122" w:line="217" w:lineRule="auto"/>
              <w:ind w:left="1788"/>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6"/>
                <w:kern w:val="0"/>
                <w:sz w:val="24"/>
                <w:szCs w:val="24"/>
                <w:lang w:val="en-US" w:eastAsia="en-US" w:bidi="ar-SA"/>
                <w14:textOutline w14:w="4358" w14:cap="sq" w14:cmpd="sng">
                  <w14:solidFill>
                    <w14:srgbClr w14:val="000000"/>
                  </w14:solidFill>
                  <w14:prstDash w14:val="solid"/>
                  <w14:bevel/>
                </w14:textOutline>
              </w:rPr>
              <w:t>小计</w:t>
            </w:r>
          </w:p>
        </w:tc>
        <w:tc>
          <w:tcPr>
            <w:tcW w:w="1859" w:type="dxa"/>
            <w:vAlign w:val="top"/>
          </w:tcPr>
          <w:p>
            <w:pPr>
              <w:kinsoku w:val="0"/>
              <w:autoSpaceDE w:val="0"/>
              <w:autoSpaceDN w:val="0"/>
              <w:adjustRightInd w:val="0"/>
              <w:snapToGrid w:val="0"/>
              <w:spacing w:before="153" w:line="181" w:lineRule="auto"/>
              <w:ind w:left="76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6"/>
                <w:kern w:val="0"/>
                <w:sz w:val="24"/>
                <w:szCs w:val="24"/>
                <w:lang w:val="en-US" w:eastAsia="en-US" w:bidi="ar-SA"/>
                <w14:textOutline w14:w="4358" w14:cap="sq" w14:cmpd="sng">
                  <w14:solidFill>
                    <w14:srgbClr w14:val="000000"/>
                  </w14:solidFill>
                  <w14:prstDash w14:val="solid"/>
                  <w14:bevel/>
                </w14:textOutline>
              </w:rPr>
              <w:t>288</w:t>
            </w:r>
          </w:p>
        </w:tc>
        <w:tc>
          <w:tcPr>
            <w:tcW w:w="2673" w:type="dxa"/>
            <w:vAlign w:val="top"/>
          </w:tcPr>
          <w:p>
            <w:pPr>
              <w:kinsoku w:val="0"/>
              <w:autoSpaceDE w:val="0"/>
              <w:autoSpaceDN w:val="0"/>
              <w:adjustRightInd w:val="0"/>
              <w:snapToGrid w:val="0"/>
              <w:spacing w:before="233" w:line="164" w:lineRule="exact"/>
              <w:jc w:val="center"/>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kern w:val="0"/>
                <w:position w:val="-3"/>
                <w:sz w:val="24"/>
                <w:szCs w:val="24"/>
                <w:lang w:val="en-US" w:eastAsia="en-US" w:bidi="ar-SA"/>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474" w:type="dxa"/>
            <w:vAlign w:val="top"/>
          </w:tcPr>
          <w:p>
            <w:pPr>
              <w:kinsoku w:val="0"/>
              <w:autoSpaceDE w:val="0"/>
              <w:autoSpaceDN w:val="0"/>
              <w:adjustRightInd w:val="0"/>
              <w:snapToGrid w:val="0"/>
              <w:spacing w:before="153" w:line="180" w:lineRule="auto"/>
              <w:ind w:left="699"/>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kern w:val="0"/>
                <w:sz w:val="24"/>
                <w:szCs w:val="24"/>
                <w:lang w:val="en-US" w:eastAsia="en-US" w:bidi="ar-SA"/>
              </w:rPr>
              <w:t>1</w:t>
            </w:r>
          </w:p>
        </w:tc>
        <w:tc>
          <w:tcPr>
            <w:tcW w:w="2563" w:type="dxa"/>
            <w:vAlign w:val="top"/>
          </w:tcPr>
          <w:p>
            <w:pPr>
              <w:kinsoku w:val="0"/>
              <w:autoSpaceDE w:val="0"/>
              <w:autoSpaceDN w:val="0"/>
              <w:adjustRightInd w:val="0"/>
              <w:snapToGrid w:val="0"/>
              <w:spacing w:before="122" w:line="216" w:lineRule="auto"/>
              <w:ind w:left="332"/>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2"/>
                <w:kern w:val="0"/>
                <w:sz w:val="24"/>
                <w:szCs w:val="24"/>
                <w:lang w:val="en-US" w:eastAsia="en-US" w:bidi="ar-SA"/>
              </w:rPr>
              <w:t>应家山村沿街收运</w:t>
            </w:r>
          </w:p>
        </w:tc>
        <w:tc>
          <w:tcPr>
            <w:tcW w:w="1859" w:type="dxa"/>
            <w:vAlign w:val="top"/>
          </w:tcPr>
          <w:p>
            <w:pPr>
              <w:kinsoku w:val="0"/>
              <w:autoSpaceDE w:val="0"/>
              <w:autoSpaceDN w:val="0"/>
              <w:adjustRightInd w:val="0"/>
              <w:snapToGrid w:val="0"/>
              <w:spacing w:before="153" w:line="181" w:lineRule="auto"/>
              <w:ind w:left="825"/>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0"/>
                <w:kern w:val="0"/>
                <w:sz w:val="24"/>
                <w:szCs w:val="24"/>
                <w:lang w:val="en-US" w:eastAsia="en-US" w:bidi="ar-SA"/>
              </w:rPr>
              <w:t>25</w:t>
            </w:r>
          </w:p>
        </w:tc>
        <w:tc>
          <w:tcPr>
            <w:tcW w:w="2673" w:type="dxa"/>
            <w:vMerge w:val="restart"/>
            <w:tcBorders>
              <w:bottom w:val="nil"/>
            </w:tcBorders>
            <w:vAlign w:val="top"/>
          </w:tcPr>
          <w:p>
            <w:pPr>
              <w:kinsoku w:val="0"/>
              <w:autoSpaceDE w:val="0"/>
              <w:autoSpaceDN w:val="0"/>
              <w:adjustRightInd w:val="0"/>
              <w:snapToGrid w:val="0"/>
              <w:spacing w:before="160" w:line="401" w:lineRule="exact"/>
              <w:jc w:val="center"/>
              <w:textAlignment w:val="baseline"/>
              <w:rPr>
                <w:rFonts w:ascii="仿宋" w:hAnsi="仿宋" w:eastAsia="仿宋" w:cs="仿宋"/>
                <w:snapToGrid w:val="0"/>
                <w:color w:val="auto"/>
                <w:spacing w:val="-2"/>
                <w:kern w:val="0"/>
                <w:position w:val="12"/>
                <w:sz w:val="24"/>
                <w:szCs w:val="24"/>
                <w:lang w:val="en-US" w:eastAsia="en-US" w:bidi="ar-SA"/>
                <w14:textOutline w14:w="4358" w14:cap="sq" w14:cmpd="sng">
                  <w14:solidFill>
                    <w14:srgbClr w14:val="000000"/>
                  </w14:solidFill>
                  <w14:prstDash w14:val="solid"/>
                  <w14:bevel/>
                </w14:textOutline>
              </w:rPr>
            </w:pPr>
            <w:r>
              <w:rPr>
                <w:rFonts w:ascii="仿宋" w:hAnsi="仿宋" w:eastAsia="仿宋" w:cs="仿宋"/>
                <w:snapToGrid w:val="0"/>
                <w:color w:val="auto"/>
                <w:spacing w:val="-2"/>
                <w:kern w:val="0"/>
                <w:position w:val="12"/>
                <w:sz w:val="24"/>
                <w:szCs w:val="24"/>
                <w:lang w:val="en-US" w:eastAsia="en-US" w:bidi="ar-SA"/>
                <w14:textOutline w14:w="4358" w14:cap="sq" w14:cmpd="sng">
                  <w14:solidFill>
                    <w14:srgbClr w14:val="000000"/>
                  </w14:solidFill>
                  <w14:prstDash w14:val="solid"/>
                  <w14:bevel/>
                </w14:textOutline>
              </w:rPr>
              <w:t>沿街垃圾上门收集</w:t>
            </w:r>
          </w:p>
          <w:p>
            <w:pPr>
              <w:kinsoku w:val="0"/>
              <w:autoSpaceDE w:val="0"/>
              <w:autoSpaceDN w:val="0"/>
              <w:adjustRightInd w:val="0"/>
              <w:snapToGrid w:val="0"/>
              <w:spacing w:before="160" w:line="401" w:lineRule="exact"/>
              <w:jc w:val="center"/>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2"/>
                <w:kern w:val="0"/>
                <w:position w:val="12"/>
                <w:sz w:val="24"/>
                <w:szCs w:val="24"/>
                <w:lang w:val="en-US" w:eastAsia="en-US" w:bidi="ar-SA"/>
              </w:rPr>
              <w:t>送至桐山中转站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74" w:type="dxa"/>
            <w:vAlign w:val="top"/>
          </w:tcPr>
          <w:p>
            <w:pPr>
              <w:kinsoku w:val="0"/>
              <w:autoSpaceDE w:val="0"/>
              <w:autoSpaceDN w:val="0"/>
              <w:adjustRightInd w:val="0"/>
              <w:snapToGrid w:val="0"/>
              <w:spacing w:before="153" w:line="180" w:lineRule="auto"/>
              <w:ind w:left="693"/>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kern w:val="0"/>
                <w:sz w:val="24"/>
                <w:szCs w:val="24"/>
                <w:lang w:val="en-US" w:eastAsia="en-US" w:bidi="ar-SA"/>
              </w:rPr>
              <w:t>2</w:t>
            </w:r>
          </w:p>
        </w:tc>
        <w:tc>
          <w:tcPr>
            <w:tcW w:w="2563" w:type="dxa"/>
            <w:vAlign w:val="top"/>
          </w:tcPr>
          <w:p>
            <w:pPr>
              <w:kinsoku w:val="0"/>
              <w:autoSpaceDE w:val="0"/>
              <w:autoSpaceDN w:val="0"/>
              <w:adjustRightInd w:val="0"/>
              <w:snapToGrid w:val="0"/>
              <w:spacing w:before="122" w:line="216" w:lineRule="auto"/>
              <w:ind w:left="457"/>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3"/>
                <w:kern w:val="0"/>
                <w:sz w:val="24"/>
                <w:szCs w:val="24"/>
                <w:lang w:val="en-US" w:eastAsia="en-US" w:bidi="ar-SA"/>
              </w:rPr>
              <w:t>西洋村沿街收运</w:t>
            </w:r>
          </w:p>
        </w:tc>
        <w:tc>
          <w:tcPr>
            <w:tcW w:w="1859" w:type="dxa"/>
            <w:vAlign w:val="top"/>
          </w:tcPr>
          <w:p>
            <w:pPr>
              <w:kinsoku w:val="0"/>
              <w:autoSpaceDE w:val="0"/>
              <w:autoSpaceDN w:val="0"/>
              <w:adjustRightInd w:val="0"/>
              <w:snapToGrid w:val="0"/>
              <w:spacing w:before="153" w:line="181" w:lineRule="auto"/>
              <w:ind w:left="831"/>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13"/>
                <w:kern w:val="0"/>
                <w:sz w:val="24"/>
                <w:szCs w:val="24"/>
                <w:lang w:val="en-US" w:eastAsia="en-US" w:bidi="ar-SA"/>
              </w:rPr>
              <w:t>15</w:t>
            </w:r>
          </w:p>
        </w:tc>
        <w:tc>
          <w:tcPr>
            <w:tcW w:w="2673" w:type="dxa"/>
            <w:vMerge w:val="continue"/>
            <w:tcBorders>
              <w:top w:val="nil"/>
            </w:tcBorders>
            <w:vAlign w:val="top"/>
          </w:tcPr>
          <w:p>
            <w:pPr>
              <w:widowControl/>
              <w:kinsoku w:val="0"/>
              <w:autoSpaceDE w:val="0"/>
              <w:autoSpaceDN w:val="0"/>
              <w:snapToGrid w:val="0"/>
              <w:spacing w:line="240" w:lineRule="auto"/>
              <w:jc w:val="center"/>
              <w:textAlignment w:val="baseline"/>
              <w:rPr>
                <w:rFonts w:ascii="Arial" w:hAnsi="Arial" w:eastAsia="Arial" w:cs="Arial"/>
                <w:snapToGrid w:val="0"/>
                <w:color w:val="auto"/>
                <w:kern w:val="0"/>
                <w:sz w:val="21"/>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4037" w:type="dxa"/>
            <w:gridSpan w:val="2"/>
            <w:vAlign w:val="top"/>
          </w:tcPr>
          <w:p>
            <w:pPr>
              <w:kinsoku w:val="0"/>
              <w:autoSpaceDE w:val="0"/>
              <w:autoSpaceDN w:val="0"/>
              <w:adjustRightInd w:val="0"/>
              <w:snapToGrid w:val="0"/>
              <w:spacing w:before="122" w:line="217" w:lineRule="auto"/>
              <w:ind w:left="1788"/>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6"/>
                <w:kern w:val="0"/>
                <w:sz w:val="24"/>
                <w:szCs w:val="24"/>
                <w:lang w:val="en-US" w:eastAsia="en-US" w:bidi="ar-SA"/>
                <w14:textOutline w14:w="4358" w14:cap="sq" w14:cmpd="sng">
                  <w14:solidFill>
                    <w14:srgbClr w14:val="000000"/>
                  </w14:solidFill>
                  <w14:prstDash w14:val="solid"/>
                  <w14:bevel/>
                </w14:textOutline>
              </w:rPr>
              <w:t>小计</w:t>
            </w:r>
          </w:p>
        </w:tc>
        <w:tc>
          <w:tcPr>
            <w:tcW w:w="1859" w:type="dxa"/>
            <w:vAlign w:val="top"/>
          </w:tcPr>
          <w:p>
            <w:pPr>
              <w:kinsoku w:val="0"/>
              <w:autoSpaceDE w:val="0"/>
              <w:autoSpaceDN w:val="0"/>
              <w:adjustRightInd w:val="0"/>
              <w:snapToGrid w:val="0"/>
              <w:spacing w:before="153" w:line="181" w:lineRule="auto"/>
              <w:ind w:left="824"/>
              <w:jc w:val="left"/>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spacing w:val="-8"/>
                <w:kern w:val="0"/>
                <w:sz w:val="24"/>
                <w:szCs w:val="24"/>
                <w:lang w:val="en-US" w:eastAsia="en-US" w:bidi="ar-SA"/>
                <w14:textOutline w14:w="4358" w14:cap="sq" w14:cmpd="sng">
                  <w14:solidFill>
                    <w14:srgbClr w14:val="000000"/>
                  </w14:solidFill>
                  <w14:prstDash w14:val="solid"/>
                  <w14:bevel/>
                </w14:textOutline>
              </w:rPr>
              <w:t>40</w:t>
            </w:r>
          </w:p>
        </w:tc>
        <w:tc>
          <w:tcPr>
            <w:tcW w:w="2673" w:type="dxa"/>
            <w:vAlign w:val="top"/>
          </w:tcPr>
          <w:p>
            <w:pPr>
              <w:kinsoku w:val="0"/>
              <w:autoSpaceDE w:val="0"/>
              <w:autoSpaceDN w:val="0"/>
              <w:adjustRightInd w:val="0"/>
              <w:snapToGrid w:val="0"/>
              <w:spacing w:before="233" w:line="164" w:lineRule="exact"/>
              <w:jc w:val="center"/>
              <w:textAlignment w:val="baseline"/>
              <w:rPr>
                <w:rFonts w:ascii="仿宋" w:hAnsi="仿宋" w:eastAsia="仿宋" w:cs="仿宋"/>
                <w:snapToGrid w:val="0"/>
                <w:color w:val="auto"/>
                <w:kern w:val="0"/>
                <w:sz w:val="24"/>
                <w:szCs w:val="24"/>
                <w:lang w:val="en-US" w:eastAsia="en-US" w:bidi="ar-SA"/>
              </w:rPr>
            </w:pPr>
            <w:r>
              <w:rPr>
                <w:rFonts w:ascii="仿宋" w:hAnsi="仿宋" w:eastAsia="仿宋" w:cs="仿宋"/>
                <w:snapToGrid w:val="0"/>
                <w:color w:val="auto"/>
                <w:kern w:val="0"/>
                <w:position w:val="-3"/>
                <w:sz w:val="24"/>
                <w:szCs w:val="24"/>
                <w:lang w:val="en-US" w:eastAsia="en-US" w:bidi="ar-SA"/>
                <w14:textOutline w14:w="4358" w14:cap="sq" w14:cmpd="sng">
                  <w14:solidFill>
                    <w14:srgbClr w14:val="000000"/>
                  </w14:solidFill>
                  <w14:prstDash w14:val="solid"/>
                  <w14:bevel/>
                </w14:textOutline>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0"/>
        <w:jc w:val="both"/>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bCs w:val="0"/>
          <w:color w:val="auto"/>
          <w:kern w:val="2"/>
          <w:sz w:val="24"/>
          <w:szCs w:val="24"/>
          <w:highlight w:val="none"/>
          <w:lang w:val="en-US" w:eastAsia="zh-CN" w:bidi="ar-SA"/>
        </w:rPr>
        <w:t>注：年度服务经费=压缩车清运方式（自卸式后吊车清运）垃圾桶综合单价*（3 吨压缩车清运+自卸式后吊车清运）桶数+“以桶换桶”清运方式垃圾桶综合单价*“以桶换桶”清运方式垃圾桶桶数+沿街垃圾上门收集方式垃圾桶综合单价*沿街垃圾上门收集桶数，且沿街的上门收集需要做好分类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0"/>
        <w:jc w:val="both"/>
        <w:textAlignment w:val="auto"/>
        <w:rPr>
          <w:rFonts w:hint="default" w:ascii="宋体" w:hAnsi="宋体" w:eastAsia="宋体" w:cs="宋体"/>
          <w:b w:val="0"/>
          <w:bCs/>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auto"/>
          <w:kern w:val="2"/>
          <w:sz w:val="24"/>
          <w:szCs w:val="24"/>
          <w:highlight w:val="none"/>
          <w:lang w:val="en-US" w:eastAsia="zh-CN" w:bidi="ar-SA"/>
        </w:rPr>
        <w:sectPr>
          <w:footerReference r:id="rId8" w:type="default"/>
          <w:pgSz w:w="11907" w:h="16840"/>
          <w:pgMar w:top="1474" w:right="1814" w:bottom="1474" w:left="1814" w:header="851" w:footer="851" w:gutter="0"/>
          <w:pgNumType w:fmt="decimal" w:start="32"/>
          <w:cols w:space="720" w:num="1"/>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auto"/>
          <w:kern w:val="2"/>
          <w:sz w:val="24"/>
          <w:szCs w:val="24"/>
          <w:highlight w:val="none"/>
          <w:lang w:val="en-US" w:eastAsia="zh-CN" w:bidi="ar-SA"/>
        </w:rPr>
      </w:pPr>
      <w:r>
        <w:rPr>
          <w:rFonts w:hint="eastAsia" w:ascii="宋体" w:hAnsi="宋体" w:cs="宋体"/>
          <w:b/>
          <w:bCs w:val="0"/>
          <w:color w:val="auto"/>
          <w:kern w:val="2"/>
          <w:sz w:val="24"/>
          <w:szCs w:val="24"/>
          <w:highlight w:val="none"/>
          <w:lang w:val="en-US" w:eastAsia="zh-CN" w:bidi="ar-SA"/>
        </w:rPr>
        <w:t>三、</w:t>
      </w:r>
      <w:r>
        <w:rPr>
          <w:rFonts w:hint="eastAsia" w:ascii="宋体" w:hAnsi="宋体" w:eastAsia="宋体" w:cs="宋体"/>
          <w:b/>
          <w:bCs w:val="0"/>
          <w:color w:val="auto"/>
          <w:kern w:val="2"/>
          <w:sz w:val="24"/>
          <w:szCs w:val="24"/>
          <w:highlight w:val="none"/>
          <w:lang w:val="en-US" w:eastAsia="zh-CN" w:bidi="ar-SA"/>
        </w:rPr>
        <w:t>车辆和人员要求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w:t>
      </w:r>
      <w:r>
        <w:rPr>
          <w:rFonts w:hint="eastAsia" w:ascii="宋体" w:hAnsi="宋体" w:cs="宋体"/>
          <w:b w:val="0"/>
          <w:bCs/>
          <w:color w:val="auto"/>
          <w:kern w:val="2"/>
          <w:sz w:val="24"/>
          <w:szCs w:val="24"/>
          <w:highlight w:val="none"/>
          <w:lang w:val="en-US" w:eastAsia="zh-CN"/>
        </w:rPr>
        <w:t>1</w:t>
      </w:r>
      <w:r>
        <w:rPr>
          <w:rFonts w:hint="eastAsia" w:ascii="宋体" w:hAnsi="宋体" w:eastAsia="宋体" w:cs="宋体"/>
          <w:b w:val="0"/>
          <w:bCs/>
          <w:color w:val="auto"/>
          <w:kern w:val="2"/>
          <w:sz w:val="24"/>
          <w:szCs w:val="24"/>
          <w:highlight w:val="none"/>
          <w:lang w:val="en-US" w:eastAsia="zh-CN"/>
        </w:rPr>
        <w:t>、本标段核定配置人员数量不得低于19人（驾驶员</w:t>
      </w:r>
      <w:r>
        <w:rPr>
          <w:rFonts w:hint="eastAsia" w:ascii="宋体" w:hAnsi="宋体" w:cs="宋体"/>
          <w:b w:val="0"/>
          <w:bCs/>
          <w:color w:val="auto"/>
          <w:kern w:val="2"/>
          <w:sz w:val="24"/>
          <w:szCs w:val="24"/>
          <w:highlight w:val="none"/>
          <w:lang w:val="en-US" w:eastAsia="zh-CN"/>
        </w:rPr>
        <w:t>不少于</w:t>
      </w:r>
      <w:r>
        <w:rPr>
          <w:rFonts w:hint="eastAsia" w:ascii="宋体" w:hAnsi="宋体" w:eastAsia="宋体" w:cs="宋体"/>
          <w:b w:val="0"/>
          <w:bCs/>
          <w:color w:val="auto"/>
          <w:kern w:val="2"/>
          <w:sz w:val="24"/>
          <w:szCs w:val="24"/>
          <w:highlight w:val="none"/>
          <w:lang w:val="en-US" w:eastAsia="zh-CN"/>
        </w:rPr>
        <w:t>12人，跟车工不少于5人、电动垃圾收集车驾驶员不少于2人），3吨压缩车不少于</w:t>
      </w:r>
      <w:r>
        <w:rPr>
          <w:rFonts w:hint="eastAsia" w:ascii="宋体" w:hAnsi="宋体" w:cs="宋体"/>
          <w:b w:val="0"/>
          <w:bCs/>
          <w:color w:val="auto"/>
          <w:kern w:val="2"/>
          <w:sz w:val="24"/>
          <w:szCs w:val="24"/>
          <w:highlight w:val="none"/>
          <w:lang w:val="en-US" w:eastAsia="zh-CN"/>
        </w:rPr>
        <w:t>1</w:t>
      </w:r>
      <w:r>
        <w:rPr>
          <w:rFonts w:hint="eastAsia" w:ascii="宋体" w:hAnsi="宋体" w:eastAsia="宋体" w:cs="宋体"/>
          <w:b w:val="0"/>
          <w:bCs/>
          <w:color w:val="auto"/>
          <w:kern w:val="2"/>
          <w:sz w:val="24"/>
          <w:szCs w:val="24"/>
          <w:highlight w:val="none"/>
          <w:lang w:val="en-US" w:eastAsia="zh-CN"/>
        </w:rPr>
        <w:t>辆</w:t>
      </w:r>
      <w:r>
        <w:rPr>
          <w:rFonts w:hint="eastAsia" w:ascii="宋体" w:hAnsi="宋体" w:cs="宋体"/>
          <w:b w:val="0"/>
          <w:bCs/>
          <w:color w:val="auto"/>
          <w:kern w:val="2"/>
          <w:sz w:val="24"/>
          <w:szCs w:val="24"/>
          <w:highlight w:val="none"/>
          <w:lang w:val="en-US" w:eastAsia="zh-CN"/>
        </w:rPr>
        <w:t>，</w:t>
      </w:r>
      <w:r>
        <w:rPr>
          <w:rFonts w:hint="eastAsia" w:ascii="宋体" w:hAnsi="宋体" w:eastAsia="宋体" w:cs="宋体"/>
          <w:b w:val="0"/>
          <w:bCs/>
          <w:color w:val="auto"/>
          <w:kern w:val="2"/>
          <w:sz w:val="24"/>
          <w:szCs w:val="24"/>
          <w:highlight w:val="none"/>
          <w:lang w:val="en-US" w:eastAsia="zh-CN"/>
        </w:rPr>
        <w:t>自卸式后吊车不少于4辆，平板运输车不少于4辆，电动垃圾收集车不少于2辆。如低于</w:t>
      </w:r>
      <w:r>
        <w:rPr>
          <w:rFonts w:hint="eastAsia" w:ascii="宋体" w:hAnsi="宋体" w:cs="宋体"/>
          <w:b w:val="0"/>
          <w:bCs/>
          <w:color w:val="auto"/>
          <w:kern w:val="2"/>
          <w:sz w:val="24"/>
          <w:szCs w:val="24"/>
          <w:highlight w:val="none"/>
          <w:lang w:val="en-US" w:eastAsia="zh-CN"/>
        </w:rPr>
        <w:t>19</w:t>
      </w:r>
      <w:r>
        <w:rPr>
          <w:rFonts w:hint="eastAsia" w:ascii="宋体" w:hAnsi="宋体" w:eastAsia="宋体" w:cs="宋体"/>
          <w:b w:val="0"/>
          <w:bCs/>
          <w:color w:val="auto"/>
          <w:kern w:val="2"/>
          <w:sz w:val="24"/>
          <w:szCs w:val="24"/>
          <w:highlight w:val="none"/>
          <w:lang w:val="en-US" w:eastAsia="zh-CN"/>
        </w:rPr>
        <w:t>人，将作无效标处理；所配备人员男性保洁人员的年龄均不得超过60周岁，女性保洁人员的年龄均不得超过55周岁。</w:t>
      </w:r>
      <w:r>
        <w:rPr>
          <w:rFonts w:hint="eastAsia" w:ascii="宋体" w:hAnsi="宋体" w:cs="宋体"/>
          <w:b w:val="0"/>
          <w:bCs/>
          <w:color w:val="auto"/>
          <w:kern w:val="2"/>
          <w:sz w:val="24"/>
          <w:szCs w:val="24"/>
          <w:highlight w:val="none"/>
          <w:lang w:val="en-US" w:eastAsia="zh-CN"/>
        </w:rPr>
        <w:t>（所有男性60周岁以下，女性55周岁以下）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2</w:t>
      </w:r>
      <w:r>
        <w:rPr>
          <w:rFonts w:hint="eastAsia" w:ascii="宋体" w:hAnsi="宋体" w:eastAsia="宋体" w:cs="宋体"/>
          <w:b w:val="0"/>
          <w:bCs/>
          <w:color w:val="auto"/>
          <w:kern w:val="2"/>
          <w:sz w:val="24"/>
          <w:szCs w:val="24"/>
          <w:highlight w:val="none"/>
          <w:lang w:val="en-US" w:eastAsia="zh-CN"/>
        </w:rPr>
        <w:t>、人员允许在中标后进行配置，但必须根据采购人要求在进驻前全部配置完毕。供应商必须派一名管理人员作为现场项目经理常驻项目现场。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3</w:t>
      </w:r>
      <w:r>
        <w:rPr>
          <w:rFonts w:hint="eastAsia" w:ascii="宋体" w:hAnsi="宋体" w:eastAsia="宋体" w:cs="宋体"/>
          <w:b w:val="0"/>
          <w:bCs/>
          <w:color w:val="auto"/>
          <w:kern w:val="2"/>
          <w:sz w:val="24"/>
          <w:szCs w:val="24"/>
          <w:highlight w:val="none"/>
          <w:lang w:val="en-US" w:eastAsia="zh-CN"/>
        </w:rPr>
        <w:t>、所有清运保洁人员必须经岗位培训后上岗。保洁工人需着统一的工作服装，上装须有安全反光标志，且对每位保洁工人配备胸牌，头戴工作帽。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4</w:t>
      </w:r>
      <w:r>
        <w:rPr>
          <w:rFonts w:hint="eastAsia" w:ascii="宋体" w:hAnsi="宋体" w:eastAsia="宋体" w:cs="宋体"/>
          <w:b w:val="0"/>
          <w:bCs/>
          <w:color w:val="auto"/>
          <w:kern w:val="2"/>
          <w:sz w:val="24"/>
          <w:szCs w:val="24"/>
          <w:highlight w:val="none"/>
          <w:lang w:val="en-US" w:eastAsia="zh-CN"/>
        </w:rPr>
        <w:t>、清运工作人员着装要干净整齐，无破损，不得赤膊作业。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5</w:t>
      </w:r>
      <w:r>
        <w:rPr>
          <w:rFonts w:hint="eastAsia" w:ascii="宋体" w:hAnsi="宋体" w:eastAsia="宋体" w:cs="宋体"/>
          <w:b w:val="0"/>
          <w:bCs/>
          <w:color w:val="auto"/>
          <w:kern w:val="2"/>
          <w:sz w:val="24"/>
          <w:szCs w:val="24"/>
          <w:highlight w:val="none"/>
          <w:lang w:val="en-US" w:eastAsia="zh-CN"/>
        </w:rPr>
        <w:t>、不得利用工作之便捡卖物品、干私活等。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6</w:t>
      </w:r>
      <w:r>
        <w:rPr>
          <w:rFonts w:hint="eastAsia" w:ascii="宋体" w:hAnsi="宋体" w:eastAsia="宋体" w:cs="宋体"/>
          <w:b w:val="0"/>
          <w:bCs/>
          <w:color w:val="auto"/>
          <w:kern w:val="2"/>
          <w:sz w:val="24"/>
          <w:szCs w:val="24"/>
          <w:highlight w:val="none"/>
          <w:lang w:val="en-US" w:eastAsia="zh-CN"/>
        </w:rPr>
        <w:t>、清扫保洁工作人员要遵纪守法、遵守社会公德。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w:t>
      </w:r>
      <w:r>
        <w:rPr>
          <w:rFonts w:hint="eastAsia" w:ascii="宋体" w:hAnsi="宋体" w:cs="宋体"/>
          <w:b w:val="0"/>
          <w:bCs/>
          <w:color w:val="auto"/>
          <w:kern w:val="2"/>
          <w:sz w:val="24"/>
          <w:szCs w:val="24"/>
          <w:highlight w:val="none"/>
          <w:lang w:val="en-US" w:eastAsia="zh-CN"/>
        </w:rPr>
        <w:t>7</w:t>
      </w:r>
      <w:r>
        <w:rPr>
          <w:rFonts w:hint="eastAsia" w:ascii="宋体" w:hAnsi="宋体" w:eastAsia="宋体" w:cs="宋体"/>
          <w:b w:val="0"/>
          <w:bCs/>
          <w:color w:val="auto"/>
          <w:kern w:val="2"/>
          <w:sz w:val="24"/>
          <w:szCs w:val="24"/>
          <w:highlight w:val="none"/>
          <w:lang w:val="en-US" w:eastAsia="zh-CN"/>
        </w:rPr>
        <w:t>、全桃源街道垃圾清运车，中标单位自行配置，供应商必须承诺在合同签订前垃圾清运车供货到</w:t>
      </w:r>
      <w:r>
        <w:rPr>
          <w:rFonts w:hint="eastAsia" w:ascii="宋体" w:hAnsi="宋体" w:cs="宋体"/>
          <w:b w:val="0"/>
          <w:bCs/>
          <w:color w:val="auto"/>
          <w:kern w:val="2"/>
          <w:sz w:val="24"/>
          <w:szCs w:val="24"/>
          <w:highlight w:val="none"/>
          <w:lang w:val="en-US" w:eastAsia="zh-CN"/>
        </w:rPr>
        <w:t>采购人</w:t>
      </w:r>
      <w:r>
        <w:rPr>
          <w:rFonts w:hint="eastAsia" w:ascii="宋体" w:hAnsi="宋体" w:eastAsia="宋体" w:cs="宋体"/>
          <w:b w:val="0"/>
          <w:bCs/>
          <w:color w:val="auto"/>
          <w:kern w:val="2"/>
          <w:sz w:val="24"/>
          <w:szCs w:val="24"/>
          <w:highlight w:val="none"/>
          <w:lang w:val="en-US" w:eastAsia="zh-CN"/>
        </w:rPr>
        <w:t>指定地点。投标文件中须附相关承诺书（格式详见</w:t>
      </w:r>
      <w:r>
        <w:rPr>
          <w:rFonts w:hint="eastAsia" w:ascii="宋体" w:hAnsi="宋体" w:cs="宋体"/>
          <w:b w:val="0"/>
          <w:bCs/>
          <w:color w:val="auto"/>
          <w:kern w:val="2"/>
          <w:sz w:val="24"/>
          <w:szCs w:val="24"/>
          <w:highlight w:val="none"/>
          <w:lang w:val="en-US" w:eastAsia="zh-CN"/>
        </w:rPr>
        <w:t>招标文件</w:t>
      </w:r>
      <w:r>
        <w:rPr>
          <w:rFonts w:hint="eastAsia" w:ascii="宋体" w:hAnsi="宋体" w:eastAsia="宋体" w:cs="宋体"/>
          <w:b w:val="0"/>
          <w:bCs/>
          <w:color w:val="auto"/>
          <w:kern w:val="2"/>
          <w:sz w:val="24"/>
          <w:szCs w:val="24"/>
          <w:highlight w:val="none"/>
          <w:lang w:val="en-US" w:eastAsia="zh-CN"/>
        </w:rPr>
        <w:t>附件《特殊承诺》），未提供承诺书的将作无效标处理。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8</w:t>
      </w:r>
      <w:r>
        <w:rPr>
          <w:rFonts w:hint="eastAsia" w:ascii="宋体" w:hAnsi="宋体" w:eastAsia="宋体" w:cs="宋体"/>
          <w:b w:val="0"/>
          <w:bCs/>
          <w:color w:val="auto"/>
          <w:kern w:val="2"/>
          <w:sz w:val="24"/>
          <w:szCs w:val="24"/>
          <w:highlight w:val="none"/>
          <w:lang w:val="en-US" w:eastAsia="zh-CN"/>
        </w:rPr>
        <w:t>、保洁作业车辆安全正常运转，车体干净整洁（不准安装外挂袋），定期维护，每天擦拭或清洗作业工具。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auto"/>
          <w:kern w:val="2"/>
          <w:sz w:val="24"/>
          <w:szCs w:val="24"/>
          <w:highlight w:val="none"/>
          <w:lang w:val="en-US" w:eastAsia="zh-CN" w:bidi="ar-SA"/>
        </w:rPr>
      </w:pPr>
      <w:r>
        <w:rPr>
          <w:rFonts w:hint="eastAsia" w:ascii="宋体" w:hAnsi="宋体" w:cs="宋体"/>
          <w:b/>
          <w:bCs w:val="0"/>
          <w:color w:val="auto"/>
          <w:kern w:val="2"/>
          <w:sz w:val="24"/>
          <w:szCs w:val="24"/>
          <w:highlight w:val="none"/>
          <w:lang w:val="en-US" w:eastAsia="zh-CN" w:bidi="ar-SA"/>
        </w:rPr>
        <w:t>四</w:t>
      </w:r>
      <w:r>
        <w:rPr>
          <w:rFonts w:hint="eastAsia" w:ascii="宋体" w:hAnsi="宋体" w:eastAsia="宋体" w:cs="宋体"/>
          <w:b/>
          <w:bCs w:val="0"/>
          <w:color w:val="auto"/>
          <w:kern w:val="2"/>
          <w:sz w:val="24"/>
          <w:szCs w:val="24"/>
          <w:highlight w:val="none"/>
          <w:lang w:val="en-US" w:eastAsia="zh-CN" w:bidi="ar-SA"/>
        </w:rPr>
        <w:t>、环卫作业要求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（一）垃圾桶的清洗和管理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1、每天一次清洗保洁。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2、垃圾桶无破损、无垃圾外溢，桶体、箱体整洁。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3、收集人员故意损坏、破坏垃圾桶，由</w:t>
      </w:r>
      <w:r>
        <w:rPr>
          <w:rFonts w:hint="eastAsia" w:ascii="宋体" w:hAnsi="宋体" w:cs="宋体"/>
          <w:b w:val="0"/>
          <w:bCs/>
          <w:color w:val="auto"/>
          <w:kern w:val="2"/>
          <w:sz w:val="24"/>
          <w:szCs w:val="24"/>
          <w:highlight w:val="none"/>
          <w:lang w:val="en-US" w:eastAsia="zh-CN"/>
        </w:rPr>
        <w:t>服务</w:t>
      </w:r>
      <w:r>
        <w:rPr>
          <w:rFonts w:hint="eastAsia" w:ascii="宋体" w:hAnsi="宋体" w:eastAsia="宋体" w:cs="宋体"/>
          <w:b w:val="0"/>
          <w:bCs/>
          <w:color w:val="auto"/>
          <w:kern w:val="2"/>
          <w:sz w:val="24"/>
          <w:szCs w:val="24"/>
          <w:highlight w:val="none"/>
          <w:lang w:val="en-US" w:eastAsia="zh-CN"/>
        </w:rPr>
        <w:t xml:space="preserve">公司全额赔偿。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 xml:space="preserve">（二）垃圾收集及清运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1、街道属各行政村垃圾收集及清运</w:t>
      </w:r>
      <w:r>
        <w:rPr>
          <w:rFonts w:hint="eastAsia" w:ascii="宋体" w:hAnsi="宋体" w:cs="宋体"/>
          <w:b w:val="0"/>
          <w:bCs/>
          <w:color w:val="auto"/>
          <w:kern w:val="2"/>
          <w:sz w:val="24"/>
          <w:szCs w:val="24"/>
          <w:highlight w:val="none"/>
          <w:lang w:val="en-US" w:eastAsia="zh-CN"/>
        </w:rPr>
        <w:t>根据规定的清运方法</w:t>
      </w:r>
      <w:r>
        <w:rPr>
          <w:rFonts w:hint="eastAsia" w:ascii="宋体" w:hAnsi="宋体" w:eastAsia="宋体" w:cs="宋体"/>
          <w:b w:val="0"/>
          <w:bCs/>
          <w:color w:val="auto"/>
          <w:kern w:val="2"/>
          <w:sz w:val="24"/>
          <w:szCs w:val="24"/>
          <w:highlight w:val="none"/>
          <w:lang w:val="en-US" w:eastAsia="zh-CN"/>
        </w:rPr>
        <w:t>，按作业路线、垃圾产量进行操作，服务周到、文明。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2、有义务及时反馈营业垃圾产量的增减情况。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3、作业中不得漏点、不得任意撤点、车离点前要清扫垃圾，保持清运点及周边5米范围内清洁，地面无散落垃圾，空桶摆放有序。禁止焚烧垃圾，禁止拾废品。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4、作业结束后，车辆和垃圾桶须清洗干净、停放整齐。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5、垃圾及时清运，</w:t>
      </w:r>
      <w:r>
        <w:rPr>
          <w:rFonts w:hint="eastAsia" w:ascii="宋体" w:hAnsi="宋体" w:cs="宋体"/>
          <w:b w:val="0"/>
          <w:bCs/>
          <w:color w:val="auto"/>
          <w:kern w:val="2"/>
          <w:sz w:val="24"/>
          <w:szCs w:val="24"/>
          <w:highlight w:val="none"/>
          <w:lang w:val="en-US" w:eastAsia="zh-CN"/>
        </w:rPr>
        <w:t>日产日清，</w:t>
      </w:r>
      <w:r>
        <w:rPr>
          <w:rFonts w:hint="eastAsia" w:ascii="宋体" w:hAnsi="宋体" w:eastAsia="宋体" w:cs="宋体"/>
          <w:b w:val="0"/>
          <w:bCs/>
          <w:color w:val="auto"/>
          <w:kern w:val="2"/>
          <w:sz w:val="24"/>
          <w:szCs w:val="24"/>
          <w:highlight w:val="none"/>
          <w:lang w:val="en-US" w:eastAsia="zh-CN"/>
        </w:rPr>
        <w:t>不出现垃圾桶溢满现象。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color w:val="auto"/>
          <w:kern w:val="2"/>
          <w:sz w:val="24"/>
          <w:szCs w:val="24"/>
          <w:highlight w:val="none"/>
          <w:lang w:val="en-US" w:eastAsia="zh-CN" w:bidi="ar-SA"/>
        </w:rPr>
      </w:pPr>
      <w:r>
        <w:rPr>
          <w:rFonts w:hint="eastAsia" w:ascii="宋体" w:hAnsi="宋体" w:cs="宋体"/>
          <w:b/>
          <w:bCs w:val="0"/>
          <w:color w:val="auto"/>
          <w:kern w:val="2"/>
          <w:sz w:val="24"/>
          <w:szCs w:val="24"/>
          <w:highlight w:val="none"/>
          <w:lang w:val="en-US" w:eastAsia="zh-CN" w:bidi="ar-SA"/>
        </w:rPr>
        <w:t>五</w:t>
      </w:r>
      <w:r>
        <w:rPr>
          <w:rFonts w:hint="eastAsia" w:ascii="宋体" w:hAnsi="宋体" w:eastAsia="宋体" w:cs="宋体"/>
          <w:b/>
          <w:bCs w:val="0"/>
          <w:color w:val="auto"/>
          <w:kern w:val="2"/>
          <w:sz w:val="24"/>
          <w:szCs w:val="24"/>
          <w:highlight w:val="none"/>
          <w:lang w:val="en-US" w:eastAsia="zh-CN" w:bidi="ar-SA"/>
        </w:rPr>
        <w:t>、环卫清运考核细则：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考核以桃源街道卫生考核组抽查考核与</w:t>
      </w:r>
      <w:r>
        <w:rPr>
          <w:rFonts w:hint="eastAsia" w:ascii="宋体" w:hAnsi="宋体" w:cs="宋体"/>
          <w:b w:val="0"/>
          <w:bCs/>
          <w:color w:val="auto"/>
          <w:kern w:val="2"/>
          <w:sz w:val="24"/>
          <w:szCs w:val="24"/>
          <w:highlight w:val="none"/>
          <w:lang w:val="en-US" w:eastAsia="zh-CN"/>
        </w:rPr>
        <w:t>服务公司</w:t>
      </w:r>
      <w:r>
        <w:rPr>
          <w:rFonts w:hint="eastAsia" w:ascii="宋体" w:hAnsi="宋体" w:eastAsia="宋体" w:cs="宋体"/>
          <w:b w:val="0"/>
          <w:bCs/>
          <w:color w:val="auto"/>
          <w:kern w:val="2"/>
          <w:sz w:val="24"/>
          <w:szCs w:val="24"/>
          <w:highlight w:val="none"/>
          <w:lang w:val="en-US" w:eastAsia="zh-CN"/>
        </w:rPr>
        <w:t>自评相结合的形式进行，每月不定期抽查一次以上，具体考核评分标准见附件1：宁海县桃源街道其他垃圾收运服务项目考核表。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（一）</w:t>
      </w:r>
      <w:r>
        <w:rPr>
          <w:rFonts w:hint="eastAsia" w:ascii="宋体" w:hAnsi="宋体" w:eastAsia="宋体" w:cs="宋体"/>
          <w:b w:val="0"/>
          <w:bCs/>
          <w:color w:val="auto"/>
          <w:kern w:val="2"/>
          <w:sz w:val="24"/>
          <w:szCs w:val="24"/>
          <w:highlight w:val="none"/>
          <w:lang w:val="en-US" w:eastAsia="zh-CN"/>
        </w:rPr>
        <w:t>项目其他要求：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bookmarkStart w:id="32" w:name="_Toc329697492"/>
      <w:bookmarkStart w:id="33" w:name="_Toc404283886"/>
      <w:r>
        <w:rPr>
          <w:rFonts w:hint="eastAsia" w:ascii="宋体" w:hAnsi="宋体" w:eastAsia="宋体" w:cs="宋体"/>
          <w:b w:val="0"/>
          <w:bCs/>
          <w:color w:val="auto"/>
          <w:kern w:val="2"/>
          <w:sz w:val="24"/>
          <w:szCs w:val="24"/>
          <w:highlight w:val="none"/>
          <w:lang w:val="en-US" w:eastAsia="zh-CN"/>
        </w:rPr>
        <w:t>▲1、</w:t>
      </w:r>
      <w:r>
        <w:rPr>
          <w:rFonts w:hint="eastAsia" w:ascii="宋体" w:hAnsi="宋体" w:cs="宋体"/>
          <w:color w:val="auto"/>
          <w:kern w:val="0"/>
          <w:sz w:val="24"/>
          <w:highlight w:val="none"/>
          <w:lang w:val="en-US" w:eastAsia="zh-CN"/>
        </w:rPr>
        <w:t>供应商</w:t>
      </w:r>
      <w:r>
        <w:rPr>
          <w:rFonts w:hint="eastAsia" w:ascii="宋体" w:hAnsi="宋体" w:eastAsia="宋体" w:cs="宋体"/>
          <w:b w:val="0"/>
          <w:bCs/>
          <w:color w:val="auto"/>
          <w:kern w:val="2"/>
          <w:sz w:val="24"/>
          <w:szCs w:val="24"/>
          <w:highlight w:val="none"/>
          <w:lang w:val="en-US" w:eastAsia="zh-CN"/>
        </w:rPr>
        <w:t>须为每位符合国家规定社保（基本养老、基本医疗、工伤、生育、失业保险）条件的职工参加保险，并对所有符合参加人身意外伤害保险条件的人员统一进行参保（社会保险参保人员除外），必须重视安全生产工作，确保全年不出安全生产责任事故。如发生安全生产责任事故或交通事故，由</w:t>
      </w:r>
      <w:r>
        <w:rPr>
          <w:rFonts w:hint="eastAsia" w:ascii="宋体" w:hAnsi="宋体" w:cs="宋体"/>
          <w:color w:val="auto"/>
          <w:kern w:val="0"/>
          <w:sz w:val="24"/>
          <w:highlight w:val="none"/>
          <w:lang w:val="en-US" w:eastAsia="zh-CN"/>
        </w:rPr>
        <w:t>供应商</w:t>
      </w:r>
      <w:r>
        <w:rPr>
          <w:rFonts w:hint="eastAsia" w:ascii="宋体" w:hAnsi="宋体" w:eastAsia="宋体" w:cs="宋体"/>
          <w:b w:val="0"/>
          <w:bCs/>
          <w:color w:val="auto"/>
          <w:kern w:val="2"/>
          <w:sz w:val="24"/>
          <w:szCs w:val="24"/>
          <w:highlight w:val="none"/>
          <w:lang w:val="en-US" w:eastAsia="zh-CN"/>
        </w:rPr>
        <w:t>承担一切责任及赔偿损失。</w:t>
      </w:r>
      <w:bookmarkEnd w:id="32"/>
      <w:bookmarkEnd w:id="33"/>
      <w:r>
        <w:rPr>
          <w:rFonts w:hint="eastAsia" w:ascii="宋体" w:hAnsi="宋体" w:eastAsia="宋体" w:cs="宋体"/>
          <w:b w:val="0"/>
          <w:bCs/>
          <w:color w:val="auto"/>
          <w:kern w:val="2"/>
          <w:sz w:val="24"/>
          <w:szCs w:val="24"/>
          <w:highlight w:val="none"/>
          <w:lang w:val="en-US" w:eastAsia="zh-CN"/>
        </w:rPr>
        <w:t>确保采购人的正常工作运营，不得延误工作。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bookmarkStart w:id="34" w:name="_Toc404283888"/>
      <w:r>
        <w:rPr>
          <w:rFonts w:hint="eastAsia" w:ascii="宋体" w:hAnsi="宋体" w:cs="宋体"/>
          <w:b w:val="0"/>
          <w:bCs/>
          <w:color w:val="auto"/>
          <w:kern w:val="2"/>
          <w:sz w:val="24"/>
          <w:szCs w:val="24"/>
          <w:highlight w:val="none"/>
          <w:lang w:val="en-US" w:eastAsia="zh-CN"/>
        </w:rPr>
        <w:t>2</w:t>
      </w:r>
      <w:r>
        <w:rPr>
          <w:rFonts w:hint="eastAsia" w:ascii="宋体" w:hAnsi="宋体" w:eastAsia="宋体" w:cs="宋体"/>
          <w:b w:val="0"/>
          <w:bCs/>
          <w:color w:val="auto"/>
          <w:kern w:val="2"/>
          <w:sz w:val="24"/>
          <w:szCs w:val="24"/>
          <w:highlight w:val="none"/>
          <w:lang w:val="en-US" w:eastAsia="zh-CN"/>
        </w:rPr>
        <w:t>、服务期限内，本合同清运清单中的垃圾桶如发生人为减少及毁损的，中标人应予以及时补齐或修复，所需费用由</w:t>
      </w:r>
      <w:r>
        <w:rPr>
          <w:rFonts w:hint="eastAsia" w:ascii="宋体" w:hAnsi="宋体" w:cs="宋体"/>
          <w:b w:val="0"/>
          <w:bCs/>
          <w:color w:val="auto"/>
          <w:kern w:val="2"/>
          <w:sz w:val="24"/>
          <w:szCs w:val="24"/>
          <w:highlight w:val="none"/>
          <w:lang w:val="en-US" w:eastAsia="zh-CN"/>
        </w:rPr>
        <w:t>采购人</w:t>
      </w:r>
      <w:r>
        <w:rPr>
          <w:rFonts w:hint="eastAsia" w:ascii="宋体" w:hAnsi="宋体" w:eastAsia="宋体" w:cs="宋体"/>
          <w:b w:val="0"/>
          <w:bCs/>
          <w:color w:val="auto"/>
          <w:kern w:val="2"/>
          <w:sz w:val="24"/>
          <w:szCs w:val="24"/>
          <w:highlight w:val="none"/>
          <w:lang w:val="en-US" w:eastAsia="zh-CN"/>
        </w:rPr>
        <w:t>承担，</w:t>
      </w:r>
      <w:r>
        <w:rPr>
          <w:rFonts w:hint="eastAsia" w:ascii="宋体" w:hAnsi="宋体" w:cs="宋体"/>
          <w:b w:val="0"/>
          <w:bCs/>
          <w:color w:val="auto"/>
          <w:kern w:val="2"/>
          <w:sz w:val="24"/>
          <w:szCs w:val="24"/>
          <w:highlight w:val="none"/>
          <w:lang w:val="en-US" w:eastAsia="zh-CN"/>
        </w:rPr>
        <w:t>但</w:t>
      </w:r>
      <w:r>
        <w:rPr>
          <w:rFonts w:hint="eastAsia" w:ascii="宋体" w:hAnsi="宋体" w:eastAsia="宋体" w:cs="宋体"/>
          <w:b w:val="0"/>
          <w:bCs/>
          <w:color w:val="auto"/>
          <w:kern w:val="2"/>
          <w:sz w:val="24"/>
          <w:szCs w:val="24"/>
          <w:highlight w:val="none"/>
          <w:lang w:val="en-US" w:eastAsia="zh-CN"/>
        </w:rPr>
        <w:t>中标人要加强对垃圾桶放置位置和牢固程度的检查。</w:t>
      </w:r>
      <w:bookmarkEnd w:id="34"/>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bookmarkStart w:id="35" w:name="_Toc404283889"/>
      <w:r>
        <w:rPr>
          <w:rFonts w:hint="eastAsia" w:ascii="宋体" w:hAnsi="宋体" w:cs="宋体"/>
          <w:b w:val="0"/>
          <w:bCs/>
          <w:color w:val="auto"/>
          <w:kern w:val="2"/>
          <w:sz w:val="24"/>
          <w:szCs w:val="24"/>
          <w:highlight w:val="none"/>
          <w:lang w:val="en-US" w:eastAsia="zh-CN"/>
        </w:rPr>
        <w:t>3</w:t>
      </w:r>
      <w:r>
        <w:rPr>
          <w:rFonts w:hint="eastAsia" w:ascii="宋体" w:hAnsi="宋体" w:eastAsia="宋体" w:cs="宋体"/>
          <w:b w:val="0"/>
          <w:bCs/>
          <w:color w:val="auto"/>
          <w:kern w:val="2"/>
          <w:sz w:val="24"/>
          <w:szCs w:val="24"/>
          <w:highlight w:val="none"/>
          <w:lang w:val="en-US" w:eastAsia="zh-CN"/>
        </w:rPr>
        <w:t>、中标人应定期向采购单位提供清运管理计划及有关措施，按要求及时向采购单位上报各类报表及数据，以便采购单位进行监督考核。</w:t>
      </w:r>
      <w:bookmarkEnd w:id="35"/>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bookmarkStart w:id="36" w:name="_Toc404283890"/>
      <w:r>
        <w:rPr>
          <w:rFonts w:hint="eastAsia" w:ascii="宋体" w:hAnsi="宋体" w:cs="宋体"/>
          <w:b w:val="0"/>
          <w:bCs/>
          <w:color w:val="auto"/>
          <w:kern w:val="2"/>
          <w:sz w:val="24"/>
          <w:szCs w:val="24"/>
          <w:highlight w:val="none"/>
          <w:lang w:val="en-US" w:eastAsia="zh-CN"/>
        </w:rPr>
        <w:t>4</w:t>
      </w:r>
      <w:r>
        <w:rPr>
          <w:rFonts w:hint="eastAsia" w:ascii="宋体" w:hAnsi="宋体" w:eastAsia="宋体" w:cs="宋体"/>
          <w:b w:val="0"/>
          <w:bCs/>
          <w:color w:val="auto"/>
          <w:kern w:val="2"/>
          <w:sz w:val="24"/>
          <w:szCs w:val="24"/>
          <w:highlight w:val="none"/>
          <w:lang w:val="en-US" w:eastAsia="zh-CN"/>
        </w:rPr>
        <w:t>、中标人在搞好日常保洁、清运等工作的同时，必须</w:t>
      </w:r>
      <w:r>
        <w:rPr>
          <w:rFonts w:hint="eastAsia" w:ascii="宋体" w:hAnsi="宋体" w:cs="宋体"/>
          <w:b w:val="0"/>
          <w:bCs/>
          <w:color w:val="auto"/>
          <w:kern w:val="2"/>
          <w:sz w:val="24"/>
          <w:szCs w:val="24"/>
          <w:highlight w:val="none"/>
          <w:lang w:val="en-US" w:eastAsia="zh-CN"/>
        </w:rPr>
        <w:t>无条件</w:t>
      </w:r>
      <w:r>
        <w:rPr>
          <w:rFonts w:hint="eastAsia" w:ascii="宋体" w:hAnsi="宋体" w:eastAsia="宋体" w:cs="宋体"/>
          <w:b w:val="0"/>
          <w:bCs/>
          <w:color w:val="auto"/>
          <w:kern w:val="2"/>
          <w:sz w:val="24"/>
          <w:szCs w:val="24"/>
          <w:highlight w:val="none"/>
          <w:lang w:val="en-US" w:eastAsia="zh-CN"/>
        </w:rPr>
        <w:t>配合采购单位参加市、</w:t>
      </w:r>
      <w:bookmarkEnd w:id="36"/>
      <w:r>
        <w:rPr>
          <w:rFonts w:hint="eastAsia" w:ascii="宋体" w:hAnsi="宋体" w:eastAsia="宋体" w:cs="宋体"/>
          <w:b w:val="0"/>
          <w:bCs/>
          <w:color w:val="auto"/>
          <w:kern w:val="2"/>
          <w:sz w:val="24"/>
          <w:szCs w:val="24"/>
          <w:highlight w:val="none"/>
          <w:lang w:val="en-US" w:eastAsia="zh-CN"/>
        </w:rPr>
        <w:t>县</w:t>
      </w:r>
      <w:r>
        <w:rPr>
          <w:rFonts w:hint="eastAsia" w:ascii="宋体" w:hAnsi="宋体" w:cs="宋体"/>
          <w:b w:val="0"/>
          <w:bCs/>
          <w:color w:val="auto"/>
          <w:kern w:val="2"/>
          <w:sz w:val="24"/>
          <w:szCs w:val="24"/>
          <w:highlight w:val="none"/>
          <w:lang w:val="en-US" w:eastAsia="zh-CN"/>
        </w:rPr>
        <w:t>、街道</w:t>
      </w:r>
      <w:r>
        <w:rPr>
          <w:rFonts w:hint="eastAsia" w:ascii="宋体" w:hAnsi="宋体" w:eastAsia="宋体" w:cs="宋体"/>
          <w:b w:val="0"/>
          <w:bCs/>
          <w:color w:val="auto"/>
          <w:kern w:val="2"/>
          <w:sz w:val="24"/>
          <w:szCs w:val="24"/>
          <w:highlight w:val="none"/>
          <w:lang w:val="en-US" w:eastAsia="zh-CN"/>
        </w:rPr>
        <w:t>布置的各项节假日或重大活动的临时布置任务。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5</w:t>
      </w:r>
      <w:r>
        <w:rPr>
          <w:rFonts w:hint="eastAsia" w:ascii="宋体" w:hAnsi="宋体" w:eastAsia="宋体" w:cs="宋体"/>
          <w:b w:val="0"/>
          <w:bCs/>
          <w:color w:val="auto"/>
          <w:kern w:val="2"/>
          <w:sz w:val="24"/>
          <w:szCs w:val="24"/>
          <w:highlight w:val="none"/>
          <w:lang w:val="en-US" w:eastAsia="zh-CN"/>
        </w:rPr>
        <w:t>、相关各种车辆补助（购置、维修）及年终考核奖励资金全部划入宁海县人民政府桃源街道办事处，由宁海县人民政府桃源街道办事处按规定统一分配。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6</w:t>
      </w:r>
      <w:r>
        <w:rPr>
          <w:rFonts w:hint="eastAsia" w:ascii="宋体" w:hAnsi="宋体" w:eastAsia="宋体" w:cs="宋体"/>
          <w:b w:val="0"/>
          <w:bCs/>
          <w:color w:val="auto"/>
          <w:kern w:val="2"/>
          <w:sz w:val="24"/>
          <w:szCs w:val="24"/>
          <w:highlight w:val="none"/>
          <w:lang w:val="en-US" w:eastAsia="zh-CN"/>
        </w:rPr>
        <w:t>、中标人要配合宁海县人民政府桃源街道办事处的监督考核，对发现的问题要在</w:t>
      </w:r>
      <w:r>
        <w:rPr>
          <w:rFonts w:hint="eastAsia" w:ascii="宋体" w:hAnsi="宋体" w:cs="宋体"/>
          <w:b w:val="0"/>
          <w:bCs/>
          <w:color w:val="auto"/>
          <w:kern w:val="2"/>
          <w:sz w:val="24"/>
          <w:szCs w:val="24"/>
          <w:highlight w:val="none"/>
          <w:lang w:val="en-US" w:eastAsia="zh-CN"/>
        </w:rPr>
        <w:t>24小时</w:t>
      </w:r>
      <w:r>
        <w:rPr>
          <w:rFonts w:hint="eastAsia" w:ascii="宋体" w:hAnsi="宋体" w:eastAsia="宋体" w:cs="宋体"/>
          <w:b w:val="0"/>
          <w:bCs/>
          <w:color w:val="auto"/>
          <w:kern w:val="2"/>
          <w:sz w:val="24"/>
          <w:szCs w:val="24"/>
          <w:highlight w:val="none"/>
          <w:lang w:val="en-US" w:eastAsia="zh-CN"/>
        </w:rPr>
        <w:t>内整改完成。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7</w:t>
      </w:r>
      <w:r>
        <w:rPr>
          <w:rFonts w:hint="eastAsia" w:ascii="宋体" w:hAnsi="宋体" w:eastAsia="宋体" w:cs="宋体"/>
          <w:b w:val="0"/>
          <w:bCs/>
          <w:color w:val="auto"/>
          <w:kern w:val="2"/>
          <w:sz w:val="24"/>
          <w:szCs w:val="24"/>
          <w:highlight w:val="none"/>
          <w:lang w:val="en-US" w:eastAsia="zh-CN"/>
        </w:rPr>
        <w:t>、必须采用绿色环保优质清洁药剂，不仅保证清洁效果，而且确保对洁具、设备表面无损伤，对人体无损害。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8</w:t>
      </w:r>
      <w:r>
        <w:rPr>
          <w:rFonts w:hint="eastAsia" w:ascii="宋体" w:hAnsi="宋体" w:eastAsia="宋体" w:cs="宋体"/>
          <w:b w:val="0"/>
          <w:bCs/>
          <w:color w:val="auto"/>
          <w:kern w:val="2"/>
          <w:sz w:val="24"/>
          <w:szCs w:val="24"/>
          <w:highlight w:val="none"/>
          <w:lang w:val="en-US" w:eastAsia="zh-CN"/>
        </w:rPr>
        <w:t>、中标人应按有关规定要求设置清运现场安全维护标志，在整个清运过程中如发生安全事故，一切责任及费用均由中标人承担，并按有关规定配合协助有关部门做好事故处理工作。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9</w:t>
      </w:r>
      <w:r>
        <w:rPr>
          <w:rFonts w:hint="eastAsia" w:ascii="宋体" w:hAnsi="宋体" w:eastAsia="宋体" w:cs="宋体"/>
          <w:b w:val="0"/>
          <w:bCs/>
          <w:color w:val="auto"/>
          <w:kern w:val="2"/>
          <w:sz w:val="24"/>
          <w:szCs w:val="24"/>
          <w:highlight w:val="none"/>
          <w:lang w:val="en-US" w:eastAsia="zh-CN"/>
        </w:rPr>
        <w:t>、安全生产：本项目必须安全生产作业，若有工伤事故，和（或）造成的工料损失与其他任何损失，概由中标人负责。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（二）</w:t>
      </w:r>
      <w:r>
        <w:rPr>
          <w:rFonts w:hint="eastAsia" w:ascii="宋体" w:hAnsi="宋体" w:eastAsia="宋体" w:cs="宋体"/>
          <w:b w:val="0"/>
          <w:bCs/>
          <w:color w:val="auto"/>
          <w:kern w:val="2"/>
          <w:sz w:val="24"/>
          <w:szCs w:val="24"/>
          <w:highlight w:val="none"/>
          <w:lang w:val="en-US" w:eastAsia="zh-CN"/>
        </w:rPr>
        <w:t>考核标准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1、</w:t>
      </w:r>
      <w:r>
        <w:rPr>
          <w:rFonts w:hint="eastAsia" w:ascii="宋体" w:hAnsi="宋体" w:eastAsia="宋体" w:cs="宋体"/>
          <w:b w:val="0"/>
          <w:bCs/>
          <w:color w:val="auto"/>
          <w:kern w:val="2"/>
          <w:sz w:val="24"/>
          <w:szCs w:val="24"/>
          <w:highlight w:val="none"/>
          <w:lang w:val="en-US" w:eastAsia="zh-CN"/>
        </w:rPr>
        <w:t>考核对象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本办法对清运质量情况、规范作业情况、监督管理及社会责任落实情况进行考核，及垃圾收运</w:t>
      </w:r>
      <w:r>
        <w:rPr>
          <w:rFonts w:hint="eastAsia" w:ascii="宋体" w:hAnsi="宋体" w:cs="宋体"/>
          <w:b w:val="0"/>
          <w:bCs/>
          <w:color w:val="auto"/>
          <w:kern w:val="2"/>
          <w:sz w:val="24"/>
          <w:szCs w:val="24"/>
          <w:highlight w:val="none"/>
          <w:lang w:val="en-US" w:eastAsia="zh-CN"/>
        </w:rPr>
        <w:t>服务公司</w:t>
      </w:r>
      <w:r>
        <w:rPr>
          <w:rFonts w:hint="eastAsia" w:ascii="宋体" w:hAnsi="宋体" w:eastAsia="宋体" w:cs="宋体"/>
          <w:b w:val="0"/>
          <w:bCs/>
          <w:color w:val="auto"/>
          <w:kern w:val="2"/>
          <w:sz w:val="24"/>
          <w:szCs w:val="24"/>
          <w:highlight w:val="none"/>
          <w:lang w:val="en-US" w:eastAsia="zh-CN"/>
        </w:rPr>
        <w:t>均列入考核范围。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2、</w:t>
      </w:r>
      <w:r>
        <w:rPr>
          <w:rFonts w:hint="eastAsia" w:ascii="宋体" w:hAnsi="宋体" w:eastAsia="宋体" w:cs="宋体"/>
          <w:b w:val="0"/>
          <w:bCs/>
          <w:color w:val="auto"/>
          <w:kern w:val="2"/>
          <w:sz w:val="24"/>
          <w:szCs w:val="24"/>
          <w:highlight w:val="none"/>
          <w:lang w:val="en-US" w:eastAsia="zh-CN"/>
        </w:rPr>
        <w:t>考核机制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建立</w:t>
      </w:r>
      <w:r>
        <w:rPr>
          <w:rFonts w:hint="eastAsia" w:ascii="宋体" w:hAnsi="宋体" w:cs="宋体"/>
          <w:color w:val="auto"/>
          <w:kern w:val="0"/>
          <w:sz w:val="24"/>
          <w:highlight w:val="none"/>
          <w:lang w:val="en-US" w:eastAsia="zh-CN"/>
        </w:rPr>
        <w:t>中标人</w:t>
      </w:r>
      <w:r>
        <w:rPr>
          <w:rFonts w:hint="eastAsia" w:ascii="宋体" w:hAnsi="宋体" w:eastAsia="宋体" w:cs="宋体"/>
          <w:b w:val="0"/>
          <w:bCs/>
          <w:color w:val="auto"/>
          <w:kern w:val="2"/>
          <w:sz w:val="24"/>
          <w:szCs w:val="24"/>
          <w:highlight w:val="none"/>
          <w:lang w:val="en-US" w:eastAsia="zh-CN"/>
        </w:rPr>
        <w:t>每日自查、街道、村</w:t>
      </w:r>
      <w:r>
        <w:rPr>
          <w:rFonts w:hint="eastAsia" w:ascii="宋体" w:hAnsi="宋体" w:cs="宋体"/>
          <w:b w:val="0"/>
          <w:bCs/>
          <w:color w:val="auto"/>
          <w:kern w:val="2"/>
          <w:sz w:val="24"/>
          <w:szCs w:val="24"/>
          <w:highlight w:val="none"/>
          <w:lang w:val="en-US" w:eastAsia="zh-CN"/>
        </w:rPr>
        <w:t>（社）</w:t>
      </w:r>
      <w:r>
        <w:rPr>
          <w:rFonts w:hint="eastAsia" w:ascii="宋体" w:hAnsi="宋体" w:eastAsia="宋体" w:cs="宋体"/>
          <w:b w:val="0"/>
          <w:bCs/>
          <w:color w:val="auto"/>
          <w:kern w:val="2"/>
          <w:sz w:val="24"/>
          <w:szCs w:val="24"/>
          <w:highlight w:val="none"/>
          <w:lang w:val="en-US" w:eastAsia="zh-CN"/>
        </w:rPr>
        <w:t>考核全面巡查的三查制度，不断总结完善考核机制，达到既能提高</w:t>
      </w:r>
      <w:r>
        <w:rPr>
          <w:rFonts w:hint="eastAsia" w:ascii="宋体" w:hAnsi="宋体" w:cs="宋体"/>
          <w:color w:val="auto"/>
          <w:kern w:val="0"/>
          <w:sz w:val="24"/>
          <w:highlight w:val="none"/>
          <w:lang w:val="en-US" w:eastAsia="zh-CN"/>
        </w:rPr>
        <w:t>中标</w:t>
      </w:r>
      <w:r>
        <w:rPr>
          <w:rFonts w:hint="eastAsia" w:ascii="宋体" w:hAnsi="宋体" w:eastAsia="宋体" w:cs="宋体"/>
          <w:b w:val="0"/>
          <w:bCs/>
          <w:color w:val="auto"/>
          <w:kern w:val="2"/>
          <w:sz w:val="24"/>
          <w:szCs w:val="24"/>
          <w:highlight w:val="none"/>
          <w:lang w:val="en-US" w:eastAsia="zh-CN"/>
        </w:rPr>
        <w:t>公司积极性，又便于考核</w:t>
      </w:r>
      <w:r>
        <w:rPr>
          <w:rFonts w:hint="eastAsia" w:ascii="宋体" w:hAnsi="宋体" w:cs="宋体"/>
          <w:b w:val="0"/>
          <w:bCs/>
          <w:color w:val="auto"/>
          <w:kern w:val="2"/>
          <w:sz w:val="24"/>
          <w:szCs w:val="24"/>
          <w:highlight w:val="none"/>
          <w:lang w:val="en-US" w:eastAsia="zh-CN"/>
        </w:rPr>
        <w:t>中标</w:t>
      </w:r>
      <w:r>
        <w:rPr>
          <w:rFonts w:hint="eastAsia" w:ascii="宋体" w:hAnsi="宋体" w:eastAsia="宋体" w:cs="宋体"/>
          <w:b w:val="0"/>
          <w:bCs/>
          <w:color w:val="auto"/>
          <w:kern w:val="2"/>
          <w:sz w:val="24"/>
          <w:szCs w:val="24"/>
          <w:highlight w:val="none"/>
          <w:lang w:val="en-US" w:eastAsia="zh-CN"/>
        </w:rPr>
        <w:t>公司的各方面工作。</w:t>
      </w:r>
      <w:r>
        <w:rPr>
          <w:rFonts w:hint="eastAsia" w:ascii="宋体" w:hAnsi="宋体" w:cs="宋体"/>
          <w:b w:val="0"/>
          <w:bCs/>
          <w:color w:val="auto"/>
          <w:kern w:val="2"/>
          <w:sz w:val="24"/>
          <w:szCs w:val="24"/>
          <w:highlight w:val="none"/>
          <w:lang w:val="en-US" w:eastAsia="zh-CN"/>
        </w:rPr>
        <w:t>采购人</w:t>
      </w:r>
      <w:r>
        <w:rPr>
          <w:rFonts w:hint="eastAsia" w:ascii="宋体" w:hAnsi="宋体" w:eastAsia="宋体" w:cs="宋体"/>
          <w:b w:val="0"/>
          <w:bCs/>
          <w:color w:val="auto"/>
          <w:kern w:val="2"/>
          <w:sz w:val="24"/>
          <w:szCs w:val="24"/>
          <w:highlight w:val="none"/>
          <w:lang w:val="en-US" w:eastAsia="zh-CN"/>
        </w:rPr>
        <w:t>根据每月考评结果，作出综合考核评价意见，发放每月</w:t>
      </w:r>
      <w:r>
        <w:rPr>
          <w:rFonts w:hint="eastAsia" w:ascii="宋体" w:hAnsi="宋体" w:cs="宋体"/>
          <w:b w:val="0"/>
          <w:bCs/>
          <w:color w:val="auto"/>
          <w:kern w:val="2"/>
          <w:sz w:val="24"/>
          <w:szCs w:val="24"/>
          <w:highlight w:val="none"/>
          <w:lang w:val="en-US" w:eastAsia="zh-CN"/>
        </w:rPr>
        <w:t>服务</w:t>
      </w:r>
      <w:r>
        <w:rPr>
          <w:rFonts w:hint="eastAsia" w:ascii="宋体" w:hAnsi="宋体" w:eastAsia="宋体" w:cs="宋体"/>
          <w:b w:val="0"/>
          <w:bCs/>
          <w:color w:val="auto"/>
          <w:kern w:val="2"/>
          <w:sz w:val="24"/>
          <w:szCs w:val="24"/>
          <w:highlight w:val="none"/>
          <w:lang w:val="en-US" w:eastAsia="zh-CN"/>
        </w:rPr>
        <w:t>经费。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3、考核内容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cs="宋体"/>
          <w:b w:val="0"/>
          <w:bCs/>
          <w:color w:val="auto"/>
          <w:kern w:val="2"/>
          <w:sz w:val="24"/>
          <w:szCs w:val="24"/>
          <w:highlight w:val="none"/>
          <w:lang w:val="en-US" w:eastAsia="zh-CN"/>
        </w:rPr>
        <w:t>宁海县人民政府桃源街道办事处</w:t>
      </w:r>
      <w:r>
        <w:rPr>
          <w:rFonts w:hint="eastAsia" w:ascii="宋体" w:hAnsi="宋体" w:eastAsia="宋体" w:cs="宋体"/>
          <w:b w:val="0"/>
          <w:bCs/>
          <w:color w:val="auto"/>
          <w:kern w:val="2"/>
          <w:sz w:val="24"/>
          <w:szCs w:val="24"/>
          <w:highlight w:val="none"/>
          <w:lang w:val="en-US" w:eastAsia="zh-CN"/>
        </w:rPr>
        <w:t>依据《</w:t>
      </w:r>
      <w:r>
        <w:rPr>
          <w:rFonts w:hint="eastAsia" w:ascii="宋体" w:hAnsi="宋体" w:cs="宋体"/>
          <w:b w:val="0"/>
          <w:bCs/>
          <w:color w:val="auto"/>
          <w:kern w:val="2"/>
          <w:sz w:val="24"/>
          <w:szCs w:val="24"/>
          <w:highlight w:val="none"/>
          <w:lang w:val="en-US" w:eastAsia="zh-CN"/>
        </w:rPr>
        <w:t>宁海县桃源街道其他垃圾收运服务项目</w:t>
      </w:r>
      <w:r>
        <w:rPr>
          <w:rFonts w:hint="eastAsia" w:ascii="宋体" w:hAnsi="宋体" w:eastAsia="宋体" w:cs="宋体"/>
          <w:b w:val="0"/>
          <w:bCs/>
          <w:color w:val="auto"/>
          <w:kern w:val="2"/>
          <w:sz w:val="24"/>
          <w:szCs w:val="24"/>
          <w:highlight w:val="none"/>
          <w:lang w:val="en-US" w:eastAsia="zh-CN"/>
        </w:rPr>
        <w:t>》（详见</w:t>
      </w:r>
      <w:r>
        <w:rPr>
          <w:rFonts w:hint="eastAsia" w:ascii="宋体" w:hAnsi="宋体" w:cs="宋体"/>
          <w:b w:val="0"/>
          <w:bCs/>
          <w:color w:val="auto"/>
          <w:kern w:val="2"/>
          <w:sz w:val="24"/>
          <w:szCs w:val="24"/>
          <w:highlight w:val="none"/>
          <w:lang w:val="en-US" w:eastAsia="zh-CN"/>
        </w:rPr>
        <w:t>本部分</w:t>
      </w:r>
      <w:r>
        <w:rPr>
          <w:rFonts w:hint="eastAsia" w:ascii="宋体" w:hAnsi="宋体" w:eastAsia="宋体" w:cs="宋体"/>
          <w:b w:val="0"/>
          <w:bCs/>
          <w:color w:val="auto"/>
          <w:kern w:val="2"/>
          <w:sz w:val="24"/>
          <w:szCs w:val="24"/>
          <w:highlight w:val="none"/>
          <w:lang w:val="en-US" w:eastAsia="zh-CN"/>
        </w:rPr>
        <w:t>附件1）对</w:t>
      </w:r>
      <w:r>
        <w:rPr>
          <w:rFonts w:hint="eastAsia" w:ascii="宋体" w:hAnsi="宋体" w:cs="宋体"/>
          <w:b w:val="0"/>
          <w:bCs/>
          <w:color w:val="auto"/>
          <w:kern w:val="2"/>
          <w:sz w:val="24"/>
          <w:szCs w:val="24"/>
          <w:highlight w:val="none"/>
          <w:lang w:val="en-US" w:eastAsia="zh-CN"/>
        </w:rPr>
        <w:t>中标人进行考核</w:t>
      </w:r>
      <w:r>
        <w:rPr>
          <w:rFonts w:hint="eastAsia" w:ascii="宋体" w:hAnsi="宋体" w:eastAsia="宋体" w:cs="宋体"/>
          <w:b w:val="0"/>
          <w:bCs/>
          <w:color w:val="auto"/>
          <w:kern w:val="2"/>
          <w:sz w:val="24"/>
          <w:szCs w:val="24"/>
          <w:highlight w:val="none"/>
          <w:lang w:val="en-US" w:eastAsia="zh-CN"/>
        </w:rPr>
        <w:t>。</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）考核</w:t>
      </w:r>
      <w:r>
        <w:rPr>
          <w:rFonts w:hint="eastAsia" w:ascii="宋体" w:hAnsi="宋体" w:cs="宋体"/>
          <w:color w:val="auto"/>
          <w:sz w:val="24"/>
          <w:szCs w:val="24"/>
          <w:highlight w:val="none"/>
          <w:lang w:val="en-US" w:eastAsia="zh-CN"/>
        </w:rPr>
        <w:t>为月度考核</w:t>
      </w:r>
      <w:r>
        <w:rPr>
          <w:rFonts w:hint="eastAsia" w:ascii="宋体" w:hAnsi="宋体" w:eastAsia="宋体" w:cs="宋体"/>
          <w:color w:val="auto"/>
          <w:sz w:val="24"/>
          <w:szCs w:val="24"/>
          <w:highlight w:val="none"/>
          <w:lang w:val="en-US" w:eastAsia="zh-CN"/>
        </w:rPr>
        <w:t>。</w:t>
      </w:r>
    </w:p>
    <w:p>
      <w:pPr>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考核结果与服务经费相挂钩，相应得分与总体扣分项加减，如月考核分高于100分，超分部分按月服务经费乘以超分比例奖励。考核分在95分（含）以上，100分（含）以下的，按合同服务总价的100%支付服务费用；如低于95分（不含），高于90分（含）的，每扣1分，扣除当月服务经费2000元。考核分在90分（不含）以下，80分以上的，每扣1分，扣除当月服务经费3000元。考核分在80分以下的，为不合格，在已扣服务经费的基础上一次性扣除当月服务经费的20%。考核分在60分以下的，本月经费不予发放。如连续3次不足80分，采购人有权不与中标人签订下一年度合同，同时没收中标人履约保证金，并由中标人赔偿由此造成的经济损失。</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（3）中标人</w:t>
      </w:r>
      <w:r>
        <w:rPr>
          <w:rFonts w:hint="eastAsia" w:ascii="宋体" w:hAnsi="宋体" w:eastAsia="宋体" w:cs="宋体"/>
          <w:color w:val="auto"/>
          <w:sz w:val="24"/>
          <w:szCs w:val="24"/>
          <w:highlight w:val="none"/>
          <w:lang w:val="en-US" w:eastAsia="zh-CN"/>
        </w:rPr>
        <w:t>存在</w:t>
      </w:r>
      <w:r>
        <w:rPr>
          <w:rFonts w:hint="eastAsia" w:ascii="宋体" w:hAnsi="宋体" w:cs="宋体"/>
          <w:color w:val="auto"/>
          <w:sz w:val="24"/>
          <w:szCs w:val="24"/>
          <w:highlight w:val="none"/>
          <w:lang w:val="en-US" w:eastAsia="zh-CN"/>
        </w:rPr>
        <w:t>当月</w:t>
      </w:r>
      <w:r>
        <w:rPr>
          <w:rFonts w:hint="eastAsia" w:ascii="宋体" w:hAnsi="宋体" w:eastAsia="宋体" w:cs="宋体"/>
          <w:color w:val="auto"/>
          <w:sz w:val="24"/>
          <w:szCs w:val="24"/>
          <w:highlight w:val="none"/>
          <w:lang w:val="en-US" w:eastAsia="zh-CN"/>
        </w:rPr>
        <w:t>考核细则中合计扣除40分情形的，采购人有权随时解除合同，没收</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lang w:val="en-US" w:eastAsia="zh-CN"/>
        </w:rPr>
        <w:t>履约保证金，且</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lang w:val="en-US" w:eastAsia="zh-CN"/>
        </w:rPr>
        <w:t>须按合同服务总价的20%支付违约金给采购人，违约金不足以赔偿采购人损失的，继续承担赔偿责任。</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lang w:val="en-US" w:eastAsia="zh-CN"/>
        </w:rPr>
        <w:t>因违约合同被解除的，5年内不得再次参与本辖区内</w:t>
      </w:r>
      <w:r>
        <w:rPr>
          <w:rFonts w:hint="eastAsia" w:ascii="宋体" w:hAnsi="宋体" w:cs="宋体"/>
          <w:color w:val="auto"/>
          <w:sz w:val="24"/>
          <w:szCs w:val="24"/>
          <w:highlight w:val="none"/>
          <w:lang w:val="en-US" w:eastAsia="zh-CN"/>
        </w:rPr>
        <w:t>其他垃圾清运</w:t>
      </w:r>
      <w:r>
        <w:rPr>
          <w:rFonts w:hint="eastAsia" w:ascii="宋体" w:hAnsi="宋体" w:eastAsia="宋体" w:cs="宋体"/>
          <w:color w:val="auto"/>
          <w:sz w:val="24"/>
          <w:szCs w:val="24"/>
          <w:highlight w:val="none"/>
          <w:lang w:val="en-US" w:eastAsia="zh-CN"/>
        </w:rPr>
        <w:t>服务采购项目。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rPr>
          <w:rFonts w:hint="eastAsia" w:ascii="宋体" w:hAnsi="宋体" w:eastAsia="宋体" w:cs="宋体"/>
          <w:b/>
          <w:bCs/>
          <w:color w:val="auto"/>
          <w:kern w:val="2"/>
          <w:sz w:val="24"/>
          <w:szCs w:val="24"/>
          <w:highlight w:val="none"/>
          <w:lang w:val="en-US" w:eastAsia="zh-CN" w:bidi="ar"/>
        </w:rPr>
      </w:pPr>
      <w:r>
        <w:rPr>
          <w:rFonts w:hint="eastAsia" w:ascii="宋体" w:hAnsi="宋体" w:eastAsia="宋体" w:cs="宋体"/>
          <w:b/>
          <w:bCs/>
          <w:color w:val="auto"/>
          <w:kern w:val="2"/>
          <w:sz w:val="24"/>
          <w:szCs w:val="24"/>
          <w:highlight w:val="none"/>
          <w:lang w:val="en-US" w:eastAsia="zh-CN" w:bidi="ar"/>
        </w:rPr>
        <w:t>三、其他要求</w:t>
      </w:r>
    </w:p>
    <w:bookmarkEnd w:id="31"/>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（一）根据项目相关要求，请各供应商针对本项目提供有效的实施方案。</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（二）供应商需根据项目具体要求，提供详细的服务方案、</w:t>
      </w:r>
      <w:r>
        <w:rPr>
          <w:rFonts w:hint="eastAsia" w:ascii="宋体" w:hAnsi="宋体" w:cs="宋体"/>
          <w:color w:val="auto"/>
          <w:sz w:val="24"/>
          <w:szCs w:val="24"/>
          <w:highlight w:val="none"/>
          <w:lang w:val="en-US" w:eastAsia="zh-CN"/>
        </w:rPr>
        <w:t>人员</w:t>
      </w:r>
      <w:r>
        <w:rPr>
          <w:rFonts w:hint="eastAsia" w:ascii="宋体" w:hAnsi="宋体" w:eastAsia="宋体" w:cs="宋体"/>
          <w:color w:val="auto"/>
          <w:sz w:val="24"/>
          <w:szCs w:val="24"/>
          <w:highlight w:val="none"/>
          <w:lang w:val="en-US" w:eastAsia="zh-CN"/>
        </w:rPr>
        <w:t>配置方案、质量保障、员工考核管理方法、内部管理制度、员工培训方案</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lang w:val="en-US" w:eastAsia="zh-CN"/>
        </w:rPr>
        <w:t>。</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（三）为保障服务，供应商根据本项目情况投入所需的设备、车辆、人员，提供相关方案；并为</w:t>
      </w:r>
      <w:r>
        <w:rPr>
          <w:rFonts w:hint="eastAsia" w:ascii="宋体" w:hAnsi="宋体" w:cs="宋体"/>
          <w:color w:val="auto"/>
          <w:sz w:val="24"/>
          <w:szCs w:val="24"/>
          <w:highlight w:val="none"/>
          <w:lang w:val="en-US" w:eastAsia="zh-CN"/>
        </w:rPr>
        <w:t>特别</w:t>
      </w:r>
      <w:r>
        <w:rPr>
          <w:rFonts w:hint="eastAsia" w:ascii="宋体" w:hAnsi="宋体" w:eastAsia="宋体" w:cs="宋体"/>
          <w:color w:val="auto"/>
          <w:sz w:val="24"/>
          <w:szCs w:val="24"/>
          <w:highlight w:val="none"/>
          <w:lang w:val="en-US" w:eastAsia="zh-CN"/>
        </w:rPr>
        <w:t>时期提供应急服务。</w:t>
      </w:r>
    </w:p>
    <w:p>
      <w:pPr>
        <w:spacing w:line="360" w:lineRule="auto"/>
        <w:ind w:firstLine="480" w:firstLineChars="200"/>
        <w:jc w:val="left"/>
        <w:rPr>
          <w:rFonts w:hint="eastAsia" w:ascii="宋体" w:hAnsi="宋体" w:eastAsia="宋体" w:cs="宋体"/>
          <w:color w:val="auto"/>
          <w:sz w:val="24"/>
          <w:szCs w:val="24"/>
          <w:highlight w:val="none"/>
          <w:lang w:val="en-US" w:eastAsia="zh-CN"/>
        </w:rPr>
        <w:sectPr>
          <w:pgSz w:w="11907" w:h="16840"/>
          <w:pgMar w:top="1474" w:right="1814" w:bottom="1474" w:left="1814" w:header="851" w:footer="851" w:gutter="0"/>
          <w:pgNumType w:fmt="decimal"/>
          <w:cols w:space="720" w:num="1"/>
        </w:sect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eastAsia="zh-CN"/>
        </w:rPr>
        <w:t>）为保障项目的有效实施，供应商需具有同类项目经验（提供业绩证明材料）。</w:t>
      </w:r>
    </w:p>
    <w:p>
      <w:pPr>
        <w:adjustRightInd/>
        <w:spacing w:line="360" w:lineRule="auto"/>
        <w:rPr>
          <w:rFonts w:hint="eastAsia" w:ascii="Times New Roman" w:hAnsi="Times New Roman" w:eastAsia="宋体" w:cs="Times New Roman"/>
          <w:b/>
          <w:color w:val="auto"/>
          <w:sz w:val="24"/>
        </w:rPr>
      </w:pPr>
      <w:r>
        <w:rPr>
          <w:rFonts w:hint="eastAsia" w:ascii="Times New Roman" w:hAnsi="Times New Roman" w:eastAsia="宋体" w:cs="Times New Roman"/>
          <w:b/>
          <w:color w:val="auto"/>
          <w:sz w:val="24"/>
        </w:rPr>
        <w:t>附件1</w:t>
      </w:r>
      <w:r>
        <w:rPr>
          <w:rFonts w:hint="eastAsia" w:ascii="Times New Roman" w:hAnsi="Times New Roman" w:eastAsia="宋体" w:cs="Times New Roman"/>
          <w:b/>
          <w:color w:val="auto"/>
          <w:sz w:val="24"/>
          <w:lang w:eastAsia="zh-CN"/>
        </w:rPr>
        <w:t>宁海县桃源街道其他垃圾收运服务项目</w:t>
      </w:r>
      <w:r>
        <w:rPr>
          <w:rFonts w:hint="eastAsia" w:ascii="Times New Roman" w:hAnsi="Times New Roman" w:eastAsia="宋体" w:cs="Times New Roman"/>
          <w:b/>
          <w:color w:val="auto"/>
          <w:sz w:val="24"/>
        </w:rPr>
        <w:t>考核制度</w:t>
      </w:r>
    </w:p>
    <w:p>
      <w:pPr>
        <w:adjustRightInd/>
        <w:spacing w:line="560" w:lineRule="exact"/>
        <w:rPr>
          <w:rFonts w:ascii="宋体" w:hAnsi="Times New Roman" w:eastAsia="宋体" w:cs="宋体"/>
          <w:b/>
          <w:bCs/>
          <w:color w:val="auto"/>
          <w:szCs w:val="21"/>
        </w:rPr>
      </w:pPr>
      <w:r>
        <w:rPr>
          <w:rFonts w:ascii="宋体" w:hAnsi="宋体" w:eastAsia="宋体" w:cs="宋体"/>
          <w:color w:val="auto"/>
          <w:szCs w:val="21"/>
        </w:rPr>
        <w:t xml:space="preserve"> </w:t>
      </w:r>
      <w:r>
        <w:rPr>
          <w:rFonts w:hint="eastAsia" w:ascii="宋体" w:hAnsi="宋体" w:eastAsia="宋体" w:cs="宋体"/>
          <w:b/>
          <w:bCs/>
          <w:color w:val="auto"/>
          <w:szCs w:val="21"/>
          <w:lang w:eastAsia="zh-CN"/>
        </w:rPr>
        <w:t>一</w:t>
      </w:r>
      <w:r>
        <w:rPr>
          <w:rFonts w:hint="eastAsia" w:ascii="宋体" w:hAnsi="宋体" w:eastAsia="宋体" w:cs="宋体"/>
          <w:b/>
          <w:bCs/>
          <w:color w:val="auto"/>
          <w:szCs w:val="21"/>
        </w:rPr>
        <w:t>、垃圾桶</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w:t>
      </w:r>
      <w:r>
        <w:rPr>
          <w:rFonts w:hint="eastAsia" w:ascii="宋体" w:hAnsi="宋体" w:eastAsia="宋体" w:cs="宋体"/>
          <w:color w:val="auto"/>
          <w:szCs w:val="21"/>
          <w:lang w:eastAsia="zh-CN"/>
        </w:rPr>
        <w:t>清运</w:t>
      </w:r>
      <w:r>
        <w:rPr>
          <w:rFonts w:hint="eastAsia" w:ascii="宋体" w:hAnsi="宋体" w:eastAsia="宋体" w:cs="宋体"/>
          <w:color w:val="auto"/>
          <w:szCs w:val="21"/>
        </w:rPr>
        <w:t>服务范围内有垃圾围栏需将垃圾桶放置在垃圾围栏内，无垃圾围栏应放置人行道上，不得放置于主要道路上或旁边；</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w:t>
      </w:r>
      <w:r>
        <w:rPr>
          <w:rFonts w:hint="eastAsia" w:ascii="宋体" w:hAnsi="宋体" w:eastAsia="宋体" w:cs="宋体"/>
          <w:color w:val="auto"/>
          <w:szCs w:val="21"/>
          <w:lang w:eastAsia="zh-CN"/>
        </w:rPr>
        <w:t>清运</w:t>
      </w:r>
      <w:r>
        <w:rPr>
          <w:rFonts w:hint="eastAsia" w:ascii="宋体" w:hAnsi="宋体" w:eastAsia="宋体" w:cs="宋体"/>
          <w:color w:val="auto"/>
          <w:szCs w:val="21"/>
        </w:rPr>
        <w:t>服务范围内垃圾桶垃圾不能溢出，且垃圾桶盖子要合上；</w:t>
      </w:r>
    </w:p>
    <w:p>
      <w:pPr>
        <w:adjustRightInd/>
        <w:spacing w:line="560" w:lineRule="exact"/>
        <w:ind w:firstLine="420" w:firstLineChars="200"/>
        <w:rPr>
          <w:rFonts w:hint="eastAsia" w:ascii="宋体" w:hAnsi="宋体" w:eastAsia="宋体" w:cs="宋体"/>
          <w:color w:val="auto"/>
          <w:szCs w:val="21"/>
        </w:rPr>
      </w:pPr>
      <w:r>
        <w:rPr>
          <w:rFonts w:ascii="宋体" w:hAnsi="宋体" w:eastAsia="宋体" w:cs="宋体"/>
          <w:color w:val="auto"/>
          <w:szCs w:val="21"/>
        </w:rPr>
        <w:t>3</w:t>
      </w:r>
      <w:r>
        <w:rPr>
          <w:rFonts w:hint="eastAsia" w:ascii="宋体" w:hAnsi="宋体" w:eastAsia="宋体" w:cs="宋体"/>
          <w:color w:val="auto"/>
          <w:szCs w:val="21"/>
        </w:rPr>
        <w:t>、</w:t>
      </w:r>
      <w:r>
        <w:rPr>
          <w:rFonts w:hint="eastAsia" w:ascii="宋体" w:hAnsi="宋体" w:eastAsia="宋体" w:cs="宋体"/>
          <w:color w:val="auto"/>
          <w:szCs w:val="21"/>
          <w:lang w:eastAsia="zh-CN"/>
        </w:rPr>
        <w:t>清运</w:t>
      </w:r>
      <w:r>
        <w:rPr>
          <w:rFonts w:hint="eastAsia" w:ascii="宋体" w:hAnsi="宋体" w:eastAsia="宋体" w:cs="宋体"/>
          <w:color w:val="auto"/>
          <w:szCs w:val="21"/>
        </w:rPr>
        <w:t>服务范围内垃圾桶必须清洗干净，做到无异味，每个垃圾桶每天至少清运</w:t>
      </w:r>
      <w:r>
        <w:rPr>
          <w:rFonts w:hint="eastAsia" w:ascii="宋体" w:hAnsi="宋体" w:eastAsia="宋体" w:cs="宋体"/>
          <w:color w:val="auto"/>
          <w:szCs w:val="21"/>
          <w:lang w:val="en-US" w:eastAsia="zh-CN"/>
        </w:rPr>
        <w:t>2次</w:t>
      </w:r>
      <w:r>
        <w:rPr>
          <w:rFonts w:hint="eastAsia" w:ascii="宋体" w:hAnsi="宋体" w:eastAsia="宋体" w:cs="宋体"/>
          <w:color w:val="auto"/>
          <w:szCs w:val="21"/>
        </w:rPr>
        <w:t>、清洗1次；</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4</w:t>
      </w:r>
      <w:r>
        <w:rPr>
          <w:rFonts w:hint="eastAsia" w:ascii="宋体" w:hAnsi="宋体" w:eastAsia="宋体" w:cs="宋体"/>
          <w:color w:val="auto"/>
          <w:szCs w:val="21"/>
        </w:rPr>
        <w:t>、</w:t>
      </w:r>
      <w:r>
        <w:rPr>
          <w:rFonts w:hint="eastAsia" w:ascii="宋体" w:hAnsi="宋体" w:eastAsia="宋体" w:cs="宋体"/>
          <w:color w:val="auto"/>
          <w:szCs w:val="21"/>
          <w:lang w:eastAsia="zh-CN"/>
        </w:rPr>
        <w:t>清运</w:t>
      </w:r>
      <w:r>
        <w:rPr>
          <w:rFonts w:hint="eastAsia" w:ascii="宋体" w:hAnsi="宋体" w:eastAsia="宋体" w:cs="宋体"/>
          <w:color w:val="auto"/>
          <w:szCs w:val="21"/>
        </w:rPr>
        <w:t>服务范围内</w:t>
      </w:r>
      <w:r>
        <w:rPr>
          <w:rFonts w:hint="eastAsia" w:ascii="宋体" w:hAnsi="宋体" w:eastAsia="宋体" w:cs="宋体"/>
          <w:color w:val="auto"/>
          <w:szCs w:val="21"/>
          <w:lang w:eastAsia="zh-CN"/>
        </w:rPr>
        <w:t>垃圾桶</w:t>
      </w:r>
      <w:r>
        <w:rPr>
          <w:rFonts w:hint="eastAsia" w:ascii="宋体" w:hAnsi="宋体" w:eastAsia="宋体" w:cs="宋体"/>
          <w:color w:val="auto"/>
          <w:szCs w:val="21"/>
        </w:rPr>
        <w:t>表面要保持清洁，箱内垃圾要及时清理，不得外溢。</w:t>
      </w:r>
    </w:p>
    <w:p>
      <w:pPr>
        <w:adjustRightInd/>
        <w:spacing w:line="560" w:lineRule="exact"/>
        <w:rPr>
          <w:rFonts w:ascii="宋体" w:hAnsi="Times New Roman" w:eastAsia="宋体" w:cs="宋体"/>
          <w:b/>
          <w:bCs/>
          <w:color w:val="auto"/>
          <w:szCs w:val="21"/>
        </w:rPr>
      </w:pPr>
      <w:r>
        <w:rPr>
          <w:rFonts w:hint="eastAsia" w:ascii="宋体" w:hAnsi="宋体" w:eastAsia="宋体" w:cs="宋体"/>
          <w:b/>
          <w:bCs/>
          <w:color w:val="auto"/>
          <w:szCs w:val="21"/>
          <w:lang w:eastAsia="zh-CN"/>
        </w:rPr>
        <w:t>二</w:t>
      </w:r>
      <w:r>
        <w:rPr>
          <w:rFonts w:hint="eastAsia" w:ascii="宋体" w:hAnsi="宋体" w:eastAsia="宋体" w:cs="宋体"/>
          <w:b/>
          <w:bCs/>
          <w:color w:val="auto"/>
          <w:szCs w:val="21"/>
        </w:rPr>
        <w:t>、垃圾清运</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、各</w:t>
      </w:r>
      <w:r>
        <w:rPr>
          <w:rFonts w:hint="eastAsia" w:ascii="宋体" w:hAnsi="宋体" w:cs="宋体"/>
          <w:color w:val="auto"/>
          <w:szCs w:val="21"/>
          <w:lang w:val="en-US" w:eastAsia="zh-CN"/>
        </w:rPr>
        <w:t>村（社）</w:t>
      </w:r>
      <w:r>
        <w:rPr>
          <w:rFonts w:hint="eastAsia" w:ascii="宋体" w:hAnsi="宋体" w:eastAsia="宋体" w:cs="宋体"/>
          <w:color w:val="auto"/>
          <w:szCs w:val="21"/>
        </w:rPr>
        <w:t>垃圾</w:t>
      </w:r>
      <w:r>
        <w:rPr>
          <w:rFonts w:hint="eastAsia" w:ascii="宋体" w:hAnsi="宋体" w:eastAsia="宋体" w:cs="宋体"/>
          <w:color w:val="auto"/>
          <w:szCs w:val="21"/>
          <w:lang w:eastAsia="zh-CN"/>
        </w:rPr>
        <w:t>桶</w:t>
      </w:r>
      <w:r>
        <w:rPr>
          <w:rFonts w:hint="eastAsia" w:ascii="宋体" w:hAnsi="宋体" w:eastAsia="宋体" w:cs="宋体"/>
          <w:color w:val="auto"/>
          <w:szCs w:val="21"/>
        </w:rPr>
        <w:t>做到日产日清（看清运记录）；</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、垃圾</w:t>
      </w:r>
      <w:r>
        <w:rPr>
          <w:rFonts w:hint="eastAsia" w:ascii="宋体" w:hAnsi="宋体" w:eastAsia="宋体" w:cs="宋体"/>
          <w:color w:val="auto"/>
          <w:szCs w:val="21"/>
          <w:lang w:eastAsia="zh-CN"/>
        </w:rPr>
        <w:t>桶</w:t>
      </w:r>
      <w:r>
        <w:rPr>
          <w:rFonts w:hint="eastAsia" w:ascii="宋体" w:hAnsi="宋体" w:eastAsia="宋体" w:cs="宋体"/>
          <w:color w:val="auto"/>
          <w:szCs w:val="21"/>
        </w:rPr>
        <w:t>因垃圾过多而溢出，经村保洁员通知后要及时清运；</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3</w:t>
      </w:r>
      <w:r>
        <w:rPr>
          <w:rFonts w:hint="eastAsia" w:ascii="宋体" w:hAnsi="宋体" w:eastAsia="宋体" w:cs="宋体"/>
          <w:color w:val="auto"/>
          <w:szCs w:val="21"/>
        </w:rPr>
        <w:t>、保持垃圾</w:t>
      </w:r>
      <w:r>
        <w:rPr>
          <w:rFonts w:hint="eastAsia" w:ascii="宋体" w:hAnsi="宋体" w:eastAsia="宋体" w:cs="宋体"/>
          <w:color w:val="auto"/>
          <w:szCs w:val="21"/>
          <w:lang w:eastAsia="zh-CN"/>
        </w:rPr>
        <w:t>桶</w:t>
      </w:r>
      <w:r>
        <w:rPr>
          <w:rFonts w:hint="eastAsia" w:ascii="宋体" w:hAnsi="宋体" w:eastAsia="宋体" w:cs="宋体"/>
          <w:color w:val="auto"/>
          <w:szCs w:val="21"/>
        </w:rPr>
        <w:t>周边</w:t>
      </w:r>
      <w:r>
        <w:rPr>
          <w:rFonts w:ascii="宋体" w:hAnsi="宋体" w:eastAsia="宋体" w:cs="宋体"/>
          <w:color w:val="auto"/>
          <w:szCs w:val="21"/>
        </w:rPr>
        <w:t>5</w:t>
      </w:r>
      <w:r>
        <w:rPr>
          <w:rFonts w:hint="eastAsia" w:ascii="宋体" w:hAnsi="宋体" w:eastAsia="宋体" w:cs="宋体"/>
          <w:color w:val="auto"/>
          <w:szCs w:val="21"/>
        </w:rPr>
        <w:t>米内区域整洁；</w:t>
      </w:r>
    </w:p>
    <w:p>
      <w:pPr>
        <w:adjustRightInd/>
        <w:spacing w:line="560" w:lineRule="exact"/>
        <w:ind w:firstLine="420" w:firstLineChars="200"/>
        <w:rPr>
          <w:rFonts w:ascii="宋体" w:hAnsi="Times New Roman" w:eastAsia="宋体" w:cs="宋体"/>
          <w:color w:val="auto"/>
          <w:szCs w:val="21"/>
        </w:rPr>
      </w:pPr>
      <w:r>
        <w:rPr>
          <w:rFonts w:ascii="宋体" w:hAnsi="宋体" w:eastAsia="宋体" w:cs="宋体"/>
          <w:color w:val="auto"/>
          <w:szCs w:val="21"/>
        </w:rPr>
        <w:t>4</w:t>
      </w:r>
      <w:r>
        <w:rPr>
          <w:rFonts w:hint="eastAsia" w:ascii="宋体" w:hAnsi="宋体" w:eastAsia="宋体" w:cs="宋体"/>
          <w:color w:val="auto"/>
          <w:szCs w:val="21"/>
        </w:rPr>
        <w:t>、各行政村、</w:t>
      </w:r>
      <w:r>
        <w:rPr>
          <w:rFonts w:hint="eastAsia" w:ascii="宋体" w:hAnsi="宋体" w:cs="宋体"/>
          <w:color w:val="auto"/>
          <w:szCs w:val="21"/>
          <w:lang w:val="en-US" w:eastAsia="zh-CN"/>
        </w:rPr>
        <w:t>股份经济合作社</w:t>
      </w:r>
      <w:r>
        <w:rPr>
          <w:rFonts w:hint="eastAsia" w:ascii="宋体" w:hAnsi="宋体" w:eastAsia="宋体" w:cs="宋体"/>
          <w:color w:val="auto"/>
          <w:szCs w:val="21"/>
        </w:rPr>
        <w:t>与</w:t>
      </w:r>
      <w:r>
        <w:rPr>
          <w:rFonts w:hint="eastAsia" w:ascii="宋体" w:hAnsi="宋体" w:eastAsia="宋体" w:cs="宋体"/>
          <w:color w:val="auto"/>
          <w:szCs w:val="21"/>
          <w:lang w:eastAsia="zh-CN"/>
        </w:rPr>
        <w:t>桃源街道</w:t>
      </w:r>
      <w:r>
        <w:rPr>
          <w:rFonts w:hint="eastAsia" w:ascii="宋体" w:hAnsi="宋体" w:eastAsia="宋体" w:cs="宋体"/>
          <w:color w:val="auto"/>
          <w:szCs w:val="21"/>
        </w:rPr>
        <w:t>签订清运协议的企事业单位垃圾桶做到日产日清；</w:t>
      </w:r>
    </w:p>
    <w:p>
      <w:pPr>
        <w:adjustRightInd/>
        <w:spacing w:line="560" w:lineRule="exact"/>
        <w:ind w:firstLine="420" w:firstLineChars="200"/>
        <w:rPr>
          <w:rFonts w:hint="eastAsia" w:ascii="宋体" w:hAnsi="宋体" w:eastAsia="宋体" w:cs="宋体"/>
          <w:color w:val="auto"/>
          <w:szCs w:val="21"/>
        </w:rPr>
      </w:pPr>
      <w:r>
        <w:rPr>
          <w:rFonts w:ascii="宋体" w:hAnsi="宋体" w:eastAsia="宋体" w:cs="宋体"/>
          <w:color w:val="auto"/>
          <w:szCs w:val="21"/>
        </w:rPr>
        <w:t>5</w:t>
      </w:r>
      <w:r>
        <w:rPr>
          <w:rFonts w:hint="eastAsia" w:ascii="宋体" w:hAnsi="宋体" w:eastAsia="宋体" w:cs="宋体"/>
          <w:color w:val="auto"/>
          <w:szCs w:val="21"/>
        </w:rPr>
        <w:t>、各行政村、</w:t>
      </w:r>
      <w:r>
        <w:rPr>
          <w:rFonts w:hint="eastAsia" w:ascii="宋体" w:hAnsi="宋体" w:cs="宋体"/>
          <w:color w:val="auto"/>
          <w:szCs w:val="21"/>
          <w:lang w:val="en-US" w:eastAsia="zh-CN"/>
        </w:rPr>
        <w:t>股份经济合作社</w:t>
      </w:r>
      <w:r>
        <w:rPr>
          <w:rFonts w:hint="eastAsia" w:ascii="宋体" w:hAnsi="宋体" w:eastAsia="宋体" w:cs="宋体"/>
          <w:color w:val="auto"/>
          <w:szCs w:val="21"/>
        </w:rPr>
        <w:t>与</w:t>
      </w:r>
      <w:r>
        <w:rPr>
          <w:rFonts w:hint="eastAsia" w:ascii="宋体" w:hAnsi="宋体" w:eastAsia="宋体" w:cs="宋体"/>
          <w:color w:val="auto"/>
          <w:szCs w:val="21"/>
          <w:lang w:eastAsia="zh-CN"/>
        </w:rPr>
        <w:t>桃源街道</w:t>
      </w:r>
      <w:r>
        <w:rPr>
          <w:rFonts w:hint="eastAsia" w:ascii="宋体" w:hAnsi="宋体" w:eastAsia="宋体" w:cs="宋体"/>
          <w:color w:val="auto"/>
          <w:szCs w:val="21"/>
        </w:rPr>
        <w:t>签订清运协议的企事业单位垃圾清运后，桶堆放点不能有垃圾落地，垃圾桶整齐排放。</w:t>
      </w:r>
    </w:p>
    <w:p>
      <w:pPr>
        <w:tabs>
          <w:tab w:val="left" w:pos="0"/>
          <w:tab w:val="left" w:pos="522"/>
        </w:tabs>
        <w:adjustRightInd/>
        <w:spacing w:line="400" w:lineRule="exac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本考核记录表用于</w:t>
      </w:r>
      <w:r>
        <w:rPr>
          <w:rFonts w:hint="eastAsia" w:ascii="宋体" w:hAnsi="宋体" w:cs="Times New Roman"/>
          <w:b/>
          <w:color w:val="auto"/>
          <w:szCs w:val="21"/>
          <w:highlight w:val="none"/>
          <w:lang w:val="en-US" w:eastAsia="zh-CN"/>
        </w:rPr>
        <w:t>月度</w:t>
      </w:r>
      <w:r>
        <w:rPr>
          <w:rFonts w:hint="eastAsia" w:ascii="宋体" w:hAnsi="宋体" w:eastAsia="宋体" w:cs="Times New Roman"/>
          <w:b/>
          <w:color w:val="auto"/>
          <w:szCs w:val="21"/>
          <w:highlight w:val="none"/>
        </w:rPr>
        <w:t>考核，满分为100分，以扣分制方式计分。</w:t>
      </w:r>
    </w:p>
    <w:p>
      <w:pPr>
        <w:tabs>
          <w:tab w:val="left" w:pos="0"/>
          <w:tab w:val="left" w:pos="522"/>
        </w:tabs>
        <w:adjustRightInd/>
        <w:spacing w:line="400" w:lineRule="exac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附</w:t>
      </w:r>
      <w:r>
        <w:rPr>
          <w:rFonts w:hint="eastAsia" w:ascii="宋体" w:hAnsi="宋体" w:eastAsia="宋体" w:cs="Times New Roman"/>
          <w:b/>
          <w:color w:val="auto"/>
          <w:szCs w:val="21"/>
          <w:highlight w:val="none"/>
          <w:lang w:eastAsia="zh-CN"/>
        </w:rPr>
        <w:t>件</w:t>
      </w:r>
      <w:r>
        <w:rPr>
          <w:rFonts w:hint="eastAsia" w:ascii="宋体" w:hAnsi="宋体" w:eastAsia="宋体" w:cs="Times New Roman"/>
          <w:b/>
          <w:color w:val="auto"/>
          <w:szCs w:val="21"/>
          <w:highlight w:val="none"/>
          <w:lang w:val="en-US" w:eastAsia="zh-CN"/>
        </w:rPr>
        <w:t>1</w:t>
      </w:r>
      <w:r>
        <w:rPr>
          <w:rFonts w:hint="eastAsia" w:ascii="宋体" w:hAnsi="宋体" w:eastAsia="宋体" w:cs="Times New Roman"/>
          <w:b/>
          <w:color w:val="auto"/>
          <w:szCs w:val="21"/>
          <w:highlight w:val="none"/>
        </w:rPr>
        <w:t>：</w:t>
      </w:r>
      <w:r>
        <w:rPr>
          <w:rFonts w:hint="eastAsia" w:ascii="宋体" w:hAnsi="宋体" w:eastAsia="宋体" w:cs="Times New Roman"/>
          <w:b/>
          <w:color w:val="auto"/>
          <w:szCs w:val="21"/>
          <w:highlight w:val="none"/>
          <w:lang w:val="en-US" w:eastAsia="zh-CN"/>
        </w:rPr>
        <w:t>宁海县桃源街道其他垃圾收运服务项目考核表</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outlineLvl w:val="9"/>
        <w:rPr>
          <w:rFonts w:hint="eastAsia" w:ascii="华文中宋" w:hAnsi="华文中宋" w:eastAsia="华文中宋" w:cs="Times New Roman"/>
          <w:b/>
          <w:bCs/>
          <w:color w:val="auto"/>
          <w:spacing w:val="-10"/>
          <w:kern w:val="0"/>
          <w:sz w:val="28"/>
          <w:szCs w:val="28"/>
          <w:lang w:val="en-US" w:eastAsia="zh-CN"/>
        </w:rPr>
      </w:pPr>
      <w:r>
        <w:rPr>
          <w:rFonts w:hint="eastAsia" w:ascii="华文中宋" w:hAnsi="华文中宋" w:eastAsia="华文中宋" w:cs="Times New Roman"/>
          <w:b/>
          <w:bCs/>
          <w:color w:val="auto"/>
          <w:spacing w:val="-10"/>
          <w:kern w:val="0"/>
          <w:sz w:val="28"/>
          <w:szCs w:val="28"/>
          <w:lang w:val="en-US" w:eastAsia="zh-CN"/>
        </w:rPr>
        <w:t>宁海县桃源街道其他垃圾收运服务项目考核表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5100"/>
        <w:gridCol w:w="1305"/>
        <w:gridCol w:w="165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777" w:type="dxa"/>
            <w:gridSpan w:val="5"/>
            <w:noWrap w:val="0"/>
            <w:vAlign w:val="center"/>
          </w:tcPr>
          <w:p>
            <w:pPr>
              <w:adjustRightIn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检查时间：</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年</w:t>
            </w:r>
            <w:r>
              <w:rPr>
                <w:rFonts w:hint="eastAsia" w:ascii="仿宋" w:hAnsi="仿宋" w:eastAsia="仿宋" w:cs="仿宋"/>
                <w:color w:val="auto"/>
                <w:sz w:val="24"/>
                <w:szCs w:val="24"/>
                <w:lang w:eastAsia="zh-CN"/>
              </w:rPr>
              <w:t>第</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none"/>
                <w:lang w:eastAsia="zh-CN"/>
              </w:rPr>
              <w:t>季度</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none"/>
                <w:lang w:eastAsia="zh-CN"/>
              </w:rPr>
              <w:t>月份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24"/>
                <w:szCs w:val="24"/>
                <w:lang w:eastAsia="zh-CN"/>
              </w:rPr>
              <w:t>检查性质：</w:t>
            </w:r>
            <w:r>
              <w:rPr>
                <w:rFonts w:hint="eastAsia" w:ascii="仿宋" w:hAnsi="仿宋" w:eastAsia="仿宋" w:cs="仿宋"/>
                <w:color w:val="auto"/>
                <w:sz w:val="24"/>
                <w:szCs w:val="24"/>
                <w:u w:val="none"/>
              </w:rPr>
              <w:sym w:font="Wingdings 2" w:char="00A3"/>
            </w:r>
            <w:r>
              <w:rPr>
                <w:rFonts w:hint="eastAsia" w:ascii="仿宋" w:hAnsi="仿宋" w:eastAsia="仿宋" w:cs="仿宋"/>
                <w:color w:val="auto"/>
                <w:sz w:val="24"/>
                <w:szCs w:val="24"/>
                <w:u w:val="none"/>
                <w:lang w:eastAsia="zh-CN"/>
              </w:rPr>
              <w:t>科室检查</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u w:val="none"/>
                <w:lang w:eastAsia="zh-CN"/>
              </w:rPr>
              <w:sym w:font="Wingdings 2" w:char="00A3"/>
            </w:r>
            <w:r>
              <w:rPr>
                <w:rFonts w:hint="eastAsia" w:ascii="仿宋" w:hAnsi="仿宋" w:eastAsia="仿宋" w:cs="仿宋"/>
                <w:color w:val="auto"/>
                <w:sz w:val="24"/>
                <w:szCs w:val="24"/>
                <w:u w:val="none"/>
                <w:lang w:eastAsia="zh-CN"/>
              </w:rPr>
              <w:t>第三方考核</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u w:val="none"/>
                <w:lang w:val="en-US" w:eastAsia="zh-CN"/>
              </w:rPr>
              <w:sym w:font="Wingdings 2" w:char="00A3"/>
            </w:r>
            <w:r>
              <w:rPr>
                <w:rFonts w:hint="eastAsia" w:ascii="仿宋" w:hAnsi="仿宋" w:eastAsia="仿宋" w:cs="仿宋"/>
                <w:color w:val="auto"/>
                <w:sz w:val="24"/>
                <w:szCs w:val="24"/>
                <w:u w:val="none"/>
                <w:lang w:val="en-US" w:eastAsia="zh-CN"/>
              </w:rPr>
              <w:t>社会力量监督检查(两代表、村干部、志愿者等)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检查考核内容</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评分标准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18"/>
                <w:szCs w:val="18"/>
                <w:lang w:val="en-US" w:eastAsia="zh-CN"/>
              </w:rPr>
            </w:pPr>
            <w:r>
              <w:rPr>
                <w:rFonts w:hint="eastAsia" w:ascii="黑体" w:hAnsi="黑体" w:eastAsia="黑体" w:cs="黑体"/>
                <w:color w:val="auto"/>
                <w:sz w:val="18"/>
                <w:szCs w:val="18"/>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设备人员情况（5分）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环卫设备、保洁员数量到位，人员工资福利、考核制度等按要求执行，若设备缺少按每项扣0.5分、人员缺岗按每人次扣0.5分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垃圾桶及待运点保洁情况（25分）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1、垃圾未日产日清，未一日二运的每个桶扣0.2分，扣完为止。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2、垃圾无满溢现象，超出垃圾桶投放口平面的每个扣0.2分，扣完为止。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3、垃圾收集容器周边有暴露垃圾的每处扣0.2分，扣完为止。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4、垃圾桶等垃圾收集容器清洗不到位，内部有污垢，外观不洁的，每个扣0.2分，扣完为止。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5、垃圾收集后垃圾桶未放回指定位置的每处扣0.2分，扣完为止。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6、垃圾桶等垃圾收集容器残缺破损，且在整改时限内没有及时修理或更换的，每次扣0.2分，扣完为止。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7、保持清运点清洁，地面无散落垃圾，空桶摆放有序，每发现一处扣0.2分，扣完为止。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8、沿街商铺上门收集需要保证做到垃圾的二次分类，未分类的每一处扣0.2分。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环卫工人作业情况（20分 ）</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清扫保洁人员着装不规范，如衣冠不整（如纽扣不扣、工作帽歪戴、穿拖鞋等）、服装不洁、未穿着统一的工作服、未穿安全服、未执证上岗的，每人次扣0.2分；未使用统一的保洁工具的每人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2、未在规定时间完成清运的每人次扣0.5分，扣完为止。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清扫清运人员要遵守作业规范和交通规则，要文明作业，在机动车道逆向行驶的，每次扣0.5分；清扫清运人员未按车道规定有序停放清运车辆的，每次扣0.2分；乱穿、乱闯交通信号灯的每人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清运车辆未粘贴安全警示标志、未印刷公司名称及车辆序号的，每车次扣0.2分；清运车辆外观不洁、积尘、破损，实行密闭运输过程中发生滴洒漏污染路面、车厢外有吊挂垃圾袋及垃圾等问题，每次扣0.2分；清运工具未摆放整齐的，每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5、清扫清运人员应文明作业，如发现乱扔垃圾、随地吐痰、随地大小便、随地铺设休息地点、聚众聊天、打牌、下棋等不文明现象每人次扣0.2分，扣完为止。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6、清扫清运人员缺岗、脱岗，每人次扣0.5分，扣完为止。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7、发现清扫清运人员利用工作之便捡卖物品、干私活的，每人次扣0.5分，扣完为止。</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机械化作业情况（20分）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1、作业时发现扬尘、漏洒情况的，每次扣0.5分，扣完为止。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2、机械车清扫时超过规定车速的，每次扣0.5分；作业时未开启警示灯的，每次扣0.5分；作业时未喷水压尘的，每次扣0.5分，扣完为止。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3、未及时清洁，外观不整洁有污垢的，每次扣0.2分，扣完为止。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4、驾驶员在工作过程中，要文明作业，遵守作业规范和道路交通安全法，礼让行人，注意行人的安全，若发现违反交通安全法的，每次扣0.5分，造成有责交通事故的每次扣1分，扣完为止。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5、因故障、年检等原因暂停作业的，需提前上报，否则视车辆缺岗，每次扣1分，扣完为止。</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监督管理及社会责任落实情况（20分）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县长公开电话受理、县局领导督办、新闻媒体曝光、市民投诉的道路清运问题，经确认有责的每件问题扣2分；未在规定期限内整改解决的每件问题扣2分；重大活动、节假日保障不力的，每发生1次扣5分；突击检查、创优评级失责任分的，每发生1次扣8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2、承包公司应建立健全考核巡查制度及奖惩机制，如有缺失，每次扣1分；重大事故、突发事件、极端天气无应急预案的，扣5分。根据《整改通报》的要求，未在整改期限内整改的，扣分加倍。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3、清扫清运人员发现清运路段存在设施缺失、损坏及其它不安全因素时，应及时上报，发现却未及时上报造成有责事故的，每次扣5分。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4、未按招标文件或合同要求足额配备清扫清运人员的，根据招标文件中人员年工资测算金额，按缺少人数月工资扣发月度管理经费。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5、未按招标文件或合同中规定的劳动报酬发放人工工资福利的，每次扣5分。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6、如发生群体上访事件的，每次扣10分。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7、因未按安全生产相关要求作业，造成国家财产损失的进行全系统通报，赔偿相应损失，并视情况扣分；造成人员(含清运人员、驾驶员、行人)伤害的扣10分，造成人员死亡的扣20分，并追究民事责任，构成犯罪的，依法追究刑事责任。</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应急行动落实情况（10分）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在重大活动、节庆假日、突击检查、创先评优、气象灾害和极端天气等特殊时期的应急保障措施到位，并无条件配合街道做好相关集中整治工作</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9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加扣分</w:t>
            </w: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lang w:val="en-US" w:eastAsia="zh-CN"/>
              </w:rPr>
            </w:pPr>
            <w:r>
              <w:rPr>
                <w:rFonts w:hint="eastAsia" w:ascii="仿宋" w:hAnsi="仿宋" w:eastAsia="仿宋" w:cs="仿宋"/>
                <w:color w:val="auto"/>
                <w:kern w:val="2"/>
                <w:sz w:val="18"/>
                <w:szCs w:val="18"/>
                <w:lang w:val="en-US" w:eastAsia="zh-CN" w:bidi="ar-SA"/>
              </w:rPr>
              <w:t>有下列情形之一的，并视情节轻重酌情扣除分数：1、垃圾清运工作被街道及县以上有关部门通报批评的，街道级主要领导批评一次扣1分，县级扣2分，市级扣4分，省级扣8分，扣分不封顶；2、在上级各种卫生检查中，检查结果在全县排名后五名的扣1分，排名在全县后三名的扣2分，市省级以上翻倍扣分；3、被群众、村干部举报、网络曝光，未及时整改消除影响的，每次扣1分，市省级以上媒体曝光翻倍扣分；4、具有其他不良环境情形，造成严重后果的，视情节扣除；5、无特殊原因在保洁区域内发现较大面积的生活垃圾堆积、超2小时未清理的，一处扣0.5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c>
          <w:tcPr>
            <w:tcW w:w="8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有下列情形之一的，予以奖励加分：1、垃圾清运工作受到街道主要领导公开表扬，每次加1分，县市省级以上领导表扬的加分翻倍；2、在上级各种卫生检查中，检查结果在全县排名前三的，每次加1分，市省级以上翻倍加分；3、本项清运工作受到县级以上官方媒体正面宣传，社会影响良好的，每次加1分，市省级以上翻倍加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18"/>
                <w:szCs w:val="18"/>
                <w:lang w:val="en-US" w:eastAsia="zh-CN"/>
              </w:rPr>
            </w:pPr>
            <w:r>
              <w:rPr>
                <w:rFonts w:hint="eastAsia" w:ascii="仿宋" w:hAnsi="仿宋" w:eastAsia="仿宋" w:cs="仿宋"/>
                <w:color w:val="auto"/>
                <w:szCs w:val="21"/>
                <w:lang w:val="en-US" w:eastAsia="zh-CN"/>
              </w:rPr>
              <w:t>合  计</w:t>
            </w:r>
          </w:p>
        </w:tc>
        <w:tc>
          <w:tcPr>
            <w:tcW w:w="88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7" w:type="dxa"/>
            <w:noWrap w:val="0"/>
            <w:vAlign w:val="center"/>
          </w:tcPr>
          <w:p>
            <w:pPr>
              <w:adjustRightInd/>
              <w:spacing w:line="360" w:lineRule="auto"/>
              <w:jc w:val="center"/>
              <w:rPr>
                <w:rFonts w:hint="eastAsia" w:ascii="仿宋" w:hAnsi="仿宋" w:eastAsia="仿宋" w:cs="仿宋"/>
                <w:color w:val="auto"/>
                <w:sz w:val="18"/>
                <w:szCs w:val="18"/>
                <w:lang w:val="en-US" w:eastAsia="zh-CN"/>
              </w:rPr>
            </w:pPr>
            <w:r>
              <w:rPr>
                <w:rFonts w:hint="eastAsia" w:ascii="仿宋" w:hAnsi="仿宋" w:eastAsia="仿宋" w:cs="仿宋"/>
                <w:color w:val="auto"/>
                <w:szCs w:val="21"/>
              </w:rPr>
              <w:t>检查组签名</w:t>
            </w:r>
          </w:p>
        </w:tc>
        <w:tc>
          <w:tcPr>
            <w:tcW w:w="5100" w:type="dxa"/>
            <w:noWrap w:val="0"/>
            <w:vAlign w:val="center"/>
          </w:tcPr>
          <w:p>
            <w:pPr>
              <w:adjustRightInd/>
              <w:spacing w:line="360" w:lineRule="auto"/>
              <w:rPr>
                <w:rFonts w:hint="eastAsia" w:ascii="仿宋" w:hAnsi="仿宋" w:eastAsia="仿宋" w:cs="仿宋"/>
                <w:color w:val="auto"/>
                <w:sz w:val="18"/>
                <w:szCs w:val="18"/>
                <w:lang w:val="en-US" w:eastAsia="zh-CN"/>
              </w:rPr>
            </w:pPr>
          </w:p>
        </w:tc>
        <w:tc>
          <w:tcPr>
            <w:tcW w:w="1305" w:type="dxa"/>
            <w:noWrap w:val="0"/>
            <w:vAlign w:val="center"/>
          </w:tcPr>
          <w:p>
            <w:pPr>
              <w:adjustRightInd/>
              <w:spacing w:line="360" w:lineRule="auto"/>
              <w:jc w:val="center"/>
              <w:rPr>
                <w:rFonts w:hint="eastAsia" w:ascii="仿宋" w:hAnsi="仿宋" w:eastAsia="仿宋" w:cs="仿宋"/>
                <w:color w:val="auto"/>
                <w:sz w:val="18"/>
                <w:szCs w:val="18"/>
                <w:lang w:val="en-US" w:eastAsia="zh-CN"/>
              </w:rPr>
            </w:pPr>
            <w:r>
              <w:rPr>
                <w:rFonts w:hint="eastAsia" w:ascii="仿宋" w:hAnsi="仿宋" w:eastAsia="仿宋" w:cs="仿宋"/>
                <w:color w:val="auto"/>
                <w:szCs w:val="21"/>
              </w:rPr>
              <w:t>检查日期</w:t>
            </w:r>
          </w:p>
        </w:tc>
        <w:tc>
          <w:tcPr>
            <w:tcW w:w="2445" w:type="dxa"/>
            <w:gridSpan w:val="2"/>
            <w:noWrap w:val="0"/>
            <w:vAlign w:val="center"/>
          </w:tcPr>
          <w:p>
            <w:pPr>
              <w:adjustRightInd/>
              <w:spacing w:line="360" w:lineRule="auto"/>
              <w:rPr>
                <w:rFonts w:hint="eastAsia" w:ascii="仿宋" w:hAnsi="仿宋" w:eastAsia="仿宋" w:cs="仿宋"/>
                <w:color w:val="auto"/>
                <w:sz w:val="18"/>
                <w:szCs w:val="18"/>
                <w:lang w:val="en-US" w:eastAsia="zh-CN"/>
              </w:rPr>
            </w:pPr>
          </w:p>
        </w:tc>
      </w:tr>
    </w:tbl>
    <w:p>
      <w:pPr>
        <w:adjustRightInd/>
        <w:spacing w:line="360" w:lineRule="auto"/>
        <w:rPr>
          <w:rFonts w:hint="eastAsia" w:ascii="宋体" w:hAnsi="宋体" w:eastAsia="宋体" w:cs="宋体"/>
          <w:b/>
          <w:color w:val="auto"/>
          <w:szCs w:val="21"/>
        </w:rPr>
      </w:pPr>
    </w:p>
    <w:p>
      <w:pPr>
        <w:adjustRightInd/>
        <w:spacing w:line="560" w:lineRule="exact"/>
        <w:rPr>
          <w:rFonts w:hint="eastAsia" w:ascii="宋体" w:hAnsi="宋体" w:eastAsia="宋体" w:cs="宋体"/>
          <w:b/>
          <w:bCs/>
          <w:color w:val="auto"/>
          <w:szCs w:val="21"/>
        </w:rPr>
      </w:pPr>
      <w:r>
        <w:rPr>
          <w:rFonts w:hint="eastAsia" w:ascii="宋体" w:hAnsi="宋体" w:eastAsia="宋体" w:cs="宋体"/>
          <w:b/>
          <w:bCs/>
          <w:color w:val="auto"/>
          <w:szCs w:val="21"/>
          <w:lang w:eastAsia="zh-CN"/>
        </w:rPr>
        <w:t>三、</w:t>
      </w:r>
      <w:r>
        <w:rPr>
          <w:rFonts w:hint="eastAsia" w:ascii="宋体" w:hAnsi="宋体" w:eastAsia="宋体" w:cs="宋体"/>
          <w:b/>
          <w:bCs/>
          <w:color w:val="auto"/>
          <w:szCs w:val="21"/>
        </w:rPr>
        <w:t>安全管理制度</w:t>
      </w:r>
    </w:p>
    <w:p>
      <w:pPr>
        <w:widowControl/>
        <w:adjustRightInd/>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为了进一步贯彻落实“安全第一，预防为主”的方针，全面落实安全生产责任，强化安全管理，有效遏制重、特大事故的发生，维护环卫保洁工作和生活秩序，特制定以下制度：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宋体" w:hAnsi="宋体" w:eastAsia="宋体" w:cs="宋体"/>
          <w:color w:val="auto"/>
          <w:kern w:val="0"/>
          <w:szCs w:val="21"/>
          <w:highlight w:val="none"/>
        </w:rPr>
        <w:t>1、公司</w:t>
      </w:r>
      <w:r>
        <w:rPr>
          <w:rFonts w:hint="eastAsia" w:ascii="Times New Roman" w:hAnsi="Times New Roman" w:eastAsia="宋体" w:cs="Times New Roman"/>
          <w:color w:val="auto"/>
          <w:szCs w:val="21"/>
          <w:highlight w:val="none"/>
        </w:rPr>
        <w:t>建立安全台账，及时登记安全工作检查情况、落实情况，配备专职安全员，安全会议每半年召开一次。</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宋体" w:hAnsi="宋体" w:eastAsia="宋体" w:cs="宋体"/>
          <w:color w:val="auto"/>
          <w:kern w:val="0"/>
          <w:szCs w:val="21"/>
          <w:highlight w:val="none"/>
        </w:rPr>
        <w:t>2、</w:t>
      </w:r>
      <w:r>
        <w:rPr>
          <w:rFonts w:hint="eastAsia" w:ascii="Times New Roman" w:hAnsi="Times New Roman" w:eastAsia="宋体" w:cs="Times New Roman"/>
          <w:color w:val="auto"/>
          <w:szCs w:val="21"/>
          <w:highlight w:val="none"/>
        </w:rPr>
        <w:t>重视消防安全，消防设施完全无损，应急措施落实到位，有应急预案。</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3、严格遵守机械操作规程，做到安全操作无事故，操作人员须经过专业培训，持证上岗。</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4、精心维护机械设备，经常对机件部位加注黄油，延长机器使用寿命。</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5、保持场内外环境、设备整洁，物品摆放整齐，车辆停放整齐，安全用电无事故。</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6、设施缺损，设备故障及特殊情况及时汇报，保持日常工作运行良好。</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7、遵守安全法规，谨慎驾驶，规范操作，文明礼让，安全行车，严禁酒后驾驶。</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8、特殊车辆作业需有专人在现场指挥，确保人身安全，清理化粪池需确保安全，避免中毒事故发生，自觉参与安全教育活动，做到警钟长鸣。</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9、保持宿舍内外环境整洁、不得在宿舍区内的房间、走廊、消防通道、车库及公共场所堆放废品垃圾。</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10、重视消防安全，消防通道保持通畅，消防设施完全无损，应急措施落实到位。</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11、确保用电、用气安全，禁止宿舍区内私自安装各种电器和拉接电线。</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12、禁止将各种危险、易燃、有毒、有害物质带入宿舍内隐藏使用，严禁饲养家禽、家畜及宠物。</w:t>
      </w:r>
    </w:p>
    <w:p>
      <w:pPr>
        <w:widowControl/>
        <w:adjustRightInd/>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13、禁止未经同意对房屋进行装修，破坏房屋原有结构，禁止损坏房屋内外设施设备。</w:t>
      </w:r>
    </w:p>
    <w:p>
      <w:pPr>
        <w:adjustRightInd/>
        <w:ind w:firstLine="630" w:firstLineChars="300"/>
        <w:rPr>
          <w:rFonts w:hint="eastAsia" w:ascii="Times New Roman" w:hAnsi="Times New Roman" w:eastAsia="宋体" w:cs="Times New Roman"/>
          <w:color w:val="auto"/>
          <w:szCs w:val="21"/>
          <w:highlight w:val="none"/>
        </w:rPr>
      </w:pPr>
      <w:r>
        <w:rPr>
          <w:rFonts w:hint="eastAsia" w:cs="Times New Roman"/>
          <w:color w:val="auto"/>
          <w:szCs w:val="21"/>
          <w:highlight w:val="none"/>
          <w:lang w:val="en-US" w:eastAsia="zh-CN"/>
        </w:rPr>
        <w:t>宁海县人民政府桃源街道办事处</w:t>
      </w:r>
      <w:r>
        <w:rPr>
          <w:rFonts w:hint="eastAsia" w:ascii="Times New Roman" w:hAnsi="Times New Roman" w:eastAsia="宋体" w:cs="Times New Roman"/>
          <w:color w:val="auto"/>
          <w:szCs w:val="21"/>
          <w:highlight w:val="none"/>
        </w:rPr>
        <w:t>：</w:t>
      </w:r>
      <w:r>
        <w:rPr>
          <w:rFonts w:hint="eastAsia" w:cs="Times New Roman"/>
          <w:color w:val="auto"/>
          <w:szCs w:val="21"/>
          <w:highlight w:val="none"/>
          <w:lang w:val="en-US" w:eastAsia="zh-CN"/>
        </w:rPr>
        <w:t xml:space="preserve">                  投标单位：</w:t>
      </w:r>
      <w:r>
        <w:rPr>
          <w:rFonts w:hint="eastAsia" w:ascii="Times New Roman" w:hAnsi="Times New Roman" w:eastAsia="宋体" w:cs="Times New Roman"/>
          <w:color w:val="auto"/>
          <w:szCs w:val="21"/>
          <w:highlight w:val="none"/>
        </w:rPr>
        <w:t xml:space="preserve">        </w:t>
      </w:r>
      <w:r>
        <w:rPr>
          <w:rFonts w:hint="eastAsia" w:cs="Times New Roman"/>
          <w:color w:val="auto"/>
          <w:szCs w:val="21"/>
          <w:highlight w:val="none"/>
          <w:lang w:val="en-US" w:eastAsia="zh-CN"/>
        </w:rPr>
        <w:t xml:space="preserve">               </w:t>
      </w:r>
    </w:p>
    <w:p>
      <w:pPr>
        <w:ind w:firstLine="630" w:firstLineChars="300"/>
        <w:rPr>
          <w:rFonts w:hint="eastAsia" w:ascii="宋体" w:hAnsi="宋体" w:cs="宋体"/>
          <w:b/>
          <w:color w:val="auto"/>
          <w:szCs w:val="21"/>
        </w:rPr>
        <w:sectPr>
          <w:pgSz w:w="11906" w:h="16838"/>
          <w:pgMar w:top="1134" w:right="1134" w:bottom="1134" w:left="1134" w:header="850" w:footer="850" w:gutter="0"/>
          <w:pgNumType w:fmt="decimal"/>
          <w:cols w:space="720" w:num="1"/>
          <w:docGrid w:linePitch="286" w:charSpace="0"/>
        </w:sectPr>
      </w:pPr>
      <w:r>
        <w:rPr>
          <w:rFonts w:hint="eastAsia" w:ascii="Times New Roman" w:hAnsi="Times New Roman" w:eastAsia="宋体" w:cs="Times New Roman"/>
          <w:color w:val="auto"/>
          <w:szCs w:val="21"/>
          <w:highlight w:val="none"/>
        </w:rPr>
        <w:t xml:space="preserve">签字人（公章）：              </w:t>
      </w:r>
      <w:r>
        <w:rPr>
          <w:rFonts w:hint="eastAsia" w:cs="Times New Roman"/>
          <w:color w:val="auto"/>
          <w:szCs w:val="21"/>
          <w:highlight w:val="none"/>
          <w:lang w:val="en-US" w:eastAsia="zh-CN"/>
        </w:rPr>
        <w:t xml:space="preserve">                 </w:t>
      </w:r>
      <w:r>
        <w:rPr>
          <w:rFonts w:hint="eastAsia" w:ascii="Times New Roman" w:hAnsi="Times New Roman" w:eastAsia="宋体" w:cs="Times New Roman"/>
          <w:color w:val="auto"/>
          <w:szCs w:val="21"/>
          <w:highlight w:val="none"/>
        </w:rPr>
        <w:t xml:space="preserve"> 签字人（公章）：</w:t>
      </w:r>
    </w:p>
    <w:p>
      <w:pPr>
        <w:adjustRightInd/>
        <w:rPr>
          <w:rFonts w:hint="eastAsia" w:ascii="宋体" w:hAnsi="宋体" w:eastAsia="宋体" w:cs="Times New Roman"/>
          <w:b/>
          <w:color w:val="auto"/>
          <w:sz w:val="28"/>
          <w:szCs w:val="28"/>
          <w:highlight w:val="none"/>
        </w:rPr>
      </w:pPr>
      <w:r>
        <w:rPr>
          <w:rFonts w:hint="eastAsia" w:ascii="宋体" w:hAnsi="宋体" w:eastAsia="宋体" w:cs="宋体"/>
          <w:b/>
          <w:bCs/>
          <w:color w:val="auto"/>
          <w:szCs w:val="21"/>
          <w:lang w:eastAsia="zh-CN"/>
        </w:rPr>
        <w:t>四、落实“双联中心”工作相关制度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为落实加强社会应急联动制度建设，确保环卫系统应急联动工作快速启动和高效运转，做好保洁公司与</w:t>
      </w:r>
      <w:r>
        <w:rPr>
          <w:rFonts w:hint="eastAsia" w:cs="Times New Roman"/>
          <w:color w:val="auto"/>
          <w:szCs w:val="21"/>
          <w:highlight w:val="none"/>
          <w:lang w:val="en-US" w:eastAsia="zh-CN"/>
        </w:rPr>
        <w:t>街道值班室的</w:t>
      </w:r>
      <w:r>
        <w:rPr>
          <w:rFonts w:hint="eastAsia" w:ascii="Times New Roman" w:hAnsi="Times New Roman" w:eastAsia="宋体" w:cs="Times New Roman"/>
          <w:color w:val="auto"/>
          <w:szCs w:val="21"/>
          <w:highlight w:val="none"/>
        </w:rPr>
        <w:t>工作联系，制定以下制度。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一、值班制度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1、公司实行24小时值班制，值班人员应严格按照值班安排到岗到位。</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2、如遇突发事件、重要电传应及时报告公司负责人。同时，要及时报告</w:t>
      </w:r>
      <w:r>
        <w:rPr>
          <w:rFonts w:hint="eastAsia" w:cs="Times New Roman"/>
          <w:color w:val="auto"/>
          <w:szCs w:val="21"/>
          <w:highlight w:val="none"/>
          <w:lang w:val="en-US" w:eastAsia="zh-CN"/>
        </w:rPr>
        <w:t>街道</w:t>
      </w:r>
      <w:r>
        <w:rPr>
          <w:rFonts w:hint="eastAsia" w:ascii="Times New Roman" w:hAnsi="Times New Roman" w:eastAsia="宋体" w:cs="Times New Roman"/>
          <w:color w:val="auto"/>
          <w:szCs w:val="21"/>
          <w:highlight w:val="none"/>
        </w:rPr>
        <w:t>“双联”中心值班室。</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3、值班人员要认真履行职责，认真填写《值班记录》，做到认真听、仔细记、及时办，将有关情况及时下达到应急处置队伍，力求做到“事事有着落，件件有回音”。</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4、严格实行当面交接班制度，做到每日有记录，如无事则记“平安无事”。交班同志应将一日主要情况主动告知接班同志，并办理好交接手续。</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5、值班人员应妥善保管值班记录，值班记录作为年度工作目标考核检查台帐资料的重要依据，列入档案管理。</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二、接处警制度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1、公司值班人员根据</w:t>
      </w:r>
      <w:r>
        <w:rPr>
          <w:rFonts w:hint="eastAsia" w:cs="Times New Roman"/>
          <w:color w:val="auto"/>
          <w:szCs w:val="21"/>
          <w:highlight w:val="none"/>
          <w:lang w:val="en-US" w:eastAsia="zh-CN"/>
        </w:rPr>
        <w:t>街道</w:t>
      </w:r>
      <w:r>
        <w:rPr>
          <w:rFonts w:hint="eastAsia" w:ascii="Times New Roman" w:hAnsi="Times New Roman" w:eastAsia="宋体" w:cs="Times New Roman"/>
          <w:color w:val="auto"/>
          <w:szCs w:val="21"/>
          <w:highlight w:val="none"/>
        </w:rPr>
        <w:t>“双联中心”的指令，按照自身职责分工，迅速组织力量到现场进行处置。</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2、值班人员对 “双联中心”的指令，应无条件接受，不得推诿、扯皮；对于一时性质不清、职责交叉的紧急求助，按“先受理，后移交”的原则先期处置，不得以任何理由、借口延误抢险和救助工作。</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3、白天接警，应急值班人员自接到处置指令到到达现场，时间不得超过20分钟；夜间接警，应急值班人员自接到处置指令到到达现场，时间不得超过40分钟。 </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三、信息反馈报告制度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1、落实信息报送专人负责制，对不稳定因素、网上舆情、重大突发事件等信息要及上报</w:t>
      </w:r>
      <w:r>
        <w:rPr>
          <w:rFonts w:hint="eastAsia" w:cs="Times New Roman"/>
          <w:color w:val="auto"/>
          <w:szCs w:val="21"/>
          <w:highlight w:val="none"/>
          <w:lang w:val="en-US" w:eastAsia="zh-CN"/>
        </w:rPr>
        <w:t>桃源街道办事处</w:t>
      </w:r>
      <w:r>
        <w:rPr>
          <w:rFonts w:hint="eastAsia" w:ascii="Times New Roman" w:hAnsi="Times New Roman" w:eastAsia="宋体" w:cs="Times New Roman"/>
          <w:color w:val="auto"/>
          <w:szCs w:val="21"/>
          <w:highlight w:val="none"/>
        </w:rPr>
        <w:t>。</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2、应急值班人员接到指令到达现场后，应立即向</w:t>
      </w:r>
      <w:r>
        <w:rPr>
          <w:rFonts w:hint="eastAsia" w:cs="Times New Roman"/>
          <w:color w:val="auto"/>
          <w:szCs w:val="21"/>
          <w:highlight w:val="none"/>
          <w:lang w:val="en-US" w:eastAsia="zh-CN"/>
        </w:rPr>
        <w:t>街道</w:t>
      </w:r>
      <w:r>
        <w:rPr>
          <w:rFonts w:hint="eastAsia" w:ascii="Times New Roman" w:hAnsi="Times New Roman" w:eastAsia="宋体" w:cs="Times New Roman"/>
          <w:color w:val="auto"/>
          <w:szCs w:val="21"/>
          <w:highlight w:val="none"/>
        </w:rPr>
        <w:t>“双联中心”报告。</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3、若应急值班人员到达现场后，发现接到的警情非职责范围，应迅速将该警情退回，并说明退回理由。</w:t>
      </w:r>
    </w:p>
    <w:p>
      <w:pPr>
        <w:widowControl/>
        <w:adjustRightInd/>
        <w:spacing w:line="520" w:lineRule="exact"/>
        <w:ind w:firstLine="630"/>
        <w:jc w:val="left"/>
        <w:rPr>
          <w:rFonts w:hint="eastAsia" w:ascii="Times New Roman" w:hAnsi="Times New Roman" w:eastAsia="宋体" w:cs="Times New Roman"/>
          <w:color w:val="auto"/>
          <w:szCs w:val="21"/>
          <w:highlight w:val="none"/>
        </w:rPr>
      </w:pPr>
    </w:p>
    <w:p>
      <w:pPr>
        <w:adjustRightInd/>
        <w:ind w:firstLine="420" w:firstLineChars="20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eastAsia="zh-CN"/>
        </w:rPr>
        <w:t>宁海县人民政府桃源街道办事处</w:t>
      </w:r>
      <w:r>
        <w:rPr>
          <w:rFonts w:hint="eastAsia" w:ascii="Times New Roman" w:hAnsi="Times New Roman" w:eastAsia="宋体" w:cs="Times New Roman"/>
          <w:color w:val="auto"/>
          <w:szCs w:val="21"/>
          <w:highlight w:val="none"/>
        </w:rPr>
        <w:t xml:space="preserve"> </w:t>
      </w:r>
      <w:r>
        <w:rPr>
          <w:rFonts w:hint="eastAsia" w:cs="Times New Roman"/>
          <w:color w:val="auto"/>
          <w:szCs w:val="21"/>
          <w:highlight w:val="none"/>
          <w:lang w:val="en-US" w:eastAsia="zh-CN"/>
        </w:rPr>
        <w:t xml:space="preserve">      </w:t>
      </w:r>
      <w:r>
        <w:rPr>
          <w:rFonts w:hint="eastAsia" w:ascii="Times New Roman" w:hAnsi="Times New Roman" w:eastAsia="宋体" w:cs="Times New Roman"/>
          <w:color w:val="auto"/>
          <w:szCs w:val="21"/>
          <w:highlight w:val="none"/>
        </w:rPr>
        <w:t>投标单位：</w:t>
      </w:r>
      <w:r>
        <w:rPr>
          <w:rFonts w:hint="eastAsia" w:cs="Times New Roman"/>
          <w:color w:val="auto"/>
          <w:szCs w:val="21"/>
          <w:highlight w:val="none"/>
          <w:lang w:val="en-US" w:eastAsia="zh-CN"/>
        </w:rPr>
        <w:t xml:space="preserve">                         </w:t>
      </w:r>
    </w:p>
    <w:p>
      <w:pPr>
        <w:adjustRightInd/>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签字人（公章）：               </w:t>
      </w:r>
      <w:r>
        <w:rPr>
          <w:rFonts w:hint="eastAsia" w:cs="Times New Roman"/>
          <w:color w:val="auto"/>
          <w:szCs w:val="21"/>
          <w:highlight w:val="none"/>
          <w:lang w:val="en-US" w:eastAsia="zh-CN"/>
        </w:rPr>
        <w:t xml:space="preserve">    </w:t>
      </w:r>
      <w:r>
        <w:rPr>
          <w:rFonts w:hint="eastAsia" w:ascii="Times New Roman" w:hAnsi="Times New Roman" w:eastAsia="宋体" w:cs="Times New Roman"/>
          <w:color w:val="auto"/>
          <w:szCs w:val="21"/>
          <w:highlight w:val="none"/>
        </w:rPr>
        <w:t>签字人（公章）：</w:t>
      </w:r>
    </w:p>
    <w:p>
      <w:pPr>
        <w:adjustRightInd/>
        <w:rPr>
          <w:rFonts w:hint="eastAsia" w:ascii="Times New Roman" w:hAnsi="Times New Roman" w:eastAsia="宋体" w:cs="Times New Roman"/>
          <w:color w:val="auto"/>
          <w:highlight w:val="none"/>
        </w:rPr>
      </w:pPr>
    </w:p>
    <w:p>
      <w:pPr>
        <w:adjustRightInd/>
        <w:rPr>
          <w:rFonts w:hint="eastAsia" w:ascii="宋体" w:hAnsi="宋体" w:eastAsia="宋体" w:cs="Times New Roman"/>
          <w:b/>
          <w:color w:val="auto"/>
          <w:sz w:val="28"/>
          <w:szCs w:val="28"/>
          <w:highlight w:val="none"/>
        </w:rPr>
      </w:pPr>
      <w:r>
        <w:rPr>
          <w:rFonts w:ascii="Times New Roman" w:hAnsi="Times New Roman" w:eastAsia="宋体" w:cs="Times New Roman"/>
          <w:color w:val="auto"/>
          <w:highlight w:val="none"/>
        </w:rPr>
        <w:br w:type="page"/>
      </w:r>
      <w:r>
        <w:rPr>
          <w:rFonts w:hint="eastAsia" w:ascii="宋体" w:hAnsi="宋体" w:eastAsia="宋体" w:cs="宋体"/>
          <w:b/>
          <w:bCs/>
          <w:color w:val="auto"/>
          <w:szCs w:val="21"/>
          <w:lang w:eastAsia="zh-CN"/>
        </w:rPr>
        <w:t>五、安全生产责任状</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为了进一步贯彻落实“安全第一，预防为主”的方针，全面落实保洁公司安全生产责任，强化安全管理，有效遏制重、特大事故的发生，维护环卫保洁工作和生活秩序，特签订安全生产责任状。</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一、责任归属：中转站日常管理及公司日常生产经营发生的一切安全事故，责任由</w:t>
      </w:r>
      <w:r>
        <w:rPr>
          <w:rFonts w:hint="eastAsia" w:cs="Times New Roman"/>
          <w:color w:val="auto"/>
          <w:szCs w:val="21"/>
          <w:highlight w:val="none"/>
          <w:lang w:val="en-US" w:eastAsia="zh-CN"/>
        </w:rPr>
        <w:t>保洁</w:t>
      </w:r>
      <w:r>
        <w:rPr>
          <w:rFonts w:hint="eastAsia" w:ascii="Times New Roman" w:hAnsi="Times New Roman" w:eastAsia="宋体" w:cs="Times New Roman"/>
          <w:color w:val="auto"/>
          <w:szCs w:val="21"/>
          <w:highlight w:val="none"/>
        </w:rPr>
        <w:t>公司自行承担，</w:t>
      </w:r>
      <w:r>
        <w:rPr>
          <w:rFonts w:hint="eastAsia" w:cs="Times New Roman"/>
          <w:color w:val="auto"/>
          <w:szCs w:val="21"/>
          <w:highlight w:val="none"/>
          <w:lang w:val="en-US" w:eastAsia="zh-CN"/>
        </w:rPr>
        <w:t>街道办事处</w:t>
      </w:r>
      <w:r>
        <w:rPr>
          <w:rFonts w:hint="eastAsia" w:ascii="Times New Roman" w:hAnsi="Times New Roman" w:eastAsia="宋体" w:cs="Times New Roman"/>
          <w:color w:val="auto"/>
          <w:szCs w:val="21"/>
          <w:highlight w:val="none"/>
        </w:rPr>
        <w:t>在事故处理中只起协助调解作用，不承担任何责任。</w:t>
      </w:r>
    </w:p>
    <w:p>
      <w:pPr>
        <w:widowControl/>
        <w:adjustRightInd/>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二、责任对象：公司的法人代表是安全生产第一责任人，对该公司安全生产工作负全面责任。</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三、责任目标</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1、建立健全安全生产责任制，制定并落实各项安全生产的规章制度；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2、对所有符合参加人身意外伤害保险的人员统一进行参保（社会保险参保人员除外）；</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3、对所管理车辆（包括非机动车）落实保险责任，建立车辆管理制度；</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4、不发生</w:t>
      </w:r>
      <w:r>
        <w:rPr>
          <w:rFonts w:ascii="Times New Roman" w:hAnsi="Times New Roman" w:eastAsia="宋体" w:cs="Times New Roman"/>
          <w:color w:val="auto"/>
          <w:szCs w:val="21"/>
          <w:highlight w:val="none"/>
        </w:rPr>
        <w:t>重伤及以上人身伤亡事故</w:t>
      </w:r>
      <w:r>
        <w:rPr>
          <w:rFonts w:hint="eastAsia" w:ascii="Times New Roman" w:hAnsi="Times New Roman" w:eastAsia="宋体" w:cs="Times New Roman"/>
          <w:color w:val="auto"/>
          <w:szCs w:val="21"/>
          <w:highlight w:val="none"/>
        </w:rPr>
        <w:t>；</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w:t>
      </w:r>
      <w:r>
        <w:rPr>
          <w:rFonts w:hint="eastAsia" w:ascii="Times New Roman" w:hAnsi="Times New Roman" w:eastAsia="宋体" w:cs="Times New Roman"/>
          <w:color w:val="auto"/>
          <w:szCs w:val="21"/>
          <w:highlight w:val="none"/>
        </w:rPr>
        <w:t>、</w:t>
      </w:r>
      <w:r>
        <w:rPr>
          <w:rFonts w:ascii="Times New Roman" w:hAnsi="Times New Roman" w:eastAsia="宋体" w:cs="Times New Roman"/>
          <w:color w:val="auto"/>
          <w:szCs w:val="21"/>
          <w:highlight w:val="none"/>
        </w:rPr>
        <w:t>年度人身轻伤事故率不超过本</w:t>
      </w:r>
      <w:r>
        <w:rPr>
          <w:rFonts w:hint="eastAsia" w:ascii="Times New Roman" w:hAnsi="Times New Roman" w:eastAsia="宋体" w:cs="Times New Roman"/>
          <w:color w:val="auto"/>
          <w:szCs w:val="21"/>
          <w:highlight w:val="none"/>
        </w:rPr>
        <w:t>公司总人数</w:t>
      </w:r>
      <w:r>
        <w:rPr>
          <w:rFonts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rPr>
        <w:t>3%；</w:t>
      </w:r>
    </w:p>
    <w:p>
      <w:pPr>
        <w:widowControl/>
        <w:adjustRightInd/>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6、保证所辖职工宿舍区内不发生消防等安全</w:t>
      </w:r>
      <w:r>
        <w:rPr>
          <w:rFonts w:ascii="Times New Roman" w:hAnsi="Times New Roman" w:eastAsia="宋体" w:cs="Times New Roman"/>
          <w:color w:val="auto"/>
          <w:szCs w:val="21"/>
          <w:highlight w:val="none"/>
        </w:rPr>
        <w:t>事故；</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7、不发生</w:t>
      </w:r>
      <w:r>
        <w:rPr>
          <w:rFonts w:ascii="Times New Roman" w:hAnsi="Times New Roman" w:eastAsia="宋体" w:cs="Times New Roman"/>
          <w:color w:val="auto"/>
          <w:szCs w:val="21"/>
          <w:highlight w:val="none"/>
        </w:rPr>
        <w:t>大面积传染病事件；</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8</w:t>
      </w:r>
      <w:r>
        <w:rPr>
          <w:rFonts w:hint="eastAsia" w:ascii="Times New Roman" w:hAnsi="Times New Roman" w:eastAsia="宋体" w:cs="Times New Roman"/>
          <w:color w:val="auto"/>
          <w:szCs w:val="21"/>
          <w:highlight w:val="none"/>
        </w:rPr>
        <w:t>、</w:t>
      </w:r>
      <w:r>
        <w:rPr>
          <w:rFonts w:ascii="Times New Roman" w:hAnsi="Times New Roman" w:eastAsia="宋体" w:cs="Times New Roman"/>
          <w:color w:val="auto"/>
          <w:szCs w:val="21"/>
          <w:highlight w:val="none"/>
        </w:rPr>
        <w:t>不发生5万元及以上的设备、机械事故；</w:t>
      </w:r>
    </w:p>
    <w:p>
      <w:pPr>
        <w:widowControl/>
        <w:adjustRightInd/>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9、驾驶员、</w:t>
      </w:r>
      <w:r>
        <w:rPr>
          <w:rFonts w:ascii="Times New Roman" w:hAnsi="Times New Roman" w:eastAsia="宋体" w:cs="Times New Roman"/>
          <w:color w:val="auto"/>
          <w:szCs w:val="21"/>
          <w:highlight w:val="none"/>
        </w:rPr>
        <w:t>安全员、特种作业人员全部持证上岗；</w:t>
      </w:r>
    </w:p>
    <w:p>
      <w:pPr>
        <w:widowControl/>
        <w:adjustRightInd/>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10、</w:t>
      </w:r>
      <w:r>
        <w:rPr>
          <w:rFonts w:ascii="Times New Roman" w:hAnsi="Times New Roman" w:eastAsia="宋体" w:cs="Times New Roman"/>
          <w:color w:val="auto"/>
          <w:szCs w:val="21"/>
          <w:highlight w:val="none"/>
        </w:rPr>
        <w:t>安全设施、安全标志、安全警示的设置率、规范率达到100%；</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11、每季度至少召开一次安全生产工作例会，研究解决安全生产中的重大问题；每季度至少组织一次全面及专项安全生产检查，并有检查记录凭证；</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12、认真贯彻《安全生产法》并抓好宣传培训工作；</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13、安全生产工作纳入考核范围，扣分、考评与年终奖罚挂钩；</w:t>
      </w:r>
    </w:p>
    <w:p>
      <w:pPr>
        <w:widowControl/>
        <w:adjustRightInd/>
        <w:spacing w:line="44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14、本责任状有效期与双方所签订保洁合同挂钩，随保洁合同时间起讫。</w:t>
      </w:r>
    </w:p>
    <w:p>
      <w:pPr>
        <w:adjustRightInd/>
        <w:ind w:firstLine="420" w:firstLineChars="200"/>
        <w:rPr>
          <w:rFonts w:hint="eastAsia" w:ascii="Times New Roman" w:hAnsi="Times New Roman" w:eastAsia="宋体" w:cs="Times New Roman"/>
          <w:color w:val="auto"/>
          <w:szCs w:val="21"/>
          <w:highlight w:val="none"/>
        </w:rPr>
      </w:pPr>
    </w:p>
    <w:p>
      <w:pPr>
        <w:adjustRightInd/>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eastAsia="zh-CN"/>
        </w:rPr>
        <w:t>宁海县人民政府桃源街道办事处</w:t>
      </w:r>
      <w:r>
        <w:rPr>
          <w:rFonts w:hint="eastAsia" w:ascii="Times New Roman" w:hAnsi="Times New Roman" w:eastAsia="宋体" w:cs="Times New Roman"/>
          <w:color w:val="auto"/>
          <w:szCs w:val="21"/>
          <w:highlight w:val="none"/>
        </w:rPr>
        <w:t xml:space="preserve">          投标单位：</w:t>
      </w:r>
    </w:p>
    <w:p>
      <w:pPr>
        <w:adjustRightInd/>
        <w:spacing w:after="240" w:afterLines="100" w:line="520" w:lineRule="exact"/>
        <w:jc w:val="center"/>
        <w:rPr>
          <w:rFonts w:hint="eastAsia" w:ascii="宋体" w:hAnsi="宋体" w:eastAsia="宋体" w:cs="宋体"/>
          <w:b/>
          <w:color w:val="auto"/>
          <w:kern w:val="44"/>
          <w:sz w:val="24"/>
          <w:szCs w:val="24"/>
          <w:highlight w:val="none"/>
        </w:rPr>
      </w:pPr>
      <w:r>
        <w:rPr>
          <w:rFonts w:hint="eastAsia" w:ascii="Times New Roman" w:hAnsi="Times New Roman" w:eastAsia="宋体" w:cs="Times New Roman"/>
          <w:color w:val="auto"/>
          <w:szCs w:val="21"/>
          <w:highlight w:val="none"/>
        </w:rPr>
        <w:t>签字人（公章）：               签字人（公章）：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auto"/>
          <w:sz w:val="32"/>
          <w:szCs w:val="32"/>
          <w:highlight w:val="none"/>
        </w:rPr>
        <w:sectPr>
          <w:pgSz w:w="11906" w:h="16838"/>
          <w:pgMar w:top="1474" w:right="1797" w:bottom="1247" w:left="1797" w:header="851" w:footer="851" w:gutter="0"/>
          <w:pgNumType w:fmt="decimal"/>
          <w:cols w:space="720" w:num="1"/>
          <w:docGrid w:linePitch="312"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7" w:name="_Toc184313295"/>
      <w:bookmarkEnd w:id="37"/>
      <w:bookmarkStart w:id="38" w:name="_Toc184312123"/>
      <w:bookmarkEnd w:id="38"/>
      <w:bookmarkStart w:id="39" w:name="_Toc184312122"/>
      <w:bookmarkEnd w:id="39"/>
      <w:bookmarkStart w:id="40" w:name="_Toc184312113"/>
      <w:bookmarkEnd w:id="40"/>
      <w:bookmarkStart w:id="41" w:name="_Toc184312069"/>
      <w:bookmarkEnd w:id="41"/>
      <w:bookmarkStart w:id="42" w:name="_Toc184313293"/>
      <w:bookmarkEnd w:id="42"/>
      <w:bookmarkStart w:id="43" w:name="_Toc184308053"/>
      <w:bookmarkEnd w:id="43"/>
      <w:bookmarkStart w:id="44" w:name="_Toc184314412"/>
      <w:bookmarkEnd w:id="44"/>
      <w:bookmarkStart w:id="45" w:name="_Toc184313248"/>
      <w:bookmarkEnd w:id="45"/>
      <w:bookmarkStart w:id="46" w:name="_Toc184310273"/>
      <w:bookmarkEnd w:id="46"/>
      <w:bookmarkStart w:id="47" w:name="_Toc184310309"/>
      <w:bookmarkEnd w:id="47"/>
      <w:bookmarkStart w:id="48" w:name="_Toc184310290"/>
      <w:bookmarkEnd w:id="48"/>
      <w:bookmarkStart w:id="49" w:name="_Toc184310302"/>
      <w:bookmarkEnd w:id="49"/>
      <w:bookmarkStart w:id="50" w:name="_Toc184308092"/>
      <w:bookmarkEnd w:id="50"/>
      <w:bookmarkStart w:id="51" w:name="_Toc184312085"/>
      <w:bookmarkEnd w:id="51"/>
      <w:bookmarkStart w:id="52" w:name="_Toc184314420"/>
      <w:bookmarkEnd w:id="52"/>
      <w:bookmarkStart w:id="53" w:name="_Toc184312103"/>
      <w:bookmarkEnd w:id="53"/>
      <w:bookmarkStart w:id="54" w:name="_Toc184313264"/>
      <w:bookmarkEnd w:id="54"/>
      <w:bookmarkStart w:id="55" w:name="_Toc184312114"/>
      <w:bookmarkEnd w:id="55"/>
      <w:bookmarkStart w:id="56" w:name="_Toc184313307"/>
      <w:bookmarkEnd w:id="56"/>
      <w:bookmarkStart w:id="57" w:name="_Toc184314464"/>
      <w:bookmarkEnd w:id="57"/>
      <w:bookmarkStart w:id="58" w:name="_Toc184310279"/>
      <w:bookmarkEnd w:id="58"/>
      <w:bookmarkStart w:id="59" w:name="_Toc184310322"/>
      <w:bookmarkEnd w:id="59"/>
      <w:bookmarkStart w:id="60" w:name="_Toc184312117"/>
      <w:bookmarkEnd w:id="60"/>
      <w:bookmarkStart w:id="61" w:name="_Toc184313260"/>
      <w:bookmarkEnd w:id="61"/>
      <w:bookmarkStart w:id="62" w:name="_Toc184308075"/>
      <w:bookmarkEnd w:id="62"/>
      <w:bookmarkStart w:id="63" w:name="_Toc184314477"/>
      <w:bookmarkEnd w:id="63"/>
      <w:bookmarkStart w:id="64" w:name="_Toc184312095"/>
      <w:bookmarkEnd w:id="64"/>
      <w:bookmarkStart w:id="65" w:name="_Toc184312133"/>
      <w:bookmarkEnd w:id="65"/>
      <w:bookmarkStart w:id="66" w:name="_Toc184308085"/>
      <w:bookmarkEnd w:id="66"/>
      <w:bookmarkStart w:id="67" w:name="_Toc184310342"/>
      <w:bookmarkEnd w:id="67"/>
      <w:bookmarkStart w:id="68" w:name="_Toc184314422"/>
      <w:bookmarkEnd w:id="68"/>
      <w:bookmarkStart w:id="69" w:name="_Toc184308104"/>
      <w:bookmarkEnd w:id="69"/>
      <w:bookmarkStart w:id="70" w:name="_Toc184310331"/>
      <w:bookmarkEnd w:id="70"/>
      <w:bookmarkStart w:id="71" w:name="_Toc184314455"/>
      <w:bookmarkEnd w:id="71"/>
      <w:bookmarkStart w:id="72" w:name="_Toc184310295"/>
      <w:bookmarkEnd w:id="72"/>
      <w:bookmarkStart w:id="73" w:name="_Toc184314419"/>
      <w:bookmarkEnd w:id="73"/>
      <w:bookmarkStart w:id="74" w:name="_Toc184313276"/>
      <w:bookmarkEnd w:id="74"/>
      <w:bookmarkStart w:id="75" w:name="_Toc184314430"/>
      <w:bookmarkEnd w:id="75"/>
      <w:bookmarkStart w:id="76" w:name="_Toc184313274"/>
      <w:bookmarkEnd w:id="76"/>
      <w:bookmarkStart w:id="77" w:name="_Toc184314462"/>
      <w:bookmarkEnd w:id="77"/>
      <w:bookmarkStart w:id="78" w:name="_Toc184310277"/>
      <w:bookmarkEnd w:id="78"/>
      <w:bookmarkStart w:id="79" w:name="_Toc184308069"/>
      <w:bookmarkEnd w:id="79"/>
      <w:bookmarkStart w:id="80" w:name="_Toc184310319"/>
      <w:bookmarkEnd w:id="80"/>
      <w:bookmarkStart w:id="81" w:name="_Toc184313289"/>
      <w:bookmarkEnd w:id="81"/>
      <w:bookmarkStart w:id="82" w:name="_Toc184312109"/>
      <w:bookmarkEnd w:id="82"/>
      <w:bookmarkStart w:id="83" w:name="_Toc184312067"/>
      <w:bookmarkEnd w:id="83"/>
      <w:bookmarkStart w:id="84" w:name="_Toc184310304"/>
      <w:bookmarkEnd w:id="84"/>
      <w:bookmarkStart w:id="85" w:name="_Toc184314463"/>
      <w:bookmarkEnd w:id="85"/>
      <w:bookmarkStart w:id="86" w:name="_Toc184308056"/>
      <w:bookmarkEnd w:id="86"/>
      <w:bookmarkStart w:id="87" w:name="_Toc184308086"/>
      <w:bookmarkEnd w:id="87"/>
      <w:bookmarkStart w:id="88" w:name="_Toc184314427"/>
      <w:bookmarkEnd w:id="88"/>
      <w:bookmarkStart w:id="89" w:name="_Toc184314468"/>
      <w:bookmarkEnd w:id="89"/>
      <w:bookmarkStart w:id="90" w:name="_Toc184313304"/>
      <w:bookmarkEnd w:id="90"/>
      <w:bookmarkStart w:id="91" w:name="_Toc184310337"/>
      <w:bookmarkEnd w:id="91"/>
      <w:bookmarkStart w:id="92" w:name="_Toc184310292"/>
      <w:bookmarkEnd w:id="92"/>
      <w:bookmarkStart w:id="93" w:name="_Toc184310293"/>
      <w:bookmarkEnd w:id="93"/>
      <w:bookmarkStart w:id="94" w:name="_Toc184310327"/>
      <w:bookmarkEnd w:id="94"/>
      <w:bookmarkStart w:id="95" w:name="_Toc184313255"/>
      <w:bookmarkEnd w:id="95"/>
      <w:bookmarkStart w:id="96" w:name="_Toc184314428"/>
      <w:bookmarkEnd w:id="96"/>
      <w:bookmarkStart w:id="97" w:name="_Toc184310298"/>
      <w:bookmarkEnd w:id="97"/>
      <w:bookmarkStart w:id="98" w:name="_Toc184313271"/>
      <w:bookmarkEnd w:id="98"/>
      <w:bookmarkStart w:id="99" w:name="_Toc184314446"/>
      <w:bookmarkEnd w:id="99"/>
      <w:bookmarkStart w:id="100" w:name="_Toc184308072"/>
      <w:bookmarkEnd w:id="100"/>
      <w:bookmarkStart w:id="101" w:name="_Toc184313261"/>
      <w:bookmarkEnd w:id="101"/>
      <w:bookmarkStart w:id="102" w:name="_Toc184308052"/>
      <w:bookmarkEnd w:id="102"/>
      <w:bookmarkStart w:id="103" w:name="_Toc184310320"/>
      <w:bookmarkEnd w:id="103"/>
      <w:bookmarkStart w:id="104" w:name="_Toc184310281"/>
      <w:bookmarkEnd w:id="104"/>
      <w:bookmarkStart w:id="105" w:name="_Toc184308074"/>
      <w:bookmarkEnd w:id="105"/>
      <w:bookmarkStart w:id="106" w:name="_Toc184314440"/>
      <w:bookmarkEnd w:id="106"/>
      <w:bookmarkStart w:id="107" w:name="_Toc184312121"/>
      <w:bookmarkEnd w:id="107"/>
      <w:bookmarkStart w:id="108" w:name="_Toc184312081"/>
      <w:bookmarkEnd w:id="108"/>
      <w:bookmarkStart w:id="109" w:name="_Toc184313296"/>
      <w:bookmarkEnd w:id="109"/>
      <w:bookmarkStart w:id="110" w:name="_Toc184308082"/>
      <w:bookmarkEnd w:id="110"/>
      <w:bookmarkStart w:id="111" w:name="_Toc184314452"/>
      <w:bookmarkEnd w:id="111"/>
      <w:bookmarkStart w:id="112" w:name="_Toc184312108"/>
      <w:bookmarkEnd w:id="112"/>
      <w:bookmarkStart w:id="113" w:name="_Toc184312083"/>
      <w:bookmarkEnd w:id="113"/>
      <w:bookmarkStart w:id="114" w:name="_Toc184312071"/>
      <w:bookmarkEnd w:id="114"/>
      <w:bookmarkStart w:id="115" w:name="_Toc184313309"/>
      <w:bookmarkEnd w:id="115"/>
      <w:bookmarkStart w:id="116" w:name="_Toc184312090"/>
      <w:bookmarkEnd w:id="116"/>
      <w:bookmarkStart w:id="117" w:name="_Toc184310315"/>
      <w:bookmarkEnd w:id="117"/>
      <w:bookmarkStart w:id="118" w:name="_Toc184312120"/>
      <w:bookmarkEnd w:id="118"/>
      <w:bookmarkStart w:id="119" w:name="_Toc184310326"/>
      <w:bookmarkEnd w:id="119"/>
      <w:bookmarkStart w:id="120" w:name="_Toc184308101"/>
      <w:bookmarkEnd w:id="120"/>
      <w:bookmarkStart w:id="121" w:name="_Toc184310303"/>
      <w:bookmarkEnd w:id="121"/>
      <w:bookmarkStart w:id="122" w:name="_Toc184314432"/>
      <w:bookmarkEnd w:id="122"/>
      <w:bookmarkStart w:id="123" w:name="_Toc184313267"/>
      <w:bookmarkEnd w:id="123"/>
      <w:bookmarkStart w:id="124" w:name="_Toc184313258"/>
      <w:bookmarkEnd w:id="124"/>
      <w:bookmarkStart w:id="125" w:name="_Toc184313294"/>
      <w:bookmarkEnd w:id="125"/>
      <w:bookmarkStart w:id="126" w:name="_Toc184312074"/>
      <w:bookmarkEnd w:id="126"/>
      <w:bookmarkStart w:id="127" w:name="_Toc184313305"/>
      <w:bookmarkEnd w:id="127"/>
      <w:bookmarkStart w:id="128" w:name="_Toc184314465"/>
      <w:bookmarkEnd w:id="128"/>
      <w:bookmarkStart w:id="129" w:name="_Toc184314424"/>
      <w:bookmarkEnd w:id="129"/>
      <w:bookmarkStart w:id="130" w:name="_Toc184313254"/>
      <w:bookmarkEnd w:id="130"/>
      <w:bookmarkStart w:id="131" w:name="_Toc184308070"/>
      <w:bookmarkEnd w:id="131"/>
      <w:bookmarkStart w:id="132" w:name="_Toc184314474"/>
      <w:bookmarkEnd w:id="132"/>
      <w:bookmarkStart w:id="133" w:name="_Toc184314480"/>
      <w:bookmarkEnd w:id="133"/>
      <w:bookmarkStart w:id="134" w:name="_Toc184312079"/>
      <w:bookmarkEnd w:id="134"/>
      <w:bookmarkStart w:id="135" w:name="_Toc184312077"/>
      <w:bookmarkEnd w:id="135"/>
      <w:bookmarkStart w:id="136" w:name="_Toc184308081"/>
      <w:bookmarkEnd w:id="136"/>
      <w:bookmarkStart w:id="137" w:name="_Toc184308043"/>
      <w:bookmarkEnd w:id="137"/>
      <w:bookmarkStart w:id="138" w:name="_Toc184312099"/>
      <w:bookmarkEnd w:id="138"/>
      <w:bookmarkStart w:id="139" w:name="_Toc184308036"/>
      <w:bookmarkEnd w:id="139"/>
      <w:bookmarkStart w:id="140" w:name="_Toc184313245"/>
      <w:bookmarkEnd w:id="140"/>
      <w:bookmarkStart w:id="141" w:name="_Toc184310276"/>
      <w:bookmarkEnd w:id="141"/>
      <w:bookmarkStart w:id="142" w:name="_Toc184312102"/>
      <w:bookmarkEnd w:id="142"/>
      <w:bookmarkStart w:id="143" w:name="_Toc184312125"/>
      <w:bookmarkEnd w:id="143"/>
      <w:bookmarkStart w:id="144" w:name="_Toc184308087"/>
      <w:bookmarkEnd w:id="144"/>
      <w:bookmarkStart w:id="145" w:name="_Toc184310317"/>
      <w:bookmarkEnd w:id="145"/>
      <w:bookmarkStart w:id="146" w:name="_Toc184314445"/>
      <w:bookmarkEnd w:id="146"/>
      <w:bookmarkStart w:id="147" w:name="_Toc184310325"/>
      <w:bookmarkEnd w:id="147"/>
      <w:bookmarkStart w:id="148" w:name="_Toc184313297"/>
      <w:bookmarkEnd w:id="148"/>
      <w:bookmarkStart w:id="149" w:name="_Toc184314460"/>
      <w:bookmarkEnd w:id="149"/>
      <w:bookmarkStart w:id="150" w:name="_Toc184308089"/>
      <w:bookmarkEnd w:id="150"/>
      <w:bookmarkStart w:id="151" w:name="_Toc184312139"/>
      <w:bookmarkEnd w:id="151"/>
      <w:bookmarkStart w:id="152" w:name="_Toc184310340"/>
      <w:bookmarkEnd w:id="152"/>
      <w:bookmarkStart w:id="153" w:name="_Toc184314448"/>
      <w:bookmarkEnd w:id="153"/>
      <w:bookmarkStart w:id="154" w:name="_Toc184308083"/>
      <w:bookmarkEnd w:id="154"/>
      <w:bookmarkStart w:id="155" w:name="_Toc184313243"/>
      <w:bookmarkEnd w:id="155"/>
      <w:bookmarkStart w:id="156" w:name="_Toc184308050"/>
      <w:bookmarkEnd w:id="156"/>
      <w:bookmarkStart w:id="157" w:name="_Toc184310307"/>
      <w:bookmarkEnd w:id="157"/>
      <w:bookmarkStart w:id="158" w:name="_Toc184313263"/>
      <w:bookmarkEnd w:id="158"/>
      <w:bookmarkStart w:id="159" w:name="_Toc184312076"/>
      <w:bookmarkEnd w:id="159"/>
      <w:bookmarkStart w:id="160" w:name="_Toc184312073"/>
      <w:bookmarkEnd w:id="160"/>
      <w:bookmarkStart w:id="161" w:name="_Toc184312086"/>
      <w:bookmarkEnd w:id="161"/>
      <w:bookmarkStart w:id="162" w:name="_Toc184308048"/>
      <w:bookmarkEnd w:id="162"/>
      <w:bookmarkStart w:id="163" w:name="_Toc184314426"/>
      <w:bookmarkEnd w:id="163"/>
      <w:bookmarkStart w:id="164" w:name="_Toc184312070"/>
      <w:bookmarkEnd w:id="164"/>
      <w:bookmarkStart w:id="165" w:name="_Toc184310339"/>
      <w:bookmarkEnd w:id="165"/>
      <w:bookmarkStart w:id="166" w:name="_Toc184314431"/>
      <w:bookmarkEnd w:id="166"/>
      <w:bookmarkStart w:id="167" w:name="_Toc184313239"/>
      <w:bookmarkEnd w:id="167"/>
      <w:bookmarkStart w:id="168" w:name="_Toc184310344"/>
      <w:bookmarkEnd w:id="168"/>
      <w:bookmarkStart w:id="169" w:name="_Toc184308066"/>
      <w:bookmarkEnd w:id="169"/>
      <w:bookmarkStart w:id="170" w:name="_Toc184310288"/>
      <w:bookmarkEnd w:id="170"/>
      <w:bookmarkStart w:id="171" w:name="_Toc184308061"/>
      <w:bookmarkEnd w:id="171"/>
      <w:bookmarkStart w:id="172" w:name="_Toc184308059"/>
      <w:bookmarkEnd w:id="172"/>
      <w:bookmarkStart w:id="173" w:name="_Toc184312119"/>
      <w:bookmarkEnd w:id="173"/>
      <w:bookmarkStart w:id="174" w:name="_Toc184313246"/>
      <w:bookmarkEnd w:id="174"/>
      <w:bookmarkStart w:id="175" w:name="_Toc184314414"/>
      <w:bookmarkEnd w:id="175"/>
      <w:bookmarkStart w:id="176" w:name="_Toc184310296"/>
      <w:bookmarkEnd w:id="176"/>
      <w:bookmarkStart w:id="177" w:name="_Toc184310305"/>
      <w:bookmarkEnd w:id="177"/>
      <w:bookmarkStart w:id="178" w:name="_Toc184314416"/>
      <w:bookmarkEnd w:id="178"/>
      <w:bookmarkStart w:id="179" w:name="_Toc184312116"/>
      <w:bookmarkEnd w:id="179"/>
      <w:bookmarkStart w:id="180" w:name="_Toc184312101"/>
      <w:bookmarkEnd w:id="180"/>
      <w:bookmarkStart w:id="181" w:name="_Toc184308105"/>
      <w:bookmarkEnd w:id="181"/>
      <w:bookmarkStart w:id="182" w:name="_Toc184310332"/>
      <w:bookmarkEnd w:id="182"/>
      <w:bookmarkStart w:id="183" w:name="_Toc184312136"/>
      <w:bookmarkEnd w:id="183"/>
      <w:bookmarkStart w:id="184" w:name="_Toc184314423"/>
      <w:bookmarkEnd w:id="184"/>
      <w:bookmarkStart w:id="185" w:name="_Toc184310306"/>
      <w:bookmarkEnd w:id="185"/>
      <w:bookmarkStart w:id="186" w:name="_Toc184308062"/>
      <w:bookmarkEnd w:id="186"/>
      <w:bookmarkStart w:id="187" w:name="_Toc184310333"/>
      <w:bookmarkEnd w:id="187"/>
      <w:bookmarkStart w:id="188" w:name="_Toc184314444"/>
      <w:bookmarkEnd w:id="188"/>
      <w:bookmarkStart w:id="189" w:name="_Toc184314476"/>
      <w:bookmarkEnd w:id="189"/>
      <w:bookmarkStart w:id="190" w:name="_Toc184308098"/>
      <w:bookmarkEnd w:id="190"/>
      <w:bookmarkStart w:id="191" w:name="_Toc184312127"/>
      <w:bookmarkEnd w:id="191"/>
      <w:bookmarkStart w:id="192" w:name="_Toc184308073"/>
      <w:bookmarkEnd w:id="192"/>
      <w:bookmarkStart w:id="193" w:name="_Toc184313250"/>
      <w:bookmarkEnd w:id="193"/>
      <w:bookmarkStart w:id="194" w:name="_Toc184313303"/>
      <w:bookmarkEnd w:id="194"/>
      <w:bookmarkStart w:id="195" w:name="_Toc184310297"/>
      <w:bookmarkEnd w:id="195"/>
      <w:bookmarkStart w:id="196" w:name="_Toc184310314"/>
      <w:bookmarkEnd w:id="196"/>
      <w:bookmarkStart w:id="197" w:name="_Toc184312128"/>
      <w:bookmarkEnd w:id="197"/>
      <w:bookmarkStart w:id="198" w:name="_Toc184310278"/>
      <w:bookmarkEnd w:id="198"/>
      <w:bookmarkStart w:id="199" w:name="_Toc184310336"/>
      <w:bookmarkEnd w:id="199"/>
      <w:bookmarkStart w:id="200" w:name="_Toc184308079"/>
      <w:bookmarkEnd w:id="200"/>
      <w:bookmarkStart w:id="201" w:name="_Toc184313247"/>
      <w:bookmarkEnd w:id="201"/>
      <w:bookmarkStart w:id="202" w:name="_Toc184312082"/>
      <w:bookmarkEnd w:id="202"/>
      <w:bookmarkStart w:id="203" w:name="_Toc184314457"/>
      <w:bookmarkEnd w:id="203"/>
      <w:bookmarkStart w:id="204" w:name="_Toc184313238"/>
      <w:bookmarkEnd w:id="204"/>
      <w:bookmarkStart w:id="205" w:name="_Toc184308099"/>
      <w:bookmarkEnd w:id="205"/>
      <w:bookmarkStart w:id="206" w:name="_Toc184313291"/>
      <w:bookmarkEnd w:id="206"/>
      <w:bookmarkStart w:id="207" w:name="_Toc184314467"/>
      <w:bookmarkEnd w:id="207"/>
      <w:bookmarkStart w:id="208" w:name="_Toc184310312"/>
      <w:bookmarkEnd w:id="208"/>
      <w:bookmarkStart w:id="209" w:name="_Toc184313256"/>
      <w:bookmarkEnd w:id="209"/>
      <w:bookmarkStart w:id="210" w:name="_Toc184312088"/>
      <w:bookmarkEnd w:id="210"/>
      <w:bookmarkStart w:id="211" w:name="_Toc184314481"/>
      <w:bookmarkEnd w:id="211"/>
      <w:bookmarkStart w:id="212" w:name="_Toc184313287"/>
      <w:bookmarkEnd w:id="212"/>
      <w:bookmarkStart w:id="213" w:name="_Toc184308055"/>
      <w:bookmarkEnd w:id="213"/>
      <w:bookmarkStart w:id="214" w:name="_Toc184310282"/>
      <w:bookmarkEnd w:id="214"/>
      <w:bookmarkStart w:id="215" w:name="_Toc184313299"/>
      <w:bookmarkEnd w:id="215"/>
      <w:bookmarkStart w:id="216" w:name="_Toc184314411"/>
      <w:bookmarkEnd w:id="216"/>
      <w:bookmarkStart w:id="217" w:name="_Toc184308076"/>
      <w:bookmarkEnd w:id="217"/>
      <w:bookmarkStart w:id="218" w:name="_Toc184308041"/>
      <w:bookmarkEnd w:id="218"/>
      <w:bookmarkStart w:id="219" w:name="_Toc184313249"/>
      <w:bookmarkEnd w:id="219"/>
      <w:bookmarkStart w:id="220" w:name="_Toc184312068"/>
      <w:bookmarkEnd w:id="220"/>
      <w:bookmarkStart w:id="221" w:name="_Toc184308094"/>
      <w:bookmarkEnd w:id="221"/>
      <w:bookmarkStart w:id="222" w:name="_Toc184310274"/>
      <w:bookmarkEnd w:id="222"/>
      <w:bookmarkStart w:id="223" w:name="_Toc184313252"/>
      <w:bookmarkEnd w:id="223"/>
      <w:bookmarkStart w:id="224" w:name="_Toc184310289"/>
      <w:bookmarkEnd w:id="224"/>
      <w:bookmarkStart w:id="225" w:name="_Toc184310335"/>
      <w:bookmarkEnd w:id="225"/>
      <w:bookmarkStart w:id="226" w:name="_Toc184310287"/>
      <w:bookmarkEnd w:id="226"/>
      <w:bookmarkStart w:id="227" w:name="_Toc184308058"/>
      <w:bookmarkEnd w:id="227"/>
      <w:bookmarkStart w:id="228" w:name="_Toc184310300"/>
      <w:bookmarkEnd w:id="228"/>
      <w:bookmarkStart w:id="229" w:name="_Toc184308068"/>
      <w:bookmarkEnd w:id="229"/>
      <w:bookmarkStart w:id="230" w:name="_Toc184310316"/>
      <w:bookmarkEnd w:id="230"/>
      <w:bookmarkStart w:id="231" w:name="_Toc184313288"/>
      <w:bookmarkEnd w:id="231"/>
      <w:bookmarkStart w:id="232" w:name="_Toc184308040"/>
      <w:bookmarkEnd w:id="232"/>
      <w:bookmarkStart w:id="233" w:name="_Toc184312098"/>
      <w:bookmarkEnd w:id="233"/>
      <w:bookmarkStart w:id="234" w:name="_Toc184313285"/>
      <w:bookmarkEnd w:id="234"/>
      <w:bookmarkStart w:id="235" w:name="_Toc184308107"/>
      <w:bookmarkEnd w:id="235"/>
      <w:bookmarkStart w:id="236" w:name="_Toc184313251"/>
      <w:bookmarkEnd w:id="236"/>
      <w:bookmarkStart w:id="237" w:name="_Toc184313257"/>
      <w:bookmarkEnd w:id="237"/>
      <w:bookmarkStart w:id="238" w:name="_Toc184313278"/>
      <w:bookmarkEnd w:id="238"/>
      <w:bookmarkStart w:id="239" w:name="_Toc184313280"/>
      <w:bookmarkEnd w:id="239"/>
      <w:bookmarkStart w:id="240" w:name="_Toc184314418"/>
      <w:bookmarkEnd w:id="240"/>
      <w:bookmarkStart w:id="241" w:name="_Toc184312107"/>
      <w:bookmarkEnd w:id="241"/>
      <w:bookmarkStart w:id="242" w:name="_Toc184312111"/>
      <w:bookmarkEnd w:id="242"/>
      <w:bookmarkStart w:id="243" w:name="_Toc184314441"/>
      <w:bookmarkEnd w:id="243"/>
      <w:bookmarkStart w:id="244" w:name="_Toc184308057"/>
      <w:bookmarkEnd w:id="244"/>
      <w:bookmarkStart w:id="245" w:name="_Toc184308063"/>
      <w:bookmarkEnd w:id="245"/>
      <w:bookmarkStart w:id="246" w:name="_Toc184313241"/>
      <w:bookmarkEnd w:id="246"/>
      <w:bookmarkStart w:id="247" w:name="_Toc184314435"/>
      <w:bookmarkEnd w:id="247"/>
      <w:bookmarkStart w:id="248" w:name="_Toc184314472"/>
      <w:bookmarkEnd w:id="248"/>
      <w:bookmarkStart w:id="249" w:name="_Toc184313272"/>
      <w:bookmarkEnd w:id="249"/>
      <w:bookmarkStart w:id="250" w:name="_Toc184313279"/>
      <w:bookmarkEnd w:id="250"/>
      <w:bookmarkStart w:id="251" w:name="_Toc184308100"/>
      <w:bookmarkEnd w:id="251"/>
      <w:bookmarkStart w:id="252" w:name="_Toc184310308"/>
      <w:bookmarkEnd w:id="252"/>
      <w:bookmarkStart w:id="253" w:name="_Toc184312087"/>
      <w:bookmarkEnd w:id="253"/>
      <w:bookmarkStart w:id="254" w:name="_Toc184314478"/>
      <w:bookmarkEnd w:id="254"/>
      <w:bookmarkStart w:id="255" w:name="_Toc184310294"/>
      <w:bookmarkEnd w:id="255"/>
      <w:bookmarkStart w:id="256" w:name="_Toc184312115"/>
      <w:bookmarkEnd w:id="256"/>
      <w:bookmarkStart w:id="257" w:name="_Toc184314425"/>
      <w:bookmarkEnd w:id="257"/>
      <w:bookmarkStart w:id="258" w:name="_Toc184310285"/>
      <w:bookmarkEnd w:id="258"/>
      <w:bookmarkStart w:id="259" w:name="_Toc184312118"/>
      <w:bookmarkEnd w:id="259"/>
      <w:bookmarkStart w:id="260" w:name="_Toc184308095"/>
      <w:bookmarkEnd w:id="260"/>
      <w:bookmarkStart w:id="261" w:name="_Toc184308042"/>
      <w:bookmarkEnd w:id="261"/>
      <w:bookmarkStart w:id="262" w:name="_Toc184314442"/>
      <w:bookmarkEnd w:id="262"/>
      <w:bookmarkStart w:id="263" w:name="_Toc184310338"/>
      <w:bookmarkEnd w:id="263"/>
      <w:bookmarkStart w:id="264" w:name="_Toc184312106"/>
      <w:bookmarkEnd w:id="264"/>
      <w:bookmarkStart w:id="265" w:name="_Toc184313265"/>
      <w:bookmarkEnd w:id="265"/>
      <w:bookmarkStart w:id="266" w:name="_Toc184308103"/>
      <w:bookmarkEnd w:id="266"/>
      <w:bookmarkStart w:id="267" w:name="_Toc184312072"/>
      <w:bookmarkEnd w:id="267"/>
      <w:bookmarkStart w:id="268" w:name="_Toc184308064"/>
      <w:bookmarkEnd w:id="268"/>
      <w:bookmarkStart w:id="269" w:name="_Toc184314453"/>
      <w:bookmarkEnd w:id="269"/>
      <w:bookmarkStart w:id="270" w:name="_Toc184310291"/>
      <w:bookmarkEnd w:id="270"/>
      <w:bookmarkStart w:id="271" w:name="_Toc184308077"/>
      <w:bookmarkEnd w:id="271"/>
      <w:bookmarkStart w:id="272" w:name="_Toc184312094"/>
      <w:bookmarkEnd w:id="272"/>
      <w:bookmarkStart w:id="273" w:name="_Toc184313301"/>
      <w:bookmarkEnd w:id="273"/>
      <w:bookmarkStart w:id="274" w:name="_Toc184313302"/>
      <w:bookmarkEnd w:id="274"/>
      <w:bookmarkStart w:id="275" w:name="_Toc184310343"/>
      <w:bookmarkEnd w:id="275"/>
      <w:bookmarkStart w:id="276" w:name="_Toc184314439"/>
      <w:bookmarkEnd w:id="276"/>
      <w:bookmarkStart w:id="277" w:name="_Toc184308046"/>
      <w:bookmarkEnd w:id="277"/>
      <w:bookmarkStart w:id="278" w:name="_Toc184310330"/>
      <w:bookmarkEnd w:id="278"/>
      <w:bookmarkStart w:id="279" w:name="_Toc184314479"/>
      <w:bookmarkEnd w:id="279"/>
      <w:bookmarkStart w:id="280" w:name="_Toc184310272"/>
      <w:bookmarkEnd w:id="280"/>
      <w:bookmarkStart w:id="281" w:name="_Toc184308051"/>
      <w:bookmarkEnd w:id="281"/>
      <w:bookmarkStart w:id="282" w:name="_Toc184314471"/>
      <w:bookmarkEnd w:id="282"/>
      <w:bookmarkStart w:id="283" w:name="_Toc184313290"/>
      <w:bookmarkEnd w:id="283"/>
      <w:bookmarkStart w:id="284" w:name="_Toc184314447"/>
      <w:bookmarkEnd w:id="284"/>
      <w:bookmarkStart w:id="285" w:name="_Toc184313275"/>
      <w:bookmarkEnd w:id="285"/>
      <w:bookmarkStart w:id="286" w:name="_Toc184310321"/>
      <w:bookmarkEnd w:id="286"/>
      <w:bookmarkStart w:id="287" w:name="_Toc184310286"/>
      <w:bookmarkEnd w:id="287"/>
      <w:bookmarkStart w:id="288" w:name="_Toc184313273"/>
      <w:bookmarkEnd w:id="288"/>
      <w:bookmarkStart w:id="289" w:name="_Toc184310341"/>
      <w:bookmarkEnd w:id="289"/>
      <w:bookmarkStart w:id="290" w:name="_Toc184314433"/>
      <w:bookmarkEnd w:id="290"/>
      <w:bookmarkStart w:id="291" w:name="_Toc184313306"/>
      <w:bookmarkEnd w:id="291"/>
      <w:bookmarkStart w:id="292" w:name="_Toc184314436"/>
      <w:bookmarkEnd w:id="292"/>
      <w:bookmarkStart w:id="293" w:name="_Toc184314413"/>
      <w:bookmarkEnd w:id="293"/>
      <w:bookmarkStart w:id="294" w:name="_Toc184313308"/>
      <w:bookmarkEnd w:id="294"/>
      <w:bookmarkStart w:id="295" w:name="_Toc184313259"/>
      <w:bookmarkEnd w:id="295"/>
      <w:bookmarkStart w:id="296" w:name="_Toc184310334"/>
      <w:bookmarkEnd w:id="296"/>
      <w:bookmarkStart w:id="297" w:name="_Toc184312130"/>
      <w:bookmarkEnd w:id="297"/>
      <w:bookmarkStart w:id="298" w:name="_Toc184314482"/>
      <w:bookmarkEnd w:id="298"/>
      <w:bookmarkStart w:id="299" w:name="_Toc184314437"/>
      <w:bookmarkEnd w:id="299"/>
      <w:bookmarkStart w:id="300" w:name="_Toc184310299"/>
      <w:bookmarkEnd w:id="300"/>
      <w:bookmarkStart w:id="301" w:name="_Toc184313310"/>
      <w:bookmarkEnd w:id="301"/>
      <w:bookmarkStart w:id="302" w:name="_Toc184310310"/>
      <w:bookmarkEnd w:id="302"/>
      <w:bookmarkStart w:id="303" w:name="_Toc184310324"/>
      <w:bookmarkEnd w:id="303"/>
      <w:bookmarkStart w:id="304" w:name="_Toc184314450"/>
      <w:bookmarkEnd w:id="304"/>
      <w:bookmarkStart w:id="305" w:name="_Toc184308067"/>
      <w:bookmarkEnd w:id="305"/>
      <w:bookmarkStart w:id="306" w:name="_Toc184312104"/>
      <w:bookmarkEnd w:id="306"/>
      <w:bookmarkStart w:id="307" w:name="_Toc184313270"/>
      <w:bookmarkEnd w:id="307"/>
      <w:bookmarkStart w:id="308" w:name="_Toc184314454"/>
      <w:bookmarkEnd w:id="308"/>
      <w:bookmarkStart w:id="309" w:name="_Toc184310275"/>
      <w:bookmarkEnd w:id="309"/>
      <w:bookmarkStart w:id="310" w:name="_Toc184308037"/>
      <w:bookmarkEnd w:id="310"/>
      <w:bookmarkStart w:id="311" w:name="_Toc184308039"/>
      <w:bookmarkEnd w:id="311"/>
      <w:bookmarkStart w:id="312" w:name="_Toc184314459"/>
      <w:bookmarkEnd w:id="312"/>
      <w:bookmarkStart w:id="313" w:name="_Toc184313277"/>
      <w:bookmarkEnd w:id="313"/>
      <w:bookmarkStart w:id="314" w:name="_Toc184313298"/>
      <w:bookmarkEnd w:id="314"/>
      <w:bookmarkStart w:id="315" w:name="_Toc184313269"/>
      <w:bookmarkEnd w:id="315"/>
      <w:bookmarkStart w:id="316" w:name="_Toc184312105"/>
      <w:bookmarkEnd w:id="316"/>
      <w:bookmarkStart w:id="317" w:name="_Toc184310311"/>
      <w:bookmarkEnd w:id="317"/>
      <w:bookmarkStart w:id="318" w:name="_Toc184312075"/>
      <w:bookmarkEnd w:id="318"/>
      <w:bookmarkStart w:id="319" w:name="_Toc184312110"/>
      <w:bookmarkEnd w:id="319"/>
      <w:bookmarkStart w:id="320" w:name="_Toc184314473"/>
      <w:bookmarkEnd w:id="320"/>
      <w:bookmarkStart w:id="321" w:name="_Toc184308045"/>
      <w:bookmarkEnd w:id="321"/>
      <w:bookmarkStart w:id="322" w:name="_Toc184314421"/>
      <w:bookmarkEnd w:id="322"/>
      <w:bookmarkStart w:id="323" w:name="_Toc184308054"/>
      <w:bookmarkEnd w:id="323"/>
      <w:bookmarkStart w:id="324" w:name="_Toc184312137"/>
      <w:bookmarkEnd w:id="324"/>
      <w:bookmarkStart w:id="325" w:name="_Toc184314415"/>
      <w:bookmarkEnd w:id="325"/>
      <w:bookmarkStart w:id="326" w:name="_Toc184313286"/>
      <w:bookmarkEnd w:id="326"/>
      <w:bookmarkStart w:id="327" w:name="_Toc184310323"/>
      <w:bookmarkEnd w:id="327"/>
      <w:bookmarkStart w:id="328" w:name="_Toc184308090"/>
      <w:bookmarkEnd w:id="328"/>
      <w:bookmarkStart w:id="329" w:name="_Toc184308078"/>
      <w:bookmarkEnd w:id="329"/>
      <w:bookmarkStart w:id="330" w:name="_Toc184313282"/>
      <w:bookmarkEnd w:id="330"/>
      <w:bookmarkStart w:id="331" w:name="_Toc184314438"/>
      <w:bookmarkEnd w:id="331"/>
      <w:bookmarkStart w:id="332" w:name="_Toc184310280"/>
      <w:bookmarkEnd w:id="332"/>
      <w:bookmarkStart w:id="333" w:name="_Toc184314458"/>
      <w:bookmarkEnd w:id="333"/>
      <w:bookmarkStart w:id="334" w:name="_Toc184313292"/>
      <w:bookmarkEnd w:id="334"/>
      <w:bookmarkStart w:id="335" w:name="_Toc184313281"/>
      <w:bookmarkEnd w:id="335"/>
      <w:bookmarkStart w:id="336" w:name="_Toc184313244"/>
      <w:bookmarkEnd w:id="336"/>
      <w:bookmarkStart w:id="337" w:name="_Toc184312100"/>
      <w:bookmarkEnd w:id="337"/>
      <w:bookmarkStart w:id="338" w:name="_Toc184313284"/>
      <w:bookmarkEnd w:id="338"/>
      <w:bookmarkStart w:id="339" w:name="_Toc184313253"/>
      <w:bookmarkEnd w:id="339"/>
      <w:bookmarkStart w:id="340" w:name="_Toc184312080"/>
      <w:bookmarkEnd w:id="340"/>
      <w:bookmarkStart w:id="341" w:name="_Toc184308071"/>
      <w:bookmarkEnd w:id="341"/>
      <w:bookmarkStart w:id="342" w:name="_Toc184312089"/>
      <w:bookmarkEnd w:id="342"/>
      <w:bookmarkStart w:id="343" w:name="_Toc184314434"/>
      <w:bookmarkEnd w:id="343"/>
      <w:bookmarkStart w:id="344" w:name="_Toc184314429"/>
      <w:bookmarkEnd w:id="344"/>
      <w:bookmarkStart w:id="345" w:name="_Toc184312124"/>
      <w:bookmarkEnd w:id="345"/>
      <w:bookmarkStart w:id="346" w:name="_Toc184312078"/>
      <w:bookmarkEnd w:id="346"/>
      <w:bookmarkStart w:id="347" w:name="_Toc184314475"/>
      <w:bookmarkEnd w:id="347"/>
      <w:bookmarkStart w:id="348" w:name="_Toc184314451"/>
      <w:bookmarkEnd w:id="348"/>
      <w:bookmarkStart w:id="349" w:name="_Toc184314461"/>
      <w:bookmarkEnd w:id="349"/>
      <w:bookmarkStart w:id="350" w:name="_Toc184312092"/>
      <w:bookmarkEnd w:id="350"/>
      <w:bookmarkStart w:id="351" w:name="_Toc184308049"/>
      <w:bookmarkEnd w:id="351"/>
      <w:bookmarkStart w:id="352" w:name="_Toc184308106"/>
      <w:bookmarkEnd w:id="352"/>
      <w:bookmarkStart w:id="353" w:name="_Toc184312134"/>
      <w:bookmarkEnd w:id="353"/>
      <w:bookmarkStart w:id="354" w:name="_Toc184314470"/>
      <w:bookmarkEnd w:id="354"/>
      <w:bookmarkStart w:id="355" w:name="_Toc184308088"/>
      <w:bookmarkEnd w:id="355"/>
      <w:bookmarkStart w:id="356" w:name="_Toc184310318"/>
      <w:bookmarkEnd w:id="356"/>
      <w:bookmarkStart w:id="357" w:name="_Toc184308038"/>
      <w:bookmarkEnd w:id="357"/>
      <w:bookmarkStart w:id="358" w:name="_Toc184313262"/>
      <w:bookmarkEnd w:id="358"/>
      <w:bookmarkStart w:id="359" w:name="_Toc184314449"/>
      <w:bookmarkEnd w:id="359"/>
      <w:bookmarkStart w:id="360" w:name="_Toc184312112"/>
      <w:bookmarkEnd w:id="360"/>
      <w:bookmarkStart w:id="361" w:name="_Toc184312093"/>
      <w:bookmarkEnd w:id="361"/>
      <w:bookmarkStart w:id="362" w:name="_Toc184308108"/>
      <w:bookmarkEnd w:id="362"/>
      <w:bookmarkStart w:id="363" w:name="_Toc184310284"/>
      <w:bookmarkEnd w:id="363"/>
      <w:bookmarkStart w:id="364" w:name="_Toc184308060"/>
      <w:bookmarkEnd w:id="364"/>
      <w:bookmarkStart w:id="365" w:name="_Toc184310313"/>
      <w:bookmarkEnd w:id="365"/>
      <w:bookmarkStart w:id="366" w:name="_Toc184313283"/>
      <w:bookmarkEnd w:id="366"/>
      <w:bookmarkStart w:id="367" w:name="_Toc184308102"/>
      <w:bookmarkEnd w:id="367"/>
      <w:bookmarkStart w:id="368" w:name="_Toc184313300"/>
      <w:bookmarkEnd w:id="368"/>
      <w:bookmarkStart w:id="369" w:name="_Toc184314469"/>
      <w:bookmarkEnd w:id="369"/>
      <w:bookmarkStart w:id="370" w:name="_Toc184308065"/>
      <w:bookmarkEnd w:id="370"/>
      <w:bookmarkStart w:id="371" w:name="_Toc184312129"/>
      <w:bookmarkEnd w:id="371"/>
      <w:bookmarkStart w:id="372" w:name="_Toc184310283"/>
      <w:bookmarkEnd w:id="372"/>
      <w:bookmarkStart w:id="373" w:name="_Toc184308097"/>
      <w:bookmarkEnd w:id="373"/>
      <w:bookmarkStart w:id="374" w:name="_Toc184312126"/>
      <w:bookmarkEnd w:id="374"/>
      <w:bookmarkStart w:id="375" w:name="_Toc184314456"/>
      <w:bookmarkEnd w:id="375"/>
      <w:bookmarkStart w:id="376" w:name="_Toc184308096"/>
      <w:bookmarkEnd w:id="376"/>
      <w:bookmarkStart w:id="377" w:name="_Toc184308084"/>
      <w:bookmarkEnd w:id="377"/>
      <w:bookmarkStart w:id="378" w:name="_Toc184313240"/>
      <w:bookmarkEnd w:id="378"/>
      <w:bookmarkStart w:id="379" w:name="_Toc184308091"/>
      <w:bookmarkEnd w:id="379"/>
      <w:bookmarkStart w:id="380" w:name="_Toc184313242"/>
      <w:bookmarkEnd w:id="380"/>
      <w:bookmarkStart w:id="381" w:name="_Toc184312096"/>
      <w:bookmarkEnd w:id="381"/>
      <w:bookmarkStart w:id="382" w:name="_Toc184310329"/>
      <w:bookmarkEnd w:id="382"/>
      <w:bookmarkStart w:id="383" w:name="_Toc184314410"/>
      <w:bookmarkEnd w:id="383"/>
      <w:bookmarkStart w:id="384" w:name="_Toc184308080"/>
      <w:bookmarkEnd w:id="384"/>
      <w:bookmarkStart w:id="385" w:name="_Toc184312138"/>
      <w:bookmarkEnd w:id="385"/>
      <w:bookmarkStart w:id="386" w:name="_Toc184312131"/>
      <w:bookmarkEnd w:id="386"/>
      <w:bookmarkStart w:id="387" w:name="_Toc184314466"/>
      <w:bookmarkEnd w:id="387"/>
      <w:bookmarkStart w:id="388" w:name="_Toc184314443"/>
      <w:bookmarkEnd w:id="388"/>
      <w:bookmarkStart w:id="389" w:name="_Toc184310328"/>
      <w:bookmarkEnd w:id="389"/>
      <w:bookmarkStart w:id="390" w:name="_Toc184310301"/>
      <w:bookmarkEnd w:id="390"/>
      <w:bookmarkStart w:id="391" w:name="_Toc184313266"/>
      <w:bookmarkEnd w:id="391"/>
      <w:bookmarkStart w:id="392" w:name="_Toc184312135"/>
      <w:bookmarkEnd w:id="392"/>
      <w:bookmarkStart w:id="393" w:name="_Toc184312132"/>
      <w:bookmarkEnd w:id="393"/>
      <w:bookmarkStart w:id="394" w:name="_Toc184312097"/>
      <w:bookmarkEnd w:id="394"/>
      <w:bookmarkStart w:id="395" w:name="_Toc184312084"/>
      <w:bookmarkEnd w:id="395"/>
      <w:bookmarkStart w:id="396" w:name="_Toc184314417"/>
      <w:bookmarkEnd w:id="396"/>
      <w:bookmarkStart w:id="397" w:name="_Toc184308093"/>
      <w:bookmarkEnd w:id="397"/>
      <w:bookmarkStart w:id="398" w:name="_Toc184308044"/>
      <w:bookmarkEnd w:id="398"/>
      <w:bookmarkStart w:id="399" w:name="_Toc184312091"/>
      <w:bookmarkEnd w:id="399"/>
      <w:bookmarkStart w:id="400" w:name="_Toc184313268"/>
      <w:bookmarkEnd w:id="400"/>
      <w:bookmarkStart w:id="401" w:name="_Toc184308047"/>
      <w:bookmarkEnd w:id="401"/>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15"/>
        <w:gridCol w:w="5550"/>
        <w:gridCol w:w="67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评审内容</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分值</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78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lang w:eastAsia="zh-CN"/>
              </w:rPr>
              <w:t>商务</w:t>
            </w:r>
            <w:r>
              <w:rPr>
                <w:rFonts w:hint="eastAsia" w:ascii="宋体" w:hAnsi="宋体" w:eastAsia="宋体" w:cs="宋体"/>
                <w:bCs/>
                <w:color w:val="auto"/>
                <w:kern w:val="2"/>
                <w:sz w:val="21"/>
                <w:szCs w:val="21"/>
                <w:highlight w:val="none"/>
              </w:rPr>
              <w:t>技术分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80</w:t>
            </w:r>
            <w:r>
              <w:rPr>
                <w:rFonts w:hint="eastAsia" w:ascii="宋体" w:hAnsi="宋体" w:eastAsia="宋体" w:cs="宋体"/>
                <w:bCs/>
                <w:color w:val="auto"/>
                <w:kern w:val="2"/>
                <w:sz w:val="21"/>
                <w:szCs w:val="21"/>
                <w:highlight w:val="none"/>
              </w:rPr>
              <w:t>分</w:t>
            </w:r>
          </w:p>
        </w:tc>
        <w:tc>
          <w:tcPr>
            <w:tcW w:w="1215"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spacing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1、服务方案（30分）</w:t>
            </w: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根据供应商</w:t>
            </w:r>
            <w:r>
              <w:rPr>
                <w:rFonts w:hint="eastAsia" w:ascii="宋体" w:hAnsi="宋体" w:eastAsia="宋体" w:cs="宋体"/>
                <w:color w:val="auto"/>
                <w:sz w:val="21"/>
                <w:szCs w:val="21"/>
                <w:highlight w:val="none"/>
                <w:lang w:val="en-US" w:eastAsia="zh-CN"/>
              </w:rPr>
              <w:t>针对本项目制定</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整体</w:t>
            </w:r>
            <w:r>
              <w:rPr>
                <w:rFonts w:hint="eastAsia" w:ascii="宋体" w:hAnsi="宋体" w:eastAsia="宋体" w:cs="宋体"/>
                <w:color w:val="auto"/>
                <w:sz w:val="21"/>
                <w:szCs w:val="21"/>
                <w:highlight w:val="none"/>
                <w:lang w:eastAsia="zh-CN"/>
              </w:rPr>
              <w:t>垃圾</w:t>
            </w:r>
            <w:r>
              <w:rPr>
                <w:rFonts w:hint="eastAsia" w:ascii="宋体" w:hAnsi="宋体" w:eastAsia="宋体" w:cs="宋体"/>
                <w:color w:val="auto"/>
                <w:sz w:val="21"/>
                <w:szCs w:val="21"/>
                <w:highlight w:val="none"/>
              </w:rPr>
              <w:t>清运</w:t>
            </w: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方案的完整性、合理性</w:t>
            </w:r>
            <w:r>
              <w:rPr>
                <w:rFonts w:hint="eastAsia" w:ascii="宋体" w:hAnsi="宋体" w:eastAsia="宋体" w:cs="宋体"/>
                <w:color w:val="auto"/>
                <w:sz w:val="21"/>
                <w:szCs w:val="21"/>
                <w:highlight w:val="none"/>
                <w:lang w:val="en-US" w:eastAsia="zh-CN"/>
              </w:rPr>
              <w:t>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方案内容详尽完整可行，得5分；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方案内容较详尽完整，得4分；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方案内容欠详尽欠完整，得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方案内容不够详尽完整，得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lang w:val="en-US" w:eastAsia="zh-CN"/>
              </w:rPr>
            </w:pPr>
          </w:p>
        </w:tc>
        <w:tc>
          <w:tcPr>
            <w:tcW w:w="12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spacing w:line="240" w:lineRule="auto"/>
              <w:jc w:val="left"/>
              <w:rPr>
                <w:rFonts w:hint="eastAsia" w:ascii="宋体" w:hAnsi="宋体" w:eastAsia="宋体" w:cs="宋体"/>
                <w:color w:val="auto"/>
                <w:sz w:val="21"/>
                <w:szCs w:val="21"/>
                <w:highlight w:val="none"/>
                <w:lang w:val="en-US" w:eastAsia="zh-CN"/>
              </w:rPr>
            </w:pP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根据供应商针对本项目制定的</w:t>
            </w:r>
            <w:r>
              <w:rPr>
                <w:rFonts w:hint="eastAsia" w:ascii="宋体" w:hAnsi="宋体" w:eastAsia="宋体" w:cs="宋体"/>
                <w:color w:val="auto"/>
                <w:sz w:val="21"/>
                <w:szCs w:val="21"/>
                <w:highlight w:val="none"/>
                <w:lang w:eastAsia="zh-CN"/>
              </w:rPr>
              <w:t>垃圾桶</w:t>
            </w:r>
            <w:r>
              <w:rPr>
                <w:rFonts w:hint="eastAsia" w:ascii="宋体" w:hAnsi="宋体" w:eastAsia="宋体" w:cs="宋体"/>
                <w:color w:val="auto"/>
                <w:sz w:val="21"/>
                <w:szCs w:val="21"/>
                <w:highlight w:val="none"/>
              </w:rPr>
              <w:t>清洗和管理方案的完整性、符合性进行评议（5分）：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方案内容详尽完整可行，得5分；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方案内容较详尽完整，得4分；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方案内容欠详尽欠完整，得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方案内容不够详尽完整，得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lang w:val="en-US" w:eastAsia="zh-CN"/>
              </w:rPr>
            </w:pPr>
          </w:p>
        </w:tc>
        <w:tc>
          <w:tcPr>
            <w:tcW w:w="12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spacing w:line="240" w:lineRule="auto"/>
              <w:jc w:val="left"/>
              <w:rPr>
                <w:rFonts w:hint="eastAsia" w:ascii="宋体" w:hAnsi="宋体" w:eastAsia="宋体" w:cs="宋体"/>
                <w:color w:val="auto"/>
                <w:sz w:val="21"/>
                <w:szCs w:val="21"/>
                <w:highlight w:val="none"/>
                <w:lang w:val="en-US" w:eastAsia="zh-CN"/>
              </w:rPr>
            </w:pP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根据供应商针对本项目制定的</w:t>
            </w:r>
            <w:r>
              <w:rPr>
                <w:rFonts w:hint="eastAsia" w:ascii="宋体" w:hAnsi="宋体" w:eastAsia="宋体" w:cs="宋体"/>
                <w:color w:val="auto"/>
                <w:sz w:val="21"/>
                <w:szCs w:val="21"/>
                <w:highlight w:val="none"/>
                <w:lang w:val="en-US" w:eastAsia="zh-CN"/>
              </w:rPr>
              <w:t>压缩车清运</w:t>
            </w:r>
            <w:r>
              <w:rPr>
                <w:rFonts w:hint="eastAsia" w:ascii="宋体" w:hAnsi="宋体" w:eastAsia="宋体" w:cs="宋体"/>
                <w:color w:val="auto"/>
                <w:sz w:val="21"/>
                <w:szCs w:val="21"/>
                <w:highlight w:val="none"/>
              </w:rPr>
              <w:t>服务方案的完整性、符合性进行评议（5分）：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方案内容详尽完整可行，得5分；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方案内容较详尽完整，得4分；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方案内容欠详尽欠完整，得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方案内容不够详尽完整，得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lang w:val="en-US" w:eastAsia="zh-CN"/>
              </w:rPr>
            </w:pPr>
          </w:p>
        </w:tc>
        <w:tc>
          <w:tcPr>
            <w:tcW w:w="12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spacing w:line="240" w:lineRule="auto"/>
              <w:jc w:val="left"/>
              <w:rPr>
                <w:rFonts w:hint="eastAsia" w:ascii="宋体" w:hAnsi="宋体" w:eastAsia="宋体" w:cs="宋体"/>
                <w:color w:val="auto"/>
                <w:sz w:val="21"/>
                <w:szCs w:val="21"/>
                <w:highlight w:val="none"/>
                <w:lang w:val="en-US" w:eastAsia="zh-CN"/>
              </w:rPr>
            </w:pP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（4）根据供应商针对本项目制定的“以桶换桶”作业服务方案的完整性、符合性进行评议（5分）：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方案内容详尽完整可行，得5分；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方案内容较详尽完整，得4分；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方案内容欠详尽欠完整，得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方案内容不够详尽完整，得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default" w:ascii="Times New Roman" w:hAnsi="Times New Roman" w:eastAsia="宋体" w:cs="Times New Roman"/>
                <w:color w:val="auto"/>
                <w:highlight w:val="none"/>
                <w:lang w:val="en-US" w:eastAsia="zh-CN"/>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color w:val="auto"/>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color w:val="auto"/>
              </w:rPr>
            </w:pP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（5）根据供应商针对本项目制定的沿街垃圾上门收集作业服务方案的完整性、符合性进行评议（5分）：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方案内容详尽完整可行，得5分；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方案内容较详尽完整，得4分；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方案内容欠详尽欠完整，得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方案内容不够详尽完整，得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p>
        </w:tc>
        <w:tc>
          <w:tcPr>
            <w:tcW w:w="555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（6）根据供应商针对本项目制定的服务作业时间安排的合理性、符合性进行评议（5分）：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时间安排合理</w:t>
            </w:r>
            <w:r>
              <w:rPr>
                <w:rFonts w:hint="eastAsia" w:ascii="宋体" w:hAnsi="宋体" w:eastAsia="宋体" w:cs="宋体"/>
                <w:color w:val="auto"/>
                <w:sz w:val="21"/>
                <w:szCs w:val="21"/>
                <w:highlight w:val="none"/>
              </w:rPr>
              <w:t>可行，得5分；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时间安排</w:t>
            </w:r>
            <w:r>
              <w:rPr>
                <w:rFonts w:hint="eastAsia" w:ascii="宋体" w:hAnsi="宋体" w:eastAsia="宋体" w:cs="宋体"/>
                <w:color w:val="auto"/>
                <w:sz w:val="21"/>
                <w:szCs w:val="21"/>
                <w:highlight w:val="none"/>
              </w:rPr>
              <w:t>较</w:t>
            </w:r>
            <w:r>
              <w:rPr>
                <w:rFonts w:hint="eastAsia" w:ascii="宋体" w:hAnsi="宋体" w:eastAsia="宋体" w:cs="宋体"/>
                <w:color w:val="auto"/>
                <w:sz w:val="21"/>
                <w:szCs w:val="21"/>
                <w:highlight w:val="none"/>
                <w:lang w:val="en-US" w:eastAsia="zh-CN"/>
              </w:rPr>
              <w:t>合理</w:t>
            </w:r>
            <w:r>
              <w:rPr>
                <w:rFonts w:hint="eastAsia" w:ascii="宋体" w:hAnsi="宋体" w:eastAsia="宋体" w:cs="宋体"/>
                <w:color w:val="auto"/>
                <w:sz w:val="21"/>
                <w:szCs w:val="21"/>
                <w:highlight w:val="none"/>
              </w:rPr>
              <w:t>可行，得4分；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时间安排</w:t>
            </w:r>
            <w:r>
              <w:rPr>
                <w:rFonts w:hint="eastAsia" w:ascii="宋体" w:hAnsi="宋体" w:eastAsia="宋体" w:cs="宋体"/>
                <w:color w:val="auto"/>
                <w:sz w:val="21"/>
                <w:szCs w:val="21"/>
                <w:highlight w:val="none"/>
              </w:rPr>
              <w:t>一般，得3分；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时间安排</w:t>
            </w:r>
            <w:r>
              <w:rPr>
                <w:rFonts w:hint="eastAsia" w:ascii="宋体" w:hAnsi="宋体" w:eastAsia="宋体" w:cs="宋体"/>
                <w:color w:val="auto"/>
                <w:sz w:val="21"/>
                <w:szCs w:val="21"/>
                <w:highlight w:val="none"/>
              </w:rPr>
              <w:t>欠</w:t>
            </w:r>
            <w:r>
              <w:rPr>
                <w:rFonts w:hint="eastAsia" w:ascii="宋体" w:hAnsi="宋体" w:eastAsia="宋体" w:cs="宋体"/>
                <w:color w:val="auto"/>
                <w:sz w:val="21"/>
                <w:szCs w:val="21"/>
                <w:highlight w:val="none"/>
                <w:lang w:val="en-US" w:eastAsia="zh-CN"/>
              </w:rPr>
              <w:t>合理</w:t>
            </w:r>
            <w:r>
              <w:rPr>
                <w:rFonts w:hint="eastAsia" w:ascii="宋体" w:hAnsi="宋体" w:eastAsia="宋体" w:cs="宋体"/>
                <w:color w:val="auto"/>
                <w:sz w:val="21"/>
                <w:szCs w:val="21"/>
                <w:highlight w:val="none"/>
              </w:rPr>
              <w:t>可行，得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时间安排</w:t>
            </w:r>
            <w:r>
              <w:rPr>
                <w:rFonts w:hint="eastAsia" w:ascii="宋体" w:hAnsi="宋体" w:eastAsia="宋体" w:cs="宋体"/>
                <w:color w:val="auto"/>
                <w:sz w:val="21"/>
                <w:szCs w:val="21"/>
                <w:highlight w:val="none"/>
              </w:rPr>
              <w:t>不够</w:t>
            </w:r>
            <w:r>
              <w:rPr>
                <w:rFonts w:hint="eastAsia" w:ascii="宋体" w:hAnsi="宋体" w:eastAsia="宋体" w:cs="宋体"/>
                <w:color w:val="auto"/>
                <w:sz w:val="21"/>
                <w:szCs w:val="21"/>
                <w:highlight w:val="none"/>
                <w:lang w:val="en-US" w:eastAsia="zh-CN"/>
              </w:rPr>
              <w:t>合理</w:t>
            </w:r>
            <w:r>
              <w:rPr>
                <w:rFonts w:hint="eastAsia" w:ascii="宋体" w:hAnsi="宋体" w:eastAsia="宋体" w:cs="宋体"/>
                <w:color w:val="auto"/>
                <w:sz w:val="21"/>
                <w:szCs w:val="21"/>
                <w:highlight w:val="none"/>
              </w:rPr>
              <w:t>可行，得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zh-CN"/>
              </w:rPr>
              <w:t>、质量保障</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1"/>
                <w:szCs w:val="21"/>
                <w:highlight w:val="none"/>
                <w:lang w:val="zh-CN"/>
              </w:rPr>
            </w:pPr>
            <w:r>
              <w:rPr>
                <w:rFonts w:hint="eastAsia" w:ascii="宋体" w:hAnsi="宋体" w:eastAsia="宋体" w:cs="宋体"/>
                <w:color w:val="auto"/>
                <w:kern w:val="2"/>
                <w:sz w:val="21"/>
                <w:szCs w:val="21"/>
                <w:highlight w:val="none"/>
                <w:lang w:val="zh-CN"/>
              </w:rPr>
              <w:t>（</w:t>
            </w:r>
            <w:r>
              <w:rPr>
                <w:rFonts w:hint="eastAsia" w:ascii="宋体" w:hAnsi="宋体" w:eastAsia="宋体" w:cs="宋体"/>
                <w:color w:val="auto"/>
                <w:kern w:val="2"/>
                <w:sz w:val="21"/>
                <w:szCs w:val="21"/>
                <w:highlight w:val="none"/>
                <w:lang w:val="en-US" w:eastAsia="zh-CN"/>
              </w:rPr>
              <w:t>1</w:t>
            </w:r>
            <w:r>
              <w:rPr>
                <w:rFonts w:hint="eastAsia" w:ascii="宋体" w:hAnsi="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val="zh-CN"/>
              </w:rPr>
              <w:t>分）</w:t>
            </w:r>
          </w:p>
        </w:tc>
        <w:tc>
          <w:tcPr>
            <w:tcW w:w="5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（1）根据供应商</w:t>
            </w:r>
            <w:r>
              <w:rPr>
                <w:rFonts w:hint="eastAsia" w:ascii="宋体" w:hAnsi="宋体" w:eastAsia="宋体" w:cs="宋体"/>
                <w:color w:val="auto"/>
                <w:sz w:val="21"/>
                <w:szCs w:val="21"/>
                <w:highlight w:val="none"/>
                <w:lang w:val="en-US" w:eastAsia="zh-CN"/>
              </w:rPr>
              <w:t>针对本项目制定</w:t>
            </w:r>
            <w:r>
              <w:rPr>
                <w:rFonts w:hint="eastAsia" w:ascii="宋体" w:hAnsi="宋体" w:eastAsia="宋体" w:cs="宋体"/>
                <w:color w:val="auto"/>
                <w:sz w:val="21"/>
                <w:szCs w:val="21"/>
                <w:highlight w:val="none"/>
              </w:rPr>
              <w:t>的应急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包括大型活动、节庆假日、防台防汛期间、雨雪冰冻极端天气、创优评优和突击检查等特殊时期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是否完善是否详尽的情况进行评议</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val="en-US" w:eastAsia="zh-CN"/>
              </w:rPr>
              <w:t>完善全面的得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val="en-US" w:eastAsia="zh-CN"/>
              </w:rPr>
              <w:t>较完善较全面的得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val="en-US" w:eastAsia="zh-CN"/>
              </w:rPr>
              <w:t>一般的得3分；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val="en-US" w:eastAsia="zh-CN"/>
              </w:rPr>
              <w:t>欠完善欠全面的得2分；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保障措施</w:t>
            </w:r>
            <w:r>
              <w:rPr>
                <w:rFonts w:hint="eastAsia" w:ascii="宋体" w:hAnsi="宋体" w:eastAsia="宋体" w:cs="宋体"/>
                <w:color w:val="auto"/>
                <w:sz w:val="21"/>
                <w:szCs w:val="21"/>
                <w:highlight w:val="none"/>
                <w:lang w:val="en-US" w:eastAsia="zh-CN"/>
              </w:rPr>
              <w:t>不完善不全面的得1分；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1"/>
                <w:szCs w:val="21"/>
                <w:highlight w:val="none"/>
                <w:lang w:val="en-US" w:eastAsia="zh-CN"/>
              </w:rPr>
            </w:pP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（2）根据供应商提供的</w:t>
            </w: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w:t>
            </w:r>
            <w:r>
              <w:rPr>
                <w:rFonts w:hint="eastAsia" w:ascii="宋体" w:hAnsi="宋体" w:eastAsia="宋体" w:cs="宋体"/>
                <w:color w:val="auto"/>
                <w:sz w:val="21"/>
                <w:szCs w:val="21"/>
                <w:highlight w:val="none"/>
                <w:lang w:val="en-US" w:eastAsia="zh-CN"/>
              </w:rPr>
              <w:t>是否全面完善</w:t>
            </w:r>
            <w:r>
              <w:rPr>
                <w:rFonts w:hint="eastAsia" w:ascii="宋体" w:hAnsi="宋体" w:eastAsia="宋体" w:cs="宋体"/>
                <w:color w:val="auto"/>
                <w:sz w:val="21"/>
                <w:szCs w:val="21"/>
                <w:highlight w:val="none"/>
              </w:rPr>
              <w:t>的进行评议（</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w:t>
            </w:r>
            <w:r>
              <w:rPr>
                <w:rFonts w:hint="eastAsia" w:ascii="宋体" w:hAnsi="宋体" w:eastAsia="宋体" w:cs="宋体"/>
                <w:color w:val="auto"/>
                <w:sz w:val="21"/>
                <w:szCs w:val="21"/>
                <w:highlight w:val="none"/>
                <w:lang w:val="en-US" w:eastAsia="zh-CN"/>
              </w:rPr>
              <w:t>全面完善</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w:t>
            </w:r>
            <w:r>
              <w:rPr>
                <w:rFonts w:hint="eastAsia" w:ascii="宋体" w:hAnsi="宋体" w:eastAsia="宋体" w:cs="宋体"/>
                <w:color w:val="auto"/>
                <w:sz w:val="21"/>
                <w:szCs w:val="21"/>
                <w:highlight w:val="none"/>
                <w:lang w:val="en-US" w:eastAsia="zh-CN"/>
              </w:rPr>
              <w:t>较全面较完善</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w:t>
            </w:r>
            <w:r>
              <w:rPr>
                <w:rFonts w:hint="eastAsia" w:ascii="宋体" w:hAnsi="宋体" w:eastAsia="宋体" w:cs="宋体"/>
                <w:color w:val="auto"/>
                <w:sz w:val="21"/>
                <w:szCs w:val="21"/>
                <w:highlight w:val="none"/>
                <w:lang w:val="en-US" w:eastAsia="zh-CN"/>
              </w:rPr>
              <w:t>一般</w:t>
            </w:r>
            <w:r>
              <w:rPr>
                <w:rFonts w:hint="eastAsia" w:ascii="宋体" w:hAnsi="宋体" w:eastAsia="宋体" w:cs="宋体"/>
                <w:color w:val="auto"/>
                <w:sz w:val="21"/>
                <w:szCs w:val="21"/>
                <w:highlight w:val="none"/>
              </w:rPr>
              <w:t>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w:t>
            </w:r>
            <w:r>
              <w:rPr>
                <w:rFonts w:hint="eastAsia" w:ascii="宋体" w:hAnsi="宋体" w:eastAsia="宋体" w:cs="宋体"/>
                <w:color w:val="auto"/>
                <w:sz w:val="21"/>
                <w:szCs w:val="21"/>
                <w:highlight w:val="none"/>
                <w:lang w:val="en-US" w:eastAsia="zh-CN"/>
              </w:rPr>
              <w:t>欠全面欠完善</w:t>
            </w:r>
            <w:r>
              <w:rPr>
                <w:rFonts w:hint="eastAsia" w:ascii="宋体" w:hAnsi="宋体" w:eastAsia="宋体" w:cs="宋体"/>
                <w:color w:val="auto"/>
                <w:sz w:val="21"/>
                <w:szCs w:val="21"/>
                <w:highlight w:val="none"/>
              </w:rPr>
              <w:t>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整体服务质量</w:t>
            </w:r>
            <w:r>
              <w:rPr>
                <w:rFonts w:hint="eastAsia" w:ascii="宋体" w:hAnsi="宋体" w:eastAsia="宋体" w:cs="宋体"/>
                <w:color w:val="auto"/>
                <w:sz w:val="21"/>
                <w:szCs w:val="21"/>
                <w:highlight w:val="none"/>
              </w:rPr>
              <w:t>保证措施差的得1分；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6"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1"/>
                <w:szCs w:val="21"/>
                <w:highlight w:val="none"/>
                <w:lang w:val="en-US" w:eastAsia="zh-CN"/>
              </w:rPr>
            </w:pPr>
          </w:p>
        </w:tc>
        <w:tc>
          <w:tcPr>
            <w:tcW w:w="5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（3）根据供应商提供的日常作业人员培训措施的</w:t>
            </w:r>
            <w:r>
              <w:rPr>
                <w:rFonts w:hint="eastAsia" w:ascii="宋体" w:hAnsi="宋体" w:eastAsia="宋体" w:cs="宋体"/>
                <w:color w:val="auto"/>
                <w:sz w:val="21"/>
                <w:szCs w:val="21"/>
                <w:highlight w:val="none"/>
                <w:lang w:val="en-US" w:eastAsia="zh-CN"/>
              </w:rPr>
              <w:t>内容和实施方式</w:t>
            </w:r>
            <w:r>
              <w:rPr>
                <w:rFonts w:hint="eastAsia" w:ascii="宋体" w:hAnsi="宋体" w:eastAsia="宋体" w:cs="宋体"/>
                <w:color w:val="auto"/>
                <w:sz w:val="21"/>
                <w:szCs w:val="21"/>
                <w:highlight w:val="none"/>
              </w:rPr>
              <w:t>进行评议（</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内容符合项目特征、详细全面，实施方式明确可行的得4分；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内容较符合项目特征、较详细全面，实施方式较明确可行的得3.5分；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内容基本符合项目特征、基本详细全面，实施方式基本明确可行的得3分；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内容欠符合项目特征、欠详细全面，实施方式欠明确可行的得2分；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内容不符合项目特征、不详细全面，实施方式不明确可行的得1分；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4</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企业管理制度（</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根据供应商针对本项目制定的企业内部人事管理制度、考核制度、奖惩制度、内部评比制度进行评议（5分）：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内容符合项目特征、详细全面，实施方式明确可行的得5分；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内容较符合项目特征、较详细全面，实施方式较明确可行的得4分；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内容基本符合项目特征、详细全面性一般的，实施方式明确可行性一般的得3分；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内容欠符合项目特征、欠详细全面，实施方式欠明确可行的得2分；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内容不符合项目特征、不详细全面，实施方式不明确可行的得1分；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安全生产、文明作业、</w:t>
            </w:r>
            <w:r>
              <w:rPr>
                <w:rFonts w:hint="eastAsia" w:ascii="宋体" w:hAnsi="宋体" w:eastAsia="宋体" w:cs="宋体"/>
                <w:color w:val="auto"/>
                <w:szCs w:val="21"/>
                <w:highlight w:val="none"/>
                <w:lang w:val="en-US" w:eastAsia="zh-CN"/>
              </w:rPr>
              <w:t>节能</w:t>
            </w:r>
            <w:r>
              <w:rPr>
                <w:rFonts w:hint="eastAsia" w:ascii="宋体" w:hAnsi="宋体" w:eastAsia="宋体" w:cs="宋体"/>
                <w:color w:val="auto"/>
                <w:szCs w:val="21"/>
                <w:highlight w:val="none"/>
              </w:rPr>
              <w:t>环保措施（</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（1）根据供应商针对本项目制定的安全生产措施的布置安排内容进行评议（5分）：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布置周全、安排妥当，考虑严谨的得5分；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布置较周全、安排较妥当，考虑较严谨的得4分；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布置基本周全、安排基本妥当，考虑基本严谨的得3分；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布置欠周全、安排欠妥当，考虑欠严谨的得2分；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布置不周全、安排不妥当，考虑不严谨的得1分；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21"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szCs w:val="21"/>
                <w:highlight w:val="none"/>
                <w:lang w:val="en-US" w:eastAsia="zh-CN"/>
              </w:rPr>
            </w:pP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（2）根据供应商针对本项目制定的文明作业措施的布置安排内容进行评议（5分）：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布置周全、安排妥当，考虑严谨的得5分；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布置较周全、安排较妥当，考虑较严谨的得4分；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布置基本周全、安排基本妥当，考虑基本严谨的得3分；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布置欠周全、安排欠妥当，考虑欠严谨的得2分；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布置不周全、安排不妥当，考虑不严谨的得1分；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5、投入人员情况（8分）</w:t>
            </w: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（1）根据供应商拟投入本项目的人员数量、岗位设置、人员层次和人员年龄等情况进行评议（5分）：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人员数量充足、岗位设置合理、人员层次划分鲜明、人员年龄年轻化的得5分；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人员数量较充足、人员层次划分较鲜明、人员年龄较年轻化的得4分；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人员数量满足基本需求、人员层次划分基本鲜明、人员年龄基本年轻化的得3分；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人员数量满足基本需求、人员层次划分欠鲜明、人员年龄欠年轻化的得2分；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人员数量满足基本需求、岗位设置不合理、人员层次划分不鲜明、人员年龄不年轻化的得1分；</w:t>
            </w:r>
          </w:p>
          <w:p>
            <w:pPr>
              <w:keepNext w:val="0"/>
              <w:keepLines w:val="0"/>
              <w:pageBreakBefore w:val="0"/>
              <w:widowControl w:val="0"/>
              <w:numPr>
                <w:ilvl w:val="0"/>
                <w:numId w:val="2"/>
              </w:numPr>
              <w:kinsoku/>
              <w:wordWrap/>
              <w:overflowPunct/>
              <w:topLinePunct w:val="0"/>
              <w:autoSpaceDE/>
              <w:autoSpaceDN/>
              <w:bidi w:val="0"/>
              <w:snapToGrid/>
              <w:spacing w:line="240" w:lineRule="auto"/>
              <w:ind w:left="420" w:leftChars="0" w:hanging="420" w:firstLineChars="0"/>
              <w:rPr>
                <w:rFonts w:hint="default" w:ascii="宋体" w:hAnsi="宋体" w:eastAsia="宋体" w:cs="宋体"/>
                <w:color w:val="auto"/>
                <w:szCs w:val="21"/>
                <w:highlight w:val="none"/>
                <w:lang w:val="en-US" w:eastAsia="zh-CN"/>
              </w:rPr>
            </w:pPr>
            <w:r>
              <w:rPr>
                <w:rFonts w:hint="eastAsia" w:ascii="Times New Roman" w:hAnsi="Times New Roman" w:eastAsia="宋体" w:cs="Times New Roman"/>
                <w:color w:val="auto"/>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szCs w:val="21"/>
                <w:highlight w:val="none"/>
                <w:lang w:val="en-US" w:eastAsia="zh-CN"/>
              </w:rPr>
            </w:pP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（2）供应商拟投入本项目的人员中具有经县级及以上安监部门统一培训的安全管理员，</w:t>
            </w:r>
            <w:r>
              <w:rPr>
                <w:rFonts w:hint="eastAsia" w:ascii="宋体" w:hAnsi="宋体" w:cs="宋体"/>
                <w:color w:val="auto"/>
                <w:szCs w:val="21"/>
                <w:highlight w:val="none"/>
                <w:lang w:val="en-US" w:eastAsia="zh-CN"/>
              </w:rPr>
              <w:t>每</w:t>
            </w:r>
            <w:r>
              <w:rPr>
                <w:rFonts w:hint="eastAsia" w:ascii="宋体" w:hAnsi="宋体" w:eastAsia="宋体" w:cs="宋体"/>
                <w:color w:val="auto"/>
                <w:szCs w:val="21"/>
                <w:highlight w:val="none"/>
                <w:lang w:val="en-US" w:eastAsia="zh-CN"/>
              </w:rPr>
              <w:t>拥有安全培训合格证书的1份得</w:t>
            </w:r>
            <w:r>
              <w:rPr>
                <w:rFonts w:hint="eastAsia" w:ascii="宋体" w:hAnsi="宋体" w:cs="宋体"/>
                <w:color w:val="auto"/>
                <w:szCs w:val="21"/>
                <w:highlight w:val="none"/>
                <w:lang w:val="en-US" w:eastAsia="zh-CN"/>
              </w:rPr>
              <w:t>1分</w:t>
            </w:r>
            <w:r>
              <w:rPr>
                <w:rFonts w:hint="eastAsia" w:ascii="宋体" w:hAnsi="宋体" w:eastAsia="宋体" w:cs="宋体"/>
                <w:color w:val="auto"/>
                <w:szCs w:val="21"/>
                <w:highlight w:val="none"/>
                <w:lang w:val="en-US" w:eastAsia="zh-CN"/>
              </w:rPr>
              <w:t>，总分3分。注：需提供相关证书并盖公章，相关人员近开标日三个月内任意一月的社保证明。</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6、设备配备方案（4分）</w:t>
            </w:r>
          </w:p>
        </w:tc>
        <w:tc>
          <w:tcPr>
            <w:tcW w:w="5550" w:type="dxa"/>
            <w:tcBorders>
              <w:tl2br w:val="nil"/>
              <w:tr2bl w:val="nil"/>
            </w:tcBorders>
            <w:noWrap w:val="0"/>
            <w:vAlign w:val="center"/>
          </w:tcPr>
          <w:p>
            <w:pPr>
              <w:pStyle w:val="4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en-US" w:eastAsia="zh-CN"/>
              </w:rPr>
              <w:t>）根据供应商的</w:t>
            </w:r>
            <w:r>
              <w:rPr>
                <w:rFonts w:hint="eastAsia" w:ascii="宋体" w:hAnsi="宋体" w:cs="宋体"/>
                <w:color w:val="auto"/>
                <w:szCs w:val="21"/>
                <w:highlight w:val="none"/>
                <w:lang w:val="en-US" w:eastAsia="zh-CN"/>
              </w:rPr>
              <w:t>提供的设备车辆的数量和功能</w:t>
            </w:r>
            <w:r>
              <w:rPr>
                <w:rFonts w:hint="eastAsia" w:ascii="宋体" w:hAnsi="宋体" w:eastAsia="宋体" w:cs="宋体"/>
                <w:color w:val="auto"/>
                <w:szCs w:val="21"/>
                <w:highlight w:val="none"/>
                <w:lang w:val="en-US" w:eastAsia="zh-CN"/>
              </w:rPr>
              <w:t>是否</w:t>
            </w:r>
            <w:r>
              <w:rPr>
                <w:rFonts w:hint="eastAsia" w:ascii="宋体" w:hAnsi="宋体" w:cs="宋体"/>
                <w:color w:val="auto"/>
                <w:szCs w:val="21"/>
                <w:highlight w:val="none"/>
                <w:lang w:val="en-US" w:eastAsia="zh-CN"/>
              </w:rPr>
              <w:t>完善全面</w:t>
            </w:r>
            <w:r>
              <w:rPr>
                <w:rFonts w:hint="eastAsia" w:ascii="宋体" w:hAnsi="宋体" w:eastAsia="宋体" w:cs="宋体"/>
                <w:color w:val="auto"/>
                <w:szCs w:val="21"/>
                <w:highlight w:val="none"/>
                <w:lang w:val="en-US" w:eastAsia="zh-CN"/>
              </w:rPr>
              <w:t>进行评议（</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分）：</w:t>
            </w:r>
          </w:p>
          <w:p>
            <w:pPr>
              <w:pStyle w:val="4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设备车辆</w:t>
            </w:r>
            <w:r>
              <w:rPr>
                <w:rFonts w:hint="eastAsia" w:ascii="宋体" w:hAnsi="宋体" w:cs="宋体"/>
                <w:color w:val="auto"/>
                <w:szCs w:val="21"/>
                <w:highlight w:val="none"/>
                <w:lang w:val="en-US" w:eastAsia="zh-CN"/>
              </w:rPr>
              <w:t>数量充足，功能完善</w:t>
            </w:r>
            <w:r>
              <w:rPr>
                <w:rFonts w:hint="eastAsia" w:ascii="宋体" w:hAnsi="宋体" w:eastAsia="宋体" w:cs="宋体"/>
                <w:color w:val="auto"/>
                <w:szCs w:val="21"/>
                <w:highlight w:val="none"/>
                <w:lang w:val="en-US" w:eastAsia="zh-CN"/>
              </w:rPr>
              <w:t>的得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分；</w:t>
            </w:r>
          </w:p>
          <w:p>
            <w:pPr>
              <w:pStyle w:val="4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设备车辆数量</w:t>
            </w:r>
            <w:r>
              <w:rPr>
                <w:rFonts w:hint="eastAsia" w:ascii="宋体" w:hAnsi="宋体" w:cs="宋体"/>
                <w:color w:val="auto"/>
                <w:szCs w:val="21"/>
                <w:highlight w:val="none"/>
                <w:lang w:val="en-US" w:eastAsia="zh-CN"/>
              </w:rPr>
              <w:t>较</w:t>
            </w:r>
            <w:r>
              <w:rPr>
                <w:rFonts w:hint="eastAsia" w:ascii="宋体" w:hAnsi="宋体" w:eastAsia="宋体" w:cs="宋体"/>
                <w:color w:val="auto"/>
                <w:szCs w:val="21"/>
                <w:highlight w:val="none"/>
                <w:lang w:val="en-US" w:eastAsia="zh-CN"/>
              </w:rPr>
              <w:t>充</w:t>
            </w:r>
            <w:bookmarkStart w:id="410" w:name="_GoBack"/>
            <w:bookmarkEnd w:id="410"/>
            <w:r>
              <w:rPr>
                <w:rFonts w:hint="eastAsia" w:ascii="宋体" w:hAnsi="宋体" w:eastAsia="宋体" w:cs="宋体"/>
                <w:color w:val="auto"/>
                <w:szCs w:val="21"/>
                <w:highlight w:val="none"/>
                <w:lang w:val="en-US" w:eastAsia="zh-CN"/>
              </w:rPr>
              <w:t>足，功能</w:t>
            </w:r>
            <w:r>
              <w:rPr>
                <w:rFonts w:hint="eastAsia" w:ascii="宋体" w:hAnsi="宋体" w:cs="宋体"/>
                <w:color w:val="auto"/>
                <w:szCs w:val="21"/>
                <w:highlight w:val="none"/>
                <w:lang w:val="en-US" w:eastAsia="zh-CN"/>
              </w:rPr>
              <w:t>较</w:t>
            </w:r>
            <w:r>
              <w:rPr>
                <w:rFonts w:hint="eastAsia" w:ascii="宋体" w:hAnsi="宋体" w:eastAsia="宋体" w:cs="宋体"/>
                <w:color w:val="auto"/>
                <w:szCs w:val="21"/>
                <w:highlight w:val="none"/>
                <w:lang w:val="en-US" w:eastAsia="zh-CN"/>
              </w:rPr>
              <w:t>完善的得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分；</w:t>
            </w:r>
          </w:p>
          <w:p>
            <w:pPr>
              <w:pStyle w:val="4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设备车辆数量</w:t>
            </w:r>
            <w:r>
              <w:rPr>
                <w:rFonts w:hint="eastAsia" w:ascii="宋体" w:hAnsi="宋体" w:cs="宋体"/>
                <w:color w:val="auto"/>
                <w:szCs w:val="21"/>
                <w:highlight w:val="none"/>
                <w:lang w:val="en-US" w:eastAsia="zh-CN"/>
              </w:rPr>
              <w:t>欠充足</w:t>
            </w:r>
            <w:r>
              <w:rPr>
                <w:rFonts w:hint="eastAsia" w:ascii="宋体" w:hAnsi="宋体" w:eastAsia="宋体" w:cs="宋体"/>
                <w:color w:val="auto"/>
                <w:szCs w:val="21"/>
                <w:highlight w:val="none"/>
                <w:lang w:val="en-US" w:eastAsia="zh-CN"/>
              </w:rPr>
              <w:t>，功能</w:t>
            </w:r>
            <w:r>
              <w:rPr>
                <w:rFonts w:hint="eastAsia" w:ascii="宋体" w:hAnsi="宋体" w:cs="宋体"/>
                <w:color w:val="auto"/>
                <w:szCs w:val="21"/>
                <w:highlight w:val="none"/>
                <w:lang w:val="en-US" w:eastAsia="zh-CN"/>
              </w:rPr>
              <w:t>欠</w:t>
            </w:r>
            <w:r>
              <w:rPr>
                <w:rFonts w:hint="eastAsia" w:ascii="宋体" w:hAnsi="宋体" w:eastAsia="宋体" w:cs="宋体"/>
                <w:color w:val="auto"/>
                <w:szCs w:val="21"/>
                <w:highlight w:val="none"/>
                <w:lang w:val="en-US" w:eastAsia="zh-CN"/>
              </w:rPr>
              <w:t>完善的得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分；</w:t>
            </w:r>
          </w:p>
          <w:p>
            <w:pPr>
              <w:pStyle w:val="4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设备车辆数量</w:t>
            </w:r>
            <w:r>
              <w:rPr>
                <w:rFonts w:hint="eastAsia" w:ascii="宋体" w:hAnsi="宋体" w:cs="宋体"/>
                <w:color w:val="auto"/>
                <w:szCs w:val="21"/>
                <w:highlight w:val="none"/>
                <w:lang w:val="en-US" w:eastAsia="zh-CN"/>
              </w:rPr>
              <w:t>不</w:t>
            </w:r>
            <w:r>
              <w:rPr>
                <w:rFonts w:hint="eastAsia" w:ascii="宋体" w:hAnsi="宋体" w:eastAsia="宋体" w:cs="宋体"/>
                <w:color w:val="auto"/>
                <w:szCs w:val="21"/>
                <w:highlight w:val="none"/>
                <w:lang w:val="en-US" w:eastAsia="zh-CN"/>
              </w:rPr>
              <w:t>充足，功能</w:t>
            </w:r>
            <w:r>
              <w:rPr>
                <w:rFonts w:hint="eastAsia" w:ascii="宋体" w:hAnsi="宋体" w:cs="宋体"/>
                <w:color w:val="auto"/>
                <w:szCs w:val="21"/>
                <w:highlight w:val="none"/>
                <w:lang w:val="en-US" w:eastAsia="zh-CN"/>
              </w:rPr>
              <w:t>不</w:t>
            </w:r>
            <w:r>
              <w:rPr>
                <w:rFonts w:hint="eastAsia" w:ascii="宋体" w:hAnsi="宋体" w:eastAsia="宋体" w:cs="宋体"/>
                <w:color w:val="auto"/>
                <w:szCs w:val="21"/>
                <w:highlight w:val="none"/>
                <w:lang w:val="en-US" w:eastAsia="zh-CN"/>
              </w:rPr>
              <w:t>完善的得1分；</w:t>
            </w:r>
          </w:p>
          <w:p>
            <w:pPr>
              <w:pStyle w:val="42"/>
              <w:rPr>
                <w:rFonts w:hint="eastAsia"/>
                <w:color w:val="auto"/>
                <w:lang w:val="en-US" w:eastAsia="zh-CN"/>
              </w:rPr>
            </w:pPr>
            <w:r>
              <w:rPr>
                <w:rFonts w:hint="eastAsia" w:ascii="宋体" w:hAnsi="宋体" w:eastAsia="宋体" w:cs="宋体"/>
                <w:color w:val="auto"/>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主</w:t>
            </w:r>
            <w:r>
              <w:rPr>
                <w:rFonts w:hint="eastAsia" w:ascii="宋体" w:hAnsi="宋体" w:eastAsia="宋体" w:cs="宋体"/>
                <w:color w:val="auto"/>
                <w:kern w:val="2"/>
                <w:sz w:val="21"/>
                <w:szCs w:val="21"/>
                <w:highlight w:val="none"/>
                <w:lang w:val="en-US" w:eastAsia="zh-CN"/>
              </w:rPr>
              <w:t>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7、服务能力</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szCs w:val="21"/>
                <w:highlight w:val="none"/>
                <w:lang w:val="en-US" w:eastAsia="zh-CN"/>
              </w:rPr>
            </w:pPr>
          </w:p>
        </w:tc>
        <w:tc>
          <w:tcPr>
            <w:tcW w:w="5550" w:type="dxa"/>
            <w:tcBorders>
              <w:tl2br w:val="nil"/>
              <w:tr2bl w:val="nil"/>
            </w:tcBorders>
            <w:noWrap w:val="0"/>
            <w:vAlign w:val="center"/>
          </w:tcPr>
          <w:p>
            <w:pPr>
              <w:keepNext w:val="0"/>
              <w:keepLines w:val="0"/>
              <w:pageBreakBefore w:val="0"/>
              <w:widowControl w:val="0"/>
              <w:numPr>
                <w:ilvl w:val="0"/>
                <w:numId w:val="3"/>
              </w:numPr>
              <w:kinsoku/>
              <w:wordWrap/>
              <w:overflowPunct/>
              <w:topLinePunct w:val="0"/>
              <w:autoSpaceDE/>
              <w:autoSpaceDN/>
              <w:bidi w:val="0"/>
              <w:snapToGrid/>
              <w:spacing w:line="24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供应商具有有效的覆盖范围为保洁等市容环境卫生相关内容的质量管理体系、环境管理体系、职业健康安全管理体系认证证书，每具有一个得1分，满分3分。</w:t>
            </w:r>
          </w:p>
          <w:p>
            <w:pPr>
              <w:keepNext w:val="0"/>
              <w:keepLines w:val="0"/>
              <w:pageBreakBefore w:val="0"/>
              <w:widowControl w:val="0"/>
              <w:numPr>
                <w:ilvl w:val="0"/>
                <w:numId w:val="0"/>
              </w:numPr>
              <w:kinsoku/>
              <w:wordWrap/>
              <w:overflowPunct/>
              <w:topLinePunct w:val="0"/>
              <w:autoSpaceDE/>
              <w:autoSpaceDN/>
              <w:bidi w:val="0"/>
              <w:snapToGrid/>
              <w:spacing w:line="240" w:lineRule="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注：提供相关证明材料并加盖公章。</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3</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color w:val="auto"/>
              </w:rPr>
            </w:pPr>
          </w:p>
        </w:tc>
        <w:tc>
          <w:tcPr>
            <w:tcW w:w="12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color w:val="auto"/>
              </w:rPr>
            </w:pP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）根据供应商的服务响应</w:t>
            </w:r>
            <w:r>
              <w:rPr>
                <w:rFonts w:hint="eastAsia" w:ascii="宋体" w:hAnsi="宋体" w:cs="宋体"/>
                <w:color w:val="auto"/>
                <w:sz w:val="21"/>
                <w:szCs w:val="21"/>
                <w:highlight w:val="none"/>
                <w:lang w:val="en-US" w:eastAsia="zh-CN"/>
              </w:rPr>
              <w:t>措施</w:t>
            </w:r>
            <w:r>
              <w:rPr>
                <w:rFonts w:hint="eastAsia" w:ascii="宋体" w:hAnsi="宋体" w:eastAsia="宋体" w:cs="宋体"/>
                <w:color w:val="auto"/>
                <w:sz w:val="21"/>
                <w:szCs w:val="21"/>
                <w:highlight w:val="none"/>
                <w:lang w:val="en-US" w:eastAsia="zh-CN"/>
              </w:rPr>
              <w:t>是否全面便捷进行评议（5分）：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服务响应措施全面便捷的得5分；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服务响应措施较全面较便捷的得4分；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服务响应措施一般的得3分；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服务响应措施欠全面欠便捷的得2分；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服务响应措施不全面不便捷的得1分；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未提供的不得分。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5</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7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宋体" w:hAnsi="宋体" w:eastAsia="宋体" w:cs="宋体"/>
                <w:bCs/>
                <w:color w:val="auto"/>
                <w:kern w:val="2"/>
                <w:sz w:val="21"/>
                <w:szCs w:val="21"/>
                <w:highlight w:val="none"/>
              </w:rPr>
            </w:pPr>
          </w:p>
        </w:tc>
        <w:tc>
          <w:tcPr>
            <w:tcW w:w="12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8、业绩（2分）</w:t>
            </w:r>
          </w:p>
        </w:tc>
        <w:tc>
          <w:tcPr>
            <w:tcW w:w="555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自2020年1月1日（以合同签订时间为准）以来供应商具有</w:t>
            </w:r>
            <w:r>
              <w:rPr>
                <w:rFonts w:hint="eastAsia" w:ascii="宋体" w:hAnsi="宋体" w:eastAsia="宋体" w:cs="宋体"/>
                <w:color w:val="auto"/>
                <w:szCs w:val="21"/>
                <w:highlight w:val="none"/>
                <w:lang w:val="en-US" w:eastAsia="zh-CN"/>
              </w:rPr>
              <w:t>环卫保洁服务业绩，合同中有垃圾清运服务内容的</w:t>
            </w:r>
            <w:r>
              <w:rPr>
                <w:rFonts w:hint="eastAsia" w:ascii="宋体" w:hAnsi="宋体" w:eastAsia="宋体" w:cs="宋体"/>
                <w:color w:val="auto"/>
                <w:szCs w:val="21"/>
                <w:highlight w:val="none"/>
                <w:lang w:eastAsia="zh-CN"/>
              </w:rPr>
              <w:t>，每提供1个业绩得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分，本项最高得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widowControl w:val="0"/>
              <w:numPr>
                <w:ilvl w:val="0"/>
                <w:numId w:val="0"/>
              </w:numPr>
              <w:kinsoku/>
              <w:wordWrap/>
              <w:overflowPunct/>
              <w:topLinePunct w:val="0"/>
              <w:autoSpaceDE/>
              <w:autoSpaceDN/>
              <w:bidi w:val="0"/>
              <w:snapToGrid/>
              <w:spacing w:line="240" w:lineRule="auto"/>
              <w:ind w:left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注：投标文件中须提供合同复印件，</w:t>
            </w:r>
            <w:r>
              <w:rPr>
                <w:rFonts w:hint="eastAsia" w:ascii="宋体" w:hAnsi="宋体" w:eastAsia="宋体" w:cs="宋体"/>
                <w:color w:val="auto"/>
                <w:szCs w:val="21"/>
                <w:highlight w:val="none"/>
                <w:lang w:val="en-US" w:eastAsia="zh-CN"/>
              </w:rPr>
              <w:t>未提供不得分</w:t>
            </w:r>
            <w:r>
              <w:rPr>
                <w:rFonts w:hint="eastAsia" w:ascii="宋体" w:hAnsi="宋体" w:eastAsia="宋体" w:cs="宋体"/>
                <w:color w:val="auto"/>
                <w:szCs w:val="21"/>
                <w:highlight w:val="none"/>
                <w:lang w:eastAsia="zh-CN"/>
              </w:rPr>
              <w:t>。</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价格分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lang w:val="en-US" w:eastAsia="zh-CN"/>
              </w:rPr>
              <w:t>20</w:t>
            </w:r>
            <w:r>
              <w:rPr>
                <w:rFonts w:hint="eastAsia" w:ascii="宋体" w:hAnsi="宋体" w:eastAsia="宋体" w:cs="宋体"/>
                <w:bCs/>
                <w:color w:val="auto"/>
                <w:kern w:val="2"/>
                <w:sz w:val="21"/>
                <w:szCs w:val="21"/>
                <w:highlight w:val="none"/>
              </w:rPr>
              <w:t>分</w:t>
            </w:r>
          </w:p>
        </w:tc>
        <w:tc>
          <w:tcPr>
            <w:tcW w:w="676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参与评审的价格=投标报价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满足采购要求的有效投标且参与评审的价格最低的参与评审的价格为评标基准价，得</w:t>
            </w:r>
            <w:r>
              <w:rPr>
                <w:rFonts w:hint="eastAsia" w:ascii="宋体" w:hAnsi="宋体" w:eastAsia="宋体" w:cs="宋体"/>
                <w:bCs/>
                <w:color w:val="auto"/>
                <w:kern w:val="0"/>
                <w:sz w:val="21"/>
                <w:szCs w:val="21"/>
                <w:highlight w:val="none"/>
                <w:lang w:val="en-US" w:eastAsia="zh-CN"/>
              </w:rPr>
              <w:t>20</w:t>
            </w:r>
            <w:r>
              <w:rPr>
                <w:rFonts w:hint="eastAsia" w:ascii="宋体" w:hAnsi="宋体" w:eastAsia="宋体" w:cs="宋体"/>
                <w:bCs/>
                <w:color w:val="auto"/>
                <w:kern w:val="0"/>
                <w:sz w:val="21"/>
                <w:szCs w:val="21"/>
                <w:highlight w:val="none"/>
              </w:rPr>
              <w:t>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rPr>
              <w:t>其他投标报价得分计算公式如下：投标报价得分=（评标基准价/参与评审的价格）×</w:t>
            </w:r>
            <w:r>
              <w:rPr>
                <w:rFonts w:hint="eastAsia" w:ascii="宋体" w:hAnsi="宋体" w:eastAsia="宋体" w:cs="宋体"/>
                <w:bCs/>
                <w:color w:val="auto"/>
                <w:kern w:val="0"/>
                <w:sz w:val="21"/>
                <w:szCs w:val="21"/>
                <w:highlight w:val="none"/>
                <w:lang w:val="en-US" w:eastAsia="zh-CN"/>
              </w:rPr>
              <w:t>20</w:t>
            </w:r>
            <w:r>
              <w:rPr>
                <w:rFonts w:hint="eastAsia" w:ascii="宋体" w:hAnsi="宋体" w:eastAsia="宋体" w:cs="宋体"/>
                <w:bCs/>
                <w:color w:val="auto"/>
                <w:kern w:val="0"/>
                <w:sz w:val="21"/>
                <w:szCs w:val="21"/>
                <w:highlight w:val="none"/>
              </w:rPr>
              <w:t>%×100。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20</w:t>
            </w: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4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eastAsia="zh-CN"/>
              </w:rPr>
            </w:pPr>
            <w:r>
              <w:rPr>
                <w:rFonts w:hint="eastAsia" w:ascii="宋体" w:hAnsi="宋体" w:eastAsia="宋体" w:cs="宋体"/>
                <w:bCs/>
                <w:color w:val="auto"/>
                <w:kern w:val="2"/>
                <w:sz w:val="21"/>
                <w:szCs w:val="21"/>
                <w:highlight w:val="none"/>
              </w:rPr>
              <w:t>总分</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100分</w:t>
            </w:r>
            <w:r>
              <w:rPr>
                <w:rFonts w:hint="eastAsia" w:ascii="宋体" w:hAnsi="宋体" w:eastAsia="宋体" w:cs="宋体"/>
                <w:bCs/>
                <w:color w:val="auto"/>
                <w:kern w:val="2"/>
                <w:sz w:val="21"/>
                <w:szCs w:val="21"/>
                <w:highlight w:val="none"/>
                <w:lang w:eastAsia="zh-CN"/>
              </w:rPr>
              <w:t>）</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p>
        </w:tc>
        <w:tc>
          <w:tcPr>
            <w:tcW w:w="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color w:val="auto"/>
                <w:kern w:val="2"/>
                <w:sz w:val="21"/>
                <w:szCs w:val="21"/>
                <w:highlight w:val="none"/>
                <w:lang w:val="en-US" w:eastAsia="zh-CN"/>
              </w:rPr>
            </w:pPr>
          </w:p>
        </w:tc>
      </w:tr>
    </w:tbl>
    <w:p>
      <w:pPr>
        <w:snapToGrid w:val="0"/>
        <w:spacing w:line="360" w:lineRule="auto"/>
        <w:rPr>
          <w:rFonts w:hint="default" w:ascii="宋体" w:hAnsi="宋体" w:cs="宋体"/>
          <w:color w:val="auto"/>
          <w:sz w:val="24"/>
          <w:highlight w:val="none"/>
          <w:lang w:val="en-US" w:eastAsia="zh-CN"/>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r>
        <w:rPr>
          <w:rFonts w:hint="eastAsia" w:ascii="宋体" w:hAnsi="宋体" w:cs="宋体"/>
          <w:color w:val="auto"/>
          <w:sz w:val="24"/>
          <w:highlight w:val="none"/>
          <w:lang w:val="en-US" w:eastAsia="zh-CN"/>
        </w:rPr>
        <w:t>小数点后保留一位数。</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2"/>
          <w:szCs w:val="32"/>
          <w:highlight w:val="none"/>
        </w:rPr>
      </w:pPr>
      <w:r>
        <w:rPr>
          <w:rFonts w:hint="eastAsia" w:ascii="宋体" w:hAnsi="宋体" w:cs="宋体"/>
          <w:b/>
          <w:color w:val="auto"/>
          <w:sz w:val="32"/>
          <w:szCs w:val="32"/>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w:t>
      </w:r>
      <w:r>
        <w:rPr>
          <w:rFonts w:hint="eastAsia" w:ascii="宋体" w:hAnsi="宋体" w:cs="宋体"/>
          <w:color w:val="auto"/>
          <w:kern w:val="0"/>
          <w:sz w:val="24"/>
          <w:highlight w:val="none"/>
          <w:lang w:eastAsia="zh-CN"/>
        </w:rPr>
        <w:t>，推荐3名中标候选人</w:t>
      </w:r>
      <w:r>
        <w:rPr>
          <w:rFonts w:hint="eastAsia" w:ascii="宋体" w:hAnsi="宋体" w:cs="宋体"/>
          <w:color w:val="auto"/>
          <w:kern w:val="0"/>
          <w:sz w:val="24"/>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cs="宋体"/>
          <w:b/>
          <w:color w:val="auto"/>
          <w:highlight w:val="none"/>
        </w:rPr>
      </w:pPr>
      <w:r>
        <w:rPr>
          <w:rFonts w:hint="eastAsia" w:cs="宋体"/>
          <w:b/>
          <w:color w:val="auto"/>
          <w:highlight w:val="none"/>
        </w:rPr>
        <w:t>4.2.15上传投标文件同一网卡地址、同一IP地址的为无效标。</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w:t>
      </w:r>
      <w:r>
        <w:rPr>
          <w:rFonts w:hint="eastAsia" w:cs="宋体"/>
          <w:color w:val="auto"/>
          <w:highlight w:val="none"/>
          <w:lang w:eastAsia="zh-CN"/>
        </w:rPr>
        <w:t>中标人</w:t>
      </w:r>
      <w:r>
        <w:rPr>
          <w:rFonts w:hint="eastAsia" w:cs="宋体"/>
          <w:color w:val="auto"/>
          <w:highlight w:val="none"/>
        </w:rPr>
        <w:t>的，终止本次政府采购活动，重新开展政府采购活动。</w:t>
      </w:r>
    </w:p>
    <w:p>
      <w:pPr>
        <w:pStyle w:val="24"/>
        <w:snapToGrid w:val="0"/>
        <w:spacing w:line="360" w:lineRule="auto"/>
        <w:rPr>
          <w:rFonts w:hint="eastAsia" w:cs="宋体"/>
          <w:color w:val="auto"/>
          <w:highlight w:val="none"/>
        </w:rPr>
      </w:pPr>
      <w:r>
        <w:rPr>
          <w:rFonts w:hint="eastAsia" w:cs="宋体"/>
          <w:color w:val="auto"/>
          <w:highlight w:val="none"/>
        </w:rPr>
        <w:t>7.2已确定</w:t>
      </w:r>
      <w:r>
        <w:rPr>
          <w:rFonts w:hint="eastAsia" w:cs="宋体"/>
          <w:color w:val="auto"/>
          <w:highlight w:val="none"/>
          <w:lang w:eastAsia="zh-CN"/>
        </w:rPr>
        <w:t>中标人</w:t>
      </w:r>
      <w:r>
        <w:rPr>
          <w:rFonts w:hint="eastAsia" w:cs="宋体"/>
          <w:color w:val="auto"/>
          <w:highlight w:val="none"/>
        </w:rPr>
        <w:t>但尚未签订政府采购合同的，中标结果无效，从合格的中标候选人中另行确定</w:t>
      </w:r>
      <w:r>
        <w:rPr>
          <w:rFonts w:hint="eastAsia" w:cs="宋体"/>
          <w:color w:val="auto"/>
          <w:highlight w:val="none"/>
          <w:lang w:eastAsia="zh-CN"/>
        </w:rPr>
        <w:t>中标人</w:t>
      </w:r>
      <w:r>
        <w:rPr>
          <w:rFonts w:hint="eastAsia" w:cs="宋体"/>
          <w:color w:val="auto"/>
          <w:highlight w:val="none"/>
        </w:rPr>
        <w:t>；没有合格的中标候选人的，重新开展政府采购活动。</w:t>
      </w:r>
    </w:p>
    <w:p>
      <w:pPr>
        <w:pStyle w:val="24"/>
        <w:snapToGrid w:val="0"/>
        <w:spacing w:line="360" w:lineRule="auto"/>
        <w:rPr>
          <w:rFonts w:hint="eastAsia" w:cs="宋体"/>
          <w:color w:val="auto"/>
          <w:highlight w:val="none"/>
        </w:rPr>
      </w:pPr>
      <w:r>
        <w:rPr>
          <w:rFonts w:hint="eastAsia" w:cs="宋体"/>
          <w:color w:val="auto"/>
          <w:highlight w:val="none"/>
        </w:rPr>
        <w:t>7.3政府采购合同已签订但尚未履行的，撤销合同，从合格的中标候选人中另行确定</w:t>
      </w:r>
      <w:r>
        <w:rPr>
          <w:rFonts w:hint="eastAsia" w:cs="宋体"/>
          <w:color w:val="auto"/>
          <w:highlight w:val="none"/>
          <w:lang w:eastAsia="zh-CN"/>
        </w:rPr>
        <w:t>中标人</w:t>
      </w:r>
      <w:r>
        <w:rPr>
          <w:rFonts w:hint="eastAsia" w:cs="宋体"/>
          <w:color w:val="auto"/>
          <w:highlight w:val="none"/>
        </w:rPr>
        <w:t>；没有合格的中标候选人的，重新开展政府采购活动。</w:t>
      </w:r>
    </w:p>
    <w:p>
      <w:pPr>
        <w:pStyle w:val="24"/>
        <w:snapToGrid w:val="0"/>
        <w:spacing w:line="360" w:lineRule="auto"/>
        <w:rPr>
          <w:rFonts w:hint="eastAsia"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hint="eastAsia" w:ascii="宋体" w:hAnsi="宋体" w:eastAsia="宋体" w:cs="宋体"/>
          <w:b w:val="0"/>
          <w:color w:val="auto"/>
          <w:sz w:val="24"/>
          <w:szCs w:val="24"/>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402" w:name="第五部分"/>
      <w:bookmarkStart w:id="403" w:name="_Toc86217003"/>
    </w:p>
    <w:p>
      <w:pPr>
        <w:pStyle w:val="23"/>
        <w:rPr>
          <w:rFonts w:hint="eastAsia"/>
          <w:color w:val="auto"/>
          <w:highlight w:val="none"/>
        </w:rPr>
      </w:pPr>
    </w:p>
    <w:p>
      <w:pPr>
        <w:pStyle w:val="23"/>
        <w:rPr>
          <w:rFonts w:hint="eastAsia"/>
          <w:color w:val="auto"/>
          <w:highlight w:val="none"/>
        </w:rPr>
        <w:sectPr>
          <w:pgSz w:w="11907" w:h="16840"/>
          <w:pgMar w:top="1474" w:right="1814" w:bottom="1474" w:left="1814" w:header="851" w:footer="851" w:gutter="0"/>
          <w:pgNumType w:fmt="decimal"/>
          <w:cols w:space="720" w:num="1"/>
        </w:sectPr>
      </w:pPr>
    </w:p>
    <w:p>
      <w:pPr>
        <w:widowControl/>
        <w:adjustRightInd/>
        <w:ind w:firstLine="2168" w:firstLineChars="600"/>
        <w:jc w:val="left"/>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adjustRightInd/>
        <w:snapToGrid w:val="0"/>
        <w:spacing w:before="156" w:after="156" w:line="720" w:lineRule="exact"/>
        <w:jc w:val="center"/>
        <w:rPr>
          <w:rFonts w:hint="eastAsia" w:ascii="宋体" w:hAnsi="Times New Roman" w:eastAsia="宋体" w:cs="Times New Roman"/>
          <w:b/>
          <w:color w:val="auto"/>
          <w:sz w:val="44"/>
          <w:szCs w:val="44"/>
          <w:highlight w:val="none"/>
          <w:lang w:eastAsia="zh-CN"/>
        </w:rPr>
      </w:pPr>
      <w:r>
        <w:rPr>
          <w:rFonts w:hint="eastAsia" w:ascii="宋体" w:cs="Times New Roman"/>
          <w:b/>
          <w:color w:val="auto"/>
          <w:sz w:val="44"/>
          <w:szCs w:val="44"/>
          <w:highlight w:val="none"/>
          <w:lang w:eastAsia="zh-CN"/>
        </w:rPr>
        <w:t>宁海县桃源街道其他垃圾收运服务项目</w:t>
      </w:r>
    </w:p>
    <w:p>
      <w:pPr>
        <w:adjustRightInd/>
        <w:snapToGrid w:val="0"/>
        <w:spacing w:before="156" w:after="156" w:line="720" w:lineRule="exact"/>
        <w:jc w:val="center"/>
        <w:rPr>
          <w:rFonts w:ascii="宋体" w:hAnsi="Times New Roman" w:eastAsia="宋体" w:cs="Times New Roman"/>
          <w:b/>
          <w:color w:val="auto"/>
          <w:sz w:val="44"/>
          <w:szCs w:val="44"/>
          <w:highlight w:val="none"/>
        </w:rPr>
      </w:pPr>
      <w:r>
        <w:rPr>
          <w:rFonts w:hint="eastAsia" w:ascii="宋体" w:cs="Times New Roman"/>
          <w:b/>
          <w:color w:val="auto"/>
          <w:sz w:val="44"/>
          <w:szCs w:val="44"/>
          <w:highlight w:val="none"/>
          <w:lang w:val="en-US" w:eastAsia="zh-CN"/>
        </w:rPr>
        <w:t>服务</w:t>
      </w:r>
      <w:r>
        <w:rPr>
          <w:rFonts w:hint="eastAsia" w:ascii="宋体" w:hAnsi="Times New Roman" w:eastAsia="宋体" w:cs="Times New Roman"/>
          <w:b/>
          <w:color w:val="auto"/>
          <w:sz w:val="44"/>
          <w:szCs w:val="44"/>
          <w:highlight w:val="none"/>
        </w:rPr>
        <w:t>合同</w:t>
      </w: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pacing w:line="360" w:lineRule="auto"/>
        <w:ind w:firstLine="800" w:firstLineChars="250"/>
        <w:rPr>
          <w:rFonts w:hint="eastAsia" w:ascii="宋体" w:hAnsi="Times New Roman" w:eastAsia="宋体" w:cs="Times New Roman"/>
          <w:color w:val="auto"/>
          <w:sz w:val="32"/>
          <w:szCs w:val="32"/>
          <w:highlight w:val="none"/>
          <w:lang w:eastAsia="zh-CN"/>
        </w:rPr>
      </w:pPr>
      <w:r>
        <w:rPr>
          <w:rFonts w:hint="eastAsia" w:ascii="宋体" w:hAnsi="Times New Roman" w:eastAsia="宋体" w:cs="Times New Roman"/>
          <w:color w:val="auto"/>
          <w:sz w:val="32"/>
          <w:szCs w:val="32"/>
          <w:highlight w:val="none"/>
        </w:rPr>
        <w:t>甲方</w:t>
      </w:r>
      <w:r>
        <w:rPr>
          <w:rFonts w:hint="eastAsia" w:ascii="Times New Roman" w:eastAsia="宋体"/>
          <w:color w:val="auto"/>
          <w:sz w:val="32"/>
          <w:szCs w:val="32"/>
          <w:highlight w:val="none"/>
          <w:lang w:val="en-US" w:eastAsia="zh-CN"/>
        </w:rPr>
        <w:t>（发包人）</w:t>
      </w:r>
      <w:r>
        <w:rPr>
          <w:rFonts w:hint="eastAsia" w:ascii="宋体" w:hAnsi="Times New Roman" w:eastAsia="宋体" w:cs="Times New Roman"/>
          <w:color w:val="auto"/>
          <w:sz w:val="32"/>
          <w:szCs w:val="32"/>
          <w:highlight w:val="none"/>
        </w:rPr>
        <w:t>：</w:t>
      </w:r>
      <w:r>
        <w:rPr>
          <w:rFonts w:hint="eastAsia" w:ascii="宋体" w:cs="Times New Roman"/>
          <w:color w:val="auto"/>
          <w:sz w:val="32"/>
          <w:szCs w:val="32"/>
          <w:highlight w:val="none"/>
          <w:lang w:eastAsia="zh-CN"/>
        </w:rPr>
        <w:t>宁海县人民政府桃源街道办事处</w:t>
      </w:r>
    </w:p>
    <w:p>
      <w:pPr>
        <w:adjustRightInd/>
        <w:spacing w:line="360" w:lineRule="auto"/>
        <w:ind w:firstLine="800" w:firstLineChars="250"/>
        <w:rPr>
          <w:rFonts w:ascii="宋体" w:hAnsi="Times New Roman" w:eastAsia="宋体" w:cs="Times New Roman"/>
          <w:color w:val="auto"/>
          <w:sz w:val="32"/>
          <w:szCs w:val="32"/>
          <w:highlight w:val="none"/>
        </w:rPr>
      </w:pPr>
    </w:p>
    <w:p>
      <w:pPr>
        <w:adjustRightInd/>
        <w:spacing w:line="360" w:lineRule="auto"/>
        <w:ind w:firstLine="800" w:firstLineChars="250"/>
        <w:rPr>
          <w:rFonts w:hint="default" w:ascii="宋体" w:hAnsi="Times New Roman" w:eastAsia="宋体" w:cs="Times New Roman"/>
          <w:color w:val="auto"/>
          <w:sz w:val="32"/>
          <w:szCs w:val="32"/>
          <w:highlight w:val="none"/>
          <w:lang w:val="en-US" w:eastAsia="zh-CN"/>
        </w:rPr>
      </w:pPr>
      <w:r>
        <w:rPr>
          <w:rFonts w:hint="eastAsia" w:ascii="宋体" w:hAnsi="Times New Roman" w:eastAsia="宋体" w:cs="Times New Roman"/>
          <w:color w:val="auto"/>
          <w:sz w:val="32"/>
          <w:szCs w:val="32"/>
          <w:highlight w:val="none"/>
        </w:rPr>
        <w:t>乙方</w:t>
      </w:r>
      <w:r>
        <w:rPr>
          <w:rFonts w:hint="eastAsia" w:eastAsia="宋体"/>
          <w:color w:val="auto"/>
          <w:sz w:val="32"/>
          <w:szCs w:val="32"/>
          <w:highlight w:val="none"/>
          <w:lang w:eastAsia="zh-CN"/>
        </w:rPr>
        <w:t>（承包人）</w:t>
      </w:r>
      <w:r>
        <w:rPr>
          <w:rFonts w:hint="eastAsia" w:ascii="宋体" w:hAnsi="Times New Roman" w:eastAsia="宋体" w:cs="Times New Roman"/>
          <w:color w:val="auto"/>
          <w:sz w:val="32"/>
          <w:szCs w:val="32"/>
          <w:highlight w:val="none"/>
        </w:rPr>
        <w:t>：</w:t>
      </w:r>
      <w:r>
        <w:rPr>
          <w:rFonts w:hint="eastAsia" w:ascii="Calibri" w:hAnsi="Calibri" w:eastAsia="宋体" w:cs="Times New Roman"/>
          <w:color w:val="auto"/>
          <w:sz w:val="32"/>
          <w:szCs w:val="32"/>
          <w:highlight w:val="none"/>
          <w:u w:val="single"/>
          <w:lang w:val="en-US" w:eastAsia="zh-CN"/>
        </w:rPr>
        <w:t xml:space="preserve">                       </w:t>
      </w:r>
    </w:p>
    <w:p>
      <w:pPr>
        <w:adjustRightInd/>
        <w:spacing w:line="360" w:lineRule="auto"/>
        <w:rPr>
          <w:rFonts w:ascii="宋体" w:hAnsi="Times New Roman" w:eastAsia="宋体" w:cs="Times New Roman"/>
          <w:color w:val="auto"/>
          <w:sz w:val="32"/>
          <w:szCs w:val="32"/>
          <w:highlight w:val="none"/>
        </w:rPr>
      </w:pPr>
    </w:p>
    <w:p>
      <w:pPr>
        <w:adjustRightInd/>
        <w:spacing w:line="360" w:lineRule="auto"/>
        <w:ind w:firstLine="800" w:firstLineChars="250"/>
        <w:rPr>
          <w:rFonts w:ascii="宋体" w:hAnsi="Times New Roman" w:eastAsia="宋体" w:cs="Times New Roman"/>
          <w:color w:val="auto"/>
          <w:sz w:val="32"/>
          <w:szCs w:val="32"/>
          <w:highlight w:val="none"/>
        </w:rPr>
      </w:pPr>
      <w:r>
        <w:rPr>
          <w:rFonts w:hint="eastAsia" w:ascii="宋体" w:hAnsi="Times New Roman" w:eastAsia="宋体" w:cs="Times New Roman"/>
          <w:color w:val="auto"/>
          <w:sz w:val="32"/>
          <w:szCs w:val="32"/>
          <w:highlight w:val="none"/>
        </w:rPr>
        <w:t>签署日期：</w:t>
      </w:r>
      <w:r>
        <w:rPr>
          <w:rFonts w:hint="eastAsia" w:ascii="宋体" w:hAnsi="Times New Roman" w:eastAsia="宋体" w:cs="Times New Roman"/>
          <w:color w:val="auto"/>
          <w:sz w:val="32"/>
          <w:szCs w:val="32"/>
          <w:highlight w:val="none"/>
          <w:lang w:eastAsia="zh-CN"/>
        </w:rPr>
        <w:t>202</w:t>
      </w:r>
      <w:r>
        <w:rPr>
          <w:rFonts w:hint="eastAsia" w:ascii="宋体" w:cs="Times New Roman"/>
          <w:color w:val="auto"/>
          <w:sz w:val="32"/>
          <w:szCs w:val="32"/>
          <w:highlight w:val="none"/>
          <w:lang w:val="en-US" w:eastAsia="zh-CN"/>
        </w:rPr>
        <w:t>4</w:t>
      </w:r>
      <w:r>
        <w:rPr>
          <w:rFonts w:hint="eastAsia" w:ascii="宋体" w:hAnsi="Times New Roman" w:eastAsia="宋体" w:cs="Times New Roman"/>
          <w:color w:val="auto"/>
          <w:sz w:val="32"/>
          <w:szCs w:val="32"/>
          <w:highlight w:val="none"/>
        </w:rPr>
        <w:t xml:space="preserve">年     月     日 </w:t>
      </w:r>
    </w:p>
    <w:p>
      <w:pPr>
        <w:shd w:val="clear" w:color="auto" w:fill="auto"/>
        <w:adjustRightInd/>
        <w:jc w:val="center"/>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36"/>
          <w:szCs w:val="36"/>
          <w:highlight w:val="none"/>
        </w:rPr>
        <w:br w:type="page"/>
      </w:r>
      <w:r>
        <w:rPr>
          <w:rFonts w:hint="eastAsia" w:ascii="Times New Roman" w:hAnsi="Times New Roman" w:eastAsia="宋体" w:cs="Times New Roman"/>
          <w:b/>
          <w:color w:val="auto"/>
          <w:sz w:val="28"/>
          <w:szCs w:val="28"/>
          <w:highlight w:val="none"/>
          <w:lang w:eastAsia="zh-CN"/>
        </w:rPr>
        <w:t>宁海县桃源街道其他垃圾收运服务项目采购</w:t>
      </w:r>
      <w:r>
        <w:rPr>
          <w:rFonts w:hint="eastAsia" w:ascii="Times New Roman" w:hAnsi="Times New Roman" w:eastAsia="宋体" w:cs="Times New Roman"/>
          <w:b/>
          <w:color w:val="auto"/>
          <w:sz w:val="28"/>
          <w:szCs w:val="28"/>
          <w:highlight w:val="none"/>
        </w:rPr>
        <w:t>合同</w:t>
      </w:r>
    </w:p>
    <w:p>
      <w:pPr>
        <w:shd w:val="clear" w:color="auto" w:fill="auto"/>
        <w:adjustRightInd/>
        <w:spacing w:line="360" w:lineRule="auto"/>
        <w:rPr>
          <w:rFonts w:ascii="Times New Roman" w:hAnsi="Times New Roman" w:eastAsia="宋体" w:cs="Times New Roman"/>
          <w:b/>
          <w:color w:val="auto"/>
          <w:sz w:val="28"/>
          <w:szCs w:val="28"/>
          <w:highlight w:val="none"/>
        </w:rPr>
      </w:pP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项目名称：宁海县桃源街道其他垃圾收运服务项目</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项目编号：CBZJ-20246028G</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lang w:eastAsia="zh-CN"/>
        </w:rPr>
        <w:t>宁海县人民政府桃源街道办事处</w:t>
      </w:r>
      <w:r>
        <w:rPr>
          <w:rFonts w:hint="eastAsia" w:ascii="宋体" w:hAnsi="宋体" w:eastAsia="宋体" w:cs="宋体"/>
          <w:color w:val="auto"/>
          <w:sz w:val="24"/>
          <w:szCs w:val="24"/>
          <w:highlight w:val="none"/>
        </w:rPr>
        <w:t>（以下简称甲方）</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（以下简称乙方）</w:t>
      </w:r>
    </w:p>
    <w:p>
      <w:pPr>
        <w:adjustRightIn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sz w:val="24"/>
          <w:szCs w:val="24"/>
          <w:highlight w:val="none"/>
          <w:u w:val="single"/>
          <w:lang w:val="en-US" w:eastAsia="zh-CN"/>
        </w:rPr>
        <w:t>宁海县桃源街道其他垃圾收运服务项目</w:t>
      </w:r>
      <w:r>
        <w:rPr>
          <w:rFonts w:hint="eastAsia" w:ascii="宋体" w:hAnsi="宋体" w:eastAsia="宋体" w:cs="宋体"/>
          <w:color w:val="auto"/>
          <w:sz w:val="24"/>
          <w:szCs w:val="24"/>
          <w:highlight w:val="none"/>
          <w:u w:val="single"/>
        </w:rPr>
        <w:t>（项目编号：</w:t>
      </w:r>
      <w:r>
        <w:rPr>
          <w:rFonts w:hint="eastAsia" w:ascii="宋体" w:hAnsi="宋体" w:eastAsia="宋体" w:cs="宋体"/>
          <w:color w:val="auto"/>
          <w:sz w:val="24"/>
          <w:szCs w:val="24"/>
          <w:highlight w:val="none"/>
          <w:u w:val="single"/>
          <w:lang w:eastAsia="zh-CN"/>
        </w:rPr>
        <w:t>CBZJ-20246028G</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日，在宁波市宁海县公共资源交易中心进行公开招标，经结果公告确定由乙方中标。按照《中华人民共和国民法典》的有关规定，在自愿、平等、公平、诚信的基础上，经双方协商一致，签订本合同。</w:t>
      </w:r>
    </w:p>
    <w:p>
      <w:pPr>
        <w:widowControl w:val="0"/>
        <w:spacing w:before="0" w:beforeLines="0" w:after="0" w:afterLines="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下述文件作为附件，是合同的一部分，并与本合同一起阅读和解释：</w:t>
      </w:r>
    </w:p>
    <w:p>
      <w:pPr>
        <w:widowControl w:val="0"/>
        <w:spacing w:before="0" w:beforeLines="0" w:after="0" w:afterLines="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a.采购文件；</w:t>
      </w:r>
    </w:p>
    <w:p>
      <w:pPr>
        <w:widowControl w:val="0"/>
        <w:spacing w:before="0" w:beforeLines="0" w:after="0" w:afterLines="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b.投标文件及澄清文件；</w:t>
      </w:r>
    </w:p>
    <w:p>
      <w:pPr>
        <w:widowControl w:val="0"/>
        <w:spacing w:before="0" w:beforeLines="0" w:after="0" w:afterLines="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c.中标通知书；</w:t>
      </w:r>
    </w:p>
    <w:p>
      <w:pPr>
        <w:widowControl w:val="0"/>
        <w:spacing w:before="0" w:beforeLines="0" w:after="0" w:afterLines="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上述文件与合同若有不一致之处，优先次序第一应为合同、第二应为附件(附件的优先次序为 c,b,a)。</w:t>
      </w:r>
    </w:p>
    <w:p>
      <w:pPr>
        <w:widowControl w:val="0"/>
        <w:spacing w:before="0" w:beforeLines="0" w:after="0" w:afterLines="0" w:line="360" w:lineRule="auto"/>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一、项目名称、服务期限、服务内容</w:t>
      </w:r>
    </w:p>
    <w:p>
      <w:pPr>
        <w:widowControl w:val="0"/>
        <w:spacing w:before="0" w:beforeLines="0" w:after="0" w:afterLines="0" w:line="360" w:lineRule="auto"/>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1.1项目名称：宁海县桃源街道其他垃圾收运服务项目</w:t>
      </w:r>
    </w:p>
    <w:p>
      <w:pPr>
        <w:widowControl w:val="0"/>
        <w:spacing w:before="0" w:beforeLines="0" w:after="0" w:afterLines="0" w:line="360" w:lineRule="auto"/>
        <w:jc w:val="both"/>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1.2服务期限：自合同签订之日起二年，合同必须为一年一签。合同应符合政府采购预算安排要求，经批准，并经采购人考核验收通过，双方同意后，方可续签订下一年度的合同。</w:t>
      </w:r>
      <w:r>
        <w:rPr>
          <w:rFonts w:hint="eastAsia" w:ascii="宋体" w:hAnsi="宋体" w:cs="宋体"/>
          <w:bCs/>
          <w:color w:val="auto"/>
          <w:kern w:val="2"/>
          <w:sz w:val="24"/>
          <w:szCs w:val="24"/>
          <w:highlight w:val="none"/>
          <w:lang w:val="en-US" w:eastAsia="zh-CN" w:bidi="ar-SA"/>
        </w:rPr>
        <w:t>本合同服务期限为   年   月   日至   年   月   日。</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1.3服务内容：</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（一）作业范围</w:t>
      </w:r>
    </w:p>
    <w:p>
      <w:pPr>
        <w:widowControl w:val="0"/>
        <w:spacing w:before="0" w:beforeLines="0" w:after="0" w:afterLines="0" w:line="360" w:lineRule="auto"/>
        <w:ind w:firstLine="42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体作业范围共计30个村社：大金村、前黄村、竹口储村、王社村、钱岙村、新西岙村、民主村、后丁村、胜利村、翻身村、建设村、上洋村、后徐村、上山尤村、花山村、南岙村、茶堂村、西洋村、大房村、堂墙村、下洋葛村、后畈王村、横金村、下洋顾村、应家山村、塘溪村、瓦窑头村、杏蒋村、石家岙村、溪旁徐村以及桃源街道办事处。</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（二）作业方案</w:t>
      </w:r>
    </w:p>
    <w:p>
      <w:pPr>
        <w:widowControl w:val="0"/>
        <w:spacing w:before="0" w:beforeLines="0" w:after="0" w:afterLines="0" w:line="360" w:lineRule="auto"/>
        <w:ind w:firstLine="42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针对宁海县桃源街道其他垃圾分类收运工作，我们拟采用三种模式进行作业，清运频率均为1天2次：一是压缩车清运，采用3吨压缩车清运的方式将建设村、胜利村、民主村、翻身村、上洋村、后徐村的垃圾清运至物流中转站，采用自卸式后吊车将钱岙村、新西岙村、王社村、竹口储、西洋村、大房村、塘溪村、下洋葛村、下洋顾村、瓦窑头村的垃圾清运至桐山中转站；二是“以桶换桶”作业模式，通过平板运输车将石家岙村、溪旁徐村、后丁村、杏蒋村、横金村、大金村、前黄村的垃圾清运至物流中转站，将应家山村、后畈王村、花山村、南岙村、茶堂村、堂墙村、上山尤村、桃源街道办事处清运至桐山中转站；三是沿街垃圾上门收集，通过电动垃圾收运车对应家山村、西洋村的垃圾进行动态清运至桐山中转站。具体见表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表1：宁海县桃源街道其他垃圾分类收运作业模式</w:t>
      </w:r>
    </w:p>
    <w:tbl>
      <w:tblPr>
        <w:tblStyle w:val="63"/>
        <w:tblW w:w="8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969"/>
        <w:gridCol w:w="913"/>
        <w:gridCol w:w="467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序号</w:t>
            </w:r>
          </w:p>
        </w:tc>
        <w:tc>
          <w:tcPr>
            <w:tcW w:w="18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收运模式</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村庄</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运送地点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1</w:t>
            </w:r>
          </w:p>
        </w:tc>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压缩车清运</w:t>
            </w: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3吨压缩车</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建设村、胜利村、民主村、翻身村、上洋村、后徐村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物流中转站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rPr>
                <w:rFonts w:hint="eastAsia" w:ascii="宋体" w:hAnsi="宋体" w:eastAsia="宋体" w:cs="宋体"/>
                <w:b w:val="0"/>
                <w:bCs/>
                <w:color w:val="auto"/>
                <w:kern w:val="2"/>
                <w:sz w:val="24"/>
                <w:szCs w:val="24"/>
                <w:highlight w:val="none"/>
                <w:lang w:val="en-US" w:eastAsia="zh-CN"/>
              </w:rPr>
            </w:pPr>
          </w:p>
        </w:tc>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p>
        </w:tc>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自卸式后吊车</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钱岙村、新西岙村、王社村、竹口储、西洋村、大房村、塘溪村、下洋葛村、下洋顾村、瓦窑头村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7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2</w:t>
            </w:r>
          </w:p>
        </w:tc>
        <w:tc>
          <w:tcPr>
            <w:tcW w:w="188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以桶换桶清运</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石家岙村、溪旁徐村、后丁村、杏蒋村、横金村、大金村、前黄村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物流中转站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rPr>
            </w:pPr>
          </w:p>
        </w:tc>
        <w:tc>
          <w:tcPr>
            <w:tcW w:w="18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color w:val="auto"/>
                <w:sz w:val="24"/>
                <w:szCs w:val="24"/>
              </w:rPr>
            </w:pP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应家山村、后畈王村、花山村、南岙村、茶堂村、堂墙村、上山尤村、桃源街道办事处</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3</w:t>
            </w:r>
          </w:p>
        </w:tc>
        <w:tc>
          <w:tcPr>
            <w:tcW w:w="18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沿街垃圾上门收集</w:t>
            </w:r>
          </w:p>
        </w:tc>
        <w:tc>
          <w:tcPr>
            <w:tcW w:w="46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应家山村、西洋村</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桐山中转站</w:t>
            </w:r>
          </w:p>
        </w:tc>
      </w:tr>
    </w:tbl>
    <w:p>
      <w:pPr>
        <w:pStyle w:val="42"/>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根据日产日清原则，垃圾日均产量即为清运车的日均清运能力，目前上述30个村社的240L垃圾桶总数为1132只。</w:t>
      </w:r>
    </w:p>
    <w:p>
      <w:pPr>
        <w:pStyle w:val="42"/>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val="en-US" w:eastAsia="zh-CN"/>
        </w:rPr>
        <w:t>）保洁质量标准</w:t>
      </w:r>
    </w:p>
    <w:p>
      <w:pPr>
        <w:pStyle w:val="42"/>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乙方承包的本合同项目应达到建设部城市环境卫生质量标准中废 弃物控制指标要求及省道路保洁定额中质量要求等文件标准，甲方每月按上述标准对乙方完成的工作进行考核验收。</w:t>
      </w:r>
    </w:p>
    <w:p>
      <w:pPr>
        <w:pStyle w:val="42"/>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lang w:val="en-US" w:eastAsia="zh-CN"/>
        </w:rPr>
        <w:t>）保洁人员要求</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snapToGrid/>
        <w:spacing w:before="0" w:beforeLines="0" w:after="0" w:afterLines="0" w:line="360" w:lineRule="auto"/>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二、合同金额</w:t>
      </w:r>
    </w:p>
    <w:p>
      <w:pPr>
        <w:adjustRightInd/>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2.1本合同金额为（大写）：               元（￥                元）人民币。</w:t>
      </w:r>
    </w:p>
    <w:p>
      <w:pPr>
        <w:adjustRightInd/>
        <w:spacing w:line="360" w:lineRule="auto"/>
        <w:ind w:firstLine="420" w:firstLineChars="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合</w:t>
      </w:r>
      <w:r>
        <w:rPr>
          <w:rFonts w:hint="eastAsia" w:ascii="宋体" w:hAnsi="宋体" w:eastAsia="宋体" w:cs="宋体"/>
          <w:color w:val="auto"/>
          <w:sz w:val="24"/>
          <w:szCs w:val="24"/>
          <w:highlight w:val="none"/>
          <w:lang w:val="en-US" w:eastAsia="zh-CN"/>
        </w:rPr>
        <w:t>同期内，中标单价不作调整：如因故致使本合同保洁项目面积、设施发生变更的(如因人口数量增加而导致垃圾桶投放数量需要增加的)。由甲方根据实际变更量审核确认，按  中标单价进行增减，按实结算保洁服务费(已明确承包范围的除外，垃圾桶增减数量在30 个以内的总费用不变，超出30个的，按照实际增减的总数量计算费用),以联系单为准。因工作需要调整保洁标准的，按新标准重新测算保洁服务费。</w:t>
      </w:r>
    </w:p>
    <w:p>
      <w:pPr>
        <w:widowControl w:val="0"/>
        <w:spacing w:before="0" w:beforeLines="0" w:after="0" w:afterLines="0" w:line="360" w:lineRule="auto"/>
        <w:ind w:left="358" w:hanging="410" w:hangingChars="17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三、履约保证金</w:t>
      </w:r>
    </w:p>
    <w:p>
      <w:pPr>
        <w:adjustRightInd/>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3.1履约保证金金额：</w:t>
      </w:r>
      <w:r>
        <w:rPr>
          <w:rFonts w:hint="eastAsia" w:ascii="宋体" w:hAnsi="宋体" w:cs="宋体"/>
          <w:color w:val="auto"/>
          <w:sz w:val="24"/>
          <w:szCs w:val="24"/>
          <w:highlight w:val="none"/>
          <w:lang w:val="en-US" w:eastAsia="zh-CN"/>
        </w:rPr>
        <w:t>本合同金额的1%，共     元。</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3.2履约保证金形式：</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3.3担保收件人：</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3.4履约保证金的退取：</w:t>
      </w:r>
    </w:p>
    <w:p>
      <w:pPr>
        <w:adjustRightInd/>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四、转包或分包</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4.1本合同范围的服务，应由乙方直接提供，不得转让他人；</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除非得到甲方的书面同意，乙方不得部分分包给他人。甲方有绝对权力阻止分包。</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4.3如有转让和未经甲方同意的分包行为，甲方有权给予终止合同。</w:t>
      </w:r>
    </w:p>
    <w:p>
      <w:pPr>
        <w:widowControl w:val="0"/>
        <w:spacing w:before="0" w:beforeLines="0" w:after="0" w:afterLines="0" w:line="360" w:lineRule="auto"/>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五、合同付款方法</w:t>
      </w:r>
    </w:p>
    <w:p>
      <w:pPr>
        <w:adjustRightInd/>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5.1</w:t>
      </w:r>
      <w:r>
        <w:rPr>
          <w:rFonts w:hint="eastAsia" w:ascii="宋体" w:hAnsi="宋体" w:eastAsia="宋体" w:cs="宋体"/>
          <w:b w:val="0"/>
          <w:bCs/>
          <w:color w:val="auto"/>
          <w:sz w:val="24"/>
          <w:szCs w:val="24"/>
          <w:highlight w:val="none"/>
          <w:lang w:val="en-US" w:eastAsia="zh-CN"/>
        </w:rPr>
        <w:t>合同签订并具备实施条件后按月支付，在确认完成当月工作并通过考核后，月服务经费根据考核结果支付给</w:t>
      </w:r>
      <w:r>
        <w:rPr>
          <w:rFonts w:hint="eastAsia" w:ascii="宋体" w:hAnsi="宋体" w:cs="宋体"/>
          <w:b w:val="0"/>
          <w:bCs/>
          <w:color w:val="auto"/>
          <w:sz w:val="24"/>
          <w:szCs w:val="24"/>
          <w:highlight w:val="none"/>
          <w:lang w:val="en-US" w:eastAsia="zh-CN"/>
        </w:rPr>
        <w:t>乙方</w:t>
      </w:r>
      <w:r>
        <w:rPr>
          <w:rFonts w:hint="eastAsia" w:ascii="宋体" w:hAnsi="宋体" w:eastAsia="宋体" w:cs="宋体"/>
          <w:b w:val="0"/>
          <w:bCs/>
          <w:color w:val="auto"/>
          <w:sz w:val="24"/>
          <w:szCs w:val="24"/>
          <w:highlight w:val="none"/>
          <w:lang w:val="en-US" w:eastAsia="zh-CN"/>
        </w:rPr>
        <w:t>。（月服务经费=年度服务经费/12-考核扣款）</w:t>
      </w:r>
    </w:p>
    <w:p>
      <w:pPr>
        <w:adjustRightInd/>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六、税</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6.1本合同执行中相关的一切税费均由乙方负担。</w:t>
      </w:r>
    </w:p>
    <w:p>
      <w:pPr>
        <w:widowControl w:val="0"/>
        <w:spacing w:before="0" w:beforeLines="0" w:after="0" w:afterLines="0" w:line="360" w:lineRule="auto"/>
        <w:ind w:left="360" w:hanging="412" w:hangingChars="171"/>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七、完成质量要求</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7.1 服务期间乙方不得随意更换项目负责人，如有特殊情况需要更换，须经甲方同意确认。</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7.2服务期间，乙方须配备足够的人员和设备。</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7.3合同执行过程中，乙方如有弄虚作假行为，甲方有权单方面解除合同并没收全部履约保证金，由此引起的所以损失由乙方承担。</w:t>
      </w:r>
    </w:p>
    <w:p>
      <w:pPr>
        <w:widowControl w:val="0"/>
        <w:spacing w:before="0" w:beforeLines="0" w:after="0" w:afterLines="0" w:line="360" w:lineRule="auto"/>
        <w:ind w:left="360" w:hanging="412" w:hangingChars="171"/>
        <w:jc w:val="both"/>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八</w:t>
      </w:r>
      <w:r>
        <w:rPr>
          <w:rFonts w:hint="eastAsia" w:ascii="宋体" w:hAnsi="宋体" w:eastAsia="宋体" w:cs="宋体"/>
          <w:b/>
          <w:color w:val="auto"/>
          <w:kern w:val="2"/>
          <w:sz w:val="24"/>
          <w:szCs w:val="24"/>
          <w:highlight w:val="none"/>
          <w:lang w:val="en-US" w:eastAsia="zh-CN" w:bidi="ar-SA"/>
        </w:rPr>
        <w:t>、双方职责</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(一)甲方职责</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1、向乙方提供办公设施以及工作所需的相关信息，如各村垃圾清运点的分布路线等。</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2、制定相应的规章制度和考核标准，检查督促乙方履行本合同的各项工作情况。</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3、审核乙方提出的应由甲方承担购置的相关保洁配套设施。</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8.4</w:t>
      </w:r>
      <w:r>
        <w:rPr>
          <w:rFonts w:hint="eastAsia" w:ascii="宋体" w:hAnsi="宋体" w:eastAsia="宋体" w:cs="宋体"/>
          <w:color w:val="auto"/>
          <w:sz w:val="24"/>
          <w:szCs w:val="24"/>
          <w:highlight w:val="none"/>
        </w:rPr>
        <w:t>、 遇县级以上检查、考核验收，以及上级领导来镇视察等情况时，甲方有权临时布置</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乙方在承包区域内做好保洁服务工作。</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8.5</w:t>
      </w:r>
      <w:r>
        <w:rPr>
          <w:rFonts w:hint="eastAsia" w:ascii="宋体" w:hAnsi="宋体" w:eastAsia="宋体" w:cs="宋体"/>
          <w:color w:val="auto"/>
          <w:sz w:val="24"/>
          <w:szCs w:val="24"/>
          <w:highlight w:val="none"/>
        </w:rPr>
        <w:t>、根据规章制度和考核标准对乙方进行按月不定期考核。</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8.6</w:t>
      </w:r>
      <w:r>
        <w:rPr>
          <w:rFonts w:hint="eastAsia" w:ascii="宋体" w:hAnsi="宋体" w:eastAsia="宋体" w:cs="宋体"/>
          <w:color w:val="auto"/>
          <w:sz w:val="24"/>
          <w:szCs w:val="24"/>
          <w:highlight w:val="none"/>
        </w:rPr>
        <w:t>、 制订乙方保洁人员配备要求。如乙方未按甲方要求足额配备好保洁人员，甲方有权</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提出整改，</w:t>
      </w:r>
    </w:p>
    <w:p>
      <w:pPr>
        <w:adjustRightIn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(二)乙方职责</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8.7</w:t>
      </w:r>
      <w:r>
        <w:rPr>
          <w:rFonts w:hint="eastAsia" w:ascii="宋体" w:hAnsi="宋体" w:eastAsia="宋体" w:cs="宋体"/>
          <w:color w:val="auto"/>
          <w:sz w:val="24"/>
          <w:szCs w:val="24"/>
          <w:highlight w:val="none"/>
        </w:rPr>
        <w:t>、要严格遵守甲方制定的各项规章制度与考核制度。</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8.8</w:t>
      </w:r>
      <w:r>
        <w:rPr>
          <w:rFonts w:hint="eastAsia" w:ascii="宋体" w:hAnsi="宋体" w:eastAsia="宋体" w:cs="宋体"/>
          <w:color w:val="auto"/>
          <w:sz w:val="24"/>
          <w:szCs w:val="24"/>
          <w:highlight w:val="none"/>
        </w:rPr>
        <w:t>、保洁时间和质量要求按照路段标准执行，同时负责区域内垃圾桶的清运、维护工作。</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8.9</w:t>
      </w:r>
      <w:r>
        <w:rPr>
          <w:rFonts w:hint="eastAsia" w:ascii="宋体" w:hAnsi="宋体" w:eastAsia="宋体" w:cs="宋体"/>
          <w:color w:val="auto"/>
          <w:sz w:val="24"/>
          <w:szCs w:val="24"/>
          <w:highlight w:val="none"/>
        </w:rPr>
        <w:t>、所购置的日常保洁物料及保洁操作方法要符合环保标准。</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8.10</w:t>
      </w:r>
      <w:r>
        <w:rPr>
          <w:rFonts w:hint="eastAsia" w:ascii="宋体" w:hAnsi="宋体" w:eastAsia="宋体" w:cs="宋体"/>
          <w:color w:val="auto"/>
          <w:sz w:val="24"/>
          <w:szCs w:val="24"/>
          <w:highlight w:val="none"/>
        </w:rPr>
        <w:t>、妥善保管和维护保洁设施，如有发现损坏，应及时通知甲方。</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8.11</w:t>
      </w:r>
      <w:r>
        <w:rPr>
          <w:rFonts w:hint="eastAsia" w:ascii="宋体" w:hAnsi="宋体" w:eastAsia="宋体" w:cs="宋体"/>
          <w:color w:val="auto"/>
          <w:sz w:val="24"/>
          <w:szCs w:val="24"/>
          <w:highlight w:val="none"/>
        </w:rPr>
        <w:t>、按照甲方人员配备要求，足额配备好保洁人员，并落实好各路段的责任人。</w:t>
      </w:r>
    </w:p>
    <w:p>
      <w:p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8.12</w:t>
      </w:r>
      <w:r>
        <w:rPr>
          <w:rFonts w:hint="eastAsia" w:ascii="宋体" w:hAnsi="宋体" w:eastAsia="宋体" w:cs="宋体"/>
          <w:color w:val="auto"/>
          <w:sz w:val="24"/>
          <w:szCs w:val="24"/>
          <w:highlight w:val="none"/>
        </w:rPr>
        <w:t>、乙方必须自觉接受，配合甲方有关工作指导及考核检查，并自觉做好各项大型活动期间的环境保障和其它临时性、突击性工作(费用已包含在本合同中)。</w:t>
      </w:r>
    </w:p>
    <w:p>
      <w:pPr>
        <w:numPr>
          <w:ilvl w:val="0"/>
          <w:numId w:val="0"/>
        </w:numPr>
        <w:adjustRightInd/>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8.13</w:t>
      </w:r>
      <w:r>
        <w:rPr>
          <w:rFonts w:hint="eastAsia" w:ascii="宋体" w:hAnsi="宋体" w:eastAsia="宋体" w:cs="宋体"/>
          <w:color w:val="auto"/>
          <w:sz w:val="24"/>
          <w:szCs w:val="24"/>
          <w:highlight w:val="none"/>
        </w:rPr>
        <w:t>乙方必须按甲方要求设立24小时值守的“双联”应急机制，完成各项应急处置工作任务和处理县长电话。</w:t>
      </w:r>
    </w:p>
    <w:p>
      <w:pPr>
        <w:widowControl w:val="0"/>
        <w:numPr>
          <w:ilvl w:val="0"/>
          <w:numId w:val="0"/>
        </w:numPr>
        <w:spacing w:before="0" w:beforeLines="0" w:after="0" w:afterLines="0" w:line="360" w:lineRule="auto"/>
        <w:ind w:leftChars="-171" w:firstLine="241" w:firstLineChars="100"/>
        <w:jc w:val="both"/>
        <w:rPr>
          <w:rFonts w:hint="eastAsia" w:ascii="宋体" w:hAnsi="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（三）安全责任</w:t>
      </w:r>
    </w:p>
    <w:p>
      <w:pPr>
        <w:widowControl w:val="0"/>
        <w:spacing w:before="0" w:beforeLines="0" w:after="0" w:afterLines="0" w:line="360" w:lineRule="auto"/>
        <w:jc w:val="both"/>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8.14、</w:t>
      </w:r>
      <w:r>
        <w:rPr>
          <w:rFonts w:hint="eastAsia" w:ascii="宋体" w:hAnsi="宋体" w:eastAsia="宋体" w:cs="宋体"/>
          <w:color w:val="auto"/>
          <w:kern w:val="2"/>
          <w:sz w:val="24"/>
          <w:szCs w:val="24"/>
          <w:highlight w:val="none"/>
          <w:lang w:val="en-US" w:eastAsia="zh-CN" w:bidi="ar-SA"/>
        </w:rPr>
        <w:t>乙方在开展日常保洁工作中，应建立健全的安全生产制度，做到规范操作、文明作业。如发生安全责任事故，由乙方自行负责，甲方在处理事故中协助调解，不承担任何责任。</w:t>
      </w:r>
    </w:p>
    <w:p>
      <w:pPr>
        <w:widowControl w:val="0"/>
        <w:spacing w:before="0" w:beforeLines="0" w:after="0" w:afterLines="0" w:line="360" w:lineRule="auto"/>
        <w:ind w:left="360" w:hanging="412" w:hangingChars="171"/>
        <w:jc w:val="both"/>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九</w:t>
      </w:r>
      <w:r>
        <w:rPr>
          <w:rFonts w:hint="eastAsia" w:ascii="宋体" w:hAnsi="宋体" w:eastAsia="宋体" w:cs="宋体"/>
          <w:b/>
          <w:color w:val="auto"/>
          <w:kern w:val="2"/>
          <w:sz w:val="24"/>
          <w:szCs w:val="24"/>
          <w:highlight w:val="none"/>
          <w:lang w:val="en-US" w:eastAsia="zh-CN" w:bidi="ar-SA"/>
        </w:rPr>
        <w:t>、违约责任</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.1 甲方无正当理由拒收接受服务的，甲方向乙方偿付合同款项百分之五作为违约金。</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.2 甲方无故逾期验收和办理款项支付手续的，甲方应按逾期付款总额每日万分之五向乙方支付违约金。</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widowControl w:val="0"/>
        <w:spacing w:before="0" w:beforeLines="0" w:after="0" w:afterLines="0" w:line="360" w:lineRule="auto"/>
        <w:ind w:left="360" w:hanging="412" w:hangingChars="171"/>
        <w:jc w:val="both"/>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十</w:t>
      </w:r>
      <w:r>
        <w:rPr>
          <w:rFonts w:hint="eastAsia" w:ascii="宋体" w:hAnsi="宋体" w:eastAsia="宋体" w:cs="宋体"/>
          <w:b/>
          <w:color w:val="auto"/>
          <w:kern w:val="2"/>
          <w:sz w:val="24"/>
          <w:szCs w:val="24"/>
          <w:highlight w:val="none"/>
          <w:lang w:val="en-US" w:eastAsia="zh-CN" w:bidi="ar-SA"/>
        </w:rPr>
        <w:t>、不可抗力事件处理</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.1 在合同有效期内，任何一方因不可抗力事件导致不能履行合同，则合同履行期可延长，其延长期与不可抗力影响期相同。</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.2 不可抗力事件发生后，应立即通知对方，并寄送有关权威机构出具的证明。</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.3 不可抗力事件延续120天以上，双方应通过友好协商，确定是否继续履行合同。</w:t>
      </w:r>
    </w:p>
    <w:p>
      <w:pPr>
        <w:widowControl w:val="0"/>
        <w:spacing w:before="0" w:beforeLines="0" w:after="0" w:afterLines="0" w:line="360" w:lineRule="auto"/>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十</w:t>
      </w:r>
      <w:r>
        <w:rPr>
          <w:rFonts w:hint="eastAsia" w:ascii="宋体" w:hAnsi="宋体" w:cs="宋体"/>
          <w:b/>
          <w:color w:val="auto"/>
          <w:kern w:val="2"/>
          <w:sz w:val="24"/>
          <w:szCs w:val="24"/>
          <w:highlight w:val="none"/>
          <w:lang w:val="en-US" w:eastAsia="zh-CN" w:bidi="ar-SA"/>
        </w:rPr>
        <w:t>一</w:t>
      </w:r>
      <w:r>
        <w:rPr>
          <w:rFonts w:hint="eastAsia" w:ascii="宋体" w:hAnsi="宋体" w:eastAsia="宋体" w:cs="宋体"/>
          <w:b/>
          <w:color w:val="auto"/>
          <w:kern w:val="2"/>
          <w:sz w:val="24"/>
          <w:szCs w:val="24"/>
          <w:highlight w:val="none"/>
          <w:lang w:val="en-US" w:eastAsia="zh-CN" w:bidi="ar-SA"/>
        </w:rPr>
        <w:t>、诉讼</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.1 双方在执行合同中所发生的一切争议，应通过协商解决。如协商不成，可向合同签订地法院起诉。</w:t>
      </w:r>
    </w:p>
    <w:p>
      <w:pPr>
        <w:widowControl w:val="0"/>
        <w:spacing w:before="0" w:beforeLines="0" w:after="0" w:afterLines="0" w:line="360" w:lineRule="auto"/>
        <w:jc w:val="both"/>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十二</w:t>
      </w:r>
      <w:r>
        <w:rPr>
          <w:rFonts w:hint="eastAsia" w:ascii="宋体" w:hAnsi="宋体" w:eastAsia="宋体" w:cs="宋体"/>
          <w:b/>
          <w:color w:val="auto"/>
          <w:kern w:val="2"/>
          <w:sz w:val="24"/>
          <w:szCs w:val="24"/>
          <w:highlight w:val="none"/>
          <w:lang w:val="en-US" w:eastAsia="zh-CN" w:bidi="ar-SA"/>
        </w:rPr>
        <w:t>、合同生效及其它</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.1 合同经双方法定代表人或授权委托代理人签字并加盖单位公章后生效。</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.2合同执行中涉及采购资金和采购内容修改或补充的，须经财政部门审批，并签书面补充协议报政府采购监督管理部门备案，方可作为主合同不可分割的一部分。</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.3本合同未尽事宜，遵照《中华人民共和国民法典》有关条文、补充协议、投标承诺、投标文件、采购文件及补充执行。</w:t>
      </w:r>
    </w:p>
    <w:p>
      <w:pPr>
        <w:widowControl w:val="0"/>
        <w:spacing w:before="0" w:beforeLines="0" w:after="0" w:afterLines="0"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.4本合同正本一式   份，甲乙双方各执  份；副本  份，甲乙双方各执  份。合同正副本具有同等法律效力。</w:t>
      </w:r>
    </w:p>
    <w:p>
      <w:pPr>
        <w:adjustRightInd/>
        <w:rPr>
          <w:rFonts w:hint="eastAsia" w:ascii="宋体" w:hAnsi="宋体" w:eastAsia="宋体" w:cs="宋体"/>
          <w:color w:val="auto"/>
          <w:sz w:val="24"/>
          <w:szCs w:val="24"/>
          <w:highlight w:val="none"/>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甲方：(公章)                               乙方：(公章)</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地址：                                     地址：</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法定代表人：(签字)                         法定代表人：(签字)</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委托代理人：(签字)                         委托代理人：(签字)</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电话：                                     电话：</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传真：                                     传真：</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开户银行：                                 开户银行：</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账号：                                     账号：</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邮政编码：                                 邮政编码：</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widowControl w:val="0"/>
        <w:autoSpaceDE w:val="0"/>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autoSpaceDE w:val="0"/>
        <w:adjustRightInd/>
        <w:spacing w:before="100" w:beforeAutospacing="1" w:after="100" w:afterAutospacing="1" w:line="360" w:lineRule="auto"/>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合同见证方：浙江中基正采管理咨询有限公司</w:t>
      </w:r>
    </w:p>
    <w:p>
      <w:pPr>
        <w:widowControl/>
        <w:shd w:val="clear" w:color="auto" w:fill="auto"/>
        <w:overflowPunct w:val="0"/>
        <w:autoSpaceDE w:val="0"/>
        <w:autoSpaceDN w:val="0"/>
        <w:adjustRightInd w:val="0"/>
        <w:spacing w:before="0" w:beforeLines="0" w:beforeAutospacing="0" w:after="0" w:afterLines="0" w:afterAutospacing="0" w:line="32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bidi="ar"/>
        </w:rPr>
        <w:t>见证日期：</w:t>
      </w:r>
    </w:p>
    <w:p>
      <w:pPr>
        <w:widowControl/>
        <w:shd w:val="clear" w:color="auto" w:fill="auto"/>
        <w:overflowPunct w:val="0"/>
        <w:autoSpaceDE w:val="0"/>
        <w:autoSpaceDN w:val="0"/>
        <w:adjustRightInd w:val="0"/>
        <w:spacing w:before="0" w:beforeLines="0" w:beforeAutospacing="0" w:after="0" w:afterLines="0" w:afterAutospacing="0" w:line="320" w:lineRule="exact"/>
        <w:jc w:val="left"/>
        <w:rPr>
          <w:rFonts w:hint="eastAsia" w:ascii="宋体" w:hAnsi="宋体" w:eastAsia="宋体" w:cs="宋体"/>
          <w:color w:val="auto"/>
          <w:kern w:val="0"/>
          <w:sz w:val="24"/>
          <w:szCs w:val="24"/>
          <w:highlight w:val="none"/>
          <w:lang w:val="en-US" w:eastAsia="zh-CN" w:bidi="ar-SA"/>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pgNumType w:fmt="decimal"/>
          <w:cols w:space="720" w:num="1"/>
          <w:titlePg/>
          <w:docGrid w:linePitch="312" w:charSpace="0"/>
        </w:sect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02"/>
      <w:r>
        <w:rPr>
          <w:rFonts w:hint="eastAsia" w:ascii="宋体" w:hAnsi="宋体" w:cs="宋体"/>
          <w:b/>
          <w:color w:val="auto"/>
          <w:sz w:val="36"/>
          <w:szCs w:val="20"/>
          <w:highlight w:val="none"/>
        </w:rPr>
        <w:t xml:space="preserve"> </w:t>
      </w:r>
      <w:bookmarkEnd w:id="403"/>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重大税收违法失信主体</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w:t>
      </w:r>
      <w:r>
        <w:rPr>
          <w:rFonts w:hint="eastAsia" w:ascii="宋体" w:hAnsi="宋体" w:eastAsia="宋体" w:cs="宋体"/>
          <w:color w:val="auto"/>
          <w:sz w:val="24"/>
          <w:highlight w:val="none"/>
        </w:rPr>
        <w:t>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rPr>
        <w:t>未在中国裁判文书网有行贿犯罪相关记录。</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要求合同分包的，提供分包意向协议和中小企业声明函（附件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2.1.1符合参加政府采购活动应当具备的一般条件的承诺函；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4" w:name="_Hlk101257010"/>
      <w:r>
        <w:rPr>
          <w:rFonts w:hint="eastAsia" w:ascii="宋体" w:hAnsi="宋体" w:cs="宋体"/>
          <w:color w:val="auto"/>
          <w:sz w:val="24"/>
          <w:highlight w:val="none"/>
        </w:rPr>
        <w:t>（如果有)</w:t>
      </w:r>
      <w:bookmarkEnd w:id="404"/>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2.2.1投</w:t>
      </w:r>
      <w:r>
        <w:rPr>
          <w:rFonts w:hint="eastAsia" w:ascii="宋体" w:hAnsi="宋体" w:eastAsia="宋体" w:cs="宋体"/>
          <w:color w:val="auto"/>
          <w:sz w:val="24"/>
          <w:highlight w:val="none"/>
        </w:rPr>
        <w:t>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r>
        <w:rPr>
          <w:rFonts w:hint="eastAsia" w:ascii="宋体" w:hAnsi="宋体" w:eastAsia="宋体" w:cs="宋体"/>
          <w:color w:val="auto"/>
          <w:sz w:val="24"/>
          <w:highlight w:val="none"/>
          <w:lang w:val="zh-CN"/>
        </w:rPr>
        <w:t>授权委托书或法定代表人（单位负责人、自然人本人）身份证明</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cs="宋体"/>
          <w:color w:val="auto"/>
          <w:sz w:val="24"/>
          <w:highlight w:val="none"/>
        </w:rPr>
        <w:t>2</w:t>
      </w:r>
      <w:r>
        <w:rPr>
          <w:rFonts w:hint="eastAsia" w:ascii="宋体" w:hAnsi="宋体" w:eastAsia="宋体" w:cs="宋体"/>
          <w:color w:val="auto"/>
          <w:sz w:val="24"/>
          <w:highlight w:val="none"/>
          <w:lang w:val="zh-CN"/>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rPr>
        <w:t>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2.2.</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2.3.2中小企业声明函（如果有）</w:t>
      </w:r>
      <w:r>
        <w:rPr>
          <w:rFonts w:hint="eastAsia" w:ascii="宋体" w:hAnsi="宋体" w:eastAsia="宋体" w:cs="宋体"/>
          <w:color w:val="auto"/>
          <w:sz w:val="24"/>
          <w:highlight w:val="none"/>
          <w:lang w:eastAsia="zh-CN"/>
        </w:rPr>
        <w:t>；</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2.3.3</w:t>
      </w:r>
      <w:r>
        <w:rPr>
          <w:rFonts w:hint="eastAsia" w:ascii="宋体" w:hAnsi="宋体" w:eastAsia="宋体" w:cs="宋体"/>
          <w:color w:val="auto"/>
          <w:sz w:val="24"/>
          <w:highlight w:val="none"/>
        </w:rPr>
        <w:t>投标报价明细表</w:t>
      </w:r>
      <w:r>
        <w:rPr>
          <w:rFonts w:hint="eastAsia" w:ascii="宋体" w:hAnsi="宋体" w:cs="宋体"/>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hint="eastAsia" w:ascii="宋体" w:hAnsi="宋体" w:cs="宋体"/>
          <w:b/>
          <w:color w:val="auto"/>
          <w:kern w:val="0"/>
          <w:sz w:val="32"/>
          <w:szCs w:val="32"/>
          <w:highlight w:val="none"/>
          <w:lang w:val="zh-CN"/>
        </w:rPr>
        <w:sectPr>
          <w:pgSz w:w="11906" w:h="16838"/>
          <w:pgMar w:top="1276" w:right="1418" w:bottom="1247" w:left="1418" w:header="851" w:footer="992" w:gutter="0"/>
          <w:pgNumType w:fmt="decimal"/>
          <w:cols w:space="720" w:num="1"/>
          <w:titlePg/>
          <w:docGrid w:linePitch="312" w:charSpace="0"/>
        </w:sect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lang w:val="en-US"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w:t>
      </w:r>
      <w:r>
        <w:rPr>
          <w:rFonts w:hint="eastAsia" w:ascii="宋体" w:hAnsi="宋体" w:cs="宋体"/>
          <w:color w:val="auto"/>
          <w:kern w:val="0"/>
          <w:sz w:val="24"/>
          <w:highlight w:val="none"/>
          <w:lang w:val="en-US" w:eastAsia="zh-CN"/>
        </w:rPr>
        <w:t>区</w:t>
      </w:r>
      <w:r>
        <w:rPr>
          <w:rFonts w:hint="eastAsia" w:ascii="宋体" w:hAnsi="宋体" w:cs="宋体"/>
          <w:color w:val="auto"/>
          <w:kern w:val="0"/>
          <w:sz w:val="24"/>
          <w:highlight w:val="none"/>
          <w:lang w:val="zh-CN"/>
        </w:rPr>
        <w:t>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pgNumType w:fmt="decimal"/>
          <w:cols w:space="720" w:num="1"/>
          <w:titlePg/>
          <w:docGrid w:linePitch="312" w:charSpace="0"/>
        </w:sectPr>
      </w:pPr>
    </w:p>
    <w:p>
      <w:pPr>
        <w:jc w:val="center"/>
        <w:rPr>
          <w:rFonts w:hint="eastAsia" w:ascii="宋体" w:hAnsi="宋体" w:eastAsia="宋体" w:cs="宋体"/>
          <w:b/>
          <w:color w:val="auto"/>
          <w:kern w:val="0"/>
          <w:sz w:val="32"/>
          <w:szCs w:val="32"/>
          <w:highlight w:val="none"/>
          <w:lang w:val="en-US" w:eastAsia="zh-CN"/>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（1）开标一览</w:t>
      </w:r>
      <w:r>
        <w:rPr>
          <w:rFonts w:hint="eastAsia" w:ascii="宋体" w:hAnsi="宋体" w:eastAsia="宋体" w:cs="宋体"/>
          <w:color w:val="auto"/>
          <w:sz w:val="24"/>
          <w:highlight w:val="none"/>
        </w:rPr>
        <w:t>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）中小企业声明函………………………………………………………………（页码）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）投标报价明细表………………………………………………………………（页码）</w:t>
      </w:r>
    </w:p>
    <w:p>
      <w:pPr>
        <w:pStyle w:val="23"/>
        <w:rPr>
          <w:rFonts w:hint="eastAsia"/>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2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3499"/>
        <w:gridCol w:w="3581"/>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4" w:type="dxa"/>
            <w:noWrap w:val="0"/>
            <w:vAlign w:val="center"/>
          </w:tcPr>
          <w:p>
            <w:pPr>
              <w:adjustRightInd/>
              <w:snapToGrid w:val="0"/>
              <w:spacing w:line="360" w:lineRule="auto"/>
              <w:jc w:val="center"/>
              <w:rPr>
                <w:rFonts w:hint="default" w:ascii="宋体" w:hAnsi="宋体" w:eastAsia="宋体" w:cs="宋体"/>
                <w:b/>
                <w:bCs/>
                <w:color w:val="auto"/>
                <w:sz w:val="24"/>
                <w:szCs w:val="24"/>
                <w:highlight w:val="none"/>
                <w:lang w:val="en-US"/>
              </w:rPr>
            </w:pPr>
            <w:r>
              <w:rPr>
                <w:rFonts w:hint="eastAsia" w:ascii="宋体" w:hAnsi="宋体" w:cs="宋体"/>
                <w:b/>
                <w:bCs/>
                <w:color w:val="auto"/>
                <w:sz w:val="24"/>
                <w:szCs w:val="24"/>
                <w:highlight w:val="none"/>
                <w:lang w:val="en-US" w:eastAsia="zh-CN"/>
              </w:rPr>
              <w:t>序号</w:t>
            </w:r>
          </w:p>
        </w:tc>
        <w:tc>
          <w:tcPr>
            <w:tcW w:w="3499" w:type="dxa"/>
            <w:noWrap w:val="0"/>
            <w:vAlign w:val="center"/>
          </w:tcPr>
          <w:p>
            <w:pPr>
              <w:adjustRightInd/>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采购内容</w:t>
            </w:r>
          </w:p>
        </w:tc>
        <w:tc>
          <w:tcPr>
            <w:tcW w:w="3581" w:type="dxa"/>
            <w:noWrap w:val="0"/>
            <w:vAlign w:val="center"/>
          </w:tcPr>
          <w:p>
            <w:pPr>
              <w:adjustRightInd/>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3664" w:type="dxa"/>
            <w:noWrap w:val="0"/>
            <w:vAlign w:val="center"/>
          </w:tcPr>
          <w:p>
            <w:pPr>
              <w:adjustRightInd/>
              <w:snapToGrid w:val="0"/>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94" w:type="dxa"/>
            <w:noWrap w:val="0"/>
            <w:vAlign w:val="center"/>
          </w:tcPr>
          <w:p>
            <w:pPr>
              <w:adjustRightInd/>
              <w:snapToGrid w:val="0"/>
              <w:spacing w:line="360" w:lineRule="auto"/>
              <w:jc w:val="center"/>
              <w:rPr>
                <w:rFonts w:hint="eastAsia" w:ascii="宋体" w:hAnsi="宋体" w:eastAsia="宋体" w:cs="宋体"/>
                <w:color w:val="auto"/>
                <w:sz w:val="24"/>
                <w:szCs w:val="24"/>
                <w:highlight w:val="none"/>
              </w:rPr>
            </w:pPr>
          </w:p>
        </w:tc>
        <w:tc>
          <w:tcPr>
            <w:tcW w:w="3499" w:type="dxa"/>
            <w:noWrap w:val="0"/>
            <w:vAlign w:val="center"/>
          </w:tcPr>
          <w:p>
            <w:pPr>
              <w:adjustRightInd/>
              <w:snapToGrid w:val="0"/>
              <w:spacing w:line="360" w:lineRule="auto"/>
              <w:jc w:val="center"/>
              <w:rPr>
                <w:rFonts w:hint="eastAsia" w:ascii="宋体" w:hAnsi="宋体" w:eastAsia="宋体" w:cs="宋体"/>
                <w:color w:val="auto"/>
                <w:sz w:val="24"/>
                <w:szCs w:val="24"/>
                <w:highlight w:val="none"/>
              </w:rPr>
            </w:pPr>
          </w:p>
        </w:tc>
        <w:tc>
          <w:tcPr>
            <w:tcW w:w="3581" w:type="dxa"/>
            <w:noWrap w:val="0"/>
            <w:vAlign w:val="center"/>
          </w:tcPr>
          <w:p>
            <w:pPr>
              <w:adjustRightInd/>
              <w:snapToGrid w:val="0"/>
              <w:spacing w:line="360" w:lineRule="auto"/>
              <w:rPr>
                <w:rFonts w:hint="eastAsia" w:ascii="宋体" w:hAnsi="宋体" w:eastAsia="宋体" w:cs="宋体"/>
                <w:color w:val="auto"/>
                <w:sz w:val="24"/>
                <w:szCs w:val="24"/>
                <w:highlight w:val="none"/>
              </w:rPr>
            </w:pPr>
          </w:p>
        </w:tc>
        <w:tc>
          <w:tcPr>
            <w:tcW w:w="3664" w:type="dxa"/>
            <w:noWrap w:val="0"/>
            <w:vAlign w:val="center"/>
          </w:tcPr>
          <w:p>
            <w:pPr>
              <w:adjustRightInd/>
              <w:snapToGrid w:val="0"/>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压缩车清运方式</w:t>
            </w:r>
            <w:r>
              <w:rPr>
                <w:rFonts w:hint="eastAsia" w:ascii="宋体" w:hAnsi="宋体" w:cs="宋体"/>
                <w:color w:val="auto"/>
                <w:sz w:val="24"/>
                <w:szCs w:val="24"/>
                <w:highlight w:val="none"/>
                <w:lang w:eastAsia="zh-CN"/>
              </w:rPr>
              <w:t>（自卸式后吊车清运）</w:t>
            </w:r>
            <w:r>
              <w:rPr>
                <w:rFonts w:hint="eastAsia" w:ascii="宋体" w:hAnsi="宋体" w:eastAsia="宋体" w:cs="宋体"/>
                <w:color w:val="auto"/>
                <w:sz w:val="24"/>
                <w:szCs w:val="24"/>
                <w:highlight w:val="none"/>
              </w:rPr>
              <w:t>垃圾桶综合</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单价</w:t>
            </w:r>
            <w:r>
              <w:rPr>
                <w:rFonts w:hint="eastAsia" w:ascii="宋体" w:hAnsi="宋体" w:cs="宋体"/>
                <w:color w:val="auto"/>
                <w:sz w:val="24"/>
                <w:szCs w:val="24"/>
                <w:highlight w:val="none"/>
                <w:lang w:eastAsia="zh-CN"/>
              </w:rPr>
              <w:t>（元/桶·年）</w:t>
            </w:r>
          </w:p>
        </w:tc>
        <w:tc>
          <w:tcPr>
            <w:tcW w:w="7245" w:type="dxa"/>
            <w:gridSpan w:val="2"/>
            <w:noWrap w:val="0"/>
            <w:vAlign w:val="center"/>
          </w:tcPr>
          <w:p>
            <w:pPr>
              <w:adjustRightInd/>
              <w:snapToGrid w:val="0"/>
              <w:spacing w:line="360" w:lineRule="auto"/>
              <w:jc w:val="left"/>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“以桶换桶”清运方式垃圾桶综合</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eastAsia="zh-CN"/>
              </w:rPr>
              <w:t>单价（元/桶·年）</w:t>
            </w:r>
          </w:p>
        </w:tc>
        <w:tc>
          <w:tcPr>
            <w:tcW w:w="7245" w:type="dxa"/>
            <w:gridSpan w:val="2"/>
            <w:noWrap w:val="0"/>
            <w:vAlign w:val="center"/>
          </w:tcPr>
          <w:p>
            <w:pPr>
              <w:adjustRightInd/>
              <w:snapToGrid w:val="0"/>
              <w:spacing w:line="360" w:lineRule="auto"/>
              <w:jc w:val="left"/>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沿街垃圾上门收集方式垃圾桶综合</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eastAsia="zh-CN"/>
              </w:rPr>
              <w:t>单价（元/桶·年）</w:t>
            </w:r>
          </w:p>
        </w:tc>
        <w:tc>
          <w:tcPr>
            <w:tcW w:w="7245" w:type="dxa"/>
            <w:gridSpan w:val="2"/>
            <w:noWrap w:val="0"/>
            <w:vAlign w:val="center"/>
          </w:tcPr>
          <w:p>
            <w:pPr>
              <w:adjustRightInd/>
              <w:snapToGrid w:val="0"/>
              <w:spacing w:line="360" w:lineRule="auto"/>
              <w:jc w:val="left"/>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单年</w:t>
            </w:r>
            <w:r>
              <w:rPr>
                <w:rFonts w:hint="eastAsia" w:ascii="宋体" w:hAnsi="宋体" w:eastAsia="宋体" w:cs="宋体"/>
                <w:color w:val="auto"/>
                <w:sz w:val="24"/>
                <w:szCs w:val="24"/>
                <w:highlight w:val="none"/>
              </w:rPr>
              <w:t>投标价</w:t>
            </w:r>
          </w:p>
        </w:tc>
        <w:tc>
          <w:tcPr>
            <w:tcW w:w="7245" w:type="dxa"/>
            <w:gridSpan w:val="2"/>
            <w:noWrap w:val="0"/>
            <w:vAlign w:val="center"/>
          </w:tcPr>
          <w:p>
            <w:pPr>
              <w:adjustRightInd/>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p>
            <w:pPr>
              <w:adjustRightInd/>
              <w:snapToGri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年投标总价</w:t>
            </w:r>
          </w:p>
        </w:tc>
        <w:tc>
          <w:tcPr>
            <w:tcW w:w="7245" w:type="dxa"/>
            <w:gridSpan w:val="2"/>
            <w:noWrap w:val="0"/>
            <w:vAlign w:val="center"/>
          </w:tcPr>
          <w:p>
            <w:pPr>
              <w:adjustRightInd/>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p>
            <w:pPr>
              <w:adjustRightInd/>
              <w:snapToGri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3"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投标声明</w:t>
            </w:r>
          </w:p>
        </w:tc>
        <w:tc>
          <w:tcPr>
            <w:tcW w:w="7245" w:type="dxa"/>
            <w:gridSpan w:val="2"/>
            <w:noWrap w:val="0"/>
            <w:vAlign w:val="center"/>
          </w:tcPr>
          <w:p>
            <w:pPr>
              <w:adjustRightInd/>
              <w:snapToGrid w:val="0"/>
              <w:spacing w:line="360" w:lineRule="auto"/>
              <w:jc w:val="center"/>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3、特别提示：采购代理机构将对项目名称和项目编号，中标人名称、地址和中标金额，主要中标标的名称、服务范围、服务要求、服务时间、服务标准等予以公示。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pgNumType w:fmt="decimal"/>
          <w:cols w:space="720" w:num="1"/>
          <w:titlePg/>
          <w:docGrid w:linePitch="312" w:charSpace="0"/>
        </w:sect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w:t>
      </w:r>
    </w:p>
    <w:p>
      <w:pPr>
        <w:pStyle w:val="23"/>
        <w:rPr>
          <w:color w:val="auto"/>
          <w:highlight w:val="none"/>
        </w:rPr>
      </w:pPr>
    </w:p>
    <w:p>
      <w:pPr>
        <w:adjustRightInd/>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三、投标报价明细表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宁海县人民政府桃源街道办事处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浙江中基正采管理咨询有限公司</w:t>
      </w:r>
      <w:r>
        <w:rPr>
          <w:rFonts w:hint="eastAsia" w:ascii="宋体" w:hAnsi="宋体" w:cs="宋体"/>
          <w:color w:val="auto"/>
          <w:kern w:val="0"/>
          <w:sz w:val="24"/>
          <w:highlight w:val="none"/>
          <w:lang w:val="zh-CN"/>
        </w:rPr>
        <w:t>：</w:t>
      </w:r>
    </w:p>
    <w:p>
      <w:pPr>
        <w:snapToGrid w:val="0"/>
        <w:spacing w:line="360" w:lineRule="auto"/>
        <w:ind w:firstLine="482"/>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我方承诺按照如下投标报价明细表的价格完成</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tbl>
      <w:tblPr>
        <w:tblStyle w:val="62"/>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序号</w:t>
            </w:r>
          </w:p>
        </w:tc>
        <w:tc>
          <w:tcPr>
            <w:tcW w:w="3835" w:type="dxa"/>
            <w:tcBorders>
              <w:top w:val="single" w:color="auto" w:sz="4" w:space="0"/>
              <w:left w:val="nil"/>
              <w:bottom w:val="single" w:color="auto" w:sz="4" w:space="0"/>
              <w:right w:val="single" w:color="auto" w:sz="4" w:space="0"/>
            </w:tcBorders>
            <w:noWrap w:val="0"/>
            <w:vAlign w:val="center"/>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pacing w:val="20"/>
                <w:sz w:val="24"/>
                <w:szCs w:val="24"/>
                <w:highlight w:val="none"/>
                <w:lang w:bidi="ar"/>
              </w:rPr>
              <w:t>项目内容</w:t>
            </w:r>
          </w:p>
        </w:tc>
        <w:tc>
          <w:tcPr>
            <w:tcW w:w="1610" w:type="dxa"/>
            <w:tcBorders>
              <w:top w:val="single" w:color="auto" w:sz="4" w:space="0"/>
              <w:left w:val="nil"/>
              <w:bottom w:val="single" w:color="auto" w:sz="4" w:space="0"/>
              <w:right w:val="single" w:color="auto" w:sz="4" w:space="0"/>
            </w:tcBorders>
            <w:noWrap w:val="0"/>
            <w:vAlign w:val="center"/>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单位及数量</w:t>
            </w:r>
          </w:p>
        </w:tc>
        <w:tc>
          <w:tcPr>
            <w:tcW w:w="1253" w:type="dxa"/>
            <w:tcBorders>
              <w:top w:val="single" w:color="auto" w:sz="4" w:space="0"/>
              <w:left w:val="nil"/>
              <w:bottom w:val="single" w:color="auto" w:sz="4" w:space="0"/>
              <w:right w:val="single" w:color="auto" w:sz="4" w:space="0"/>
            </w:tcBorders>
            <w:noWrap w:val="0"/>
            <w:vAlign w:val="center"/>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单价（元）</w:t>
            </w:r>
          </w:p>
        </w:tc>
        <w:tc>
          <w:tcPr>
            <w:tcW w:w="1432" w:type="dxa"/>
            <w:tcBorders>
              <w:top w:val="single" w:color="auto" w:sz="4" w:space="0"/>
              <w:left w:val="nil"/>
              <w:bottom w:val="single" w:color="auto" w:sz="4" w:space="0"/>
              <w:right w:val="single" w:color="auto" w:sz="4" w:space="0"/>
            </w:tcBorders>
            <w:noWrap w:val="0"/>
            <w:vAlign w:val="center"/>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单年</w:t>
            </w:r>
            <w:r>
              <w:rPr>
                <w:rFonts w:hint="eastAsia" w:asciiTheme="minorEastAsia" w:hAnsiTheme="minorEastAsia" w:eastAsiaTheme="minorEastAsia" w:cstheme="minorEastAsia"/>
                <w:color w:val="auto"/>
                <w:sz w:val="24"/>
                <w:szCs w:val="24"/>
                <w:highlight w:val="none"/>
              </w:rPr>
              <w:t>投标价</w:t>
            </w: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lang w:bidi="ar"/>
              </w:rPr>
            </w:pPr>
            <w:r>
              <w:rPr>
                <w:rFonts w:hint="eastAsia" w:asciiTheme="minorEastAsia" w:hAnsiTheme="minorEastAsia" w:eastAsiaTheme="minorEastAsia" w:cstheme="minorEastAsia"/>
                <w:color w:val="auto"/>
                <w:spacing w:val="20"/>
                <w:sz w:val="24"/>
                <w:szCs w:val="24"/>
                <w:highlight w:val="none"/>
                <w:lang w:val="en-US" w:eastAsia="zh-CN" w:bidi="ar"/>
              </w:rPr>
              <w:t>二年</w:t>
            </w:r>
            <w:r>
              <w:rPr>
                <w:rFonts w:hint="eastAsia" w:asciiTheme="minorEastAsia" w:hAnsiTheme="minorEastAsia" w:eastAsiaTheme="minorEastAsia" w:cstheme="minorEastAsia"/>
                <w:color w:val="auto"/>
                <w:spacing w:val="20"/>
                <w:sz w:val="24"/>
                <w:szCs w:val="24"/>
                <w:highlight w:val="none"/>
                <w:lang w:bidi="ar"/>
              </w:rPr>
              <w:t>投标总价</w:t>
            </w:r>
          </w:p>
        </w:tc>
        <w:tc>
          <w:tcPr>
            <w:tcW w:w="1432" w:type="dxa"/>
            <w:tcBorders>
              <w:top w:val="single" w:color="auto" w:sz="4" w:space="0"/>
              <w:left w:val="nil"/>
              <w:bottom w:val="single" w:color="auto" w:sz="4" w:space="0"/>
              <w:right w:val="single" w:color="auto" w:sz="4" w:space="0"/>
            </w:tcBorders>
            <w:noWrap w:val="0"/>
            <w:vAlign w:val="top"/>
          </w:tcPr>
          <w:p>
            <w:pPr>
              <w:adjustRightInd/>
              <w:snapToGrid w:val="0"/>
              <w:spacing w:before="50" w:after="50" w:line="360" w:lineRule="auto"/>
              <w:jc w:val="center"/>
              <w:rPr>
                <w:rFonts w:hint="eastAsia" w:asciiTheme="minorEastAsia" w:hAnsiTheme="minorEastAsia" w:eastAsiaTheme="minorEastAsia" w:cstheme="minorEastAsia"/>
                <w:color w:val="auto"/>
                <w:spacing w:val="20"/>
                <w:sz w:val="24"/>
                <w:szCs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djustRightInd/>
        <w:rPr>
          <w:rFonts w:hint="eastAsia"/>
          <w:b w:val="0"/>
          <w:bCs w:val="0"/>
          <w:color w:val="auto"/>
          <w:highlight w:val="none"/>
          <w:lang w:val="en-US" w:eastAsia="zh-CN"/>
        </w:rPr>
      </w:pPr>
    </w:p>
    <w:p>
      <w:pPr>
        <w:adjustRightInd/>
        <w:jc w:val="center"/>
        <w:rPr>
          <w:rFonts w:hint="eastAsia" w:ascii="宋体" w:hAnsi="宋体" w:eastAsia="宋体" w:cs="宋体"/>
          <w:b/>
          <w:color w:val="auto"/>
          <w:kern w:val="2"/>
          <w:sz w:val="32"/>
          <w:szCs w:val="32"/>
          <w:highlight w:val="none"/>
          <w:lang w:val="en-US" w:eastAsia="zh-CN" w:bidi="ar-SA"/>
        </w:rPr>
        <w:sectPr>
          <w:pgSz w:w="11906" w:h="16838"/>
          <w:pgMar w:top="1276" w:right="1418" w:bottom="1247" w:left="1418" w:header="851" w:footer="992" w:gutter="0"/>
          <w:pgNumType w:fmt="decimal"/>
          <w:cols w:space="720" w:num="1"/>
          <w:titlePg/>
          <w:docGrid w:linePitch="312" w:charSpace="0"/>
        </w:sect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5" w:name="OLE_LINK14"/>
      <w:bookmarkStart w:id="406" w:name="OLE_LINK13"/>
      <w:r>
        <w:rPr>
          <w:rFonts w:hint="eastAsia" w:ascii="宋体" w:hAnsi="宋体" w:cs="宋体"/>
          <w:b/>
          <w:color w:val="auto"/>
          <w:spacing w:val="6"/>
          <w:sz w:val="32"/>
          <w:szCs w:val="32"/>
          <w:highlight w:val="none"/>
        </w:rPr>
        <w:t>残疾人福利性单位声明函</w:t>
      </w:r>
    </w:p>
    <w:bookmarkEnd w:id="405"/>
    <w:bookmarkEnd w:id="406"/>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宁海县桃源街道其他垃圾收运服务项目</w:t>
      </w:r>
      <w:r>
        <w:rPr>
          <w:rFonts w:hint="eastAsia" w:ascii="宋体" w:hAnsi="宋体" w:cs="宋体"/>
          <w:color w:val="auto"/>
          <w:sz w:val="24"/>
          <w:highlight w:val="none"/>
        </w:rPr>
        <w:t>__采购活动提供本单位制造的货物（由本单位承担工程/提供服务），或者提供其他残疾人福利性单位制造的货物（不包括使用非残疾人福利性单位注册商标的货物）。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hint="eastAsia" w:ascii="宋体" w:hAnsi="宋体" w:eastAsia="宋体" w:cs="宋体"/>
          <w:b/>
          <w:color w:val="auto"/>
          <w:spacing w:val="6"/>
          <w:sz w:val="32"/>
          <w:szCs w:val="32"/>
          <w:highlight w:val="none"/>
        </w:rPr>
      </w:pPr>
    </w:p>
    <w:p>
      <w:pPr>
        <w:spacing w:line="360" w:lineRule="auto"/>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eastAsia="宋体" w:cs="宋体"/>
          <w:b/>
          <w:color w:val="auto"/>
          <w:spacing w:val="6"/>
          <w:sz w:val="32"/>
          <w:szCs w:val="32"/>
          <w:highlight w:val="none"/>
          <w:lang w:val="en-US" w:eastAsia="zh-CN"/>
        </w:rPr>
        <w:t>2</w:t>
      </w:r>
      <w:r>
        <w:rPr>
          <w:rFonts w:hint="eastAsia" w:ascii="宋体" w:hAnsi="宋体" w:eastAsia="宋体" w:cs="宋体"/>
          <w:b/>
          <w:color w:val="auto"/>
          <w:spacing w:val="6"/>
          <w:sz w:val="32"/>
          <w:szCs w:val="32"/>
          <w:highlight w:val="none"/>
        </w:rPr>
        <w:t>：</w:t>
      </w:r>
    </w:p>
    <w:p>
      <w:pPr>
        <w:spacing w:line="360" w:lineRule="auto"/>
        <w:jc w:val="center"/>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特别承诺</w:t>
      </w:r>
    </w:p>
    <w:p>
      <w:pPr>
        <w:spacing w:line="360" w:lineRule="auto"/>
        <w:rPr>
          <w:rFonts w:ascii="宋体" w:hAnsi="宋体" w:eastAsia="宋体" w:cs="宋体"/>
          <w:b/>
          <w:color w:val="auto"/>
          <w:spacing w:val="6"/>
          <w:sz w:val="30"/>
          <w:szCs w:val="30"/>
          <w:highlight w:val="none"/>
        </w:rPr>
      </w:pP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宁海县人民政府桃源街道办事处</w:t>
      </w:r>
      <w:r>
        <w:rPr>
          <w:rFonts w:hint="eastAsia" w:ascii="宋体" w:hAnsi="宋体" w:eastAsia="宋体" w:cs="宋体"/>
          <w:color w:val="auto"/>
          <w:sz w:val="24"/>
          <w:szCs w:val="24"/>
        </w:rPr>
        <w:t>：</w:t>
      </w: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浙江中基正采管理咨询有限公司</w:t>
      </w:r>
      <w:r>
        <w:rPr>
          <w:rFonts w:hint="eastAsia" w:ascii="宋体" w:hAnsi="宋体" w:eastAsia="宋体" w:cs="宋体"/>
          <w:color w:val="auto"/>
          <w:sz w:val="24"/>
          <w:szCs w:val="24"/>
        </w:rPr>
        <w:t>：</w:t>
      </w: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我方承诺如下：</w:t>
      </w: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1、如我方获得中标资格，将按照投标文件承诺的人员和车辆在</w:t>
      </w:r>
      <w:r>
        <w:rPr>
          <w:rFonts w:hint="eastAsia" w:ascii="宋体" w:hAnsi="宋体" w:cs="宋体"/>
          <w:color w:val="auto"/>
          <w:sz w:val="24"/>
          <w:szCs w:val="24"/>
          <w:lang w:val="en-US" w:eastAsia="zh-CN"/>
        </w:rPr>
        <w:t>合同签订</w:t>
      </w:r>
      <w:r>
        <w:rPr>
          <w:rFonts w:hint="eastAsia" w:ascii="宋体" w:hAnsi="宋体" w:eastAsia="宋体" w:cs="宋体"/>
          <w:color w:val="auto"/>
          <w:sz w:val="24"/>
          <w:szCs w:val="24"/>
        </w:rPr>
        <w:t>日前全部配置完毕，否则自愿放弃中标资格，并赔偿采购人的损失。</w:t>
      </w:r>
    </w:p>
    <w:p>
      <w:pPr>
        <w:adjustRightInd/>
        <w:snapToGrid w:val="0"/>
        <w:spacing w:line="360" w:lineRule="auto"/>
        <w:jc w:val="left"/>
        <w:rPr>
          <w:rFonts w:hint="eastAsia" w:ascii="宋体" w:hAnsi="宋体" w:eastAsia="宋体" w:cs="宋体"/>
          <w:color w:val="auto"/>
          <w:sz w:val="24"/>
          <w:szCs w:val="24"/>
        </w:rPr>
      </w:pP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法定代表人或授权代表（签字或盖章）：                    </w:t>
      </w:r>
    </w:p>
    <w:p>
      <w:pPr>
        <w:adjustRightInd/>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供应商名称（盖章）：                                   </w:t>
      </w:r>
    </w:p>
    <w:p>
      <w:pPr>
        <w:tabs>
          <w:tab w:val="left" w:pos="4860"/>
        </w:tabs>
        <w:spacing w:line="360" w:lineRule="auto"/>
        <w:ind w:right="1560" w:firstLine="480" w:firstLineChars="200"/>
        <w:jc w:val="center"/>
        <w:rPr>
          <w:rFonts w:ascii="宋体" w:hAnsi="宋体" w:eastAsia="宋体" w:cs="宋体"/>
          <w:color w:val="auto"/>
          <w:sz w:val="24"/>
          <w:szCs w:val="24"/>
          <w:highlight w:val="none"/>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    年   月   日</w:t>
      </w:r>
    </w:p>
    <w:p>
      <w:pPr>
        <w:spacing w:line="360" w:lineRule="auto"/>
        <w:ind w:firstLine="480" w:firstLineChars="200"/>
        <w:rPr>
          <w:rFonts w:ascii="宋体" w:hAnsi="宋体" w:eastAsia="宋体" w:cs="宋体"/>
          <w:color w:val="auto"/>
          <w:sz w:val="24"/>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3</w:t>
      </w:r>
      <w:r>
        <w:rPr>
          <w:rFonts w:hint="eastAsia" w:ascii="宋体" w:hAnsi="宋体" w:cs="宋体"/>
          <w:b/>
          <w:color w:val="auto"/>
          <w:spacing w:val="6"/>
          <w:sz w:val="32"/>
          <w:szCs w:val="32"/>
          <w:highlight w:val="none"/>
        </w:rPr>
        <w:t>：质疑函范本及制作说明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4</w:t>
      </w:r>
      <w:r>
        <w:rPr>
          <w:rFonts w:hint="eastAsia" w:ascii="宋体" w:hAnsi="宋体" w:cs="宋体"/>
          <w:b/>
          <w:color w:val="auto"/>
          <w:spacing w:val="6"/>
          <w:sz w:val="32"/>
          <w:szCs w:val="32"/>
          <w:highlight w:val="none"/>
        </w:rPr>
        <w:t>：投诉书范本及制作说明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5</w:t>
      </w:r>
      <w:r>
        <w:rPr>
          <w:rFonts w:hint="eastAsia" w:ascii="宋体" w:hAnsi="宋体" w:cs="宋体"/>
          <w:b/>
          <w:color w:val="auto"/>
          <w:spacing w:val="6"/>
          <w:sz w:val="32"/>
          <w:szCs w:val="32"/>
          <w:highlight w:val="none"/>
        </w:rPr>
        <w:t>：</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宁海县人民政府桃源街道办事处</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浙江中基正采管理咨询有限公司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宁海县桃源街道其他垃圾收运服务项目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CBZJ-20246028G</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07"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07"/>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08"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08"/>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09"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09"/>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pacing w:line="360" w:lineRule="auto"/>
        <w:jc w:val="left"/>
        <w:outlineLvl w:val="0"/>
        <w:rPr>
          <w:rFonts w:ascii="宋体" w:hAnsi="宋体" w:cs="宋体"/>
          <w:b/>
          <w:color w:val="auto"/>
          <w:sz w:val="32"/>
          <w:szCs w:val="18"/>
          <w:highlight w:val="none"/>
        </w:rPr>
      </w:pPr>
      <w:r>
        <w:rPr>
          <w:rFonts w:hint="eastAsia" w:ascii="宋体" w:hAnsi="宋体" w:cs="宋体"/>
          <w:b/>
          <w:color w:val="auto"/>
          <w:sz w:val="32"/>
          <w:szCs w:val="18"/>
          <w:highlight w:val="none"/>
        </w:rPr>
        <w:t>附件</w:t>
      </w:r>
      <w:r>
        <w:rPr>
          <w:rFonts w:hint="eastAsia" w:ascii="宋体" w:hAnsi="宋体" w:cs="宋体"/>
          <w:b/>
          <w:color w:val="auto"/>
          <w:sz w:val="32"/>
          <w:szCs w:val="18"/>
          <w:highlight w:val="none"/>
          <w:lang w:val="en-US" w:eastAsia="zh-CN"/>
        </w:rPr>
        <w:t>7</w:t>
      </w:r>
      <w:r>
        <w:rPr>
          <w:rFonts w:hint="eastAsia" w:ascii="宋体" w:hAnsi="宋体" w:cs="宋体"/>
          <w:b/>
          <w:color w:val="auto"/>
          <w:sz w:val="32"/>
          <w:szCs w:val="18"/>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宁海县人民政府桃源街道办事处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宁海县桃源街道其他垃圾收运服务项目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723" w:firstLineChars="300"/>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3、本采购文件中明确的所属行业为其他未列明行业：从业人员300人以下的为中小微型企业。其中，从业人员100人及以上的为中型企业；从业人员10人及以上的为小型企业；从业人员10人以下的为微型企业。</w:t>
      </w:r>
    </w:p>
    <w:p>
      <w:pPr>
        <w:pStyle w:val="23"/>
        <w:rPr>
          <w:color w:val="auto"/>
          <w:highlight w:val="none"/>
        </w:rPr>
      </w:pP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Wingdings 2">
    <w:panose1 w:val="05020102010507070707"/>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7178"/>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lang w:val="en-US" w:eastAsia="zh-CN"/>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val="en-US" w:eastAsia="zh-CN"/>
      </w:rPr>
      <w:t xml:space="preserve"> </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rPr>
    </w:pPr>
    <w:r>
      <w:rPr>
        <w:rFonts w:hint="eastAsia"/>
      </w:rPr>
      <w:t xml:space="preserve">                                  </w:t>
    </w:r>
  </w:p>
  <w:p>
    <w:pPr>
      <w:pStyle w:val="40"/>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val="en-US" w:eastAsia="zh-CN"/>
      </w:rPr>
      <w:t>政</w:t>
    </w:r>
    <w:r>
      <w:t>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singleLevel"/>
    <w:tmpl w:val="00000025"/>
    <w:lvl w:ilvl="0" w:tentative="0">
      <w:start w:val="1"/>
      <w:numFmt w:val="decimal"/>
      <w:suff w:val="nothing"/>
      <w:lvlText w:val="（%1）"/>
      <w:lvlJc w:val="left"/>
    </w:lvl>
  </w:abstractNum>
  <w:abstractNum w:abstractNumId="1">
    <w:nsid w:val="27F3127D"/>
    <w:multiLevelType w:val="singleLevel"/>
    <w:tmpl w:val="27F3127D"/>
    <w:lvl w:ilvl="0" w:tentative="0">
      <w:start w:val="1"/>
      <w:numFmt w:val="decimal"/>
      <w:suff w:val="nothing"/>
      <w:lvlText w:val="（%1）"/>
      <w:lvlJc w:val="left"/>
    </w:lvl>
  </w:abstractNum>
  <w:abstractNum w:abstractNumId="2">
    <w:nsid w:val="66E1EBF7"/>
    <w:multiLevelType w:val="singleLevel"/>
    <w:tmpl w:val="66E1EBF7"/>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zdhZmM4MGI5MTU1ZTJhZTcwMTAxZjgzZTk3MDUifQ=="/>
    <w:docVar w:name="KSO_WPS_MARK_KEY" w:val="5039789f-acc4-42b1-b64e-d6d92dbee501"/>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05330"/>
    <w:rsid w:val="010651D9"/>
    <w:rsid w:val="011F6449"/>
    <w:rsid w:val="01236AFB"/>
    <w:rsid w:val="018E0D0D"/>
    <w:rsid w:val="019F7441"/>
    <w:rsid w:val="01B37585"/>
    <w:rsid w:val="01BD3BBD"/>
    <w:rsid w:val="01D55165"/>
    <w:rsid w:val="01DF6BF8"/>
    <w:rsid w:val="01EC2C57"/>
    <w:rsid w:val="025F0711"/>
    <w:rsid w:val="026B2E25"/>
    <w:rsid w:val="02824D4D"/>
    <w:rsid w:val="02DC4B10"/>
    <w:rsid w:val="02DD76CE"/>
    <w:rsid w:val="02F36323"/>
    <w:rsid w:val="02F5619C"/>
    <w:rsid w:val="02FD2E8D"/>
    <w:rsid w:val="0326446A"/>
    <w:rsid w:val="032D5555"/>
    <w:rsid w:val="036634D2"/>
    <w:rsid w:val="03DD35E4"/>
    <w:rsid w:val="03F71BE7"/>
    <w:rsid w:val="04076900"/>
    <w:rsid w:val="041A5A3B"/>
    <w:rsid w:val="042311BA"/>
    <w:rsid w:val="042B157A"/>
    <w:rsid w:val="046D67FB"/>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8400DD"/>
    <w:rsid w:val="08061376"/>
    <w:rsid w:val="0823202C"/>
    <w:rsid w:val="08452D77"/>
    <w:rsid w:val="086401F8"/>
    <w:rsid w:val="08751CAA"/>
    <w:rsid w:val="087E4C40"/>
    <w:rsid w:val="08952CA3"/>
    <w:rsid w:val="08A871D0"/>
    <w:rsid w:val="08C95DA1"/>
    <w:rsid w:val="08D66AD6"/>
    <w:rsid w:val="08DA33A3"/>
    <w:rsid w:val="08E80F13"/>
    <w:rsid w:val="09335624"/>
    <w:rsid w:val="0944690F"/>
    <w:rsid w:val="09535675"/>
    <w:rsid w:val="095624FF"/>
    <w:rsid w:val="095F057D"/>
    <w:rsid w:val="09642282"/>
    <w:rsid w:val="09733572"/>
    <w:rsid w:val="09772C16"/>
    <w:rsid w:val="098353B5"/>
    <w:rsid w:val="09A92330"/>
    <w:rsid w:val="09B06B87"/>
    <w:rsid w:val="09C13146"/>
    <w:rsid w:val="09E04166"/>
    <w:rsid w:val="0A1C0718"/>
    <w:rsid w:val="0A3E7710"/>
    <w:rsid w:val="0A5B7E63"/>
    <w:rsid w:val="0AA374A5"/>
    <w:rsid w:val="0AA56AB0"/>
    <w:rsid w:val="0AAB7649"/>
    <w:rsid w:val="0ABC5606"/>
    <w:rsid w:val="0B30404E"/>
    <w:rsid w:val="0B3D575C"/>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F1157"/>
    <w:rsid w:val="0CC007F7"/>
    <w:rsid w:val="0CC617AC"/>
    <w:rsid w:val="0CE618DF"/>
    <w:rsid w:val="0CFE707A"/>
    <w:rsid w:val="0D063BDA"/>
    <w:rsid w:val="0D08375F"/>
    <w:rsid w:val="0D184CFB"/>
    <w:rsid w:val="0D3715BC"/>
    <w:rsid w:val="0D4A7419"/>
    <w:rsid w:val="0D827401"/>
    <w:rsid w:val="0D84094E"/>
    <w:rsid w:val="0D8A00E9"/>
    <w:rsid w:val="0D8D589E"/>
    <w:rsid w:val="0DA01C73"/>
    <w:rsid w:val="0DD63300"/>
    <w:rsid w:val="0DF50604"/>
    <w:rsid w:val="0DF702FE"/>
    <w:rsid w:val="0E060E51"/>
    <w:rsid w:val="0E5604B2"/>
    <w:rsid w:val="0E602003"/>
    <w:rsid w:val="0E6D5D79"/>
    <w:rsid w:val="0E9D0089"/>
    <w:rsid w:val="0EB803EE"/>
    <w:rsid w:val="0EF94D4B"/>
    <w:rsid w:val="0F4958DC"/>
    <w:rsid w:val="0F515DF7"/>
    <w:rsid w:val="0F596BA8"/>
    <w:rsid w:val="0F6248D2"/>
    <w:rsid w:val="0F693536"/>
    <w:rsid w:val="0F7B0511"/>
    <w:rsid w:val="0F7B76D9"/>
    <w:rsid w:val="0F816ACD"/>
    <w:rsid w:val="0F9832DB"/>
    <w:rsid w:val="0FB40FDB"/>
    <w:rsid w:val="0FBF3FD2"/>
    <w:rsid w:val="0FBF7FF3"/>
    <w:rsid w:val="0FFC6856"/>
    <w:rsid w:val="10646583"/>
    <w:rsid w:val="107D4B15"/>
    <w:rsid w:val="108A3C80"/>
    <w:rsid w:val="10931D1A"/>
    <w:rsid w:val="10C26171"/>
    <w:rsid w:val="10F33360"/>
    <w:rsid w:val="10FC16EA"/>
    <w:rsid w:val="110F1D40"/>
    <w:rsid w:val="11266F33"/>
    <w:rsid w:val="118963A1"/>
    <w:rsid w:val="11C6522A"/>
    <w:rsid w:val="11E104CC"/>
    <w:rsid w:val="11E20309"/>
    <w:rsid w:val="12255233"/>
    <w:rsid w:val="12530213"/>
    <w:rsid w:val="12651FD3"/>
    <w:rsid w:val="127723A9"/>
    <w:rsid w:val="12862074"/>
    <w:rsid w:val="12883966"/>
    <w:rsid w:val="129E45B4"/>
    <w:rsid w:val="12D81596"/>
    <w:rsid w:val="13072A44"/>
    <w:rsid w:val="131A7767"/>
    <w:rsid w:val="135F4BE2"/>
    <w:rsid w:val="139B1A0A"/>
    <w:rsid w:val="139D25C7"/>
    <w:rsid w:val="13BF3CE4"/>
    <w:rsid w:val="141008D8"/>
    <w:rsid w:val="14125FE6"/>
    <w:rsid w:val="143E57C7"/>
    <w:rsid w:val="146D271E"/>
    <w:rsid w:val="14982588"/>
    <w:rsid w:val="149A5AD9"/>
    <w:rsid w:val="14A7619D"/>
    <w:rsid w:val="150536C3"/>
    <w:rsid w:val="150C1963"/>
    <w:rsid w:val="151447A0"/>
    <w:rsid w:val="154A6454"/>
    <w:rsid w:val="15762120"/>
    <w:rsid w:val="15F61834"/>
    <w:rsid w:val="163724F8"/>
    <w:rsid w:val="16A8729C"/>
    <w:rsid w:val="16B33777"/>
    <w:rsid w:val="16BC70A7"/>
    <w:rsid w:val="16C6339E"/>
    <w:rsid w:val="17260F0E"/>
    <w:rsid w:val="172F2D79"/>
    <w:rsid w:val="17557BEF"/>
    <w:rsid w:val="17D349C1"/>
    <w:rsid w:val="1830729E"/>
    <w:rsid w:val="1864152A"/>
    <w:rsid w:val="1870062C"/>
    <w:rsid w:val="18817102"/>
    <w:rsid w:val="18830A15"/>
    <w:rsid w:val="18852B28"/>
    <w:rsid w:val="188B5321"/>
    <w:rsid w:val="194667FA"/>
    <w:rsid w:val="19932372"/>
    <w:rsid w:val="19A20DD5"/>
    <w:rsid w:val="19AE03F1"/>
    <w:rsid w:val="1A071A03"/>
    <w:rsid w:val="1A1F16AE"/>
    <w:rsid w:val="1A3B5C77"/>
    <w:rsid w:val="1A8342DE"/>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90A9E"/>
    <w:rsid w:val="1C88086E"/>
    <w:rsid w:val="1D266CE1"/>
    <w:rsid w:val="1D3963AF"/>
    <w:rsid w:val="1D6A673C"/>
    <w:rsid w:val="1D9247AE"/>
    <w:rsid w:val="1DB567EC"/>
    <w:rsid w:val="1DF51A98"/>
    <w:rsid w:val="1E2A1362"/>
    <w:rsid w:val="1E361291"/>
    <w:rsid w:val="1E3D060F"/>
    <w:rsid w:val="1E3F7D2E"/>
    <w:rsid w:val="1E4134E4"/>
    <w:rsid w:val="1E5062B3"/>
    <w:rsid w:val="1E523514"/>
    <w:rsid w:val="1E714A66"/>
    <w:rsid w:val="1E802593"/>
    <w:rsid w:val="1E8B6156"/>
    <w:rsid w:val="1EA402FF"/>
    <w:rsid w:val="1EA703CC"/>
    <w:rsid w:val="1EB7330C"/>
    <w:rsid w:val="1F0A0FF3"/>
    <w:rsid w:val="1F5771FF"/>
    <w:rsid w:val="1F9C026B"/>
    <w:rsid w:val="1FC1466E"/>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F60E9"/>
    <w:rsid w:val="245375B0"/>
    <w:rsid w:val="24642C0A"/>
    <w:rsid w:val="24B22173"/>
    <w:rsid w:val="24B95AD9"/>
    <w:rsid w:val="24BE24DA"/>
    <w:rsid w:val="24BE28B4"/>
    <w:rsid w:val="24CF5825"/>
    <w:rsid w:val="24D663E6"/>
    <w:rsid w:val="24D77F2B"/>
    <w:rsid w:val="258B00E2"/>
    <w:rsid w:val="25A917A6"/>
    <w:rsid w:val="25BE27CC"/>
    <w:rsid w:val="25F74A5C"/>
    <w:rsid w:val="2628662C"/>
    <w:rsid w:val="262D45DE"/>
    <w:rsid w:val="2650413E"/>
    <w:rsid w:val="26871DC8"/>
    <w:rsid w:val="26A53EF9"/>
    <w:rsid w:val="26A94201"/>
    <w:rsid w:val="26AC274F"/>
    <w:rsid w:val="27044A29"/>
    <w:rsid w:val="271D34C8"/>
    <w:rsid w:val="27427F2B"/>
    <w:rsid w:val="275C5AF1"/>
    <w:rsid w:val="276142BF"/>
    <w:rsid w:val="27783712"/>
    <w:rsid w:val="27907362"/>
    <w:rsid w:val="28333E1D"/>
    <w:rsid w:val="28454BD6"/>
    <w:rsid w:val="28455253"/>
    <w:rsid w:val="28551971"/>
    <w:rsid w:val="285B1C53"/>
    <w:rsid w:val="289F7086"/>
    <w:rsid w:val="28B94DA8"/>
    <w:rsid w:val="28C32028"/>
    <w:rsid w:val="28CC490F"/>
    <w:rsid w:val="28DE40AA"/>
    <w:rsid w:val="29345E77"/>
    <w:rsid w:val="294C65AD"/>
    <w:rsid w:val="29806583"/>
    <w:rsid w:val="298B3C4C"/>
    <w:rsid w:val="29F23E8A"/>
    <w:rsid w:val="29F26D24"/>
    <w:rsid w:val="2A15033F"/>
    <w:rsid w:val="2A1662C1"/>
    <w:rsid w:val="2A1C7367"/>
    <w:rsid w:val="2A2815FA"/>
    <w:rsid w:val="2A6D6092"/>
    <w:rsid w:val="2A7D76B4"/>
    <w:rsid w:val="2B021058"/>
    <w:rsid w:val="2B437463"/>
    <w:rsid w:val="2B7807EE"/>
    <w:rsid w:val="2BA50BF7"/>
    <w:rsid w:val="2BBF00EC"/>
    <w:rsid w:val="2BC37CFD"/>
    <w:rsid w:val="2BD5237F"/>
    <w:rsid w:val="2BE21CDC"/>
    <w:rsid w:val="2BE536CE"/>
    <w:rsid w:val="2BE758D9"/>
    <w:rsid w:val="2C09049E"/>
    <w:rsid w:val="2C0A653C"/>
    <w:rsid w:val="2C191F85"/>
    <w:rsid w:val="2CE82D6F"/>
    <w:rsid w:val="2D343236"/>
    <w:rsid w:val="2D5C23F2"/>
    <w:rsid w:val="2DD15014"/>
    <w:rsid w:val="2DF72DE4"/>
    <w:rsid w:val="2E0220AF"/>
    <w:rsid w:val="2E4B082A"/>
    <w:rsid w:val="2E5D4E86"/>
    <w:rsid w:val="2E5D790B"/>
    <w:rsid w:val="2E9A3C18"/>
    <w:rsid w:val="2EBB0FEE"/>
    <w:rsid w:val="2EC63002"/>
    <w:rsid w:val="2F0A6B38"/>
    <w:rsid w:val="2F946CCB"/>
    <w:rsid w:val="2FD25781"/>
    <w:rsid w:val="2FDC745C"/>
    <w:rsid w:val="2FFD7934"/>
    <w:rsid w:val="30252E9E"/>
    <w:rsid w:val="30733ACD"/>
    <w:rsid w:val="308C3862"/>
    <w:rsid w:val="309379D8"/>
    <w:rsid w:val="30A270F7"/>
    <w:rsid w:val="30DF1478"/>
    <w:rsid w:val="30EC586F"/>
    <w:rsid w:val="314550B7"/>
    <w:rsid w:val="319C6071"/>
    <w:rsid w:val="31AC537E"/>
    <w:rsid w:val="31D24182"/>
    <w:rsid w:val="31E3679B"/>
    <w:rsid w:val="31E732FD"/>
    <w:rsid w:val="32517576"/>
    <w:rsid w:val="32BE5C2C"/>
    <w:rsid w:val="32FB6478"/>
    <w:rsid w:val="33263B3F"/>
    <w:rsid w:val="336963EB"/>
    <w:rsid w:val="33816EEB"/>
    <w:rsid w:val="339F31A2"/>
    <w:rsid w:val="33E347C2"/>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CF0CE0"/>
    <w:rsid w:val="37EE7094"/>
    <w:rsid w:val="38296C89"/>
    <w:rsid w:val="383002EB"/>
    <w:rsid w:val="38586797"/>
    <w:rsid w:val="38BC0149"/>
    <w:rsid w:val="38D87D1C"/>
    <w:rsid w:val="38EE74F9"/>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A1195A"/>
    <w:rsid w:val="3CCE23CB"/>
    <w:rsid w:val="3CD17D17"/>
    <w:rsid w:val="3D3C7F39"/>
    <w:rsid w:val="3D440F09"/>
    <w:rsid w:val="3D4504A0"/>
    <w:rsid w:val="3D8734BB"/>
    <w:rsid w:val="3D9A11D4"/>
    <w:rsid w:val="3DA02CE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EC0D67"/>
    <w:rsid w:val="42075E9B"/>
    <w:rsid w:val="42474939"/>
    <w:rsid w:val="424C3C57"/>
    <w:rsid w:val="424D2F1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EB409B"/>
    <w:rsid w:val="451B225C"/>
    <w:rsid w:val="452410C9"/>
    <w:rsid w:val="45317DFB"/>
    <w:rsid w:val="456D3CE4"/>
    <w:rsid w:val="4579042C"/>
    <w:rsid w:val="457F0571"/>
    <w:rsid w:val="45851176"/>
    <w:rsid w:val="45C63B94"/>
    <w:rsid w:val="460E7DA5"/>
    <w:rsid w:val="462B0339"/>
    <w:rsid w:val="46422483"/>
    <w:rsid w:val="4659254A"/>
    <w:rsid w:val="465B0637"/>
    <w:rsid w:val="465E3F0D"/>
    <w:rsid w:val="466A16E6"/>
    <w:rsid w:val="46893F2B"/>
    <w:rsid w:val="46C4686E"/>
    <w:rsid w:val="47117DEE"/>
    <w:rsid w:val="47186A28"/>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347A8"/>
    <w:rsid w:val="4A064FA0"/>
    <w:rsid w:val="4A16615C"/>
    <w:rsid w:val="4A4424D7"/>
    <w:rsid w:val="4AB82D0F"/>
    <w:rsid w:val="4ABB7913"/>
    <w:rsid w:val="4AEB7664"/>
    <w:rsid w:val="4AFD7C19"/>
    <w:rsid w:val="4B0567D1"/>
    <w:rsid w:val="4B236AAE"/>
    <w:rsid w:val="4B707271"/>
    <w:rsid w:val="4B9739F7"/>
    <w:rsid w:val="4BEE2503"/>
    <w:rsid w:val="4C245A30"/>
    <w:rsid w:val="4C924C55"/>
    <w:rsid w:val="4CB6685F"/>
    <w:rsid w:val="4CC367FE"/>
    <w:rsid w:val="4D077F3C"/>
    <w:rsid w:val="4D123355"/>
    <w:rsid w:val="4D2A3B31"/>
    <w:rsid w:val="4D312C52"/>
    <w:rsid w:val="4D4E12EF"/>
    <w:rsid w:val="4D7A4C4B"/>
    <w:rsid w:val="4D905305"/>
    <w:rsid w:val="4D964A72"/>
    <w:rsid w:val="4D9C1254"/>
    <w:rsid w:val="4E793892"/>
    <w:rsid w:val="4E800872"/>
    <w:rsid w:val="4E867065"/>
    <w:rsid w:val="4EC569ED"/>
    <w:rsid w:val="4ED50EA1"/>
    <w:rsid w:val="4EEC050C"/>
    <w:rsid w:val="4F104EC3"/>
    <w:rsid w:val="4F47354A"/>
    <w:rsid w:val="4F911C54"/>
    <w:rsid w:val="4FE625E0"/>
    <w:rsid w:val="5021480F"/>
    <w:rsid w:val="50962ECB"/>
    <w:rsid w:val="50A42E38"/>
    <w:rsid w:val="50A4577F"/>
    <w:rsid w:val="50B17876"/>
    <w:rsid w:val="50B73D1F"/>
    <w:rsid w:val="50BD5BC9"/>
    <w:rsid w:val="50C11EEE"/>
    <w:rsid w:val="50E97CFC"/>
    <w:rsid w:val="50FA4028"/>
    <w:rsid w:val="510D65B7"/>
    <w:rsid w:val="511157AB"/>
    <w:rsid w:val="5142540C"/>
    <w:rsid w:val="518832C8"/>
    <w:rsid w:val="519D3C50"/>
    <w:rsid w:val="51A0432A"/>
    <w:rsid w:val="51A86090"/>
    <w:rsid w:val="51B7396D"/>
    <w:rsid w:val="51BF308A"/>
    <w:rsid w:val="52067F7E"/>
    <w:rsid w:val="522E4CC3"/>
    <w:rsid w:val="5244713B"/>
    <w:rsid w:val="52615633"/>
    <w:rsid w:val="526F4DE4"/>
    <w:rsid w:val="52977FD4"/>
    <w:rsid w:val="52A25790"/>
    <w:rsid w:val="52A96B6F"/>
    <w:rsid w:val="52AF3E17"/>
    <w:rsid w:val="52B45975"/>
    <w:rsid w:val="52D94AA4"/>
    <w:rsid w:val="52EA3A62"/>
    <w:rsid w:val="52F50BB8"/>
    <w:rsid w:val="53097272"/>
    <w:rsid w:val="53544462"/>
    <w:rsid w:val="5397158E"/>
    <w:rsid w:val="54013861"/>
    <w:rsid w:val="542E6D86"/>
    <w:rsid w:val="54487265"/>
    <w:rsid w:val="544D6070"/>
    <w:rsid w:val="54605E1E"/>
    <w:rsid w:val="54B3506A"/>
    <w:rsid w:val="54CA0D16"/>
    <w:rsid w:val="54DD4057"/>
    <w:rsid w:val="54E26277"/>
    <w:rsid w:val="54E7490F"/>
    <w:rsid w:val="550764A4"/>
    <w:rsid w:val="550B2BF6"/>
    <w:rsid w:val="55214EB5"/>
    <w:rsid w:val="55364EFD"/>
    <w:rsid w:val="555D4828"/>
    <w:rsid w:val="55602A34"/>
    <w:rsid w:val="557A4C8B"/>
    <w:rsid w:val="558931E1"/>
    <w:rsid w:val="55923347"/>
    <w:rsid w:val="55925180"/>
    <w:rsid w:val="55983B1B"/>
    <w:rsid w:val="55A8376B"/>
    <w:rsid w:val="55BC7D0E"/>
    <w:rsid w:val="55DC29B6"/>
    <w:rsid w:val="55DD4241"/>
    <w:rsid w:val="55E72401"/>
    <w:rsid w:val="563E4BAE"/>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BB257A"/>
    <w:rsid w:val="58E363A9"/>
    <w:rsid w:val="595E1678"/>
    <w:rsid w:val="596D5BD4"/>
    <w:rsid w:val="597E3DD8"/>
    <w:rsid w:val="59F50429"/>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471762"/>
    <w:rsid w:val="634E4770"/>
    <w:rsid w:val="635600A5"/>
    <w:rsid w:val="635B1DB5"/>
    <w:rsid w:val="63711FED"/>
    <w:rsid w:val="63880DDC"/>
    <w:rsid w:val="638D750D"/>
    <w:rsid w:val="63910123"/>
    <w:rsid w:val="63AC6CC0"/>
    <w:rsid w:val="64055776"/>
    <w:rsid w:val="64240056"/>
    <w:rsid w:val="643B41CE"/>
    <w:rsid w:val="643E143A"/>
    <w:rsid w:val="64491666"/>
    <w:rsid w:val="648915B9"/>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1625CB"/>
    <w:rsid w:val="68551F4F"/>
    <w:rsid w:val="687C10C9"/>
    <w:rsid w:val="68840C16"/>
    <w:rsid w:val="68872541"/>
    <w:rsid w:val="68876EFB"/>
    <w:rsid w:val="68884654"/>
    <w:rsid w:val="689F444F"/>
    <w:rsid w:val="68B8248C"/>
    <w:rsid w:val="68B96DBB"/>
    <w:rsid w:val="68CA2805"/>
    <w:rsid w:val="68DD6BF5"/>
    <w:rsid w:val="68E937A3"/>
    <w:rsid w:val="691664E5"/>
    <w:rsid w:val="693E15D3"/>
    <w:rsid w:val="69627681"/>
    <w:rsid w:val="6977531D"/>
    <w:rsid w:val="69CC2BFF"/>
    <w:rsid w:val="69FD55B8"/>
    <w:rsid w:val="6A04125B"/>
    <w:rsid w:val="6A0B1C62"/>
    <w:rsid w:val="6A2406C8"/>
    <w:rsid w:val="6A362E04"/>
    <w:rsid w:val="6ADE0BD1"/>
    <w:rsid w:val="6ADF362F"/>
    <w:rsid w:val="6AE96859"/>
    <w:rsid w:val="6B147746"/>
    <w:rsid w:val="6B24787C"/>
    <w:rsid w:val="6B4F325E"/>
    <w:rsid w:val="6B573233"/>
    <w:rsid w:val="6B5B6274"/>
    <w:rsid w:val="6B935D53"/>
    <w:rsid w:val="6C196F71"/>
    <w:rsid w:val="6C226FCB"/>
    <w:rsid w:val="6C31226F"/>
    <w:rsid w:val="6C552F0B"/>
    <w:rsid w:val="6C8C67B7"/>
    <w:rsid w:val="6C9B0980"/>
    <w:rsid w:val="6C9D744C"/>
    <w:rsid w:val="6D167928"/>
    <w:rsid w:val="6D26299B"/>
    <w:rsid w:val="6D4772EC"/>
    <w:rsid w:val="6D9078AF"/>
    <w:rsid w:val="6DA028F1"/>
    <w:rsid w:val="6DAA3FEF"/>
    <w:rsid w:val="6DC0172B"/>
    <w:rsid w:val="6DCB690C"/>
    <w:rsid w:val="6DD41A5B"/>
    <w:rsid w:val="6DF43C2E"/>
    <w:rsid w:val="6DF51CA3"/>
    <w:rsid w:val="6E8335BD"/>
    <w:rsid w:val="6E8E12EF"/>
    <w:rsid w:val="6E972936"/>
    <w:rsid w:val="6ED446C5"/>
    <w:rsid w:val="6F1928EC"/>
    <w:rsid w:val="6F2A7D94"/>
    <w:rsid w:val="6F700D66"/>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420532"/>
    <w:rsid w:val="73C0646E"/>
    <w:rsid w:val="74212243"/>
    <w:rsid w:val="742222F5"/>
    <w:rsid w:val="74476126"/>
    <w:rsid w:val="74706664"/>
    <w:rsid w:val="747F3682"/>
    <w:rsid w:val="749C4185"/>
    <w:rsid w:val="75067759"/>
    <w:rsid w:val="752E6DCD"/>
    <w:rsid w:val="7551380D"/>
    <w:rsid w:val="75600BE5"/>
    <w:rsid w:val="7564475C"/>
    <w:rsid w:val="7583797F"/>
    <w:rsid w:val="75D20F1D"/>
    <w:rsid w:val="75DA2C18"/>
    <w:rsid w:val="75F54412"/>
    <w:rsid w:val="76003BF8"/>
    <w:rsid w:val="761D08E0"/>
    <w:rsid w:val="765D347C"/>
    <w:rsid w:val="76826699"/>
    <w:rsid w:val="76C87133"/>
    <w:rsid w:val="76CD08D5"/>
    <w:rsid w:val="76DB4B92"/>
    <w:rsid w:val="76FA0980"/>
    <w:rsid w:val="76FD013A"/>
    <w:rsid w:val="77052AA4"/>
    <w:rsid w:val="77136511"/>
    <w:rsid w:val="77340A39"/>
    <w:rsid w:val="77351FD0"/>
    <w:rsid w:val="77472422"/>
    <w:rsid w:val="777F31F2"/>
    <w:rsid w:val="77D1700D"/>
    <w:rsid w:val="77EC04CC"/>
    <w:rsid w:val="78617D97"/>
    <w:rsid w:val="78680440"/>
    <w:rsid w:val="78775729"/>
    <w:rsid w:val="787F7779"/>
    <w:rsid w:val="78A42DB0"/>
    <w:rsid w:val="78A656AB"/>
    <w:rsid w:val="78B2245C"/>
    <w:rsid w:val="78CF66CA"/>
    <w:rsid w:val="78E172CC"/>
    <w:rsid w:val="78EA1D1F"/>
    <w:rsid w:val="7904172F"/>
    <w:rsid w:val="790F7E27"/>
    <w:rsid w:val="792A231A"/>
    <w:rsid w:val="79316829"/>
    <w:rsid w:val="797E66A9"/>
    <w:rsid w:val="798518A4"/>
    <w:rsid w:val="79A97383"/>
    <w:rsid w:val="79E27E8B"/>
    <w:rsid w:val="79F850CE"/>
    <w:rsid w:val="79FD443C"/>
    <w:rsid w:val="7A0B1EBF"/>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13689"/>
    <w:rsid w:val="7B667AF9"/>
    <w:rsid w:val="7B7468F8"/>
    <w:rsid w:val="7BEE0103"/>
    <w:rsid w:val="7C0A0FE4"/>
    <w:rsid w:val="7C254906"/>
    <w:rsid w:val="7C590818"/>
    <w:rsid w:val="7C6D071B"/>
    <w:rsid w:val="7C7C10F6"/>
    <w:rsid w:val="7C853BEA"/>
    <w:rsid w:val="7C881368"/>
    <w:rsid w:val="7CE27788"/>
    <w:rsid w:val="7D0C32F1"/>
    <w:rsid w:val="7D0F408D"/>
    <w:rsid w:val="7D491C6C"/>
    <w:rsid w:val="7D5429C0"/>
    <w:rsid w:val="7D6E6D43"/>
    <w:rsid w:val="7DB57A34"/>
    <w:rsid w:val="7DE60973"/>
    <w:rsid w:val="7DEF0916"/>
    <w:rsid w:val="7E1E5218"/>
    <w:rsid w:val="7E4954D5"/>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next w:val="1"/>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80">
    <w:name w:val="自动更正"/>
    <w:autoRedefine/>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32882</Words>
  <Characters>34790</Characters>
  <Lines>281</Lines>
  <Paragraphs>79</Paragraphs>
  <TotalTime>34</TotalTime>
  <ScaleCrop>false</ScaleCrop>
  <LinksUpToDate>false</LinksUpToDate>
  <CharactersWithSpaces>38877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谢</cp:lastModifiedBy>
  <cp:lastPrinted>2024-03-01T08:45:00Z</cp:lastPrinted>
  <dcterms:modified xsi:type="dcterms:W3CDTF">2024-03-26T02:38:14Z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A303ABDB405B430690B98E6F913BC60C_13</vt:lpwstr>
  </property>
</Properties>
</file>